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EBC" w:rsidRDefault="00747F35">
      <w:pPr>
        <w:tabs>
          <w:tab w:val="left" w:pos="3465"/>
        </w:tabs>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w:t>
      </w:r>
      <w:r>
        <w:rPr>
          <w:rFonts w:ascii="Palatino Linotype" w:eastAsia="Palatino Linotype" w:hAnsi="Palatino Linotype" w:cs="Palatino Linotype"/>
          <w:b/>
          <w:bCs/>
        </w:rPr>
        <w:t xml:space="preserve"> fecha diez (10) de junio de dos mil veintiséis.</w:t>
      </w:r>
    </w:p>
    <w:p w:rsidR="00807EBC" w:rsidRDefault="00807EBC">
      <w:pPr>
        <w:tabs>
          <w:tab w:val="left" w:pos="3465"/>
        </w:tabs>
        <w:spacing w:line="360" w:lineRule="auto"/>
        <w:ind w:right="-787"/>
        <w:jc w:val="both"/>
        <w:rPr>
          <w:rFonts w:ascii="Palatino Linotype" w:eastAsia="Palatino Linotype" w:hAnsi="Palatino Linotype" w:cs="Palatino Linotype"/>
        </w:rPr>
      </w:pPr>
    </w:p>
    <w:p w:rsidR="00807EBC" w:rsidRDefault="00747F35">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el Recurso de Revisión </w:t>
      </w:r>
      <w:r>
        <w:rPr>
          <w:rFonts w:ascii="Palatino Linotype" w:eastAsia="Palatino Linotype" w:hAnsi="Palatino Linotype" w:cs="Palatino Linotype"/>
          <w:b/>
          <w:bCs/>
        </w:rPr>
        <w:t>12298/INFOEM/IP/RR/2025,</w:t>
      </w:r>
      <w:r>
        <w:rPr>
          <w:rFonts w:ascii="Palatino Linotype" w:eastAsia="Palatino Linotype" w:hAnsi="Palatino Linotype" w:cs="Palatino Linotype"/>
        </w:rPr>
        <w:t xml:space="preserve"> presentado por </w:t>
      </w:r>
      <w:r>
        <w:rPr>
          <w:rFonts w:ascii="Palatino Linotype" w:eastAsia="Palatino Linotype" w:hAnsi="Palatino Linotype" w:cs="Palatino Linotype"/>
          <w:b/>
          <w:bCs/>
        </w:rPr>
        <w:t>una persona que no aportó datos de identificación,</w:t>
      </w:r>
      <w:r>
        <w:rPr>
          <w:rFonts w:ascii="Palatino Linotype" w:eastAsia="Palatino Linotype" w:hAnsi="Palatino Linotype" w:cs="Palatino Linotype"/>
        </w:rPr>
        <w:t xml:space="preserve"> a quien en lo sucesivo se denominará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con número de folio </w:t>
      </w:r>
      <w:r>
        <w:rPr>
          <w:rFonts w:ascii="Palatino Linotype" w:eastAsia="Palatino Linotype" w:hAnsi="Palatino Linotype" w:cs="Palatino Linotype"/>
          <w:b/>
          <w:bCs/>
        </w:rPr>
        <w:t>04611/TOLUCA/IP/2025</w:t>
      </w:r>
      <w:r w:rsidR="009C68B9">
        <w:rPr>
          <w:rFonts w:ascii="Palatino Linotype" w:eastAsia="Palatino Linotype" w:hAnsi="Palatino Linotype" w:cs="Palatino Linotype"/>
        </w:rPr>
        <w:t>, por parte del</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Ayuntamiento de Toluca, </w:t>
      </w:r>
      <w:r>
        <w:rPr>
          <w:rFonts w:ascii="Palatino Linotype" w:eastAsia="Palatino Linotype" w:hAnsi="Palatino Linotype" w:cs="Palatino Linotype"/>
        </w:rPr>
        <w:t xml:space="preserve">en adelante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se emite la presente Resolución con base en los siguientes:</w:t>
      </w:r>
    </w:p>
    <w:p w:rsidR="00807EBC" w:rsidRDefault="00807EBC">
      <w:pPr>
        <w:spacing w:line="360" w:lineRule="auto"/>
        <w:ind w:right="-787"/>
        <w:jc w:val="both"/>
        <w:rPr>
          <w:rFonts w:ascii="Palatino Linotype" w:eastAsia="Palatino Linotype" w:hAnsi="Palatino Linotype" w:cs="Palatino Linotype"/>
        </w:rPr>
      </w:pPr>
    </w:p>
    <w:p w:rsidR="00807EBC" w:rsidRDefault="00747F35">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0" w:name="_heading=h.gjdgxs" w:colFirst="0" w:colLast="0"/>
      <w:bookmarkEnd w:id="0"/>
      <w:r>
        <w:rPr>
          <w:rFonts w:ascii="Palatino Linotype" w:eastAsia="Palatino Linotype" w:hAnsi="Palatino Linotype" w:cs="Palatino Linotype"/>
          <w:b/>
          <w:bCs/>
          <w:color w:val="000000"/>
          <w:sz w:val="24"/>
          <w:szCs w:val="24"/>
        </w:rPr>
        <w:t>A N T E C E D E N T E S</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u w:val="single"/>
        </w:rPr>
      </w:pPr>
    </w:p>
    <w:p w:rsidR="00807EBC" w:rsidRDefault="00747F35">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día</w:t>
      </w:r>
      <w:r>
        <w:rPr>
          <w:rFonts w:ascii="Palatino Linotype" w:eastAsia="Palatino Linotype" w:hAnsi="Palatino Linotype" w:cs="Palatino Linotype"/>
          <w:b/>
          <w:bCs/>
          <w:color w:val="000000"/>
        </w:rPr>
        <w:t xml:space="preserve"> doce de septiembre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807EBC" w:rsidRDefault="00747F35">
      <w:pPr>
        <w:pBdr>
          <w:top w:val="nil"/>
          <w:left w:val="nil"/>
          <w:bottom w:val="nil"/>
          <w:right w:val="nil"/>
          <w:between w:val="nil"/>
        </w:pBdr>
        <w:spacing w:line="360" w:lineRule="auto"/>
        <w:ind w:left="425"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De conformidad con el artículo 8 constitucional se solicita el padrón de todos los vehículos que tiene el municipio incluyendo los de servicios públicos y seguridad publica todos los que tiene hasta el presidente con marca, modelos, placas, color, kilometraje, cuanto se leda de gasolina, el nombre del servidor público que lo tiene asignado con su licencia vigente desde que firmo el resguardo, el uso del vehículo operativo o asignación directa con su hoja de resguardo , la factura del vehículo, el costo del vehículo, es rentado o comprado, la tarjeta de circulación, numero de placas y estado del vehículo con fotografías lugar de estacionamiento asignado para resguardo.”</w:t>
      </w:r>
    </w:p>
    <w:p w:rsidR="00807EBC" w:rsidRDefault="00747F35">
      <w:pPr>
        <w:numPr>
          <w:ilvl w:val="0"/>
          <w:numId w:val="5"/>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Se eligió como modalidad de entrega de la información: </w:t>
      </w:r>
      <w:r>
        <w:rPr>
          <w:rFonts w:ascii="Palatino Linotype" w:eastAsia="Palatino Linotype" w:hAnsi="Palatino Linotype" w:cs="Palatino Linotype"/>
          <w:b/>
          <w:bCs/>
          <w:color w:val="000000"/>
        </w:rPr>
        <w:t>a través de SAIMEX</w:t>
      </w:r>
    </w:p>
    <w:p w:rsidR="00807EBC" w:rsidRDefault="00807EBC">
      <w:p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El</w:t>
      </w:r>
      <w:r>
        <w:rPr>
          <w:rFonts w:ascii="Palatino Linotype" w:eastAsia="Palatino Linotype" w:hAnsi="Palatino Linotype" w:cs="Palatino Linotype"/>
          <w:b/>
          <w:bCs/>
        </w:rPr>
        <w:t xml:space="preserve"> seis de octubre de dos mil veinticinco, </w:t>
      </w:r>
      <w:r>
        <w:rPr>
          <w:rFonts w:ascii="Palatino Linotype" w:eastAsia="Palatino Linotype" w:hAnsi="Palatino Linotype" w:cs="Palatino Linotype"/>
        </w:rPr>
        <w:t xml:space="preserve">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determinó como procedente un prórroga al plazo ordinario, para dar atención a la solicitud de información, mediante Acuerdo CT/SE/1179 /2025., en la MILÉSIMA CENTÉSIMA SEPTUAGÉSIMA NOVENA Sesión Extraordinaria 2025 del Comité de Transparencia del Municipio de Toluca, Administración 2025- 2027, de fecha 29/09/2025; en razón de que refiere, se continúa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w:t>
      </w:r>
    </w:p>
    <w:p w:rsidR="00807EBC" w:rsidRDefault="00807EB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807EBC" w:rsidRDefault="00747F35">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trece de octubre de dos mil veinticinco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envió su respuesta a la </w:t>
      </w:r>
      <w:r>
        <w:rPr>
          <w:rFonts w:ascii="Palatino Linotype" w:eastAsia="Palatino Linotype" w:hAnsi="Palatino Linotype" w:cs="Palatino Linotype"/>
          <w:color w:val="000000"/>
        </w:rPr>
        <w:t>solicitud</w:t>
      </w:r>
      <w:r>
        <w:rPr>
          <w:rFonts w:ascii="Palatino Linotype" w:eastAsia="Palatino Linotype" w:hAnsi="Palatino Linotype" w:cs="Palatino Linotype"/>
        </w:rPr>
        <w:t xml:space="preserve"> de </w:t>
      </w:r>
      <w:r>
        <w:rPr>
          <w:rFonts w:ascii="Palatino Linotype" w:eastAsia="Palatino Linotype" w:hAnsi="Palatino Linotype" w:cs="Palatino Linotype"/>
          <w:color w:val="000000"/>
        </w:rPr>
        <w:t>acceso</w:t>
      </w:r>
      <w:r>
        <w:rPr>
          <w:rFonts w:ascii="Palatino Linotype" w:eastAsia="Palatino Linotype" w:hAnsi="Palatino Linotype" w:cs="Palatino Linotype"/>
        </w:rPr>
        <w:t xml:space="preserve"> a la información a través de SAIMEX, mediante dos archivos denominados:</w:t>
      </w:r>
    </w:p>
    <w:p w:rsidR="00807EBC" w:rsidRDefault="00747F35">
      <w:pPr>
        <w:numPr>
          <w:ilvl w:val="0"/>
          <w:numId w:val="3"/>
        </w:numPr>
        <w:pBdr>
          <w:top w:val="nil"/>
          <w:left w:val="nil"/>
          <w:bottom w:val="nil"/>
          <w:right w:val="nil"/>
          <w:between w:val="nil"/>
        </w:pBdr>
        <w:tabs>
          <w:tab w:val="left" w:pos="0"/>
        </w:tabs>
        <w:spacing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NOTIF. CIUDADANO liga Bienes muebles S. 4611 F.pdf</w:t>
      </w:r>
    </w:p>
    <w:p w:rsidR="00807EBC" w:rsidRDefault="00747F35">
      <w:pPr>
        <w:numPr>
          <w:ilvl w:val="0"/>
          <w:numId w:val="3"/>
        </w:numPr>
        <w:pBdr>
          <w:top w:val="nil"/>
          <w:left w:val="nil"/>
          <w:bottom w:val="nil"/>
          <w:right w:val="nil"/>
          <w:between w:val="nil"/>
        </w:pBdr>
        <w:tabs>
          <w:tab w:val="left" w:pos="0"/>
        </w:tabs>
        <w:spacing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Respsol 04611-2025.pdf</w:t>
      </w:r>
    </w:p>
    <w:p w:rsidR="00807EBC" w:rsidRDefault="00807EBC">
      <w:pPr>
        <w:pBdr>
          <w:top w:val="nil"/>
          <w:left w:val="nil"/>
          <w:bottom w:val="nil"/>
          <w:right w:val="nil"/>
          <w:between w:val="nil"/>
        </w:pBdr>
        <w:tabs>
          <w:tab w:val="left" w:pos="0"/>
        </w:tabs>
        <w:spacing w:line="360" w:lineRule="auto"/>
        <w:ind w:left="720" w:right="-787"/>
        <w:rPr>
          <w:rFonts w:ascii="Palatino Linotype" w:eastAsia="Palatino Linotype" w:hAnsi="Palatino Linotype" w:cs="Palatino Linotype"/>
          <w:b/>
          <w:bCs/>
        </w:rPr>
      </w:pPr>
    </w:p>
    <w:p w:rsidR="00807EBC" w:rsidRDefault="00747F35">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Cuyo contenido corresponde a un oficio signado por la Directora General de Administración, a través del cual informa de un enlace de Internet en formato abierto en el que a su decir se puede consultar lo solicitado; y un oficio signado por la Coordinadora de Administración y Finanzas a través del cual, informa, se remite una relación de unidades con modelo, placas y número económico de la unidad, mismas que se encuentran al servicio </w:t>
      </w:r>
      <w:r>
        <w:rPr>
          <w:rFonts w:ascii="Palatino Linotype" w:eastAsia="Palatino Linotype" w:hAnsi="Palatino Linotype" w:cs="Palatino Linotype"/>
        </w:rPr>
        <w:lastRenderedPageBreak/>
        <w:t>general del Instituto Municipal de la Mujer de Toluca y bajo resguardo de la Coordinación de Administración y Finanzas del Instituto.</w:t>
      </w:r>
    </w:p>
    <w:p w:rsidR="00807EBC" w:rsidRDefault="00807EB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807EBC" w:rsidRDefault="00747F35">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seis de octubre del año dos mil veinticinco</w:t>
      </w:r>
      <w:r>
        <w:rPr>
          <w:rFonts w:ascii="Palatino Linotype" w:eastAsia="Palatino Linotype" w:hAnsi="Palatino Linotype" w:cs="Palatino Linotype"/>
        </w:rPr>
        <w:t xml:space="preserv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solicitó una prórroga al plazo ordinario para dar atención a la solicitud de información, habiéndose registrado en el acuerdo </w:t>
      </w:r>
      <w:r>
        <w:rPr>
          <w:rFonts w:ascii="Palatino Linotype" w:eastAsia="Palatino Linotype" w:hAnsi="Palatino Linotype" w:cs="Palatino Linotype"/>
          <w:b/>
          <w:bCs/>
        </w:rPr>
        <w:t>CT/SE/1179/2025.</w:t>
      </w:r>
      <w:r>
        <w:rPr>
          <w:rFonts w:ascii="Palatino Linotype" w:eastAsia="Palatino Linotype" w:hAnsi="Palatino Linotype" w:cs="Palatino Linotype"/>
        </w:rPr>
        <w:t>, en la Milésima Centésima Septuagésima Novena Sesión Extraordinaria 2025 del Comité de Transparencia del Municipio de Toluca, Administración 2025- 2027, de fecha veintinueve de septiembre de dos mil veinticinco; en razón que a decir del escrito de prórroga, obedece a una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w:t>
      </w:r>
    </w:p>
    <w:p w:rsidR="00807EBC" w:rsidRDefault="00807EBC">
      <w:pPr>
        <w:spacing w:line="360" w:lineRule="auto"/>
        <w:ind w:right="-787"/>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rPr>
        <w:t xml:space="preserve">veintiocho de octubre de dos mil veinticinco, </w:t>
      </w:r>
      <w:r>
        <w:rPr>
          <w:rFonts w:ascii="Palatino Linotype" w:eastAsia="Palatino Linotype" w:hAnsi="Palatino Linotype" w:cs="Palatino Linotype"/>
        </w:rPr>
        <w:t xml:space="preserve">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interpuso el recurso de revisión a través de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en donde se manifestó de la siguiente manera:</w:t>
      </w:r>
    </w:p>
    <w:p w:rsidR="00807EBC" w:rsidRDefault="00807EBC">
      <w:pPr>
        <w:tabs>
          <w:tab w:val="left" w:pos="2745"/>
        </w:tabs>
        <w:spacing w:line="360" w:lineRule="auto"/>
        <w:ind w:left="709" w:right="-787"/>
        <w:jc w:val="both"/>
        <w:rPr>
          <w:rFonts w:ascii="Palatino Linotype" w:eastAsia="Palatino Linotype" w:hAnsi="Palatino Linotype" w:cs="Palatino Linotype"/>
          <w:b/>
          <w:bCs/>
        </w:rPr>
      </w:pPr>
    </w:p>
    <w:p w:rsidR="00807EBC" w:rsidRDefault="00747F35">
      <w:pPr>
        <w:numPr>
          <w:ilvl w:val="0"/>
          <w:numId w:val="1"/>
        </w:numPr>
        <w:tabs>
          <w:tab w:val="left" w:pos="2745"/>
        </w:tabs>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Acto impugnado: </w:t>
      </w:r>
    </w:p>
    <w:p w:rsidR="00807EBC" w:rsidRDefault="00747F35">
      <w:pPr>
        <w:tabs>
          <w:tab w:val="left" w:pos="2745"/>
        </w:tabs>
        <w:spacing w:line="360" w:lineRule="auto"/>
        <w:ind w:left="709" w:right="-787"/>
        <w:jc w:val="both"/>
        <w:rPr>
          <w:rFonts w:ascii="Palatino Linotype" w:eastAsia="Palatino Linotype" w:hAnsi="Palatino Linotype" w:cs="Palatino Linotype"/>
          <w:i/>
          <w:iCs/>
        </w:rPr>
      </w:pPr>
      <w:r>
        <w:rPr>
          <w:rFonts w:ascii="Palatino Linotype" w:eastAsia="Palatino Linotype" w:hAnsi="Palatino Linotype" w:cs="Palatino Linotype"/>
          <w:i/>
          <w:iCs/>
        </w:rPr>
        <w:t>“La unidad de transparencia negando la información con su estrategia que ya se va el infoem ya no entrega nada eso dicen se solicita se cumpla el derecho de información y que se vea que no es cierto que dicen tiene trato con los del infoem y no les ordena entregar”</w:t>
      </w:r>
    </w:p>
    <w:p w:rsidR="00807EBC" w:rsidRDefault="00747F35">
      <w:pPr>
        <w:numPr>
          <w:ilvl w:val="0"/>
          <w:numId w:val="8"/>
        </w:numPr>
        <w:spacing w:line="360" w:lineRule="auto"/>
        <w:ind w:right="-787"/>
        <w:jc w:val="both"/>
        <w:rPr>
          <w:rFonts w:ascii="Palatino Linotype" w:eastAsia="Palatino Linotype" w:hAnsi="Palatino Linotype" w:cs="Palatino Linotype"/>
        </w:rPr>
      </w:pPr>
      <w:bookmarkStart w:id="1" w:name="_heading=h.30j0zll" w:colFirst="0" w:colLast="0"/>
      <w:bookmarkEnd w:id="1"/>
      <w:r>
        <w:rPr>
          <w:rFonts w:ascii="Palatino Linotype" w:eastAsia="Palatino Linotype" w:hAnsi="Palatino Linotype" w:cs="Palatino Linotype"/>
          <w:b/>
          <w:bCs/>
        </w:rPr>
        <w:t>Razones o motivos de inconformidad</w:t>
      </w:r>
      <w:r>
        <w:rPr>
          <w:rFonts w:ascii="Palatino Linotype" w:eastAsia="Palatino Linotype" w:hAnsi="Palatino Linotype" w:cs="Palatino Linotype"/>
        </w:rPr>
        <w:t>:</w:t>
      </w:r>
    </w:p>
    <w:p w:rsidR="00807EBC" w:rsidRDefault="00747F35">
      <w:pPr>
        <w:tabs>
          <w:tab w:val="left" w:pos="2745"/>
        </w:tabs>
        <w:spacing w:line="360" w:lineRule="auto"/>
        <w:ind w:left="709" w:right="-787"/>
        <w:jc w:val="both"/>
        <w:rPr>
          <w:rFonts w:ascii="Palatino Linotype" w:eastAsia="Palatino Linotype" w:hAnsi="Palatino Linotype" w:cs="Palatino Linotype"/>
          <w:b/>
          <w:bCs/>
          <w:i/>
          <w:iCs/>
        </w:rPr>
      </w:pPr>
      <w:r>
        <w:rPr>
          <w:rFonts w:ascii="Palatino Linotype" w:eastAsia="Palatino Linotype" w:hAnsi="Palatino Linotype" w:cs="Palatino Linotype"/>
          <w:i/>
          <w:iCs/>
        </w:rPr>
        <w:t>“La unidad de transparencia negando la información con su estrategia que ya se va el infoem ya no entrega nada eso dicen se solicita se cumpla el derecho de información y que se vea que no es cierto que dicen tiene trato con los del infoem y no les ordena entregar”</w:t>
      </w:r>
    </w:p>
    <w:p w:rsidR="00807EBC" w:rsidRDefault="00807EBC">
      <w:pPr>
        <w:tabs>
          <w:tab w:val="left" w:pos="2745"/>
        </w:tabs>
        <w:spacing w:line="360" w:lineRule="auto"/>
        <w:ind w:left="709" w:right="-787"/>
        <w:jc w:val="both"/>
        <w:rPr>
          <w:rFonts w:ascii="Palatino Linotype" w:eastAsia="Palatino Linotype" w:hAnsi="Palatino Linotype" w:cs="Palatino Linotype"/>
          <w:i/>
          <w:iCs/>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Con fecha</w:t>
      </w:r>
      <w:r>
        <w:rPr>
          <w:rFonts w:ascii="Palatino Linotype" w:eastAsia="Palatino Linotype" w:hAnsi="Palatino Linotype" w:cs="Palatino Linotype"/>
          <w:b/>
          <w:bCs/>
        </w:rPr>
        <w:t xml:space="preserve"> dieciocho de noviembre dos mil veinticinco, </w:t>
      </w:r>
      <w:r>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manifestaron lo que a su derecho resultara conveniente, ofrecieran pruebas, formulen alegatos y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presentará su informe justificado.</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SUJETO </w:t>
      </w:r>
      <w:r>
        <w:rPr>
          <w:rFonts w:ascii="Palatino Linotype" w:eastAsia="Palatino Linotype" w:hAnsi="Palatino Linotype" w:cs="Palatino Linotype"/>
          <w:b/>
          <w:bCs/>
        </w:rPr>
        <w:t>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mediante un oficio signado por la Directora General de Administración y, un escrito signado por el Titular de la Unidad de Transparencia, </w:t>
      </w:r>
      <w:r>
        <w:rPr>
          <w:rFonts w:ascii="Palatino Linotype" w:eastAsia="Palatino Linotype" w:hAnsi="Palatino Linotype" w:cs="Palatino Linotype"/>
        </w:rPr>
        <w:t>confirmaron</w:t>
      </w:r>
      <w:r>
        <w:rPr>
          <w:rFonts w:ascii="Palatino Linotype" w:eastAsia="Palatino Linotype" w:hAnsi="Palatino Linotype" w:cs="Palatino Linotype"/>
          <w:color w:val="000000"/>
        </w:rPr>
        <w:t xml:space="preserve"> la respuesta inicial que se emitió a la solicitud de información. Por su parte, el solicitante dejó de realizar manifestaciones que a su derecho conviniera y asistiera.</w:t>
      </w:r>
    </w:p>
    <w:p w:rsidR="00807EBC" w:rsidRDefault="00807EBC">
      <w:pPr>
        <w:pBdr>
          <w:top w:val="nil"/>
          <w:left w:val="nil"/>
          <w:bottom w:val="nil"/>
          <w:right w:val="nil"/>
          <w:between w:val="nil"/>
        </w:pBdr>
        <w:spacing w:line="360" w:lineRule="auto"/>
        <w:ind w:left="502"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Seguidamente, mediante Acuerdo de fecha </w:t>
      </w:r>
      <w:r>
        <w:rPr>
          <w:rFonts w:ascii="Palatino Linotype" w:eastAsia="Palatino Linotype" w:hAnsi="Palatino Linotype" w:cs="Palatino Linotype"/>
          <w:b/>
          <w:bCs/>
          <w:color w:val="000000"/>
        </w:rPr>
        <w:t xml:space="preserve">uno de junio del año en curso, </w:t>
      </w:r>
      <w:r>
        <w:rPr>
          <w:rFonts w:ascii="Palatino Linotype" w:eastAsia="Palatino Linotype" w:hAnsi="Palatino Linotype" w:cs="Palatino Linotype"/>
          <w:color w:val="000000"/>
        </w:rPr>
        <w:t xml:space="preserve">se amplió el </w:t>
      </w:r>
      <w:r>
        <w:rPr>
          <w:rFonts w:ascii="Palatino Linotype" w:eastAsia="Palatino Linotype" w:hAnsi="Palatino Linotype" w:cs="Palatino Linotype"/>
        </w:rPr>
        <w:t>término</w:t>
      </w:r>
      <w:r>
        <w:rPr>
          <w:rFonts w:ascii="Palatino Linotype" w:eastAsia="Palatino Linotype" w:hAnsi="Palatino Linotype" w:cs="Palatino Linotype"/>
          <w:color w:val="000000"/>
        </w:rPr>
        <w:t xml:space="preserve"> para resolver, consecutivamente se decretó el cierre de instrucción mediante Acuerdo de día </w:t>
      </w:r>
      <w:r>
        <w:rPr>
          <w:rFonts w:ascii="Palatino Linotype" w:eastAsia="Palatino Linotype" w:hAnsi="Palatino Linotype" w:cs="Palatino Linotype"/>
          <w:b/>
          <w:bCs/>
          <w:color w:val="000000"/>
        </w:rPr>
        <w:t>cinco del mismo mes y año</w:t>
      </w:r>
      <w:r>
        <w:rPr>
          <w:rFonts w:ascii="Palatino Linotype" w:eastAsia="Palatino Linotype" w:hAnsi="Palatino Linotype" w:cs="Palatino Linotype"/>
          <w:color w:val="000000"/>
        </w:rPr>
        <w:t xml:space="preserve">, se decretó el </w:t>
      </w:r>
      <w:r>
        <w:rPr>
          <w:rFonts w:ascii="Palatino Linotype" w:eastAsia="Palatino Linotype" w:hAnsi="Palatino Linotype" w:cs="Palatino Linotype"/>
          <w:b/>
          <w:bCs/>
          <w:color w:val="000000"/>
        </w:rPr>
        <w:t>cierre de instrucción</w:t>
      </w:r>
      <w:r>
        <w:rPr>
          <w:rFonts w:ascii="Palatino Linotype" w:eastAsia="Palatino Linotype" w:hAnsi="Palatino Linotype" w:cs="Palatino Linotype"/>
          <w:color w:val="000000"/>
        </w:rPr>
        <w:t>, por lo que no habiendo más que hacer constar, y</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07EBC" w:rsidRDefault="00747F35">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O N S I D E R A N D O</w:t>
      </w:r>
    </w:p>
    <w:p w:rsidR="00807EBC" w:rsidRDefault="00807EBC">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p>
    <w:p w:rsidR="00807EBC" w:rsidRDefault="00747F35">
      <w:pPr>
        <w:pStyle w:val="Ttulo2"/>
        <w:spacing w:before="0" w:line="360" w:lineRule="auto"/>
        <w:ind w:right="-787"/>
        <w:rPr>
          <w:rFonts w:ascii="Palatino Linotype" w:eastAsia="Palatino Linotype" w:hAnsi="Palatino Linotype" w:cs="Palatino Linotype"/>
          <w:b/>
          <w:bCs/>
          <w:color w:val="000000"/>
          <w:sz w:val="24"/>
          <w:szCs w:val="24"/>
        </w:rPr>
      </w:pPr>
      <w:bookmarkStart w:id="2" w:name="_heading=h.3znysh7" w:colFirst="0" w:colLast="0"/>
      <w:bookmarkEnd w:id="2"/>
      <w:r>
        <w:rPr>
          <w:rFonts w:ascii="Palatino Linotype" w:eastAsia="Palatino Linotype" w:hAnsi="Palatino Linotype" w:cs="Palatino Linotype"/>
          <w:b/>
          <w:bCs/>
          <w:color w:val="000000"/>
          <w:sz w:val="24"/>
          <w:szCs w:val="24"/>
        </w:rPr>
        <w:t>PRIMERO. Competencia</w:t>
      </w: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Este Instituto de Transparencia, Acceso a la Información Pública y Protección de Datos </w:t>
      </w:r>
      <w:r>
        <w:rPr>
          <w:rFonts w:ascii="Palatino Linotype" w:eastAsia="Palatino Linotype" w:hAnsi="Palatino Linotype" w:cs="Palatino Linotype"/>
        </w:rPr>
        <w:t>Personales</w:t>
      </w:r>
      <w:r>
        <w:rPr>
          <w:rFonts w:ascii="Palatino Linotype" w:eastAsia="Palatino Linotype" w:hAnsi="Palatino Linotype" w:cs="Palatino Linotype"/>
          <w:color w:val="000000"/>
        </w:rPr>
        <w:t xml:space="preserve"> del Estado de México y Municipios es competente para conocer y </w:t>
      </w:r>
      <w:r>
        <w:rPr>
          <w:rFonts w:ascii="Palatino Linotype" w:eastAsia="Palatino Linotype" w:hAnsi="Palatino Linotype" w:cs="Palatino Linotype"/>
        </w:rPr>
        <w:t>resolver</w:t>
      </w:r>
      <w:r>
        <w:rPr>
          <w:rFonts w:ascii="Palatino Linotype" w:eastAsia="Palatino Linotype" w:hAnsi="Palatino Linotype" w:cs="Palatino Linotype"/>
          <w:color w:val="000000"/>
        </w:rPr>
        <w:t xml:space="preserve"> el presente Recurso de Revisión, conforme a lo dispuesto en los artículos 6, Apartado A de </w:t>
      </w:r>
      <w:r>
        <w:rPr>
          <w:rFonts w:ascii="Palatino Linotype" w:eastAsia="Palatino Linotype" w:hAnsi="Palatino Linotype" w:cs="Palatino Linotype"/>
          <w:color w:val="000000"/>
        </w:rPr>
        <w:lastRenderedPageBreak/>
        <w:t>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807EBC" w:rsidRDefault="00747F35">
      <w:pPr>
        <w:pStyle w:val="Ttulo2"/>
        <w:spacing w:before="0" w:line="360" w:lineRule="auto"/>
        <w:ind w:right="-787"/>
        <w:rPr>
          <w:rFonts w:ascii="Palatino Linotype" w:eastAsia="Palatino Linotype" w:hAnsi="Palatino Linotype" w:cs="Palatino Linotype"/>
          <w:b/>
          <w:bCs/>
          <w:color w:val="000000"/>
          <w:sz w:val="24"/>
          <w:szCs w:val="24"/>
        </w:rPr>
      </w:pPr>
      <w:bookmarkStart w:id="3" w:name="_heading=h.2et92p0" w:colFirst="0" w:colLast="0"/>
      <w:bookmarkEnd w:id="3"/>
      <w:r>
        <w:rPr>
          <w:rFonts w:ascii="Palatino Linotype" w:eastAsia="Palatino Linotype" w:hAnsi="Palatino Linotype" w:cs="Palatino Linotype"/>
          <w:b/>
          <w:bCs/>
          <w:color w:val="000000"/>
          <w:sz w:val="24"/>
          <w:szCs w:val="24"/>
        </w:rPr>
        <w:t>SEGUNDO. Procedencia.</w:t>
      </w: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Este Órgano Garante considera que el medio de impugnación reúne los requisitos de </w:t>
      </w:r>
      <w:r>
        <w:rPr>
          <w:rFonts w:ascii="Palatino Linotype" w:eastAsia="Palatino Linotype" w:hAnsi="Palatino Linotype" w:cs="Palatino Linotype"/>
          <w:color w:val="000000"/>
        </w:rPr>
        <w:t>procedencia</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Por otro lado, es de suma importancia señalar que la parte recurrente no proporciona un nombre completo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Las solicitudes anónimas</w:t>
      </w:r>
      <w:r>
        <w:rPr>
          <w:rFonts w:ascii="Palatino Linotype" w:eastAsia="Palatino Linotype" w:hAnsi="Palatino Linotype" w:cs="Palatino Linotype"/>
          <w:i/>
          <w:iCs/>
        </w:rPr>
        <w:t xml:space="preserve">, con nombre incompleto o seudónimo </w:t>
      </w:r>
      <w:r>
        <w:rPr>
          <w:rFonts w:ascii="Palatino Linotype" w:eastAsia="Palatino Linotype" w:hAnsi="Palatino Linotype" w:cs="Palatino Linotype"/>
          <w:b/>
          <w:bCs/>
          <w:i/>
          <w:iCs/>
        </w:rPr>
        <w:t>serán procedentes para su trámite por parte del sujeto obligado ante quien se presente</w:t>
      </w:r>
      <w:r>
        <w:rPr>
          <w:rFonts w:ascii="Palatino Linotype" w:eastAsia="Palatino Linotype" w:hAnsi="Palatino Linotype" w:cs="Palatino Linotype"/>
          <w:i/>
          <w:iCs/>
        </w:rPr>
        <w:t>. No podrá requerirse información adicional con motivo del nombre proporcionado por el solicitante."</w:t>
      </w: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Finalmente, el escrito contiene las formalidades previstas por el artículo 180 último párrafo de la citada Ley de la Materia, por lo que es procedente que este Instituto conozca y resuelva el presente Recurso de Revisión.</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07EBC" w:rsidRDefault="00747F35">
      <w:pPr>
        <w:pStyle w:val="Ttulo2"/>
        <w:tabs>
          <w:tab w:val="left" w:pos="284"/>
          <w:tab w:val="left" w:pos="426"/>
        </w:tabs>
        <w:spacing w:before="0" w:line="360" w:lineRule="auto"/>
        <w:ind w:right="-787"/>
        <w:rPr>
          <w:rFonts w:ascii="Palatino Linotype" w:eastAsia="Palatino Linotype" w:hAnsi="Palatino Linotype" w:cs="Palatino Linotype"/>
          <w:b/>
          <w:bCs/>
          <w:color w:val="000000"/>
          <w:sz w:val="24"/>
          <w:szCs w:val="24"/>
        </w:rPr>
      </w:pPr>
      <w:bookmarkStart w:id="4" w:name="_heading=h.tyjcwt" w:colFirst="0" w:colLast="0"/>
      <w:bookmarkEnd w:id="4"/>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Se solicitó tener acceso, a la información que a continuación se simplifica:</w:t>
      </w:r>
    </w:p>
    <w:p w:rsidR="00807EBC" w:rsidRDefault="00747F35">
      <w:pPr>
        <w:numPr>
          <w:ilvl w:val="0"/>
          <w:numId w:val="4"/>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Padrón de vehículos, que incluya modelo, placas, color, kilometraje, montos otorgados para gasolina;</w:t>
      </w:r>
    </w:p>
    <w:p w:rsidR="00807EBC" w:rsidRDefault="00747F35">
      <w:pPr>
        <w:numPr>
          <w:ilvl w:val="0"/>
          <w:numId w:val="4"/>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Hoja de resguardo, nombre del servidor público resguardatario y su licencia vigente al momento que quedó en su resguardo;</w:t>
      </w:r>
    </w:p>
    <w:p w:rsidR="00807EBC" w:rsidRDefault="00747F35">
      <w:pPr>
        <w:numPr>
          <w:ilvl w:val="0"/>
          <w:numId w:val="4"/>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en que conste el uso del vehículo operativo o asignación directa;</w:t>
      </w:r>
    </w:p>
    <w:p w:rsidR="00807EBC" w:rsidRDefault="00747F35">
      <w:pPr>
        <w:numPr>
          <w:ilvl w:val="0"/>
          <w:numId w:val="4"/>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facturas de los vehículos, el costo de los vehículos, documento en que conste la renta o compra;</w:t>
      </w:r>
    </w:p>
    <w:p w:rsidR="00807EBC" w:rsidRDefault="00747F35">
      <w:pPr>
        <w:numPr>
          <w:ilvl w:val="0"/>
          <w:numId w:val="4"/>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tarjetas de circulación, números de placas y estado del vehículo con fotografías y, lugar de estacionamiento asignado para resguardo.</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Inconforme con la respuesta, el solicitante interpuso recurso de revisión de manera general en contra de la negativa a la entrega de la información</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179, fracción I, de la Ley de Transparencia y Acceso a la Información Pública del Estado de México y Municipios; fracción que determina la hipótesis relativa a la negativa de entrega de la información; contexto del cual se dolió el Recurrente al momento de interponer su inconformidad. De modo tal que el presente </w:t>
      </w:r>
      <w:r>
        <w:rPr>
          <w:rFonts w:ascii="Palatino Linotype" w:eastAsia="Palatino Linotype" w:hAnsi="Palatino Linotype" w:cs="Palatino Linotype"/>
        </w:rPr>
        <w:lastRenderedPageBreak/>
        <w:t xml:space="preserve">recurso de revisión se abocará en determinar si el Sujeto Obligado con su respuesta ciertamente actualiza la causal de procedencia señalada. </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07EBC" w:rsidRDefault="00747F35">
      <w:pPr>
        <w:spacing w:line="360" w:lineRule="auto"/>
        <w:ind w:right="-787"/>
        <w:rPr>
          <w:rFonts w:ascii="Palatino Linotype" w:eastAsia="Palatino Linotype" w:hAnsi="Palatino Linotype" w:cs="Palatino Linotype"/>
          <w:b/>
          <w:bCs/>
        </w:rPr>
      </w:pPr>
      <w:r>
        <w:rPr>
          <w:rFonts w:ascii="Palatino Linotype" w:eastAsia="Palatino Linotype" w:hAnsi="Palatino Linotype" w:cs="Palatino Linotype"/>
          <w:b/>
          <w:bCs/>
        </w:rPr>
        <w:t>CUARTO. Del estudio y resolución del asunto.</w:t>
      </w: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807EBC" w:rsidRDefault="00807EBC">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w:t>
      </w:r>
      <w:r>
        <w:rPr>
          <w:rFonts w:ascii="Palatino Linotype" w:eastAsia="Palatino Linotype" w:hAnsi="Palatino Linotype" w:cs="Palatino Linotype"/>
        </w:rPr>
        <w:lastRenderedPageBreak/>
        <w:t>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807EBC" w:rsidRDefault="00807EBC">
      <w:pPr>
        <w:spacing w:line="360" w:lineRule="auto"/>
        <w:ind w:right="-787"/>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bookmarkStart w:id="5" w:name="_heading=h.phqbm3i65yg7" w:colFirst="0" w:colLast="0"/>
      <w:bookmarkEnd w:id="5"/>
      <w:r>
        <w:rPr>
          <w:rFonts w:ascii="Palatino Linotype" w:eastAsia="Palatino Linotype" w:hAnsi="Palatino Linotype" w:cs="Palatino Linotype"/>
        </w:rPr>
        <w:t>Dicho lo anterior, se procede al análisis de los puntos que integraron la solicitud de información a efecto de determinar aquellos que fueron no colmados o en su caso atendidos, mediante el siguiente cuadro comparativo:</w:t>
      </w:r>
    </w:p>
    <w:p w:rsidR="00807EBC" w:rsidRDefault="00807EBC">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tbl>
      <w:tblPr>
        <w:tblStyle w:val="a"/>
        <w:tblW w:w="97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6"/>
        <w:gridCol w:w="3879"/>
        <w:gridCol w:w="2240"/>
      </w:tblGrid>
      <w:tr w:rsidR="00807EBC">
        <w:tc>
          <w:tcPr>
            <w:tcW w:w="3585" w:type="dxa"/>
          </w:tcPr>
          <w:p w:rsidR="00807EBC" w:rsidRDefault="00747F35">
            <w:pPr>
              <w:spacing w:line="360" w:lineRule="auto"/>
              <w:ind w:right="-26"/>
              <w:jc w:val="center"/>
              <w:rPr>
                <w:rFonts w:ascii="Palatino Linotype" w:eastAsia="Palatino Linotype" w:hAnsi="Palatino Linotype" w:cs="Palatino Linotype"/>
                <w:b/>
                <w:bCs/>
              </w:rPr>
            </w:pPr>
            <w:r>
              <w:rPr>
                <w:rFonts w:ascii="Palatino Linotype" w:eastAsia="Palatino Linotype" w:hAnsi="Palatino Linotype" w:cs="Palatino Linotype"/>
                <w:b/>
                <w:bCs/>
              </w:rPr>
              <w:t>SOLICITUD</w:t>
            </w:r>
          </w:p>
        </w:tc>
        <w:tc>
          <w:tcPr>
            <w:tcW w:w="3879" w:type="dxa"/>
          </w:tcPr>
          <w:p w:rsidR="00807EBC" w:rsidRDefault="00747F35">
            <w:pPr>
              <w:spacing w:line="360" w:lineRule="auto"/>
              <w:ind w:right="-26"/>
              <w:jc w:val="center"/>
              <w:rPr>
                <w:rFonts w:ascii="Palatino Linotype" w:eastAsia="Palatino Linotype" w:hAnsi="Palatino Linotype" w:cs="Palatino Linotype"/>
                <w:b/>
                <w:bCs/>
              </w:rPr>
            </w:pPr>
            <w:r>
              <w:rPr>
                <w:rFonts w:ascii="Palatino Linotype" w:eastAsia="Palatino Linotype" w:hAnsi="Palatino Linotype" w:cs="Palatino Linotype"/>
                <w:b/>
                <w:bCs/>
              </w:rPr>
              <w:t>RESPUESTA</w:t>
            </w:r>
          </w:p>
        </w:tc>
        <w:tc>
          <w:tcPr>
            <w:tcW w:w="2240" w:type="dxa"/>
          </w:tcPr>
          <w:p w:rsidR="00807EBC" w:rsidRDefault="00747F35">
            <w:pPr>
              <w:spacing w:line="360" w:lineRule="auto"/>
              <w:ind w:right="-26"/>
              <w:jc w:val="center"/>
              <w:rPr>
                <w:rFonts w:ascii="Palatino Linotype" w:eastAsia="Palatino Linotype" w:hAnsi="Palatino Linotype" w:cs="Palatino Linotype"/>
                <w:b/>
                <w:bCs/>
              </w:rPr>
            </w:pPr>
            <w:r>
              <w:rPr>
                <w:rFonts w:ascii="Palatino Linotype" w:eastAsia="Palatino Linotype" w:hAnsi="Palatino Linotype" w:cs="Palatino Linotype"/>
                <w:b/>
                <w:bCs/>
              </w:rPr>
              <w:t>CUMPLIMIENTO</w:t>
            </w:r>
          </w:p>
        </w:tc>
      </w:tr>
      <w:tr w:rsidR="00807EBC">
        <w:tc>
          <w:tcPr>
            <w:tcW w:w="3585" w:type="dxa"/>
          </w:tcPr>
          <w:p w:rsidR="00807EBC" w:rsidRDefault="00747F35">
            <w:pPr>
              <w:spacing w:line="360" w:lineRule="auto"/>
              <w:ind w:right="-26"/>
              <w:jc w:val="both"/>
              <w:rPr>
                <w:rFonts w:ascii="Palatino Linotype" w:eastAsia="Palatino Linotype" w:hAnsi="Palatino Linotype" w:cs="Palatino Linotype"/>
              </w:rPr>
            </w:pPr>
            <w:r>
              <w:rPr>
                <w:rFonts w:ascii="Palatino Linotype" w:eastAsia="Palatino Linotype" w:hAnsi="Palatino Linotype" w:cs="Palatino Linotype"/>
              </w:rPr>
              <w:t>Padrón de vehículos, que incluya modelo, placas, color, kilometraje, montos otorgados para gasolina;</w:t>
            </w:r>
          </w:p>
          <w:p w:rsidR="00807EBC" w:rsidRDefault="00807EBC">
            <w:pPr>
              <w:spacing w:line="360" w:lineRule="auto"/>
              <w:ind w:right="-26"/>
              <w:jc w:val="both"/>
              <w:rPr>
                <w:rFonts w:ascii="Palatino Linotype" w:eastAsia="Palatino Linotype" w:hAnsi="Palatino Linotype" w:cs="Palatino Linotype"/>
              </w:rPr>
            </w:pPr>
          </w:p>
        </w:tc>
        <w:tc>
          <w:tcPr>
            <w:tcW w:w="3879" w:type="dxa"/>
          </w:tcPr>
          <w:p w:rsidR="00807EBC" w:rsidRDefault="00747F35">
            <w:pPr>
              <w:spacing w:line="360" w:lineRule="auto"/>
              <w:ind w:right="-26"/>
              <w:jc w:val="both"/>
              <w:rPr>
                <w:rFonts w:ascii="Palatino Linotype" w:eastAsia="Palatino Linotype" w:hAnsi="Palatino Linotype" w:cs="Palatino Linotype"/>
              </w:rPr>
            </w:pPr>
            <w:r>
              <w:rPr>
                <w:rFonts w:ascii="Palatino Linotype" w:eastAsia="Palatino Linotype" w:hAnsi="Palatino Linotype" w:cs="Palatino Linotype"/>
              </w:rPr>
              <w:t>Relación del parque vehicular del Instituto Municipal de la Mujer de Toluca, del año 2025.</w:t>
            </w:r>
          </w:p>
        </w:tc>
        <w:tc>
          <w:tcPr>
            <w:tcW w:w="2240" w:type="dxa"/>
          </w:tcPr>
          <w:p w:rsidR="00807EBC" w:rsidRDefault="00747F35">
            <w:pPr>
              <w:spacing w:line="360" w:lineRule="auto"/>
              <w:ind w:right="-26"/>
              <w:jc w:val="center"/>
              <w:rPr>
                <w:rFonts w:ascii="Palatino Linotype" w:eastAsia="Palatino Linotype" w:hAnsi="Palatino Linotype" w:cs="Palatino Linotype"/>
              </w:rPr>
            </w:pPr>
            <w:r>
              <w:rPr>
                <w:rFonts w:ascii="Palatino Linotype" w:eastAsia="Palatino Linotype" w:hAnsi="Palatino Linotype" w:cs="Palatino Linotype"/>
              </w:rPr>
              <w:t>Parcial</w:t>
            </w:r>
          </w:p>
        </w:tc>
      </w:tr>
      <w:tr w:rsidR="00807EBC">
        <w:tc>
          <w:tcPr>
            <w:tcW w:w="3585" w:type="dxa"/>
          </w:tcPr>
          <w:p w:rsidR="00807EBC" w:rsidRDefault="00747F35">
            <w:pPr>
              <w:spacing w:line="360" w:lineRule="auto"/>
              <w:ind w:right="-26"/>
              <w:jc w:val="both"/>
              <w:rPr>
                <w:rFonts w:ascii="Palatino Linotype" w:eastAsia="Palatino Linotype" w:hAnsi="Palatino Linotype" w:cs="Palatino Linotype"/>
              </w:rPr>
            </w:pPr>
            <w:r>
              <w:rPr>
                <w:rFonts w:ascii="Palatino Linotype" w:eastAsia="Palatino Linotype" w:hAnsi="Palatino Linotype" w:cs="Palatino Linotype"/>
              </w:rPr>
              <w:t>Hoja de resguardo, nombre del servidor público resguardatario y su licencia vigente al momento que quedó en su resguardo;</w:t>
            </w:r>
          </w:p>
          <w:p w:rsidR="00807EBC" w:rsidRDefault="00807EBC">
            <w:pPr>
              <w:spacing w:line="360" w:lineRule="auto"/>
              <w:ind w:right="-26"/>
              <w:jc w:val="both"/>
              <w:rPr>
                <w:rFonts w:ascii="Palatino Linotype" w:eastAsia="Palatino Linotype" w:hAnsi="Palatino Linotype" w:cs="Palatino Linotype"/>
              </w:rPr>
            </w:pPr>
          </w:p>
        </w:tc>
        <w:tc>
          <w:tcPr>
            <w:tcW w:w="3879" w:type="dxa"/>
          </w:tcPr>
          <w:p w:rsidR="00807EBC" w:rsidRDefault="00747F35">
            <w:pPr>
              <w:spacing w:line="360" w:lineRule="auto"/>
              <w:ind w:right="-26"/>
              <w:jc w:val="both"/>
              <w:rPr>
                <w:rFonts w:ascii="Palatino Linotype" w:eastAsia="Palatino Linotype" w:hAnsi="Palatino Linotype" w:cs="Palatino Linotype"/>
              </w:rPr>
            </w:pPr>
            <w:r>
              <w:rPr>
                <w:rFonts w:ascii="Palatino Linotype" w:eastAsia="Palatino Linotype" w:hAnsi="Palatino Linotype" w:cs="Palatino Linotype"/>
              </w:rPr>
              <w:t>Ocho hojas de asignación de vehículo, del Instituto Municipal de la Mujer de Toluca, del año 2025.</w:t>
            </w:r>
          </w:p>
        </w:tc>
        <w:tc>
          <w:tcPr>
            <w:tcW w:w="2240" w:type="dxa"/>
          </w:tcPr>
          <w:p w:rsidR="00807EBC" w:rsidRDefault="00747F35">
            <w:pPr>
              <w:spacing w:line="360" w:lineRule="auto"/>
              <w:ind w:right="-26"/>
              <w:jc w:val="center"/>
              <w:rPr>
                <w:rFonts w:ascii="Palatino Linotype" w:eastAsia="Palatino Linotype" w:hAnsi="Palatino Linotype" w:cs="Palatino Linotype"/>
              </w:rPr>
            </w:pPr>
            <w:r>
              <w:rPr>
                <w:rFonts w:ascii="Palatino Linotype" w:eastAsia="Palatino Linotype" w:hAnsi="Palatino Linotype" w:cs="Palatino Linotype"/>
              </w:rPr>
              <w:t>Parcial</w:t>
            </w:r>
          </w:p>
        </w:tc>
      </w:tr>
      <w:tr w:rsidR="00807EBC">
        <w:tc>
          <w:tcPr>
            <w:tcW w:w="3585" w:type="dxa"/>
          </w:tcPr>
          <w:p w:rsidR="00807EBC" w:rsidRDefault="00747F35">
            <w:pPr>
              <w:spacing w:line="360" w:lineRule="auto"/>
              <w:ind w:right="-26"/>
              <w:jc w:val="both"/>
              <w:rPr>
                <w:rFonts w:ascii="Palatino Linotype" w:eastAsia="Palatino Linotype" w:hAnsi="Palatino Linotype" w:cs="Palatino Linotype"/>
              </w:rPr>
            </w:pPr>
            <w:r>
              <w:rPr>
                <w:rFonts w:ascii="Palatino Linotype" w:eastAsia="Palatino Linotype" w:hAnsi="Palatino Linotype" w:cs="Palatino Linotype"/>
              </w:rPr>
              <w:lastRenderedPageBreak/>
              <w:t>Documento en que conste el uso del vehículo operativo o asignación directa;</w:t>
            </w:r>
          </w:p>
          <w:p w:rsidR="00807EBC" w:rsidRDefault="00807EBC">
            <w:pPr>
              <w:spacing w:line="360" w:lineRule="auto"/>
              <w:ind w:right="-26"/>
              <w:jc w:val="both"/>
              <w:rPr>
                <w:rFonts w:ascii="Palatino Linotype" w:eastAsia="Palatino Linotype" w:hAnsi="Palatino Linotype" w:cs="Palatino Linotype"/>
              </w:rPr>
            </w:pPr>
          </w:p>
        </w:tc>
        <w:tc>
          <w:tcPr>
            <w:tcW w:w="3879" w:type="dxa"/>
          </w:tcPr>
          <w:p w:rsidR="00807EBC" w:rsidRDefault="00747F35">
            <w:pPr>
              <w:spacing w:line="360" w:lineRule="auto"/>
              <w:ind w:right="-26"/>
              <w:jc w:val="both"/>
              <w:rPr>
                <w:rFonts w:ascii="Palatino Linotype" w:eastAsia="Palatino Linotype" w:hAnsi="Palatino Linotype" w:cs="Palatino Linotype"/>
              </w:rPr>
            </w:pPr>
            <w:r>
              <w:rPr>
                <w:rFonts w:ascii="Palatino Linotype" w:eastAsia="Palatino Linotype" w:hAnsi="Palatino Linotype" w:cs="Palatino Linotype"/>
              </w:rPr>
              <w:t>Sin pronunciamiento</w:t>
            </w:r>
          </w:p>
        </w:tc>
        <w:tc>
          <w:tcPr>
            <w:tcW w:w="2240" w:type="dxa"/>
          </w:tcPr>
          <w:p w:rsidR="00807EBC" w:rsidRDefault="00747F35">
            <w:pPr>
              <w:spacing w:line="360" w:lineRule="auto"/>
              <w:ind w:right="-26"/>
              <w:jc w:val="center"/>
              <w:rPr>
                <w:rFonts w:ascii="Palatino Linotype" w:eastAsia="Palatino Linotype" w:hAnsi="Palatino Linotype" w:cs="Palatino Linotype"/>
              </w:rPr>
            </w:pPr>
            <w:r>
              <w:rPr>
                <w:rFonts w:ascii="Palatino Linotype" w:eastAsia="Palatino Linotype" w:hAnsi="Palatino Linotype" w:cs="Palatino Linotype"/>
              </w:rPr>
              <w:t>Sin pronunciamiento</w:t>
            </w:r>
          </w:p>
        </w:tc>
      </w:tr>
      <w:tr w:rsidR="00807EBC">
        <w:tc>
          <w:tcPr>
            <w:tcW w:w="3585" w:type="dxa"/>
          </w:tcPr>
          <w:p w:rsidR="00807EBC" w:rsidRDefault="00747F35">
            <w:pPr>
              <w:spacing w:line="360" w:lineRule="auto"/>
              <w:ind w:right="-26"/>
              <w:jc w:val="both"/>
              <w:rPr>
                <w:rFonts w:ascii="Palatino Linotype" w:eastAsia="Palatino Linotype" w:hAnsi="Palatino Linotype" w:cs="Palatino Linotype"/>
              </w:rPr>
            </w:pPr>
            <w:r>
              <w:rPr>
                <w:rFonts w:ascii="Palatino Linotype" w:eastAsia="Palatino Linotype" w:hAnsi="Palatino Linotype" w:cs="Palatino Linotype"/>
              </w:rPr>
              <w:t>Las facturas de los vehículos, el costo de los vehículos, documento en que conste la renta o compra;</w:t>
            </w:r>
          </w:p>
          <w:p w:rsidR="00807EBC" w:rsidRDefault="00807EBC">
            <w:pPr>
              <w:spacing w:line="360" w:lineRule="auto"/>
              <w:ind w:right="-26"/>
              <w:jc w:val="both"/>
              <w:rPr>
                <w:rFonts w:ascii="Palatino Linotype" w:eastAsia="Palatino Linotype" w:hAnsi="Palatino Linotype" w:cs="Palatino Linotype"/>
              </w:rPr>
            </w:pPr>
          </w:p>
        </w:tc>
        <w:tc>
          <w:tcPr>
            <w:tcW w:w="3879" w:type="dxa"/>
          </w:tcPr>
          <w:p w:rsidR="00807EBC" w:rsidRDefault="00747F35">
            <w:pPr>
              <w:spacing w:line="360" w:lineRule="auto"/>
              <w:ind w:right="-26"/>
              <w:jc w:val="both"/>
              <w:rPr>
                <w:rFonts w:ascii="Palatino Linotype" w:eastAsia="Palatino Linotype" w:hAnsi="Palatino Linotype" w:cs="Palatino Linotype"/>
              </w:rPr>
            </w:pPr>
            <w:r>
              <w:rPr>
                <w:rFonts w:ascii="Palatino Linotype" w:eastAsia="Palatino Linotype" w:hAnsi="Palatino Linotype" w:cs="Palatino Linotype"/>
              </w:rPr>
              <w:t>Siete facturas de vehículos asignados al Instituto Municipal de la Mujer de Toluca.</w:t>
            </w:r>
          </w:p>
        </w:tc>
        <w:tc>
          <w:tcPr>
            <w:tcW w:w="2240" w:type="dxa"/>
          </w:tcPr>
          <w:p w:rsidR="00807EBC" w:rsidRDefault="00747F35">
            <w:pPr>
              <w:spacing w:line="360" w:lineRule="auto"/>
              <w:ind w:right="-26"/>
              <w:jc w:val="center"/>
              <w:rPr>
                <w:rFonts w:ascii="Palatino Linotype" w:eastAsia="Palatino Linotype" w:hAnsi="Palatino Linotype" w:cs="Palatino Linotype"/>
              </w:rPr>
            </w:pPr>
            <w:r>
              <w:rPr>
                <w:rFonts w:ascii="Palatino Linotype" w:eastAsia="Palatino Linotype" w:hAnsi="Palatino Linotype" w:cs="Palatino Linotype"/>
              </w:rPr>
              <w:t>Parcial</w:t>
            </w:r>
          </w:p>
        </w:tc>
      </w:tr>
      <w:tr w:rsidR="00807EBC">
        <w:tc>
          <w:tcPr>
            <w:tcW w:w="3585" w:type="dxa"/>
          </w:tcPr>
          <w:p w:rsidR="00807EBC" w:rsidRDefault="00747F35">
            <w:pPr>
              <w:spacing w:line="360" w:lineRule="auto"/>
              <w:ind w:right="-26"/>
              <w:jc w:val="both"/>
              <w:rPr>
                <w:rFonts w:ascii="Palatino Linotype" w:eastAsia="Palatino Linotype" w:hAnsi="Palatino Linotype" w:cs="Palatino Linotype"/>
              </w:rPr>
            </w:pPr>
            <w:r>
              <w:rPr>
                <w:rFonts w:ascii="Palatino Linotype" w:eastAsia="Palatino Linotype" w:hAnsi="Palatino Linotype" w:cs="Palatino Linotype"/>
              </w:rPr>
              <w:t>Las tarjetas de circulación, números de placas y estado del vehículo con fotografías y, lugar de estacionamiento asignado para resguardo.</w:t>
            </w:r>
          </w:p>
        </w:tc>
        <w:tc>
          <w:tcPr>
            <w:tcW w:w="3879" w:type="dxa"/>
          </w:tcPr>
          <w:p w:rsidR="00807EBC" w:rsidRDefault="00747F35">
            <w:pPr>
              <w:spacing w:line="360" w:lineRule="auto"/>
              <w:ind w:right="-26"/>
              <w:jc w:val="both"/>
              <w:rPr>
                <w:rFonts w:ascii="Palatino Linotype" w:eastAsia="Palatino Linotype" w:hAnsi="Palatino Linotype" w:cs="Palatino Linotype"/>
              </w:rPr>
            </w:pPr>
            <w:r>
              <w:rPr>
                <w:rFonts w:ascii="Palatino Linotype" w:eastAsia="Palatino Linotype" w:hAnsi="Palatino Linotype" w:cs="Palatino Linotype"/>
              </w:rPr>
              <w:t>Siete tarjetas de circulación de vehículos asignados al Instituto Municipal de la Mujer de Toluca.</w:t>
            </w:r>
          </w:p>
        </w:tc>
        <w:tc>
          <w:tcPr>
            <w:tcW w:w="2240" w:type="dxa"/>
          </w:tcPr>
          <w:p w:rsidR="00807EBC" w:rsidRDefault="00747F35">
            <w:pPr>
              <w:spacing w:line="360" w:lineRule="auto"/>
              <w:ind w:right="-26"/>
              <w:jc w:val="center"/>
              <w:rPr>
                <w:rFonts w:ascii="Palatino Linotype" w:eastAsia="Palatino Linotype" w:hAnsi="Palatino Linotype" w:cs="Palatino Linotype"/>
              </w:rPr>
            </w:pPr>
            <w:r>
              <w:rPr>
                <w:rFonts w:ascii="Palatino Linotype" w:eastAsia="Palatino Linotype" w:hAnsi="Palatino Linotype" w:cs="Palatino Linotype"/>
              </w:rPr>
              <w:t>Parcial</w:t>
            </w:r>
          </w:p>
        </w:tc>
      </w:tr>
    </w:tbl>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BD161C" w:rsidRDefault="00BD161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Como se advierte del cuadro de referencia, ningún rubro se tuvo por colmado de manera íntegra; asimismo, se advierte que no fue tomando en consideración el enlace de Internet proporcionado, ya que si bien es cierto, se encuentra en forma abierto; este dirige a la página de inicio de la Fracción XXXVIII A - Inventario de bienes muebles, del Artículo 92 de la Ley de la Materia, como se observa:</w:t>
      </w:r>
    </w:p>
    <w:p w:rsidR="00807EBC" w:rsidRDefault="00747F35">
      <w:pPr>
        <w:pBdr>
          <w:top w:val="nil"/>
          <w:left w:val="nil"/>
          <w:bottom w:val="nil"/>
          <w:right w:val="nil"/>
          <w:between w:val="nil"/>
        </w:pBd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extent cx="5612130" cy="163576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5612130" cy="1635760"/>
                    </a:xfrm>
                    <a:prstGeom prst="rect">
                      <a:avLst/>
                    </a:prstGeom>
                    <a:ln/>
                  </pic:spPr>
                </pic:pic>
              </a:graphicData>
            </a:graphic>
          </wp:inline>
        </w:drawing>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Luego entonces se incumple lo dispuesto por el Artículo 161 de la Ley de Transparencia y Acceso a la Información Pública del Estado de México y Municipios, el cual regula un supuesto conocido como orientación hacia información previamente publicada; su finalidad es evitar que el sujeto obligado tenga que volver a entregar información que ya se encuentra accesible al público, siempre que indique de manera clara y precisa dónde puede consultarse.</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sentido, el enlace entregado incumple que indique de manera clara dónde puede consultarse, pues al remitir sólo la página de inicio, implica que el solicitante deba realizar una búsqueda en todo el universo de información que allí obre; en todo caso se debió indicar los número de los registros en que obra puntualmente la información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refiere que ya está publicada para su consulta. Por tanto, se determina que el enlace entregado no satisface ningún rubro de la solicitud de información.</w:t>
      </w:r>
    </w:p>
    <w:p w:rsidR="00BD161C" w:rsidRDefault="00BD161C" w:rsidP="00BD161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Retomando, se tuvieron por parcialmente colmados los rubros así señalados; toda vez que lo entregado atañe únicamente al Instituto Municipal de la Mujer de Toluca, siendo que se solicitó de la totalidad de vehículos con que cuente el Ayuntamiento incluyendo los </w:t>
      </w:r>
      <w:r>
        <w:rPr>
          <w:rFonts w:ascii="Palatino Linotype" w:eastAsia="Palatino Linotype" w:hAnsi="Palatino Linotype" w:cs="Palatino Linotype"/>
        </w:rPr>
        <w:lastRenderedPageBreak/>
        <w:t>de servicios públicos, seguridad pública, de los asignados al Presidente Municipal y, con independencia, de si son arrendados o de su propiedad. Siendo evidente que la entrega de esa información es incompleta.</w:t>
      </w:r>
    </w:p>
    <w:p w:rsidR="00807EBC" w:rsidRDefault="00807EBC">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de la respuesta emitida, se desprende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acepta que cuenta con un parque vehicular, al remitir parte de lo solicitado de un área, lo que, consecuentemente, trae consigo, que se genere la información de la restante que se solicita. Sin embargo, ello no implica que se deje de realizar un análisis al respecto, por lo que se procede a manifestar las siguientes consideraciones.</w:t>
      </w:r>
    </w:p>
    <w:p w:rsidR="00807EBC" w:rsidRDefault="00807EBC">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Primeramente mencionar, que el artículo 90 del Bando Municipal de Toluca regula que la administración pública se integrará por las siguientes dependencias.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90.</w:t>
      </w:r>
      <w:r>
        <w:rPr>
          <w:rFonts w:ascii="Palatino Linotype" w:eastAsia="Palatino Linotype" w:hAnsi="Palatino Linotype" w:cs="Palatino Linotype"/>
          <w:i/>
          <w:iCs/>
        </w:rPr>
        <w:t xml:space="preserve"> 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 </w:t>
      </w:r>
    </w:p>
    <w:p w:rsidR="00807EBC" w:rsidRDefault="00747F35">
      <w:pPr>
        <w:spacing w:line="360" w:lineRule="auto"/>
        <w:ind w:left="567"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 DEPENDENCIAS: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1.Secretaría del Ayuntamiento;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2.Tesorería Municipal;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3.Órgano Interno de Control;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4.Dirección General de Gobierno;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5.Dirección General de Seguridad y Protección; </w:t>
      </w:r>
    </w:p>
    <w:p w:rsidR="00807EBC" w:rsidRDefault="00747F35">
      <w:pPr>
        <w:spacing w:line="360" w:lineRule="auto"/>
        <w:ind w:left="567"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6.Dirección General de Administración;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7.Dirección General de Medio Ambiente;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8.Dirección General de Servicios Públicos;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9.Dirección General de Innovación, Planeación y Gestión Urbana;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10.Dirección General de Obras Públicas;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11.Dirección General de Desarrollo Económico;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12.Dirección General de Bienestar; y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13.Dirección General de Educación, Cultura y Turismo.</w:t>
      </w:r>
    </w:p>
    <w:p w:rsidR="00807EBC" w:rsidRDefault="00807EBC">
      <w:pPr>
        <w:pBdr>
          <w:top w:val="nil"/>
          <w:left w:val="nil"/>
          <w:bottom w:val="nil"/>
          <w:right w:val="nil"/>
          <w:between w:val="nil"/>
        </w:pBdr>
        <w:spacing w:line="360" w:lineRule="auto"/>
        <w:ind w:right="-787"/>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se colige que el Ayuntamiento de Toluca cuenta dentro de su organización con la Dirección General de Administración quien de acuerdo con el artículo 92 fracción VI del Bando Municipal, tiene las siguientes funciones.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92.</w:t>
      </w:r>
      <w:r>
        <w:rPr>
          <w:rFonts w:ascii="Palatino Linotype" w:eastAsia="Palatino Linotype" w:hAnsi="Palatino Linotype" w:cs="Palatino Linotype"/>
          <w:i/>
          <w:iCs/>
        </w:rPr>
        <w:t xml:space="preserve"> La administración pública municipal será centralizada, descentralizada y autónoma. Para el ejercicio del poder público municipal, las personas titulares de las Direcciones Generales, los Organismos Descentralizados y el Órgano Autónomo tendrán las atribuciones y facultades que le otorguen las disposiciones legales aplicables a su campo de actuación y las que este Bando y el Código Reglamentario les confiera. </w:t>
      </w:r>
    </w:p>
    <w:p w:rsidR="00807EBC" w:rsidRDefault="00747F35">
      <w:pPr>
        <w:spacing w:line="360" w:lineRule="auto"/>
        <w:ind w:left="567" w:right="-787"/>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VI. La persona titular de la Dirección General de Administración es responsable de la gestión integral del capital humano del Ayuntamiento, coordinando el reclutamiento, contratación, capacitación y desarrollo del personal, así como la aplicación de las disposiciones laborales y sindicales. Supervisará la elaboración y distribución de la nómina, garantizando su apego a la normatividad y el presupuesto autorizado. </w:t>
      </w:r>
      <w:r>
        <w:rPr>
          <w:rFonts w:ascii="Palatino Linotype" w:eastAsia="Palatino Linotype" w:hAnsi="Palatino Linotype" w:cs="Palatino Linotype"/>
          <w:b/>
          <w:bCs/>
          <w:i/>
          <w:iCs/>
        </w:rPr>
        <w:t xml:space="preserve">Dirigirá los procesos de adquisición, arrendamiento y contratación de servicios, asegurando la eficiencia y transparencia en el uso de los recursos públicos. Administrará el parque vehicular, los bienes municipales y la logística de eventos públicos e implementará políticas de gobierno </w:t>
      </w:r>
      <w:r>
        <w:rPr>
          <w:rFonts w:ascii="Palatino Linotype" w:eastAsia="Palatino Linotype" w:hAnsi="Palatino Linotype" w:cs="Palatino Linotype"/>
          <w:b/>
          <w:bCs/>
          <w:i/>
          <w:iCs/>
        </w:rPr>
        <w:lastRenderedPageBreak/>
        <w:t>digital y normativas para el uso de tecnologías de la información, promoviendo la eficiencia operativa de la administración pública municipal.</w:t>
      </w:r>
    </w:p>
    <w:p w:rsidR="00807EBC" w:rsidRDefault="00807EBC">
      <w:pPr>
        <w:spacing w:line="360" w:lineRule="auto"/>
        <w:ind w:left="567" w:right="-787"/>
        <w:jc w:val="both"/>
        <w:rPr>
          <w:rFonts w:ascii="Palatino Linotype" w:eastAsia="Palatino Linotype" w:hAnsi="Palatino Linotype" w:cs="Palatino Linotype"/>
          <w:b/>
          <w:bCs/>
          <w:i/>
          <w:iCs/>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esa línea, se tiene que la Dirección General de Administración dentro de sus funciones tiene las de dirigir los procesos de adquisición y arrendamiento, así como de administrar el parque vehicular. </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Seguidamente, se debe de analizar que la Dirección General de Administración se integra de la siguiente manera de acuerdo con su propio manual de organización. </w:t>
      </w:r>
    </w:p>
    <w:p w:rsidR="00807EBC" w:rsidRDefault="00747F35">
      <w:pPr>
        <w:spacing w:line="360" w:lineRule="auto"/>
        <w:ind w:right="-787"/>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extent cx="2769238" cy="2464053"/>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769238" cy="2464053"/>
                    </a:xfrm>
                    <a:prstGeom prst="rect">
                      <a:avLst/>
                    </a:prstGeom>
                    <a:ln/>
                  </pic:spPr>
                </pic:pic>
              </a:graphicData>
            </a:graphic>
          </wp:inline>
        </w:drawing>
      </w: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Del organigrama colocado, se tiene que la Dirección General de Administración para su funcionamiento cuenta con la Dirección de Recursos Materiales y la Dirección de Servicios Generales, quienes tienen las siguientes funciones. </w:t>
      </w:r>
    </w:p>
    <w:p w:rsidR="00BD161C" w:rsidRDefault="00BD161C" w:rsidP="00BD161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cuanto hace a la Dirección de Recursos Materiales el Manual General de Organización de la Dirección General de Administración tiene las siguientes funciones. </w:t>
      </w:r>
    </w:p>
    <w:p w:rsidR="00807EBC" w:rsidRDefault="00747F35">
      <w:pPr>
        <w:spacing w:line="360" w:lineRule="auto"/>
        <w:ind w:left="567"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 xml:space="preserve">206011000 Dirección de Recursos Materiales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Objetivo</w:t>
      </w:r>
      <w:r>
        <w:rPr>
          <w:rFonts w:ascii="Palatino Linotype" w:eastAsia="Palatino Linotype" w:hAnsi="Palatino Linotype" w:cs="Palatino Linotype"/>
          <w:i/>
          <w:iCs/>
        </w:rPr>
        <w:t xml:space="preserve">: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Planear, supervisar y cumplir con los procedimientos administrativos relativos a la adquisición de bienes y contratación de servicios, requeridos por las dependencias y órgano desconcentrado de la administración pública municipal para el desempeño óptimo y eficiente de las funciones a su cargo.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Funciones: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Planear, organizar y coordinar el Programa Anual de Adquisiciones de Bienes y Servicios, para la compra y entrega oportuna a las unidades administrativas;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Instruir que el Departamento de Adquisiciones mantenga actualizado constantemente el catálogo de artículos, con la finalidad de considerar en los procedimientos administrativos de adquisición de bienes y servicios a los que ofrezcan las mejores condiciones y precio para la administración pública municipal;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3. Instruir la implementación de mecanismos que permitan realizar estudios de mercado y precios de referencia con la finalidad de garantizar las condiciones de compra en términos económicos, de calidad, cantidad y pertinencia para la administración pública municipal; </w:t>
      </w:r>
    </w:p>
    <w:p w:rsidR="00807EBC" w:rsidRDefault="00747F35">
      <w:pPr>
        <w:spacing w:line="360" w:lineRule="auto"/>
        <w:ind w:left="567"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4. Supervisar que los procedimientos de adquisición se desarrollen en apego a los principios de eficiencia, eficacia, imparcialidad, transparencia y honradez a efecto de proveer oportunamente los bienes y servicios necesarios para el desarrollo de las actividades de las dependencias y órgano desconcentrado; </w:t>
      </w:r>
    </w:p>
    <w:p w:rsidR="00807EBC" w:rsidRDefault="00747F35">
      <w:pPr>
        <w:spacing w:line="360" w:lineRule="auto"/>
        <w:ind w:left="567"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5. Elaborar y suscribir los contratos relativos a la adquisición de bienes y servicios, así como los de arrendamiento, adquisición y enajenación de inmuebles de competencia municipal;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6. Analizar y autorizar la aplicación de penas convencionales derivadas del incumplimiento en cuanto a fechas de entrega o características, de bienes o suministros o prestación de servicios, respecto de aquellos proveedores que celebraron algún tipo de contrato con la administración pública municipal, con la finalidad de evitar afectaciones a la Hacienda Municipal;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7. Someter a consideración de la Consejería Jurídica el clausulado de los contratos de adquisición de bienes y servicios, arrendamientos y enajenaciones de bienes muebles para su validación, con la finalidad de que estos se encuentren debidamente fundados y soportados conforme a la normatividad aplicable al momento de su formalización; </w:t>
      </w:r>
    </w:p>
    <w:p w:rsidR="00807EBC" w:rsidRDefault="00747F35">
      <w:pPr>
        <w:spacing w:line="360" w:lineRule="auto"/>
        <w:ind w:left="567"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8. Establecer mecanismos para el control de entrada,</w:t>
      </w:r>
      <w:r>
        <w:rPr>
          <w:rFonts w:ascii="Palatino Linotype" w:eastAsia="Palatino Linotype" w:hAnsi="Palatino Linotype" w:cs="Palatino Linotype"/>
          <w:b/>
          <w:bCs/>
          <w:i/>
          <w:iCs/>
          <w:u w:val="single"/>
        </w:rPr>
        <w:t xml:space="preserve"> resguardo</w:t>
      </w:r>
      <w:r>
        <w:rPr>
          <w:rFonts w:ascii="Palatino Linotype" w:eastAsia="Palatino Linotype" w:hAnsi="Palatino Linotype" w:cs="Palatino Linotype"/>
          <w:b/>
          <w:bCs/>
          <w:i/>
          <w:iCs/>
        </w:rPr>
        <w:t xml:space="preserve"> y salida de bienes y suministros del almacén general, almacenes y subalmacenes, así como realizar periódicamente inventarios, con la finalidad de contar con un control adecuado al momento de su distribución entre las diferentes áreas de la administración pública municipal;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9. Instruir que el Departamento de Programación de Comités mantenga actualizado constantemente el Catálogo General de Proveedores, con la finalidad de considerar en los procedimientos administrativos de adquisición de bienes y servicios a los que ofrezcan las mejores condiciones y precio para la administración pública municipal; y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10. Realizar todas aquellas actividades que sean inherentes y aplicables al área de su competencia</w:t>
      </w: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se tiene que la Dirección de Recursos Materiales dentro de sus funciones tiene las de elaborar y suscribir los contratos relativos a la adquisición de bienes y servicios, así como los de arrendamiento, adquisición y enajenación de inmuebles de competencia municipal, así como de establecer mecanismos para el control de entrada, resguardo y salida de bienes y suministros del almacén general, almacenes y subalmacenes, </w:t>
      </w:r>
      <w:r>
        <w:rPr>
          <w:rFonts w:ascii="Palatino Linotype" w:eastAsia="Palatino Linotype" w:hAnsi="Palatino Linotype" w:cs="Palatino Linotype"/>
        </w:rPr>
        <w:lastRenderedPageBreak/>
        <w:t xml:space="preserve">así como realizar periódicamente inventarios, con la finalidad de contar con un control adecuado al momento de su distribución entre las diferentes áreas de la administración pública municipal; situación por la cual se colige que es el departamento que puede contar con las </w:t>
      </w:r>
      <w:r>
        <w:rPr>
          <w:rFonts w:ascii="Palatino Linotype" w:eastAsia="Palatino Linotype" w:hAnsi="Palatino Linotype" w:cs="Palatino Linotype"/>
          <w:b/>
          <w:bCs/>
        </w:rPr>
        <w:t xml:space="preserve">facturas de los vehículos que forman parte del parque vehicular del Ayuntamiento de Toluca, </w:t>
      </w:r>
      <w:r>
        <w:rPr>
          <w:rFonts w:ascii="Palatino Linotype" w:eastAsia="Palatino Linotype" w:hAnsi="Palatino Linotype" w:cs="Palatino Linotype"/>
        </w:rPr>
        <w:t xml:space="preserve">toda vez que es quien desarrolla, implementa y ejecuta los procedimientos adquisitivos, situación por la cual se tiene que las facturas de las comprar forman parte de los documentos de los procesos de adquisición, situación por la cual se tiene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si cuenta con las facturas de los vehículos que forman parte del padrón vehicular. </w:t>
      </w:r>
    </w:p>
    <w:p w:rsidR="00807EBC" w:rsidRDefault="00807EBC">
      <w:pP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de las </w:t>
      </w:r>
      <w:r>
        <w:rPr>
          <w:rFonts w:ascii="Palatino Linotype" w:eastAsia="Palatino Linotype" w:hAnsi="Palatino Linotype" w:cs="Palatino Linotype"/>
          <w:b/>
          <w:bCs/>
          <w:color w:val="000000"/>
        </w:rPr>
        <w:t>facturas</w:t>
      </w:r>
      <w:r>
        <w:rPr>
          <w:rFonts w:ascii="Palatino Linotype" w:eastAsia="Palatino Linotype" w:hAnsi="Palatino Linotype" w:cs="Palatino Linotype"/>
          <w:color w:val="000000"/>
        </w:rPr>
        <w:t xml:space="preserve"> resulta oportuno traer a contexto, la información publicada por la </w:t>
      </w:r>
      <w:r>
        <w:rPr>
          <w:rFonts w:ascii="Palatino Linotype" w:eastAsia="Palatino Linotype" w:hAnsi="Palatino Linotype" w:cs="Palatino Linotype"/>
        </w:rPr>
        <w:t>Secretaría</w:t>
      </w:r>
      <w:r>
        <w:rPr>
          <w:rFonts w:ascii="Palatino Linotype" w:eastAsia="Palatino Linotype" w:hAnsi="Palatino Linotype" w:cs="Palatino Linotype"/>
          <w:color w:val="000000"/>
        </w:rPr>
        <w:t xml:space="preserve"> de Hacienda y Crédito Público, referente al Servicio de Administración Tributaria (SAT), en donde se advierte los requisitos que deben reunir las facturas emitidas, de conformidad con lo siguiente:</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Requisitos que deben reunir las facturas que recibas</w:t>
      </w:r>
      <w:r>
        <w:rPr>
          <w:rFonts w:ascii="Palatino Linotype" w:eastAsia="Palatino Linotype" w:hAnsi="Palatino Linotype" w:cs="Palatino Linotype"/>
          <w:i/>
          <w:iCs/>
        </w:rPr>
        <w:t>:</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u w:val="single"/>
        </w:rPr>
        <w:t>Clave del Registro Federal de Contribuyentes de quien los expida</w:t>
      </w:r>
      <w:r>
        <w:rPr>
          <w:rFonts w:ascii="Palatino Linotype" w:eastAsia="Palatino Linotype" w:hAnsi="Palatino Linotype" w:cs="Palatino Linotype"/>
          <w:i/>
          <w:iCs/>
        </w:rPr>
        <w:t>.</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Régimen Fiscal en que tributen conforme a la Ley del ISR.</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Sí se tiene más de un local o establecimiento, se deberá señalar el domicilio del local o establecimiento en el que se expidan las Facturas.</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Contener el número de folio asignado por el SAT y el sello digital del SAT.</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u w:val="single"/>
        </w:rPr>
        <w:t>Sello digital del contribuyente que lo expide</w:t>
      </w:r>
      <w:r>
        <w:rPr>
          <w:rFonts w:ascii="Palatino Linotype" w:eastAsia="Palatino Linotype" w:hAnsi="Palatino Linotype" w:cs="Palatino Linotype"/>
          <w:i/>
          <w:iCs/>
        </w:rPr>
        <w:t>.</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Lugar y fecha de expedición.</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Clave del Registro Federal de Contribuyentes de la persona a favor de quien se expida.</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Cantidad, unidad de medida y clase de los bienes, mercancías o descripción del servicio o del uso o goce que amparen.</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Valor unitario consignado en número.</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Importe total señalado en número o en letra.</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Señalamiento expreso cuando la prestación se pague en una sola exhibición o en parcialidades.</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Cuando proceda, se indicará el monto de los impuestos trasladados, desglosados por tasa de impuesto y, en su caso, el monto de los impuestos retenidos.</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Forma en que se realizó el pago (efectivo, transferencia electrónica de fondos, cheque nominativos o tarjeta de débito, de crédito, de servicio o la denominada monedero electrónico que autorice el Servicio de Administración Tributaria).</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Número y fecha del documento aduanero, tratándose de ventas de primera mano de mercancías de importación.</w:t>
      </w:r>
    </w:p>
    <w:p w:rsidR="00807EBC" w:rsidRDefault="00747F35">
      <w:pPr>
        <w:spacing w:line="360" w:lineRule="auto"/>
        <w:ind w:left="567" w:right="-787"/>
        <w:rPr>
          <w:rFonts w:ascii="Palatino Linotype" w:eastAsia="Palatino Linotype" w:hAnsi="Palatino Linotype" w:cs="Palatino Linotype"/>
          <w:i/>
          <w:iCs/>
        </w:rPr>
      </w:pPr>
      <w:r>
        <w:rPr>
          <w:rFonts w:ascii="Palatino Linotype" w:eastAsia="Palatino Linotype" w:hAnsi="Palatino Linotype" w:cs="Palatino Linotype"/>
          <w:b/>
          <w:bCs/>
          <w:i/>
          <w:iCs/>
        </w:rPr>
        <w:t>Además, debe contener los siguientes datos:</w:t>
      </w:r>
      <w:r>
        <w:rPr>
          <w:rFonts w:ascii="Palatino Linotype" w:eastAsia="Palatino Linotype" w:hAnsi="Palatino Linotype" w:cs="Palatino Linotype"/>
          <w:b/>
          <w:bCs/>
          <w:i/>
          <w:iCs/>
        </w:rPr>
        <w:br/>
        <w:t>a) Fecha y hora de certificación.</w:t>
      </w:r>
      <w:r>
        <w:rPr>
          <w:rFonts w:ascii="Palatino Linotype" w:eastAsia="Palatino Linotype" w:hAnsi="Palatino Linotype" w:cs="Palatino Linotype"/>
          <w:b/>
          <w:bCs/>
          <w:i/>
          <w:iCs/>
        </w:rPr>
        <w:br/>
        <w:t>b) Número de serie del certificado digital del SAT con el que se realizó el sellado</w:t>
      </w:r>
      <w:r>
        <w:rPr>
          <w:rFonts w:ascii="Palatino Linotype" w:eastAsia="Palatino Linotype" w:hAnsi="Palatino Linotype" w:cs="Palatino Linotype"/>
          <w:i/>
          <w:iCs/>
        </w:rPr>
        <w:t>.</w:t>
      </w:r>
    </w:p>
    <w:p w:rsidR="00807EBC" w:rsidRDefault="00807EBC">
      <w:pPr>
        <w:spacing w:line="360" w:lineRule="auto"/>
        <w:ind w:right="-787"/>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Por otro lado, es necesario precisar que al ser entregadas las facturas se entregará el costo de las unidades, situación por la cual entregar la factura se colma el rubro relativo al costo; pero si eventualmente se cuenta con autos en arrendamiento, inciertamente puede no contar con facturas, pero si un documento diverso que dé cuenta del costo de las unidades, como por ejemplo de manera enunciativa más no limitativa el contrato de arrendamiento.</w:t>
      </w:r>
    </w:p>
    <w:p w:rsidR="00807EBC" w:rsidRDefault="00807EBC">
      <w:pP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Ahora bien, se debe de referir que de los datos de las facturas pueden obrar datos </w:t>
      </w:r>
      <w:r>
        <w:rPr>
          <w:rFonts w:ascii="Palatino Linotype" w:eastAsia="Palatino Linotype" w:hAnsi="Palatino Linotype" w:cs="Palatino Linotype"/>
        </w:rPr>
        <w:t>personales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susceptibles</w:t>
      </w:r>
      <w:r>
        <w:rPr>
          <w:rFonts w:ascii="Palatino Linotype" w:eastAsia="Palatino Linotype" w:hAnsi="Palatino Linotype" w:cs="Palatino Linotype"/>
          <w:color w:val="000000"/>
        </w:rPr>
        <w:t xml:space="preserve"> de clasificarse como lo son, la clave de elector, </w:t>
      </w:r>
      <w:r>
        <w:rPr>
          <w:rFonts w:ascii="Palatino Linotype" w:eastAsia="Palatino Linotype" w:hAnsi="Palatino Linotype" w:cs="Palatino Linotype"/>
          <w:b/>
          <w:bCs/>
          <w:color w:val="000000"/>
        </w:rPr>
        <w:t>teléfono particular</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 xml:space="preserve">correo electrónico personal, </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Clave Única de Registro de Población (CURP</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rPr>
        <w:t>número</w:t>
      </w:r>
      <w:r>
        <w:rPr>
          <w:rFonts w:ascii="Palatino Linotype" w:eastAsia="Palatino Linotype" w:hAnsi="Palatino Linotype" w:cs="Palatino Linotype"/>
          <w:b/>
          <w:bCs/>
          <w:color w:val="000000"/>
        </w:rPr>
        <w:t xml:space="preserve"> de pasaporte</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cuenta bancaria del proveedor</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banco y sucursal del proveedor</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clave interbancaria del proveedor</w:t>
      </w:r>
      <w:r>
        <w:rPr>
          <w:rFonts w:ascii="Palatino Linotype" w:eastAsia="Palatino Linotype" w:hAnsi="Palatino Linotype" w:cs="Palatino Linotype"/>
          <w:color w:val="000000"/>
        </w:rPr>
        <w:t xml:space="preserve">, es así que, por lo que hace al nombre del servidor público, nombre, denominación o razón social del proveedor, nombre del apoderado o representante legal, domicilio fiscal, </w:t>
      </w:r>
      <w:r>
        <w:rPr>
          <w:rFonts w:ascii="Palatino Linotype" w:eastAsia="Palatino Linotype" w:hAnsi="Palatino Linotype" w:cs="Palatino Linotype"/>
          <w:b/>
          <w:bCs/>
          <w:color w:val="000000"/>
        </w:rPr>
        <w:t>teléfono empresarial o institucional,</w:t>
      </w:r>
      <w:r>
        <w:rPr>
          <w:rFonts w:ascii="Palatino Linotype" w:eastAsia="Palatino Linotype" w:hAnsi="Palatino Linotype" w:cs="Palatino Linotype"/>
          <w:color w:val="000000"/>
        </w:rPr>
        <w:t xml:space="preserve"> firmas, y RFC se consideran datos personales públicos. </w:t>
      </w:r>
    </w:p>
    <w:p w:rsidR="00807EBC" w:rsidRDefault="00807EBC">
      <w:pPr>
        <w:pBdr>
          <w:top w:val="nil"/>
          <w:left w:val="nil"/>
          <w:bottom w:val="nil"/>
          <w:right w:val="nil"/>
          <w:between w:val="nil"/>
        </w:pBdr>
        <w:ind w:left="720" w:right="-787"/>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Cobra</w:t>
      </w:r>
      <w:r>
        <w:rPr>
          <w:rFonts w:ascii="Palatino Linotype" w:eastAsia="Palatino Linotype" w:hAnsi="Palatino Linotype" w:cs="Palatino Linotype"/>
          <w:color w:val="000000"/>
        </w:rPr>
        <w:t xml:space="preserve"> sustento lo anterior, con el criterio 01/19 reiterado vigente del entonces INAI, que refiere lo siguiente:</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Datos de identificación del representante o apoderado legal.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Naturaleza jurídica. </w:t>
      </w:r>
      <w:r>
        <w:rPr>
          <w:rFonts w:ascii="Palatino Linotype" w:eastAsia="Palatino Linotype" w:hAnsi="Palatino Linotype" w:cs="Palatino Linotype"/>
          <w:i/>
          <w:iCs/>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rsidR="00807EBC" w:rsidRDefault="00807EBC">
      <w:pPr>
        <w:tabs>
          <w:tab w:val="left" w:pos="7371"/>
        </w:tabs>
        <w:spacing w:line="360" w:lineRule="auto"/>
        <w:ind w:right="-787"/>
        <w:jc w:val="both"/>
        <w:rPr>
          <w:rFonts w:ascii="Palatino Linotype" w:eastAsia="Palatino Linotype" w:hAnsi="Palatino Linotype" w:cs="Palatino Linotype"/>
          <w:i/>
          <w:iCs/>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Del</w:t>
      </w:r>
      <w:r>
        <w:rPr>
          <w:rFonts w:ascii="Palatino Linotype" w:eastAsia="Palatino Linotype" w:hAnsi="Palatino Linotype" w:cs="Palatino Linotype"/>
          <w:color w:val="000000"/>
        </w:rPr>
        <w:t xml:space="preserve"> Folio fiscal, Número de serie CSD del emisor, Sello digital del contribuyente </w:t>
      </w:r>
      <w:r>
        <w:rPr>
          <w:rFonts w:ascii="Palatino Linotype" w:eastAsia="Palatino Linotype" w:hAnsi="Palatino Linotype" w:cs="Palatino Linotype"/>
        </w:rPr>
        <w:t>emisor</w:t>
      </w:r>
      <w:r>
        <w:rPr>
          <w:rFonts w:ascii="Palatino Linotype" w:eastAsia="Palatino Linotype" w:hAnsi="Palatino Linotype" w:cs="Palatino Linotype"/>
          <w:color w:val="000000"/>
        </w:rPr>
        <w:t xml:space="preserve">, Número de serie del CSD del SAT, Sello digital del SA y Cadena original de complemento de certificación digital SAT. </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6" w:name="_heading=h.2z9jwqn7dp2n" w:colFirst="0" w:colLast="0"/>
      <w:bookmarkEnd w:id="6"/>
      <w:r>
        <w:rPr>
          <w:rFonts w:ascii="Palatino Linotype" w:eastAsia="Palatino Linotype" w:hAnsi="Palatino Linotype" w:cs="Palatino Linotype"/>
          <w:color w:val="000000"/>
        </w:rPr>
        <w:t xml:space="preserve">De conformidad con la regla 2.7.1.7 de Resolución Miscelánea Fiscal para 2019, para los efectos del artículo 29 segundo párrafo fracción V del Código Fiscal de la Federación, las representaciones impresas del Comprobante Fiscal Digital por </w:t>
      </w:r>
      <w:r>
        <w:rPr>
          <w:rFonts w:ascii="Palatino Linotype" w:eastAsia="Palatino Linotype" w:hAnsi="Palatino Linotype" w:cs="Palatino Linotype"/>
        </w:rPr>
        <w:t>Internet</w:t>
      </w:r>
      <w:r>
        <w:rPr>
          <w:rFonts w:ascii="Palatino Linotype" w:eastAsia="Palatino Linotype" w:hAnsi="Palatino Linotype" w:cs="Palatino Linotype"/>
          <w:color w:val="000000"/>
        </w:rPr>
        <w:t xml:space="preserve"> o CFDI, deben </w:t>
      </w:r>
      <w:r>
        <w:rPr>
          <w:rFonts w:ascii="Palatino Linotype" w:eastAsia="Palatino Linotype" w:hAnsi="Palatino Linotype" w:cs="Palatino Linotype"/>
          <w:color w:val="000000"/>
        </w:rPr>
        <w:lastRenderedPageBreak/>
        <w:t xml:space="preserve">cumplir con los requisitos señalados en el artículo 29-A del Código Fiscal de la Federación, y contener lo siguiente: </w:t>
      </w:r>
    </w:p>
    <w:p w:rsidR="00807EBC" w:rsidRDefault="00747F35">
      <w:pPr>
        <w:spacing w:line="360" w:lineRule="auto"/>
        <w:ind w:left="567" w:right="-787"/>
        <w:jc w:val="both"/>
        <w:rPr>
          <w:rFonts w:ascii="Palatino Linotype" w:eastAsia="Palatino Linotype" w:hAnsi="Palatino Linotype" w:cs="Palatino Linotype"/>
          <w:i/>
          <w:iCs/>
        </w:rPr>
      </w:pPr>
      <w:bookmarkStart w:id="7" w:name="_heading=h.jn7wityzmbc9" w:colFirst="0" w:colLast="0"/>
      <w:bookmarkEnd w:id="7"/>
      <w:r>
        <w:rPr>
          <w:rFonts w:ascii="Palatino Linotype" w:eastAsia="Palatino Linotype" w:hAnsi="Palatino Linotype" w:cs="Palatino Linotype"/>
          <w:i/>
          <w:iCs/>
        </w:rPr>
        <w:t>“I. Código de barras generado conforme a la especificación técnica que se establece en el rubro I.D del Anexo 20 o el número de folio fiscal del comprobante.</w:t>
      </w:r>
    </w:p>
    <w:p w:rsidR="00807EBC" w:rsidRDefault="00747F35">
      <w:pPr>
        <w:spacing w:line="360" w:lineRule="auto"/>
        <w:ind w:left="567" w:right="-787"/>
        <w:jc w:val="both"/>
        <w:rPr>
          <w:rFonts w:ascii="Palatino Linotype" w:eastAsia="Palatino Linotype" w:hAnsi="Palatino Linotype" w:cs="Palatino Linotype"/>
          <w:i/>
          <w:iCs/>
        </w:rPr>
      </w:pPr>
      <w:bookmarkStart w:id="8" w:name="_heading=h.t35j6so4838j" w:colFirst="0" w:colLast="0"/>
      <w:bookmarkEnd w:id="8"/>
      <w:r>
        <w:rPr>
          <w:rFonts w:ascii="Palatino Linotype" w:eastAsia="Palatino Linotype" w:hAnsi="Palatino Linotype" w:cs="Palatino Linotype"/>
          <w:i/>
          <w:iCs/>
        </w:rPr>
        <w:t xml:space="preserve">II. Número de serie del CSD del emisor y del SAT, que establecen los rubros I.A y III.B del Anexo 20. </w:t>
      </w:r>
    </w:p>
    <w:p w:rsidR="00807EBC" w:rsidRDefault="00747F35">
      <w:pPr>
        <w:spacing w:line="360" w:lineRule="auto"/>
        <w:ind w:left="567" w:right="-787"/>
        <w:jc w:val="both"/>
        <w:rPr>
          <w:rFonts w:ascii="Palatino Linotype" w:eastAsia="Palatino Linotype" w:hAnsi="Palatino Linotype" w:cs="Palatino Linotype"/>
          <w:i/>
          <w:iCs/>
        </w:rPr>
      </w:pPr>
      <w:bookmarkStart w:id="9" w:name="_heading=h.ofsgmw2ltcti" w:colFirst="0" w:colLast="0"/>
      <w:bookmarkEnd w:id="9"/>
      <w:r>
        <w:rPr>
          <w:rFonts w:ascii="Palatino Linotype" w:eastAsia="Palatino Linotype" w:hAnsi="Palatino Linotype" w:cs="Palatino Linotype"/>
          <w:i/>
          <w:iCs/>
        </w:rPr>
        <w:t xml:space="preserve">III. La leyenda: “Este documento es una representación impresa de un CFDI” </w:t>
      </w:r>
    </w:p>
    <w:p w:rsidR="00807EBC" w:rsidRDefault="00747F35">
      <w:pPr>
        <w:spacing w:line="360" w:lineRule="auto"/>
        <w:ind w:left="567" w:right="-787"/>
        <w:jc w:val="both"/>
        <w:rPr>
          <w:rFonts w:ascii="Palatino Linotype" w:eastAsia="Palatino Linotype" w:hAnsi="Palatino Linotype" w:cs="Palatino Linotype"/>
          <w:i/>
          <w:iCs/>
        </w:rPr>
      </w:pPr>
      <w:bookmarkStart w:id="10" w:name="_heading=h.6md85qnj95ht" w:colFirst="0" w:colLast="0"/>
      <w:bookmarkEnd w:id="10"/>
      <w:r>
        <w:rPr>
          <w:rFonts w:ascii="Palatino Linotype" w:eastAsia="Palatino Linotype" w:hAnsi="Palatino Linotype" w:cs="Palatino Linotype"/>
          <w:i/>
          <w:iCs/>
        </w:rPr>
        <w:t xml:space="preserve">IV. Fecha y hora de emisión y de certificación del CFDI en adición a lo señalado en el artículo 29- A, fracción III del CFF. </w:t>
      </w:r>
    </w:p>
    <w:p w:rsidR="00807EBC" w:rsidRDefault="00747F35">
      <w:pPr>
        <w:spacing w:line="360" w:lineRule="auto"/>
        <w:ind w:left="567" w:right="-787"/>
        <w:jc w:val="both"/>
        <w:rPr>
          <w:rFonts w:ascii="Palatino Linotype" w:eastAsia="Palatino Linotype" w:hAnsi="Palatino Linotype" w:cs="Palatino Linotype"/>
          <w:i/>
          <w:iCs/>
        </w:rPr>
      </w:pPr>
      <w:bookmarkStart w:id="11" w:name="_heading=h.gkcdl3o797mw" w:colFirst="0" w:colLast="0"/>
      <w:bookmarkEnd w:id="11"/>
      <w:r>
        <w:rPr>
          <w:rFonts w:ascii="Palatino Linotype" w:eastAsia="Palatino Linotype" w:hAnsi="Palatino Linotype" w:cs="Palatino Linotype"/>
          <w:i/>
          <w:iCs/>
        </w:rPr>
        <w:t xml:space="preserve">V. Cadena original del complemento de certificación digital del SAT. </w:t>
      </w:r>
    </w:p>
    <w:p w:rsidR="00807EBC" w:rsidRDefault="00747F35">
      <w:pPr>
        <w:spacing w:line="360" w:lineRule="auto"/>
        <w:ind w:left="567" w:right="-787"/>
        <w:jc w:val="both"/>
        <w:rPr>
          <w:rFonts w:ascii="Palatino Linotype" w:eastAsia="Palatino Linotype" w:hAnsi="Palatino Linotype" w:cs="Palatino Linotype"/>
          <w:i/>
          <w:iCs/>
        </w:rPr>
      </w:pPr>
      <w:bookmarkStart w:id="12" w:name="_heading=h.obomck3iidb7" w:colFirst="0" w:colLast="0"/>
      <w:bookmarkEnd w:id="12"/>
      <w:r>
        <w:rPr>
          <w:rFonts w:ascii="Palatino Linotype" w:eastAsia="Palatino Linotype" w:hAnsi="Palatino Linotype" w:cs="Palatino Linotype"/>
          <w:i/>
          <w:iCs/>
        </w:rPr>
        <w:t xml:space="preserve">VI. Tratándose de las representaciones impresas del CFDI que amparen retenciones e información de pagos emitidos conforme a lo dispuesto en la regla 2.7.5.4., adicional a lo anteriormente señalado deberán incluir: </w:t>
      </w:r>
    </w:p>
    <w:p w:rsidR="00807EBC" w:rsidRDefault="00747F35">
      <w:pPr>
        <w:spacing w:line="360" w:lineRule="auto"/>
        <w:ind w:left="567" w:right="-787"/>
        <w:jc w:val="both"/>
        <w:rPr>
          <w:rFonts w:ascii="Palatino Linotype" w:eastAsia="Palatino Linotype" w:hAnsi="Palatino Linotype" w:cs="Palatino Linotype"/>
          <w:i/>
          <w:iCs/>
        </w:rPr>
      </w:pPr>
      <w:bookmarkStart w:id="13" w:name="_heading=h.n6ygx4z7u7iu" w:colFirst="0" w:colLast="0"/>
      <w:bookmarkEnd w:id="13"/>
      <w:r>
        <w:rPr>
          <w:rFonts w:ascii="Palatino Linotype" w:eastAsia="Palatino Linotype" w:hAnsi="Palatino Linotype" w:cs="Palatino Linotype"/>
          <w:i/>
          <w:iCs/>
        </w:rPr>
        <w:t xml:space="preserve">a) Los datos que establece el Anexo 20, apartado II.A., así como los correspondientes a los complementos que incorpore. </w:t>
      </w:r>
    </w:p>
    <w:p w:rsidR="00807EBC" w:rsidRDefault="00747F35">
      <w:pPr>
        <w:spacing w:line="360" w:lineRule="auto"/>
        <w:ind w:left="567" w:right="-787"/>
        <w:jc w:val="both"/>
        <w:rPr>
          <w:rFonts w:ascii="Palatino Linotype" w:eastAsia="Palatino Linotype" w:hAnsi="Palatino Linotype" w:cs="Palatino Linotype"/>
          <w:i/>
          <w:iCs/>
        </w:rPr>
      </w:pPr>
      <w:bookmarkStart w:id="14" w:name="_heading=h.htfse3mfod91" w:colFirst="0" w:colLast="0"/>
      <w:bookmarkEnd w:id="14"/>
      <w:r>
        <w:rPr>
          <w:rFonts w:ascii="Palatino Linotype" w:eastAsia="Palatino Linotype" w:hAnsi="Palatino Linotype" w:cs="Palatino Linotype"/>
          <w:i/>
          <w:iCs/>
        </w:rPr>
        <w:t xml:space="preserve">b) El código de barras generado conforme a la especificación técnica establecida en el Anexo 20, rubro II.D. </w:t>
      </w:r>
    </w:p>
    <w:p w:rsidR="00807EBC" w:rsidRDefault="00747F35">
      <w:pPr>
        <w:spacing w:line="360" w:lineRule="auto"/>
        <w:ind w:left="567" w:right="-787"/>
        <w:jc w:val="both"/>
        <w:rPr>
          <w:rFonts w:ascii="Palatino Linotype" w:eastAsia="Palatino Linotype" w:hAnsi="Palatino Linotype" w:cs="Palatino Linotype"/>
          <w:i/>
          <w:iCs/>
        </w:rPr>
      </w:pPr>
      <w:bookmarkStart w:id="15" w:name="_heading=h.18yejeg468ga" w:colFirst="0" w:colLast="0"/>
      <w:bookmarkEnd w:id="15"/>
      <w:r>
        <w:rPr>
          <w:rFonts w:ascii="Palatino Linotype" w:eastAsia="Palatino Linotype" w:hAnsi="Palatino Linotype" w:cs="Palatino Linotype"/>
          <w:i/>
          <w:iCs/>
        </w:rPr>
        <w:t xml:space="preserve">VII. Tratándose de las representaciones impresas de un CFDI emitidas conforme a lo dispuesto en la regla 2.7.2.14., y la Sección 2.7.3., se deberá estar a lo siguiente: </w:t>
      </w:r>
    </w:p>
    <w:p w:rsidR="00807EBC" w:rsidRDefault="00747F35">
      <w:pPr>
        <w:spacing w:line="360" w:lineRule="auto"/>
        <w:ind w:left="567" w:right="-787"/>
        <w:jc w:val="both"/>
        <w:rPr>
          <w:rFonts w:ascii="Palatino Linotype" w:eastAsia="Palatino Linotype" w:hAnsi="Palatino Linotype" w:cs="Palatino Linotype"/>
          <w:i/>
          <w:iCs/>
        </w:rPr>
      </w:pPr>
      <w:bookmarkStart w:id="16" w:name="_heading=h.5bnr4t7cvb3w" w:colFirst="0" w:colLast="0"/>
      <w:bookmarkEnd w:id="16"/>
      <w:r>
        <w:rPr>
          <w:rFonts w:ascii="Palatino Linotype" w:eastAsia="Palatino Linotype" w:hAnsi="Palatino Linotype" w:cs="Palatino Linotype"/>
          <w:i/>
          <w:iCs/>
        </w:rPr>
        <w:t xml:space="preserve">a) Espacio para registrar la firma autógrafa de la persona que emite el CFDI. </w:t>
      </w:r>
    </w:p>
    <w:p w:rsidR="00807EBC" w:rsidRDefault="00747F35">
      <w:pPr>
        <w:spacing w:line="360" w:lineRule="auto"/>
        <w:ind w:left="567" w:right="-787"/>
        <w:jc w:val="both"/>
        <w:rPr>
          <w:rFonts w:ascii="Palatino Linotype" w:eastAsia="Palatino Linotype" w:hAnsi="Palatino Linotype" w:cs="Palatino Linotype"/>
          <w:i/>
          <w:iCs/>
        </w:rPr>
      </w:pPr>
      <w:bookmarkStart w:id="17" w:name="_heading=h.dn2nmuiczm76" w:colFirst="0" w:colLast="0"/>
      <w:bookmarkEnd w:id="17"/>
      <w:r>
        <w:rPr>
          <w:rFonts w:ascii="Palatino Linotype" w:eastAsia="Palatino Linotype" w:hAnsi="Palatino Linotype" w:cs="Palatino Linotype"/>
          <w:i/>
          <w:iCs/>
        </w:rPr>
        <w:t xml:space="preserve">b) Respecto a lo señalado en la fracción II de esta regla, se incluirá el número de serie de CESD del proveedor de certificación de CFDI o del SAT según corresponda en sustitución del número de CSD del emisor. </w:t>
      </w:r>
    </w:p>
    <w:p w:rsidR="00807EBC" w:rsidRDefault="00747F35">
      <w:pPr>
        <w:spacing w:line="360" w:lineRule="auto"/>
        <w:ind w:left="567" w:right="-787"/>
        <w:jc w:val="both"/>
        <w:rPr>
          <w:rFonts w:ascii="Palatino Linotype" w:eastAsia="Palatino Linotype" w:hAnsi="Palatino Linotype" w:cs="Palatino Linotype"/>
          <w:i/>
          <w:iCs/>
        </w:rPr>
      </w:pPr>
      <w:bookmarkStart w:id="18" w:name="_heading=h.f44lrhhpmkjn" w:colFirst="0" w:colLast="0"/>
      <w:bookmarkEnd w:id="18"/>
      <w:r>
        <w:rPr>
          <w:rFonts w:ascii="Palatino Linotype" w:eastAsia="Palatino Linotype" w:hAnsi="Palatino Linotype" w:cs="Palatino Linotype"/>
          <w:i/>
          <w:iCs/>
        </w:rPr>
        <w:lastRenderedPageBreak/>
        <w:t xml:space="preserve">VIII. Tratándose de las representaciones impresas del CFDI por pagos realizados conforme a lo dispuesto en la regla 2.7.1.35., adicional a lo señalado en las fracciones anteriores de esta regla, deberán incluir la totalidad de los datos contenidos en el complemento para pagos. </w:t>
      </w:r>
    </w:p>
    <w:p w:rsidR="00807EBC" w:rsidRDefault="00747F35">
      <w:pPr>
        <w:spacing w:line="360" w:lineRule="auto"/>
        <w:ind w:left="567" w:right="-787"/>
        <w:jc w:val="both"/>
        <w:rPr>
          <w:rFonts w:ascii="Palatino Linotype" w:eastAsia="Palatino Linotype" w:hAnsi="Palatino Linotype" w:cs="Palatino Linotype"/>
        </w:rPr>
      </w:pPr>
      <w:bookmarkStart w:id="19" w:name="_heading=h.oo2mmabwdpzm" w:colFirst="0" w:colLast="0"/>
      <w:bookmarkEnd w:id="19"/>
      <w:r>
        <w:rPr>
          <w:rFonts w:ascii="Palatino Linotype" w:eastAsia="Palatino Linotype" w:hAnsi="Palatino Linotype" w:cs="Palatino Linotype"/>
          <w:i/>
          <w:iCs/>
        </w:rPr>
        <w:t>El archivo electrónico que en su caso genere la representación impresa deberá estar en formato electrónico PDF o algún otro similar que permita su impresión. Lo establecido en esta regla no será aplicable a la representación impresa del CFDI que se expida a través de “Mis cuentas”</w:t>
      </w:r>
      <w:r>
        <w:rPr>
          <w:rFonts w:ascii="Palatino Linotype" w:eastAsia="Palatino Linotype" w:hAnsi="Palatino Linotype" w:cs="Palatino Linotype"/>
        </w:rPr>
        <w:t>.</w:t>
      </w:r>
    </w:p>
    <w:p w:rsidR="00807EBC" w:rsidRDefault="00747F35">
      <w:pPr>
        <w:spacing w:line="360" w:lineRule="auto"/>
        <w:ind w:left="567" w:right="-787"/>
        <w:jc w:val="both"/>
        <w:rPr>
          <w:rFonts w:ascii="Palatino Linotype" w:eastAsia="Palatino Linotype" w:hAnsi="Palatino Linotype" w:cs="Palatino Linotype"/>
        </w:rPr>
      </w:pPr>
      <w:bookmarkStart w:id="20" w:name="_heading=h.t1mp8qivtptx" w:colFirst="0" w:colLast="0"/>
      <w:bookmarkEnd w:id="20"/>
      <w:r>
        <w:rPr>
          <w:rFonts w:ascii="Palatino Linotype" w:eastAsia="Palatino Linotype" w:hAnsi="Palatino Linotype" w:cs="Palatino Linotype"/>
        </w:rPr>
        <w:t>(Énfasis añadido)</w:t>
      </w:r>
    </w:p>
    <w:p w:rsidR="00807EBC" w:rsidRDefault="00807EBC">
      <w:pPr>
        <w:spacing w:line="360" w:lineRule="auto"/>
        <w:ind w:right="-787"/>
        <w:jc w:val="both"/>
        <w:rPr>
          <w:rFonts w:ascii="Palatino Linotype" w:eastAsia="Palatino Linotype" w:hAnsi="Palatino Linotype" w:cs="Palatino Linotype"/>
        </w:rPr>
      </w:pPr>
      <w:bookmarkStart w:id="21" w:name="_heading=h.8sifv2td4no" w:colFirst="0" w:colLast="0"/>
      <w:bookmarkEnd w:id="21"/>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22" w:name="_heading=h.oh2brxaow78o" w:colFirst="0" w:colLast="0"/>
      <w:bookmarkEnd w:id="22"/>
      <w:r>
        <w:rPr>
          <w:rFonts w:ascii="Palatino Linotype" w:eastAsia="Palatino Linotype" w:hAnsi="Palatino Linotype" w:cs="Palatino Linotype"/>
        </w:rPr>
        <w:t>Asimismo</w:t>
      </w:r>
      <w:r>
        <w:rPr>
          <w:rFonts w:ascii="Palatino Linotype" w:eastAsia="Palatino Linotype" w:hAnsi="Palatino Linotype" w:cs="Palatino Linotype"/>
          <w:color w:val="000000"/>
        </w:rPr>
        <w:t xml:space="preserve">, de conformidad con el Anexo 20 de la Segunda Resolución de modificaciones a la Resolución Miscelánea Fiscal, los elementos utilizados en la generación de sellos digitales son la cadena original del elemento a sellar, el </w:t>
      </w:r>
      <w:r>
        <w:rPr>
          <w:rFonts w:ascii="Palatino Linotype" w:eastAsia="Palatino Linotype" w:hAnsi="Palatino Linotype" w:cs="Palatino Linotype"/>
        </w:rPr>
        <w:t>certificado</w:t>
      </w:r>
      <w:r>
        <w:rPr>
          <w:rFonts w:ascii="Palatino Linotype" w:eastAsia="Palatino Linotype" w:hAnsi="Palatino Linotype" w:cs="Palatino Linotype"/>
          <w:color w:val="000000"/>
        </w:rPr>
        <w:t xml:space="preserve"> de sello digital y su correspondiente clave privada, los algoritmos de criptografía de clave pública para firma electrónica avanzada, y las especificaciones de conversión de la firma avanzada.</w:t>
      </w:r>
    </w:p>
    <w:p w:rsidR="00807EBC" w:rsidRDefault="00807EBC">
      <w:pPr>
        <w:spacing w:line="360" w:lineRule="auto"/>
        <w:ind w:right="-787"/>
        <w:jc w:val="both"/>
        <w:rPr>
          <w:rFonts w:ascii="Palatino Linotype" w:eastAsia="Palatino Linotype" w:hAnsi="Palatino Linotype" w:cs="Palatino Linotype"/>
        </w:rPr>
      </w:pPr>
      <w:bookmarkStart w:id="23" w:name="_heading=h.987we07n3kwj" w:colFirst="0" w:colLast="0"/>
      <w:bookmarkEnd w:id="23"/>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24" w:name="_heading=h.mt7q496zmklq" w:colFirst="0" w:colLast="0"/>
      <w:bookmarkEnd w:id="24"/>
      <w:r>
        <w:rPr>
          <w:rFonts w:ascii="Palatino Linotype" w:eastAsia="Palatino Linotype" w:hAnsi="Palatino Linotype" w:cs="Palatino Linotype"/>
        </w:rPr>
        <w:t>Uno</w:t>
      </w:r>
      <w:r>
        <w:rPr>
          <w:rFonts w:ascii="Palatino Linotype" w:eastAsia="Palatino Linotype" w:hAnsi="Palatino Linotype" w:cs="Palatino Linotype"/>
          <w:color w:val="000000"/>
        </w:rPr>
        <w:t xml:space="preserve"> de estos dos números, expresado en una estructura de datos que contiene un </w:t>
      </w:r>
      <w:r>
        <w:rPr>
          <w:rFonts w:ascii="Palatino Linotype" w:eastAsia="Palatino Linotype" w:hAnsi="Palatino Linotype" w:cs="Palatino Linotype"/>
        </w:rPr>
        <w:t>módulo</w:t>
      </w:r>
      <w:r>
        <w:rPr>
          <w:rFonts w:ascii="Palatino Linotype" w:eastAsia="Palatino Linotype" w:hAnsi="Palatino Linotype" w:cs="Palatino Linotype"/>
          <w:color w:val="000000"/>
        </w:rPr>
        <w:t xml:space="preserve"> y un exponente, se conserva secreta y se le denomina "clave privada", mientras que el otro número llamado "clave pública", en formato binario y acompañado de información de identificación del emisor, además de una calificación de validez por parte de un tercero confiable, se incorpora a un archivo denominado "certificado de firma electrónica avanzada" o "certificado para sellos digitales" en adelante Certificado.</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25" w:name="_heading=h.n30l5xfevj1m" w:colFirst="0" w:colLast="0"/>
      <w:bookmarkEnd w:id="25"/>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26" w:name="_heading=h.xyl92zx2yn72" w:colFirst="0" w:colLast="0"/>
      <w:bookmarkEnd w:id="26"/>
      <w:r>
        <w:rPr>
          <w:rFonts w:ascii="Palatino Linotype" w:eastAsia="Palatino Linotype" w:hAnsi="Palatino Linotype" w:cs="Palatino Linotype"/>
          <w:color w:val="000000"/>
        </w:rPr>
        <w:t xml:space="preserve">El Certificado puede distribuirse libremente para efectos de intercambio seguro de información y para ofrecer pruebas de autoría de archivos electrónicos o confirmación de estar de acuerdo con su contenido, ambos mediante el proceso denominado "firmado </w:t>
      </w:r>
      <w:r>
        <w:rPr>
          <w:rFonts w:ascii="Palatino Linotype" w:eastAsia="Palatino Linotype" w:hAnsi="Palatino Linotype" w:cs="Palatino Linotype"/>
          <w:color w:val="000000"/>
        </w:rPr>
        <w:lastRenderedPageBreak/>
        <w:t xml:space="preserve">electrónico avanzado", que consiste en una característica </w:t>
      </w:r>
      <w:r>
        <w:rPr>
          <w:rFonts w:ascii="Palatino Linotype" w:eastAsia="Palatino Linotype" w:hAnsi="Palatino Linotype" w:cs="Palatino Linotype"/>
        </w:rPr>
        <w:t>observable</w:t>
      </w:r>
      <w:r>
        <w:rPr>
          <w:rFonts w:ascii="Palatino Linotype" w:eastAsia="Palatino Linotype" w:hAnsi="Palatino Linotype" w:cs="Palatino Linotype"/>
          <w:color w:val="000000"/>
        </w:rPr>
        <w:t xml:space="preserve"> de un mensaje, verificable por cualquiera con acceso al certificado digital del emisor, que sirve para implementar servicios de seguridad para garantizar: </w:t>
      </w:r>
    </w:p>
    <w:p w:rsidR="00807EBC" w:rsidRDefault="00747F35">
      <w:pPr>
        <w:spacing w:line="360" w:lineRule="auto"/>
        <w:ind w:left="720" w:right="-787"/>
        <w:jc w:val="both"/>
        <w:rPr>
          <w:rFonts w:ascii="Palatino Linotype" w:eastAsia="Palatino Linotype" w:hAnsi="Palatino Linotype" w:cs="Palatino Linotype"/>
        </w:rPr>
      </w:pPr>
      <w:bookmarkStart w:id="27" w:name="_heading=h.dnnzpvh7eleo" w:colFirst="0" w:colLast="0"/>
      <w:bookmarkEnd w:id="27"/>
      <w:r>
        <w:rPr>
          <w:rFonts w:ascii="Palatino Linotype" w:eastAsia="Palatino Linotype" w:hAnsi="Palatino Linotype" w:cs="Palatino Linotype"/>
        </w:rPr>
        <w:t xml:space="preserve">• La integridad (facilidad para detectar si un mensaje firmado ha sido alterado), </w:t>
      </w:r>
    </w:p>
    <w:p w:rsidR="00807EBC" w:rsidRDefault="00747F35">
      <w:pPr>
        <w:spacing w:line="360" w:lineRule="auto"/>
        <w:ind w:left="720" w:right="-787"/>
        <w:jc w:val="both"/>
        <w:rPr>
          <w:rFonts w:ascii="Palatino Linotype" w:eastAsia="Palatino Linotype" w:hAnsi="Palatino Linotype" w:cs="Palatino Linotype"/>
        </w:rPr>
      </w:pPr>
      <w:bookmarkStart w:id="28" w:name="_heading=h.7nd46camfpd3" w:colFirst="0" w:colLast="0"/>
      <w:bookmarkEnd w:id="28"/>
      <w:r>
        <w:rPr>
          <w:rFonts w:ascii="Palatino Linotype" w:eastAsia="Palatino Linotype" w:hAnsi="Palatino Linotype" w:cs="Palatino Linotype"/>
        </w:rPr>
        <w:t xml:space="preserve">• La autenticidad, </w:t>
      </w:r>
    </w:p>
    <w:p w:rsidR="00807EBC" w:rsidRDefault="00747F35">
      <w:pPr>
        <w:spacing w:line="360" w:lineRule="auto"/>
        <w:ind w:left="720" w:right="-787"/>
        <w:jc w:val="both"/>
        <w:rPr>
          <w:rFonts w:ascii="Palatino Linotype" w:eastAsia="Palatino Linotype" w:hAnsi="Palatino Linotype" w:cs="Palatino Linotype"/>
        </w:rPr>
      </w:pPr>
      <w:bookmarkStart w:id="29" w:name="_heading=h.ioxfoskdka44" w:colFirst="0" w:colLast="0"/>
      <w:bookmarkEnd w:id="29"/>
      <w:r>
        <w:rPr>
          <w:rFonts w:ascii="Palatino Linotype" w:eastAsia="Palatino Linotype" w:hAnsi="Palatino Linotype" w:cs="Palatino Linotype"/>
        </w:rPr>
        <w:t xml:space="preserve">• Certidumbre de origen (facilidad para determinar qué persona es el autor de la firma que valida el contenido del mensaje) y </w:t>
      </w:r>
    </w:p>
    <w:p w:rsidR="00807EBC" w:rsidRDefault="00747F35">
      <w:pPr>
        <w:spacing w:line="360" w:lineRule="auto"/>
        <w:ind w:left="720" w:right="-787"/>
        <w:jc w:val="both"/>
        <w:rPr>
          <w:rFonts w:ascii="Palatino Linotype" w:eastAsia="Palatino Linotype" w:hAnsi="Palatino Linotype" w:cs="Palatino Linotype"/>
        </w:rPr>
      </w:pPr>
      <w:bookmarkStart w:id="30" w:name="_heading=h.71wzdzlnc3xt" w:colFirst="0" w:colLast="0"/>
      <w:bookmarkEnd w:id="30"/>
      <w:r>
        <w:rPr>
          <w:rFonts w:ascii="Palatino Linotype" w:eastAsia="Palatino Linotype" w:hAnsi="Palatino Linotype" w:cs="Palatino Linotype"/>
        </w:rPr>
        <w:t xml:space="preserve">• No repudiación del mensaje firmado (capacidad de impedir que el autor de la firma niegue haber firmado el mensaje). </w:t>
      </w:r>
    </w:p>
    <w:p w:rsidR="00807EBC" w:rsidRDefault="00807EBC">
      <w:pPr>
        <w:spacing w:line="360" w:lineRule="auto"/>
        <w:ind w:left="720" w:right="-787"/>
        <w:jc w:val="both"/>
        <w:rPr>
          <w:rFonts w:ascii="Palatino Linotype" w:eastAsia="Palatino Linotype" w:hAnsi="Palatino Linotype" w:cs="Palatino Linotype"/>
        </w:rPr>
      </w:pPr>
      <w:bookmarkStart w:id="31" w:name="_heading=h.5q0qphtr060o" w:colFirst="0" w:colLast="0"/>
      <w:bookmarkEnd w:id="31"/>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32" w:name="_heading=h.msnldj4dqkon" w:colFirst="0" w:colLast="0"/>
      <w:bookmarkEnd w:id="32"/>
      <w:r>
        <w:rPr>
          <w:rFonts w:ascii="Palatino Linotype" w:eastAsia="Palatino Linotype" w:hAnsi="Palatino Linotype" w:cs="Palatino Linotype"/>
        </w:rPr>
        <w:t>Los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certificados</w:t>
      </w:r>
      <w:r>
        <w:rPr>
          <w:rFonts w:ascii="Palatino Linotype" w:eastAsia="Palatino Linotype" w:hAnsi="Palatino Linotype" w:cs="Palatino Linotype"/>
          <w:color w:val="000000"/>
        </w:rPr>
        <w:t xml:space="preserve"> de sello digital se generan de manera idéntica a los certificados de e.firma y al igual que las firmas electrónicas avanzadas el propósito del sello digital es emitir comprobantes fiscales con autenticidad, integridad, verificables y no repudiables por el emisor. Para ello basta tener acceso al mensaje original o cadena original, al sello digital y al </w:t>
      </w:r>
      <w:r>
        <w:rPr>
          <w:rFonts w:ascii="Palatino Linotype" w:eastAsia="Palatino Linotype" w:hAnsi="Palatino Linotype" w:cs="Palatino Linotype"/>
        </w:rPr>
        <w:t>certificado digital</w:t>
      </w:r>
      <w:r>
        <w:rPr>
          <w:rFonts w:ascii="Palatino Linotype" w:eastAsia="Palatino Linotype" w:hAnsi="Palatino Linotype" w:cs="Palatino Linotype"/>
          <w:color w:val="000000"/>
        </w:rPr>
        <w:t xml:space="preserve"> del emisor.</w:t>
      </w:r>
    </w:p>
    <w:p w:rsidR="00807EBC" w:rsidRDefault="00807EBC">
      <w:pPr>
        <w:spacing w:line="360" w:lineRule="auto"/>
        <w:ind w:right="-787"/>
        <w:jc w:val="both"/>
        <w:rPr>
          <w:rFonts w:ascii="Palatino Linotype" w:eastAsia="Palatino Linotype" w:hAnsi="Palatino Linotype" w:cs="Palatino Linotype"/>
        </w:rPr>
      </w:pPr>
      <w:bookmarkStart w:id="33" w:name="_heading=h.d2rygb40n1qi" w:colFirst="0" w:colLast="0"/>
      <w:bookmarkEnd w:id="33"/>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34" w:name="_heading=h.gssdfypy39it" w:colFirst="0" w:colLast="0"/>
      <w:bookmarkEnd w:id="34"/>
      <w:r>
        <w:rPr>
          <w:rFonts w:ascii="Palatino Linotype" w:eastAsia="Palatino Linotype" w:hAnsi="Palatino Linotype" w:cs="Palatino Linotype"/>
        </w:rPr>
        <w:t>Asimismo</w:t>
      </w:r>
      <w:r>
        <w:rPr>
          <w:rFonts w:ascii="Palatino Linotype" w:eastAsia="Palatino Linotype" w:hAnsi="Palatino Linotype" w:cs="Palatino Linotype"/>
          <w:color w:val="000000"/>
        </w:rPr>
        <w:t xml:space="preserve">, el número de serie del certificado del CSD el atributo requerido para expresar el número de serie del certificado de sello digital que ampara al </w:t>
      </w:r>
      <w:r>
        <w:rPr>
          <w:rFonts w:ascii="Palatino Linotype" w:eastAsia="Palatino Linotype" w:hAnsi="Palatino Linotype" w:cs="Palatino Linotype"/>
        </w:rPr>
        <w:t>comprobante</w:t>
      </w:r>
      <w:r>
        <w:rPr>
          <w:rFonts w:ascii="Palatino Linotype" w:eastAsia="Palatino Linotype" w:hAnsi="Palatino Linotype" w:cs="Palatino Linotype"/>
          <w:color w:val="000000"/>
        </w:rPr>
        <w:t xml:space="preserve">, de acuerdo con el acuse correspondiente a 20 posiciones otorgado por el sistema del SAT, el folio fiscal referido como el UUID es un atributo requerido para expresar los 36 caracteres del folio fiscal de la transacción de timbrado conforme al estándar RFC 4122, el número certificado SAT el atributo requerido para expresar el número de serie del certificado del SAT usado para generar el sello digital del Timbre Fiscal Digital, el sello digital del CFD el atributo requerido para contener el sello digital del comprobante fiscal o comprobante de </w:t>
      </w:r>
      <w:r>
        <w:rPr>
          <w:rFonts w:ascii="Palatino Linotype" w:eastAsia="Palatino Linotype" w:hAnsi="Palatino Linotype" w:cs="Palatino Linotype"/>
          <w:color w:val="000000"/>
        </w:rPr>
        <w:lastRenderedPageBreak/>
        <w:t xml:space="preserve">retenciones que se ha timbrado, sello que debe ser expresado como una cadena de texto en formato Base 64, el sello del SAT el atributo requerido para contener el sello digital del Timbre Fiscal Digital, que debe ser expresado como una cadena de texto en formato Base 64, y finalmente la cadena original, es la secuencia de datos formulada con la información contenida dentro del timbre fiscal digital del SAT. </w:t>
      </w:r>
    </w:p>
    <w:p w:rsidR="00807EBC" w:rsidRDefault="00807EBC">
      <w:pP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bien, con base en lo expuesto, no todos los datos señalados pueden ser considerados como confidenciales, en virtud de que el Folio fiscal, Número </w:t>
      </w:r>
      <w:r>
        <w:rPr>
          <w:rFonts w:ascii="Palatino Linotype" w:eastAsia="Palatino Linotype" w:hAnsi="Palatino Linotype" w:cs="Palatino Linotype"/>
        </w:rPr>
        <w:t>de</w:t>
      </w:r>
      <w:r>
        <w:rPr>
          <w:rFonts w:ascii="Palatino Linotype" w:eastAsia="Palatino Linotype" w:hAnsi="Palatino Linotype" w:cs="Palatino Linotype"/>
          <w:color w:val="000000"/>
        </w:rPr>
        <w:t xml:space="preserve"> serie CSD del emisor, Sello </w:t>
      </w:r>
      <w:r>
        <w:rPr>
          <w:rFonts w:ascii="Palatino Linotype" w:eastAsia="Palatino Linotype" w:hAnsi="Palatino Linotype" w:cs="Palatino Linotype"/>
        </w:rPr>
        <w:t>digital</w:t>
      </w:r>
      <w:r>
        <w:rPr>
          <w:rFonts w:ascii="Palatino Linotype" w:eastAsia="Palatino Linotype" w:hAnsi="Palatino Linotype" w:cs="Palatino Linotype"/>
          <w:color w:val="000000"/>
        </w:rPr>
        <w:t xml:space="preserve"> del contribuyente emisor, Número de serie del CSD del SAT, Sello digital del </w:t>
      </w:r>
      <w:r>
        <w:rPr>
          <w:rFonts w:ascii="Palatino Linotype" w:eastAsia="Palatino Linotype" w:hAnsi="Palatino Linotype" w:cs="Palatino Linotype"/>
        </w:rPr>
        <w:t>SAT y</w:t>
      </w:r>
      <w:r>
        <w:rPr>
          <w:rFonts w:ascii="Palatino Linotype" w:eastAsia="Palatino Linotype" w:hAnsi="Palatino Linotype" w:cs="Palatino Linotype"/>
          <w:color w:val="000000"/>
        </w:rPr>
        <w:t xml:space="preserve"> Cadena original de complemento de certificación digital </w:t>
      </w:r>
      <w:r>
        <w:rPr>
          <w:rFonts w:ascii="Palatino Linotype" w:eastAsia="Palatino Linotype" w:hAnsi="Palatino Linotype" w:cs="Palatino Linotype"/>
        </w:rPr>
        <w:t>SAT</w:t>
      </w:r>
      <w:r>
        <w:rPr>
          <w:rFonts w:ascii="Palatino Linotype" w:eastAsia="Palatino Linotype" w:hAnsi="Palatino Linotype" w:cs="Palatino Linotype"/>
          <w:color w:val="000000"/>
        </w:rPr>
        <w:t xml:space="preserve">, así como el número de empleado cuando no se relacione con el uso de diversos servicios, no tienen el carácter de confidenciales. </w:t>
      </w:r>
    </w:p>
    <w:p w:rsidR="00807EBC" w:rsidRDefault="00807EBC">
      <w:pPr>
        <w:pBdr>
          <w:top w:val="nil"/>
          <w:left w:val="nil"/>
          <w:bottom w:val="nil"/>
          <w:right w:val="nil"/>
          <w:between w:val="nil"/>
        </w:pBdr>
        <w:ind w:left="720" w:right="-787"/>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anteriormente expuesto, se determina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 de contar con las facturas de los vehículos que forman parte del parque vehicular, toda vez que forma parte del documento del resguardo que acredita la propiedad del parque vehicular del Ayuntamiento. </w:t>
      </w:r>
    </w:p>
    <w:p w:rsidR="00807EBC" w:rsidRDefault="00807EBC">
      <w:pPr>
        <w:pBdr>
          <w:top w:val="nil"/>
          <w:left w:val="nil"/>
          <w:bottom w:val="nil"/>
          <w:right w:val="nil"/>
          <w:between w:val="nil"/>
        </w:pBdr>
        <w:spacing w:line="360" w:lineRule="auto"/>
        <w:ind w:right="-787"/>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dentro de las funciones de la Dirección General de Administración está el realizar el inventario de los bienes del ayuntamiento es que dentro de sus archivos debe de encontrarse el documento en el que se encuentre el nombre del vehículo y el departamento al cual pertenecen, por lo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remitir de manera completa el documento que </w:t>
      </w:r>
      <w:r>
        <w:rPr>
          <w:rFonts w:ascii="Palatino Linotype" w:eastAsia="Palatino Linotype" w:hAnsi="Palatino Linotype" w:cs="Palatino Linotype"/>
        </w:rPr>
        <w:t>dé cuenta</w:t>
      </w:r>
      <w:r>
        <w:rPr>
          <w:rFonts w:ascii="Palatino Linotype" w:eastAsia="Palatino Linotype" w:hAnsi="Palatino Linotype" w:cs="Palatino Linotype"/>
          <w:color w:val="000000"/>
        </w:rPr>
        <w:t xml:space="preserve"> de lo solicitado como lo es manera enunciativa más no limitativa el inventario del padrón vehicular. </w:t>
      </w: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Por cuanto hace a la dotación de gasolina, se debe de referir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en la etapa de manifestaciones por medio del Departamento de Mantenimiento </w:t>
      </w:r>
      <w:r>
        <w:rPr>
          <w:rFonts w:ascii="Palatino Linotype" w:eastAsia="Palatino Linotype" w:hAnsi="Palatino Linotype" w:cs="Palatino Linotype"/>
          <w:color w:val="000000"/>
        </w:rPr>
        <w:t>Vehicular</w:t>
      </w:r>
      <w:r>
        <w:rPr>
          <w:rFonts w:ascii="Palatino Linotype" w:eastAsia="Palatino Linotype" w:hAnsi="Palatino Linotype" w:cs="Palatino Linotype"/>
        </w:rPr>
        <w:t xml:space="preserve"> y Control de Combustible, informo que eso depende de las características y operatividad de los vehículos al área al que pertenecen, sin embargo se entiende que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quiere conocer el monto de gasolina que se le otorga a cada vehículo, situación por la cual  se debe de analizar que las funciones del Departamento de Mantenimiento Vehicular y Control de Combustible, son las siguientes de acuerdo con el Manual de Organización de la Dirección General de Administración.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206013002 Departamento de Mantenimiento Vehicular y Control de Combustible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Objetivo: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Realizar los trámites oportunos para la prestación del servicio de reparación y/o mantenimiento preventivo y correctivo del parque vehicular de las dependencias que integran la administración pública municipal, a través de talleres externos especializados, previa verificación de que los costos se encuentren contemplados en el catálogo de precios actualizado, seleccionando las mejores condiciones en cuanto a precio, calidad, tiempo de entrega y desempeño; así como coordinar, vigilar, registrar y controlar la asignación y suministro del combustible a las unidades vehiculares del Ayuntamiento de acuerdo al rendimiento, necesidades y naturaleza del trabajo de cada una, para establecer un mejor control y optimizar el consumo del mismo.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Funciones: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Llevar a cabo el registro del servicio de reparación y/o mantenimiento preventivo y correctivo del parque vehicular propiedad del Ayuntamiento, mediante solicitud y formato de mantenimiento vehicular, los cuales deberán ser requisitados y entregados en tiempo y forma por el área solicitante;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2. Integrar un expediente por cada solicitud recibida, para identificar los servicios realizados a los vehículos de las direcciones generales, coordinaciones y delegaciones administrativas de la administración pública municipal;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3. Revisar y verificar el diagnóstico y cotización de reparación de vehículo, determinando el taller externo que realizará la reparación y/o mantenimiento mecánico del vehículo, garantizando condiciones óptimas y favorables para el Ayuntamiento, en cuanto a precio, calidad, servicio, tiempo de entrega y desempeño;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4. Solicitar y verificar que el área solicitante tenga la suficiencia presupuestal y en caso de ser procedente gestionar la solicitud de servicio y reparación del vehículo sobre el cual se requiera el mantenimiento;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5. Registrar en el Sistema de Mantenimiento Vehicular los datos correspondientes para la elaboración de los pedidos-contrato y en su caso solicitar al Departamento de Contratos, la elaboración del instrumento legal correspondiente por concepto de reparación y/o mantenimiento vehicular; remitiendo obligatoriamente para ello toda la documentación necesaria;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6. Coordinar y vigilar con el área solicitante que los servicios contratados con talleres externos se realicen conforme a lo requerido por éstas, caso contrario reportar dicha situación ante el área correspondiente para su debido tratamiento; </w:t>
      </w:r>
    </w:p>
    <w:p w:rsidR="00807EBC" w:rsidRDefault="00747F35">
      <w:pPr>
        <w:spacing w:line="360" w:lineRule="auto"/>
        <w:ind w:left="567"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7. Organizar y controlar la dispersión del suministro de combustibles a cada una de las direcciones generales, coordinaciones y delegaciones administrativas que integran la administración pública municipal que cuenten con asignación, conforme a su techo financiero, siempre y cuando se reciba la bitácora de comprobación del consumo inmediato anterior; </w:t>
      </w:r>
    </w:p>
    <w:p w:rsidR="00807EBC" w:rsidRDefault="00747F35">
      <w:pPr>
        <w:spacing w:line="360" w:lineRule="auto"/>
        <w:ind w:left="567"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 xml:space="preserve">8. Revisar y analizar las solicitudes de dotación de combustible extraordinarias realizadas por las direcciones generales, coordinaciones y delegaciones administrativas, dichas solicitudes serán procedentes siempre y cuando se cuente con la suficiencia presupuestal;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9. Recibir, revisar, registrar y tramitar las facturas para el pago de combustible de los proveedores, elaborar la afectación presupuestal y autorización de la Dirección General de Administración para su envío a la Tesorería Municipal; 10. Revisar y remitir a la Dirección General de Seguridad y Protección y a la Coordinación de Protección Civil y Bomberos, las facturas de combustible para validación y firma, cuando éstas deban ser liquidadas con cargo al Ramo 33; 11. Realizar todas aquellas actividades que sean inherentes y aplicables al área de su competencia.</w:t>
      </w:r>
    </w:p>
    <w:p w:rsidR="00807EBC" w:rsidRDefault="00807EBC">
      <w:pPr>
        <w:pBdr>
          <w:top w:val="nil"/>
          <w:left w:val="nil"/>
          <w:bottom w:val="nil"/>
          <w:right w:val="nil"/>
          <w:between w:val="nil"/>
        </w:pBdr>
        <w:spacing w:line="360" w:lineRule="auto"/>
        <w:ind w:right="-787"/>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De lo anterior, se tiene que el Departamento de Mantenimiento Vehicular y Control de Combustible tiene la función de organizar y controlar la dispersión del suministro de combustibles a cada una de las direcciones generales, coordinaciones y delegaciones administrativas que integran la administración pública municipal que cuenten con asignación, conforme a su techo financiero</w:t>
      </w:r>
      <w:r>
        <w:rPr>
          <w:rFonts w:ascii="Palatino Linotype" w:eastAsia="Palatino Linotype" w:hAnsi="Palatino Linotype" w:cs="Palatino Linotype"/>
          <w:b/>
          <w:bCs/>
        </w:rPr>
        <w:t>, siempre y cuando se reciba la bitácora de comprobación del consumo inmediato anterior.</w:t>
      </w:r>
    </w:p>
    <w:p w:rsidR="00807EBC" w:rsidRDefault="00807EBC">
      <w:pP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esa línea, se tiene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si cuenta con el documento que acredita la comprobación de la dotación de gasolina, siendo la bitácora que recibe por el consumo inmediato anterior, por lo que, para colmar el derecho de acceso a la información del </w:t>
      </w:r>
      <w:r>
        <w:rPr>
          <w:rFonts w:ascii="Palatino Linotype" w:eastAsia="Palatino Linotype" w:hAnsi="Palatino Linotype" w:cs="Palatino Linotype"/>
          <w:b/>
          <w:bCs/>
          <w:smallCaps/>
        </w:rPr>
        <w:t>RECURRENTE</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el </w:t>
      </w:r>
      <w:r>
        <w:rPr>
          <w:rFonts w:ascii="Palatino Linotype" w:eastAsia="Palatino Linotype" w:hAnsi="Palatino Linotype" w:cs="Palatino Linotype"/>
          <w:b/>
          <w:bCs/>
          <w:smallCaps/>
        </w:rPr>
        <w:t>SUJETO 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deberá de remitir dicho documento que es quien acredita la dotación de combustible. </w:t>
      </w:r>
    </w:p>
    <w:p w:rsidR="00807EBC" w:rsidRDefault="00807EBC">
      <w:pPr>
        <w:pBdr>
          <w:top w:val="nil"/>
          <w:left w:val="nil"/>
          <w:bottom w:val="nil"/>
          <w:right w:val="nil"/>
          <w:between w:val="nil"/>
        </w:pBdr>
        <w:spacing w:line="360" w:lineRule="auto"/>
        <w:ind w:right="-787"/>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como la solicitud de información versa en acceder a información del parque vehicular y toda vez que se ordenara el documento donde conste o se advierta a que área pertenecen los vehículos y que vehículos, así como las facturas, es que se analiza el dato del número de placas y al número de serie de los vehículos arrendados o en propiedad para uso del Ayuntamiento de Toluca,  que pudiera encontrarse en la entrega de los documentos que colmen el derecho de acceso a la información del </w:t>
      </w:r>
      <w:r>
        <w:rPr>
          <w:rFonts w:ascii="Palatino Linotype" w:eastAsia="Palatino Linotype" w:hAnsi="Palatino Linotype" w:cs="Palatino Linotype"/>
          <w:b/>
          <w:bCs/>
        </w:rPr>
        <w:t xml:space="preserve">RECURRENTE. </w:t>
      </w:r>
    </w:p>
    <w:p w:rsidR="00807EBC" w:rsidRDefault="00807EBC">
      <w:pP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lo que </w:t>
      </w:r>
      <w:r>
        <w:rPr>
          <w:rFonts w:ascii="Palatino Linotype" w:eastAsia="Palatino Linotype" w:hAnsi="Palatino Linotype" w:cs="Palatino Linotype"/>
        </w:rPr>
        <w:t>compete</w:t>
      </w:r>
      <w:r>
        <w:rPr>
          <w:rFonts w:ascii="Palatino Linotype" w:eastAsia="Palatino Linotype" w:hAnsi="Palatino Linotype" w:cs="Palatino Linotype"/>
          <w:color w:val="000000"/>
        </w:rPr>
        <w:t xml:space="preserve"> a las</w:t>
      </w:r>
      <w:r>
        <w:rPr>
          <w:rFonts w:ascii="Palatino Linotype" w:eastAsia="Palatino Linotype" w:hAnsi="Palatino Linotype" w:cs="Palatino Linotype"/>
          <w:b/>
          <w:bCs/>
          <w:color w:val="000000"/>
        </w:rPr>
        <w:t xml:space="preserve"> placas y número de serie vehicular</w:t>
      </w:r>
      <w:r>
        <w:rPr>
          <w:rFonts w:ascii="Palatino Linotype" w:eastAsia="Palatino Linotype" w:hAnsi="Palatino Linotype" w:cs="Palatino Linotype"/>
          <w:color w:val="000000"/>
        </w:rPr>
        <w:t xml:space="preserve">, se tiene que el número de placa se </w:t>
      </w:r>
      <w:r>
        <w:rPr>
          <w:rFonts w:ascii="Palatino Linotype" w:eastAsia="Palatino Linotype" w:hAnsi="Palatino Linotype" w:cs="Palatino Linotype"/>
        </w:rPr>
        <w:t>define</w:t>
      </w:r>
      <w:r>
        <w:rPr>
          <w:rFonts w:ascii="Palatino Linotype" w:eastAsia="Palatino Linotype" w:hAnsi="Palatino Linotype" w:cs="Palatino Linotype"/>
          <w:color w:val="000000"/>
        </w:rPr>
        <w:t xml:space="preserve"> como el registro alfanumérico que usan los vehículos automotores para su identificación y circulación legal en todo el territorio mexicano. </w:t>
      </w:r>
    </w:p>
    <w:p w:rsidR="00807EBC" w:rsidRDefault="00807EBC">
      <w:pPr>
        <w:spacing w:line="360" w:lineRule="auto"/>
        <w:ind w:right="-787"/>
        <w:jc w:val="both"/>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otra parte, el NIV es el número conformado por diecisiete caracteres alfanuméricos que identifican a los vehículos de modelos posteriores al año 1998. Se encuentra normalmente en la parte superior del tablero del vehículo o en el marco de las puertas, generalmente en el lado del conductor. En los modelos anteriores al año 1998 a este número se le conocía como serie y es más común que se encuentre localizado en la puerta izquierda del vehículo. </w:t>
      </w:r>
    </w:p>
    <w:p w:rsidR="00807EBC" w:rsidRDefault="00807EBC">
      <w:pPr>
        <w:pBdr>
          <w:top w:val="nil"/>
          <w:left w:val="nil"/>
          <w:bottom w:val="nil"/>
          <w:right w:val="nil"/>
          <w:between w:val="nil"/>
        </w:pBdr>
        <w:spacing w:line="360" w:lineRule="auto"/>
        <w:ind w:left="502"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este sentido, respecto a las placas y número de serie, corresponden a vehículos propiedad del Ayuntamiento, lo que permite corroborar que se trata de bienes de dominio público.</w:t>
      </w:r>
    </w:p>
    <w:p w:rsidR="00807EBC" w:rsidRDefault="00807EBC">
      <w:pPr>
        <w:spacing w:line="360" w:lineRule="auto"/>
        <w:ind w:right="-787"/>
        <w:jc w:val="both"/>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Así entonces, como se desprende las placas, corresponden a vehículos arrendados por el Ayuntamiento, previamente inventariados, por lo que es importante remitirnos a lo dispuesto por el artículo 92, fracción XXXVIII de la Ley de Transparencia y Acceso a la Información Pública del Estado de México y Municipios que en su texto y sentido literal establece:</w:t>
      </w:r>
    </w:p>
    <w:p w:rsidR="00807EBC" w:rsidRDefault="00747F35">
      <w:pPr>
        <w:pBdr>
          <w:top w:val="nil"/>
          <w:left w:val="nil"/>
          <w:bottom w:val="nil"/>
          <w:right w:val="nil"/>
          <w:between w:val="nil"/>
        </w:pBdr>
        <w:tabs>
          <w:tab w:val="left" w:pos="426"/>
        </w:tabs>
        <w:spacing w:line="360" w:lineRule="auto"/>
        <w:ind w:left="426"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92</w:t>
      </w:r>
      <w:r>
        <w:rPr>
          <w:rFonts w:ascii="Palatino Linotype" w:eastAsia="Palatino Linotype" w:hAnsi="Palatino Linotype" w:cs="Palatino Linotype"/>
          <w:i/>
          <w:iCs/>
          <w:color w:val="000000"/>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807EBC" w:rsidRDefault="00747F35">
      <w:pPr>
        <w:pBdr>
          <w:top w:val="nil"/>
          <w:left w:val="nil"/>
          <w:bottom w:val="nil"/>
          <w:right w:val="nil"/>
          <w:between w:val="nil"/>
        </w:pBdr>
        <w:tabs>
          <w:tab w:val="left" w:pos="426"/>
        </w:tabs>
        <w:spacing w:line="360" w:lineRule="auto"/>
        <w:ind w:left="426"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XXXVIII. El inventario de bienes muebles e inmuebles en posesión y propiedad;</w:t>
      </w:r>
    </w:p>
    <w:p w:rsidR="00807EBC" w:rsidRDefault="00747F35">
      <w:pPr>
        <w:pBdr>
          <w:top w:val="nil"/>
          <w:left w:val="nil"/>
          <w:bottom w:val="nil"/>
          <w:right w:val="nil"/>
          <w:between w:val="nil"/>
        </w:pBdr>
        <w:tabs>
          <w:tab w:val="left" w:pos="426"/>
        </w:tabs>
        <w:spacing w:line="360" w:lineRule="auto"/>
        <w:ind w:left="426"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807EBC" w:rsidRDefault="00807EBC">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tanto, el número de serie y de placas que pudieran encontrarse en los documentos que sean entregados para colmar el derecho de acceso a la información del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es información que corresponde a información de acceso público, ya que dar a conocer esos datos abona a la transparencia y la rendición de cuentas, pues es parte del patrimonio de los Sujeto Obligados y está relacionado con el ejercicio de los recursos públicos.</w:t>
      </w:r>
    </w:p>
    <w:p w:rsidR="00807EBC" w:rsidRDefault="00807EBC">
      <w:pPr>
        <w:pBdr>
          <w:top w:val="nil"/>
          <w:left w:val="nil"/>
          <w:bottom w:val="nil"/>
          <w:right w:val="nil"/>
          <w:between w:val="nil"/>
        </w:pBdr>
        <w:spacing w:line="360" w:lineRule="auto"/>
        <w:ind w:left="502"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Seguidamente se debe de mencionar que dentro de la información que se entregue existen datos de vehículos que fueron destinados a ser utilizados para patrullas, situación por la cual es aplicable el siguiente análisis. </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En ese sentido, se debe de establecer que para el caso de los vehículos que fueron destinados como patrullas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deberá de clasificar como reservado las especificaciones técnicas y equipamiento de dichos vehículos, toda vez revelaría la </w:t>
      </w:r>
      <w:r>
        <w:rPr>
          <w:rFonts w:ascii="Palatino Linotype" w:eastAsia="Palatino Linotype" w:hAnsi="Palatino Linotype" w:cs="Palatino Linotype"/>
          <w:color w:val="000000"/>
        </w:rPr>
        <w:t>tecnología</w:t>
      </w:r>
      <w:r>
        <w:rPr>
          <w:rFonts w:ascii="Palatino Linotype" w:eastAsia="Palatino Linotype" w:hAnsi="Palatino Linotype" w:cs="Palatino Linotype"/>
        </w:rPr>
        <w:t xml:space="preserve">, sistemas y equipos, con los que cuenta el Ayuntamiento, para el combate a la delincuencia en el Estado de México, pues al proporcionar información sobre el </w:t>
      </w:r>
      <w:r>
        <w:rPr>
          <w:rFonts w:ascii="Palatino Linotype" w:eastAsia="Palatino Linotype" w:hAnsi="Palatino Linotype" w:cs="Palatino Linotype"/>
          <w:b/>
          <w:bCs/>
        </w:rPr>
        <w:t>armamento, blindaje y radios con los que cuentan las patrullas adquiridas,</w:t>
      </w:r>
      <w:r>
        <w:rPr>
          <w:rFonts w:ascii="Palatino Linotype" w:eastAsia="Palatino Linotype" w:hAnsi="Palatino Linotype" w:cs="Palatino Linotype"/>
        </w:rPr>
        <w:t xml:space="preserve"> se estaría dando cuenta de los aparatos que se utilizan para estar en comunicación los policías, así como, el equipo y armamento especial, con el que cuentan los vehículos, y que es utilizado para mantener la seguridad dentro del territorio Estatal.</w:t>
      </w:r>
    </w:p>
    <w:p w:rsidR="00807EBC" w:rsidRDefault="00807EBC">
      <w:pP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Inclusive, dar a conocer las especificaciones de las patrullas, podría ocasionar que los entes delincuenciales buscan clonar dichos vehículos, con el fin de aumentar la inseguridad de la Entidad, pues podrían hacerse pasar como elementos de seguridad, o bien, podría ser utilizada dicha información para buscar las debilidades de las mismas y poderse aprovechar de dichas situaciones para realizar diversos delitos, lo cual va en detrimento de la paz y orden social.</w:t>
      </w:r>
    </w:p>
    <w:p w:rsidR="00807EBC" w:rsidRDefault="00807EBC">
      <w:pP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 xml:space="preserve">Conforme a lo anterior, se puede colegir que proporcionar la información en análisis podría comprometer la seguridad pública, al poner en peligro las funciones a cargo </w:t>
      </w:r>
      <w:r>
        <w:rPr>
          <w:rFonts w:ascii="Palatino Linotype" w:eastAsia="Palatino Linotype" w:hAnsi="Palatino Linotype" w:cs="Palatino Linotype"/>
          <w:color w:val="000000"/>
        </w:rPr>
        <w:t xml:space="preserve">del Municipio,  tendientes a preservar y resguardar la vida, la salud, la integridad y el ejercicio de los derechos de las personas, así como para el mantenimiento del orden </w:t>
      </w:r>
      <w:r>
        <w:rPr>
          <w:rFonts w:ascii="Palatino Linotype" w:eastAsia="Palatino Linotype" w:hAnsi="Palatino Linotype" w:cs="Palatino Linotype"/>
        </w:rPr>
        <w:t>público</w:t>
      </w:r>
      <w:r>
        <w:rPr>
          <w:rFonts w:ascii="Palatino Linotype" w:eastAsia="Palatino Linotype" w:hAnsi="Palatino Linotype" w:cs="Palatino Linotype"/>
          <w:color w:val="000000"/>
        </w:rPr>
        <w:t xml:space="preserve">, toda vez </w:t>
      </w:r>
      <w:r>
        <w:rPr>
          <w:rFonts w:ascii="Palatino Linotype" w:eastAsia="Palatino Linotype" w:hAnsi="Palatino Linotype" w:cs="Palatino Linotype"/>
          <w:b/>
          <w:bCs/>
          <w:color w:val="000000"/>
        </w:rPr>
        <w:t xml:space="preserve">que da cuenta de las tecnologías, equipos y sistemas con que cuentan las patrullas con que cuenta la Dirección de Seguridad Pública o análogo, </w:t>
      </w:r>
      <w:r>
        <w:rPr>
          <w:rFonts w:ascii="Palatino Linotype" w:eastAsia="Palatino Linotype" w:hAnsi="Palatino Linotype" w:cs="Palatino Linotype"/>
          <w:color w:val="000000"/>
        </w:rPr>
        <w:t xml:space="preserve">y por lo tanto, acredita la </w:t>
      </w:r>
      <w:r>
        <w:rPr>
          <w:rFonts w:ascii="Palatino Linotype" w:eastAsia="Palatino Linotype" w:hAnsi="Palatino Linotype" w:cs="Palatino Linotype"/>
          <w:color w:val="000000"/>
        </w:rPr>
        <w:lastRenderedPageBreak/>
        <w:t>causal de clasificación prevista en el artículo 140, fracción I, de la Ley de Transparencia y Acceso a la Información Pública del Estado de México</w:t>
      </w:r>
      <w:r>
        <w:rPr>
          <w:rFonts w:ascii="Palatino Linotype" w:eastAsia="Palatino Linotype" w:hAnsi="Palatino Linotype" w:cs="Palatino Linotype"/>
          <w:b/>
          <w:bCs/>
          <w:color w:val="000000"/>
        </w:rPr>
        <w:t>.</w:t>
      </w:r>
    </w:p>
    <w:p w:rsidR="00807EBC" w:rsidRDefault="00807EBC">
      <w:pP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Ahora bien, cabe traer a colación el artículo 141 de la Ley de Transparencia y Acceso a la Información Pública del Estado de México y Municipios, que establece que las causales de reserva se deberán fundar y motivar, a través de la aplicación de la prueba de daño establecida en el artículo 129 de dicho ordenamiento, que se debe justificar de la siguiente manera:</w:t>
      </w:r>
    </w:p>
    <w:p w:rsidR="00807EBC" w:rsidRDefault="00747F35">
      <w:pPr>
        <w:numPr>
          <w:ilvl w:val="0"/>
          <w:numId w:val="6"/>
        </w:numPr>
        <w:spacing w:line="360" w:lineRule="auto"/>
        <w:ind w:left="709" w:right="-787" w:firstLine="0"/>
        <w:jc w:val="both"/>
        <w:rPr>
          <w:rFonts w:ascii="Palatino Linotype" w:eastAsia="Palatino Linotype" w:hAnsi="Palatino Linotype" w:cs="Palatino Linotype"/>
        </w:rPr>
      </w:pPr>
      <w:r>
        <w:rPr>
          <w:rFonts w:ascii="Palatino Linotype" w:eastAsia="Palatino Linotype" w:hAnsi="Palatino Linotype" w:cs="Palatino Linotype"/>
        </w:rPr>
        <w:t>La divulgación de la información representa un riesgo real, demostrable e identificable de perjuicio significativo al interés público o a la seguridad nacional.</w:t>
      </w:r>
    </w:p>
    <w:p w:rsidR="00807EBC" w:rsidRDefault="00747F35">
      <w:pPr>
        <w:numPr>
          <w:ilvl w:val="0"/>
          <w:numId w:val="6"/>
        </w:numPr>
        <w:spacing w:line="360" w:lineRule="auto"/>
        <w:ind w:left="709" w:right="-787" w:firstLine="0"/>
        <w:jc w:val="both"/>
        <w:rPr>
          <w:rFonts w:ascii="Palatino Linotype" w:eastAsia="Palatino Linotype" w:hAnsi="Palatino Linotype" w:cs="Palatino Linotype"/>
        </w:rPr>
      </w:pPr>
      <w:r>
        <w:rPr>
          <w:rFonts w:ascii="Palatino Linotype" w:eastAsia="Palatino Linotype" w:hAnsi="Palatino Linotype" w:cs="Palatino Linotype"/>
        </w:rPr>
        <w:t>El riesgo de perjuicio supera el interés público general de que se difunda.</w:t>
      </w:r>
    </w:p>
    <w:p w:rsidR="00807EBC" w:rsidRDefault="00747F35">
      <w:pPr>
        <w:numPr>
          <w:ilvl w:val="0"/>
          <w:numId w:val="6"/>
        </w:numPr>
        <w:spacing w:line="360" w:lineRule="auto"/>
        <w:ind w:left="709" w:right="-787" w:firstLine="0"/>
        <w:jc w:val="both"/>
        <w:rPr>
          <w:rFonts w:ascii="Palatino Linotype" w:eastAsia="Palatino Linotype" w:hAnsi="Palatino Linotype" w:cs="Palatino Linotype"/>
        </w:rPr>
      </w:pPr>
      <w:r>
        <w:rPr>
          <w:rFonts w:ascii="Palatino Linotype" w:eastAsia="Palatino Linotype" w:hAnsi="Palatino Linotype" w:cs="Palatino Linotype"/>
        </w:rPr>
        <w:t>Que la limitación se adecua al principio de proporcionalidad y representa el medio menos restrictivo disponible para evitar el perjuicio.</w:t>
      </w:r>
    </w:p>
    <w:p w:rsidR="00807EBC" w:rsidRDefault="00807EBC">
      <w:pP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Así, se desprende que es reservada toda aquella información que revele el estado de fuerza, y que puede ser utilizada para poner en riesgo la seguridad pública, como en el caso serían las especificaciones técnicas y equipamiento de patrullas, de advertirse estas en el listado de vehículos del que se ordena su entrega; se deberá entregar en versión pública cumpliéndose a cabalidad las formalidades antes indicadas.</w:t>
      </w:r>
    </w:p>
    <w:p w:rsidR="00807EBC" w:rsidRDefault="00807EBC">
      <w:pP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Lo anterior, de conformidad con lo que señalan los artículos 3 fracciones IX, XX, XXI y XLV, 91, 132 fracciones II y III, y 143 de la Ley de Transparencia y Acceso a la Información Pública del Estado de México y Municipios que establecen:</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3.</w:t>
      </w:r>
      <w:r>
        <w:rPr>
          <w:rFonts w:ascii="Palatino Linotype" w:eastAsia="Palatino Linotype" w:hAnsi="Palatino Linotype" w:cs="Palatino Linotype"/>
          <w:i/>
          <w:iCs/>
        </w:rPr>
        <w:t xml:space="preserve"> Para los efectos de la presente Ley se entenderá por:</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IX. Datos personales: La información concerniente a una persona, identificada o identificable según lo dispuesto por la Ley de Protección de Datos Personales del Estado de México;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XX. Información clasificada: Aquella considerada por la presente Ley como reservada o confidencial;</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XLV. Versión pública: Documento en el que se elimine, suprime o borra la información clasificada como reservada o confidencial para permitir su acceso.</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807EBC" w:rsidRDefault="00807EBC">
      <w:pPr>
        <w:spacing w:line="360" w:lineRule="auto"/>
        <w:ind w:left="567" w:right="-787"/>
        <w:jc w:val="both"/>
        <w:rPr>
          <w:rFonts w:ascii="Palatino Linotype" w:eastAsia="Palatino Linotype" w:hAnsi="Palatino Linotype" w:cs="Palatino Linotype"/>
          <w:i/>
          <w:iCs/>
        </w:rPr>
      </w:pP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91.</w:t>
      </w:r>
      <w:r>
        <w:rPr>
          <w:rFonts w:ascii="Palatino Linotype" w:eastAsia="Palatino Linotype" w:hAnsi="Palatino Linotype" w:cs="Palatino Linotype"/>
          <w:i/>
          <w:iCs/>
        </w:rPr>
        <w:t xml:space="preserve"> El acceso a la información pública será restringido excepcionalmente, cuando ésta sea clasificada como reservada o confidencial.</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132.</w:t>
      </w:r>
      <w:r>
        <w:rPr>
          <w:rFonts w:ascii="Palatino Linotype" w:eastAsia="Palatino Linotype" w:hAnsi="Palatino Linotype" w:cs="Palatino Linotype"/>
          <w:i/>
          <w:iCs/>
        </w:rPr>
        <w:t xml:space="preserve"> La clasificación de la información se llevará a cabo en el momento en que:</w:t>
      </w:r>
    </w:p>
    <w:p w:rsidR="00807EBC" w:rsidRDefault="00747F35">
      <w:pPr>
        <w:tabs>
          <w:tab w:val="left" w:pos="1134"/>
        </w:tabs>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I. Se reciba una solicitud de acceso a la información;</w:t>
      </w:r>
    </w:p>
    <w:p w:rsidR="00807EBC" w:rsidRDefault="00747F35">
      <w:pPr>
        <w:tabs>
          <w:tab w:val="left" w:pos="1134"/>
        </w:tabs>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II. Se determine mediante resolución de autoridad competente; o</w:t>
      </w:r>
    </w:p>
    <w:p w:rsidR="00807EBC" w:rsidRDefault="00747F35">
      <w:pPr>
        <w:tabs>
          <w:tab w:val="left" w:pos="1134"/>
        </w:tabs>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III. Se generen versiones públicas para dar cumplimiento a las obligaciones de transparencia previstas en esta Ley.</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807EBC" w:rsidRDefault="00807EBC">
      <w:pPr>
        <w:spacing w:line="360" w:lineRule="auto"/>
        <w:ind w:left="567" w:right="-787"/>
        <w:jc w:val="both"/>
        <w:rPr>
          <w:rFonts w:ascii="Palatino Linotype" w:eastAsia="Palatino Linotype" w:hAnsi="Palatino Linotype" w:cs="Palatino Linotype"/>
          <w:i/>
          <w:iCs/>
        </w:rPr>
      </w:pP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143</w:t>
      </w:r>
      <w:r>
        <w:rPr>
          <w:rFonts w:ascii="Palatino Linotype" w:eastAsia="Palatino Linotype" w:hAnsi="Palatino Linotype" w:cs="Palatino Linotype"/>
          <w:i/>
          <w:iCs/>
        </w:rPr>
        <w:t>. Para los efectos de esta Ley se considera información confidencial, la clasificada como tal, de manera permanente, por su naturaleza, cuando:</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I. Se refiera a la información privada y los datos personales concernientes a una persona física o jurídico colectiva identificada o identificable;</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II. Los secretos bancario, fiduciario, industrial, comercial, fiscal, bursátil y postal, cuya titularidad corresponda a particulares, sujetos de derecho internacional o a sujetos obligados cuando no involucren el ejercicio de recursos públicos; y</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III. La que presenten los particulares a los sujetos obligados, de conformidad con lo dispuesto por las leyes o los tratados internacionales.</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La información confidencial no estará sujeta a temporalidad alguna y sólo podrán tener acceso a ella los titulares de la misma, sus representantes y los servidores públicos facultados para ello.</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No se considerará confidencial la información que se encuentre en los registros públicos o en fuentes de acceso público, ni tampoco la que sea considerada por la presente ley como información pública.”</w:t>
      </w:r>
    </w:p>
    <w:p w:rsidR="00807EBC" w:rsidRDefault="00807EBC">
      <w:pPr>
        <w:spacing w:line="360" w:lineRule="auto"/>
        <w:ind w:left="567" w:right="-787"/>
        <w:jc w:val="both"/>
        <w:rPr>
          <w:rFonts w:ascii="Palatino Linotype" w:eastAsia="Palatino Linotype" w:hAnsi="Palatino Linotype" w:cs="Palatino Linotype"/>
          <w:i/>
          <w:iCs/>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tienen por objeto establecer los criterios con base en los cuales los sujetos obligados clasificará como reservada o confidencial la información que posean, desclasificará y generarán, en su caso, versiones públicas de expedientes o documentos que contengan partes o secciones clasificadas.</w:t>
      </w: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otro lado, es de destacar que los artículos Quincuagésimo, Quincuagésimo primero, Quincuagésimo segundo, de los Lineamientos Generales en Materia de Clasificación y Desclasificación de la Información, así como para la Elaboración de </w:t>
      </w:r>
      <w:r>
        <w:rPr>
          <w:rFonts w:ascii="Palatino Linotype" w:eastAsia="Palatino Linotype" w:hAnsi="Palatino Linotype" w:cs="Palatino Linotype"/>
        </w:rPr>
        <w:lastRenderedPageBreak/>
        <w:t>Versiones Públicas señalan las formalidades que deberá llevar el acuerdo de clasificación que deberá emitir el Sujeto Obligado, siendo estas las siguientes:</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Quincuagésimo</w:t>
      </w:r>
      <w:r>
        <w:rPr>
          <w:rFonts w:ascii="Palatino Linotype" w:eastAsia="Palatino Linotype" w:hAnsi="Palatino Linotype" w:cs="Palatino Linotype"/>
          <w:i/>
          <w:iCs/>
        </w:rPr>
        <w:t xml:space="preserve">.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rsidR="00807EBC" w:rsidRDefault="00747F35">
      <w:pPr>
        <w:pBdr>
          <w:top w:val="nil"/>
          <w:left w:val="nil"/>
          <w:bottom w:val="nil"/>
          <w:right w:val="nil"/>
          <w:between w:val="nil"/>
        </w:pBd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Quincuagésimo primero.</w:t>
      </w:r>
      <w:r>
        <w:rPr>
          <w:rFonts w:ascii="Palatino Linotype" w:eastAsia="Palatino Linotype" w:hAnsi="Palatino Linotype" w:cs="Palatino Linotype"/>
          <w:i/>
          <w:iCs/>
        </w:rPr>
        <w:t xml:space="preserve"> Toda acta del Comité de Transparencia deberá contener: </w:t>
      </w:r>
    </w:p>
    <w:p w:rsidR="00807EBC" w:rsidRDefault="00747F35">
      <w:pPr>
        <w:pBdr>
          <w:top w:val="nil"/>
          <w:left w:val="nil"/>
          <w:bottom w:val="nil"/>
          <w:right w:val="nil"/>
          <w:between w:val="nil"/>
        </w:pBd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El número de sesión y fecha; </w:t>
      </w:r>
    </w:p>
    <w:p w:rsidR="00807EBC" w:rsidRDefault="00747F35">
      <w:pPr>
        <w:pBdr>
          <w:top w:val="nil"/>
          <w:left w:val="nil"/>
          <w:bottom w:val="nil"/>
          <w:right w:val="nil"/>
          <w:between w:val="nil"/>
        </w:pBd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El nombre del área que solicitó la clasificación de información; </w:t>
      </w:r>
    </w:p>
    <w:p w:rsidR="00807EBC" w:rsidRDefault="00747F35">
      <w:pPr>
        <w:pBdr>
          <w:top w:val="nil"/>
          <w:left w:val="nil"/>
          <w:bottom w:val="nil"/>
          <w:right w:val="nil"/>
          <w:between w:val="nil"/>
        </w:pBd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La fundamentación legal y motivación correspondiente; </w:t>
      </w:r>
    </w:p>
    <w:p w:rsidR="00807EBC" w:rsidRDefault="00747F35">
      <w:pPr>
        <w:pBdr>
          <w:top w:val="nil"/>
          <w:left w:val="nil"/>
          <w:bottom w:val="nil"/>
          <w:right w:val="nil"/>
          <w:between w:val="nil"/>
        </w:pBd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La resolución o resoluciones aprobadas; y </w:t>
      </w:r>
    </w:p>
    <w:p w:rsidR="00807EBC" w:rsidRDefault="00747F35">
      <w:pPr>
        <w:pBdr>
          <w:top w:val="nil"/>
          <w:left w:val="nil"/>
          <w:bottom w:val="nil"/>
          <w:right w:val="nil"/>
          <w:between w:val="nil"/>
        </w:pBd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La rúbrica o firma digital de cada integrante del Comité de Transparencia. </w:t>
      </w:r>
    </w:p>
    <w:p w:rsidR="00807EBC" w:rsidRDefault="00747F35">
      <w:pPr>
        <w:pBdr>
          <w:top w:val="nil"/>
          <w:left w:val="nil"/>
          <w:bottom w:val="nil"/>
          <w:right w:val="nil"/>
          <w:between w:val="nil"/>
        </w:pBd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Las resoluciones del Comité en las que se haya determinado confirmar o modificar la clasificación de información pública como reservada, deberán incluir, cuando menos: </w:t>
      </w:r>
    </w:p>
    <w:p w:rsidR="00807EBC" w:rsidRDefault="00747F35">
      <w:pPr>
        <w:pBdr>
          <w:top w:val="nil"/>
          <w:left w:val="nil"/>
          <w:bottom w:val="nil"/>
          <w:right w:val="nil"/>
          <w:between w:val="nil"/>
        </w:pBd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I. Los motivos y razonamientos que sustenten la confirmación o modificación de la prueba de daño;</w:t>
      </w:r>
    </w:p>
    <w:p w:rsidR="00807EBC" w:rsidRDefault="00747F35">
      <w:pPr>
        <w:pBdr>
          <w:top w:val="nil"/>
          <w:left w:val="nil"/>
          <w:bottom w:val="nil"/>
          <w:right w:val="nil"/>
          <w:between w:val="nil"/>
        </w:pBd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Descripción de las partes o secciones reservadas, en caso de clasificación parcial; </w:t>
      </w:r>
    </w:p>
    <w:p w:rsidR="00807EBC" w:rsidRDefault="00747F35">
      <w:pPr>
        <w:pBdr>
          <w:top w:val="nil"/>
          <w:left w:val="nil"/>
          <w:bottom w:val="nil"/>
          <w:right w:val="nil"/>
          <w:between w:val="nil"/>
        </w:pBd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El periodo por el que mantendrá su clasificación y fecha de expiración; y </w:t>
      </w:r>
    </w:p>
    <w:p w:rsidR="00807EBC" w:rsidRDefault="00747F35">
      <w:pPr>
        <w:pBdr>
          <w:top w:val="nil"/>
          <w:left w:val="nil"/>
          <w:bottom w:val="nil"/>
          <w:right w:val="nil"/>
          <w:between w:val="nil"/>
        </w:pBd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El nombre del titular y área encargada de realizar la versión pública del documento, en su caso. </w:t>
      </w:r>
    </w:p>
    <w:p w:rsidR="00807EBC" w:rsidRDefault="00747F35">
      <w:pPr>
        <w:pBdr>
          <w:top w:val="nil"/>
          <w:left w:val="nil"/>
          <w:bottom w:val="nil"/>
          <w:right w:val="nil"/>
          <w:between w:val="nil"/>
        </w:pBd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En los casos en que se clasifique la información como reservada siempre se entregará o anexará la prueba de daño con la respuesta al solicitante. </w:t>
      </w:r>
    </w:p>
    <w:p w:rsidR="00807EBC" w:rsidRDefault="00747F35">
      <w:pPr>
        <w:pBdr>
          <w:top w:val="nil"/>
          <w:left w:val="nil"/>
          <w:bottom w:val="nil"/>
          <w:right w:val="nil"/>
          <w:between w:val="nil"/>
        </w:pBd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En los casos de resoluciones del Comité de Transparencia en las que se confirme la clasificación de información confidencial solo se deberán de identificar los tipos de datos protegidos, de conformidad con el lineamiento trigésimo octavo.</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Quincuagésimo segundo.</w:t>
      </w:r>
      <w:r>
        <w:rPr>
          <w:rFonts w:ascii="Palatino Linotype" w:eastAsia="Palatino Linotype" w:hAnsi="Palatino Linotype" w:cs="Palatino Linotype"/>
          <w:i/>
          <w:iCs/>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En el caso específico de la clasificación y elaboración de versiones públicas de documentos que contengan información confidencial, las áreas de los sujetos obligados deberán: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I. Fijar la fecha en que se elaboró la versión pública y la fecha en la cual el Comité de Transparencia confirmó dicha versión;</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II. Señalar dentro del documento el tipo de información confidencial que fue testada en cada caso específico, de conformidad con el lineamiento trigésimo octavo; y</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III. Señalar las personas o instancias autorizadas a acceder a la información clasificada.</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En los documentos de difusión electrónica, señalar en la primera hoja y en el nombre del archivo, que la versión pública corresponde a un documento que contiene información confidencial.”</w:t>
      </w:r>
    </w:p>
    <w:p w:rsidR="00BD161C" w:rsidRDefault="00BD161C">
      <w:pPr>
        <w:spacing w:line="360" w:lineRule="auto"/>
        <w:ind w:left="567" w:right="-787"/>
        <w:jc w:val="both"/>
        <w:rPr>
          <w:rFonts w:ascii="Palatino Linotype" w:eastAsia="Palatino Linotype" w:hAnsi="Palatino Linotype" w:cs="Palatino Linotype"/>
          <w:i/>
          <w:iCs/>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igual forma, deberá observar los Lineamientos Quincuagésimo cuarto, Quincuagésimo quinto, Quincuagésimo séptimo y Quincuagésimo octavo, establecen lo siguiente:</w:t>
      </w:r>
    </w:p>
    <w:p w:rsidR="00807EBC" w:rsidRDefault="00747F35">
      <w:pPr>
        <w:pBdr>
          <w:top w:val="nil"/>
          <w:left w:val="nil"/>
          <w:bottom w:val="nil"/>
          <w:right w:val="nil"/>
          <w:between w:val="nil"/>
        </w:pBd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Quincuagésimo cuarto.</w:t>
      </w:r>
      <w:r>
        <w:rPr>
          <w:rFonts w:ascii="Palatino Linotype" w:eastAsia="Palatino Linotype" w:hAnsi="Palatino Linotype" w:cs="Palatino Linotype"/>
          <w:i/>
          <w:iCs/>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w:t>
      </w:r>
      <w:r>
        <w:rPr>
          <w:rFonts w:ascii="Palatino Linotype" w:eastAsia="Palatino Linotype" w:hAnsi="Palatino Linotype" w:cs="Palatino Linotype"/>
          <w:i/>
          <w:iCs/>
        </w:rPr>
        <w:lastRenderedPageBreak/>
        <w:t xml:space="preserve">del expediente del cual formen parte, la fecha y sesión del Comité de Transparencia en la que se confirmó dicha clasificación.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Quincuagésimo quinto.</w:t>
      </w:r>
      <w:r>
        <w:rPr>
          <w:rFonts w:ascii="Palatino Linotype" w:eastAsia="Palatino Linotype" w:hAnsi="Palatino Linotype" w:cs="Palatino Linotype"/>
          <w:i/>
          <w:iCs/>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Quincuagésimo séptimo.</w:t>
      </w:r>
      <w:r>
        <w:rPr>
          <w:rFonts w:ascii="Palatino Linotype" w:eastAsia="Palatino Linotype" w:hAnsi="Palatino Linotype" w:cs="Palatino Linotype"/>
          <w:i/>
          <w:iCs/>
        </w:rPr>
        <w:t xml:space="preserve"> Se considera, en principio, como información pública y no podrá omitirse de las versiones públicas la siguiente: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La relativa a las Obligaciones de Transparencia que contempla el Título V de la Ley General y las demás disposiciones legales aplicables;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II. El nombre de los integrantes de los sujetos obligados en los documentos, y sus firmas autógrafas o digitales, cuando sean utilizados en el ejercicio de las facultades conferidas para el desempeño del servicio público, y</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 anterior, siempre y cuando no se acredite alguna causal de clasificación, prevista en las leyes o en los tratados internacionales suscritas por el Estado mexicano.  </w:t>
      </w:r>
    </w:p>
    <w:p w:rsidR="00807EBC" w:rsidRDefault="00747F35">
      <w:pPr>
        <w:spacing w:line="360" w:lineRule="auto"/>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Quincuagésimo octavo. Los sujetos obligados garantizarán que los sistemas o medios empleados para eliminar la información en las versiones públicas sean irreversibles, de tal forma que no permitan su recuperación o la visualización de la misma.”</w:t>
      </w:r>
    </w:p>
    <w:p w:rsidR="00807EBC" w:rsidRDefault="00807EBC">
      <w:pPr>
        <w:spacing w:line="360" w:lineRule="auto"/>
        <w:ind w:left="567" w:right="-787"/>
        <w:jc w:val="both"/>
        <w:rPr>
          <w:rFonts w:ascii="Palatino Linotype" w:eastAsia="Palatino Linotype" w:hAnsi="Palatino Linotype" w:cs="Palatino Linotype"/>
          <w:i/>
          <w:iCs/>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Por otro lado, por lo que se refiere a las tarjetas de circulación, se menciona que el tránsito de todo tipo de vehículo, de conformidad con el artículo 8.11 del Código Administrativo del Estado de México, se condiciona al cumplimiento de los siguientes requisitos:</w:t>
      </w:r>
    </w:p>
    <w:p w:rsidR="00807EBC" w:rsidRDefault="00747F35">
      <w:pPr>
        <w:spacing w:line="360" w:lineRule="auto"/>
        <w:ind w:left="284" w:right="-787"/>
        <w:jc w:val="both"/>
        <w:rPr>
          <w:rFonts w:ascii="Palatino Linotype" w:eastAsia="Palatino Linotype" w:hAnsi="Palatino Linotype" w:cs="Palatino Linotype"/>
        </w:rPr>
      </w:pPr>
      <w:r>
        <w:rPr>
          <w:rFonts w:ascii="Palatino Linotype" w:eastAsia="Palatino Linotype" w:hAnsi="Palatino Linotype" w:cs="Palatino Linotype"/>
          <w:b/>
          <w:bCs/>
        </w:rPr>
        <w:t>I</w:t>
      </w:r>
      <w:r>
        <w:rPr>
          <w:rFonts w:ascii="Palatino Linotype" w:eastAsia="Palatino Linotype" w:hAnsi="Palatino Linotype" w:cs="Palatino Linotype"/>
        </w:rPr>
        <w:t xml:space="preserve">. </w:t>
      </w:r>
      <w:r>
        <w:rPr>
          <w:rFonts w:ascii="Palatino Linotype" w:eastAsia="Palatino Linotype" w:hAnsi="Palatino Linotype" w:cs="Palatino Linotype"/>
          <w:b/>
          <w:bCs/>
        </w:rPr>
        <w:t>Que estén matriculados o registrados en la República Mexicana o el extranjero</w:t>
      </w:r>
      <w:r>
        <w:rPr>
          <w:rFonts w:ascii="Palatino Linotype" w:eastAsia="Palatino Linotype" w:hAnsi="Palatino Linotype" w:cs="Palatino Linotype"/>
        </w:rPr>
        <w:t xml:space="preserve">; </w:t>
      </w:r>
    </w:p>
    <w:p w:rsidR="00807EBC" w:rsidRDefault="00747F35">
      <w:pPr>
        <w:spacing w:line="360" w:lineRule="auto"/>
        <w:ind w:left="284" w:right="-787"/>
        <w:jc w:val="both"/>
        <w:rPr>
          <w:rFonts w:ascii="Palatino Linotype" w:eastAsia="Palatino Linotype" w:hAnsi="Palatino Linotype" w:cs="Palatino Linotype"/>
        </w:rPr>
      </w:pPr>
      <w:r>
        <w:rPr>
          <w:rFonts w:ascii="Palatino Linotype" w:eastAsia="Palatino Linotype" w:hAnsi="Palatino Linotype" w:cs="Palatino Linotype"/>
          <w:b/>
          <w:bCs/>
        </w:rPr>
        <w:t>II</w:t>
      </w:r>
      <w:r>
        <w:rPr>
          <w:rFonts w:ascii="Palatino Linotype" w:eastAsia="Palatino Linotype" w:hAnsi="Palatino Linotype" w:cs="Palatino Linotype"/>
        </w:rPr>
        <w:t xml:space="preserve">. Que reúnan las especificaciones de seguridad y salubridad exigidas por las leyes y reglamentos; </w:t>
      </w:r>
    </w:p>
    <w:p w:rsidR="00807EBC" w:rsidRDefault="00747F35">
      <w:pPr>
        <w:spacing w:line="360" w:lineRule="auto"/>
        <w:ind w:left="284" w:right="-787"/>
        <w:jc w:val="both"/>
        <w:rPr>
          <w:rFonts w:ascii="Palatino Linotype" w:eastAsia="Palatino Linotype" w:hAnsi="Palatino Linotype" w:cs="Palatino Linotype"/>
        </w:rPr>
      </w:pPr>
      <w:r>
        <w:rPr>
          <w:rFonts w:ascii="Palatino Linotype" w:eastAsia="Palatino Linotype" w:hAnsi="Palatino Linotype" w:cs="Palatino Linotype"/>
          <w:b/>
          <w:bCs/>
        </w:rPr>
        <w:t>III</w:t>
      </w:r>
      <w:r>
        <w:rPr>
          <w:rFonts w:ascii="Palatino Linotype" w:eastAsia="Palatino Linotype" w:hAnsi="Palatino Linotype" w:cs="Palatino Linotype"/>
        </w:rPr>
        <w:t xml:space="preserve">. Que tengan el equipo y accesorios necesarios que señalen las normas correspondientes, de acuerdo con el tipo de vehículo de que se trate y el destino de su operación o fin; </w:t>
      </w:r>
    </w:p>
    <w:p w:rsidR="00807EBC" w:rsidRDefault="00747F35">
      <w:pPr>
        <w:spacing w:line="360" w:lineRule="auto"/>
        <w:ind w:left="284" w:right="-787"/>
        <w:jc w:val="both"/>
        <w:rPr>
          <w:rFonts w:ascii="Palatino Linotype" w:eastAsia="Palatino Linotype" w:hAnsi="Palatino Linotype" w:cs="Palatino Linotype"/>
        </w:rPr>
      </w:pPr>
      <w:r>
        <w:rPr>
          <w:rFonts w:ascii="Palatino Linotype" w:eastAsia="Palatino Linotype" w:hAnsi="Palatino Linotype" w:cs="Palatino Linotype"/>
          <w:b/>
          <w:bCs/>
        </w:rPr>
        <w:t>IV</w:t>
      </w:r>
      <w:r>
        <w:rPr>
          <w:rFonts w:ascii="Palatino Linotype" w:eastAsia="Palatino Linotype" w:hAnsi="Palatino Linotype" w:cs="Palatino Linotype"/>
        </w:rPr>
        <w:t xml:space="preserve">. </w:t>
      </w:r>
      <w:r>
        <w:rPr>
          <w:rFonts w:ascii="Palatino Linotype" w:eastAsia="Palatino Linotype" w:hAnsi="Palatino Linotype" w:cs="Palatino Linotype"/>
          <w:b/>
          <w:bCs/>
        </w:rPr>
        <w:t>Que estén provistos de placas de matriculación o permisos vigentes</w:t>
      </w:r>
      <w:r>
        <w:rPr>
          <w:rFonts w:ascii="Palatino Linotype" w:eastAsia="Palatino Linotype" w:hAnsi="Palatino Linotype" w:cs="Palatino Linotype"/>
        </w:rPr>
        <w:t>.</w:t>
      </w:r>
    </w:p>
    <w:p w:rsidR="00807EBC" w:rsidRDefault="00807EBC">
      <w:pP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este tenor, para obtener las placas matriculación es necesario dar de alta el vehículo correspondiente en el Registro Estatal de Vehículos el cual se encuentra a cargo de la  Secretaría de Finanzas, a través de los Trámites: Alta de vehículos de otra entidad, Alta de vehículos extranjeros importados definitivamente Alta de vehículos nuevos, o Alta de vehículos usados sin antecedente de registro, en los Centros de Servicios Fiscales de la Dirección General de Recaudación, mismos que permite a los  propietarios de vehículos, obtener: </w:t>
      </w:r>
    </w:p>
    <w:p w:rsidR="00807EBC" w:rsidRDefault="00747F35">
      <w:pPr>
        <w:spacing w:line="360" w:lineRule="auto"/>
        <w:ind w:left="284" w:right="-787"/>
        <w:jc w:val="both"/>
        <w:rPr>
          <w:rFonts w:ascii="Palatino Linotype" w:eastAsia="Palatino Linotype" w:hAnsi="Palatino Linotype" w:cs="Palatino Linotype"/>
        </w:rPr>
      </w:pPr>
      <w:r>
        <w:rPr>
          <w:rFonts w:ascii="Palatino Linotype" w:eastAsia="Palatino Linotype" w:hAnsi="Palatino Linotype" w:cs="Palatino Linotype"/>
        </w:rPr>
        <w:t xml:space="preserve">1) Placa(s) </w:t>
      </w:r>
    </w:p>
    <w:p w:rsidR="00807EBC" w:rsidRDefault="00747F35">
      <w:pPr>
        <w:spacing w:line="360" w:lineRule="auto"/>
        <w:ind w:left="284" w:right="-787"/>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2) Tarjeta Circulación </w:t>
      </w:r>
    </w:p>
    <w:p w:rsidR="00807EBC" w:rsidRDefault="00747F35">
      <w:pPr>
        <w:spacing w:line="360" w:lineRule="auto"/>
        <w:ind w:left="284" w:right="-787"/>
        <w:jc w:val="both"/>
        <w:rPr>
          <w:rFonts w:ascii="Palatino Linotype" w:eastAsia="Palatino Linotype" w:hAnsi="Palatino Linotype" w:cs="Palatino Linotype"/>
        </w:rPr>
      </w:pPr>
      <w:r>
        <w:rPr>
          <w:rFonts w:ascii="Palatino Linotype" w:eastAsia="Palatino Linotype" w:hAnsi="Palatino Linotype" w:cs="Palatino Linotype"/>
        </w:rPr>
        <w:t>3) En su caso, calcomanía</w:t>
      </w:r>
    </w:p>
    <w:p w:rsidR="00807EBC" w:rsidRDefault="00747F35">
      <w:pPr>
        <w:spacing w:line="360" w:lineRule="auto"/>
        <w:ind w:left="284" w:right="-787"/>
        <w:jc w:val="both"/>
        <w:rPr>
          <w:rFonts w:ascii="Palatino Linotype" w:eastAsia="Palatino Linotype" w:hAnsi="Palatino Linotype" w:cs="Palatino Linotype"/>
        </w:rPr>
      </w:pPr>
      <w:r>
        <w:rPr>
          <w:rFonts w:ascii="Palatino Linotype" w:eastAsia="Palatino Linotype" w:hAnsi="Palatino Linotype" w:cs="Palatino Linotype"/>
        </w:rPr>
        <w:t>4) Constancia de trámite vehicular, con excepción del Alta de vehículos nuevos.</w:t>
      </w:r>
    </w:p>
    <w:p w:rsidR="00807EBC" w:rsidRDefault="00807EBC">
      <w:pPr>
        <w:spacing w:line="360" w:lineRule="auto"/>
        <w:ind w:left="284"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Los requisitos para Personas físicas, Personas jurídico colectivas </w:t>
      </w:r>
      <w:r>
        <w:rPr>
          <w:rFonts w:ascii="Palatino Linotype" w:eastAsia="Palatino Linotype" w:hAnsi="Palatino Linotype" w:cs="Palatino Linotype"/>
          <w:b/>
          <w:bCs/>
          <w:u w:val="single"/>
        </w:rPr>
        <w:t>o Instituciones públicas</w:t>
      </w:r>
      <w:r>
        <w:rPr>
          <w:rFonts w:ascii="Palatino Linotype" w:eastAsia="Palatino Linotype" w:hAnsi="Palatino Linotype" w:cs="Palatino Linotype"/>
        </w:rPr>
        <w:t>, se encuentran establecidos en el Registro Estatal de Trámites y Servicios del Gobierno del Estado de México.</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 continuación, se insertan de manera ejemplificativa los requisitos necesarios para realizar el trámite de Alta de vehículos nuevos, para un mejor entendimiento:</w:t>
      </w:r>
    </w:p>
    <w:p w:rsidR="00807EBC" w:rsidRDefault="00747F35">
      <w:pPr>
        <w:spacing w:line="360" w:lineRule="auto"/>
        <w:ind w:right="-787"/>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extent cx="3960000" cy="313377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3960000" cy="3133770"/>
                    </a:xfrm>
                    <a:prstGeom prst="rect">
                      <a:avLst/>
                    </a:prstGeom>
                    <a:ln/>
                  </pic:spPr>
                </pic:pic>
              </a:graphicData>
            </a:graphic>
          </wp:inline>
        </w:drawing>
      </w:r>
      <w:r>
        <w:rPr>
          <w:rFonts w:ascii="Palatino Linotype" w:eastAsia="Palatino Linotype" w:hAnsi="Palatino Linotype" w:cs="Palatino Linotype"/>
          <w:noProof/>
          <w:lang w:val="es-MX"/>
        </w:rPr>
        <w:drawing>
          <wp:inline distT="0" distB="0" distL="0" distR="0">
            <wp:extent cx="3960000" cy="981267"/>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t="-1" b="69864"/>
                    <a:stretch>
                      <a:fillRect/>
                    </a:stretch>
                  </pic:blipFill>
                  <pic:spPr>
                    <a:xfrm>
                      <a:off x="0" y="0"/>
                      <a:ext cx="3960000" cy="981267"/>
                    </a:xfrm>
                    <a:prstGeom prst="rect">
                      <a:avLst/>
                    </a:prstGeom>
                    <a:ln/>
                  </pic:spPr>
                </pic:pic>
              </a:graphicData>
            </a:graphic>
          </wp:inline>
        </w:drawing>
      </w:r>
    </w:p>
    <w:p w:rsidR="00807EBC" w:rsidRDefault="00807EBC">
      <w:pPr>
        <w:spacing w:line="360" w:lineRule="auto"/>
        <w:ind w:right="-787"/>
        <w:jc w:val="center"/>
        <w:rPr>
          <w:rFonts w:ascii="Palatino Linotype" w:eastAsia="Palatino Linotype" w:hAnsi="Palatino Linotype" w:cs="Palatino Linotype"/>
        </w:rPr>
      </w:pPr>
    </w:p>
    <w:p w:rsidR="00807EBC" w:rsidRDefault="00747F35">
      <w:pPr>
        <w:spacing w:line="360" w:lineRule="auto"/>
        <w:ind w:right="-787"/>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extent cx="3960000" cy="2235984"/>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t="31010" b="318"/>
                    <a:stretch>
                      <a:fillRect/>
                    </a:stretch>
                  </pic:blipFill>
                  <pic:spPr>
                    <a:xfrm>
                      <a:off x="0" y="0"/>
                      <a:ext cx="3960000" cy="2235984"/>
                    </a:xfrm>
                    <a:prstGeom prst="rect">
                      <a:avLst/>
                    </a:prstGeom>
                    <a:ln/>
                  </pic:spPr>
                </pic:pic>
              </a:graphicData>
            </a:graphic>
          </wp:inline>
        </w:drawing>
      </w:r>
    </w:p>
    <w:p w:rsidR="00BD161C" w:rsidRDefault="00BD161C">
      <w:pPr>
        <w:spacing w:line="360" w:lineRule="auto"/>
        <w:ind w:right="-787"/>
        <w:jc w:val="center"/>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Con base en lo anterior se concluye que las instituciones públicas se encuentran obligadas a dar de alta las unidades vehiculares oficiales que integren su patrimonio, en el Registro Estatal de Vehículos, para poder transitar, y </w:t>
      </w:r>
      <w:r>
        <w:rPr>
          <w:rFonts w:ascii="Palatino Linotype" w:eastAsia="Palatino Linotype" w:hAnsi="Palatino Linotype" w:cs="Palatino Linotype"/>
          <w:b/>
          <w:bCs/>
        </w:rPr>
        <w:t xml:space="preserve">como resultado de dicho trámite se obtienen las placas de matriculación así como </w:t>
      </w:r>
      <w:r>
        <w:rPr>
          <w:rFonts w:ascii="Palatino Linotype" w:eastAsia="Palatino Linotype" w:hAnsi="Palatino Linotype" w:cs="Palatino Linotype"/>
          <w:b/>
          <w:bCs/>
          <w:u w:val="single"/>
        </w:rPr>
        <w:t>la tarjeta de circulación</w:t>
      </w:r>
      <w:r>
        <w:rPr>
          <w:rFonts w:ascii="Palatino Linotype" w:eastAsia="Palatino Linotype" w:hAnsi="Palatino Linotype" w:cs="Palatino Linotype"/>
        </w:rPr>
        <w:t xml:space="preserve">, por lo tanto es evidente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 contar con la información que es del interés de la persona solicitante.</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Respecto de las galerías fotográficas que den cuenta del estado del vehículo y del lugar de estacionamiento asignado, es dable señalar que no se localizó fuente obligacional para el </w:t>
      </w:r>
      <w:r>
        <w:rPr>
          <w:rFonts w:ascii="Palatino Linotype" w:eastAsia="Palatino Linotype" w:hAnsi="Palatino Linotype" w:cs="Palatino Linotype"/>
          <w:b/>
          <w:bCs/>
        </w:rPr>
        <w:t>SUJETO OBLIGADO</w:t>
      </w:r>
      <w:r>
        <w:rPr>
          <w:rFonts w:ascii="Palatino Linotype" w:eastAsia="Palatino Linotype" w:hAnsi="Palatino Linotype" w:cs="Palatino Linotype"/>
        </w:rPr>
        <w:t>, para contar con dicha fotogalería. Por tanto, lo procedente es ordenar una nueva búsqueda exhaustiva y razonable de lo solicitado en todas las áreas de la estructura orgánica del Ayuntamiento que de acuerdo a sus funciones y atribuciones, eventualmente cuenten con lo solicitado.</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lastRenderedPageBreak/>
        <w:t xml:space="preserve">Al respecto, el procedimiento de acceso a la información pública, descrito en el Título </w:t>
      </w:r>
      <w:r>
        <w:rPr>
          <w:rFonts w:ascii="Palatino Linotype" w:eastAsia="Palatino Linotype" w:hAnsi="Palatino Linotype" w:cs="Palatino Linotype"/>
          <w:color w:val="000000"/>
        </w:rPr>
        <w:t>Séptimo</w:t>
      </w:r>
      <w:r>
        <w:rPr>
          <w:rFonts w:ascii="Palatino Linotype" w:eastAsia="Palatino Linotype" w:hAnsi="Palatino Linotype" w:cs="Palatino Linotype"/>
        </w:rPr>
        <w:t xml:space="preserve"> de la Ley de Transparencia describe los pasos que debe seguir la autoridad para atender las solicitudes que presenten las personas en ejercicio de su derecho, entre los cuales se encuentra el deber de las Unidades de Transparencia de turnar a todas las áreas competentes que cuenten con la información o deban tenerla de acuerdo a sus facultades, competencias y funciones, con el objeto de que realicen una búsqueda exhaustiva y razonable de la información solicitada, según se asienta en el artículo 162 de la ley citada.</w:t>
      </w:r>
    </w:p>
    <w:p w:rsidR="00807EBC" w:rsidRDefault="00747F35">
      <w:pPr>
        <w:spacing w:line="360" w:lineRule="auto"/>
        <w:ind w:left="567" w:right="-787"/>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807EBC" w:rsidRDefault="00807EBC">
      <w:pPr>
        <w:spacing w:line="360" w:lineRule="auto"/>
        <w:ind w:left="567" w:right="-787"/>
        <w:jc w:val="both"/>
        <w:rPr>
          <w:rFonts w:ascii="Palatino Linotype" w:eastAsia="Palatino Linotype" w:hAnsi="Palatino Linotype" w:cs="Palatino Linotype"/>
          <w:i/>
          <w:iCs/>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El buscar exhaustivamente en sus archivos, es identificar la unidad(s) administrativa(s) que resguarda el documento al que una persona pretende acceder, es practicar una adecuada gestión documental que nos permite localizar el documento, como bien señala el artículo 159 de la Ley de Transparencia.</w:t>
      </w:r>
    </w:p>
    <w:p w:rsidR="00807EBC" w:rsidRDefault="00807EBC">
      <w:pPr>
        <w:spacing w:line="360" w:lineRule="auto"/>
        <w:ind w:right="-787"/>
        <w:jc w:val="both"/>
        <w:rPr>
          <w:rFonts w:ascii="Palatino Linotype" w:eastAsia="Palatino Linotype" w:hAnsi="Palatino Linotype" w:cs="Palatino Linotype"/>
          <w:b/>
          <w:bCs/>
          <w:color w:val="000000"/>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Ahora bien, si luego de la búsqueda exhaustiva y razonable, no se </w:t>
      </w:r>
      <w:r>
        <w:rPr>
          <w:rFonts w:ascii="Palatino Linotype" w:eastAsia="Palatino Linotype" w:hAnsi="Palatino Linotype" w:cs="Palatino Linotype"/>
        </w:rPr>
        <w:t>localizaron</w:t>
      </w:r>
      <w:r>
        <w:rPr>
          <w:rFonts w:ascii="Palatino Linotype" w:eastAsia="Palatino Linotype" w:hAnsi="Palatino Linotype" w:cs="Palatino Linotype"/>
          <w:color w:val="000000"/>
        </w:rPr>
        <w:t xml:space="preserve"> las </w:t>
      </w:r>
      <w:r>
        <w:rPr>
          <w:rFonts w:ascii="Palatino Linotype" w:eastAsia="Palatino Linotype" w:hAnsi="Palatino Linotype" w:cs="Palatino Linotype"/>
        </w:rPr>
        <w:t>fotogalerías</w:t>
      </w:r>
      <w:r>
        <w:rPr>
          <w:rFonts w:ascii="Palatino Linotype" w:eastAsia="Palatino Linotype" w:hAnsi="Palatino Linotype" w:cs="Palatino Linotype"/>
          <w:color w:val="000000"/>
        </w:rPr>
        <w:t xml:space="preserve"> requeridas bastará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lo haga del conocimiento de la parte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al momento de dar cumplimiento a la presente Resolución en términos del artículo 19 párrafo segundo de la</w:t>
      </w:r>
      <w:r>
        <w:rPr>
          <w:rFonts w:ascii="Palatino Linotype" w:eastAsia="Palatino Linotype" w:hAnsi="Palatino Linotype" w:cs="Palatino Linotype"/>
        </w:rPr>
        <w:t xml:space="preserve"> Ley de Transparencia y Acceso a la Información Pública del Estado de México y Municipios.</w:t>
      </w:r>
    </w:p>
    <w:p w:rsidR="00807EBC" w:rsidRDefault="00807EBC">
      <w:pPr>
        <w:pBdr>
          <w:top w:val="nil"/>
          <w:left w:val="nil"/>
          <w:bottom w:val="nil"/>
          <w:right w:val="nil"/>
          <w:between w:val="nil"/>
        </w:pBdr>
        <w:ind w:left="720" w:right="-787"/>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Lo mismo deberá ocurrir para el caso de no contar con las licencias de </w:t>
      </w:r>
      <w:r>
        <w:rPr>
          <w:rFonts w:ascii="Palatino Linotype" w:eastAsia="Palatino Linotype" w:hAnsi="Palatino Linotype" w:cs="Palatino Linotype"/>
          <w:color w:val="000000"/>
        </w:rPr>
        <w:t>conducir</w:t>
      </w:r>
      <w:r>
        <w:rPr>
          <w:rFonts w:ascii="Palatino Linotype" w:eastAsia="Palatino Linotype" w:hAnsi="Palatino Linotype" w:cs="Palatino Linotype"/>
        </w:rPr>
        <w:t xml:space="preserve"> de los servidores públicos que tengan asignados vehículos bajo su resguardo, en virtud de no existir fuente obligacional para que al momento de la </w:t>
      </w:r>
      <w:r>
        <w:rPr>
          <w:rFonts w:ascii="Palatino Linotype" w:eastAsia="Palatino Linotype" w:hAnsi="Palatino Linotype" w:cs="Palatino Linotype"/>
          <w:color w:val="000000"/>
        </w:rPr>
        <w:t>asignación</w:t>
      </w:r>
      <w:r>
        <w:rPr>
          <w:rFonts w:ascii="Palatino Linotype" w:eastAsia="Palatino Linotype" w:hAnsi="Palatino Linotype" w:cs="Palatino Linotype"/>
        </w:rPr>
        <w:t xml:space="preserve"> deban entregar sus licencias de conducir; no obstante para el caso de que si obre en sus archivos, estas deberán de clasificarse como  confidenciales de manera fundada y motivada; en virtud que estas no abonan a la transparencia ni rendición de cuentas porque su contenido se refiere principalmente a datos personales y no al ejercicio de recursos públicos o al desempeño de funciones públicas.</w:t>
      </w:r>
    </w:p>
    <w:p w:rsidR="00807EBC" w:rsidRDefault="00807EBC">
      <w:pPr>
        <w:pBdr>
          <w:top w:val="nil"/>
          <w:left w:val="nil"/>
          <w:bottom w:val="nil"/>
          <w:right w:val="nil"/>
          <w:between w:val="nil"/>
        </w:pBdr>
        <w:ind w:left="720" w:right="-787"/>
        <w:rPr>
          <w:rFonts w:ascii="Palatino Linotype" w:eastAsia="Palatino Linotype" w:hAnsi="Palatino Linotype" w:cs="Palatino Linotype"/>
          <w:color w:val="000000"/>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En esa tesitura, la finalidad del derecho de acceso a la información es permitir el escrutinio de la actuación gubernamental; luego entonces una licencia de conducir contiene información relativa a una persona física (fotografía, firma, CURP, domicilio, fecha de nacimiento, número de licencia, entre otros datos), pero no proporciona elementos para evaluar cómo se ejercen las funciones públicas o cómo se administran los recursos públicos.</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Asimismo, no permite verificar el destino o uso de los vehículos oficiales para conocer quién tiene asignado un vehículo, bajo qué condiciones, para qué fines se utiliza o cuánto cuesta su operación, resultan más idóneos documentos como los solicitados (resguardos, oficios de asignación, bitácoras de uso, inventarios vehiculares, contratos de arrendamiento, facturas y comprobantes de gasto).</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la licencia de conducir no aporta información relevante sobre ninguno de estos aspectos y únicamente contiene predominantemente datos personales, por lo que a la luz de la protección de datos personales, la licencia de conducir de una persona, aun siendo </w:t>
      </w:r>
      <w:r>
        <w:rPr>
          <w:rFonts w:ascii="Palatino Linotype" w:eastAsia="Palatino Linotype" w:hAnsi="Palatino Linotype" w:cs="Palatino Linotype"/>
        </w:rPr>
        <w:lastRenderedPageBreak/>
        <w:t>servidor público, es un documento integrado casi en su totalidad por datos personales de identificación, por ello, su divulgación puede afectar la privacidad del titular sin generar un beneficio proporcional en términos de transparencia.</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07EBC" w:rsidRDefault="00747F3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Finalmente, se debe destacar que la solicitud de información, carece de lapso temporal del cual se requiere lo solicitado; situación por la cual se debe de tomar la entrega de la información a un año inmediato anterior, siendo del </w:t>
      </w:r>
      <w:r>
        <w:rPr>
          <w:rFonts w:ascii="Palatino Linotype" w:eastAsia="Palatino Linotype" w:hAnsi="Palatino Linotype" w:cs="Palatino Linotype"/>
          <w:b/>
          <w:bCs/>
        </w:rPr>
        <w:t xml:space="preserve">doce de septiembre de dos mil veinticuatro al doce de septiembre de dos mil veinticinco. </w:t>
      </w:r>
      <w:r>
        <w:rPr>
          <w:rFonts w:ascii="Palatino Linotype" w:eastAsia="Palatino Linotype" w:hAnsi="Palatino Linotype" w:cs="Palatino Linotype"/>
          <w:color w:val="000000"/>
        </w:rPr>
        <w:t xml:space="preserve">Sirve de sustento a lo anterior, el siguiente criterio </w:t>
      </w:r>
      <w:r>
        <w:rPr>
          <w:rFonts w:ascii="Palatino Linotype" w:eastAsia="Palatino Linotype" w:hAnsi="Palatino Linotype" w:cs="Palatino Linotype"/>
          <w:i/>
          <w:iCs/>
          <w:color w:val="000000"/>
        </w:rPr>
        <w:t xml:space="preserve">03/19 </w:t>
      </w:r>
      <w:r>
        <w:rPr>
          <w:rFonts w:ascii="Palatino Linotype" w:eastAsia="Palatino Linotype" w:hAnsi="Palatino Linotype" w:cs="Palatino Linotype"/>
          <w:color w:val="000000"/>
        </w:rPr>
        <w:t xml:space="preserve">emitido por el entonces Instituto Nacional de Transparencia, de manera orientadora.  </w:t>
      </w:r>
    </w:p>
    <w:p w:rsidR="00807EBC" w:rsidRDefault="00747F35">
      <w:pPr>
        <w:spacing w:line="360" w:lineRule="auto"/>
        <w:ind w:left="426"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“Periodo de búsqueda de la información. </w:t>
      </w:r>
    </w:p>
    <w:p w:rsidR="00807EBC" w:rsidRDefault="00747F35">
      <w:pPr>
        <w:spacing w:line="360" w:lineRule="auto"/>
        <w:ind w:left="426"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el supuesto de que el particular no haya señalado el periodo respecto del cual requiere la información, o bien, de la solicitud presentada no se adviertan elementos que permitan identificarlo, deberá considerarse, para efectos de la búsqueda de la información, que el requerimiento se refiere al año inmediato anterior, contado a partir de la fecha en que se presentó la solicitud.”</w:t>
      </w:r>
    </w:p>
    <w:p w:rsidR="00807EBC" w:rsidRDefault="00807EBC">
      <w:pPr>
        <w:spacing w:line="360" w:lineRule="auto"/>
        <w:ind w:right="-787"/>
        <w:jc w:val="both"/>
        <w:rPr>
          <w:rFonts w:ascii="Palatino Linotype" w:eastAsia="Palatino Linotype" w:hAnsi="Palatino Linotype" w:cs="Palatino Linotype"/>
          <w:b/>
          <w:bCs/>
        </w:rPr>
      </w:pPr>
    </w:p>
    <w:p w:rsidR="00807EBC" w:rsidRDefault="00747F35">
      <w:pPr>
        <w:numPr>
          <w:ilvl w:val="0"/>
          <w:numId w:val="2"/>
        </w:numPr>
        <w:spacing w:line="360" w:lineRule="auto"/>
        <w:ind w:left="0" w:right="-787" w:firstLine="0"/>
        <w:jc w:val="both"/>
        <w:rPr>
          <w:rFonts w:ascii="Palatino Linotype" w:eastAsia="Palatino Linotype" w:hAnsi="Palatino Linotype" w:cs="Palatino Linotype"/>
        </w:rPr>
      </w:pPr>
      <w:bookmarkStart w:id="35" w:name="_heading=h.s81u7ca69rsw" w:colFirst="0" w:colLast="0"/>
      <w:bookmarkEnd w:id="35"/>
      <w:r>
        <w:rPr>
          <w:rFonts w:ascii="Palatino Linotype" w:eastAsia="Palatino Linotype" w:hAnsi="Palatino Linotype" w:cs="Palatino Linotype"/>
        </w:rPr>
        <w:t xml:space="preserve">Con la determinación anterior, se tendrá por colmado el derecho de acceso a la información del ahora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toda vez </w:t>
      </w:r>
      <w:r>
        <w:rPr>
          <w:rFonts w:ascii="Palatino Linotype" w:eastAsia="Palatino Linotype" w:hAnsi="Palatino Linotype" w:cs="Palatino Linotype"/>
          <w:color w:val="000000"/>
        </w:rPr>
        <w:t xml:space="preserve">que el Derecho que tutela este Órgano Garante corresponde a la  </w:t>
      </w:r>
      <w:r>
        <w:rPr>
          <w:rFonts w:ascii="Palatino Linotype" w:eastAsia="Palatino Linotype" w:hAnsi="Palatino Linotype" w:cs="Palatino Linotype"/>
          <w:i/>
          <w:iCs/>
        </w:rPr>
        <w:t>igualdad de oportunidades para recibir, buscar e impartir información</w:t>
      </w:r>
      <w:r>
        <w:rPr>
          <w:rFonts w:ascii="Palatino Linotype" w:eastAsia="Palatino Linotype" w:hAnsi="Palatino Linotype" w:cs="Palatino Linotype"/>
          <w:i/>
          <w:iCs/>
          <w:vertAlign w:val="superscript"/>
        </w:rPr>
        <w:footnoteReference w:id="1"/>
      </w:r>
      <w:r>
        <w:rPr>
          <w:rFonts w:ascii="Palatino Linotype" w:eastAsia="Palatino Linotype" w:hAnsi="Palatino Linotype" w:cs="Palatino Linotype"/>
          <w:i/>
          <w:iCs/>
        </w:rPr>
        <w:t xml:space="preserve"> en posesión de cualquier autoridad, entidad, órgano y organismo de los poderes Ejecutivo, Legislativo y Judicial, órganos autónomos, partidos políticos, fideicomisos, y fondos públicos, así como de </w:t>
      </w:r>
      <w:r>
        <w:rPr>
          <w:rFonts w:ascii="Palatino Linotype" w:eastAsia="Palatino Linotype" w:hAnsi="Palatino Linotype" w:cs="Palatino Linotype"/>
          <w:i/>
          <w:iCs/>
        </w:rPr>
        <w:lastRenderedPageBreak/>
        <w:t>cualquier persona física, moral o sindicato que reciba y ejerza recursos públicos o realice actos de autoridad en el ámbito federal, estatal y municipal</w:t>
      </w:r>
      <w:r>
        <w:rPr>
          <w:rFonts w:ascii="Palatino Linotype" w:eastAsia="Palatino Linotype" w:hAnsi="Palatino Linotype" w:cs="Palatino Linotype"/>
          <w:vertAlign w:val="superscript"/>
        </w:rPr>
        <w:footnoteReference w:id="2"/>
      </w:r>
      <w:r>
        <w:rPr>
          <w:rFonts w:ascii="Palatino Linotype" w:eastAsia="Palatino Linotype" w:hAnsi="Palatino Linotype" w:cs="Palatino Linotype"/>
          <w:i/>
          <w:iCs/>
        </w:rPr>
        <w:t xml:space="preserve"> </w:t>
      </w:r>
      <w:r>
        <w:rPr>
          <w:rFonts w:ascii="Palatino Linotype" w:eastAsia="Palatino Linotype" w:hAnsi="Palatino Linotype" w:cs="Palatino Linotype"/>
        </w:rPr>
        <w:t xml:space="preserve">que se constituye como una herramienta fundamental para </w:t>
      </w:r>
      <w:r>
        <w:rPr>
          <w:rFonts w:ascii="Palatino Linotype" w:eastAsia="Palatino Linotype" w:hAnsi="Palatino Linotype" w:cs="Palatino Linotype"/>
          <w:i/>
          <w:iCs/>
        </w:rPr>
        <w:t>ejercer control democrático de las gestiones estatales, de forma tal que puedan cuestionar, indagar y considerar si se está dando un adecuado cumplimiento de las funciones públicas,</w:t>
      </w:r>
      <w:r>
        <w:rPr>
          <w:rFonts w:ascii="Palatino Linotype" w:eastAsia="Palatino Linotype" w:hAnsi="Palatino Linotype" w:cs="Palatino Linotype"/>
          <w:i/>
          <w:iCs/>
          <w:vertAlign w:val="superscript"/>
        </w:rPr>
        <w:footnoteReference w:id="3"/>
      </w:r>
      <w:r>
        <w:rPr>
          <w:rFonts w:ascii="Palatino Linotype" w:eastAsia="Palatino Linotype" w:hAnsi="Palatino Linotype" w:cs="Palatino Linotype"/>
        </w:rPr>
        <w:t>fomentando</w:t>
      </w:r>
      <w:r>
        <w:rPr>
          <w:rFonts w:ascii="Palatino Linotype" w:eastAsia="Palatino Linotype" w:hAnsi="Palatino Linotype" w:cs="Palatino Linotype"/>
          <w:i/>
          <w:iCs/>
        </w:rPr>
        <w:t xml:space="preserve"> la transparencia de las actividades estatales y</w:t>
      </w:r>
      <w:r>
        <w:rPr>
          <w:rFonts w:ascii="Palatino Linotype" w:eastAsia="Palatino Linotype" w:hAnsi="Palatino Linotype" w:cs="Palatino Linotype"/>
        </w:rPr>
        <w:t xml:space="preserve"> promoviendo</w:t>
      </w:r>
      <w:r>
        <w:rPr>
          <w:rFonts w:ascii="Palatino Linotype" w:eastAsia="Palatino Linotype" w:hAnsi="Palatino Linotype" w:cs="Palatino Linotype"/>
          <w:i/>
          <w:iCs/>
        </w:rPr>
        <w:t xml:space="preserve"> la responsabilidad de los funcionarios sobre su gestión pública</w:t>
      </w:r>
      <w:r>
        <w:rPr>
          <w:rFonts w:ascii="Palatino Linotype" w:eastAsia="Palatino Linotype" w:hAnsi="Palatino Linotype" w:cs="Palatino Linotype"/>
          <w:i/>
          <w:iCs/>
          <w:vertAlign w:val="superscript"/>
        </w:rPr>
        <w:footnoteReference w:id="4"/>
      </w:r>
      <w:r>
        <w:rPr>
          <w:rFonts w:ascii="Palatino Linotype" w:eastAsia="Palatino Linotype" w:hAnsi="Palatino Linotype" w:cs="Palatino Linotype"/>
          <w:i/>
          <w:iCs/>
        </w:rPr>
        <w:t xml:space="preserve"> </w:t>
      </w:r>
      <w:r>
        <w:rPr>
          <w:rFonts w:ascii="Palatino Linotype" w:eastAsia="Palatino Linotype" w:hAnsi="Palatino Linotype" w:cs="Palatino Linotype"/>
        </w:rPr>
        <w:t>que permite</w:t>
      </w:r>
      <w:r>
        <w:rPr>
          <w:rFonts w:ascii="Palatino Linotype" w:eastAsia="Palatino Linotype" w:hAnsi="Palatino Linotype" w:cs="Palatino Linotype"/>
          <w:i/>
          <w:iCs/>
        </w:rPr>
        <w:t xml:space="preserve"> saber qué están haciendo los gobiernos por sus pueblos, sin lo cual la verdad languidecería y la participación en el gobierno permanecería fragmentada.</w:t>
      </w:r>
      <w:r>
        <w:rPr>
          <w:rFonts w:ascii="Palatino Linotype" w:eastAsia="Palatino Linotype" w:hAnsi="Palatino Linotype" w:cs="Palatino Linotype"/>
          <w:i/>
          <w:iCs/>
          <w:vertAlign w:val="superscript"/>
        </w:rPr>
        <w:footnoteReference w:id="5"/>
      </w:r>
      <w:r>
        <w:rPr>
          <w:rFonts w:ascii="Palatino Linotype" w:eastAsia="Palatino Linotype" w:hAnsi="Palatino Linotype" w:cs="Palatino Linotype"/>
        </w:rPr>
        <w:t xml:space="preserve"> ” </w:t>
      </w:r>
    </w:p>
    <w:p w:rsidR="00807EBC" w:rsidRDefault="00807EBC">
      <w:pPr>
        <w:spacing w:line="360" w:lineRule="auto"/>
        <w:ind w:right="-787"/>
        <w:jc w:val="both"/>
        <w:rPr>
          <w:rFonts w:ascii="Palatino Linotype" w:eastAsia="Palatino Linotype" w:hAnsi="Palatino Linotype" w:cs="Palatino Linotype"/>
        </w:rPr>
      </w:pPr>
    </w:p>
    <w:p w:rsidR="00807EBC" w:rsidRDefault="00747F35">
      <w:pPr>
        <w:numPr>
          <w:ilvl w:val="0"/>
          <w:numId w:val="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 así que, todos los actos de autoridad que realicen los Sujetos Obligados </w:t>
      </w:r>
      <w:r>
        <w:rPr>
          <w:rFonts w:ascii="Palatino Linotype" w:eastAsia="Palatino Linotype" w:hAnsi="Palatino Linotype" w:cs="Palatino Linotype"/>
          <w:b/>
          <w:bCs/>
        </w:rPr>
        <w:t>deben estar documentados</w:t>
      </w:r>
      <w:r>
        <w:rPr>
          <w:rFonts w:ascii="Palatino Linotype" w:eastAsia="Palatino Linotype" w:hAnsi="Palatino Linotype" w:cs="Palatino Linotype"/>
        </w:rPr>
        <w:t xml:space="preserve"> y, bajo el más alto estándar de transparencia deberán poner toda la información que se encuentre en su posesión, a disposición de los particulares que la soliciten.</w:t>
      </w:r>
    </w:p>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807EBC" w:rsidRDefault="00747F35">
      <w:pPr>
        <w:numPr>
          <w:ilvl w:val="0"/>
          <w:numId w:val="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Además, </w:t>
      </w:r>
      <w:r>
        <w:rPr>
          <w:rFonts w:ascii="Palatino Linotype" w:eastAsia="Palatino Linotype" w:hAnsi="Palatino Linotype" w:cs="Palatino Linotype"/>
        </w:rPr>
        <w:t>debemos</w:t>
      </w:r>
      <w:r>
        <w:rPr>
          <w:rFonts w:ascii="Palatino Linotype" w:eastAsia="Palatino Linotype" w:hAnsi="Palatino Linotype" w:cs="Palatino Linotype"/>
          <w:color w:val="000000"/>
        </w:rPr>
        <w:t xml:space="preserve"> tomar en cuenta los artículos 4 y 12 (antes transcritos), de la Ley de Transparencia y Acceso a la Información Pública del Estado de México y </w:t>
      </w:r>
      <w:r>
        <w:rPr>
          <w:rFonts w:ascii="Palatino Linotype" w:eastAsia="Palatino Linotype" w:hAnsi="Palatino Linotype" w:cs="Palatino Linotype"/>
        </w:rPr>
        <w:t>Municipios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Es así que, por un lado se tiene la obligación de documentar todos los actos que se lleven a cabo en el ejercicio de sus funciones, atribuciones y competencias, mientras que por otro, se </w:t>
      </w:r>
      <w:r>
        <w:rPr>
          <w:rFonts w:ascii="Palatino Linotype" w:eastAsia="Palatino Linotype" w:hAnsi="Palatino Linotype" w:cs="Palatino Linotype"/>
        </w:rPr>
        <w:lastRenderedPageBreak/>
        <w:t xml:space="preserve">ven impuestos por la obligación de hacer pública toda aquella </w:t>
      </w:r>
      <w:r>
        <w:rPr>
          <w:rFonts w:ascii="Palatino Linotype" w:eastAsia="Palatino Linotype" w:hAnsi="Palatino Linotype" w:cs="Palatino Linotype"/>
          <w:color w:val="000000"/>
        </w:rPr>
        <w:t>información</w:t>
      </w:r>
      <w:r>
        <w:rPr>
          <w:rFonts w:ascii="Palatino Linotype" w:eastAsia="Palatino Linotype" w:hAnsi="Palatino Linotype" w:cs="Palatino Linotype"/>
        </w:rPr>
        <w:t xml:space="preserve"> que se encuentre en su posesión en estricto apego a los principios de eficacia</w:t>
      </w:r>
      <w:r>
        <w:rPr>
          <w:rFonts w:ascii="Palatino Linotype" w:eastAsia="Palatino Linotype" w:hAnsi="Palatino Linotype" w:cs="Palatino Linotype"/>
          <w:vertAlign w:val="superscript"/>
        </w:rPr>
        <w:footnoteReference w:id="6"/>
      </w:r>
      <w:r>
        <w:rPr>
          <w:rFonts w:ascii="Palatino Linotype" w:eastAsia="Palatino Linotype" w:hAnsi="Palatino Linotype" w:cs="Palatino Linotype"/>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807EBC" w:rsidRDefault="00807EBC">
      <w:pPr>
        <w:spacing w:line="360" w:lineRule="auto"/>
        <w:ind w:right="-787"/>
        <w:jc w:val="both"/>
        <w:rPr>
          <w:rFonts w:ascii="Palatino Linotype" w:eastAsia="Palatino Linotype" w:hAnsi="Palatino Linotype" w:cs="Palatino Linotype"/>
        </w:rPr>
      </w:pPr>
    </w:p>
    <w:p w:rsidR="00807EBC" w:rsidRDefault="00747F35">
      <w:pPr>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b/>
          <w:bCs/>
        </w:rPr>
        <w:t>QUINTO. De la versión pública.</w:t>
      </w:r>
    </w:p>
    <w:p w:rsidR="00807EBC" w:rsidRDefault="00747F35">
      <w:pPr>
        <w:numPr>
          <w:ilvl w:val="0"/>
          <w:numId w:val="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Finalmente</w:t>
      </w:r>
      <w:r>
        <w:rPr>
          <w:rFonts w:ascii="Palatino Linotype" w:eastAsia="Palatino Linotype" w:hAnsi="Palatino Linotype" w:cs="Palatino Linotype"/>
        </w:rPr>
        <w:t xml:space="preserve">, debe señalarse que lo ordenado contiene datos personales conforme al análisis realizado, por tanto el </w:t>
      </w:r>
      <w:r>
        <w:rPr>
          <w:rFonts w:ascii="Palatino Linotype" w:eastAsia="Palatino Linotype" w:hAnsi="Palatino Linotype" w:cs="Palatino Linotype"/>
          <w:b/>
          <w:bCs/>
        </w:rPr>
        <w:t>SUJETO OBLIGADO</w:t>
      </w:r>
      <w:r>
        <w:rPr>
          <w:rFonts w:ascii="Palatino Linotype" w:eastAsia="Palatino Linotype" w:hAnsi="Palatino Linotype" w:cs="Palatino Linotype"/>
        </w:rPr>
        <w:t>, para dar cumplimiento a la presente Resolución, deberá proceder a la elaboración de la versión pública de tales documentos a fin de satisfacer el derecho de acceso a la información pública del recurrente sin menoscabo al derecho a la protección de los datos personales de terceros.</w:t>
      </w:r>
    </w:p>
    <w:p w:rsidR="00807EBC" w:rsidRDefault="00807EBC">
      <w:pPr>
        <w:spacing w:line="360" w:lineRule="auto"/>
        <w:ind w:right="-787"/>
        <w:jc w:val="both"/>
        <w:rPr>
          <w:rFonts w:ascii="Palatino Linotype" w:eastAsia="Palatino Linotype" w:hAnsi="Palatino Linotype" w:cs="Palatino Linotype"/>
        </w:rPr>
      </w:pPr>
    </w:p>
    <w:p w:rsidR="00807EBC" w:rsidRDefault="00747F35">
      <w:pPr>
        <w:numPr>
          <w:ilvl w:val="0"/>
          <w:numId w:val="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Para efectos de la elaboración de la versión pública se deberá observar lo dispuesto por los artículos 3 fracciones IX, XX, XXI y XLV, 91, 132 fracciones II y III, y 143 fracción I de la Ley de Transparencia y Acceso a la Información Pública del Estado de México y Municipios que establecen:</w:t>
      </w:r>
    </w:p>
    <w:p w:rsidR="00807EBC" w:rsidRDefault="00747F35">
      <w:pPr>
        <w:spacing w:line="360" w:lineRule="auto"/>
        <w:ind w:left="851"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3</w:t>
      </w:r>
      <w:r>
        <w:rPr>
          <w:rFonts w:ascii="Palatino Linotype" w:eastAsia="Palatino Linotype" w:hAnsi="Palatino Linotype" w:cs="Palatino Linotype"/>
          <w:i/>
          <w:iCs/>
        </w:rPr>
        <w:t>. Para los efectos de la presente Ley se entenderá por:</w:t>
      </w:r>
    </w:p>
    <w:p w:rsidR="00807EBC" w:rsidRDefault="00747F35">
      <w:pPr>
        <w:spacing w:line="360" w:lineRule="auto"/>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807EBC" w:rsidRDefault="00747F35">
      <w:pPr>
        <w:spacing w:line="360" w:lineRule="auto"/>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IX. Datos personales</w:t>
      </w:r>
      <w:r>
        <w:rPr>
          <w:rFonts w:ascii="Palatino Linotype" w:eastAsia="Palatino Linotype" w:hAnsi="Palatino Linotype" w:cs="Palatino Linotype"/>
          <w:i/>
          <w:iCs/>
        </w:rPr>
        <w:t xml:space="preserve">: La información concerniente a una persona, identificada o identificable según lo dispuesto por la Ley de Protección de Datos Personales del Estado de México; </w:t>
      </w:r>
    </w:p>
    <w:p w:rsidR="00807EBC" w:rsidRDefault="00747F35">
      <w:pPr>
        <w:spacing w:line="360" w:lineRule="auto"/>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XX. Información clasificada</w:t>
      </w:r>
      <w:r>
        <w:rPr>
          <w:rFonts w:ascii="Palatino Linotype" w:eastAsia="Palatino Linotype" w:hAnsi="Palatino Linotype" w:cs="Palatino Linotype"/>
          <w:i/>
          <w:iCs/>
        </w:rPr>
        <w:t>: Aquella considerada por la presente Ley como reservada o confidencial;</w:t>
      </w:r>
    </w:p>
    <w:p w:rsidR="00807EBC" w:rsidRDefault="00747F35">
      <w:pPr>
        <w:spacing w:line="360" w:lineRule="auto"/>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XXI. Información confidencial: </w:t>
      </w:r>
      <w:r>
        <w:rPr>
          <w:rFonts w:ascii="Palatino Linotype" w:eastAsia="Palatino Linotype" w:hAnsi="Palatino Linotype" w:cs="Palatino Linotype"/>
          <w:i/>
          <w:iCs/>
        </w:rPr>
        <w:t>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807EBC" w:rsidRDefault="00747F35">
      <w:pPr>
        <w:spacing w:line="360" w:lineRule="auto"/>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XLV. Versión pública:</w:t>
      </w:r>
      <w:r>
        <w:rPr>
          <w:rFonts w:ascii="Palatino Linotype" w:eastAsia="Palatino Linotype" w:hAnsi="Palatino Linotype" w:cs="Palatino Linotype"/>
          <w:i/>
          <w:iCs/>
        </w:rPr>
        <w:t xml:space="preserve"> Documento en el que se elimine, suprime o borra la información clasificada como reservada o confidencial para permitir su acceso.</w:t>
      </w:r>
    </w:p>
    <w:p w:rsidR="00807EBC" w:rsidRDefault="00747F35">
      <w:pPr>
        <w:spacing w:line="360" w:lineRule="auto"/>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807EBC" w:rsidRDefault="00807EBC">
      <w:pPr>
        <w:spacing w:line="360" w:lineRule="auto"/>
        <w:ind w:left="1134" w:right="-787"/>
        <w:jc w:val="both"/>
        <w:rPr>
          <w:rFonts w:ascii="Palatino Linotype" w:eastAsia="Palatino Linotype" w:hAnsi="Palatino Linotype" w:cs="Palatino Linotype"/>
          <w:i/>
          <w:iCs/>
        </w:rPr>
      </w:pPr>
    </w:p>
    <w:p w:rsidR="00807EBC" w:rsidRDefault="00747F35">
      <w:pPr>
        <w:spacing w:line="360" w:lineRule="auto"/>
        <w:ind w:left="851"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91.</w:t>
      </w:r>
      <w:r>
        <w:rPr>
          <w:rFonts w:ascii="Palatino Linotype" w:eastAsia="Palatino Linotype" w:hAnsi="Palatino Linotype" w:cs="Palatino Linotype"/>
          <w:i/>
          <w:iCs/>
        </w:rPr>
        <w:t xml:space="preserve"> El acceso a la información pública será restringido excepcionalmente, cuando ésta sea clasificada como reservada o confidencial.</w:t>
      </w:r>
    </w:p>
    <w:p w:rsidR="00807EBC" w:rsidRDefault="00807EBC">
      <w:pPr>
        <w:spacing w:line="360" w:lineRule="auto"/>
        <w:ind w:left="851" w:right="-787"/>
        <w:jc w:val="both"/>
        <w:rPr>
          <w:rFonts w:ascii="Palatino Linotype" w:eastAsia="Palatino Linotype" w:hAnsi="Palatino Linotype" w:cs="Palatino Linotype"/>
          <w:i/>
          <w:iCs/>
        </w:rPr>
      </w:pPr>
    </w:p>
    <w:p w:rsidR="00807EBC" w:rsidRDefault="00747F35">
      <w:pPr>
        <w:spacing w:line="360" w:lineRule="auto"/>
        <w:ind w:left="851"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132.</w:t>
      </w:r>
      <w:r>
        <w:rPr>
          <w:rFonts w:ascii="Palatino Linotype" w:eastAsia="Palatino Linotype" w:hAnsi="Palatino Linotype" w:cs="Palatino Linotype"/>
          <w:i/>
          <w:iCs/>
        </w:rPr>
        <w:t xml:space="preserve"> La clasificación de la información se llevará a cabo en el momento en que:</w:t>
      </w:r>
    </w:p>
    <w:p w:rsidR="00807EBC" w:rsidRDefault="00747F35">
      <w:pPr>
        <w:spacing w:line="360" w:lineRule="auto"/>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Se reciba una solicitud de acceso a la información;</w:t>
      </w:r>
    </w:p>
    <w:p w:rsidR="00807EBC" w:rsidRDefault="00747F35">
      <w:pPr>
        <w:spacing w:line="360" w:lineRule="auto"/>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Se determine mediante resolución de autoridad competente; o</w:t>
      </w:r>
    </w:p>
    <w:p w:rsidR="00807EBC" w:rsidRDefault="00747F35">
      <w:pPr>
        <w:spacing w:line="360" w:lineRule="auto"/>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Se generen versiones públicas para dar cumplimiento a las obligaciones de transparencia previstas en esta Ley.</w:t>
      </w:r>
    </w:p>
    <w:p w:rsidR="00807EBC" w:rsidRDefault="00747F35">
      <w:pPr>
        <w:spacing w:line="360" w:lineRule="auto"/>
        <w:ind w:left="851"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807EBC" w:rsidRDefault="00807EBC">
      <w:pPr>
        <w:spacing w:line="360" w:lineRule="auto"/>
        <w:ind w:left="851" w:right="-787"/>
        <w:jc w:val="both"/>
        <w:rPr>
          <w:rFonts w:ascii="Palatino Linotype" w:eastAsia="Palatino Linotype" w:hAnsi="Palatino Linotype" w:cs="Palatino Linotype"/>
          <w:i/>
          <w:iCs/>
        </w:rPr>
      </w:pPr>
    </w:p>
    <w:p w:rsidR="00807EBC" w:rsidRDefault="00747F35">
      <w:pPr>
        <w:spacing w:line="360" w:lineRule="auto"/>
        <w:ind w:left="851"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143</w:t>
      </w:r>
      <w:r>
        <w:rPr>
          <w:rFonts w:ascii="Palatino Linotype" w:eastAsia="Palatino Linotype" w:hAnsi="Palatino Linotype" w:cs="Palatino Linotype"/>
          <w:i/>
          <w:iCs/>
        </w:rPr>
        <w:t>. Para los efectos de esta Ley se considera información confidencial, la clasificada como tal, de manera permanente, por su naturaleza, cuando:</w:t>
      </w:r>
    </w:p>
    <w:p w:rsidR="00807EBC" w:rsidRDefault="00747F35">
      <w:pPr>
        <w:spacing w:line="360" w:lineRule="auto"/>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Se refiera a la información privada y los datos personales concernientes a una persona física o jurídico colectiva identificada o identificable;</w:t>
      </w:r>
    </w:p>
    <w:p w:rsidR="00807EBC" w:rsidRDefault="00747F35">
      <w:pPr>
        <w:spacing w:line="360" w:lineRule="auto"/>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Los secretos bancario, fiduciario, industrial, comercial, fiscal, bursátil y postal, cuya titularidad corresponda a particulares, sujetos de derecho internacional o a sujetos obligados cuando no involucren el ejercicio de recursos públicos; y</w:t>
      </w:r>
    </w:p>
    <w:p w:rsidR="00807EBC" w:rsidRDefault="00747F35">
      <w:pPr>
        <w:spacing w:line="360" w:lineRule="auto"/>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La que presenten los particulares a los sujetos obligados, de conformidad con lo dispuesto por las leyes o los tratados internacionales.</w:t>
      </w:r>
    </w:p>
    <w:p w:rsidR="00807EBC" w:rsidRDefault="00747F35">
      <w:pPr>
        <w:spacing w:line="360" w:lineRule="auto"/>
        <w:ind w:left="851" w:right="-787"/>
        <w:jc w:val="both"/>
        <w:rPr>
          <w:rFonts w:ascii="Palatino Linotype" w:eastAsia="Palatino Linotype" w:hAnsi="Palatino Linotype" w:cs="Palatino Linotype"/>
          <w:i/>
          <w:iCs/>
        </w:rPr>
      </w:pPr>
      <w:r>
        <w:rPr>
          <w:rFonts w:ascii="Palatino Linotype" w:eastAsia="Palatino Linotype" w:hAnsi="Palatino Linotype" w:cs="Palatino Linotype"/>
          <w:i/>
          <w:iCs/>
        </w:rPr>
        <w:t>La información confidencial no estará sujeta a temporalidad alguna y sólo podrán tener acceso a ella los titulares de la misma, sus representantes y los servidores públicos facultados para ello.</w:t>
      </w:r>
    </w:p>
    <w:p w:rsidR="00807EBC" w:rsidRDefault="00747F35">
      <w:pPr>
        <w:spacing w:line="360" w:lineRule="auto"/>
        <w:ind w:left="851" w:right="-787"/>
        <w:jc w:val="both"/>
        <w:rPr>
          <w:rFonts w:ascii="Palatino Linotype" w:eastAsia="Palatino Linotype" w:hAnsi="Palatino Linotype" w:cs="Palatino Linotype"/>
          <w:i/>
          <w:iCs/>
        </w:rPr>
      </w:pPr>
      <w:r>
        <w:rPr>
          <w:rFonts w:ascii="Palatino Linotype" w:eastAsia="Palatino Linotype" w:hAnsi="Palatino Linotype" w:cs="Palatino Linotype"/>
          <w:i/>
          <w:iCs/>
        </w:rPr>
        <w:t>No se considerará confidencial la información que se encuentre en los registros públicos o en fuentes de acceso público, ni tampoco la que sea considerada por la presente ley como información pública.”</w:t>
      </w:r>
    </w:p>
    <w:p w:rsidR="00807EBC" w:rsidRDefault="00807EBC">
      <w:pPr>
        <w:spacing w:line="360" w:lineRule="auto"/>
        <w:ind w:left="851" w:right="-787"/>
        <w:jc w:val="both"/>
        <w:rPr>
          <w:rFonts w:ascii="Palatino Linotype" w:eastAsia="Palatino Linotype" w:hAnsi="Palatino Linotype" w:cs="Palatino Linotype"/>
          <w:i/>
          <w:iCs/>
        </w:rPr>
      </w:pPr>
    </w:p>
    <w:p w:rsidR="00807EBC" w:rsidRDefault="00747F35">
      <w:pPr>
        <w:numPr>
          <w:ilvl w:val="0"/>
          <w:numId w:val="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 como reservada o confidencial la información que posean, desclasificará y generarán, en su caso, versiones públicas de expedientes o documentos que contengan partes o secciones clasificadas.</w:t>
      </w:r>
    </w:p>
    <w:p w:rsidR="00807EBC" w:rsidRDefault="00747F35">
      <w:pPr>
        <w:numPr>
          <w:ilvl w:val="0"/>
          <w:numId w:val="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Entorno a lo que aquí nos interesa, los Lineamientos Quincuagésimo sexto, Quincuagésimo séptimo y Quincuagésimo octavo, establecen lo siguiente:</w:t>
      </w:r>
    </w:p>
    <w:p w:rsidR="00807EBC" w:rsidRDefault="00747F35">
      <w:pPr>
        <w:spacing w:line="360" w:lineRule="auto"/>
        <w:ind w:left="851"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“Quincuagésimo sexto</w:t>
      </w:r>
      <w:r>
        <w:rPr>
          <w:rFonts w:ascii="Palatino Linotype" w:eastAsia="Palatino Linotype" w:hAnsi="Palatino Linotype" w:cs="Palatino Linotype"/>
          <w:i/>
          <w:iCs/>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rsidR="00807EBC" w:rsidRDefault="00807EBC">
      <w:pPr>
        <w:spacing w:line="360" w:lineRule="auto"/>
        <w:ind w:left="851" w:right="-787"/>
        <w:jc w:val="both"/>
        <w:rPr>
          <w:rFonts w:ascii="Palatino Linotype" w:eastAsia="Palatino Linotype" w:hAnsi="Palatino Linotype" w:cs="Palatino Linotype"/>
          <w:i/>
          <w:iCs/>
        </w:rPr>
      </w:pPr>
    </w:p>
    <w:p w:rsidR="00807EBC" w:rsidRDefault="00747F35">
      <w:pPr>
        <w:spacing w:line="360" w:lineRule="auto"/>
        <w:ind w:left="851"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Quincuagésimo séptimo</w:t>
      </w:r>
      <w:r>
        <w:rPr>
          <w:rFonts w:ascii="Palatino Linotype" w:eastAsia="Palatino Linotype" w:hAnsi="Palatino Linotype" w:cs="Palatino Linotype"/>
          <w:i/>
          <w:iCs/>
        </w:rPr>
        <w:t xml:space="preserve">. Se considera, en principio, como información pública y no podrá omitirse de las versiones públicas la siguiente: </w:t>
      </w:r>
    </w:p>
    <w:p w:rsidR="00807EBC" w:rsidRDefault="00747F35">
      <w:pPr>
        <w:spacing w:line="360" w:lineRule="auto"/>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La relativa a las Obligaciones de Transparencia que contempla el Título V de la Ley General y las demás disposiciones legales aplicables; </w:t>
      </w:r>
    </w:p>
    <w:p w:rsidR="00807EBC" w:rsidRDefault="00747F35">
      <w:pPr>
        <w:spacing w:line="360" w:lineRule="auto"/>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El nombre de los servidores públicos en los documentos, y sus firmas autógrafas, cuando sean utilizados en el ejercicio de las facultades conferidas para el desempeño del servicio público, y </w:t>
      </w:r>
    </w:p>
    <w:p w:rsidR="00807EBC" w:rsidRDefault="00747F35">
      <w:pPr>
        <w:spacing w:line="360" w:lineRule="auto"/>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La información que documente decisiones y los actos de autoridad concluidos de los sujetos obligados, así como el ejercicio de las facultades o actividades de los servidores públicos, de manera que se pueda valorar el desempeño de los mismos.</w:t>
      </w:r>
    </w:p>
    <w:p w:rsidR="00807EBC" w:rsidRDefault="00747F35">
      <w:pPr>
        <w:spacing w:line="360" w:lineRule="auto"/>
        <w:ind w:left="851"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 anterior, siempre y cuando no se acredite alguna causal de clasificación, prevista en las leyes o en los tratados internaciones suscritos por el Estado mexicano. </w:t>
      </w:r>
    </w:p>
    <w:p w:rsidR="00807EBC" w:rsidRDefault="00807EBC">
      <w:pPr>
        <w:spacing w:line="360" w:lineRule="auto"/>
        <w:ind w:left="851" w:right="-787"/>
        <w:jc w:val="both"/>
        <w:rPr>
          <w:rFonts w:ascii="Palatino Linotype" w:eastAsia="Palatino Linotype" w:hAnsi="Palatino Linotype" w:cs="Palatino Linotype"/>
          <w:i/>
          <w:iCs/>
        </w:rPr>
      </w:pPr>
    </w:p>
    <w:p w:rsidR="00807EBC" w:rsidRDefault="00747F35">
      <w:pPr>
        <w:spacing w:line="360" w:lineRule="auto"/>
        <w:ind w:left="851"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Quincuagésimo octavo</w:t>
      </w:r>
      <w:r>
        <w:rPr>
          <w:rFonts w:ascii="Palatino Linotype" w:eastAsia="Palatino Linotype" w:hAnsi="Palatino Linotype" w:cs="Palatino Linotype"/>
          <w:i/>
          <w:iCs/>
        </w:rPr>
        <w:t>. Los sujetos obligados garantizarán que los sistemas o medios empleados para eliminar la información en las versiones públicas no permitan la recuperación o visualización de la misma.”</w:t>
      </w:r>
    </w:p>
    <w:p w:rsidR="00807EBC" w:rsidRDefault="00807EBC">
      <w:pPr>
        <w:spacing w:line="360" w:lineRule="auto"/>
        <w:ind w:left="851" w:right="-787"/>
        <w:jc w:val="both"/>
        <w:rPr>
          <w:rFonts w:ascii="Palatino Linotype" w:eastAsia="Palatino Linotype" w:hAnsi="Palatino Linotype" w:cs="Palatino Linotype"/>
          <w:i/>
          <w:iCs/>
        </w:rPr>
      </w:pPr>
    </w:p>
    <w:p w:rsidR="00807EBC" w:rsidRDefault="00747F35">
      <w:pPr>
        <w:numPr>
          <w:ilvl w:val="0"/>
          <w:numId w:val="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Luego entonces, el </w:t>
      </w:r>
      <w:r>
        <w:rPr>
          <w:rFonts w:ascii="Palatino Linotype" w:eastAsia="Palatino Linotype" w:hAnsi="Palatino Linotype" w:cs="Palatino Linotype"/>
          <w:b/>
          <w:bCs/>
          <w:color w:val="000000"/>
        </w:rPr>
        <w:t xml:space="preserve">SUJETOS OBLIGADOS </w:t>
      </w:r>
      <w:r>
        <w:rPr>
          <w:rFonts w:ascii="Palatino Linotype" w:eastAsia="Palatino Linotype" w:hAnsi="Palatino Linotype" w:cs="Palatino Linotype"/>
          <w:color w:val="000000"/>
        </w:rPr>
        <w:t xml:space="preserve">será responsable de los datos personales en </w:t>
      </w:r>
      <w:r>
        <w:rPr>
          <w:rFonts w:ascii="Palatino Linotype" w:eastAsia="Palatino Linotype" w:hAnsi="Palatino Linotype" w:cs="Palatino Linotype"/>
        </w:rPr>
        <w:t>su</w:t>
      </w:r>
      <w:r>
        <w:rPr>
          <w:rFonts w:ascii="Palatino Linotype" w:eastAsia="Palatino Linotype" w:hAnsi="Palatino Linotype" w:cs="Palatino Linotype"/>
          <w:color w:val="000000"/>
        </w:rPr>
        <w:t xml:space="preserve"> posesión y que, en caso de localizarse datos concernientes a terceros, éstos no podrán difundir, distribuir o comercializar los datos personales.  Cabe destacar que, para la realización de la clasificación de la información, se deben seguir una serie de </w:t>
      </w:r>
      <w:r>
        <w:rPr>
          <w:rFonts w:ascii="Palatino Linotype" w:eastAsia="Palatino Linotype" w:hAnsi="Palatino Linotype" w:cs="Palatino Linotype"/>
        </w:rPr>
        <w:t>pasos</w:t>
      </w:r>
      <w:r>
        <w:rPr>
          <w:rFonts w:ascii="Palatino Linotype" w:eastAsia="Palatino Linotype" w:hAnsi="Palatino Linotype" w:cs="Palatino Linotype"/>
          <w:color w:val="000000"/>
        </w:rPr>
        <w:t xml:space="preserve"> y procedimientos, por lo que es menester reiterar los mismos:</w:t>
      </w:r>
    </w:p>
    <w:p w:rsidR="00807EBC" w:rsidRDefault="00807EBC">
      <w:pPr>
        <w:spacing w:line="360" w:lineRule="auto"/>
        <w:ind w:left="502" w:right="-787"/>
        <w:jc w:val="both"/>
        <w:rPr>
          <w:rFonts w:ascii="Palatino Linotype" w:eastAsia="Palatino Linotype" w:hAnsi="Palatino Linotype" w:cs="Palatino Linotype"/>
        </w:rPr>
      </w:pPr>
    </w:p>
    <w:tbl>
      <w:tblPr>
        <w:tblStyle w:val="a0"/>
        <w:tblW w:w="973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504"/>
        <w:gridCol w:w="6231"/>
      </w:tblGrid>
      <w:tr w:rsidR="00807EBC">
        <w:tc>
          <w:tcPr>
            <w:tcW w:w="3504" w:type="dxa"/>
          </w:tcPr>
          <w:p w:rsidR="00807EBC" w:rsidRDefault="00747F35">
            <w:pPr>
              <w:tabs>
                <w:tab w:val="left" w:pos="284"/>
              </w:tabs>
              <w:ind w:right="-106"/>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6231" w:type="dxa"/>
          </w:tcPr>
          <w:p w:rsidR="00807EBC" w:rsidRDefault="00747F35">
            <w:pPr>
              <w:tabs>
                <w:tab w:val="left" w:pos="284"/>
              </w:tabs>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807EBC" w:rsidRDefault="00747F35">
            <w:pPr>
              <w:tabs>
                <w:tab w:val="left" w:pos="284"/>
              </w:tabs>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807EBC" w:rsidRDefault="00747F35">
            <w:pPr>
              <w:tabs>
                <w:tab w:val="left" w:pos="284"/>
              </w:tabs>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807EBC" w:rsidRDefault="00747F35">
            <w:pPr>
              <w:tabs>
                <w:tab w:val="left" w:pos="284"/>
              </w:tabs>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rsidR="00807EBC" w:rsidRDefault="00807EBC">
            <w:pPr>
              <w:tabs>
                <w:tab w:val="left" w:pos="284"/>
              </w:tabs>
              <w:ind w:right="-106"/>
              <w:jc w:val="both"/>
              <w:rPr>
                <w:rFonts w:ascii="Palatino Linotype" w:eastAsia="Palatino Linotype" w:hAnsi="Palatino Linotype" w:cs="Palatino Linotype"/>
              </w:rPr>
            </w:pPr>
          </w:p>
        </w:tc>
      </w:tr>
      <w:tr w:rsidR="00807EBC">
        <w:tc>
          <w:tcPr>
            <w:tcW w:w="3504" w:type="dxa"/>
          </w:tcPr>
          <w:p w:rsidR="00807EBC" w:rsidRDefault="00747F35">
            <w:pPr>
              <w:tabs>
                <w:tab w:val="left" w:pos="284"/>
              </w:tabs>
              <w:ind w:right="-106"/>
              <w:rPr>
                <w:rFonts w:ascii="Palatino Linotype" w:eastAsia="Palatino Linotype" w:hAnsi="Palatino Linotype" w:cs="Palatino Linotype"/>
              </w:rPr>
            </w:pPr>
            <w:r>
              <w:rPr>
                <w:rFonts w:ascii="Palatino Linotype" w:eastAsia="Palatino Linotype" w:hAnsi="Palatino Linotype" w:cs="Palatino Linotype"/>
              </w:rPr>
              <w:t>b) Supuestos de clasificación.</w:t>
            </w:r>
          </w:p>
        </w:tc>
        <w:tc>
          <w:tcPr>
            <w:tcW w:w="6231" w:type="dxa"/>
          </w:tcPr>
          <w:p w:rsidR="00807EBC" w:rsidRDefault="00747F35">
            <w:pPr>
              <w:tabs>
                <w:tab w:val="left" w:pos="284"/>
              </w:tabs>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807EBC" w:rsidRDefault="00747F35">
            <w:pPr>
              <w:tabs>
                <w:tab w:val="left" w:pos="284"/>
              </w:tabs>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116 y 143 de la Ley Estatal y de la Ley General, respectivamente, señalan los supuestos para que </w:t>
            </w:r>
            <w:r>
              <w:rPr>
                <w:rFonts w:ascii="Palatino Linotype" w:eastAsia="Palatino Linotype" w:hAnsi="Palatino Linotype" w:cs="Palatino Linotype"/>
                <w:color w:val="000000"/>
              </w:rPr>
              <w:lastRenderedPageBreak/>
              <w:t>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807EBC" w:rsidRDefault="00747F35">
            <w:pPr>
              <w:tabs>
                <w:tab w:val="left" w:pos="284"/>
              </w:tabs>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807EBC" w:rsidRDefault="00807EBC">
            <w:pPr>
              <w:tabs>
                <w:tab w:val="left" w:pos="284"/>
              </w:tabs>
              <w:ind w:right="-106"/>
              <w:jc w:val="both"/>
              <w:rPr>
                <w:rFonts w:ascii="Palatino Linotype" w:eastAsia="Palatino Linotype" w:hAnsi="Palatino Linotype" w:cs="Palatino Linotype"/>
              </w:rPr>
            </w:pPr>
          </w:p>
        </w:tc>
      </w:tr>
      <w:tr w:rsidR="00807EBC">
        <w:tc>
          <w:tcPr>
            <w:tcW w:w="3504" w:type="dxa"/>
          </w:tcPr>
          <w:p w:rsidR="00807EBC" w:rsidRDefault="00747F35">
            <w:pPr>
              <w:tabs>
                <w:tab w:val="left" w:pos="284"/>
              </w:tabs>
              <w:ind w:right="-43"/>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6231" w:type="dxa"/>
          </w:tcPr>
          <w:p w:rsidR="00807EBC" w:rsidRDefault="00747F35">
            <w:pPr>
              <w:tabs>
                <w:tab w:val="left" w:pos="284"/>
              </w:tabs>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807EBC" w:rsidRDefault="00747F35">
            <w:pPr>
              <w:tabs>
                <w:tab w:val="left" w:pos="284"/>
              </w:tabs>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807EBC" w:rsidRDefault="00747F35">
            <w:pPr>
              <w:tabs>
                <w:tab w:val="left" w:pos="284"/>
              </w:tabs>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807EBC" w:rsidRDefault="00807EBC">
            <w:pPr>
              <w:tabs>
                <w:tab w:val="left" w:pos="284"/>
              </w:tabs>
              <w:ind w:right="-43"/>
              <w:jc w:val="both"/>
              <w:rPr>
                <w:rFonts w:ascii="Palatino Linotype" w:eastAsia="Palatino Linotype" w:hAnsi="Palatino Linotype" w:cs="Palatino Linotype"/>
              </w:rPr>
            </w:pPr>
          </w:p>
        </w:tc>
      </w:tr>
      <w:tr w:rsidR="00807EBC">
        <w:tc>
          <w:tcPr>
            <w:tcW w:w="3504" w:type="dxa"/>
          </w:tcPr>
          <w:p w:rsidR="00807EBC" w:rsidRDefault="00807EBC">
            <w:pPr>
              <w:tabs>
                <w:tab w:val="left" w:pos="284"/>
              </w:tabs>
              <w:ind w:right="-43"/>
              <w:rPr>
                <w:rFonts w:ascii="Palatino Linotype" w:eastAsia="Palatino Linotype" w:hAnsi="Palatino Linotype" w:cs="Palatino Linotype"/>
              </w:rPr>
            </w:pPr>
          </w:p>
          <w:p w:rsidR="00807EBC" w:rsidRDefault="00747F35">
            <w:pPr>
              <w:tabs>
                <w:tab w:val="left" w:pos="284"/>
              </w:tabs>
              <w:ind w:right="-43"/>
              <w:jc w:val="both"/>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 xml:space="preserve">d) Requisitos de fondo del acuerdo de clasificación. </w:t>
            </w:r>
          </w:p>
        </w:tc>
        <w:tc>
          <w:tcPr>
            <w:tcW w:w="6231" w:type="dxa"/>
          </w:tcPr>
          <w:p w:rsidR="00807EBC" w:rsidRDefault="00747F35">
            <w:pPr>
              <w:tabs>
                <w:tab w:val="left" w:pos="284"/>
              </w:tabs>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Como se ha señalado antes, al hacer el juicio de subsunción o encaje entre el supuesto de hecho y la </w:t>
            </w:r>
            <w:r>
              <w:rPr>
                <w:rFonts w:ascii="Palatino Linotype" w:eastAsia="Palatino Linotype" w:hAnsi="Palatino Linotype" w:cs="Palatino Linotype"/>
                <w:color w:val="000000"/>
              </w:rPr>
              <w:lastRenderedPageBreak/>
              <w:t xml:space="preserve">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807EBC" w:rsidRDefault="00747F35">
            <w:pPr>
              <w:tabs>
                <w:tab w:val="left" w:pos="284"/>
              </w:tabs>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807EBC" w:rsidRDefault="00747F35">
            <w:pPr>
              <w:tabs>
                <w:tab w:val="left" w:pos="284"/>
              </w:tabs>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807EBC" w:rsidRDefault="00747F35">
            <w:pPr>
              <w:tabs>
                <w:tab w:val="left" w:pos="284"/>
              </w:tabs>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807EBC" w:rsidRDefault="00747F35">
            <w:pPr>
              <w:tabs>
                <w:tab w:val="left" w:pos="284"/>
              </w:tabs>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w:t>
            </w:r>
            <w:r>
              <w:rPr>
                <w:rFonts w:ascii="Palatino Linotype" w:eastAsia="Palatino Linotype" w:hAnsi="Palatino Linotype" w:cs="Palatino Linotype"/>
                <w:color w:val="000000"/>
              </w:rPr>
              <w:lastRenderedPageBreak/>
              <w:t>y postal, cuya titularidad corresponda a particulares, entre otros.</w:t>
            </w:r>
          </w:p>
          <w:p w:rsidR="00807EBC" w:rsidRDefault="00807EBC">
            <w:pPr>
              <w:tabs>
                <w:tab w:val="left" w:pos="284"/>
              </w:tabs>
              <w:ind w:right="-43"/>
              <w:jc w:val="both"/>
              <w:rPr>
                <w:rFonts w:ascii="Palatino Linotype" w:eastAsia="Palatino Linotype" w:hAnsi="Palatino Linotype" w:cs="Palatino Linotype"/>
                <w:color w:val="000000"/>
              </w:rPr>
            </w:pPr>
          </w:p>
        </w:tc>
      </w:tr>
      <w:tr w:rsidR="00807EBC">
        <w:tc>
          <w:tcPr>
            <w:tcW w:w="3504" w:type="dxa"/>
          </w:tcPr>
          <w:p w:rsidR="00807EBC" w:rsidRDefault="00747F35">
            <w:pPr>
              <w:tabs>
                <w:tab w:val="left" w:pos="284"/>
              </w:tabs>
              <w:ind w:right="-43"/>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6231" w:type="dxa"/>
          </w:tcPr>
          <w:p w:rsidR="00807EBC" w:rsidRDefault="00747F35">
            <w:pPr>
              <w:tabs>
                <w:tab w:val="left" w:pos="284"/>
              </w:tabs>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807EBC" w:rsidRDefault="00747F35">
            <w:pPr>
              <w:tabs>
                <w:tab w:val="left" w:pos="284"/>
              </w:tabs>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807EBC" w:rsidRDefault="00747F35">
            <w:pPr>
              <w:tabs>
                <w:tab w:val="left" w:pos="284"/>
              </w:tabs>
              <w:ind w:right="-43"/>
              <w:rPr>
                <w:rFonts w:ascii="Palatino Linotype" w:eastAsia="Palatino Linotype" w:hAnsi="Palatino Linotype" w:cs="Palatino Linotype"/>
                <w:color w:val="000000"/>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rsidR="00807EBC" w:rsidRDefault="00807EBC">
            <w:pPr>
              <w:tabs>
                <w:tab w:val="left" w:pos="284"/>
              </w:tabs>
              <w:ind w:right="-43"/>
              <w:rPr>
                <w:rFonts w:ascii="Palatino Linotype" w:eastAsia="Palatino Linotype" w:hAnsi="Palatino Linotype" w:cs="Palatino Linotype"/>
              </w:rPr>
            </w:pPr>
          </w:p>
        </w:tc>
      </w:tr>
    </w:tbl>
    <w:p w:rsidR="00807EBC" w:rsidRDefault="00807EBC">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807EBC" w:rsidRDefault="00747F35">
      <w:pPr>
        <w:numPr>
          <w:ilvl w:val="0"/>
          <w:numId w:val="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Si el </w:t>
      </w:r>
      <w:r>
        <w:rPr>
          <w:rFonts w:ascii="Palatino Linotype" w:eastAsia="Palatino Linotype" w:hAnsi="Palatino Linotype" w:cs="Palatino Linotype"/>
          <w:color w:val="000000"/>
        </w:rPr>
        <w:t>servidor</w:t>
      </w:r>
      <w:r>
        <w:rPr>
          <w:rFonts w:ascii="Palatino Linotype" w:eastAsia="Palatino Linotype" w:hAnsi="Palatino Linotype" w:cs="Palatino Linotype"/>
        </w:rPr>
        <w:t xml:space="preserve"> público incumple con estas formalidades y entrega la información </w:t>
      </w:r>
      <w:r>
        <w:rPr>
          <w:rFonts w:ascii="Palatino Linotype" w:eastAsia="Palatino Linotype" w:hAnsi="Palatino Linotype" w:cs="Palatino Linotype"/>
          <w:color w:val="000000"/>
        </w:rPr>
        <w:t>sin</w:t>
      </w:r>
      <w:r>
        <w:rPr>
          <w:rFonts w:ascii="Palatino Linotype" w:eastAsia="Palatino Linotype" w:hAnsi="Palatino Linotype" w:cs="Palatino Linotype"/>
        </w:rPr>
        <w:t xml:space="preserve"> proteger los datos personales incumple con lo que estipula las disposiciones legales </w:t>
      </w:r>
      <w:r>
        <w:rPr>
          <w:rFonts w:ascii="Palatino Linotype" w:eastAsia="Palatino Linotype" w:hAnsi="Palatino Linotype" w:cs="Palatino Linotype"/>
          <w:color w:val="000000"/>
        </w:rPr>
        <w:t>establecidas;</w:t>
      </w:r>
      <w:r>
        <w:rPr>
          <w:rFonts w:ascii="Palatino Linotype" w:eastAsia="Palatino Linotype" w:hAnsi="Palatino Linotype" w:cs="Palatino Linotype"/>
        </w:rPr>
        <w:t xml:space="preserve"> asimismo que si entrega un documento testado sin el debido acuerdo de clasificación.</w:t>
      </w:r>
    </w:p>
    <w:p w:rsidR="00807EBC" w:rsidRDefault="00807EBC">
      <w:pPr>
        <w:widowControl w:val="0"/>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807EBC" w:rsidRDefault="00747F35">
      <w:pPr>
        <w:numPr>
          <w:ilvl w:val="0"/>
          <w:numId w:val="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Por</w:t>
      </w:r>
      <w:r>
        <w:rPr>
          <w:rFonts w:ascii="Palatino Linotype" w:eastAsia="Palatino Linotype" w:hAnsi="Palatino Linotype" w:cs="Palatino Linotype"/>
          <w:color w:val="000000"/>
        </w:rPr>
        <w:t xml:space="preserve"> lo </w:t>
      </w:r>
      <w:r>
        <w:rPr>
          <w:rFonts w:ascii="Palatino Linotype" w:eastAsia="Palatino Linotype" w:hAnsi="Palatino Linotype" w:cs="Palatino Linotype"/>
        </w:rPr>
        <w:t>anteriormente</w:t>
      </w:r>
      <w:r>
        <w:rPr>
          <w:rFonts w:ascii="Palatino Linotype" w:eastAsia="Palatino Linotype" w:hAnsi="Palatino Linotype" w:cs="Palatino Linotype"/>
          <w:color w:val="000000"/>
        </w:rPr>
        <w:t xml:space="preserve"> expuesto y fundado, este Órgano Garante emite los siguientes: </w:t>
      </w:r>
    </w:p>
    <w:p w:rsidR="00807EBC" w:rsidRDefault="00807EBC">
      <w:pPr>
        <w:pBdr>
          <w:top w:val="nil"/>
          <w:left w:val="nil"/>
          <w:bottom w:val="nil"/>
          <w:right w:val="nil"/>
          <w:between w:val="nil"/>
        </w:pBdr>
        <w:ind w:left="720" w:right="-787"/>
        <w:rPr>
          <w:rFonts w:ascii="Palatino Linotype" w:eastAsia="Palatino Linotype" w:hAnsi="Palatino Linotype" w:cs="Palatino Linotype"/>
        </w:rPr>
      </w:pPr>
    </w:p>
    <w:p w:rsidR="00807EBC" w:rsidRDefault="00807EBC">
      <w:pPr>
        <w:pBdr>
          <w:top w:val="nil"/>
          <w:left w:val="nil"/>
          <w:bottom w:val="nil"/>
          <w:right w:val="nil"/>
          <w:between w:val="nil"/>
        </w:pBdr>
        <w:ind w:left="720" w:right="-787"/>
        <w:rPr>
          <w:rFonts w:ascii="Palatino Linotype" w:eastAsia="Palatino Linotype" w:hAnsi="Palatino Linotype" w:cs="Palatino Linotype"/>
        </w:rPr>
      </w:pPr>
    </w:p>
    <w:p w:rsidR="00BD161C" w:rsidRDefault="00BD161C">
      <w:pPr>
        <w:pBdr>
          <w:top w:val="nil"/>
          <w:left w:val="nil"/>
          <w:bottom w:val="nil"/>
          <w:right w:val="nil"/>
          <w:between w:val="nil"/>
        </w:pBdr>
        <w:ind w:left="720" w:right="-787"/>
        <w:rPr>
          <w:rFonts w:ascii="Palatino Linotype" w:eastAsia="Palatino Linotype" w:hAnsi="Palatino Linotype" w:cs="Palatino Linotype"/>
        </w:rPr>
      </w:pPr>
      <w:bookmarkStart w:id="36" w:name="_GoBack"/>
      <w:bookmarkEnd w:id="36"/>
    </w:p>
    <w:p w:rsidR="00807EBC" w:rsidRDefault="00747F35">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37" w:name="_heading=h.fc84bst82n13" w:colFirst="0" w:colLast="0"/>
      <w:bookmarkEnd w:id="37"/>
      <w:r>
        <w:rPr>
          <w:rFonts w:ascii="Palatino Linotype" w:eastAsia="Palatino Linotype" w:hAnsi="Palatino Linotype" w:cs="Palatino Linotype"/>
          <w:b/>
          <w:bCs/>
          <w:color w:val="000000"/>
          <w:sz w:val="24"/>
          <w:szCs w:val="24"/>
        </w:rPr>
        <w:lastRenderedPageBreak/>
        <w:t>R E S O L U T I V O S</w:t>
      </w:r>
    </w:p>
    <w:p w:rsidR="00807EBC" w:rsidRDefault="00807EBC">
      <w:pPr>
        <w:spacing w:line="360" w:lineRule="auto"/>
        <w:ind w:right="-787"/>
        <w:rPr>
          <w:rFonts w:ascii="Palatino Linotype" w:eastAsia="Palatino Linotype" w:hAnsi="Palatino Linotype" w:cs="Palatino Linotype"/>
        </w:rPr>
      </w:pPr>
    </w:p>
    <w:p w:rsidR="00807EBC" w:rsidRDefault="00747F35">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Resultan parcialmente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color w:val="000000"/>
        </w:rPr>
        <w:t>12298/INFOEM/IP/RR/2025</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términos de los </w:t>
      </w:r>
      <w:r>
        <w:rPr>
          <w:rFonts w:ascii="Palatino Linotype" w:eastAsia="Palatino Linotype" w:hAnsi="Palatino Linotype" w:cs="Palatino Linotype"/>
          <w:b/>
          <w:bCs/>
        </w:rPr>
        <w:t>Considerandos</w:t>
      </w:r>
      <w:r>
        <w:rPr>
          <w:rFonts w:ascii="Palatino Linotype" w:eastAsia="Palatino Linotype" w:hAnsi="Palatino Linotype" w:cs="Palatino Linotype"/>
        </w:rPr>
        <w:t xml:space="preserve"> </w:t>
      </w:r>
      <w:r>
        <w:rPr>
          <w:rFonts w:ascii="Palatino Linotype" w:eastAsia="Palatino Linotype" w:hAnsi="Palatino Linotype" w:cs="Palatino Linotype"/>
          <w:b/>
          <w:bCs/>
        </w:rPr>
        <w:t>CUARTO</w:t>
      </w:r>
      <w:r>
        <w:rPr>
          <w:rFonts w:ascii="Palatino Linotype" w:eastAsia="Palatino Linotype" w:hAnsi="Palatino Linotype" w:cs="Palatino Linotype"/>
        </w:rPr>
        <w:t xml:space="preserve"> y </w:t>
      </w:r>
      <w:r>
        <w:rPr>
          <w:rFonts w:ascii="Palatino Linotype" w:eastAsia="Palatino Linotype" w:hAnsi="Palatino Linotype" w:cs="Palatino Linotype"/>
          <w:b/>
          <w:bCs/>
        </w:rPr>
        <w:t xml:space="preserve">QUINTO </w:t>
      </w:r>
      <w:r>
        <w:rPr>
          <w:rFonts w:ascii="Palatino Linotype" w:eastAsia="Palatino Linotype" w:hAnsi="Palatino Linotype" w:cs="Palatino Linotype"/>
        </w:rPr>
        <w:t>de la presente Resolución.</w:t>
      </w:r>
    </w:p>
    <w:p w:rsidR="00807EBC" w:rsidRDefault="00807EBC">
      <w:pPr>
        <w:spacing w:line="360" w:lineRule="auto"/>
        <w:ind w:right="-787"/>
        <w:jc w:val="both"/>
        <w:rPr>
          <w:rFonts w:ascii="Palatino Linotype" w:eastAsia="Palatino Linotype" w:hAnsi="Palatino Linotype" w:cs="Palatino Linotype"/>
        </w:rPr>
      </w:pPr>
    </w:p>
    <w:p w:rsidR="00807EBC" w:rsidRDefault="00747F35">
      <w:pPr>
        <w:spacing w:line="360" w:lineRule="auto"/>
        <w:ind w:right="-787"/>
        <w:jc w:val="both"/>
        <w:rPr>
          <w:rFonts w:ascii="Palatino Linotype" w:eastAsia="Palatino Linotype" w:hAnsi="Palatino Linotype" w:cs="Palatino Linotype"/>
        </w:rPr>
      </w:pPr>
      <w:bookmarkStart w:id="38" w:name="_heading=h.9ik5gapuzzsz" w:colFirst="0" w:colLast="0"/>
      <w:bookmarkEnd w:id="38"/>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MODIFICA </w:t>
      </w:r>
      <w:r w:rsidR="009C68B9">
        <w:rPr>
          <w:rFonts w:ascii="Palatino Linotype" w:eastAsia="Palatino Linotype" w:hAnsi="Palatino Linotype" w:cs="Palatino Linotype"/>
          <w:color w:val="000000"/>
        </w:rPr>
        <w:t>la respuesta emitida por el</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rPr>
        <w:t>Ayuntamiento de Toluca</w:t>
      </w:r>
      <w:r>
        <w:rPr>
          <w:rFonts w:ascii="Palatino Linotype" w:eastAsia="Palatino Linotype" w:hAnsi="Palatino Linotype" w:cs="Palatino Linotype"/>
          <w:color w:val="000000"/>
        </w:rPr>
        <w:t xml:space="preserve"> 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(SAIMEX), en versión pública, la siguiente información del padrón vehicular, del 12 de septiembre de 2024, al 12 de septiembre de 2025</w:t>
      </w:r>
      <w:r>
        <w:rPr>
          <w:rFonts w:ascii="Palatino Linotype" w:eastAsia="Palatino Linotype" w:hAnsi="Palatino Linotype" w:cs="Palatino Linotype"/>
        </w:rPr>
        <w:t>:</w:t>
      </w:r>
    </w:p>
    <w:p w:rsidR="00807EBC" w:rsidRDefault="00807EBC">
      <w:pPr>
        <w:pBdr>
          <w:top w:val="nil"/>
          <w:left w:val="nil"/>
          <w:bottom w:val="nil"/>
          <w:right w:val="nil"/>
          <w:between w:val="nil"/>
        </w:pBdr>
        <w:tabs>
          <w:tab w:val="left" w:pos="8080"/>
        </w:tabs>
        <w:spacing w:line="360" w:lineRule="auto"/>
        <w:ind w:left="709" w:right="-787"/>
        <w:jc w:val="both"/>
        <w:rPr>
          <w:rFonts w:ascii="Palatino Linotype" w:eastAsia="Palatino Linotype" w:hAnsi="Palatino Linotype" w:cs="Palatino Linotype"/>
          <w:i/>
          <w:iCs/>
          <w:color w:val="000000"/>
        </w:rPr>
      </w:pPr>
    </w:p>
    <w:p w:rsidR="00807EBC" w:rsidRDefault="00747F35">
      <w:pPr>
        <w:numPr>
          <w:ilvl w:val="0"/>
          <w:numId w:val="7"/>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Padrón de </w:t>
      </w:r>
      <w:r>
        <w:rPr>
          <w:rFonts w:ascii="Palatino Linotype" w:eastAsia="Palatino Linotype" w:hAnsi="Palatino Linotype" w:cs="Palatino Linotype"/>
        </w:rPr>
        <w:t>vehículos</w:t>
      </w:r>
      <w:r>
        <w:rPr>
          <w:rFonts w:ascii="Palatino Linotype" w:eastAsia="Palatino Linotype" w:hAnsi="Palatino Linotype" w:cs="Palatino Linotype"/>
          <w:color w:val="000000"/>
        </w:rPr>
        <w:t xml:space="preserve"> faltante, en que conste modelo, placas y color;</w:t>
      </w:r>
    </w:p>
    <w:p w:rsidR="00807EBC" w:rsidRDefault="00747F35">
      <w:pPr>
        <w:numPr>
          <w:ilvl w:val="0"/>
          <w:numId w:val="7"/>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Soporte documental en que conste el kilometraje y los montos asignados para suministro de gasolina;</w:t>
      </w:r>
    </w:p>
    <w:p w:rsidR="00807EBC" w:rsidRDefault="00747F35">
      <w:pPr>
        <w:numPr>
          <w:ilvl w:val="0"/>
          <w:numId w:val="7"/>
        </w:num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bookmarkStart w:id="39" w:name="_heading=h.1vrweu7jglie" w:colFirst="0" w:colLast="0"/>
      <w:bookmarkEnd w:id="39"/>
      <w:r>
        <w:rPr>
          <w:rFonts w:ascii="Palatino Linotype" w:eastAsia="Palatino Linotype" w:hAnsi="Palatino Linotype" w:cs="Palatino Linotype"/>
          <w:color w:val="000000"/>
        </w:rPr>
        <w:t>Documentos faltantes en que conste la asignación de los vehículos y los nombres de los servidores públicos responsables de su resguardo;</w:t>
      </w:r>
    </w:p>
    <w:p w:rsidR="00807EBC" w:rsidRDefault="00747F35">
      <w:pPr>
        <w:numPr>
          <w:ilvl w:val="0"/>
          <w:numId w:val="7"/>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que permita identificar el uso y destino de los vehículos;</w:t>
      </w:r>
    </w:p>
    <w:p w:rsidR="00807EBC" w:rsidRDefault="00747F35">
      <w:pPr>
        <w:numPr>
          <w:ilvl w:val="0"/>
          <w:numId w:val="7"/>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facturas de los vehículos faltantes;</w:t>
      </w:r>
    </w:p>
    <w:p w:rsidR="00807EBC" w:rsidRDefault="00747F35">
      <w:pPr>
        <w:numPr>
          <w:ilvl w:val="0"/>
          <w:numId w:val="7"/>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Documento en el que conste el costo de vehículos en arrendamiento; </w:t>
      </w:r>
    </w:p>
    <w:p w:rsidR="00807EBC" w:rsidRDefault="00747F35">
      <w:pPr>
        <w:numPr>
          <w:ilvl w:val="0"/>
          <w:numId w:val="7"/>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en que conste la contratación del arrendamiento de vehículos;</w:t>
      </w:r>
    </w:p>
    <w:p w:rsidR="00807EBC" w:rsidRDefault="00747F35">
      <w:pPr>
        <w:numPr>
          <w:ilvl w:val="0"/>
          <w:numId w:val="7"/>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Las tarjetas de circulación faltantes; </w:t>
      </w:r>
    </w:p>
    <w:p w:rsidR="00807EBC" w:rsidRDefault="00747F35">
      <w:pPr>
        <w:numPr>
          <w:ilvl w:val="0"/>
          <w:numId w:val="7"/>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Registro fotográfico que dé cuenta del estado físico de los vehículos, así como del espacio o lugar asignado para su resguardo;</w:t>
      </w:r>
    </w:p>
    <w:p w:rsidR="00807EBC" w:rsidRDefault="00747F35">
      <w:pPr>
        <w:numPr>
          <w:ilvl w:val="0"/>
          <w:numId w:val="7"/>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Acuerdo emitido por el Comité de Transparencia mediante el cual se clasifique como información confidencial, las licencias de conducir de los servidores públicos que tengan asignados vehículos bajo su resguardo.</w:t>
      </w:r>
    </w:p>
    <w:p w:rsidR="00807EBC" w:rsidRDefault="00807EBC">
      <w:pPr>
        <w:tabs>
          <w:tab w:val="left" w:pos="8080"/>
        </w:tabs>
        <w:spacing w:line="360" w:lineRule="auto"/>
        <w:ind w:right="-787"/>
        <w:jc w:val="both"/>
        <w:rPr>
          <w:rFonts w:ascii="Palatino Linotype" w:eastAsia="Palatino Linotype" w:hAnsi="Palatino Linotype" w:cs="Palatino Linotype"/>
        </w:rPr>
      </w:pPr>
    </w:p>
    <w:p w:rsidR="00807EBC" w:rsidRDefault="00747F35">
      <w:pPr>
        <w:tabs>
          <w:tab w:val="left" w:pos="8080"/>
        </w:tabs>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rPr>
        <w:t xml:space="preserve">Para efectos de lo anterior,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rPr>
        <w:t>.</w:t>
      </w:r>
    </w:p>
    <w:p w:rsidR="00807EBC" w:rsidRDefault="00807EBC">
      <w:pPr>
        <w:tabs>
          <w:tab w:val="left" w:pos="8080"/>
        </w:tabs>
        <w:spacing w:line="360" w:lineRule="auto"/>
        <w:ind w:right="-787"/>
        <w:jc w:val="both"/>
        <w:rPr>
          <w:rFonts w:ascii="Palatino Linotype" w:eastAsia="Palatino Linotype" w:hAnsi="Palatino Linotype" w:cs="Palatino Linotype"/>
        </w:rPr>
      </w:pPr>
    </w:p>
    <w:p w:rsidR="00807EBC" w:rsidRDefault="00747F35">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Para el caso de no contar con lo ordenado en el </w:t>
      </w:r>
      <w:r>
        <w:rPr>
          <w:rFonts w:ascii="Palatino Linotype" w:eastAsia="Palatino Linotype" w:hAnsi="Palatino Linotype" w:cs="Palatino Linotype"/>
          <w:b/>
          <w:bCs/>
          <w:color w:val="000000"/>
        </w:rPr>
        <w:t>inciso i)</w:t>
      </w:r>
      <w:r>
        <w:rPr>
          <w:rFonts w:ascii="Palatino Linotype" w:eastAsia="Palatino Linotype" w:hAnsi="Palatino Linotype" w:cs="Palatino Linotype"/>
          <w:color w:val="000000"/>
        </w:rPr>
        <w:t xml:space="preserve">, así como lo ordenado en el </w:t>
      </w:r>
      <w:r>
        <w:rPr>
          <w:rFonts w:ascii="Palatino Linotype" w:eastAsia="Palatino Linotype" w:hAnsi="Palatino Linotype" w:cs="Palatino Linotype"/>
          <w:b/>
          <w:bCs/>
          <w:color w:val="000000"/>
        </w:rPr>
        <w:t>inciso j)</w:t>
      </w:r>
      <w:r>
        <w:rPr>
          <w:rFonts w:ascii="Palatino Linotype" w:eastAsia="Palatino Linotype" w:hAnsi="Palatino Linotype" w:cs="Palatino Linotype"/>
          <w:color w:val="000000"/>
        </w:rPr>
        <w:t xml:space="preserve"> por no contar en sus archivos con </w:t>
      </w:r>
      <w:r>
        <w:rPr>
          <w:rFonts w:ascii="Palatino Linotype" w:eastAsia="Palatino Linotype" w:hAnsi="Palatino Linotype" w:cs="Palatino Linotype"/>
        </w:rPr>
        <w:t>licencias de conducir de servidores públicos con vehículos bajo su resguardo,</w:t>
      </w:r>
      <w:r>
        <w:rPr>
          <w:rFonts w:ascii="Palatino Linotype" w:eastAsia="Palatino Linotype" w:hAnsi="Palatino Linotype" w:cs="Palatino Linotype"/>
          <w:color w:val="000000"/>
        </w:rPr>
        <w:t xml:space="preserve"> bastará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lo haga del conocimiento de la parte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al momento de dar cumplimiento a la presente Resolución en términos del artículo 19 párrafo segundo de la</w:t>
      </w:r>
      <w:r>
        <w:rPr>
          <w:rFonts w:ascii="Palatino Linotype" w:eastAsia="Palatino Linotype" w:hAnsi="Palatino Linotype" w:cs="Palatino Linotype"/>
        </w:rPr>
        <w:t xml:space="preserve"> Ley de Transparencia y Acceso a la Información Pública del Estado de México y Municipios.</w:t>
      </w:r>
    </w:p>
    <w:p w:rsidR="00807EBC" w:rsidRDefault="00807EBC">
      <w:pPr>
        <w:spacing w:line="360" w:lineRule="auto"/>
        <w:ind w:right="-787"/>
        <w:jc w:val="both"/>
        <w:rPr>
          <w:rFonts w:ascii="Palatino Linotype" w:eastAsia="Palatino Linotype" w:hAnsi="Palatino Linotype" w:cs="Palatino Linotype"/>
        </w:rPr>
      </w:pPr>
    </w:p>
    <w:p w:rsidR="00807EBC" w:rsidRDefault="00747F35">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la presente Resolución al Titular de la Unidad de Transparencia del Sujeto Obligado vía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rPr>
        <w:t>dé cumplimiento a lo ordenado dentro del plazo de diez días hábiles</w:t>
      </w:r>
      <w:r>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w:t>
      </w:r>
      <w:r>
        <w:rPr>
          <w:rFonts w:ascii="Palatino Linotype" w:eastAsia="Palatino Linotype" w:hAnsi="Palatino Linotype" w:cs="Palatino Linotype"/>
        </w:rPr>
        <w:lastRenderedPageBreak/>
        <w:t>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807EBC" w:rsidRDefault="00807EBC">
      <w:pPr>
        <w:spacing w:line="360" w:lineRule="auto"/>
        <w:ind w:right="-787"/>
        <w:jc w:val="both"/>
        <w:rPr>
          <w:rFonts w:ascii="Palatino Linotype" w:eastAsia="Palatino Linotype" w:hAnsi="Palatino Linotype" w:cs="Palatino Linotype"/>
        </w:rPr>
      </w:pPr>
    </w:p>
    <w:p w:rsidR="00807EBC" w:rsidRDefault="00747F35">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807EBC" w:rsidRDefault="00807EBC">
      <w:pPr>
        <w:spacing w:line="360" w:lineRule="auto"/>
        <w:ind w:right="-787"/>
        <w:jc w:val="both"/>
        <w:rPr>
          <w:rFonts w:ascii="Palatino Linotype" w:eastAsia="Palatino Linotype" w:hAnsi="Palatino Linotype" w:cs="Palatino Linotype"/>
        </w:rPr>
      </w:pPr>
    </w:p>
    <w:p w:rsidR="00807EBC" w:rsidRDefault="00747F35">
      <w:pPr>
        <w:tabs>
          <w:tab w:val="left" w:pos="8080"/>
        </w:tabs>
        <w:spacing w:line="360" w:lineRule="auto"/>
        <w:ind w:right="-787"/>
        <w:jc w:val="both"/>
        <w:rPr>
          <w:rFonts w:ascii="Palatino Linotype" w:eastAsia="Palatino Linotype" w:hAnsi="Palatino Linotype" w:cs="Palatino Linotype"/>
        </w:rPr>
      </w:pPr>
      <w:bookmarkStart w:id="40" w:name="_heading=h.jegeeonbqnd2" w:colFirst="0" w:colLast="0"/>
      <w:bookmarkEnd w:id="40"/>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la presente Resolución, vía </w:t>
      </w:r>
      <w:r>
        <w:rPr>
          <w:rFonts w:ascii="Palatino Linotype" w:eastAsia="Palatino Linotype" w:hAnsi="Palatino Linotype" w:cs="Palatino Linotype"/>
          <w:b/>
          <w:bCs/>
        </w:rPr>
        <w:t>SAIMEX</w:t>
      </w:r>
      <w:r>
        <w:rPr>
          <w:rFonts w:ascii="Palatino Linotype" w:eastAsia="Palatino Linotype" w:hAnsi="Palatino Linotype" w:cs="Palatino Linotype"/>
        </w:rPr>
        <w:t>.</w:t>
      </w:r>
    </w:p>
    <w:p w:rsidR="009C68B9" w:rsidRDefault="009C68B9">
      <w:pPr>
        <w:tabs>
          <w:tab w:val="left" w:pos="8080"/>
        </w:tabs>
        <w:spacing w:line="360" w:lineRule="auto"/>
        <w:ind w:right="-787"/>
        <w:jc w:val="both"/>
        <w:rPr>
          <w:rFonts w:ascii="Palatino Linotype" w:eastAsia="Palatino Linotype" w:hAnsi="Palatino Linotype" w:cs="Palatino Linotype"/>
        </w:rPr>
      </w:pPr>
    </w:p>
    <w:p w:rsidR="00807EBC" w:rsidRDefault="00747F35">
      <w:pPr>
        <w:shd w:val="clear" w:color="auto" w:fill="FFFFFF"/>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SEXTO. </w:t>
      </w:r>
      <w:r>
        <w:rPr>
          <w:rFonts w:ascii="Palatino Linotype" w:eastAsia="Palatino Linotype" w:hAnsi="Palatino Linotype" w:cs="Palatino Linotype"/>
        </w:rPr>
        <w:t>Se hace del conocimiento del</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807EBC" w:rsidRDefault="00807EBC">
      <w:pPr>
        <w:shd w:val="clear" w:color="auto" w:fill="FFFFFF"/>
        <w:spacing w:line="360" w:lineRule="auto"/>
        <w:ind w:right="-787"/>
        <w:jc w:val="both"/>
        <w:rPr>
          <w:rFonts w:ascii="Palatino Linotype" w:eastAsia="Palatino Linotype" w:hAnsi="Palatino Linotype" w:cs="Palatino Linotype"/>
        </w:rPr>
      </w:pPr>
    </w:p>
    <w:p w:rsidR="009C68B9" w:rsidRPr="003E2295" w:rsidRDefault="009C68B9" w:rsidP="009C68B9">
      <w:pPr>
        <w:spacing w:before="240" w:after="240" w:line="360" w:lineRule="auto"/>
        <w:ind w:right="-660" w:firstLine="1"/>
        <w:jc w:val="both"/>
        <w:rPr>
          <w:rFonts w:ascii="Palatino Linotype" w:hAnsi="Palatino Linotype"/>
        </w:rPr>
      </w:pPr>
      <w:bookmarkStart w:id="41"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w:t>
      </w:r>
      <w:r w:rsidR="006560E7">
        <w:rPr>
          <w:rFonts w:ascii="Palatino Linotype" w:hAnsi="Palatino Linotype" w:cs="Palatino Linotype"/>
        </w:rPr>
        <w:t xml:space="preserve"> EMITIENDO VOTO PARTICULAR</w:t>
      </w:r>
      <w:r w:rsidRPr="003E2295">
        <w:rPr>
          <w:rFonts w:ascii="Palatino Linotype" w:hAnsi="Palatino Linotype" w:cs="Palatino Linotype"/>
        </w:rPr>
        <w:t xml:space="preserve">, LUIS GUSTAVO PARRA NORIEGA </w:t>
      </w:r>
      <w:r w:rsidR="006560E7">
        <w:rPr>
          <w:rFonts w:ascii="Palatino Linotype" w:hAnsi="Palatino Linotype" w:cs="Palatino Linotype"/>
        </w:rPr>
        <w:t xml:space="preserve">EMITIENDO VOTO PARTICULAR </w:t>
      </w:r>
      <w:r w:rsidRPr="003E2295">
        <w:rPr>
          <w:rFonts w:ascii="Palatino Linotype" w:hAnsi="Palatino Linotype" w:cs="Palatino Linotype"/>
        </w:rPr>
        <w:t>Y GUADALUPE RAMÍREZ PEÑA</w:t>
      </w:r>
      <w:r w:rsidR="006560E7">
        <w:rPr>
          <w:rFonts w:ascii="Palatino Linotype" w:hAnsi="Palatino Linotype" w:cs="Palatino Linotype"/>
        </w:rPr>
        <w:t xml:space="preserve"> EMITIENDO VOTO PARTICULAR</w:t>
      </w:r>
      <w:r w:rsidRPr="003E2295">
        <w:rPr>
          <w:rFonts w:ascii="Palatino Linotype" w:hAnsi="Palatino Linotype" w:cs="Palatino Linotype"/>
        </w:rPr>
        <w:t xml:space="preserve">; EN LA </w:t>
      </w:r>
      <w:r>
        <w:rPr>
          <w:rFonts w:ascii="Palatino Linotype" w:hAnsi="Palatino Linotype" w:cs="Palatino Linotype"/>
        </w:rPr>
        <w:lastRenderedPageBreak/>
        <w:t xml:space="preserve">VIGÉSIMA PRIMERA </w:t>
      </w:r>
      <w:r w:rsidRPr="003E2295">
        <w:rPr>
          <w:rFonts w:ascii="Palatino Linotype" w:hAnsi="Palatino Linotype" w:cs="Palatino Linotype"/>
        </w:rPr>
        <w:t>SESIÓN O</w:t>
      </w:r>
      <w:r>
        <w:rPr>
          <w:rFonts w:ascii="Palatino Linotype" w:hAnsi="Palatino Linotype" w:cs="Palatino Linotype"/>
        </w:rPr>
        <w:t>RDINARIA, CELEBRADA EL DIEZ (10</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41"/>
    <w:p w:rsidR="00807EBC" w:rsidRDefault="00807EBC">
      <w:pPr>
        <w:spacing w:line="360" w:lineRule="auto"/>
        <w:ind w:right="-787"/>
        <w:jc w:val="both"/>
        <w:rPr>
          <w:rFonts w:ascii="Palatino Linotype" w:eastAsia="Palatino Linotype" w:hAnsi="Palatino Linotype" w:cs="Palatino Linotype"/>
        </w:rPr>
      </w:pPr>
    </w:p>
    <w:p w:rsidR="00807EBC" w:rsidRDefault="00807EBC">
      <w:pPr>
        <w:spacing w:line="360" w:lineRule="auto"/>
        <w:ind w:right="-787"/>
        <w:jc w:val="both"/>
        <w:rPr>
          <w:rFonts w:ascii="Palatino Linotype" w:eastAsia="Palatino Linotype" w:hAnsi="Palatino Linotype" w:cs="Palatino Linotype"/>
        </w:rPr>
      </w:pPr>
    </w:p>
    <w:p w:rsidR="00807EBC" w:rsidRDefault="00807EBC">
      <w:pPr>
        <w:spacing w:line="360" w:lineRule="auto"/>
        <w:ind w:right="-787"/>
        <w:jc w:val="both"/>
        <w:rPr>
          <w:rFonts w:ascii="Palatino Linotype" w:eastAsia="Palatino Linotype" w:hAnsi="Palatino Linotype" w:cs="Palatino Linotype"/>
        </w:rPr>
      </w:pPr>
    </w:p>
    <w:p w:rsidR="00807EBC" w:rsidRDefault="00807EBC">
      <w:pPr>
        <w:spacing w:line="360" w:lineRule="auto"/>
        <w:ind w:right="-787"/>
        <w:jc w:val="both"/>
        <w:rPr>
          <w:rFonts w:ascii="Palatino Linotype" w:eastAsia="Palatino Linotype" w:hAnsi="Palatino Linotype" w:cs="Palatino Linotype"/>
        </w:rPr>
      </w:pPr>
    </w:p>
    <w:p w:rsidR="00807EBC" w:rsidRDefault="00807EBC">
      <w:pPr>
        <w:spacing w:line="360" w:lineRule="auto"/>
        <w:ind w:right="-787"/>
        <w:rPr>
          <w:rFonts w:ascii="Palatino Linotype" w:eastAsia="Palatino Linotype" w:hAnsi="Palatino Linotype" w:cs="Palatino Linotype"/>
        </w:rPr>
      </w:pPr>
    </w:p>
    <w:p w:rsidR="00807EBC" w:rsidRDefault="00807EBC">
      <w:pPr>
        <w:tabs>
          <w:tab w:val="left" w:pos="3374"/>
        </w:tabs>
        <w:spacing w:line="360" w:lineRule="auto"/>
        <w:ind w:right="-787"/>
        <w:rPr>
          <w:rFonts w:ascii="Palatino Linotype" w:eastAsia="Palatino Linotype" w:hAnsi="Palatino Linotype" w:cs="Palatino Linotype"/>
        </w:rPr>
      </w:pPr>
    </w:p>
    <w:p w:rsidR="00807EBC" w:rsidRDefault="00807EBC">
      <w:pPr>
        <w:tabs>
          <w:tab w:val="left" w:pos="3374"/>
        </w:tabs>
        <w:spacing w:line="360" w:lineRule="auto"/>
        <w:ind w:right="-787"/>
        <w:rPr>
          <w:rFonts w:ascii="Palatino Linotype" w:eastAsia="Palatino Linotype" w:hAnsi="Palatino Linotype" w:cs="Palatino Linotype"/>
        </w:rPr>
      </w:pPr>
    </w:p>
    <w:p w:rsidR="00807EBC" w:rsidRDefault="00807EBC">
      <w:pPr>
        <w:tabs>
          <w:tab w:val="left" w:pos="3374"/>
        </w:tabs>
        <w:spacing w:line="360" w:lineRule="auto"/>
        <w:ind w:right="-787"/>
        <w:rPr>
          <w:rFonts w:ascii="Palatino Linotype" w:eastAsia="Palatino Linotype" w:hAnsi="Palatino Linotype" w:cs="Palatino Linotype"/>
        </w:rPr>
      </w:pPr>
    </w:p>
    <w:p w:rsidR="00807EBC" w:rsidRDefault="00807EBC">
      <w:pPr>
        <w:spacing w:line="360" w:lineRule="auto"/>
        <w:ind w:right="-787"/>
        <w:rPr>
          <w:rFonts w:ascii="Palatino Linotype" w:eastAsia="Palatino Linotype" w:hAnsi="Palatino Linotype" w:cs="Palatino Linotype"/>
        </w:rPr>
      </w:pPr>
    </w:p>
    <w:p w:rsidR="00807EBC" w:rsidRDefault="00807EBC">
      <w:pPr>
        <w:spacing w:line="360" w:lineRule="auto"/>
        <w:ind w:right="-787"/>
        <w:rPr>
          <w:rFonts w:ascii="Palatino Linotype" w:eastAsia="Palatino Linotype" w:hAnsi="Palatino Linotype" w:cs="Palatino Linotype"/>
        </w:rPr>
      </w:pPr>
    </w:p>
    <w:p w:rsidR="00807EBC" w:rsidRDefault="00807EBC">
      <w:pPr>
        <w:spacing w:line="360" w:lineRule="auto"/>
        <w:ind w:right="-787"/>
        <w:rPr>
          <w:rFonts w:ascii="Palatino Linotype" w:eastAsia="Palatino Linotype" w:hAnsi="Palatino Linotype" w:cs="Palatino Linotype"/>
        </w:rPr>
      </w:pPr>
    </w:p>
    <w:p w:rsidR="00807EBC" w:rsidRDefault="00807EBC">
      <w:pPr>
        <w:spacing w:line="360" w:lineRule="auto"/>
        <w:ind w:right="-787"/>
        <w:rPr>
          <w:rFonts w:ascii="Palatino Linotype" w:eastAsia="Palatino Linotype" w:hAnsi="Palatino Linotype" w:cs="Palatino Linotype"/>
        </w:rPr>
      </w:pPr>
    </w:p>
    <w:p w:rsidR="00807EBC" w:rsidRDefault="00807EBC">
      <w:pPr>
        <w:spacing w:line="360" w:lineRule="auto"/>
        <w:ind w:right="-787"/>
        <w:rPr>
          <w:rFonts w:ascii="Palatino Linotype" w:eastAsia="Palatino Linotype" w:hAnsi="Palatino Linotype" w:cs="Palatino Linotype"/>
        </w:rPr>
      </w:pPr>
    </w:p>
    <w:p w:rsidR="00807EBC" w:rsidRDefault="00807EBC">
      <w:pPr>
        <w:spacing w:line="360" w:lineRule="auto"/>
        <w:ind w:right="-787"/>
        <w:rPr>
          <w:rFonts w:ascii="Palatino Linotype" w:eastAsia="Palatino Linotype" w:hAnsi="Palatino Linotype" w:cs="Palatino Linotype"/>
        </w:rPr>
      </w:pPr>
    </w:p>
    <w:p w:rsidR="00807EBC" w:rsidRDefault="00807EBC">
      <w:pPr>
        <w:spacing w:line="360" w:lineRule="auto"/>
        <w:ind w:right="-787"/>
        <w:rPr>
          <w:rFonts w:ascii="Palatino Linotype" w:eastAsia="Palatino Linotype" w:hAnsi="Palatino Linotype" w:cs="Palatino Linotype"/>
        </w:rPr>
      </w:pPr>
    </w:p>
    <w:p w:rsidR="00807EBC" w:rsidRDefault="00807EBC">
      <w:pPr>
        <w:spacing w:line="360" w:lineRule="auto"/>
        <w:ind w:right="-787"/>
        <w:rPr>
          <w:rFonts w:ascii="Palatino Linotype" w:eastAsia="Palatino Linotype" w:hAnsi="Palatino Linotype" w:cs="Palatino Linotype"/>
        </w:rPr>
      </w:pPr>
    </w:p>
    <w:p w:rsidR="00807EBC" w:rsidRDefault="00807EBC">
      <w:pPr>
        <w:spacing w:line="360" w:lineRule="auto"/>
        <w:ind w:right="-787"/>
        <w:rPr>
          <w:rFonts w:ascii="Palatino Linotype" w:eastAsia="Palatino Linotype" w:hAnsi="Palatino Linotype" w:cs="Palatino Linotype"/>
        </w:rPr>
      </w:pPr>
    </w:p>
    <w:p w:rsidR="00807EBC" w:rsidRDefault="00807EBC">
      <w:pPr>
        <w:spacing w:line="360" w:lineRule="auto"/>
        <w:ind w:right="-787"/>
        <w:rPr>
          <w:rFonts w:ascii="Palatino Linotype" w:eastAsia="Palatino Linotype" w:hAnsi="Palatino Linotype" w:cs="Palatino Linotype"/>
        </w:rPr>
      </w:pPr>
    </w:p>
    <w:p w:rsidR="00807EBC" w:rsidRDefault="00807EBC">
      <w:pPr>
        <w:spacing w:line="360" w:lineRule="auto"/>
        <w:ind w:right="-787"/>
        <w:rPr>
          <w:rFonts w:ascii="Palatino Linotype" w:eastAsia="Palatino Linotype" w:hAnsi="Palatino Linotype" w:cs="Palatino Linotype"/>
        </w:rPr>
      </w:pPr>
    </w:p>
    <w:p w:rsidR="00807EBC" w:rsidRDefault="00807EBC">
      <w:pPr>
        <w:spacing w:line="360" w:lineRule="auto"/>
        <w:ind w:right="-787"/>
        <w:rPr>
          <w:rFonts w:ascii="Palatino Linotype" w:eastAsia="Palatino Linotype" w:hAnsi="Palatino Linotype" w:cs="Palatino Linotype"/>
        </w:rPr>
      </w:pPr>
    </w:p>
    <w:p w:rsidR="00807EBC" w:rsidRDefault="00807EBC">
      <w:pPr>
        <w:spacing w:line="360" w:lineRule="auto"/>
        <w:ind w:right="-787"/>
        <w:rPr>
          <w:rFonts w:ascii="Palatino Linotype" w:eastAsia="Palatino Linotype" w:hAnsi="Palatino Linotype" w:cs="Palatino Linotype"/>
        </w:rPr>
      </w:pPr>
    </w:p>
    <w:sectPr w:rsidR="00807EBC">
      <w:headerReference w:type="even" r:id="rId12"/>
      <w:headerReference w:type="default" r:id="rId13"/>
      <w:footerReference w:type="default" r:id="rId14"/>
      <w:headerReference w:type="first" r:id="rId15"/>
      <w:footerReference w:type="first" r:id="rId16"/>
      <w:pgSz w:w="12240" w:h="15840"/>
      <w:pgMar w:top="2268" w:right="1701"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1D7" w:rsidRDefault="000531D7">
      <w:r>
        <w:separator/>
      </w:r>
    </w:p>
  </w:endnote>
  <w:endnote w:type="continuationSeparator" w:id="0">
    <w:p w:rsidR="000531D7" w:rsidRDefault="00053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1E0149E7-0D92-4D21-8E88-25C76D172C9A}"/>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9C53DD90-677A-47FB-BCFD-86048EB32CA2}"/>
    <w:embedBold r:id="rId3" w:fontKey="{8FE9CEDC-8D04-440A-AF23-2EC1B6F693D4}"/>
    <w:embedItalic r:id="rId4" w:fontKey="{E23ED351-DD50-4B88-814A-395A28AA837C}"/>
    <w:embedBoldItalic r:id="rId5" w:fontKey="{377009A3-1EAF-48BC-9E30-C24A802A717B}"/>
  </w:font>
  <w:font w:name="Calibri">
    <w:panose1 w:val="020F0502020204030204"/>
    <w:charset w:val="00"/>
    <w:family w:val="swiss"/>
    <w:pitch w:val="variable"/>
    <w:sig w:usb0="E4002EFF" w:usb1="C200247B" w:usb2="00000009" w:usb3="00000000" w:csb0="000001FF" w:csb1="00000000"/>
    <w:embedRegular r:id="rId6" w:fontKey="{49305E00-115C-49D5-99EF-EB6278AD5420}"/>
    <w:embedBold r:id="rId7" w:fontKey="{786A400D-1FA5-4516-B436-167D96EAF2DE}"/>
  </w:font>
  <w:font w:name="Georgia">
    <w:panose1 w:val="02040502050405020303"/>
    <w:charset w:val="00"/>
    <w:family w:val="roman"/>
    <w:pitch w:val="variable"/>
    <w:sig w:usb0="00000287" w:usb1="00000000" w:usb2="00000000" w:usb3="00000000" w:csb0="0000009F" w:csb1="00000000"/>
    <w:embedItalic r:id="rId8" w:fontKey="{79AB9D38-3BA7-4604-B912-D264B5459988}"/>
  </w:font>
  <w:font w:name="Cambria">
    <w:panose1 w:val="02040503050406030204"/>
    <w:charset w:val="00"/>
    <w:family w:val="roman"/>
    <w:pitch w:val="variable"/>
    <w:sig w:usb0="E00006FF" w:usb1="420024FF" w:usb2="02000000" w:usb3="00000000" w:csb0="0000019F" w:csb1="00000000"/>
    <w:embedRegular r:id="rId9" w:fontKey="{A8C5DC26-0B66-49F3-9D16-B03D39B1FED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EBC" w:rsidRDefault="00747F35">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C252AF">
      <w:rPr>
        <w:rFonts w:ascii="Palatino Linotype" w:eastAsia="Palatino Linotype" w:hAnsi="Palatino Linotype" w:cs="Palatino Linotype"/>
        <w:noProof/>
        <w:color w:val="000000"/>
        <w:sz w:val="22"/>
        <w:szCs w:val="22"/>
      </w:rPr>
      <w:t>44</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C252AF">
      <w:rPr>
        <w:rFonts w:ascii="Palatino Linotype" w:eastAsia="Palatino Linotype" w:hAnsi="Palatino Linotype" w:cs="Palatino Linotype"/>
        <w:noProof/>
        <w:color w:val="000000"/>
        <w:sz w:val="22"/>
        <w:szCs w:val="22"/>
      </w:rPr>
      <w:t>54</w:t>
    </w:r>
    <w:r>
      <w:rPr>
        <w:rFonts w:ascii="Palatino Linotype" w:eastAsia="Palatino Linotype" w:hAnsi="Palatino Linotype" w:cs="Palatino Linotype"/>
        <w:color w:val="000000"/>
        <w:sz w:val="22"/>
        <w:szCs w:val="22"/>
      </w:rPr>
      <w:fldChar w:fldCharType="end"/>
    </w:r>
  </w:p>
  <w:p w:rsidR="00807EBC" w:rsidRDefault="00807EB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EBC" w:rsidRDefault="00747F35">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C252AF">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C252AF">
      <w:rPr>
        <w:rFonts w:ascii="Palatino Linotype" w:eastAsia="Palatino Linotype" w:hAnsi="Palatino Linotype" w:cs="Palatino Linotype"/>
        <w:noProof/>
        <w:color w:val="000000"/>
        <w:sz w:val="22"/>
        <w:szCs w:val="22"/>
      </w:rPr>
      <w:t>54</w:t>
    </w:r>
    <w:r>
      <w:rPr>
        <w:rFonts w:ascii="Palatino Linotype" w:eastAsia="Palatino Linotype" w:hAnsi="Palatino Linotype" w:cs="Palatino Linotype"/>
        <w:color w:val="000000"/>
        <w:sz w:val="22"/>
        <w:szCs w:val="22"/>
      </w:rPr>
      <w:fldChar w:fldCharType="end"/>
    </w:r>
  </w:p>
  <w:p w:rsidR="00807EBC" w:rsidRDefault="00807EB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1D7" w:rsidRDefault="000531D7">
      <w:r>
        <w:separator/>
      </w:r>
    </w:p>
  </w:footnote>
  <w:footnote w:type="continuationSeparator" w:id="0">
    <w:p w:rsidR="000531D7" w:rsidRDefault="000531D7">
      <w:r>
        <w:continuationSeparator/>
      </w:r>
    </w:p>
  </w:footnote>
  <w:footnote w:id="1">
    <w:p w:rsidR="00807EBC" w:rsidRDefault="00747F3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807EBC" w:rsidRDefault="00747F3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807EBC" w:rsidRDefault="00747F35">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807EBC" w:rsidRDefault="00747F35">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rsidR="00807EBC" w:rsidRDefault="00747F35">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563C1"/>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rsidR="00807EBC" w:rsidRDefault="00747F3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Ley de Transparencia y Acceso a la Información Pública del Estado de México y Municipios. Artículo 9. …</w:t>
      </w:r>
    </w:p>
    <w:p w:rsidR="00807EBC" w:rsidRDefault="00747F35">
      <w:pPr>
        <w:pBdr>
          <w:top w:val="nil"/>
          <w:left w:val="nil"/>
          <w:bottom w:val="nil"/>
          <w:right w:val="nil"/>
          <w:between w:val="nil"/>
        </w:pBdr>
        <w:rPr>
          <w:color w:val="000000"/>
          <w:sz w:val="20"/>
          <w:szCs w:val="20"/>
        </w:rPr>
      </w:pPr>
      <w:r>
        <w:rPr>
          <w:color w:val="000000"/>
          <w:sz w:val="20"/>
          <w:szCs w:val="20"/>
        </w:rPr>
        <w:t>II. Eficacia: Obligación del Instituto para tutelar, de manera efectiva, el derecho de acceso a la información;</w:t>
      </w:r>
    </w:p>
    <w:p w:rsidR="00807EBC" w:rsidRDefault="00747F35">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EBC" w:rsidRDefault="000531D7">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6519" w:type="dxa"/>
      <w:tblInd w:w="3402" w:type="dxa"/>
      <w:tblLayout w:type="fixed"/>
      <w:tblLook w:val="0400" w:firstRow="0" w:lastRow="0" w:firstColumn="0" w:lastColumn="0" w:noHBand="0" w:noVBand="1"/>
    </w:tblPr>
    <w:tblGrid>
      <w:gridCol w:w="2976"/>
      <w:gridCol w:w="3543"/>
    </w:tblGrid>
    <w:tr w:rsidR="00807EBC" w:rsidTr="00BD161C">
      <w:trPr>
        <w:trHeight w:val="227"/>
      </w:trPr>
      <w:tc>
        <w:tcPr>
          <w:tcW w:w="2976" w:type="dxa"/>
          <w:vAlign w:val="center"/>
        </w:tcPr>
        <w:p w:rsidR="00807EBC" w:rsidRDefault="00747F35">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543" w:type="dxa"/>
          <w:vAlign w:val="center"/>
        </w:tcPr>
        <w:p w:rsidR="00807EBC" w:rsidRDefault="00747F35">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12298/INFOEM/IP/RR/2025</w:t>
          </w:r>
        </w:p>
      </w:tc>
    </w:tr>
    <w:tr w:rsidR="00807EBC" w:rsidTr="00BD161C">
      <w:trPr>
        <w:trHeight w:val="242"/>
      </w:trPr>
      <w:tc>
        <w:tcPr>
          <w:tcW w:w="2976" w:type="dxa"/>
          <w:vAlign w:val="center"/>
        </w:tcPr>
        <w:p w:rsidR="00807EBC" w:rsidRDefault="00747F35">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543" w:type="dxa"/>
          <w:vAlign w:val="center"/>
        </w:tcPr>
        <w:p w:rsidR="00807EBC" w:rsidRDefault="00747F35">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Toluca</w:t>
          </w:r>
        </w:p>
      </w:tc>
    </w:tr>
    <w:tr w:rsidR="00807EBC" w:rsidTr="00BD161C">
      <w:trPr>
        <w:trHeight w:val="342"/>
      </w:trPr>
      <w:tc>
        <w:tcPr>
          <w:tcW w:w="2976" w:type="dxa"/>
          <w:vAlign w:val="center"/>
        </w:tcPr>
        <w:p w:rsidR="00807EBC" w:rsidRDefault="00747F35">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543" w:type="dxa"/>
          <w:vAlign w:val="center"/>
        </w:tcPr>
        <w:p w:rsidR="00807EBC" w:rsidRDefault="00747F35">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807EBC" w:rsidRDefault="000531D7">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660" w:type="dxa"/>
      <w:tblInd w:w="3544" w:type="dxa"/>
      <w:tblLayout w:type="fixed"/>
      <w:tblLook w:val="0400" w:firstRow="0" w:lastRow="0" w:firstColumn="0" w:lastColumn="0" w:noHBand="0" w:noVBand="1"/>
    </w:tblPr>
    <w:tblGrid>
      <w:gridCol w:w="2977"/>
      <w:gridCol w:w="3683"/>
    </w:tblGrid>
    <w:tr w:rsidR="00807EBC" w:rsidTr="00BD161C">
      <w:trPr>
        <w:trHeight w:val="227"/>
      </w:trPr>
      <w:tc>
        <w:tcPr>
          <w:tcW w:w="2977" w:type="dxa"/>
          <w:vAlign w:val="center"/>
        </w:tcPr>
        <w:p w:rsidR="00807EBC" w:rsidRDefault="00747F35">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683" w:type="dxa"/>
          <w:vAlign w:val="center"/>
        </w:tcPr>
        <w:p w:rsidR="00807EBC" w:rsidRDefault="00747F35">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12298/INFOEM/IP/RR/2025</w:t>
          </w:r>
        </w:p>
      </w:tc>
    </w:tr>
    <w:tr w:rsidR="00807EBC" w:rsidTr="00BD161C">
      <w:trPr>
        <w:trHeight w:val="242"/>
      </w:trPr>
      <w:tc>
        <w:tcPr>
          <w:tcW w:w="2977" w:type="dxa"/>
          <w:vAlign w:val="center"/>
        </w:tcPr>
        <w:p w:rsidR="00807EBC" w:rsidRDefault="00747F35">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683" w:type="dxa"/>
        </w:tcPr>
        <w:p w:rsidR="00807EBC" w:rsidRDefault="00807EBC">
          <w:pPr>
            <w:pBdr>
              <w:top w:val="nil"/>
              <w:left w:val="nil"/>
              <w:bottom w:val="nil"/>
              <w:right w:val="nil"/>
              <w:between w:val="nil"/>
            </w:pBdr>
            <w:tabs>
              <w:tab w:val="center" w:pos="4419"/>
              <w:tab w:val="right" w:pos="8838"/>
              <w:tab w:val="left" w:pos="521"/>
            </w:tabs>
            <w:ind w:firstLine="720"/>
            <w:rPr>
              <w:rFonts w:ascii="Palatino Linotype" w:eastAsia="Palatino Linotype" w:hAnsi="Palatino Linotype" w:cs="Palatino Linotype"/>
              <w:color w:val="000000"/>
              <w:highlight w:val="green"/>
            </w:rPr>
          </w:pPr>
        </w:p>
      </w:tc>
    </w:tr>
    <w:tr w:rsidR="00807EBC" w:rsidTr="00BD161C">
      <w:trPr>
        <w:trHeight w:val="342"/>
      </w:trPr>
      <w:tc>
        <w:tcPr>
          <w:tcW w:w="2977" w:type="dxa"/>
          <w:vAlign w:val="center"/>
        </w:tcPr>
        <w:p w:rsidR="00807EBC" w:rsidRDefault="00747F35">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683" w:type="dxa"/>
          <w:vAlign w:val="center"/>
        </w:tcPr>
        <w:p w:rsidR="00807EBC" w:rsidRDefault="00747F35">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Toluca</w:t>
          </w:r>
        </w:p>
      </w:tc>
    </w:tr>
    <w:tr w:rsidR="00807EBC" w:rsidTr="00BD161C">
      <w:trPr>
        <w:trHeight w:val="342"/>
      </w:trPr>
      <w:tc>
        <w:tcPr>
          <w:tcW w:w="2977" w:type="dxa"/>
          <w:vAlign w:val="center"/>
        </w:tcPr>
        <w:p w:rsidR="00807EBC" w:rsidRDefault="00747F35">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683" w:type="dxa"/>
          <w:vAlign w:val="center"/>
        </w:tcPr>
        <w:p w:rsidR="00807EBC" w:rsidRDefault="00747F35">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807EBC" w:rsidRDefault="000531D7">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669AA"/>
    <w:multiLevelType w:val="multilevel"/>
    <w:tmpl w:val="C1D48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5533F2"/>
    <w:multiLevelType w:val="multilevel"/>
    <w:tmpl w:val="25407B78"/>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2" w15:restartNumberingAfterBreak="0">
    <w:nsid w:val="0C815FA4"/>
    <w:multiLevelType w:val="multilevel"/>
    <w:tmpl w:val="BFB4DF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F3535F"/>
    <w:multiLevelType w:val="multilevel"/>
    <w:tmpl w:val="7040DBD0"/>
    <w:lvl w:ilvl="0">
      <w:start w:val="1"/>
      <w:numFmt w:val="upperRoman"/>
      <w:lvlText w:val="%1."/>
      <w:lvlJc w:val="left"/>
      <w:pPr>
        <w:ind w:left="720" w:hanging="72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F224334"/>
    <w:multiLevelType w:val="multilevel"/>
    <w:tmpl w:val="DE26FA9A"/>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7B40F78"/>
    <w:multiLevelType w:val="multilevel"/>
    <w:tmpl w:val="58647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5B416A2"/>
    <w:multiLevelType w:val="multilevel"/>
    <w:tmpl w:val="01742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81E16C4"/>
    <w:multiLevelType w:val="multilevel"/>
    <w:tmpl w:val="2AF8BE32"/>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7"/>
  </w:num>
  <w:num w:numId="3">
    <w:abstractNumId w:val="2"/>
  </w:num>
  <w:num w:numId="4">
    <w:abstractNumId w:val="5"/>
  </w:num>
  <w:num w:numId="5">
    <w:abstractNumId w:val="1"/>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EBC"/>
    <w:rsid w:val="000531D7"/>
    <w:rsid w:val="006560E7"/>
    <w:rsid w:val="00747F35"/>
    <w:rsid w:val="00807EBC"/>
    <w:rsid w:val="009946FA"/>
    <w:rsid w:val="009977C6"/>
    <w:rsid w:val="009C68B9"/>
    <w:rsid w:val="00BD161C"/>
    <w:rsid w:val="00C252AF"/>
    <w:rsid w:val="00D038F2"/>
    <w:rsid w:val="00F04E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66CC99C-F6CD-4974-85CA-78DE3A1BE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BD161C"/>
    <w:pPr>
      <w:tabs>
        <w:tab w:val="center" w:pos="4419"/>
        <w:tab w:val="right" w:pos="8838"/>
      </w:tabs>
    </w:pPr>
  </w:style>
  <w:style w:type="character" w:customStyle="1" w:styleId="PiedepginaCar">
    <w:name w:val="Pie de página Car"/>
    <w:basedOn w:val="Fuentedeprrafopredeter"/>
    <w:link w:val="Piedepgina"/>
    <w:uiPriority w:val="99"/>
    <w:rsid w:val="00BD161C"/>
  </w:style>
  <w:style w:type="paragraph" w:styleId="Prrafodelista">
    <w:name w:val="List Paragraph"/>
    <w:basedOn w:val="Normal"/>
    <w:uiPriority w:val="34"/>
    <w:qFormat/>
    <w:rsid w:val="00BD16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CRGJzvXolDRvqWNNv/0wRRwioA==">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54</Pages>
  <Words>12156</Words>
  <Characters>66861</Characters>
  <Application>Microsoft Office Word</Application>
  <DocSecurity>0</DocSecurity>
  <Lines>557</Lines>
  <Paragraphs>157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78860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2026-06-12T17:08:00Z</cp:lastPrinted>
  <dcterms:created xsi:type="dcterms:W3CDTF">2026-06-10T20:57:00Z</dcterms:created>
  <dcterms:modified xsi:type="dcterms:W3CDTF">2026-06-16T23:36:00Z</dcterms:modified>
</cp:coreProperties>
</file>