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7A748" w14:textId="77777777" w:rsidR="001D5AF4" w:rsidRDefault="001D5AF4" w:rsidP="001D5AF4">
      <w:pPr>
        <w:tabs>
          <w:tab w:val="left" w:pos="8931"/>
        </w:tabs>
        <w:spacing w:line="360" w:lineRule="auto"/>
        <w:ind w:left="8931" w:hanging="8931"/>
        <w:contextualSpacing/>
      </w:pPr>
      <w:bookmarkStart w:id="0" w:name="_Hlk215665293"/>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rFonts w:ascii="Times New Roman" w:eastAsia="Times New Roman" w:hAnsi="Times New Roman" w:cs="Times New Roman"/>
          <w:b/>
          <w:bCs/>
          <w:color w:val="auto"/>
          <w:sz w:val="20"/>
          <w:szCs w:val="20"/>
        </w:rPr>
      </w:sdtEndPr>
      <w:sdtContent>
        <w:p w14:paraId="6E59318C" w14:textId="77777777" w:rsidR="001D5AF4" w:rsidRPr="0078057B" w:rsidRDefault="001D5AF4" w:rsidP="0078057B">
          <w:pPr>
            <w:pStyle w:val="TtuloTDC"/>
            <w:spacing w:before="0" w:line="360" w:lineRule="auto"/>
            <w:contextualSpacing/>
            <w:jc w:val="center"/>
            <w:rPr>
              <w:rFonts w:ascii="Palatino Linotype" w:eastAsia="Palatino Linotype" w:hAnsi="Palatino Linotype" w:cs="Palatino Linotype"/>
              <w:color w:val="000000" w:themeColor="text1"/>
              <w:sz w:val="22"/>
              <w:szCs w:val="22"/>
              <w:lang w:val="es-ES"/>
            </w:rPr>
          </w:pPr>
        </w:p>
        <w:p w14:paraId="6ECEB122" w14:textId="77777777" w:rsidR="001D5AF4" w:rsidRPr="0078057B" w:rsidRDefault="001D5AF4" w:rsidP="0078057B">
          <w:pPr>
            <w:pStyle w:val="TtuloTDC"/>
            <w:spacing w:before="0" w:line="360" w:lineRule="auto"/>
            <w:contextualSpacing/>
            <w:jc w:val="center"/>
            <w:rPr>
              <w:rFonts w:ascii="Palatino Linotype" w:hAnsi="Palatino Linotype"/>
              <w:color w:val="auto"/>
              <w:sz w:val="22"/>
              <w:szCs w:val="22"/>
            </w:rPr>
          </w:pPr>
          <w:r w:rsidRPr="0078057B">
            <w:rPr>
              <w:rFonts w:ascii="Palatino Linotype" w:hAnsi="Palatino Linotype"/>
              <w:color w:val="auto"/>
              <w:sz w:val="22"/>
              <w:szCs w:val="22"/>
              <w:lang w:val="es-ES"/>
            </w:rPr>
            <w:t xml:space="preserve">RESOLUCIÓN DEL RECURSO DE REVISIÓN </w:t>
          </w:r>
          <w:r w:rsidRPr="0078057B">
            <w:rPr>
              <w:rFonts w:ascii="Palatino Linotype" w:hAnsi="Palatino Linotype"/>
              <w:color w:val="auto"/>
              <w:sz w:val="22"/>
              <w:szCs w:val="22"/>
            </w:rPr>
            <w:t>011811/INFOEM/IP/RR/2025</w:t>
          </w:r>
        </w:p>
        <w:p w14:paraId="0A6E4723" w14:textId="77777777" w:rsidR="001D5AF4" w:rsidRPr="002771C4" w:rsidRDefault="001D5AF4" w:rsidP="0078057B">
          <w:pPr>
            <w:spacing w:line="360" w:lineRule="auto"/>
            <w:contextualSpacing/>
            <w:rPr>
              <w:rFonts w:ascii="Palatino Linotype" w:hAnsi="Palatino Linotype"/>
            </w:rPr>
          </w:pPr>
        </w:p>
        <w:p w14:paraId="7F86BD80" w14:textId="77777777" w:rsidR="002771C4" w:rsidRPr="002771C4" w:rsidRDefault="001D5AF4">
          <w:pPr>
            <w:pStyle w:val="TDC1"/>
            <w:tabs>
              <w:tab w:val="right" w:leader="dot" w:pos="8828"/>
            </w:tabs>
            <w:rPr>
              <w:rFonts w:asciiTheme="minorHAnsi" w:eastAsiaTheme="minorEastAsia" w:hAnsiTheme="minorHAnsi" w:cstheme="minorBidi"/>
              <w:noProof/>
              <w:color w:val="auto"/>
            </w:rPr>
          </w:pPr>
          <w:r w:rsidRPr="002771C4">
            <w:fldChar w:fldCharType="begin"/>
          </w:r>
          <w:r w:rsidRPr="002771C4">
            <w:instrText xml:space="preserve"> TOC \o "1-3" \h \z \u </w:instrText>
          </w:r>
          <w:r w:rsidRPr="002771C4">
            <w:fldChar w:fldCharType="separate"/>
          </w:r>
          <w:hyperlink w:anchor="_Toc224833577" w:history="1">
            <w:r w:rsidR="002771C4" w:rsidRPr="002771C4">
              <w:rPr>
                <w:rStyle w:val="Hipervnculo"/>
                <w:bCs/>
                <w:noProof/>
              </w:rPr>
              <w:t>A N T E C E D E N T E S</w:t>
            </w:r>
            <w:r w:rsidR="002771C4" w:rsidRPr="002771C4">
              <w:rPr>
                <w:noProof/>
                <w:webHidden/>
              </w:rPr>
              <w:tab/>
            </w:r>
            <w:r w:rsidR="002771C4" w:rsidRPr="002771C4">
              <w:rPr>
                <w:noProof/>
                <w:webHidden/>
              </w:rPr>
              <w:fldChar w:fldCharType="begin"/>
            </w:r>
            <w:r w:rsidR="002771C4" w:rsidRPr="002771C4">
              <w:rPr>
                <w:noProof/>
                <w:webHidden/>
              </w:rPr>
              <w:instrText xml:space="preserve"> PAGEREF _Toc224833577 \h </w:instrText>
            </w:r>
            <w:r w:rsidR="002771C4" w:rsidRPr="002771C4">
              <w:rPr>
                <w:noProof/>
                <w:webHidden/>
              </w:rPr>
            </w:r>
            <w:r w:rsidR="002771C4" w:rsidRPr="002771C4">
              <w:rPr>
                <w:noProof/>
                <w:webHidden/>
              </w:rPr>
              <w:fldChar w:fldCharType="separate"/>
            </w:r>
            <w:r w:rsidR="00CE4476">
              <w:rPr>
                <w:noProof/>
                <w:webHidden/>
              </w:rPr>
              <w:t>2</w:t>
            </w:r>
            <w:r w:rsidR="002771C4" w:rsidRPr="002771C4">
              <w:rPr>
                <w:noProof/>
                <w:webHidden/>
              </w:rPr>
              <w:fldChar w:fldCharType="end"/>
            </w:r>
          </w:hyperlink>
        </w:p>
        <w:p w14:paraId="6F20CE69" w14:textId="77777777" w:rsidR="002771C4" w:rsidRPr="002771C4" w:rsidRDefault="002771C4">
          <w:pPr>
            <w:pStyle w:val="TDC2"/>
            <w:tabs>
              <w:tab w:val="right" w:leader="dot" w:pos="8828"/>
            </w:tabs>
            <w:rPr>
              <w:rFonts w:asciiTheme="minorHAnsi" w:eastAsiaTheme="minorEastAsia" w:hAnsiTheme="minorHAnsi" w:cstheme="minorBidi"/>
              <w:noProof/>
              <w:color w:val="auto"/>
            </w:rPr>
          </w:pPr>
          <w:hyperlink w:anchor="_Toc224833578" w:history="1">
            <w:r w:rsidRPr="002771C4">
              <w:rPr>
                <w:rStyle w:val="Hipervnculo"/>
                <w:bCs/>
                <w:noProof/>
              </w:rPr>
              <w:t>I. Presentación de la solicitud de información</w:t>
            </w:r>
            <w:r w:rsidRPr="002771C4">
              <w:rPr>
                <w:noProof/>
                <w:webHidden/>
              </w:rPr>
              <w:tab/>
            </w:r>
            <w:r w:rsidRPr="002771C4">
              <w:rPr>
                <w:noProof/>
                <w:webHidden/>
              </w:rPr>
              <w:fldChar w:fldCharType="begin"/>
            </w:r>
            <w:r w:rsidRPr="002771C4">
              <w:rPr>
                <w:noProof/>
                <w:webHidden/>
              </w:rPr>
              <w:instrText xml:space="preserve"> PAGEREF _Toc224833578 \h </w:instrText>
            </w:r>
            <w:r w:rsidRPr="002771C4">
              <w:rPr>
                <w:noProof/>
                <w:webHidden/>
              </w:rPr>
            </w:r>
            <w:r w:rsidRPr="002771C4">
              <w:rPr>
                <w:noProof/>
                <w:webHidden/>
              </w:rPr>
              <w:fldChar w:fldCharType="separate"/>
            </w:r>
            <w:r w:rsidR="00CE4476">
              <w:rPr>
                <w:noProof/>
                <w:webHidden/>
              </w:rPr>
              <w:t>2</w:t>
            </w:r>
            <w:r w:rsidRPr="002771C4">
              <w:rPr>
                <w:noProof/>
                <w:webHidden/>
              </w:rPr>
              <w:fldChar w:fldCharType="end"/>
            </w:r>
          </w:hyperlink>
        </w:p>
        <w:p w14:paraId="589B762C" w14:textId="77777777" w:rsidR="002771C4" w:rsidRPr="002771C4" w:rsidRDefault="002771C4">
          <w:pPr>
            <w:pStyle w:val="TDC2"/>
            <w:tabs>
              <w:tab w:val="right" w:leader="dot" w:pos="8828"/>
            </w:tabs>
            <w:rPr>
              <w:rFonts w:asciiTheme="minorHAnsi" w:eastAsiaTheme="minorEastAsia" w:hAnsiTheme="minorHAnsi" w:cstheme="minorBidi"/>
              <w:noProof/>
              <w:color w:val="auto"/>
            </w:rPr>
          </w:pPr>
          <w:hyperlink w:anchor="_Toc224833579" w:history="1">
            <w:r w:rsidRPr="002771C4">
              <w:rPr>
                <w:rStyle w:val="Hipervnculo"/>
                <w:noProof/>
              </w:rPr>
              <w:t>II. Prórroga para atender la solicitud de información</w:t>
            </w:r>
            <w:r w:rsidRPr="002771C4">
              <w:rPr>
                <w:noProof/>
                <w:webHidden/>
              </w:rPr>
              <w:tab/>
            </w:r>
            <w:r w:rsidRPr="002771C4">
              <w:rPr>
                <w:noProof/>
                <w:webHidden/>
              </w:rPr>
              <w:fldChar w:fldCharType="begin"/>
            </w:r>
            <w:r w:rsidRPr="002771C4">
              <w:rPr>
                <w:noProof/>
                <w:webHidden/>
              </w:rPr>
              <w:instrText xml:space="preserve"> PAGEREF _Toc224833579 \h </w:instrText>
            </w:r>
            <w:r w:rsidRPr="002771C4">
              <w:rPr>
                <w:noProof/>
                <w:webHidden/>
              </w:rPr>
            </w:r>
            <w:r w:rsidRPr="002771C4">
              <w:rPr>
                <w:noProof/>
                <w:webHidden/>
              </w:rPr>
              <w:fldChar w:fldCharType="separate"/>
            </w:r>
            <w:r w:rsidR="00CE4476">
              <w:rPr>
                <w:noProof/>
                <w:webHidden/>
              </w:rPr>
              <w:t>2</w:t>
            </w:r>
            <w:r w:rsidRPr="002771C4">
              <w:rPr>
                <w:noProof/>
                <w:webHidden/>
              </w:rPr>
              <w:fldChar w:fldCharType="end"/>
            </w:r>
          </w:hyperlink>
        </w:p>
        <w:p w14:paraId="5F1162B4" w14:textId="77777777" w:rsidR="002771C4" w:rsidRPr="002771C4" w:rsidRDefault="002771C4">
          <w:pPr>
            <w:pStyle w:val="TDC2"/>
            <w:tabs>
              <w:tab w:val="right" w:leader="dot" w:pos="8828"/>
            </w:tabs>
            <w:rPr>
              <w:rFonts w:asciiTheme="minorHAnsi" w:eastAsiaTheme="minorEastAsia" w:hAnsiTheme="minorHAnsi" w:cstheme="minorBidi"/>
              <w:noProof/>
              <w:color w:val="auto"/>
            </w:rPr>
          </w:pPr>
          <w:hyperlink w:anchor="_Toc224833580" w:history="1">
            <w:r w:rsidRPr="002771C4">
              <w:rPr>
                <w:rStyle w:val="Hipervnculo"/>
                <w:bCs/>
                <w:noProof/>
              </w:rPr>
              <w:t>IV. Interposición del Recurso de Revisión</w:t>
            </w:r>
            <w:r w:rsidRPr="002771C4">
              <w:rPr>
                <w:noProof/>
                <w:webHidden/>
              </w:rPr>
              <w:tab/>
            </w:r>
            <w:r w:rsidRPr="002771C4">
              <w:rPr>
                <w:noProof/>
                <w:webHidden/>
              </w:rPr>
              <w:fldChar w:fldCharType="begin"/>
            </w:r>
            <w:r w:rsidRPr="002771C4">
              <w:rPr>
                <w:noProof/>
                <w:webHidden/>
              </w:rPr>
              <w:instrText xml:space="preserve"> PAGEREF _Toc224833580 \h </w:instrText>
            </w:r>
            <w:r w:rsidRPr="002771C4">
              <w:rPr>
                <w:noProof/>
                <w:webHidden/>
              </w:rPr>
            </w:r>
            <w:r w:rsidRPr="002771C4">
              <w:rPr>
                <w:noProof/>
                <w:webHidden/>
              </w:rPr>
              <w:fldChar w:fldCharType="separate"/>
            </w:r>
            <w:r w:rsidR="00CE4476">
              <w:rPr>
                <w:noProof/>
                <w:webHidden/>
              </w:rPr>
              <w:t>3</w:t>
            </w:r>
            <w:r w:rsidRPr="002771C4">
              <w:rPr>
                <w:noProof/>
                <w:webHidden/>
              </w:rPr>
              <w:fldChar w:fldCharType="end"/>
            </w:r>
          </w:hyperlink>
        </w:p>
        <w:p w14:paraId="390482BC" w14:textId="77777777" w:rsidR="002771C4" w:rsidRPr="002771C4" w:rsidRDefault="002771C4">
          <w:pPr>
            <w:pStyle w:val="TDC2"/>
            <w:tabs>
              <w:tab w:val="right" w:leader="dot" w:pos="8828"/>
            </w:tabs>
            <w:rPr>
              <w:rFonts w:asciiTheme="minorHAnsi" w:eastAsiaTheme="minorEastAsia" w:hAnsiTheme="minorHAnsi" w:cstheme="minorBidi"/>
              <w:noProof/>
              <w:color w:val="auto"/>
            </w:rPr>
          </w:pPr>
          <w:hyperlink w:anchor="_Toc224833581" w:history="1">
            <w:r w:rsidRPr="002771C4">
              <w:rPr>
                <w:rStyle w:val="Hipervnculo"/>
                <w:bCs/>
                <w:noProof/>
              </w:rPr>
              <w:t xml:space="preserve">V. </w:t>
            </w:r>
            <w:r w:rsidRPr="002771C4">
              <w:rPr>
                <w:rStyle w:val="Hipervnculo"/>
                <w:rFonts w:eastAsia="Batang"/>
                <w:bCs/>
                <w:noProof/>
              </w:rPr>
              <w:t xml:space="preserve">Trámite del </w:t>
            </w:r>
            <w:r w:rsidRPr="002771C4">
              <w:rPr>
                <w:rStyle w:val="Hipervnculo"/>
                <w:bCs/>
                <w:noProof/>
              </w:rPr>
              <w:t xml:space="preserve">Recurso de Revisión </w:t>
            </w:r>
            <w:r w:rsidRPr="002771C4">
              <w:rPr>
                <w:rStyle w:val="Hipervnculo"/>
                <w:rFonts w:eastAsia="Batang"/>
                <w:bCs/>
                <w:noProof/>
              </w:rPr>
              <w:t>ante este Instituto</w:t>
            </w:r>
            <w:r w:rsidRPr="002771C4">
              <w:rPr>
                <w:noProof/>
                <w:webHidden/>
              </w:rPr>
              <w:tab/>
            </w:r>
            <w:r w:rsidRPr="002771C4">
              <w:rPr>
                <w:noProof/>
                <w:webHidden/>
              </w:rPr>
              <w:fldChar w:fldCharType="begin"/>
            </w:r>
            <w:r w:rsidRPr="002771C4">
              <w:rPr>
                <w:noProof/>
                <w:webHidden/>
              </w:rPr>
              <w:instrText xml:space="preserve"> PAGEREF _Toc224833581 \h </w:instrText>
            </w:r>
            <w:r w:rsidRPr="002771C4">
              <w:rPr>
                <w:noProof/>
                <w:webHidden/>
              </w:rPr>
            </w:r>
            <w:r w:rsidRPr="002771C4">
              <w:rPr>
                <w:noProof/>
                <w:webHidden/>
              </w:rPr>
              <w:fldChar w:fldCharType="separate"/>
            </w:r>
            <w:r w:rsidR="00CE4476">
              <w:rPr>
                <w:noProof/>
                <w:webHidden/>
              </w:rPr>
              <w:t>4</w:t>
            </w:r>
            <w:r w:rsidRPr="002771C4">
              <w:rPr>
                <w:noProof/>
                <w:webHidden/>
              </w:rPr>
              <w:fldChar w:fldCharType="end"/>
            </w:r>
          </w:hyperlink>
        </w:p>
        <w:p w14:paraId="7D183CFC" w14:textId="77777777" w:rsidR="002771C4" w:rsidRPr="002771C4" w:rsidRDefault="002771C4">
          <w:pPr>
            <w:pStyle w:val="TDC1"/>
            <w:tabs>
              <w:tab w:val="right" w:leader="dot" w:pos="8828"/>
            </w:tabs>
            <w:rPr>
              <w:rFonts w:asciiTheme="minorHAnsi" w:eastAsiaTheme="minorEastAsia" w:hAnsiTheme="minorHAnsi" w:cstheme="minorBidi"/>
              <w:noProof/>
              <w:color w:val="auto"/>
            </w:rPr>
          </w:pPr>
          <w:hyperlink w:anchor="_Toc224833582" w:history="1">
            <w:r w:rsidRPr="002771C4">
              <w:rPr>
                <w:rStyle w:val="Hipervnculo"/>
                <w:bCs/>
                <w:noProof/>
              </w:rPr>
              <w:t>C O N S I D E R A N D O S</w:t>
            </w:r>
            <w:r w:rsidRPr="002771C4">
              <w:rPr>
                <w:noProof/>
                <w:webHidden/>
              </w:rPr>
              <w:tab/>
            </w:r>
            <w:r w:rsidRPr="002771C4">
              <w:rPr>
                <w:noProof/>
                <w:webHidden/>
              </w:rPr>
              <w:fldChar w:fldCharType="begin"/>
            </w:r>
            <w:r w:rsidRPr="002771C4">
              <w:rPr>
                <w:noProof/>
                <w:webHidden/>
              </w:rPr>
              <w:instrText xml:space="preserve"> PAGEREF _Toc224833582 \h </w:instrText>
            </w:r>
            <w:r w:rsidRPr="002771C4">
              <w:rPr>
                <w:noProof/>
                <w:webHidden/>
              </w:rPr>
            </w:r>
            <w:r w:rsidRPr="002771C4">
              <w:rPr>
                <w:noProof/>
                <w:webHidden/>
              </w:rPr>
              <w:fldChar w:fldCharType="separate"/>
            </w:r>
            <w:r w:rsidR="00CE4476">
              <w:rPr>
                <w:noProof/>
                <w:webHidden/>
              </w:rPr>
              <w:t>6</w:t>
            </w:r>
            <w:r w:rsidRPr="002771C4">
              <w:rPr>
                <w:noProof/>
                <w:webHidden/>
              </w:rPr>
              <w:fldChar w:fldCharType="end"/>
            </w:r>
          </w:hyperlink>
        </w:p>
        <w:p w14:paraId="25E895D2" w14:textId="77777777" w:rsidR="002771C4" w:rsidRPr="002771C4" w:rsidRDefault="002771C4">
          <w:pPr>
            <w:pStyle w:val="TDC2"/>
            <w:tabs>
              <w:tab w:val="right" w:leader="dot" w:pos="8828"/>
            </w:tabs>
            <w:rPr>
              <w:rFonts w:asciiTheme="minorHAnsi" w:eastAsiaTheme="minorEastAsia" w:hAnsiTheme="minorHAnsi" w:cstheme="minorBidi"/>
              <w:noProof/>
              <w:color w:val="auto"/>
            </w:rPr>
          </w:pPr>
          <w:hyperlink w:anchor="_Toc224833583" w:history="1">
            <w:r w:rsidRPr="002771C4">
              <w:rPr>
                <w:rStyle w:val="Hipervnculo"/>
                <w:bCs/>
                <w:noProof/>
              </w:rPr>
              <w:t>PRIMERO. Competencia</w:t>
            </w:r>
            <w:r w:rsidRPr="002771C4">
              <w:rPr>
                <w:noProof/>
                <w:webHidden/>
              </w:rPr>
              <w:tab/>
            </w:r>
            <w:r w:rsidRPr="002771C4">
              <w:rPr>
                <w:noProof/>
                <w:webHidden/>
              </w:rPr>
              <w:fldChar w:fldCharType="begin"/>
            </w:r>
            <w:r w:rsidRPr="002771C4">
              <w:rPr>
                <w:noProof/>
                <w:webHidden/>
              </w:rPr>
              <w:instrText xml:space="preserve"> PAGEREF _Toc224833583 \h </w:instrText>
            </w:r>
            <w:r w:rsidRPr="002771C4">
              <w:rPr>
                <w:noProof/>
                <w:webHidden/>
              </w:rPr>
            </w:r>
            <w:r w:rsidRPr="002771C4">
              <w:rPr>
                <w:noProof/>
                <w:webHidden/>
              </w:rPr>
              <w:fldChar w:fldCharType="separate"/>
            </w:r>
            <w:r w:rsidR="00CE4476">
              <w:rPr>
                <w:noProof/>
                <w:webHidden/>
              </w:rPr>
              <w:t>6</w:t>
            </w:r>
            <w:r w:rsidRPr="002771C4">
              <w:rPr>
                <w:noProof/>
                <w:webHidden/>
              </w:rPr>
              <w:fldChar w:fldCharType="end"/>
            </w:r>
          </w:hyperlink>
        </w:p>
        <w:p w14:paraId="66C85FF2" w14:textId="77777777" w:rsidR="002771C4" w:rsidRPr="002771C4" w:rsidRDefault="002771C4">
          <w:pPr>
            <w:pStyle w:val="TDC2"/>
            <w:tabs>
              <w:tab w:val="right" w:leader="dot" w:pos="8828"/>
            </w:tabs>
            <w:rPr>
              <w:rFonts w:asciiTheme="minorHAnsi" w:eastAsiaTheme="minorEastAsia" w:hAnsiTheme="minorHAnsi" w:cstheme="minorBidi"/>
              <w:noProof/>
              <w:color w:val="auto"/>
            </w:rPr>
          </w:pPr>
          <w:hyperlink w:anchor="_Toc224833584" w:history="1">
            <w:r w:rsidRPr="002771C4">
              <w:rPr>
                <w:rStyle w:val="Hipervnculo"/>
                <w:rFonts w:eastAsia="Calibri"/>
                <w:bCs/>
                <w:noProof/>
                <w:lang w:val="es-ES"/>
              </w:rPr>
              <w:t xml:space="preserve">SEGUNDO. </w:t>
            </w:r>
            <w:r w:rsidRPr="002771C4">
              <w:rPr>
                <w:rStyle w:val="Hipervnculo"/>
                <w:bCs/>
                <w:noProof/>
                <w:lang w:val="es-ES"/>
              </w:rPr>
              <w:t>Causales de improcedencia y sobreseimiento</w:t>
            </w:r>
            <w:r w:rsidRPr="002771C4">
              <w:rPr>
                <w:noProof/>
                <w:webHidden/>
              </w:rPr>
              <w:tab/>
            </w:r>
            <w:r w:rsidRPr="002771C4">
              <w:rPr>
                <w:noProof/>
                <w:webHidden/>
              </w:rPr>
              <w:fldChar w:fldCharType="begin"/>
            </w:r>
            <w:r w:rsidRPr="002771C4">
              <w:rPr>
                <w:noProof/>
                <w:webHidden/>
              </w:rPr>
              <w:instrText xml:space="preserve"> PAGEREF _Toc224833584 \h </w:instrText>
            </w:r>
            <w:r w:rsidRPr="002771C4">
              <w:rPr>
                <w:noProof/>
                <w:webHidden/>
              </w:rPr>
            </w:r>
            <w:r w:rsidRPr="002771C4">
              <w:rPr>
                <w:noProof/>
                <w:webHidden/>
              </w:rPr>
              <w:fldChar w:fldCharType="separate"/>
            </w:r>
            <w:r w:rsidR="00CE4476">
              <w:rPr>
                <w:noProof/>
                <w:webHidden/>
              </w:rPr>
              <w:t>6</w:t>
            </w:r>
            <w:r w:rsidRPr="002771C4">
              <w:rPr>
                <w:noProof/>
                <w:webHidden/>
              </w:rPr>
              <w:fldChar w:fldCharType="end"/>
            </w:r>
          </w:hyperlink>
        </w:p>
        <w:p w14:paraId="3015ABC5" w14:textId="77777777" w:rsidR="002771C4" w:rsidRPr="002771C4" w:rsidRDefault="002771C4">
          <w:pPr>
            <w:pStyle w:val="TDC2"/>
            <w:tabs>
              <w:tab w:val="right" w:leader="dot" w:pos="8828"/>
            </w:tabs>
            <w:rPr>
              <w:rFonts w:asciiTheme="minorHAnsi" w:eastAsiaTheme="minorEastAsia" w:hAnsiTheme="minorHAnsi" w:cstheme="minorBidi"/>
              <w:noProof/>
              <w:color w:val="auto"/>
            </w:rPr>
          </w:pPr>
          <w:hyperlink w:anchor="_Toc224833585" w:history="1">
            <w:r w:rsidRPr="002771C4">
              <w:rPr>
                <w:rStyle w:val="Hipervnculo"/>
                <w:rFonts w:eastAsia="Calibri"/>
                <w:bCs/>
                <w:noProof/>
                <w:lang w:val="es-ES" w:eastAsia="es-ES_tradnl"/>
              </w:rPr>
              <w:t>TERCERO. Determinación de la Controversia</w:t>
            </w:r>
            <w:r w:rsidRPr="002771C4">
              <w:rPr>
                <w:noProof/>
                <w:webHidden/>
              </w:rPr>
              <w:tab/>
            </w:r>
            <w:r w:rsidRPr="002771C4">
              <w:rPr>
                <w:noProof/>
                <w:webHidden/>
              </w:rPr>
              <w:fldChar w:fldCharType="begin"/>
            </w:r>
            <w:r w:rsidRPr="002771C4">
              <w:rPr>
                <w:noProof/>
                <w:webHidden/>
              </w:rPr>
              <w:instrText xml:space="preserve"> PAGEREF _Toc224833585 \h </w:instrText>
            </w:r>
            <w:r w:rsidRPr="002771C4">
              <w:rPr>
                <w:noProof/>
                <w:webHidden/>
              </w:rPr>
            </w:r>
            <w:r w:rsidRPr="002771C4">
              <w:rPr>
                <w:noProof/>
                <w:webHidden/>
              </w:rPr>
              <w:fldChar w:fldCharType="separate"/>
            </w:r>
            <w:r w:rsidR="00CE4476">
              <w:rPr>
                <w:noProof/>
                <w:webHidden/>
              </w:rPr>
              <w:t>8</w:t>
            </w:r>
            <w:r w:rsidRPr="002771C4">
              <w:rPr>
                <w:noProof/>
                <w:webHidden/>
              </w:rPr>
              <w:fldChar w:fldCharType="end"/>
            </w:r>
          </w:hyperlink>
        </w:p>
        <w:p w14:paraId="4A6B6AC6" w14:textId="77777777" w:rsidR="002771C4" w:rsidRPr="002771C4" w:rsidRDefault="002771C4">
          <w:pPr>
            <w:pStyle w:val="TDC2"/>
            <w:tabs>
              <w:tab w:val="right" w:leader="dot" w:pos="8828"/>
            </w:tabs>
            <w:rPr>
              <w:rFonts w:asciiTheme="minorHAnsi" w:eastAsiaTheme="minorEastAsia" w:hAnsiTheme="minorHAnsi" w:cstheme="minorBidi"/>
              <w:noProof/>
              <w:color w:val="auto"/>
            </w:rPr>
          </w:pPr>
          <w:hyperlink w:anchor="_Toc224833586" w:history="1">
            <w:r w:rsidRPr="002771C4">
              <w:rPr>
                <w:rStyle w:val="Hipervnculo"/>
                <w:bCs/>
                <w:noProof/>
                <w:lang w:val="es-ES"/>
              </w:rPr>
              <w:t xml:space="preserve">CUARTO. </w:t>
            </w:r>
            <w:r w:rsidRPr="002771C4">
              <w:rPr>
                <w:rStyle w:val="Hipervnculo"/>
                <w:bCs/>
                <w:noProof/>
              </w:rPr>
              <w:t>Marco normativo aplicable en materia de transparencia y acceso a la información pública</w:t>
            </w:r>
            <w:r w:rsidRPr="002771C4">
              <w:rPr>
                <w:noProof/>
                <w:webHidden/>
              </w:rPr>
              <w:tab/>
            </w:r>
            <w:r w:rsidRPr="002771C4">
              <w:rPr>
                <w:noProof/>
                <w:webHidden/>
              </w:rPr>
              <w:fldChar w:fldCharType="begin"/>
            </w:r>
            <w:r w:rsidRPr="002771C4">
              <w:rPr>
                <w:noProof/>
                <w:webHidden/>
              </w:rPr>
              <w:instrText xml:space="preserve"> PAGEREF _Toc224833586 \h </w:instrText>
            </w:r>
            <w:r w:rsidRPr="002771C4">
              <w:rPr>
                <w:noProof/>
                <w:webHidden/>
              </w:rPr>
            </w:r>
            <w:r w:rsidRPr="002771C4">
              <w:rPr>
                <w:noProof/>
                <w:webHidden/>
              </w:rPr>
              <w:fldChar w:fldCharType="separate"/>
            </w:r>
            <w:r w:rsidR="00CE4476">
              <w:rPr>
                <w:noProof/>
                <w:webHidden/>
              </w:rPr>
              <w:t>9</w:t>
            </w:r>
            <w:r w:rsidRPr="002771C4">
              <w:rPr>
                <w:noProof/>
                <w:webHidden/>
              </w:rPr>
              <w:fldChar w:fldCharType="end"/>
            </w:r>
          </w:hyperlink>
        </w:p>
        <w:p w14:paraId="15EC0F57" w14:textId="77777777" w:rsidR="002771C4" w:rsidRPr="002771C4" w:rsidRDefault="002771C4">
          <w:pPr>
            <w:pStyle w:val="TDC2"/>
            <w:tabs>
              <w:tab w:val="right" w:leader="dot" w:pos="8828"/>
            </w:tabs>
            <w:rPr>
              <w:rFonts w:asciiTheme="minorHAnsi" w:eastAsiaTheme="minorEastAsia" w:hAnsiTheme="minorHAnsi" w:cstheme="minorBidi"/>
              <w:noProof/>
              <w:color w:val="auto"/>
            </w:rPr>
          </w:pPr>
          <w:hyperlink w:anchor="_Toc224833587" w:history="1">
            <w:r w:rsidRPr="002771C4">
              <w:rPr>
                <w:rStyle w:val="Hipervnculo"/>
                <w:bCs/>
                <w:noProof/>
                <w:lang w:val="es-ES"/>
              </w:rPr>
              <w:t>QUINTO. Estudio de Fondo</w:t>
            </w:r>
            <w:r w:rsidRPr="002771C4">
              <w:rPr>
                <w:noProof/>
                <w:webHidden/>
              </w:rPr>
              <w:tab/>
            </w:r>
            <w:r w:rsidRPr="002771C4">
              <w:rPr>
                <w:noProof/>
                <w:webHidden/>
              </w:rPr>
              <w:fldChar w:fldCharType="begin"/>
            </w:r>
            <w:r w:rsidRPr="002771C4">
              <w:rPr>
                <w:noProof/>
                <w:webHidden/>
              </w:rPr>
              <w:instrText xml:space="preserve"> PAGEREF _Toc224833587 \h </w:instrText>
            </w:r>
            <w:r w:rsidRPr="002771C4">
              <w:rPr>
                <w:noProof/>
                <w:webHidden/>
              </w:rPr>
            </w:r>
            <w:r w:rsidRPr="002771C4">
              <w:rPr>
                <w:noProof/>
                <w:webHidden/>
              </w:rPr>
              <w:fldChar w:fldCharType="separate"/>
            </w:r>
            <w:r w:rsidR="00CE4476">
              <w:rPr>
                <w:noProof/>
                <w:webHidden/>
              </w:rPr>
              <w:t>10</w:t>
            </w:r>
            <w:r w:rsidRPr="002771C4">
              <w:rPr>
                <w:noProof/>
                <w:webHidden/>
              </w:rPr>
              <w:fldChar w:fldCharType="end"/>
            </w:r>
          </w:hyperlink>
        </w:p>
        <w:p w14:paraId="1C15352E" w14:textId="77777777" w:rsidR="002771C4" w:rsidRPr="002771C4" w:rsidRDefault="002771C4">
          <w:pPr>
            <w:pStyle w:val="TDC2"/>
            <w:tabs>
              <w:tab w:val="right" w:leader="dot" w:pos="8828"/>
            </w:tabs>
            <w:rPr>
              <w:rFonts w:asciiTheme="minorHAnsi" w:eastAsiaTheme="minorEastAsia" w:hAnsiTheme="minorHAnsi" w:cstheme="minorBidi"/>
              <w:noProof/>
              <w:color w:val="auto"/>
            </w:rPr>
          </w:pPr>
          <w:hyperlink w:anchor="_Toc224833588" w:history="1">
            <w:r w:rsidRPr="002771C4">
              <w:rPr>
                <w:rStyle w:val="Hipervnculo"/>
                <w:bCs/>
                <w:noProof/>
              </w:rPr>
              <w:t>SEXTO. Decisión</w:t>
            </w:r>
            <w:r w:rsidRPr="002771C4">
              <w:rPr>
                <w:noProof/>
                <w:webHidden/>
              </w:rPr>
              <w:tab/>
            </w:r>
            <w:r w:rsidRPr="002771C4">
              <w:rPr>
                <w:noProof/>
                <w:webHidden/>
              </w:rPr>
              <w:fldChar w:fldCharType="begin"/>
            </w:r>
            <w:r w:rsidRPr="002771C4">
              <w:rPr>
                <w:noProof/>
                <w:webHidden/>
              </w:rPr>
              <w:instrText xml:space="preserve"> PAGEREF _Toc224833588 \h </w:instrText>
            </w:r>
            <w:r w:rsidRPr="002771C4">
              <w:rPr>
                <w:noProof/>
                <w:webHidden/>
              </w:rPr>
            </w:r>
            <w:r w:rsidRPr="002771C4">
              <w:rPr>
                <w:noProof/>
                <w:webHidden/>
              </w:rPr>
              <w:fldChar w:fldCharType="separate"/>
            </w:r>
            <w:r w:rsidR="00CE4476">
              <w:rPr>
                <w:noProof/>
                <w:webHidden/>
              </w:rPr>
              <w:t>22</w:t>
            </w:r>
            <w:r w:rsidRPr="002771C4">
              <w:rPr>
                <w:noProof/>
                <w:webHidden/>
              </w:rPr>
              <w:fldChar w:fldCharType="end"/>
            </w:r>
          </w:hyperlink>
        </w:p>
        <w:p w14:paraId="74A5DE81" w14:textId="77777777" w:rsidR="002771C4" w:rsidRPr="002771C4" w:rsidRDefault="002771C4">
          <w:pPr>
            <w:pStyle w:val="TDC1"/>
            <w:tabs>
              <w:tab w:val="right" w:leader="dot" w:pos="8828"/>
            </w:tabs>
            <w:rPr>
              <w:rFonts w:asciiTheme="minorHAnsi" w:eastAsiaTheme="minorEastAsia" w:hAnsiTheme="minorHAnsi" w:cstheme="minorBidi"/>
              <w:noProof/>
              <w:color w:val="auto"/>
            </w:rPr>
          </w:pPr>
          <w:hyperlink w:anchor="_Toc224833589" w:history="1">
            <w:r w:rsidRPr="002771C4">
              <w:rPr>
                <w:rStyle w:val="Hipervnculo"/>
                <w:rFonts w:eastAsia="Calibri"/>
                <w:bCs/>
                <w:noProof/>
              </w:rPr>
              <w:t>R E S U E L V E</w:t>
            </w:r>
            <w:r w:rsidRPr="002771C4">
              <w:rPr>
                <w:noProof/>
                <w:webHidden/>
              </w:rPr>
              <w:tab/>
            </w:r>
            <w:r w:rsidRPr="002771C4">
              <w:rPr>
                <w:noProof/>
                <w:webHidden/>
              </w:rPr>
              <w:fldChar w:fldCharType="begin"/>
            </w:r>
            <w:r w:rsidRPr="002771C4">
              <w:rPr>
                <w:noProof/>
                <w:webHidden/>
              </w:rPr>
              <w:instrText xml:space="preserve"> PAGEREF _Toc224833589 \h </w:instrText>
            </w:r>
            <w:r w:rsidRPr="002771C4">
              <w:rPr>
                <w:noProof/>
                <w:webHidden/>
              </w:rPr>
            </w:r>
            <w:r w:rsidRPr="002771C4">
              <w:rPr>
                <w:noProof/>
                <w:webHidden/>
              </w:rPr>
              <w:fldChar w:fldCharType="separate"/>
            </w:r>
            <w:r w:rsidR="00CE4476">
              <w:rPr>
                <w:noProof/>
                <w:webHidden/>
              </w:rPr>
              <w:t>23</w:t>
            </w:r>
            <w:r w:rsidRPr="002771C4">
              <w:rPr>
                <w:noProof/>
                <w:webHidden/>
              </w:rPr>
              <w:fldChar w:fldCharType="end"/>
            </w:r>
          </w:hyperlink>
        </w:p>
        <w:p w14:paraId="11769F94" w14:textId="602D2DE2" w:rsidR="001D5AF4" w:rsidRDefault="001D5AF4" w:rsidP="0078057B">
          <w:pPr>
            <w:widowControl w:val="0"/>
            <w:pBdr>
              <w:top w:val="nil"/>
              <w:left w:val="nil"/>
              <w:bottom w:val="nil"/>
              <w:right w:val="nil"/>
              <w:between w:val="nil"/>
            </w:pBdr>
            <w:spacing w:line="360" w:lineRule="auto"/>
            <w:ind w:left="720" w:hanging="720"/>
            <w:contextualSpacing/>
          </w:pPr>
          <w:r w:rsidRPr="002771C4">
            <w:rPr>
              <w:rFonts w:ascii="Palatino Linotype" w:hAnsi="Palatino Linotype"/>
              <w:sz w:val="22"/>
              <w:szCs w:val="22"/>
              <w:lang w:val="es-ES"/>
            </w:rPr>
            <w:fldChar w:fldCharType="end"/>
          </w:r>
        </w:p>
      </w:sdtContent>
    </w:sdt>
    <w:p w14:paraId="0ED4B388" w14:textId="77777777" w:rsidR="001D5AF4" w:rsidRDefault="001D5AF4" w:rsidP="001D5AF4">
      <w:pPr>
        <w:keepNext/>
        <w:keepLines/>
        <w:pBdr>
          <w:top w:val="nil"/>
          <w:left w:val="nil"/>
          <w:bottom w:val="nil"/>
          <w:right w:val="nil"/>
          <w:between w:val="nil"/>
        </w:pBdr>
        <w:spacing w:line="360" w:lineRule="auto"/>
        <w:contextualSpacing/>
        <w:rPr>
          <w:rFonts w:ascii="Palatino Linotype" w:eastAsia="Palatino Linotype" w:hAnsi="Palatino Linotype" w:cs="Palatino Linotype"/>
          <w:color w:val="000000"/>
          <w:sz w:val="22"/>
          <w:szCs w:val="22"/>
        </w:rPr>
      </w:pPr>
      <w:bookmarkStart w:id="1" w:name="_heading=h.t77kwk8e2ch7" w:colFirst="0" w:colLast="0"/>
      <w:bookmarkEnd w:id="1"/>
    </w:p>
    <w:p w14:paraId="10F815D1" w14:textId="77777777" w:rsidR="001D5AF4" w:rsidRDefault="001D5AF4" w:rsidP="001D5AF4">
      <w:pPr>
        <w:spacing w:line="360" w:lineRule="auto"/>
        <w:ind w:right="-28"/>
        <w:contextualSpacing/>
        <w:jc w:val="both"/>
        <w:rPr>
          <w:rFonts w:ascii="Palatino Linotype" w:eastAsia="Palatino Linotype" w:hAnsi="Palatino Linotype" w:cs="Palatino Linotype"/>
          <w:color w:val="000000"/>
          <w:sz w:val="22"/>
          <w:szCs w:val="22"/>
        </w:rPr>
      </w:pPr>
    </w:p>
    <w:p w14:paraId="1869A940" w14:textId="77777777" w:rsidR="001D5AF4" w:rsidRDefault="001D5AF4" w:rsidP="001D5AF4">
      <w:pPr>
        <w:spacing w:line="360" w:lineRule="auto"/>
        <w:ind w:right="-28"/>
        <w:contextualSpacing/>
        <w:jc w:val="both"/>
        <w:rPr>
          <w:rFonts w:ascii="Palatino Linotype" w:eastAsia="Palatino Linotype" w:hAnsi="Palatino Linotype" w:cs="Palatino Linotype"/>
          <w:color w:val="000000"/>
          <w:sz w:val="22"/>
          <w:szCs w:val="22"/>
        </w:rPr>
      </w:pPr>
    </w:p>
    <w:p w14:paraId="288ECA2D" w14:textId="77777777" w:rsidR="001D5AF4" w:rsidRDefault="001D5AF4" w:rsidP="001D5AF4">
      <w:pPr>
        <w:spacing w:line="360" w:lineRule="auto"/>
        <w:ind w:right="-28"/>
        <w:contextualSpacing/>
        <w:jc w:val="both"/>
        <w:rPr>
          <w:rFonts w:ascii="Palatino Linotype" w:eastAsia="Palatino Linotype" w:hAnsi="Palatino Linotype" w:cs="Palatino Linotype"/>
          <w:color w:val="000000"/>
          <w:sz w:val="22"/>
          <w:szCs w:val="22"/>
        </w:rPr>
      </w:pPr>
    </w:p>
    <w:p w14:paraId="08EEF698" w14:textId="77777777" w:rsidR="001D5AF4" w:rsidRDefault="001D5AF4" w:rsidP="001D5AF4">
      <w:pPr>
        <w:spacing w:line="360" w:lineRule="auto"/>
        <w:ind w:right="-28"/>
        <w:contextualSpacing/>
        <w:jc w:val="both"/>
        <w:rPr>
          <w:rFonts w:ascii="Palatino Linotype" w:eastAsia="Palatino Linotype" w:hAnsi="Palatino Linotype" w:cs="Palatino Linotype"/>
          <w:color w:val="000000"/>
          <w:sz w:val="22"/>
          <w:szCs w:val="22"/>
        </w:rPr>
      </w:pPr>
    </w:p>
    <w:p w14:paraId="5276DB51" w14:textId="77777777" w:rsidR="001D5AF4" w:rsidRDefault="001D5AF4" w:rsidP="001D5AF4">
      <w:pPr>
        <w:spacing w:line="360" w:lineRule="auto"/>
        <w:ind w:right="-28"/>
        <w:contextualSpacing/>
        <w:jc w:val="both"/>
        <w:rPr>
          <w:rFonts w:ascii="Palatino Linotype" w:eastAsia="Palatino Linotype" w:hAnsi="Palatino Linotype" w:cs="Palatino Linotype"/>
          <w:color w:val="000000"/>
          <w:sz w:val="22"/>
          <w:szCs w:val="22"/>
        </w:rPr>
      </w:pPr>
    </w:p>
    <w:p w14:paraId="34C891CF" w14:textId="77777777" w:rsidR="001D5AF4" w:rsidRDefault="001D5AF4" w:rsidP="001D5AF4">
      <w:pPr>
        <w:spacing w:line="360" w:lineRule="auto"/>
        <w:ind w:right="-28"/>
        <w:contextualSpacing/>
        <w:jc w:val="both"/>
        <w:rPr>
          <w:rFonts w:ascii="Palatino Linotype" w:hAnsi="Palatino Linotype" w:cs="Tahoma"/>
          <w:sz w:val="22"/>
          <w:szCs w:val="22"/>
        </w:rPr>
      </w:pPr>
    </w:p>
    <w:p w14:paraId="4BC847EF" w14:textId="77777777" w:rsidR="001D5AF4" w:rsidRDefault="001D5AF4" w:rsidP="001D5AF4">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Resolución del Pleno del Instituto de Transparencia, Acceso a la Información Pública y Protección de Datos Personales del Estado de México y Municipios, con domicilio en Metepec, Estado de México, del diecinueve de marzo de dos mil veintiséis.</w:t>
      </w:r>
    </w:p>
    <w:p w14:paraId="5D7C6F85" w14:textId="77777777" w:rsidR="001D5AF4" w:rsidRDefault="001D5AF4" w:rsidP="001D5AF4">
      <w:pPr>
        <w:spacing w:line="360" w:lineRule="auto"/>
        <w:contextualSpacing/>
        <w:rPr>
          <w:rFonts w:ascii="Palatino Linotype" w:eastAsia="Palatino Linotype" w:hAnsi="Palatino Linotype" w:cs="Palatino Linotype"/>
          <w:sz w:val="22"/>
          <w:szCs w:val="22"/>
        </w:rPr>
      </w:pPr>
    </w:p>
    <w:p w14:paraId="09CF170A" w14:textId="45399873" w:rsidR="001D5AF4" w:rsidRDefault="001D5AF4" w:rsidP="001D5AF4">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color w:val="0D0D0D"/>
          <w:sz w:val="22"/>
          <w:szCs w:val="22"/>
        </w:rPr>
        <w:t xml:space="preserve">VISTO </w:t>
      </w:r>
      <w:r>
        <w:rPr>
          <w:rFonts w:ascii="Palatino Linotype" w:eastAsia="Palatino Linotype" w:hAnsi="Palatino Linotype" w:cs="Palatino Linotype"/>
          <w:color w:val="0D0D0D"/>
          <w:sz w:val="22"/>
          <w:szCs w:val="22"/>
        </w:rPr>
        <w:t xml:space="preserve">el expediente conformado con motivo del Recurso de Revisión </w:t>
      </w:r>
      <w:r w:rsidRPr="000836DA">
        <w:rPr>
          <w:rFonts w:ascii="Palatino Linotype" w:eastAsia="Palatino Linotype" w:hAnsi="Palatino Linotype" w:cs="Palatino Linotype"/>
          <w:b/>
          <w:bCs/>
          <w:sz w:val="22"/>
          <w:szCs w:val="22"/>
        </w:rPr>
        <w:t>011811/INFOEM/IP/RR/2025,</w:t>
      </w:r>
      <w:r w:rsidRPr="003B6775">
        <w:rPr>
          <w:rFonts w:ascii="Palatino Linotype" w:eastAsia="Palatino Linotype" w:hAnsi="Palatino Linotype" w:cs="Palatino Linotype"/>
          <w:bCs/>
          <w:sz w:val="22"/>
          <w:szCs w:val="22"/>
        </w:rPr>
        <w:t xml:space="preserve"> </w:t>
      </w:r>
      <w:r w:rsidRPr="003B6775">
        <w:rPr>
          <w:rFonts w:ascii="Palatino Linotype" w:eastAsia="Palatino Linotype" w:hAnsi="Palatino Linotype" w:cs="Palatino Linotype"/>
          <w:bCs/>
          <w:color w:val="0D0D0D"/>
          <w:sz w:val="22"/>
          <w:szCs w:val="22"/>
        </w:rPr>
        <w:t>interpuesto por</w:t>
      </w:r>
      <w:r>
        <w:rPr>
          <w:rFonts w:ascii="Palatino Linotype" w:eastAsia="Palatino Linotype" w:hAnsi="Palatino Linotype" w:cs="Palatino Linotype"/>
          <w:bCs/>
          <w:color w:val="0D0D0D"/>
          <w:sz w:val="22"/>
          <w:szCs w:val="22"/>
        </w:rPr>
        <w:t xml:space="preserve"> </w:t>
      </w:r>
      <w:r w:rsidR="00FE45E1" w:rsidRPr="00FE45E1">
        <w:rPr>
          <w:rFonts w:ascii="Palatino Linotype" w:eastAsia="Palatino Linotype" w:hAnsi="Palatino Linotype" w:cs="Palatino Linotype"/>
          <w:bCs/>
          <w:color w:val="0D0D0D"/>
          <w:sz w:val="22"/>
          <w:szCs w:val="22"/>
          <w:highlight w:val="black"/>
        </w:rPr>
        <w:t>XXXXXXXX</w:t>
      </w:r>
      <w:r w:rsidR="00FE45E1">
        <w:rPr>
          <w:rFonts w:ascii="Palatino Linotype" w:eastAsia="Palatino Linotype" w:hAnsi="Palatino Linotype" w:cs="Palatino Linotype"/>
          <w:bCs/>
          <w:color w:val="0D0D0D"/>
          <w:sz w:val="22"/>
          <w:szCs w:val="22"/>
        </w:rPr>
        <w:t xml:space="preserve"> </w:t>
      </w:r>
      <w:r>
        <w:rPr>
          <w:rFonts w:ascii="Palatino Linotype" w:eastAsia="Palatino Linotype" w:hAnsi="Palatino Linotype" w:cs="Palatino Linotype"/>
          <w:bCs/>
          <w:color w:val="0D0D0D"/>
          <w:sz w:val="22"/>
          <w:szCs w:val="22"/>
        </w:rPr>
        <w:t>en lo sucesivo,</w:t>
      </w:r>
      <w:r w:rsidRPr="003B6775">
        <w:rPr>
          <w:rFonts w:ascii="Palatino Linotype" w:eastAsia="Palatino Linotype" w:hAnsi="Palatino Linotype" w:cs="Palatino Linotype"/>
          <w:bCs/>
          <w:color w:val="0D0D0D"/>
          <w:sz w:val="22"/>
          <w:szCs w:val="22"/>
        </w:rPr>
        <w:t xml:space="preserve"> </w:t>
      </w:r>
      <w:r w:rsidRPr="003B6775">
        <w:rPr>
          <w:rFonts w:ascii="Palatino Linotype" w:eastAsia="Palatino Linotype" w:hAnsi="Palatino Linotype" w:cs="Palatino Linotype"/>
          <w:bCs/>
          <w:sz w:val="22"/>
          <w:szCs w:val="22"/>
        </w:rPr>
        <w:t xml:space="preserve">el </w:t>
      </w:r>
      <w:r w:rsidRPr="003B6775">
        <w:rPr>
          <w:rFonts w:ascii="Palatino Linotype" w:eastAsia="Palatino Linotype" w:hAnsi="Palatino Linotype" w:cs="Palatino Linotype"/>
          <w:bCs/>
          <w:color w:val="0D0D0D"/>
          <w:sz w:val="22"/>
          <w:szCs w:val="22"/>
        </w:rPr>
        <w:t>Recurrente o Particular, en contra de la respuesta del Sujeto Obligado a la solicitud de acceso a la información pública</w:t>
      </w:r>
      <w:r w:rsidRPr="003B6775">
        <w:rPr>
          <w:rFonts w:ascii="Palatino Linotype" w:eastAsia="Palatino Linotype" w:hAnsi="Palatino Linotype" w:cs="Palatino Linotype"/>
          <w:bCs/>
          <w:sz w:val="22"/>
          <w:szCs w:val="22"/>
        </w:rPr>
        <w:t> </w:t>
      </w:r>
      <w:r w:rsidRPr="00EA3211">
        <w:rPr>
          <w:rFonts w:ascii="Palatino Linotype" w:eastAsia="Palatino Linotype" w:hAnsi="Palatino Linotype" w:cs="Palatino Linotype"/>
          <w:sz w:val="22"/>
          <w:szCs w:val="22"/>
        </w:rPr>
        <w:t>00500/SSEM/IP/2025</w:t>
      </w:r>
      <w:r w:rsidRPr="003B6775">
        <w:rPr>
          <w:rFonts w:ascii="Palatino Linotype" w:eastAsia="Palatino Linotype" w:hAnsi="Palatino Linotype" w:cs="Palatino Linotype"/>
          <w:bCs/>
          <w:color w:val="0D0D0D"/>
          <w:sz w:val="22"/>
          <w:szCs w:val="22"/>
        </w:rPr>
        <w:t>,</w:t>
      </w:r>
      <w:r>
        <w:rPr>
          <w:rFonts w:ascii="Palatino Linotype" w:eastAsia="Palatino Linotype" w:hAnsi="Palatino Linotype" w:cs="Palatino Linotype"/>
          <w:color w:val="0D0D0D"/>
          <w:sz w:val="22"/>
          <w:szCs w:val="22"/>
        </w:rPr>
        <w:t xml:space="preserve"> se emite la presente Resolución, con base en los Antecedentes y C</w:t>
      </w:r>
      <w:r>
        <w:rPr>
          <w:rFonts w:ascii="Palatino Linotype" w:eastAsia="Palatino Linotype" w:hAnsi="Palatino Linotype" w:cs="Palatino Linotype"/>
          <w:sz w:val="22"/>
          <w:szCs w:val="22"/>
        </w:rPr>
        <w:t>onsiderandos que a continuación se exponen:</w:t>
      </w:r>
    </w:p>
    <w:p w14:paraId="68B38650" w14:textId="77777777" w:rsidR="001D5AF4" w:rsidRDefault="001D5AF4" w:rsidP="001D5AF4">
      <w:pPr>
        <w:spacing w:line="360" w:lineRule="auto"/>
        <w:contextualSpacing/>
        <w:jc w:val="both"/>
        <w:rPr>
          <w:rFonts w:ascii="Palatino Linotype" w:eastAsia="Palatino Linotype" w:hAnsi="Palatino Linotype" w:cs="Palatino Linotype"/>
          <w:sz w:val="22"/>
          <w:szCs w:val="22"/>
        </w:rPr>
      </w:pPr>
    </w:p>
    <w:p w14:paraId="4A34A74B" w14:textId="77777777" w:rsidR="001D5AF4" w:rsidRPr="00633419" w:rsidRDefault="001D5AF4" w:rsidP="001D5AF4">
      <w:pPr>
        <w:pStyle w:val="Ttulo1"/>
        <w:spacing w:before="0" w:after="0" w:line="360" w:lineRule="auto"/>
        <w:contextualSpacing/>
        <w:jc w:val="center"/>
        <w:rPr>
          <w:rFonts w:ascii="Palatino Linotype" w:hAnsi="Palatino Linotype"/>
          <w:b/>
          <w:bCs/>
          <w:color w:val="auto"/>
          <w:sz w:val="22"/>
          <w:szCs w:val="22"/>
        </w:rPr>
      </w:pPr>
      <w:bookmarkStart w:id="2" w:name="_Toc224833577"/>
      <w:r w:rsidRPr="00633419">
        <w:rPr>
          <w:rFonts w:ascii="Palatino Linotype" w:hAnsi="Palatino Linotype"/>
          <w:b/>
          <w:bCs/>
          <w:color w:val="auto"/>
          <w:sz w:val="22"/>
          <w:szCs w:val="22"/>
        </w:rPr>
        <w:t>A N T E C E D E N T E S</w:t>
      </w:r>
      <w:bookmarkEnd w:id="2"/>
    </w:p>
    <w:p w14:paraId="6102C83A" w14:textId="77777777" w:rsidR="001D5AF4" w:rsidRDefault="001D5AF4" w:rsidP="001D5AF4">
      <w:pPr>
        <w:spacing w:line="360" w:lineRule="auto"/>
        <w:contextualSpacing/>
      </w:pPr>
    </w:p>
    <w:p w14:paraId="42C84D0F" w14:textId="77777777" w:rsidR="001D5AF4" w:rsidRPr="00633419" w:rsidRDefault="001D5AF4" w:rsidP="001D5AF4">
      <w:pPr>
        <w:pStyle w:val="Ttulo2"/>
        <w:spacing w:before="0" w:after="0" w:line="360" w:lineRule="auto"/>
        <w:contextualSpacing/>
        <w:rPr>
          <w:rFonts w:ascii="Palatino Linotype" w:hAnsi="Palatino Linotype"/>
          <w:b/>
          <w:bCs/>
          <w:color w:val="auto"/>
          <w:sz w:val="22"/>
          <w:szCs w:val="22"/>
        </w:rPr>
      </w:pPr>
      <w:bookmarkStart w:id="3" w:name="_Toc224833578"/>
      <w:r w:rsidRPr="00633419">
        <w:rPr>
          <w:rFonts w:ascii="Palatino Linotype" w:hAnsi="Palatino Linotype"/>
          <w:b/>
          <w:bCs/>
          <w:color w:val="auto"/>
          <w:sz w:val="22"/>
          <w:szCs w:val="22"/>
        </w:rPr>
        <w:t>I. Presentación de la solicitud de información</w:t>
      </w:r>
      <w:bookmarkEnd w:id="3"/>
    </w:p>
    <w:p w14:paraId="1941192F" w14:textId="77777777" w:rsidR="001D5AF4" w:rsidRDefault="001D5AF4" w:rsidP="001D5AF4">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rPr>
      </w:pPr>
    </w:p>
    <w:p w14:paraId="716FE6A7" w14:textId="77777777" w:rsidR="001D5AF4" w:rsidRDefault="001D5AF4" w:rsidP="001D5AF4">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Con dos de septiembre de dos mil veinticinco, el Particular presentó una solicitud de acceso a la información pública, a través del Sistema de Acceso a la Información Mexiquense, en lo sucesivo el SAIMEX, ante la Secretaría de Seguridad, mediante la cual requirió lo siguiente:</w:t>
      </w:r>
    </w:p>
    <w:p w14:paraId="6CF098EA" w14:textId="77777777" w:rsidR="001D5AF4" w:rsidRDefault="001D5AF4" w:rsidP="001D5AF4">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b/>
          <w:color w:val="000000"/>
        </w:rPr>
      </w:pPr>
    </w:p>
    <w:p w14:paraId="652739C6" w14:textId="77777777" w:rsidR="001D5AF4" w:rsidRDefault="001D5AF4" w:rsidP="001D5AF4">
      <w:pPr>
        <w:tabs>
          <w:tab w:val="left" w:pos="4667"/>
        </w:tabs>
        <w:spacing w:line="360" w:lineRule="auto"/>
        <w:ind w:left="567" w:right="567"/>
        <w:contextualSpacing/>
        <w:jc w:val="both"/>
        <w:rPr>
          <w:rFonts w:ascii="Palatino Linotype" w:eastAsia="Palatino Linotype" w:hAnsi="Palatino Linotype" w:cs="Palatino Linotype"/>
          <w:b/>
          <w:i/>
        </w:rPr>
      </w:pPr>
      <w:r>
        <w:rPr>
          <w:rFonts w:ascii="Palatino Linotype" w:eastAsia="Palatino Linotype" w:hAnsi="Palatino Linotype" w:cs="Palatino Linotype"/>
          <w:b/>
          <w:i/>
        </w:rPr>
        <w:t>“DESCRIPCIÓN CLARA Y PRECISA DE LA INFORMACIÓN SOLICITADA</w:t>
      </w:r>
    </w:p>
    <w:p w14:paraId="335D90AB" w14:textId="775707B0" w:rsidR="001D5AF4" w:rsidRPr="005C08BB" w:rsidRDefault="001D5AF4" w:rsidP="001D5AF4">
      <w:pPr>
        <w:spacing w:line="360" w:lineRule="auto"/>
        <w:ind w:left="567" w:right="567"/>
        <w:contextualSpacing/>
        <w:jc w:val="both"/>
        <w:rPr>
          <w:rFonts w:ascii="Palatino Linotype" w:eastAsia="Palatino Linotype" w:hAnsi="Palatino Linotype" w:cs="Palatino Linotype"/>
          <w:i/>
        </w:rPr>
      </w:pPr>
      <w:r w:rsidRPr="00EA3211">
        <w:rPr>
          <w:rFonts w:ascii="Palatino Linotype" w:eastAsia="Palatino Linotype" w:hAnsi="Palatino Linotype" w:cs="Palatino Linotype"/>
          <w:i/>
        </w:rPr>
        <w:t>instancias donde transfieren datos personales</w:t>
      </w:r>
      <w:r>
        <w:rPr>
          <w:rFonts w:ascii="Palatino Linotype" w:eastAsia="Palatino Linotype" w:hAnsi="Palatino Linotype" w:cs="Palatino Linotype"/>
          <w:i/>
        </w:rPr>
        <w:t>.” (Sic).</w:t>
      </w:r>
    </w:p>
    <w:p w14:paraId="2783B9C7" w14:textId="77777777" w:rsidR="001D5AF4" w:rsidRDefault="001D5AF4" w:rsidP="001D5AF4">
      <w:pPr>
        <w:pBdr>
          <w:top w:val="nil"/>
          <w:left w:val="nil"/>
          <w:bottom w:val="nil"/>
          <w:right w:val="nil"/>
          <w:between w:val="nil"/>
        </w:pBdr>
        <w:tabs>
          <w:tab w:val="left" w:pos="567"/>
        </w:tabs>
        <w:spacing w:line="360" w:lineRule="auto"/>
        <w:ind w:left="567" w:right="567"/>
        <w:contextualSpacing/>
        <w:jc w:val="both"/>
        <w:rPr>
          <w:rFonts w:ascii="Palatino Linotype" w:eastAsia="Palatino Linotype" w:hAnsi="Palatino Linotype" w:cs="Palatino Linotype"/>
          <w:b/>
          <w:i/>
          <w:color w:val="000000"/>
        </w:rPr>
      </w:pPr>
    </w:p>
    <w:p w14:paraId="037ACFFA" w14:textId="77777777" w:rsidR="001D5AF4" w:rsidRDefault="001D5AF4" w:rsidP="001D5AF4">
      <w:pPr>
        <w:tabs>
          <w:tab w:val="left" w:pos="4667"/>
        </w:tabs>
        <w:spacing w:line="360" w:lineRule="auto"/>
        <w:ind w:left="567" w:right="567"/>
        <w:contextualSpacing/>
        <w:jc w:val="both"/>
        <w:rPr>
          <w:rFonts w:ascii="Palatino Linotype" w:eastAsia="Palatino Linotype" w:hAnsi="Palatino Linotype" w:cs="Palatino Linotype"/>
          <w:b/>
          <w:i/>
        </w:rPr>
      </w:pPr>
      <w:r>
        <w:rPr>
          <w:rFonts w:ascii="Palatino Linotype" w:eastAsia="Palatino Linotype" w:hAnsi="Palatino Linotype" w:cs="Palatino Linotype"/>
          <w:b/>
          <w:i/>
        </w:rPr>
        <w:t>“Modalidad de Entrega</w:t>
      </w:r>
    </w:p>
    <w:p w14:paraId="198964A4" w14:textId="77777777" w:rsidR="001D5AF4" w:rsidRPr="00EA3211" w:rsidRDefault="001D5AF4" w:rsidP="001D5AF4">
      <w:pPr>
        <w:tabs>
          <w:tab w:val="left" w:pos="4667"/>
        </w:tabs>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A través de SAIMEX”</w:t>
      </w:r>
      <w:bookmarkStart w:id="4" w:name="_heading=h.270ugglvhyo" w:colFirst="0" w:colLast="0"/>
      <w:bookmarkEnd w:id="4"/>
    </w:p>
    <w:p w14:paraId="46E6B19B" w14:textId="77777777" w:rsidR="001D5AF4" w:rsidRDefault="001D5AF4" w:rsidP="001D5AF4">
      <w:pPr>
        <w:pStyle w:val="Ttulo2"/>
        <w:rPr>
          <w:rFonts w:ascii="Palatino Linotype" w:hAnsi="Palatino Linotype"/>
          <w:b/>
          <w:color w:val="auto"/>
          <w:sz w:val="22"/>
          <w:szCs w:val="22"/>
        </w:rPr>
      </w:pPr>
    </w:p>
    <w:p w14:paraId="1B3872D5" w14:textId="77777777" w:rsidR="001D5AF4" w:rsidRPr="00DE197D" w:rsidRDefault="001D5AF4" w:rsidP="001D5AF4">
      <w:pPr>
        <w:pStyle w:val="Ttulo2"/>
        <w:rPr>
          <w:rFonts w:ascii="Palatino Linotype" w:hAnsi="Palatino Linotype" w:cs="Tahoma"/>
          <w:b/>
          <w:i/>
          <w:color w:val="auto"/>
          <w:sz w:val="22"/>
          <w:szCs w:val="22"/>
        </w:rPr>
      </w:pPr>
      <w:bookmarkStart w:id="5" w:name="_Toc224833579"/>
      <w:r w:rsidRPr="00DE197D">
        <w:rPr>
          <w:rFonts w:ascii="Palatino Linotype" w:hAnsi="Palatino Linotype"/>
          <w:b/>
          <w:color w:val="auto"/>
          <w:sz w:val="22"/>
          <w:szCs w:val="22"/>
        </w:rPr>
        <w:t>II. Prórroga para atender la solicitud de información</w:t>
      </w:r>
      <w:bookmarkEnd w:id="5"/>
    </w:p>
    <w:p w14:paraId="5F9A21F4" w14:textId="77777777" w:rsidR="001D5AF4" w:rsidRPr="00E25085" w:rsidRDefault="001D5AF4" w:rsidP="001D5AF4">
      <w:pPr>
        <w:spacing w:line="360" w:lineRule="auto"/>
        <w:contextualSpacing/>
        <w:jc w:val="both"/>
        <w:rPr>
          <w:rFonts w:ascii="Palatino Linotype" w:eastAsia="Calibri" w:hAnsi="Palatino Linotype" w:cs="Tahoma"/>
          <w:sz w:val="22"/>
          <w:szCs w:val="22"/>
        </w:rPr>
      </w:pPr>
    </w:p>
    <w:p w14:paraId="37157FE8" w14:textId="77777777" w:rsidR="001D5AF4" w:rsidRPr="008E188A" w:rsidRDefault="001D5AF4" w:rsidP="001D5AF4">
      <w:pPr>
        <w:tabs>
          <w:tab w:val="left" w:pos="4667"/>
        </w:tabs>
        <w:spacing w:line="360" w:lineRule="auto"/>
        <w:contextualSpacing/>
        <w:jc w:val="both"/>
        <w:rPr>
          <w:rFonts w:ascii="Palatino Linotype" w:hAnsi="Palatino Linotype" w:cs="Tahoma"/>
          <w:sz w:val="22"/>
          <w:szCs w:val="24"/>
        </w:rPr>
      </w:pPr>
      <w:r w:rsidRPr="008E188A">
        <w:rPr>
          <w:rFonts w:ascii="Palatino Linotype" w:hAnsi="Palatino Linotype" w:cs="Tahoma"/>
          <w:sz w:val="22"/>
          <w:szCs w:val="24"/>
        </w:rPr>
        <w:lastRenderedPageBreak/>
        <w:t xml:space="preserve">Con fecha </w:t>
      </w:r>
      <w:r>
        <w:rPr>
          <w:rFonts w:ascii="Palatino Linotype" w:hAnsi="Palatino Linotype" w:cs="Tahoma"/>
          <w:sz w:val="22"/>
          <w:szCs w:val="24"/>
        </w:rPr>
        <w:t xml:space="preserve">veinticuatro de septiembre </w:t>
      </w:r>
      <w:r w:rsidRPr="008E188A">
        <w:rPr>
          <w:rFonts w:ascii="Palatino Linotype" w:hAnsi="Palatino Linotype" w:cs="Tahoma"/>
          <w:sz w:val="22"/>
          <w:szCs w:val="24"/>
        </w:rPr>
        <w:t xml:space="preserve">de dos mil veinticinco, el Sujeto Obligado, a través del SAIMEX, notificó una prórroga por el plazo de siete días hábiles para atender las solicitudes de información que nos ocupan; </w:t>
      </w:r>
      <w:r w:rsidRPr="008E188A">
        <w:rPr>
          <w:rFonts w:ascii="Palatino Linotype" w:hAnsi="Palatino Linotype" w:cs="Tahoma"/>
          <w:b/>
          <w:bCs/>
          <w:sz w:val="22"/>
          <w:szCs w:val="24"/>
        </w:rPr>
        <w:t>sin embargo, el Sujeto Obligado fue omiso en adjuntar el acuerdo del Comité de Transparencia por el cual se aprobara la ampliación del plazo</w:t>
      </w:r>
      <w:r>
        <w:rPr>
          <w:rFonts w:ascii="Palatino Linotype" w:hAnsi="Palatino Linotype" w:cs="Tahoma"/>
          <w:b/>
          <w:bCs/>
          <w:sz w:val="22"/>
          <w:szCs w:val="24"/>
        </w:rPr>
        <w:t xml:space="preserve"> por lo que se insta a que en atención a futuras solicitudes remita el acuerdo respectivo</w:t>
      </w:r>
      <w:r w:rsidRPr="008E188A">
        <w:rPr>
          <w:rFonts w:ascii="Palatino Linotype" w:hAnsi="Palatino Linotype" w:cs="Tahoma"/>
          <w:b/>
          <w:bCs/>
          <w:sz w:val="22"/>
          <w:szCs w:val="24"/>
        </w:rPr>
        <w:t>.</w:t>
      </w:r>
    </w:p>
    <w:p w14:paraId="4ED8C132" w14:textId="77777777" w:rsidR="001D5AF4" w:rsidRPr="00F93B78" w:rsidRDefault="001D5AF4" w:rsidP="001D5AF4">
      <w:pPr>
        <w:spacing w:line="360" w:lineRule="auto"/>
        <w:contextualSpacing/>
      </w:pPr>
    </w:p>
    <w:p w14:paraId="6C7873CD" w14:textId="77777777" w:rsidR="001D5AF4" w:rsidRPr="004616B5" w:rsidRDefault="001D5AF4" w:rsidP="001D5AF4">
      <w:pPr>
        <w:tabs>
          <w:tab w:val="left" w:pos="4667"/>
        </w:tabs>
        <w:spacing w:line="360" w:lineRule="auto"/>
        <w:contextualSpacing/>
        <w:jc w:val="both"/>
        <w:rPr>
          <w:rFonts w:ascii="Palatino Linotype" w:eastAsiaTheme="majorEastAsia" w:hAnsi="Palatino Linotype" w:cstheme="majorBidi"/>
          <w:b/>
          <w:bCs/>
          <w:sz w:val="22"/>
          <w:szCs w:val="22"/>
        </w:rPr>
      </w:pPr>
      <w:bookmarkStart w:id="6" w:name="_Hlk207876558"/>
      <w:r w:rsidRPr="00E80D0A">
        <w:rPr>
          <w:rFonts w:ascii="Palatino Linotype" w:eastAsiaTheme="majorEastAsia" w:hAnsi="Palatino Linotype" w:cstheme="majorBidi"/>
          <w:b/>
          <w:bCs/>
          <w:sz w:val="22"/>
          <w:szCs w:val="22"/>
        </w:rPr>
        <w:t>I</w:t>
      </w:r>
      <w:r>
        <w:rPr>
          <w:rFonts w:ascii="Palatino Linotype" w:eastAsiaTheme="majorEastAsia" w:hAnsi="Palatino Linotype" w:cstheme="majorBidi"/>
          <w:b/>
          <w:bCs/>
          <w:sz w:val="22"/>
          <w:szCs w:val="22"/>
        </w:rPr>
        <w:t>II</w:t>
      </w:r>
      <w:r w:rsidRPr="00E80D0A">
        <w:rPr>
          <w:rFonts w:ascii="Palatino Linotype" w:eastAsiaTheme="majorEastAsia" w:hAnsi="Palatino Linotype" w:cstheme="majorBidi"/>
          <w:b/>
          <w:bCs/>
          <w:sz w:val="22"/>
          <w:szCs w:val="22"/>
        </w:rPr>
        <w:t xml:space="preserve">. </w:t>
      </w:r>
      <w:r w:rsidRPr="004616B5">
        <w:rPr>
          <w:rFonts w:ascii="Palatino Linotype" w:eastAsiaTheme="majorEastAsia" w:hAnsi="Palatino Linotype" w:cstheme="majorBidi"/>
          <w:b/>
          <w:bCs/>
          <w:sz w:val="22"/>
          <w:szCs w:val="22"/>
        </w:rPr>
        <w:t>Respuesta del Sujeto Obligado</w:t>
      </w:r>
    </w:p>
    <w:p w14:paraId="63FF7B1A" w14:textId="77777777" w:rsidR="001D5AF4" w:rsidRDefault="001D5AF4" w:rsidP="001D5AF4">
      <w:pPr>
        <w:tabs>
          <w:tab w:val="left" w:pos="4667"/>
        </w:tabs>
        <w:spacing w:line="360" w:lineRule="auto"/>
        <w:contextualSpacing/>
        <w:jc w:val="both"/>
        <w:rPr>
          <w:rFonts w:ascii="Palatino Linotype" w:eastAsiaTheme="majorEastAsia" w:hAnsi="Palatino Linotype" w:cstheme="majorBidi"/>
          <w:sz w:val="22"/>
          <w:szCs w:val="22"/>
        </w:rPr>
      </w:pPr>
    </w:p>
    <w:p w14:paraId="5B22898F" w14:textId="77777777" w:rsidR="001D5AF4" w:rsidRDefault="001D5AF4" w:rsidP="001D5AF4">
      <w:pPr>
        <w:tabs>
          <w:tab w:val="left" w:pos="4667"/>
        </w:tabs>
        <w:spacing w:line="360" w:lineRule="auto"/>
        <w:contextualSpacing/>
        <w:jc w:val="both"/>
        <w:rPr>
          <w:rFonts w:ascii="Palatino Linotype" w:eastAsiaTheme="majorEastAsia" w:hAnsi="Palatino Linotype" w:cstheme="majorBidi"/>
          <w:sz w:val="22"/>
          <w:szCs w:val="22"/>
        </w:rPr>
      </w:pPr>
      <w:r w:rsidRPr="004616B5">
        <w:rPr>
          <w:rFonts w:ascii="Palatino Linotype" w:eastAsiaTheme="majorEastAsia" w:hAnsi="Palatino Linotype" w:cstheme="majorBidi"/>
          <w:sz w:val="22"/>
          <w:szCs w:val="22"/>
        </w:rPr>
        <w:t xml:space="preserve">Con fecha </w:t>
      </w:r>
      <w:r>
        <w:rPr>
          <w:rFonts w:ascii="Palatino Linotype" w:eastAsiaTheme="majorEastAsia" w:hAnsi="Palatino Linotype" w:cstheme="majorBidi"/>
          <w:sz w:val="22"/>
          <w:szCs w:val="22"/>
        </w:rPr>
        <w:t xml:space="preserve">tres de octubre </w:t>
      </w:r>
      <w:r w:rsidRPr="004616B5">
        <w:rPr>
          <w:rFonts w:ascii="Palatino Linotype" w:eastAsiaTheme="majorEastAsia" w:hAnsi="Palatino Linotype" w:cstheme="majorBidi"/>
          <w:sz w:val="22"/>
          <w:szCs w:val="22"/>
        </w:rPr>
        <w:t xml:space="preserve">de dos mil veinticinco, el Sujeto Obligado dio respuesta a la solicitud de acceso a la información a través del Sistema de Acceso a la Información Mexiquense (SAIMEX), </w:t>
      </w:r>
      <w:bookmarkEnd w:id="6"/>
      <w:r>
        <w:rPr>
          <w:rFonts w:ascii="Palatino Linotype" w:eastAsiaTheme="majorEastAsia" w:hAnsi="Palatino Linotype" w:cstheme="majorBidi"/>
          <w:sz w:val="22"/>
          <w:szCs w:val="22"/>
        </w:rPr>
        <w:t>a través del o</w:t>
      </w:r>
      <w:r w:rsidRPr="00A77860">
        <w:rPr>
          <w:rFonts w:ascii="Palatino Linotype" w:eastAsiaTheme="majorEastAsia" w:hAnsi="Palatino Linotype" w:cstheme="majorBidi"/>
          <w:sz w:val="22"/>
          <w:szCs w:val="22"/>
        </w:rPr>
        <w:t>ficio número</w:t>
      </w:r>
      <w:r>
        <w:rPr>
          <w:rFonts w:ascii="Palatino Linotype" w:eastAsiaTheme="majorEastAsia" w:hAnsi="Palatino Linotype" w:cstheme="majorBidi"/>
          <w:sz w:val="22"/>
          <w:szCs w:val="22"/>
        </w:rPr>
        <w:t xml:space="preserve"> 00500/SSEM/IP/2025, de fecha de su presentación, suscrito por el encargado de la Unidad de Información, Planeación, Programación y Evaluación y de la Unidad de Transparencia, dirigido al Solicitante, a través del cual remite un enlace en formato cerrado y el procedimiento para acceder a la información.</w:t>
      </w:r>
    </w:p>
    <w:p w14:paraId="5704091E" w14:textId="77777777" w:rsidR="001D5AF4" w:rsidRPr="00A77860" w:rsidRDefault="001D5AF4" w:rsidP="001D5AF4">
      <w:pPr>
        <w:spacing w:line="360" w:lineRule="auto"/>
        <w:ind w:right="567"/>
        <w:contextualSpacing/>
        <w:rPr>
          <w:rFonts w:ascii="Palatino Linotype" w:hAnsi="Palatino Linotype" w:cs="Tahoma"/>
          <w:bCs/>
        </w:rPr>
      </w:pPr>
    </w:p>
    <w:p w14:paraId="50DE9964" w14:textId="77777777" w:rsidR="001D5AF4" w:rsidRPr="00AC17E4" w:rsidRDefault="001D5AF4" w:rsidP="001D5AF4">
      <w:pPr>
        <w:pStyle w:val="Ttulo2"/>
        <w:spacing w:before="0" w:after="0" w:line="360" w:lineRule="auto"/>
        <w:contextualSpacing/>
        <w:rPr>
          <w:rFonts w:ascii="Palatino Linotype" w:hAnsi="Palatino Linotype"/>
          <w:b/>
          <w:bCs/>
          <w:color w:val="auto"/>
          <w:sz w:val="22"/>
          <w:szCs w:val="22"/>
        </w:rPr>
      </w:pPr>
      <w:bookmarkStart w:id="7" w:name="_Toc213337139"/>
      <w:bookmarkStart w:id="8" w:name="_Toc224833580"/>
      <w:r>
        <w:rPr>
          <w:rFonts w:ascii="Palatino Linotype" w:hAnsi="Palatino Linotype"/>
          <w:b/>
          <w:bCs/>
          <w:color w:val="auto"/>
          <w:sz w:val="22"/>
          <w:szCs w:val="22"/>
        </w:rPr>
        <w:t>IV</w:t>
      </w:r>
      <w:r w:rsidRPr="00AC17E4">
        <w:rPr>
          <w:rFonts w:ascii="Palatino Linotype" w:hAnsi="Palatino Linotype"/>
          <w:b/>
          <w:bCs/>
          <w:color w:val="auto"/>
          <w:sz w:val="22"/>
          <w:szCs w:val="22"/>
        </w:rPr>
        <w:t>. Interposición del Recurso de Revisión</w:t>
      </w:r>
      <w:bookmarkEnd w:id="7"/>
      <w:bookmarkEnd w:id="8"/>
    </w:p>
    <w:p w14:paraId="06AF74D6" w14:textId="77777777" w:rsidR="001D5AF4" w:rsidRPr="00AC17E4" w:rsidRDefault="001D5AF4" w:rsidP="001D5AF4">
      <w:pPr>
        <w:autoSpaceDE w:val="0"/>
        <w:autoSpaceDN w:val="0"/>
        <w:adjustRightInd w:val="0"/>
        <w:spacing w:line="360" w:lineRule="auto"/>
        <w:contextualSpacing/>
        <w:jc w:val="both"/>
        <w:rPr>
          <w:rFonts w:ascii="Palatino Linotype" w:hAnsi="Palatino Linotype" w:cs="Tahoma"/>
          <w:sz w:val="22"/>
          <w:szCs w:val="22"/>
        </w:rPr>
      </w:pPr>
    </w:p>
    <w:p w14:paraId="1421F19D" w14:textId="7B98A612" w:rsidR="001D5AF4" w:rsidRPr="00194C0E" w:rsidRDefault="001D5AF4" w:rsidP="001D5AF4">
      <w:pPr>
        <w:autoSpaceDE w:val="0"/>
        <w:autoSpaceDN w:val="0"/>
        <w:adjustRightInd w:val="0"/>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rPr>
        <w:t>Con fecha</w:t>
      </w:r>
      <w:r>
        <w:rPr>
          <w:rFonts w:ascii="Palatino Linotype" w:hAnsi="Palatino Linotype" w:cs="Tahoma"/>
          <w:sz w:val="22"/>
          <w:szCs w:val="22"/>
        </w:rPr>
        <w:t xml:space="preserve"> </w:t>
      </w:r>
      <w:r w:rsidR="0078057B">
        <w:rPr>
          <w:rFonts w:ascii="Palatino Linotype" w:hAnsi="Palatino Linotype" w:cs="Tahoma"/>
          <w:sz w:val="22"/>
          <w:szCs w:val="22"/>
        </w:rPr>
        <w:t xml:space="preserve">trece </w:t>
      </w:r>
      <w:r>
        <w:rPr>
          <w:rFonts w:ascii="Palatino Linotype" w:hAnsi="Palatino Linotype" w:cs="Tahoma"/>
          <w:sz w:val="22"/>
          <w:szCs w:val="22"/>
        </w:rPr>
        <w:t xml:space="preserve">de octubre </w:t>
      </w:r>
      <w:r w:rsidRPr="00AC17E4">
        <w:rPr>
          <w:rFonts w:ascii="Palatino Linotype" w:hAnsi="Palatino Linotype" w:cs="Tahoma"/>
          <w:sz w:val="22"/>
          <w:szCs w:val="22"/>
        </w:rPr>
        <w:t xml:space="preserve">de dos mil veinticinco, se recibió en este </w:t>
      </w:r>
      <w:r w:rsidRPr="00AC17E4">
        <w:rPr>
          <w:rFonts w:ascii="Palatino Linotype" w:eastAsia="Calibri" w:hAnsi="Palatino Linotype" w:cs="Tahoma"/>
          <w:sz w:val="22"/>
          <w:szCs w:val="22"/>
          <w:lang w:eastAsia="en-US"/>
        </w:rPr>
        <w:t xml:space="preserve">Instituto, a través del </w:t>
      </w:r>
      <w:r w:rsidRPr="00AC17E4">
        <w:rPr>
          <w:rFonts w:ascii="Palatino Linotype" w:hAnsi="Palatino Linotype" w:cs="Tahoma"/>
          <w:sz w:val="22"/>
          <w:szCs w:val="22"/>
          <w:lang w:val="es-ES"/>
        </w:rPr>
        <w:t>SAIMEX</w:t>
      </w:r>
      <w:r w:rsidRPr="00AC17E4">
        <w:rPr>
          <w:rFonts w:ascii="Palatino Linotype" w:hAnsi="Palatino Linotype" w:cs="Tahoma"/>
          <w:sz w:val="22"/>
          <w:szCs w:val="22"/>
        </w:rPr>
        <w:t>, el Recurso de Revisión interpuesto por la parte Recurrente, en contra de la respuesta de</w:t>
      </w:r>
      <w:r>
        <w:rPr>
          <w:rFonts w:ascii="Palatino Linotype" w:hAnsi="Palatino Linotype" w:cs="Tahoma"/>
          <w:sz w:val="22"/>
          <w:szCs w:val="22"/>
        </w:rPr>
        <w:t xml:space="preserve"> </w:t>
      </w:r>
      <w:r w:rsidRPr="00AC17E4">
        <w:rPr>
          <w:rFonts w:ascii="Palatino Linotype" w:hAnsi="Palatino Linotype" w:cs="Tahoma"/>
          <w:sz w:val="22"/>
          <w:szCs w:val="22"/>
        </w:rPr>
        <w:t>l</w:t>
      </w:r>
      <w:r>
        <w:rPr>
          <w:rFonts w:ascii="Palatino Linotype" w:hAnsi="Palatino Linotype" w:cs="Tahoma"/>
          <w:sz w:val="22"/>
          <w:szCs w:val="22"/>
        </w:rPr>
        <w:t>a</w:t>
      </w:r>
      <w:r w:rsidRPr="00AC17E4">
        <w:rPr>
          <w:rFonts w:ascii="Palatino Linotype" w:hAnsi="Palatino Linotype" w:cs="Tahoma"/>
          <w:sz w:val="22"/>
          <w:szCs w:val="22"/>
        </w:rPr>
        <w:t xml:space="preserve"> </w:t>
      </w:r>
      <w:r>
        <w:rPr>
          <w:rFonts w:ascii="Palatino Linotype" w:hAnsi="Palatino Linotype" w:cs="Tahoma"/>
          <w:sz w:val="22"/>
          <w:szCs w:val="22"/>
        </w:rPr>
        <w:t>Secretaría de Seguridad</w:t>
      </w:r>
      <w:r w:rsidRPr="00AC17E4">
        <w:rPr>
          <w:rFonts w:ascii="Palatino Linotype" w:hAnsi="Palatino Linotype" w:cs="Tahoma"/>
          <w:sz w:val="22"/>
          <w:szCs w:val="22"/>
        </w:rPr>
        <w:t>, en los siguientes términos</w:t>
      </w:r>
      <w:r w:rsidRPr="00AC17E4">
        <w:rPr>
          <w:rFonts w:ascii="Palatino Linotype" w:hAnsi="Palatino Linotype" w:cs="Tahoma"/>
          <w:sz w:val="22"/>
          <w:szCs w:val="22"/>
          <w:lang w:val="es-ES"/>
        </w:rPr>
        <w:t>:</w:t>
      </w:r>
    </w:p>
    <w:p w14:paraId="753ECC87" w14:textId="77777777" w:rsidR="001D5AF4" w:rsidRDefault="001D5AF4" w:rsidP="001D5AF4">
      <w:pPr>
        <w:autoSpaceDE w:val="0"/>
        <w:autoSpaceDN w:val="0"/>
        <w:adjustRightInd w:val="0"/>
        <w:spacing w:line="360" w:lineRule="auto"/>
        <w:ind w:left="567" w:right="567"/>
        <w:contextualSpacing/>
        <w:jc w:val="both"/>
        <w:rPr>
          <w:rFonts w:ascii="Palatino Linotype" w:hAnsi="Palatino Linotype" w:cs="Tahoma"/>
          <w:b/>
          <w:bCs/>
          <w:i/>
          <w:iCs/>
        </w:rPr>
      </w:pPr>
    </w:p>
    <w:p w14:paraId="0539559A" w14:textId="77777777" w:rsidR="001D5AF4" w:rsidRPr="006E20DC" w:rsidRDefault="001D5AF4" w:rsidP="001D5AF4">
      <w:pPr>
        <w:autoSpaceDE w:val="0"/>
        <w:autoSpaceDN w:val="0"/>
        <w:adjustRightInd w:val="0"/>
        <w:spacing w:line="360" w:lineRule="auto"/>
        <w:ind w:left="567" w:right="567"/>
        <w:contextualSpacing/>
        <w:jc w:val="both"/>
        <w:rPr>
          <w:rFonts w:ascii="Palatino Linotype" w:hAnsi="Palatino Linotype" w:cs="Tahoma"/>
          <w:bCs/>
          <w:i/>
          <w:iCs/>
        </w:rPr>
      </w:pPr>
      <w:r w:rsidRPr="006E20DC">
        <w:rPr>
          <w:rFonts w:ascii="Palatino Linotype" w:hAnsi="Palatino Linotype" w:cs="Tahoma"/>
          <w:b/>
          <w:bCs/>
          <w:i/>
          <w:iCs/>
        </w:rPr>
        <w:t>ACTO IMPUGNADO</w:t>
      </w:r>
    </w:p>
    <w:p w14:paraId="0395A07C" w14:textId="77777777" w:rsidR="001D5AF4" w:rsidRPr="006E20DC" w:rsidRDefault="001D5AF4" w:rsidP="001D5AF4">
      <w:pPr>
        <w:spacing w:line="360" w:lineRule="auto"/>
        <w:ind w:left="567" w:right="567"/>
        <w:contextualSpacing/>
        <w:jc w:val="both"/>
        <w:rPr>
          <w:rFonts w:ascii="Palatino Linotype" w:hAnsi="Palatino Linotype"/>
          <w:i/>
          <w:iCs/>
        </w:rPr>
      </w:pPr>
      <w:r w:rsidRPr="006E20DC">
        <w:rPr>
          <w:rFonts w:ascii="Palatino Linotype" w:hAnsi="Palatino Linotype"/>
          <w:i/>
          <w:iCs/>
        </w:rPr>
        <w:t>“</w:t>
      </w:r>
      <w:r w:rsidRPr="0067096D">
        <w:rPr>
          <w:rFonts w:ascii="Palatino Linotype" w:hAnsi="Palatino Linotype"/>
          <w:i/>
          <w:iCs/>
        </w:rPr>
        <w:t xml:space="preserve">solicito mi </w:t>
      </w:r>
      <w:proofErr w:type="spellStart"/>
      <w:r w:rsidRPr="0067096D">
        <w:rPr>
          <w:rFonts w:ascii="Palatino Linotype" w:hAnsi="Palatino Linotype"/>
          <w:i/>
          <w:iCs/>
        </w:rPr>
        <w:t>garantia</w:t>
      </w:r>
      <w:proofErr w:type="spellEnd"/>
      <w:r w:rsidRPr="0067096D">
        <w:rPr>
          <w:rFonts w:ascii="Palatino Linotype" w:hAnsi="Palatino Linotype"/>
          <w:i/>
          <w:iCs/>
        </w:rPr>
        <w:t xml:space="preserve"> secundaria, el recurso de </w:t>
      </w:r>
      <w:proofErr w:type="spellStart"/>
      <w:r w:rsidRPr="0067096D">
        <w:rPr>
          <w:rFonts w:ascii="Palatino Linotype" w:hAnsi="Palatino Linotype"/>
          <w:i/>
          <w:iCs/>
        </w:rPr>
        <w:t>revision</w:t>
      </w:r>
      <w:proofErr w:type="spellEnd"/>
      <w:r w:rsidRPr="0067096D">
        <w:rPr>
          <w:rFonts w:ascii="Palatino Linotype" w:hAnsi="Palatino Linotype"/>
          <w:i/>
          <w:iCs/>
        </w:rPr>
        <w:t xml:space="preserve">, la respuesta de la secretaria, no es transparente, omiten </w:t>
      </w:r>
      <w:proofErr w:type="spellStart"/>
      <w:r w:rsidRPr="0067096D">
        <w:rPr>
          <w:rFonts w:ascii="Palatino Linotype" w:hAnsi="Palatino Linotype"/>
          <w:i/>
          <w:iCs/>
        </w:rPr>
        <w:t>informacion</w:t>
      </w:r>
      <w:proofErr w:type="spellEnd"/>
      <w:r w:rsidRPr="0067096D">
        <w:rPr>
          <w:rFonts w:ascii="Palatino Linotype" w:hAnsi="Palatino Linotype"/>
          <w:i/>
          <w:iCs/>
        </w:rPr>
        <w:t xml:space="preserve"> y como es que me colocan en la respuesta que en caso de que no vea la información valla a la Unidad de transparencia "SE ANEXA RESPUESTA EN FORMATO PDF, EN CASO DE PRESENTAR PROBLEMAS CON LA RECEPCIÓN DE </w:t>
      </w:r>
      <w:r w:rsidRPr="0067096D">
        <w:rPr>
          <w:rFonts w:ascii="Palatino Linotype" w:hAnsi="Palatino Linotype"/>
          <w:i/>
          <w:iCs/>
        </w:rPr>
        <w:lastRenderedPageBreak/>
        <w:t xml:space="preserve">LA MISMA, LE PEDIMOS SE COMUNIQUE A LA UNIDAD DE TRANSPARENCIA DE LA SECRETARÍA DE SEGURIDAD DEL ESTADO DE MÉXICO, AL TELÉFONO 722 2 79 62 00 EXT. 4108, DE LUNES A VIERNES, EN UN HORARIO DE 9:00 A 18:00 HRS." yo solicite la respuesta por </w:t>
      </w:r>
      <w:proofErr w:type="spellStart"/>
      <w:r w:rsidRPr="0067096D">
        <w:rPr>
          <w:rFonts w:ascii="Palatino Linotype" w:hAnsi="Palatino Linotype"/>
          <w:i/>
          <w:iCs/>
        </w:rPr>
        <w:t>saimex</w:t>
      </w:r>
      <w:proofErr w:type="spellEnd"/>
      <w:r w:rsidRPr="006E20DC">
        <w:rPr>
          <w:rFonts w:ascii="Palatino Linotype" w:hAnsi="Palatino Linotype"/>
          <w:i/>
          <w:iCs/>
          <w:color w:val="000000"/>
        </w:rPr>
        <w:t>.</w:t>
      </w:r>
      <w:r w:rsidRPr="006E20DC">
        <w:rPr>
          <w:rFonts w:ascii="Palatino Linotype" w:hAnsi="Palatino Linotype" w:cs="Tahoma"/>
          <w:i/>
          <w:iCs/>
        </w:rPr>
        <w:t xml:space="preserve">” </w:t>
      </w:r>
      <w:r>
        <w:rPr>
          <w:rFonts w:ascii="Palatino Linotype" w:hAnsi="Palatino Linotype" w:cs="Tahoma"/>
          <w:i/>
          <w:iCs/>
        </w:rPr>
        <w:t xml:space="preserve"> </w:t>
      </w:r>
      <w:r w:rsidRPr="006E20DC">
        <w:rPr>
          <w:rFonts w:ascii="Palatino Linotype" w:hAnsi="Palatino Linotype" w:cs="Tahoma"/>
          <w:i/>
          <w:iCs/>
        </w:rPr>
        <w:t>(Sic)</w:t>
      </w:r>
    </w:p>
    <w:p w14:paraId="1E3A569E" w14:textId="77777777" w:rsidR="001D5AF4" w:rsidRPr="006E20DC" w:rsidRDefault="001D5AF4" w:rsidP="001D5AF4">
      <w:pPr>
        <w:autoSpaceDE w:val="0"/>
        <w:autoSpaceDN w:val="0"/>
        <w:adjustRightInd w:val="0"/>
        <w:spacing w:line="360" w:lineRule="auto"/>
        <w:ind w:left="567" w:right="567"/>
        <w:contextualSpacing/>
        <w:jc w:val="both"/>
        <w:rPr>
          <w:rFonts w:ascii="Palatino Linotype" w:hAnsi="Palatino Linotype" w:cs="Tahoma"/>
          <w:i/>
          <w:iCs/>
        </w:rPr>
      </w:pPr>
    </w:p>
    <w:p w14:paraId="3F19AD43" w14:textId="77777777" w:rsidR="001D5AF4" w:rsidRPr="006E20DC" w:rsidRDefault="001D5AF4" w:rsidP="001D5AF4">
      <w:pPr>
        <w:autoSpaceDE w:val="0"/>
        <w:autoSpaceDN w:val="0"/>
        <w:adjustRightInd w:val="0"/>
        <w:spacing w:line="360" w:lineRule="auto"/>
        <w:ind w:left="567" w:right="567"/>
        <w:contextualSpacing/>
        <w:jc w:val="both"/>
        <w:rPr>
          <w:rFonts w:ascii="Palatino Linotype" w:hAnsi="Palatino Linotype" w:cs="Tahoma"/>
          <w:b/>
          <w:i/>
          <w:iCs/>
        </w:rPr>
      </w:pPr>
      <w:r w:rsidRPr="006E20DC">
        <w:rPr>
          <w:rFonts w:ascii="Palatino Linotype" w:hAnsi="Palatino Linotype" w:cs="Tahoma"/>
          <w:b/>
          <w:i/>
          <w:iCs/>
        </w:rPr>
        <w:t>RAZONES O MOTIVOS DE LA INCONFORMIDAD</w:t>
      </w:r>
    </w:p>
    <w:p w14:paraId="5718B037" w14:textId="77777777" w:rsidR="001D5AF4" w:rsidRDefault="001D5AF4" w:rsidP="001D5AF4">
      <w:pPr>
        <w:spacing w:line="360" w:lineRule="auto"/>
        <w:ind w:left="567" w:right="567"/>
        <w:contextualSpacing/>
        <w:jc w:val="both"/>
        <w:rPr>
          <w:rFonts w:ascii="Palatino Linotype" w:hAnsi="Palatino Linotype" w:cs="Tahoma"/>
          <w:i/>
          <w:iCs/>
        </w:rPr>
      </w:pPr>
      <w:r w:rsidRPr="006E20DC">
        <w:rPr>
          <w:rFonts w:ascii="Palatino Linotype" w:hAnsi="Palatino Linotype"/>
          <w:i/>
          <w:iCs/>
          <w:color w:val="000000"/>
        </w:rPr>
        <w:t>“</w:t>
      </w:r>
      <w:r w:rsidRPr="0067096D">
        <w:rPr>
          <w:rFonts w:ascii="Palatino Linotype" w:hAnsi="Palatino Linotype"/>
          <w:i/>
          <w:iCs/>
          <w:color w:val="000000"/>
        </w:rPr>
        <w:t xml:space="preserve">solicito mi </w:t>
      </w:r>
      <w:proofErr w:type="spellStart"/>
      <w:r w:rsidRPr="0067096D">
        <w:rPr>
          <w:rFonts w:ascii="Palatino Linotype" w:hAnsi="Palatino Linotype"/>
          <w:i/>
          <w:iCs/>
          <w:color w:val="000000"/>
        </w:rPr>
        <w:t>garantia</w:t>
      </w:r>
      <w:proofErr w:type="spellEnd"/>
      <w:r w:rsidRPr="0067096D">
        <w:rPr>
          <w:rFonts w:ascii="Palatino Linotype" w:hAnsi="Palatino Linotype"/>
          <w:i/>
          <w:iCs/>
          <w:color w:val="000000"/>
        </w:rPr>
        <w:t xml:space="preserve"> secundaria, el recurso de </w:t>
      </w:r>
      <w:proofErr w:type="spellStart"/>
      <w:r w:rsidRPr="0067096D">
        <w:rPr>
          <w:rFonts w:ascii="Palatino Linotype" w:hAnsi="Palatino Linotype"/>
          <w:i/>
          <w:iCs/>
          <w:color w:val="000000"/>
        </w:rPr>
        <w:t>revision</w:t>
      </w:r>
      <w:proofErr w:type="spellEnd"/>
      <w:r w:rsidRPr="0067096D">
        <w:rPr>
          <w:rFonts w:ascii="Palatino Linotype" w:hAnsi="Palatino Linotype"/>
          <w:i/>
          <w:iCs/>
          <w:color w:val="000000"/>
        </w:rPr>
        <w:t xml:space="preserve">, la respuesta de la secretaria, no es transparente, omiten </w:t>
      </w:r>
      <w:proofErr w:type="spellStart"/>
      <w:r w:rsidRPr="0067096D">
        <w:rPr>
          <w:rFonts w:ascii="Palatino Linotype" w:hAnsi="Palatino Linotype"/>
          <w:i/>
          <w:iCs/>
          <w:color w:val="000000"/>
        </w:rPr>
        <w:t>informacion</w:t>
      </w:r>
      <w:proofErr w:type="spellEnd"/>
      <w:r w:rsidRPr="0067096D">
        <w:rPr>
          <w:rFonts w:ascii="Palatino Linotype" w:hAnsi="Palatino Linotype"/>
          <w:i/>
          <w:iCs/>
          <w:color w:val="000000"/>
        </w:rPr>
        <w:t xml:space="preserve"> y como es que me colocan en la respuesta que en caso de que no vea la información valla a la Unidad de transparencia "SE ANEXA RESPUESTA EN FORMATO PDF, EN CASO DE PRESENTAR PROBLEMAS CON LA RECEPCIÓN DE LA MISMA, LE PEDIMOS SE COMUNIQUE A LA UNIDAD DE TRANSPARENCIA DE LA SECRETARÍA DE SEGURIDAD DEL ESTADO DE MÉXICO, AL TELÉFONO 722 2 79 62 00 EXT. 4108, DE LUNES A VIERNES, EN UN HORARIO DE 9:00 A 18:00 HRS." yo solicite la respuesta por </w:t>
      </w:r>
      <w:proofErr w:type="spellStart"/>
      <w:r w:rsidRPr="0067096D">
        <w:rPr>
          <w:rFonts w:ascii="Palatino Linotype" w:hAnsi="Palatino Linotype"/>
          <w:i/>
          <w:iCs/>
          <w:color w:val="000000"/>
        </w:rPr>
        <w:t>saimex</w:t>
      </w:r>
      <w:proofErr w:type="spellEnd"/>
      <w:r w:rsidRPr="006E20DC">
        <w:rPr>
          <w:rFonts w:ascii="Palatino Linotype" w:hAnsi="Palatino Linotype"/>
          <w:i/>
          <w:iCs/>
          <w:color w:val="000000"/>
        </w:rPr>
        <w:t>.</w:t>
      </w:r>
      <w:r w:rsidRPr="006E20DC">
        <w:rPr>
          <w:rFonts w:ascii="Palatino Linotype" w:hAnsi="Palatino Linotype" w:cs="Tahoma"/>
          <w:i/>
          <w:iCs/>
        </w:rPr>
        <w:t>” (Sic)</w:t>
      </w:r>
    </w:p>
    <w:p w14:paraId="692D15C1" w14:textId="77777777" w:rsidR="001D5AF4" w:rsidRPr="006E20DC" w:rsidRDefault="001D5AF4" w:rsidP="001D5AF4">
      <w:pPr>
        <w:spacing w:line="360" w:lineRule="auto"/>
        <w:ind w:left="567" w:right="567"/>
        <w:contextualSpacing/>
        <w:jc w:val="both"/>
        <w:rPr>
          <w:rFonts w:ascii="Palatino Linotype" w:hAnsi="Palatino Linotype" w:cs="Tahoma"/>
          <w:i/>
          <w:iCs/>
        </w:rPr>
      </w:pPr>
    </w:p>
    <w:p w14:paraId="01A87CE9" w14:textId="35608EC1" w:rsidR="001D5AF4" w:rsidRPr="00AC17E4" w:rsidRDefault="001D5AF4" w:rsidP="001D5AF4">
      <w:pPr>
        <w:pStyle w:val="Ttulo2"/>
        <w:spacing w:before="0" w:after="0" w:line="360" w:lineRule="auto"/>
        <w:contextualSpacing/>
        <w:rPr>
          <w:rFonts w:ascii="Palatino Linotype" w:eastAsia="Batang" w:hAnsi="Palatino Linotype"/>
          <w:b/>
          <w:bCs/>
          <w:color w:val="auto"/>
          <w:sz w:val="22"/>
          <w:szCs w:val="22"/>
        </w:rPr>
      </w:pPr>
      <w:bookmarkStart w:id="9" w:name="_Toc213337140"/>
      <w:bookmarkStart w:id="10" w:name="_Toc224833581"/>
      <w:r w:rsidRPr="00AC17E4">
        <w:rPr>
          <w:rFonts w:ascii="Palatino Linotype" w:hAnsi="Palatino Linotype"/>
          <w:b/>
          <w:bCs/>
          <w:color w:val="auto"/>
          <w:sz w:val="22"/>
          <w:szCs w:val="22"/>
        </w:rPr>
        <w:t xml:space="preserve">V. </w:t>
      </w:r>
      <w:r w:rsidRPr="00AC17E4">
        <w:rPr>
          <w:rFonts w:ascii="Palatino Linotype" w:eastAsia="Batang" w:hAnsi="Palatino Linotype"/>
          <w:b/>
          <w:bCs/>
          <w:color w:val="auto"/>
          <w:sz w:val="22"/>
          <w:szCs w:val="22"/>
        </w:rPr>
        <w:t xml:space="preserve">Trámite del </w:t>
      </w:r>
      <w:r w:rsidRPr="00AC17E4">
        <w:rPr>
          <w:rFonts w:ascii="Palatino Linotype" w:hAnsi="Palatino Linotype"/>
          <w:b/>
          <w:bCs/>
          <w:color w:val="auto"/>
          <w:sz w:val="22"/>
          <w:szCs w:val="22"/>
        </w:rPr>
        <w:t xml:space="preserve">Recurso de Revisión </w:t>
      </w:r>
      <w:r w:rsidRPr="00AC17E4">
        <w:rPr>
          <w:rFonts w:ascii="Palatino Linotype" w:eastAsia="Batang" w:hAnsi="Palatino Linotype"/>
          <w:b/>
          <w:bCs/>
          <w:color w:val="auto"/>
          <w:sz w:val="22"/>
          <w:szCs w:val="22"/>
        </w:rPr>
        <w:t>ante este Instituto</w:t>
      </w:r>
      <w:bookmarkEnd w:id="9"/>
      <w:bookmarkEnd w:id="10"/>
    </w:p>
    <w:p w14:paraId="37CCAA6C" w14:textId="77777777" w:rsidR="001D5AF4" w:rsidRPr="00AC17E4" w:rsidRDefault="001D5AF4" w:rsidP="001D5AF4">
      <w:pPr>
        <w:spacing w:line="360" w:lineRule="auto"/>
        <w:contextualSpacing/>
        <w:jc w:val="both"/>
        <w:rPr>
          <w:rFonts w:ascii="Palatino Linotype" w:eastAsia="Batang" w:hAnsi="Palatino Linotype" w:cs="Tahoma"/>
          <w:b/>
          <w:bCs/>
          <w:sz w:val="22"/>
          <w:szCs w:val="22"/>
        </w:rPr>
      </w:pPr>
    </w:p>
    <w:p w14:paraId="41B2B86B" w14:textId="77777777" w:rsidR="001D5AF4" w:rsidRPr="00AC17E4" w:rsidRDefault="001D5AF4" w:rsidP="001D5AF4">
      <w:pPr>
        <w:spacing w:line="360" w:lineRule="auto"/>
        <w:contextualSpacing/>
        <w:jc w:val="both"/>
        <w:rPr>
          <w:rFonts w:ascii="Palatino Linotype" w:eastAsia="Batang" w:hAnsi="Palatino Linotype" w:cs="Tahoma"/>
          <w:bCs/>
          <w:sz w:val="22"/>
          <w:szCs w:val="22"/>
        </w:rPr>
      </w:pPr>
      <w:r w:rsidRPr="00AC17E4">
        <w:rPr>
          <w:rFonts w:ascii="Palatino Linotype" w:hAnsi="Palatino Linotype"/>
          <w:b/>
          <w:bCs/>
          <w:sz w:val="22"/>
          <w:szCs w:val="22"/>
        </w:rPr>
        <w:t xml:space="preserve">a) Turno del Recurso de Revisión. </w:t>
      </w:r>
      <w:r w:rsidRPr="00AC17E4">
        <w:rPr>
          <w:rFonts w:ascii="Palatino Linotype" w:eastAsia="Batang" w:hAnsi="Palatino Linotype" w:cs="Tahoma"/>
          <w:bCs/>
          <w:sz w:val="22"/>
          <w:szCs w:val="22"/>
          <w:lang w:val="es-ES_tradnl"/>
        </w:rPr>
        <w:t xml:space="preserve">El </w:t>
      </w:r>
      <w:r>
        <w:rPr>
          <w:rFonts w:ascii="Palatino Linotype" w:hAnsi="Palatino Linotype" w:cs="Tahoma"/>
          <w:sz w:val="22"/>
          <w:szCs w:val="22"/>
        </w:rPr>
        <w:t xml:space="preserve">trece de octubre </w:t>
      </w:r>
      <w:r w:rsidRPr="00AC17E4">
        <w:rPr>
          <w:rFonts w:ascii="Palatino Linotype" w:hAnsi="Palatino Linotype" w:cs="Tahoma"/>
          <w:sz w:val="22"/>
          <w:szCs w:val="22"/>
        </w:rPr>
        <w:t>de dos mil veinticinco</w:t>
      </w:r>
      <w:r w:rsidRPr="00AC17E4">
        <w:rPr>
          <w:rFonts w:ascii="Palatino Linotype" w:eastAsia="Batang" w:hAnsi="Palatino Linotype" w:cs="Tahoma"/>
          <w:bCs/>
          <w:sz w:val="22"/>
          <w:szCs w:val="22"/>
          <w:lang w:val="es-ES_tradnl"/>
        </w:rPr>
        <w:t xml:space="preserve">, el SAIMEX, asignó el número de expediente </w:t>
      </w:r>
      <w:r w:rsidRPr="00AC17E4">
        <w:rPr>
          <w:rFonts w:ascii="Palatino Linotype" w:eastAsia="Batang" w:hAnsi="Palatino Linotype" w:cs="Tahoma"/>
          <w:b/>
          <w:sz w:val="22"/>
          <w:szCs w:val="22"/>
          <w:lang w:val="es-ES_tradnl"/>
        </w:rPr>
        <w:t>0</w:t>
      </w:r>
      <w:r>
        <w:rPr>
          <w:rFonts w:ascii="Palatino Linotype" w:eastAsia="Batang" w:hAnsi="Palatino Linotype" w:cs="Tahoma"/>
          <w:b/>
          <w:sz w:val="22"/>
          <w:szCs w:val="22"/>
          <w:lang w:val="es-ES_tradnl"/>
        </w:rPr>
        <w:t>11811</w:t>
      </w:r>
      <w:r w:rsidRPr="00AC17E4">
        <w:rPr>
          <w:rFonts w:ascii="Palatino Linotype" w:eastAsia="Batang" w:hAnsi="Palatino Linotype" w:cs="Tahoma"/>
          <w:b/>
          <w:sz w:val="22"/>
          <w:szCs w:val="22"/>
          <w:lang w:val="es-ES_tradnl"/>
        </w:rPr>
        <w:t>/INFOEM/IP/RR/2025</w:t>
      </w:r>
      <w:r w:rsidRPr="00AC17E4">
        <w:rPr>
          <w:rFonts w:ascii="Palatino Linotype" w:eastAsia="Batang" w:hAnsi="Palatino Linotype" w:cs="Tahoma"/>
          <w:bCs/>
          <w:sz w:val="22"/>
          <w:szCs w:val="22"/>
          <w:lang w:val="es-ES_tradnl"/>
        </w:rPr>
        <w:t xml:space="preserve"> al medio de impugnación que nos ocupa, con base en el sistema aprobado por el Pleno de este Organismo Garante y lo turnó al Comisionado </w:t>
      </w:r>
      <w:r w:rsidRPr="00AC17E4">
        <w:rPr>
          <w:rFonts w:ascii="Palatino Linotype" w:eastAsia="Batang" w:hAnsi="Palatino Linotype" w:cs="Tahoma"/>
          <w:b/>
          <w:sz w:val="22"/>
          <w:szCs w:val="22"/>
          <w:lang w:val="es-ES_tradnl"/>
        </w:rPr>
        <w:t>Luis Gustavo Parra Noriega</w:t>
      </w:r>
      <w:r w:rsidRPr="00AC17E4">
        <w:rPr>
          <w:rFonts w:ascii="Palatino Linotype" w:eastAsia="Batang" w:hAnsi="Palatino Linotype" w:cs="Tahoma"/>
          <w:bCs/>
          <w:sz w:val="22"/>
          <w:szCs w:val="22"/>
          <w:lang w:val="es-ES_tradnl"/>
        </w:rPr>
        <w:t>, para los efectos del artículo 185, fracción I, de la Ley de Transparencia y Acceso a la Información Pública del Estado de México y Municipios.</w:t>
      </w:r>
    </w:p>
    <w:p w14:paraId="0059B53F" w14:textId="77777777" w:rsidR="001D5AF4" w:rsidRPr="00AC17E4" w:rsidRDefault="001D5AF4" w:rsidP="001D5AF4">
      <w:pPr>
        <w:spacing w:line="360" w:lineRule="auto"/>
        <w:contextualSpacing/>
        <w:jc w:val="both"/>
        <w:rPr>
          <w:rFonts w:ascii="Palatino Linotype" w:eastAsia="Batang" w:hAnsi="Palatino Linotype" w:cs="Tahoma"/>
          <w:b/>
          <w:bCs/>
          <w:sz w:val="22"/>
          <w:szCs w:val="22"/>
        </w:rPr>
      </w:pPr>
    </w:p>
    <w:p w14:paraId="0C8AD33C" w14:textId="77777777" w:rsidR="001D5AF4" w:rsidRPr="00AC17E4" w:rsidRDefault="001D5AF4" w:rsidP="001D5AF4">
      <w:pPr>
        <w:spacing w:line="360" w:lineRule="auto"/>
        <w:contextualSpacing/>
        <w:jc w:val="both"/>
        <w:rPr>
          <w:rFonts w:ascii="Palatino Linotype" w:eastAsia="Batang" w:hAnsi="Palatino Linotype" w:cs="Tahoma"/>
          <w:bCs/>
          <w:sz w:val="22"/>
          <w:szCs w:val="22"/>
          <w:lang w:val="es-ES_tradnl"/>
        </w:rPr>
      </w:pPr>
      <w:r w:rsidRPr="00AC17E4">
        <w:rPr>
          <w:rFonts w:ascii="Palatino Linotype" w:eastAsia="Batang" w:hAnsi="Palatino Linotype" w:cs="Tahoma"/>
          <w:b/>
          <w:bCs/>
          <w:sz w:val="22"/>
          <w:szCs w:val="22"/>
        </w:rPr>
        <w:t xml:space="preserve">b) Admisión del </w:t>
      </w:r>
      <w:r w:rsidRPr="00AC17E4">
        <w:rPr>
          <w:rFonts w:ascii="Palatino Linotype" w:hAnsi="Palatino Linotype" w:cs="Tahoma"/>
          <w:b/>
          <w:sz w:val="22"/>
          <w:szCs w:val="22"/>
        </w:rPr>
        <w:t>Recurso de Revisión</w:t>
      </w:r>
      <w:r w:rsidRPr="00AC17E4">
        <w:rPr>
          <w:rFonts w:ascii="Palatino Linotype" w:eastAsia="Batang" w:hAnsi="Palatino Linotype" w:cs="Tahoma"/>
          <w:b/>
          <w:bCs/>
          <w:sz w:val="22"/>
          <w:szCs w:val="22"/>
          <w:lang w:val="es-ES_tradnl"/>
        </w:rPr>
        <w:t xml:space="preserve">. </w:t>
      </w:r>
      <w:r w:rsidRPr="00AC17E4">
        <w:rPr>
          <w:rFonts w:ascii="Palatino Linotype" w:eastAsia="Batang" w:hAnsi="Palatino Linotype" w:cs="Tahoma"/>
          <w:bCs/>
          <w:sz w:val="22"/>
          <w:szCs w:val="22"/>
          <w:lang w:val="es-ES_tradnl"/>
        </w:rPr>
        <w:t xml:space="preserve">El </w:t>
      </w:r>
      <w:r>
        <w:rPr>
          <w:rFonts w:ascii="Palatino Linotype" w:eastAsia="Batang" w:hAnsi="Palatino Linotype" w:cs="Tahoma"/>
          <w:bCs/>
          <w:sz w:val="22"/>
          <w:szCs w:val="22"/>
          <w:lang w:val="es-ES_tradnl"/>
        </w:rPr>
        <w:t xml:space="preserve">dieciséis de octubre </w:t>
      </w:r>
      <w:r w:rsidRPr="00AC17E4">
        <w:rPr>
          <w:rFonts w:ascii="Palatino Linotype" w:eastAsia="Batang" w:hAnsi="Palatino Linotype" w:cs="Tahoma"/>
          <w:bCs/>
          <w:sz w:val="22"/>
          <w:szCs w:val="22"/>
          <w:lang w:val="es-ES_tradnl"/>
        </w:rPr>
        <w:t xml:space="preserve">de dos mil veinticinco,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w:t>
      </w:r>
      <w:r w:rsidRPr="00AC17E4">
        <w:rPr>
          <w:rFonts w:ascii="Palatino Linotype" w:eastAsia="Batang" w:hAnsi="Palatino Linotype" w:cs="Tahoma"/>
          <w:bCs/>
          <w:sz w:val="22"/>
          <w:szCs w:val="22"/>
          <w:lang w:val="es-ES_tradnl"/>
        </w:rPr>
        <w:lastRenderedPageBreak/>
        <w:t xml:space="preserve">las partes el </w:t>
      </w:r>
      <w:r>
        <w:rPr>
          <w:rFonts w:ascii="Palatino Linotype" w:eastAsia="Batang" w:hAnsi="Palatino Linotype" w:cs="Tahoma"/>
          <w:bCs/>
          <w:sz w:val="22"/>
          <w:szCs w:val="22"/>
          <w:lang w:val="es-ES_tradnl"/>
        </w:rPr>
        <w:t>diecisiete de dicho mes y año</w:t>
      </w:r>
      <w:r w:rsidRPr="00AC17E4">
        <w:rPr>
          <w:rFonts w:ascii="Palatino Linotype" w:eastAsia="Batang" w:hAnsi="Palatino Linotype" w:cs="Tahoma"/>
          <w:bCs/>
          <w:sz w:val="22"/>
          <w:szCs w:val="22"/>
          <w:lang w:val="es-ES_tradnl"/>
        </w:rPr>
        <w:t>, a través del SAIMEX, en el que se les otorgó un plazo de siete días hábiles posteriores a la misma, para que manifestaran lo que a su derecho conviniera y formularan alegatos.</w:t>
      </w:r>
    </w:p>
    <w:p w14:paraId="44D651C1" w14:textId="77777777" w:rsidR="001D5AF4" w:rsidRPr="00AC17E4" w:rsidRDefault="001D5AF4" w:rsidP="001D5AF4">
      <w:pPr>
        <w:spacing w:line="360" w:lineRule="auto"/>
        <w:contextualSpacing/>
        <w:jc w:val="both"/>
        <w:rPr>
          <w:rFonts w:ascii="Palatino Linotype" w:eastAsia="Batang" w:hAnsi="Palatino Linotype" w:cs="Tahoma"/>
          <w:bCs/>
          <w:sz w:val="22"/>
          <w:szCs w:val="22"/>
          <w:lang w:val="es-ES_tradnl"/>
        </w:rPr>
      </w:pPr>
    </w:p>
    <w:p w14:paraId="6D0B40BA" w14:textId="589DBF0C" w:rsidR="001D5AF4" w:rsidRPr="006733C5" w:rsidRDefault="001D5AF4" w:rsidP="001D5AF4">
      <w:pPr>
        <w:autoSpaceDE w:val="0"/>
        <w:autoSpaceDN w:val="0"/>
        <w:adjustRightInd w:val="0"/>
        <w:spacing w:line="360" w:lineRule="auto"/>
        <w:contextualSpacing/>
        <w:jc w:val="both"/>
        <w:rPr>
          <w:rFonts w:ascii="Palatino Linotype" w:hAnsi="Palatino Linotype" w:cs="Tahoma"/>
          <w:sz w:val="22"/>
          <w:szCs w:val="22"/>
        </w:rPr>
      </w:pPr>
      <w:r w:rsidRPr="00AC17E4">
        <w:rPr>
          <w:rFonts w:ascii="Palatino Linotype" w:hAnsi="Palatino Linotype" w:cs="Tahoma"/>
          <w:b/>
          <w:sz w:val="22"/>
          <w:szCs w:val="22"/>
        </w:rPr>
        <w:t xml:space="preserve">c) Informe Justificado. </w:t>
      </w:r>
      <w:r w:rsidRPr="00AC17E4">
        <w:rPr>
          <w:rFonts w:ascii="Palatino Linotype" w:hAnsi="Palatino Linotype" w:cs="Tahoma"/>
          <w:sz w:val="22"/>
          <w:szCs w:val="22"/>
        </w:rPr>
        <w:t xml:space="preserve">El </w:t>
      </w:r>
      <w:r w:rsidR="0078057B">
        <w:rPr>
          <w:rFonts w:ascii="Palatino Linotype" w:hAnsi="Palatino Linotype" w:cs="Tahoma"/>
          <w:sz w:val="22"/>
          <w:szCs w:val="22"/>
        </w:rPr>
        <w:t xml:space="preserve">veinticuatro de octubre </w:t>
      </w:r>
      <w:r w:rsidRPr="00AC17E4">
        <w:rPr>
          <w:rFonts w:ascii="Palatino Linotype" w:hAnsi="Palatino Linotype" w:cs="Tahoma"/>
          <w:sz w:val="22"/>
          <w:szCs w:val="22"/>
        </w:rPr>
        <w:t>de dos mil veinti</w:t>
      </w:r>
      <w:r>
        <w:rPr>
          <w:rFonts w:ascii="Palatino Linotype" w:hAnsi="Palatino Linotype" w:cs="Tahoma"/>
          <w:sz w:val="22"/>
          <w:szCs w:val="22"/>
        </w:rPr>
        <w:t>cinco</w:t>
      </w:r>
      <w:r w:rsidRPr="00AC17E4">
        <w:rPr>
          <w:rFonts w:ascii="Palatino Linotype" w:hAnsi="Palatino Linotype" w:cs="Tahoma"/>
          <w:sz w:val="22"/>
          <w:szCs w:val="22"/>
        </w:rPr>
        <w:t>, se recibió, a través del SAIMEX, el informe justificado</w:t>
      </w:r>
      <w:r>
        <w:rPr>
          <w:rFonts w:ascii="Palatino Linotype" w:hAnsi="Palatino Linotype" w:cs="Tahoma"/>
          <w:sz w:val="22"/>
          <w:szCs w:val="22"/>
        </w:rPr>
        <w:t xml:space="preserve"> del Sujeto Obligado</w:t>
      </w:r>
      <w:r w:rsidRPr="00AC17E4">
        <w:rPr>
          <w:rFonts w:ascii="Palatino Linotype" w:hAnsi="Palatino Linotype" w:cs="Tahoma"/>
          <w:bCs/>
          <w:color w:val="0D0D0D" w:themeColor="text1" w:themeTint="F2"/>
          <w:sz w:val="22"/>
          <w:szCs w:val="22"/>
        </w:rPr>
        <w:t xml:space="preserve"> </w:t>
      </w:r>
      <w:r w:rsidRPr="00AC17E4">
        <w:rPr>
          <w:rFonts w:ascii="Palatino Linotype" w:hAnsi="Palatino Linotype" w:cs="Tahoma"/>
          <w:sz w:val="22"/>
          <w:szCs w:val="22"/>
        </w:rPr>
        <w:t>por medio del</w:t>
      </w:r>
      <w:r>
        <w:rPr>
          <w:rFonts w:ascii="Palatino Linotype" w:hAnsi="Palatino Linotype" w:cs="Tahoma"/>
          <w:sz w:val="22"/>
          <w:szCs w:val="22"/>
        </w:rPr>
        <w:t xml:space="preserve"> oficio </w:t>
      </w:r>
      <w:r w:rsidRPr="006733C5">
        <w:rPr>
          <w:rFonts w:ascii="Palatino Linotype" w:hAnsi="Palatino Linotype" w:cs="Tahoma"/>
          <w:sz w:val="22"/>
          <w:szCs w:val="22"/>
        </w:rPr>
        <w:t xml:space="preserve">número </w:t>
      </w:r>
      <w:r w:rsidRPr="0067096D">
        <w:rPr>
          <w:rFonts w:ascii="Palatino Linotype" w:hAnsi="Palatino Linotype" w:cs="Tahoma"/>
          <w:sz w:val="22"/>
          <w:szCs w:val="22"/>
        </w:rPr>
        <w:t>2060000700000OS/UIPPE/1781/2025</w:t>
      </w:r>
      <w:r w:rsidRPr="006733C5">
        <w:rPr>
          <w:rFonts w:ascii="Palatino Linotype" w:hAnsi="Palatino Linotype" w:cs="Tahoma"/>
          <w:sz w:val="22"/>
          <w:szCs w:val="22"/>
        </w:rPr>
        <w:t>, de fecha de su presentación, suscrito por la Titular de la Unida</w:t>
      </w:r>
      <w:r>
        <w:rPr>
          <w:rFonts w:ascii="Palatino Linotype" w:hAnsi="Palatino Linotype" w:cs="Tahoma"/>
          <w:sz w:val="22"/>
          <w:szCs w:val="22"/>
        </w:rPr>
        <w:t>d de Transparencia, dirigido al Comisionado Ponente</w:t>
      </w:r>
      <w:r w:rsidRPr="006733C5">
        <w:rPr>
          <w:rFonts w:ascii="Palatino Linotype" w:hAnsi="Palatino Linotype" w:cs="Tahoma"/>
          <w:sz w:val="22"/>
          <w:szCs w:val="22"/>
        </w:rPr>
        <w:t>, a través del cual esencialmente ratifica su respuesta inicial.</w:t>
      </w:r>
    </w:p>
    <w:p w14:paraId="63BF1881" w14:textId="77777777" w:rsidR="001D5AF4" w:rsidRPr="00A80AAB" w:rsidRDefault="001D5AF4" w:rsidP="001D5AF4">
      <w:pPr>
        <w:spacing w:line="360" w:lineRule="auto"/>
        <w:contextualSpacing/>
        <w:jc w:val="both"/>
        <w:rPr>
          <w:rFonts w:ascii="Palatino Linotype" w:hAnsi="Palatino Linotype" w:cs="Tahoma"/>
          <w:bCs/>
          <w:sz w:val="22"/>
          <w:szCs w:val="22"/>
        </w:rPr>
      </w:pPr>
    </w:p>
    <w:p w14:paraId="351BED4C" w14:textId="77777777" w:rsidR="001D5AF4" w:rsidRPr="00B569F2" w:rsidRDefault="001D5AF4" w:rsidP="001D5AF4">
      <w:pPr>
        <w:spacing w:line="360" w:lineRule="auto"/>
        <w:contextualSpacing/>
        <w:jc w:val="both"/>
        <w:rPr>
          <w:rFonts w:ascii="Palatino Linotype" w:hAnsi="Palatino Linotype" w:cs="Tahoma"/>
          <w:b/>
          <w:sz w:val="22"/>
          <w:szCs w:val="22"/>
        </w:rPr>
      </w:pPr>
      <w:r w:rsidRPr="006743B8">
        <w:rPr>
          <w:rFonts w:ascii="Palatino Linotype" w:hAnsi="Palatino Linotype" w:cs="Tahoma"/>
          <w:b/>
          <w:sz w:val="22"/>
          <w:szCs w:val="22"/>
        </w:rPr>
        <w:t xml:space="preserve">d) </w:t>
      </w:r>
      <w:r w:rsidRPr="006743B8">
        <w:rPr>
          <w:rFonts w:ascii="Palatino Linotype" w:hAnsi="Palatino Linotype" w:cs="Tahoma"/>
          <w:b/>
          <w:bCs/>
          <w:sz w:val="22"/>
          <w:szCs w:val="22"/>
        </w:rPr>
        <w:t xml:space="preserve">Vista del informe justificado. </w:t>
      </w:r>
      <w:r w:rsidRPr="006743B8">
        <w:rPr>
          <w:rFonts w:ascii="Palatino Linotype" w:hAnsi="Palatino Linotype" w:cs="Tahoma"/>
          <w:sz w:val="22"/>
          <w:szCs w:val="22"/>
        </w:rPr>
        <w:t xml:space="preserve">El </w:t>
      </w:r>
      <w:r>
        <w:rPr>
          <w:rFonts w:ascii="Palatino Linotype" w:hAnsi="Palatino Linotype" w:cs="Tahoma"/>
          <w:sz w:val="22"/>
          <w:szCs w:val="22"/>
        </w:rPr>
        <w:t xml:space="preserve">once de marzo </w:t>
      </w:r>
      <w:r w:rsidRPr="006743B8">
        <w:rPr>
          <w:rFonts w:ascii="Palatino Linotype" w:hAnsi="Palatino Linotype" w:cs="Tahoma"/>
          <w:sz w:val="22"/>
          <w:szCs w:val="22"/>
        </w:rPr>
        <w:t>de dos mil veinti</w:t>
      </w:r>
      <w:r>
        <w:rPr>
          <w:rFonts w:ascii="Palatino Linotype" w:hAnsi="Palatino Linotype" w:cs="Tahoma"/>
          <w:sz w:val="22"/>
          <w:szCs w:val="22"/>
        </w:rPr>
        <w:t>séis</w:t>
      </w:r>
      <w:r w:rsidRPr="006743B8">
        <w:rPr>
          <w:rFonts w:ascii="Palatino Linotype" w:hAnsi="Palatino Linotype" w:cs="Tahoma"/>
          <w:sz w:val="22"/>
          <w:szCs w:val="22"/>
        </w:rPr>
        <w:t xml:space="preserve">, se dictó acuerdo mediante el cual </w:t>
      </w:r>
      <w:r w:rsidRPr="006743B8">
        <w:rPr>
          <w:rFonts w:ascii="Palatino Linotype" w:hAnsi="Palatino Linotype" w:cs="Tahoma"/>
          <w:bCs/>
          <w:sz w:val="22"/>
          <w:szCs w:val="22"/>
        </w:rPr>
        <w:t>se puso a la vista del Particular, el Informe Justificado</w:t>
      </w:r>
      <w:r w:rsidRPr="006743B8">
        <w:rPr>
          <w:rFonts w:ascii="Palatino Linotype" w:hAnsi="Palatino Linotype" w:cs="Tahoma"/>
          <w:sz w:val="22"/>
          <w:szCs w:val="22"/>
        </w:rPr>
        <w:t xml:space="preserve"> entregado por el Sujeto Obligado, el cual fue notificado, a través del SAIMEX, el mismo día.</w:t>
      </w:r>
      <w:r w:rsidRPr="00AC17E4">
        <w:rPr>
          <w:rFonts w:ascii="Palatino Linotype" w:hAnsi="Palatino Linotype" w:cs="Tahoma"/>
          <w:sz w:val="22"/>
          <w:szCs w:val="22"/>
        </w:rPr>
        <w:t xml:space="preserve"> </w:t>
      </w:r>
    </w:p>
    <w:p w14:paraId="0B6B4DAF" w14:textId="77777777" w:rsidR="001D5AF4" w:rsidRDefault="001D5AF4" w:rsidP="001D5AF4">
      <w:pPr>
        <w:spacing w:line="360" w:lineRule="auto"/>
        <w:contextualSpacing/>
        <w:jc w:val="both"/>
        <w:rPr>
          <w:rFonts w:ascii="Palatino Linotype" w:hAnsi="Palatino Linotype" w:cs="Tahoma"/>
          <w:b/>
          <w:sz w:val="22"/>
          <w:szCs w:val="22"/>
        </w:rPr>
      </w:pPr>
      <w:bookmarkStart w:id="11" w:name="_Hlk145410441"/>
    </w:p>
    <w:p w14:paraId="2E8FFA95" w14:textId="77777777" w:rsidR="001D5AF4" w:rsidRPr="000D7B8F" w:rsidRDefault="001D5AF4" w:rsidP="001D5AF4">
      <w:pPr>
        <w:spacing w:line="360" w:lineRule="auto"/>
        <w:contextualSpacing/>
        <w:jc w:val="both"/>
        <w:rPr>
          <w:rFonts w:ascii="Palatino Linotype" w:hAnsi="Palatino Linotype" w:cs="Tahoma"/>
          <w:sz w:val="22"/>
          <w:szCs w:val="22"/>
        </w:rPr>
      </w:pPr>
      <w:r w:rsidRPr="000D7B8F">
        <w:rPr>
          <w:rFonts w:ascii="Palatino Linotype" w:hAnsi="Palatino Linotype" w:cs="Tahoma"/>
          <w:b/>
          <w:bCs/>
          <w:sz w:val="22"/>
          <w:szCs w:val="22"/>
        </w:rPr>
        <w:t xml:space="preserve">e) Ampliación de plazo para resolver. </w:t>
      </w:r>
      <w:r w:rsidRPr="000D7B8F">
        <w:rPr>
          <w:rFonts w:ascii="Palatino Linotype" w:hAnsi="Palatino Linotype" w:cs="Tahoma"/>
          <w:sz w:val="22"/>
          <w:szCs w:val="22"/>
        </w:rPr>
        <w:t xml:space="preserve">El </w:t>
      </w:r>
      <w:r>
        <w:rPr>
          <w:rFonts w:ascii="Palatino Linotype" w:hAnsi="Palatino Linotype" w:cs="Tahoma"/>
          <w:sz w:val="22"/>
          <w:szCs w:val="22"/>
        </w:rPr>
        <w:t xml:space="preserve">once de marzo </w:t>
      </w:r>
      <w:r w:rsidRPr="000D7B8F">
        <w:rPr>
          <w:rFonts w:ascii="Palatino Linotype" w:hAnsi="Palatino Linotype" w:cs="Tahoma"/>
          <w:sz w:val="22"/>
          <w:szCs w:val="22"/>
        </w:rPr>
        <w:t>de dos mil veinti</w:t>
      </w:r>
      <w:r>
        <w:rPr>
          <w:rFonts w:ascii="Palatino Linotype" w:hAnsi="Palatino Linotype" w:cs="Tahoma"/>
          <w:sz w:val="22"/>
          <w:szCs w:val="22"/>
        </w:rPr>
        <w:t>séis</w:t>
      </w:r>
      <w:r w:rsidRPr="000D7B8F">
        <w:rPr>
          <w:rFonts w:ascii="Palatino Linotype" w:hAnsi="Palatino Linotype" w:cs="Tahoma"/>
          <w:sz w:val="22"/>
          <w:szCs w:val="22"/>
        </w:rPr>
        <w:t>,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mismo día.</w:t>
      </w:r>
    </w:p>
    <w:p w14:paraId="648CEEF5" w14:textId="77777777" w:rsidR="001D5AF4" w:rsidRDefault="001D5AF4" w:rsidP="001D5AF4">
      <w:pPr>
        <w:spacing w:line="360" w:lineRule="auto"/>
        <w:contextualSpacing/>
        <w:jc w:val="both"/>
        <w:rPr>
          <w:rFonts w:ascii="Palatino Linotype" w:hAnsi="Palatino Linotype" w:cs="Tahoma"/>
          <w:b/>
          <w:bCs/>
          <w:sz w:val="22"/>
          <w:szCs w:val="22"/>
        </w:rPr>
      </w:pPr>
    </w:p>
    <w:p w14:paraId="0DB81C20" w14:textId="76E4C12D" w:rsidR="001D5AF4" w:rsidRPr="00967419" w:rsidRDefault="001D5AF4" w:rsidP="001D5AF4">
      <w:pPr>
        <w:spacing w:line="360" w:lineRule="auto"/>
        <w:contextualSpacing/>
        <w:jc w:val="both"/>
        <w:rPr>
          <w:rFonts w:ascii="Palatino Linotype" w:hAnsi="Palatino Linotype" w:cs="Tahoma"/>
          <w:b/>
          <w:bCs/>
          <w:sz w:val="22"/>
          <w:szCs w:val="22"/>
        </w:rPr>
      </w:pPr>
      <w:r>
        <w:rPr>
          <w:rFonts w:ascii="Palatino Linotype" w:hAnsi="Palatino Linotype" w:cs="Tahoma"/>
          <w:b/>
          <w:bCs/>
          <w:sz w:val="22"/>
          <w:szCs w:val="22"/>
        </w:rPr>
        <w:t xml:space="preserve">f) </w:t>
      </w:r>
      <w:r w:rsidRPr="00AC17E4">
        <w:rPr>
          <w:rFonts w:ascii="Palatino Linotype" w:hAnsi="Palatino Linotype" w:cs="Tahoma"/>
          <w:b/>
          <w:bCs/>
          <w:sz w:val="22"/>
          <w:szCs w:val="22"/>
        </w:rPr>
        <w:t>Cierre de instrucción.</w:t>
      </w:r>
      <w:r w:rsidRPr="00AC17E4">
        <w:rPr>
          <w:rFonts w:ascii="Palatino Linotype" w:hAnsi="Palatino Linotype" w:cs="Tahoma"/>
          <w:bCs/>
          <w:sz w:val="22"/>
          <w:szCs w:val="22"/>
        </w:rPr>
        <w:t xml:space="preserve"> El </w:t>
      </w:r>
      <w:r>
        <w:rPr>
          <w:rFonts w:ascii="Palatino Linotype" w:hAnsi="Palatino Linotype" w:cs="Tahoma"/>
          <w:bCs/>
          <w:sz w:val="22"/>
          <w:szCs w:val="22"/>
        </w:rPr>
        <w:t xml:space="preserve">dieciocho de marzo </w:t>
      </w:r>
      <w:r w:rsidRPr="00AC17E4">
        <w:rPr>
          <w:rFonts w:ascii="Palatino Linotype" w:hAnsi="Palatino Linotype" w:cs="Tahoma"/>
          <w:bCs/>
          <w:sz w:val="22"/>
          <w:szCs w:val="22"/>
        </w:rPr>
        <w:t>de dos mil veinti</w:t>
      </w:r>
      <w:r>
        <w:rPr>
          <w:rFonts w:ascii="Palatino Linotype" w:hAnsi="Palatino Linotype" w:cs="Tahoma"/>
          <w:bCs/>
          <w:sz w:val="22"/>
          <w:szCs w:val="22"/>
        </w:rPr>
        <w:t>séis</w:t>
      </w:r>
      <w:r w:rsidRPr="00AC17E4">
        <w:rPr>
          <w:rFonts w:ascii="Palatino Linotype" w:hAnsi="Palatino Linotype" w:cs="Tahoma"/>
          <w:bCs/>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w:t>
      </w:r>
      <w:r w:rsidRPr="00AC17E4">
        <w:rPr>
          <w:rFonts w:ascii="Palatino Linotype" w:hAnsi="Palatino Linotype" w:cs="Tahoma"/>
          <w:bCs/>
          <w:sz w:val="22"/>
          <w:szCs w:val="22"/>
        </w:rPr>
        <w:lastRenderedPageBreak/>
        <w:t xml:space="preserve">Información Pública del Estado de México y Municipios, </w:t>
      </w:r>
      <w:r w:rsidRPr="00AC17E4">
        <w:rPr>
          <w:rFonts w:ascii="Palatino Linotype" w:hAnsi="Palatino Linotype" w:cs="Tahoma"/>
          <w:bCs/>
          <w:sz w:val="22"/>
          <w:szCs w:val="22"/>
          <w:lang w:val="es-ES"/>
        </w:rPr>
        <w:t>acto que fue notificado a las partes, mediante el SAIMEX, el</w:t>
      </w:r>
      <w:r>
        <w:rPr>
          <w:rFonts w:ascii="Palatino Linotype" w:hAnsi="Palatino Linotype" w:cs="Tahoma"/>
          <w:bCs/>
          <w:sz w:val="22"/>
          <w:szCs w:val="22"/>
          <w:lang w:val="es-ES"/>
        </w:rPr>
        <w:t xml:space="preserve"> </w:t>
      </w:r>
      <w:r w:rsidR="0078057B">
        <w:rPr>
          <w:rFonts w:ascii="Palatino Linotype" w:hAnsi="Palatino Linotype" w:cs="Tahoma"/>
          <w:bCs/>
          <w:sz w:val="22"/>
          <w:szCs w:val="22"/>
          <w:lang w:val="es-ES"/>
        </w:rPr>
        <w:t>diecinueve de dicho mes y año</w:t>
      </w:r>
      <w:r w:rsidRPr="00AC17E4">
        <w:rPr>
          <w:rFonts w:ascii="Palatino Linotype" w:hAnsi="Palatino Linotype" w:cs="Tahoma"/>
          <w:bCs/>
          <w:sz w:val="22"/>
          <w:szCs w:val="22"/>
          <w:lang w:val="es-ES"/>
        </w:rPr>
        <w:t>.</w:t>
      </w:r>
    </w:p>
    <w:bookmarkEnd w:id="11"/>
    <w:p w14:paraId="6B1BB969" w14:textId="77777777" w:rsidR="001D5AF4" w:rsidRPr="00AC17E4" w:rsidRDefault="001D5AF4" w:rsidP="001D5AF4">
      <w:pPr>
        <w:autoSpaceDE w:val="0"/>
        <w:autoSpaceDN w:val="0"/>
        <w:adjustRightInd w:val="0"/>
        <w:spacing w:line="360" w:lineRule="auto"/>
        <w:contextualSpacing/>
        <w:jc w:val="both"/>
        <w:rPr>
          <w:rFonts w:ascii="Palatino Linotype" w:hAnsi="Palatino Linotype" w:cs="Tahoma"/>
          <w:b/>
          <w:sz w:val="22"/>
          <w:szCs w:val="22"/>
          <w:lang w:val="es-ES"/>
        </w:rPr>
      </w:pPr>
    </w:p>
    <w:p w14:paraId="21A4DD6B" w14:textId="77777777" w:rsidR="001D5AF4" w:rsidRPr="00AC17E4" w:rsidRDefault="001D5AF4" w:rsidP="001D5AF4">
      <w:pPr>
        <w:spacing w:line="360" w:lineRule="auto"/>
        <w:contextualSpacing/>
        <w:jc w:val="both"/>
        <w:rPr>
          <w:rFonts w:ascii="Palatino Linotype" w:hAnsi="Palatino Linotype" w:cs="Tahoma"/>
          <w:color w:val="000000"/>
          <w:sz w:val="22"/>
          <w:szCs w:val="22"/>
        </w:rPr>
      </w:pPr>
      <w:r w:rsidRPr="00AC17E4">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4CCF177B" w14:textId="77777777" w:rsidR="001D5AF4" w:rsidRPr="00AC17E4" w:rsidRDefault="001D5AF4" w:rsidP="001D5AF4">
      <w:pPr>
        <w:spacing w:line="360" w:lineRule="auto"/>
        <w:contextualSpacing/>
      </w:pPr>
    </w:p>
    <w:p w14:paraId="3FC499B5" w14:textId="77777777" w:rsidR="001D5AF4" w:rsidRPr="00AC17E4" w:rsidRDefault="001D5AF4" w:rsidP="001D5AF4">
      <w:pPr>
        <w:pStyle w:val="Ttulo1"/>
        <w:spacing w:before="0" w:after="0" w:line="360" w:lineRule="auto"/>
        <w:contextualSpacing/>
        <w:jc w:val="center"/>
        <w:rPr>
          <w:rFonts w:ascii="Palatino Linotype" w:hAnsi="Palatino Linotype"/>
          <w:b/>
          <w:bCs/>
          <w:color w:val="auto"/>
          <w:sz w:val="22"/>
          <w:szCs w:val="22"/>
        </w:rPr>
      </w:pPr>
      <w:bookmarkStart w:id="12" w:name="_Toc213337141"/>
      <w:bookmarkStart w:id="13" w:name="_Toc224833582"/>
      <w:r w:rsidRPr="00AC17E4">
        <w:rPr>
          <w:rFonts w:ascii="Palatino Linotype" w:hAnsi="Palatino Linotype"/>
          <w:b/>
          <w:bCs/>
          <w:color w:val="auto"/>
          <w:sz w:val="22"/>
          <w:szCs w:val="22"/>
        </w:rPr>
        <w:t>C O N S I D E R A N D O S</w:t>
      </w:r>
      <w:bookmarkEnd w:id="12"/>
      <w:bookmarkEnd w:id="13"/>
    </w:p>
    <w:p w14:paraId="74498E4A" w14:textId="77777777" w:rsidR="001D5AF4" w:rsidRPr="00AC17E4" w:rsidRDefault="001D5AF4" w:rsidP="001D5AF4">
      <w:pPr>
        <w:spacing w:line="360" w:lineRule="auto"/>
        <w:contextualSpacing/>
      </w:pPr>
    </w:p>
    <w:p w14:paraId="44E4AF68" w14:textId="77777777" w:rsidR="001D5AF4" w:rsidRPr="00AC17E4" w:rsidRDefault="001D5AF4" w:rsidP="001D5AF4">
      <w:pPr>
        <w:pStyle w:val="Ttulo2"/>
        <w:spacing w:before="0" w:after="0" w:line="360" w:lineRule="auto"/>
        <w:contextualSpacing/>
        <w:rPr>
          <w:rFonts w:ascii="Palatino Linotype" w:hAnsi="Palatino Linotype"/>
          <w:b/>
          <w:bCs/>
          <w:color w:val="auto"/>
          <w:sz w:val="22"/>
          <w:szCs w:val="22"/>
        </w:rPr>
      </w:pPr>
      <w:bookmarkStart w:id="14" w:name="_Toc213337142"/>
      <w:bookmarkStart w:id="15" w:name="_Toc224833583"/>
      <w:r w:rsidRPr="00AC17E4">
        <w:rPr>
          <w:rFonts w:ascii="Palatino Linotype" w:hAnsi="Palatino Linotype"/>
          <w:b/>
          <w:bCs/>
          <w:color w:val="auto"/>
          <w:sz w:val="22"/>
          <w:szCs w:val="22"/>
        </w:rPr>
        <w:t>PRIMERO. Competencia</w:t>
      </w:r>
      <w:bookmarkEnd w:id="14"/>
      <w:bookmarkEnd w:id="15"/>
    </w:p>
    <w:p w14:paraId="142A12CF" w14:textId="77777777" w:rsidR="001D5AF4" w:rsidRPr="00AC17E4" w:rsidRDefault="001D5AF4" w:rsidP="001D5AF4">
      <w:pPr>
        <w:spacing w:line="360" w:lineRule="auto"/>
        <w:contextualSpacing/>
        <w:rPr>
          <w:rFonts w:eastAsia="Batang"/>
        </w:rPr>
      </w:pPr>
    </w:p>
    <w:p w14:paraId="2D204380" w14:textId="77777777" w:rsidR="001D5AF4" w:rsidRDefault="001D5AF4" w:rsidP="001D5AF4">
      <w:pPr>
        <w:spacing w:line="360" w:lineRule="auto"/>
        <w:contextualSpacing/>
        <w:jc w:val="both"/>
        <w:rPr>
          <w:rFonts w:ascii="Palatino Linotype" w:eastAsia="Calibri" w:hAnsi="Palatino Linotype" w:cs="Tahoma"/>
          <w:bCs/>
          <w:color w:val="000000"/>
          <w:sz w:val="22"/>
          <w:szCs w:val="22"/>
          <w:lang w:eastAsia="es-ES_tradnl"/>
        </w:rPr>
      </w:pPr>
      <w:r w:rsidRPr="00B42D21">
        <w:rPr>
          <w:rFonts w:ascii="Palatino Linotype" w:eastAsia="Calibri" w:hAnsi="Palatino Linotype" w:cs="Tahoma"/>
          <w:bCs/>
          <w:color w:val="000000"/>
          <w:sz w:val="22"/>
          <w:szCs w:val="22"/>
          <w:lang w:eastAsia="es-ES_tradnl"/>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primero, cuadragésimo segundo y cuadragésimo tercero,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9CA5719" w14:textId="77777777" w:rsidR="001D5AF4" w:rsidRPr="00AC17E4" w:rsidRDefault="001D5AF4" w:rsidP="001D5AF4">
      <w:pPr>
        <w:spacing w:line="360" w:lineRule="auto"/>
        <w:contextualSpacing/>
        <w:jc w:val="both"/>
        <w:rPr>
          <w:rFonts w:ascii="Palatino Linotype" w:eastAsia="Calibri" w:hAnsi="Palatino Linotype" w:cs="Tahoma"/>
          <w:bCs/>
          <w:color w:val="000000"/>
          <w:sz w:val="22"/>
          <w:szCs w:val="22"/>
          <w:lang w:eastAsia="es-ES_tradnl"/>
        </w:rPr>
      </w:pPr>
    </w:p>
    <w:p w14:paraId="727C2C80" w14:textId="77777777" w:rsidR="001D5AF4" w:rsidRPr="00AC17E4" w:rsidRDefault="001D5AF4" w:rsidP="001D5AF4">
      <w:pPr>
        <w:pStyle w:val="Ttulo2"/>
        <w:spacing w:before="0" w:after="0" w:line="360" w:lineRule="auto"/>
        <w:contextualSpacing/>
        <w:rPr>
          <w:rFonts w:ascii="Palatino Linotype" w:hAnsi="Palatino Linotype"/>
          <w:b/>
          <w:bCs/>
          <w:color w:val="auto"/>
          <w:sz w:val="22"/>
          <w:szCs w:val="22"/>
          <w:lang w:val="es-ES"/>
        </w:rPr>
      </w:pPr>
      <w:bookmarkStart w:id="16" w:name="_Toc213337143"/>
      <w:bookmarkStart w:id="17" w:name="_Toc224833584"/>
      <w:r w:rsidRPr="00AC17E4">
        <w:rPr>
          <w:rFonts w:ascii="Palatino Linotype" w:eastAsia="Calibri" w:hAnsi="Palatino Linotype"/>
          <w:b/>
          <w:bCs/>
          <w:color w:val="auto"/>
          <w:sz w:val="22"/>
          <w:szCs w:val="22"/>
          <w:lang w:val="es-ES"/>
        </w:rPr>
        <w:t xml:space="preserve">SEGUNDO. </w:t>
      </w:r>
      <w:r w:rsidRPr="00AC17E4">
        <w:rPr>
          <w:rFonts w:ascii="Palatino Linotype" w:hAnsi="Palatino Linotype"/>
          <w:b/>
          <w:bCs/>
          <w:color w:val="auto"/>
          <w:sz w:val="22"/>
          <w:szCs w:val="22"/>
          <w:lang w:val="es-ES"/>
        </w:rPr>
        <w:t>Causales de improcedencia y sobreseimiento</w:t>
      </w:r>
      <w:bookmarkEnd w:id="16"/>
      <w:bookmarkEnd w:id="17"/>
    </w:p>
    <w:p w14:paraId="20C42336" w14:textId="77777777" w:rsidR="001D5AF4" w:rsidRPr="00AC17E4" w:rsidRDefault="001D5AF4" w:rsidP="001D5AF4">
      <w:pPr>
        <w:autoSpaceDE w:val="0"/>
        <w:autoSpaceDN w:val="0"/>
        <w:adjustRightInd w:val="0"/>
        <w:spacing w:line="360" w:lineRule="auto"/>
        <w:contextualSpacing/>
        <w:jc w:val="both"/>
        <w:rPr>
          <w:rFonts w:ascii="Palatino Linotype" w:hAnsi="Palatino Linotype" w:cs="Tahoma"/>
          <w:b/>
          <w:sz w:val="22"/>
          <w:szCs w:val="22"/>
          <w:lang w:val="es-ES"/>
        </w:rPr>
      </w:pPr>
    </w:p>
    <w:p w14:paraId="1F879A13" w14:textId="77777777" w:rsidR="001D5AF4" w:rsidRDefault="001D5AF4" w:rsidP="001D5AF4">
      <w:pPr>
        <w:autoSpaceDE w:val="0"/>
        <w:autoSpaceDN w:val="0"/>
        <w:adjustRightInd w:val="0"/>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lastRenderedPageBreak/>
        <w:t xml:space="preserve">De las constancias que forma parte del Recurso de Revisión que se analiza, se advierte que previo al estudio del fondo de la </w:t>
      </w:r>
      <w:r w:rsidRPr="00AC17E4">
        <w:rPr>
          <w:rFonts w:ascii="Palatino Linotype" w:hAnsi="Palatino Linotype" w:cs="Tahoma"/>
          <w:i/>
          <w:sz w:val="22"/>
          <w:szCs w:val="22"/>
          <w:lang w:val="es-ES"/>
        </w:rPr>
        <w:t>litis</w:t>
      </w:r>
      <w:r w:rsidRPr="00AC17E4">
        <w:rPr>
          <w:rFonts w:ascii="Palatino Linotype" w:hAnsi="Palatino Linotype" w:cs="Tahoma"/>
          <w:sz w:val="22"/>
          <w:szCs w:val="22"/>
          <w:lang w:val="es-ES"/>
        </w:rPr>
        <w:t>, es necesario estudiar las causales de improcedencia y sobreseimiento que se adviertan, para determinar lo que en Derecho proceda.</w:t>
      </w:r>
    </w:p>
    <w:p w14:paraId="545154FC" w14:textId="77777777" w:rsidR="002771C4" w:rsidRPr="00AC17E4" w:rsidRDefault="002771C4" w:rsidP="001D5AF4">
      <w:pPr>
        <w:autoSpaceDE w:val="0"/>
        <w:autoSpaceDN w:val="0"/>
        <w:adjustRightInd w:val="0"/>
        <w:spacing w:line="360" w:lineRule="auto"/>
        <w:contextualSpacing/>
        <w:jc w:val="both"/>
        <w:rPr>
          <w:rFonts w:ascii="Palatino Linotype" w:hAnsi="Palatino Linotype" w:cs="Tahoma"/>
          <w:sz w:val="22"/>
          <w:szCs w:val="22"/>
          <w:lang w:val="es-ES"/>
        </w:rPr>
      </w:pPr>
    </w:p>
    <w:p w14:paraId="302E7B02" w14:textId="77777777" w:rsidR="001D5AF4" w:rsidRPr="00AC17E4" w:rsidRDefault="001D5AF4" w:rsidP="001D5AF4">
      <w:pPr>
        <w:spacing w:line="360" w:lineRule="auto"/>
        <w:contextualSpacing/>
        <w:jc w:val="both"/>
        <w:rPr>
          <w:rFonts w:ascii="Palatino Linotype" w:hAnsi="Palatino Linotype" w:cs="Tahoma"/>
          <w:b/>
          <w:bCs/>
          <w:sz w:val="22"/>
          <w:szCs w:val="22"/>
          <w:lang w:val="es-ES"/>
        </w:rPr>
      </w:pPr>
      <w:r w:rsidRPr="00AC17E4">
        <w:rPr>
          <w:rFonts w:ascii="Palatino Linotype" w:hAnsi="Palatino Linotype" w:cs="Tahoma"/>
          <w:b/>
          <w:bCs/>
          <w:sz w:val="22"/>
          <w:szCs w:val="22"/>
          <w:lang w:val="es-ES"/>
        </w:rPr>
        <w:t>Causales de improcedencia</w:t>
      </w:r>
    </w:p>
    <w:p w14:paraId="0231C6BC" w14:textId="77777777" w:rsidR="001D5AF4" w:rsidRPr="00AC17E4" w:rsidRDefault="001D5AF4" w:rsidP="001D5AF4">
      <w:pPr>
        <w:spacing w:line="360" w:lineRule="auto"/>
        <w:contextualSpacing/>
        <w:jc w:val="both"/>
        <w:rPr>
          <w:rFonts w:ascii="Palatino Linotype" w:hAnsi="Palatino Linotype" w:cs="Tahoma"/>
          <w:sz w:val="22"/>
          <w:szCs w:val="22"/>
          <w:lang w:val="es-ES"/>
        </w:rPr>
      </w:pPr>
    </w:p>
    <w:p w14:paraId="4AA1C6F4" w14:textId="77777777" w:rsidR="001D5AF4" w:rsidRPr="00AC17E4" w:rsidRDefault="001D5AF4" w:rsidP="001D5AF4">
      <w:pPr>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B5A6260" w14:textId="77777777" w:rsidR="001D5AF4" w:rsidRPr="00AC17E4" w:rsidRDefault="001D5AF4" w:rsidP="001D5AF4">
      <w:pPr>
        <w:spacing w:line="360" w:lineRule="auto"/>
        <w:contextualSpacing/>
        <w:jc w:val="both"/>
        <w:rPr>
          <w:rFonts w:ascii="Palatino Linotype" w:hAnsi="Palatino Linotype" w:cs="Tahoma"/>
          <w:sz w:val="22"/>
          <w:szCs w:val="22"/>
          <w:lang w:val="es-ES"/>
        </w:rPr>
      </w:pPr>
    </w:p>
    <w:p w14:paraId="157CBE4A" w14:textId="77777777" w:rsidR="001D5AF4" w:rsidRPr="00AC17E4" w:rsidRDefault="001D5AF4" w:rsidP="001D5AF4">
      <w:pPr>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6D9CE64F" w14:textId="77777777" w:rsidR="001D5AF4" w:rsidRPr="00AC17E4" w:rsidRDefault="001D5AF4" w:rsidP="001D5AF4">
      <w:pPr>
        <w:spacing w:line="360" w:lineRule="auto"/>
        <w:contextualSpacing/>
        <w:jc w:val="both"/>
        <w:rPr>
          <w:rFonts w:ascii="Palatino Linotype" w:hAnsi="Palatino Linotype" w:cs="Tahoma"/>
          <w:sz w:val="22"/>
          <w:szCs w:val="22"/>
          <w:lang w:val="es-ES"/>
        </w:rPr>
      </w:pPr>
    </w:p>
    <w:p w14:paraId="373C6534" w14:textId="77777777" w:rsidR="001D5AF4" w:rsidRPr="00586FF7" w:rsidRDefault="001D5AF4" w:rsidP="001D5AF4">
      <w:pPr>
        <w:spacing w:line="360" w:lineRule="auto"/>
        <w:contextualSpacing/>
        <w:jc w:val="both"/>
        <w:rPr>
          <w:rFonts w:ascii="Palatino Linotype" w:hAnsi="Palatino Linotype" w:cs="Tahoma"/>
          <w:sz w:val="22"/>
          <w:szCs w:val="22"/>
        </w:rPr>
      </w:pPr>
      <w:r w:rsidRPr="00AC17E4">
        <w:rPr>
          <w:rFonts w:ascii="Palatino Linotype" w:hAnsi="Palatino Linotype" w:cs="Tahoma"/>
          <w:sz w:val="22"/>
          <w:szCs w:val="22"/>
          <w:lang w:val="es-ES"/>
        </w:rPr>
        <w:t xml:space="preserve">Asimismo, se actualiza la causal de procedencia del Recurso de Revisión establecida en el artículo 179, fracción </w:t>
      </w:r>
      <w:r>
        <w:rPr>
          <w:rFonts w:ascii="Palatino Linotype" w:hAnsi="Palatino Linotype" w:cs="Tahoma"/>
          <w:sz w:val="22"/>
          <w:szCs w:val="22"/>
          <w:lang w:val="es-ES"/>
        </w:rPr>
        <w:t>V</w:t>
      </w:r>
      <w:r w:rsidRPr="00AC17E4">
        <w:rPr>
          <w:rFonts w:ascii="Palatino Linotype" w:hAnsi="Palatino Linotype" w:cs="Tahoma"/>
          <w:sz w:val="22"/>
          <w:szCs w:val="22"/>
          <w:lang w:val="es-ES"/>
        </w:rPr>
        <w:t xml:space="preserve">, de la Ley de Transparencia y Acceso a la Información Pública del Estado de México y Municipios, </w:t>
      </w:r>
      <w:r>
        <w:rPr>
          <w:rFonts w:ascii="Palatino Linotype" w:hAnsi="Palatino Linotype" w:cs="Tahoma"/>
          <w:sz w:val="22"/>
          <w:szCs w:val="22"/>
          <w:lang w:val="es-ES"/>
        </w:rPr>
        <w:t>referente a la</w:t>
      </w:r>
      <w:r w:rsidRPr="00586FF7">
        <w:rPr>
          <w:rFonts w:ascii="Palatino Linotype" w:hAnsi="Palatino Linotype" w:cs="Tahoma"/>
          <w:sz w:val="22"/>
          <w:szCs w:val="22"/>
        </w:rPr>
        <w:t xml:space="preserve"> entrega de información </w:t>
      </w:r>
      <w:r>
        <w:rPr>
          <w:rFonts w:ascii="Palatino Linotype" w:hAnsi="Palatino Linotype" w:cs="Tahoma"/>
          <w:sz w:val="22"/>
          <w:szCs w:val="22"/>
        </w:rPr>
        <w:t>incompleta.</w:t>
      </w:r>
    </w:p>
    <w:p w14:paraId="23034326" w14:textId="77777777" w:rsidR="001D5AF4" w:rsidRPr="00AC17E4" w:rsidRDefault="001D5AF4" w:rsidP="001D5AF4">
      <w:pPr>
        <w:spacing w:line="360" w:lineRule="auto"/>
        <w:contextualSpacing/>
        <w:jc w:val="both"/>
        <w:rPr>
          <w:rFonts w:ascii="Palatino Linotype" w:hAnsi="Palatino Linotype" w:cs="Tahoma"/>
          <w:sz w:val="22"/>
          <w:szCs w:val="22"/>
          <w:lang w:val="es-ES"/>
        </w:rPr>
      </w:pPr>
    </w:p>
    <w:p w14:paraId="4F33D8AD" w14:textId="77777777" w:rsidR="001D5AF4" w:rsidRPr="00AC17E4" w:rsidRDefault="001D5AF4" w:rsidP="001D5AF4">
      <w:pPr>
        <w:spacing w:line="360" w:lineRule="auto"/>
        <w:contextualSpacing/>
        <w:jc w:val="both"/>
        <w:rPr>
          <w:rFonts w:ascii="Palatino Linotype" w:hAnsi="Palatino Linotype" w:cs="Tahoma"/>
          <w:sz w:val="22"/>
          <w:szCs w:val="22"/>
        </w:rPr>
      </w:pPr>
      <w:r w:rsidRPr="00AC17E4">
        <w:rPr>
          <w:rFonts w:ascii="Palatino Linotype" w:hAnsi="Palatino Linotype" w:cs="Tahoma"/>
          <w:b/>
          <w:bCs/>
          <w:sz w:val="22"/>
          <w:szCs w:val="22"/>
        </w:rPr>
        <w:t>Causales de sobreseimiento</w:t>
      </w:r>
    </w:p>
    <w:p w14:paraId="130C56D1" w14:textId="77777777" w:rsidR="001D5AF4" w:rsidRPr="00AC17E4" w:rsidRDefault="001D5AF4" w:rsidP="001D5AF4">
      <w:pPr>
        <w:spacing w:line="360" w:lineRule="auto"/>
        <w:contextualSpacing/>
        <w:jc w:val="both"/>
        <w:rPr>
          <w:rFonts w:ascii="Palatino Linotype" w:hAnsi="Palatino Linotype" w:cs="Tahoma"/>
          <w:sz w:val="22"/>
          <w:szCs w:val="22"/>
        </w:rPr>
      </w:pPr>
    </w:p>
    <w:p w14:paraId="5B6B4DF7" w14:textId="77777777" w:rsidR="001D5AF4" w:rsidRPr="00AC17E4" w:rsidRDefault="001D5AF4" w:rsidP="001D5AF4">
      <w:pPr>
        <w:spacing w:line="360" w:lineRule="auto"/>
        <w:contextualSpacing/>
        <w:jc w:val="both"/>
        <w:rPr>
          <w:rFonts w:ascii="Palatino Linotype" w:hAnsi="Palatino Linotype" w:cs="Tahoma"/>
          <w:sz w:val="22"/>
          <w:szCs w:val="22"/>
        </w:rPr>
      </w:pPr>
      <w:r w:rsidRPr="00AC17E4">
        <w:rPr>
          <w:rFonts w:ascii="Palatino Linotype" w:hAnsi="Palatino Linotype" w:cs="Tahoma"/>
          <w:sz w:val="22"/>
          <w:szCs w:val="22"/>
        </w:rPr>
        <w:t>Por ser de previo y especial pronunciamiento, este Instituto analiza si se actualiza alguna causal de sobreseimiento.</w:t>
      </w:r>
    </w:p>
    <w:p w14:paraId="3E9AE5DB" w14:textId="77777777" w:rsidR="001D5AF4" w:rsidRPr="00AC17E4" w:rsidRDefault="001D5AF4" w:rsidP="001D5AF4">
      <w:pPr>
        <w:spacing w:line="360" w:lineRule="auto"/>
        <w:contextualSpacing/>
        <w:jc w:val="both"/>
        <w:rPr>
          <w:rFonts w:ascii="Palatino Linotype" w:hAnsi="Palatino Linotype" w:cs="Tahoma"/>
          <w:sz w:val="22"/>
          <w:szCs w:val="22"/>
        </w:rPr>
      </w:pPr>
    </w:p>
    <w:p w14:paraId="5770D654" w14:textId="77777777" w:rsidR="001D5AF4" w:rsidRPr="00AC17E4" w:rsidRDefault="001D5AF4" w:rsidP="001D5AF4">
      <w:pPr>
        <w:spacing w:line="360" w:lineRule="auto"/>
        <w:contextualSpacing/>
        <w:jc w:val="both"/>
        <w:rPr>
          <w:rFonts w:ascii="Palatino Linotype" w:hAnsi="Palatino Linotype" w:cs="Tahoma"/>
          <w:sz w:val="22"/>
          <w:szCs w:val="22"/>
        </w:rPr>
      </w:pPr>
      <w:r w:rsidRPr="00AC17E4">
        <w:rPr>
          <w:rFonts w:ascii="Palatino Linotype" w:hAnsi="Palatino Linotype" w:cs="Tahoma"/>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1EDB3134" w14:textId="77777777" w:rsidR="001D5AF4" w:rsidRPr="00AC17E4" w:rsidRDefault="001D5AF4" w:rsidP="001D5AF4">
      <w:pPr>
        <w:spacing w:line="360" w:lineRule="auto"/>
        <w:contextualSpacing/>
        <w:jc w:val="both"/>
        <w:rPr>
          <w:rFonts w:ascii="Palatino Linotype" w:hAnsi="Palatino Linotype" w:cs="Tahoma"/>
          <w:sz w:val="22"/>
          <w:szCs w:val="22"/>
        </w:rPr>
      </w:pPr>
    </w:p>
    <w:p w14:paraId="59FB65D1" w14:textId="77777777" w:rsidR="001D5AF4" w:rsidRDefault="001D5AF4" w:rsidP="001D5AF4">
      <w:pPr>
        <w:tabs>
          <w:tab w:val="left" w:pos="4962"/>
        </w:tabs>
        <w:spacing w:line="360" w:lineRule="auto"/>
        <w:contextualSpacing/>
        <w:jc w:val="both"/>
        <w:rPr>
          <w:rFonts w:ascii="Palatino Linotype" w:hAnsi="Palatino Linotype" w:cs="Tahoma"/>
          <w:sz w:val="22"/>
          <w:szCs w:val="22"/>
          <w:lang w:val="es-ES"/>
        </w:rPr>
      </w:pPr>
      <w:r w:rsidRPr="00AC17E4">
        <w:rPr>
          <w:rFonts w:ascii="Palatino Linotype" w:hAnsi="Palatino Linotype" w:cs="Tahoma"/>
          <w:bCs/>
          <w:sz w:val="22"/>
          <w:szCs w:val="22"/>
          <w:lang w:val="es-ES"/>
        </w:rPr>
        <w:t xml:space="preserve">Por tales motivos, </w:t>
      </w:r>
      <w:r w:rsidRPr="00AC17E4">
        <w:rPr>
          <w:rFonts w:ascii="Palatino Linotype" w:hAnsi="Palatino Linotype" w:cs="Tahoma"/>
          <w:sz w:val="22"/>
          <w:szCs w:val="22"/>
          <w:lang w:val="es-ES"/>
        </w:rPr>
        <w:t xml:space="preserve">se considera procedente entrar al fondo del presente asunto. </w:t>
      </w:r>
    </w:p>
    <w:p w14:paraId="1C7DD92C" w14:textId="77777777" w:rsidR="001D5AF4" w:rsidRDefault="001D5AF4" w:rsidP="001D5AF4">
      <w:pPr>
        <w:tabs>
          <w:tab w:val="left" w:pos="4962"/>
        </w:tabs>
        <w:spacing w:line="360" w:lineRule="auto"/>
        <w:contextualSpacing/>
        <w:jc w:val="both"/>
        <w:rPr>
          <w:rFonts w:ascii="Palatino Linotype" w:hAnsi="Palatino Linotype" w:cs="Tahoma"/>
          <w:sz w:val="22"/>
          <w:szCs w:val="22"/>
          <w:lang w:val="es-ES"/>
        </w:rPr>
      </w:pPr>
    </w:p>
    <w:p w14:paraId="23012316" w14:textId="77777777" w:rsidR="001D5AF4" w:rsidRPr="00591ED8" w:rsidRDefault="001D5AF4" w:rsidP="001D5AF4">
      <w:pPr>
        <w:pStyle w:val="Ttulo2"/>
        <w:spacing w:before="0" w:after="0" w:line="360" w:lineRule="auto"/>
        <w:contextualSpacing/>
        <w:rPr>
          <w:rFonts w:ascii="Palatino Linotype" w:eastAsia="Calibri" w:hAnsi="Palatino Linotype"/>
          <w:b/>
          <w:bCs/>
          <w:color w:val="auto"/>
          <w:sz w:val="22"/>
          <w:szCs w:val="22"/>
          <w:lang w:val="es-ES" w:eastAsia="es-ES_tradnl"/>
        </w:rPr>
      </w:pPr>
      <w:bookmarkStart w:id="18" w:name="_Toc203518780"/>
      <w:bookmarkStart w:id="19" w:name="_Toc213337144"/>
      <w:bookmarkStart w:id="20" w:name="_Toc224833585"/>
      <w:r w:rsidRPr="00591ED8">
        <w:rPr>
          <w:rFonts w:ascii="Palatino Linotype" w:eastAsia="Calibri" w:hAnsi="Palatino Linotype"/>
          <w:b/>
          <w:bCs/>
          <w:color w:val="auto"/>
          <w:sz w:val="22"/>
          <w:szCs w:val="22"/>
          <w:lang w:val="es-ES" w:eastAsia="es-ES_tradnl"/>
        </w:rPr>
        <w:t>TERCERO. Determinación de la Controversia</w:t>
      </w:r>
      <w:bookmarkEnd w:id="18"/>
      <w:bookmarkEnd w:id="19"/>
      <w:bookmarkEnd w:id="20"/>
    </w:p>
    <w:p w14:paraId="7DABBC02" w14:textId="77777777" w:rsidR="001D5AF4" w:rsidRPr="00591ED8" w:rsidRDefault="001D5AF4" w:rsidP="001D5AF4">
      <w:pPr>
        <w:spacing w:line="360" w:lineRule="auto"/>
        <w:contextualSpacing/>
        <w:jc w:val="both"/>
        <w:rPr>
          <w:rFonts w:ascii="Palatino Linotype" w:hAnsi="Palatino Linotype" w:cs="Tahoma"/>
          <w:sz w:val="22"/>
          <w:szCs w:val="22"/>
          <w:lang w:val="es-ES"/>
        </w:rPr>
      </w:pPr>
    </w:p>
    <w:p w14:paraId="4058A1B2" w14:textId="77777777" w:rsidR="001D5AF4" w:rsidRDefault="001D5AF4" w:rsidP="001D5AF4">
      <w:pPr>
        <w:spacing w:line="360" w:lineRule="auto"/>
        <w:contextualSpacing/>
        <w:jc w:val="both"/>
        <w:rPr>
          <w:rFonts w:ascii="Palatino Linotype" w:hAnsi="Palatino Linotype" w:cs="Tahoma"/>
          <w:sz w:val="22"/>
          <w:szCs w:val="22"/>
        </w:rPr>
      </w:pPr>
      <w:r w:rsidRPr="00E56C68">
        <w:rPr>
          <w:rFonts w:ascii="Palatino Linotype" w:hAnsi="Palatino Linotype" w:cs="Tahoma"/>
          <w:sz w:val="22"/>
          <w:szCs w:val="22"/>
        </w:rPr>
        <w:t xml:space="preserve">Con el objetivo de ilustrar la controversia planteada, resulta conveniente precisar, que una vez realizado el estudio de las constancias que integran el expediente en el que se actúa, se desprende que el Particular </w:t>
      </w:r>
      <w:r>
        <w:rPr>
          <w:rFonts w:ascii="Palatino Linotype" w:hAnsi="Palatino Linotype" w:cs="Tahoma"/>
          <w:sz w:val="22"/>
          <w:szCs w:val="22"/>
        </w:rPr>
        <w:t>requirió los documentos que dieran cuenta de las instancias en donde se transfieren datos personales, al dos de septiembre de dos mil veinticinco.</w:t>
      </w:r>
    </w:p>
    <w:p w14:paraId="23400501" w14:textId="77777777" w:rsidR="001D5AF4" w:rsidRPr="009F5E7F" w:rsidRDefault="001D5AF4" w:rsidP="001D5AF4">
      <w:pPr>
        <w:pStyle w:val="Prrafodelista"/>
        <w:spacing w:line="360" w:lineRule="auto"/>
        <w:jc w:val="both"/>
        <w:rPr>
          <w:rFonts w:ascii="Palatino Linotype" w:hAnsi="Palatino Linotype" w:cs="Tahoma"/>
          <w:sz w:val="22"/>
          <w:szCs w:val="22"/>
        </w:rPr>
      </w:pPr>
    </w:p>
    <w:p w14:paraId="6A0CBAF2" w14:textId="77777777" w:rsidR="001D5AF4" w:rsidRPr="00C52AA8" w:rsidRDefault="001D5AF4" w:rsidP="001D5AF4">
      <w:pPr>
        <w:spacing w:line="360" w:lineRule="auto"/>
        <w:contextualSpacing/>
        <w:jc w:val="both"/>
        <w:rPr>
          <w:rFonts w:ascii="Palatino Linotype" w:hAnsi="Palatino Linotype"/>
          <w:color w:val="0D0D0D"/>
          <w:sz w:val="22"/>
          <w:szCs w:val="22"/>
        </w:rPr>
      </w:pPr>
      <w:r w:rsidRPr="00E56C68">
        <w:rPr>
          <w:rFonts w:ascii="Palatino Linotype" w:hAnsi="Palatino Linotype"/>
          <w:color w:val="000000"/>
          <w:sz w:val="22"/>
          <w:szCs w:val="22"/>
        </w:rPr>
        <w:t>En respuesta, el Sujeto Obligado</w:t>
      </w:r>
      <w:r>
        <w:rPr>
          <w:rFonts w:ascii="Palatino Linotype" w:hAnsi="Palatino Linotype"/>
          <w:color w:val="000000"/>
          <w:sz w:val="22"/>
          <w:szCs w:val="22"/>
        </w:rPr>
        <w:t>, proporcionó un enlace en formato cerrado. Así como el procedimiento para acceder a la información</w:t>
      </w:r>
      <w:r w:rsidRPr="00E56C68">
        <w:rPr>
          <w:rFonts w:ascii="Palatino Linotype" w:hAnsi="Palatino Linotype" w:cs="Tahoma"/>
          <w:sz w:val="22"/>
          <w:szCs w:val="22"/>
        </w:rPr>
        <w:t>;</w:t>
      </w:r>
      <w:r w:rsidRPr="00E56C68">
        <w:rPr>
          <w:rFonts w:ascii="Palatino Linotype" w:hAnsi="Palatino Linotype"/>
          <w:sz w:val="22"/>
          <w:szCs w:val="22"/>
        </w:rPr>
        <w:t xml:space="preserve"> </w:t>
      </w:r>
      <w:r>
        <w:rPr>
          <w:rFonts w:ascii="Palatino Linotype" w:hAnsi="Palatino Linotype"/>
          <w:sz w:val="22"/>
          <w:szCs w:val="22"/>
        </w:rPr>
        <w:t>A</w:t>
      </w:r>
      <w:proofErr w:type="spellStart"/>
      <w:r w:rsidRPr="00E56C68">
        <w:rPr>
          <w:rFonts w:ascii="Palatino Linotype" w:hAnsi="Palatino Linotype" w:cs="Tahoma"/>
          <w:sz w:val="22"/>
          <w:szCs w:val="22"/>
          <w:lang w:val="es-ES"/>
        </w:rPr>
        <w:t>nte</w:t>
      </w:r>
      <w:proofErr w:type="spellEnd"/>
      <w:r>
        <w:rPr>
          <w:rFonts w:ascii="Palatino Linotype" w:hAnsi="Palatino Linotype" w:cs="Tahoma"/>
          <w:sz w:val="22"/>
          <w:szCs w:val="22"/>
          <w:lang w:val="es-ES"/>
        </w:rPr>
        <w:t xml:space="preserve"> </w:t>
      </w:r>
      <w:r w:rsidRPr="00E56C68">
        <w:rPr>
          <w:rFonts w:ascii="Palatino Linotype" w:hAnsi="Palatino Linotype" w:cs="Tahoma"/>
          <w:sz w:val="22"/>
          <w:szCs w:val="22"/>
          <w:lang w:val="es-ES"/>
        </w:rPr>
        <w:t xml:space="preserve">dicha circunstancia, el Particular se </w:t>
      </w:r>
      <w:r w:rsidRPr="00E56C68">
        <w:rPr>
          <w:rFonts w:ascii="Palatino Linotype" w:hAnsi="Palatino Linotype" w:cs="Tahoma"/>
          <w:sz w:val="22"/>
          <w:szCs w:val="22"/>
          <w:lang w:val="es-ES"/>
        </w:rPr>
        <w:lastRenderedPageBreak/>
        <w:t>inconformó</w:t>
      </w:r>
      <w:r>
        <w:rPr>
          <w:rFonts w:ascii="Palatino Linotype" w:hAnsi="Palatino Linotype" w:cs="Tahoma"/>
          <w:sz w:val="22"/>
          <w:szCs w:val="22"/>
          <w:lang w:val="es-ES"/>
        </w:rPr>
        <w:t xml:space="preserve"> de la </w:t>
      </w:r>
      <w:r w:rsidRPr="00586FF7">
        <w:rPr>
          <w:rFonts w:ascii="Palatino Linotype" w:hAnsi="Palatino Linotype" w:cs="Tahoma"/>
          <w:sz w:val="22"/>
          <w:szCs w:val="22"/>
        </w:rPr>
        <w:t xml:space="preserve">entrega de información </w:t>
      </w:r>
      <w:r>
        <w:rPr>
          <w:rFonts w:ascii="Palatino Linotype" w:hAnsi="Palatino Linotype" w:cs="Tahoma"/>
          <w:sz w:val="22"/>
          <w:szCs w:val="22"/>
        </w:rPr>
        <w:t>incompleta</w:t>
      </w:r>
      <w:r>
        <w:rPr>
          <w:rFonts w:ascii="Palatino Linotype" w:hAnsi="Palatino Linotype" w:cs="Tahoma"/>
          <w:sz w:val="22"/>
          <w:szCs w:val="22"/>
          <w:lang w:val="es-ES"/>
        </w:rPr>
        <w:t xml:space="preserve">, </w:t>
      </w:r>
      <w:r w:rsidRPr="00E56C68">
        <w:rPr>
          <w:rFonts w:ascii="Palatino Linotype" w:hAnsi="Palatino Linotype" w:cs="Tahoma"/>
          <w:sz w:val="22"/>
          <w:szCs w:val="22"/>
          <w:lang w:val="es-ES"/>
        </w:rPr>
        <w:t xml:space="preserve">lo cual </w:t>
      </w:r>
      <w:r w:rsidRPr="00E56C68">
        <w:rPr>
          <w:rFonts w:ascii="Palatino Linotype" w:eastAsia="Calibri" w:hAnsi="Palatino Linotype" w:cs="Tahoma"/>
          <w:sz w:val="22"/>
          <w:szCs w:val="22"/>
        </w:rPr>
        <w:t xml:space="preserve">actualiza la causal de procedencia prevista en la fracción </w:t>
      </w:r>
      <w:r>
        <w:rPr>
          <w:rFonts w:ascii="Palatino Linotype" w:eastAsia="Calibri" w:hAnsi="Palatino Linotype" w:cs="Tahoma"/>
          <w:sz w:val="22"/>
          <w:szCs w:val="22"/>
        </w:rPr>
        <w:t>V</w:t>
      </w:r>
      <w:r w:rsidRPr="00E56C68">
        <w:rPr>
          <w:rFonts w:ascii="Palatino Linotype" w:eastAsia="Calibri" w:hAnsi="Palatino Linotype" w:cs="Tahoma"/>
          <w:sz w:val="22"/>
          <w:szCs w:val="22"/>
        </w:rPr>
        <w:t>, del artículo 179 de la Ley de Transparencia y Acceso a la Información Pública del Estado de México y Municipios</w:t>
      </w:r>
      <w:r w:rsidRPr="00E56C68">
        <w:rPr>
          <w:rFonts w:ascii="Palatino Linotype" w:hAnsi="Palatino Linotype"/>
          <w:color w:val="0D0D0D"/>
          <w:sz w:val="22"/>
          <w:szCs w:val="22"/>
        </w:rPr>
        <w:t xml:space="preserve">. </w:t>
      </w:r>
      <w:r w:rsidRPr="00E56C68">
        <w:rPr>
          <w:rFonts w:ascii="Palatino Linotype" w:eastAsia="Calibri" w:hAnsi="Palatino Linotype" w:cs="Tahoma"/>
          <w:sz w:val="22"/>
          <w:szCs w:val="22"/>
        </w:rPr>
        <w:t xml:space="preserve">Así, las cosas, una vez admitido y notificado el Recurso de Revisión a las partes, </w:t>
      </w:r>
      <w:r>
        <w:rPr>
          <w:rFonts w:ascii="Palatino Linotype" w:eastAsia="Calibri" w:hAnsi="Palatino Linotype" w:cs="Tahoma"/>
          <w:sz w:val="22"/>
          <w:szCs w:val="22"/>
        </w:rPr>
        <w:t>el Sujeto Obligado ratificó su respuesta inicial.</w:t>
      </w:r>
    </w:p>
    <w:p w14:paraId="056CCFFA" w14:textId="77777777" w:rsidR="001D5AF4" w:rsidRDefault="001D5AF4" w:rsidP="001D5AF4">
      <w:pPr>
        <w:spacing w:line="360" w:lineRule="auto"/>
        <w:contextualSpacing/>
        <w:jc w:val="both"/>
        <w:rPr>
          <w:rFonts w:ascii="Palatino Linotype" w:eastAsia="Calibri" w:hAnsi="Palatino Linotype" w:cs="Tahoma"/>
          <w:sz w:val="22"/>
          <w:szCs w:val="22"/>
        </w:rPr>
      </w:pPr>
    </w:p>
    <w:p w14:paraId="3A73592D" w14:textId="60CEF4A7" w:rsidR="001D5AF4" w:rsidRPr="00C52AA8" w:rsidRDefault="001D5AF4" w:rsidP="001D5AF4">
      <w:pPr>
        <w:spacing w:line="360" w:lineRule="auto"/>
        <w:contextualSpacing/>
        <w:jc w:val="both"/>
        <w:rPr>
          <w:rFonts w:ascii="Palatino Linotype" w:eastAsia="Calibri" w:hAnsi="Palatino Linotype" w:cs="Tahoma"/>
          <w:b/>
          <w:sz w:val="22"/>
          <w:szCs w:val="22"/>
        </w:rPr>
      </w:pPr>
      <w:r w:rsidRPr="00B71E3E">
        <w:rPr>
          <w:rFonts w:ascii="Palatino Linotype" w:eastAsia="Calibri" w:hAnsi="Palatino Linotype" w:cs="Tahoma"/>
          <w:iCs/>
          <w:sz w:val="22"/>
          <w:szCs w:val="22"/>
          <w:lang w:val="es-ES" w:eastAsia="es-ES_tradnl"/>
        </w:rPr>
        <w:t>Lo anterior, se desprende de las documentales que obran en el ex</w:t>
      </w:r>
      <w:r>
        <w:rPr>
          <w:rFonts w:ascii="Palatino Linotype" w:eastAsia="Calibri" w:hAnsi="Palatino Linotype" w:cs="Tahoma"/>
          <w:iCs/>
          <w:sz w:val="22"/>
          <w:szCs w:val="22"/>
          <w:lang w:val="es-ES" w:eastAsia="es-ES_tradnl"/>
        </w:rPr>
        <w:t xml:space="preserve">pediente de referencia, materia </w:t>
      </w:r>
      <w:r w:rsidRPr="00B71E3E">
        <w:rPr>
          <w:rFonts w:ascii="Palatino Linotype" w:eastAsia="Calibri" w:hAnsi="Palatino Linotype" w:cs="Tahoma"/>
          <w:iCs/>
          <w:sz w:val="22"/>
          <w:szCs w:val="22"/>
          <w:lang w:val="es-ES" w:eastAsia="es-ES_tradnl"/>
        </w:rPr>
        <w:t>de la presente</w:t>
      </w:r>
      <w:r>
        <w:rPr>
          <w:rFonts w:ascii="Palatino Linotype" w:eastAsia="Calibri" w:hAnsi="Palatino Linotype" w:cs="Tahoma"/>
          <w:iCs/>
          <w:sz w:val="22"/>
          <w:szCs w:val="22"/>
          <w:lang w:val="es-ES" w:eastAsia="es-ES_tradnl"/>
        </w:rPr>
        <w:t xml:space="preserve"> resolución, consistentes en la solicitud de acceso a la información, la respuesta</w:t>
      </w:r>
      <w:r w:rsidRPr="00B71E3E">
        <w:rPr>
          <w:rFonts w:ascii="Palatino Linotype" w:eastAsia="Calibri" w:hAnsi="Palatino Linotype" w:cs="Tahoma"/>
          <w:iCs/>
          <w:sz w:val="22"/>
          <w:szCs w:val="22"/>
          <w:lang w:val="es-ES" w:eastAsia="es-ES_tradnl"/>
        </w:rPr>
        <w:t>,</w:t>
      </w:r>
      <w:r>
        <w:rPr>
          <w:rFonts w:ascii="Palatino Linotype" w:eastAsia="Calibri" w:hAnsi="Palatino Linotype" w:cs="Tahoma"/>
          <w:iCs/>
          <w:sz w:val="22"/>
          <w:szCs w:val="22"/>
          <w:lang w:eastAsia="es-ES_tradnl"/>
        </w:rPr>
        <w:t xml:space="preserve"> el escrito </w:t>
      </w:r>
      <w:proofErr w:type="spellStart"/>
      <w:r>
        <w:rPr>
          <w:rFonts w:ascii="Palatino Linotype" w:eastAsia="Calibri" w:hAnsi="Palatino Linotype" w:cs="Tahoma"/>
          <w:iCs/>
          <w:sz w:val="22"/>
          <w:szCs w:val="22"/>
          <w:lang w:eastAsia="es-ES_tradnl"/>
        </w:rPr>
        <w:t>recursal</w:t>
      </w:r>
      <w:proofErr w:type="spellEnd"/>
      <w:r>
        <w:rPr>
          <w:rFonts w:ascii="Palatino Linotype" w:eastAsia="Calibri" w:hAnsi="Palatino Linotype" w:cs="Tahoma"/>
          <w:iCs/>
          <w:sz w:val="22"/>
          <w:szCs w:val="22"/>
          <w:lang w:eastAsia="es-ES_tradnl"/>
        </w:rPr>
        <w:t>, y el informe justificado</w:t>
      </w:r>
      <w:r w:rsidRPr="00B71E3E">
        <w:rPr>
          <w:rFonts w:ascii="Palatino Linotype" w:eastAsia="Calibri" w:hAnsi="Palatino Linotype" w:cs="Tahoma"/>
          <w:iCs/>
          <w:sz w:val="22"/>
          <w:szCs w:val="22"/>
          <w:lang w:eastAsia="es-ES_tradnl"/>
        </w:rPr>
        <w:t xml:space="preserve"> </w:t>
      </w:r>
      <w:r w:rsidRPr="00B71E3E">
        <w:rPr>
          <w:rFonts w:ascii="Palatino Linotype" w:eastAsia="Calibri" w:hAnsi="Palatino Linotype" w:cs="Tahoma"/>
          <w:bCs/>
          <w:sz w:val="22"/>
          <w:szCs w:val="22"/>
        </w:rPr>
        <w:t xml:space="preserve">instrumentales que se toman en cuenta a efecto de resolver el presente medio de impugnación, conforme a lo dispuesto por el artículo 185, fracción IV, de la Ley de Transparencia y Acceso a la Información Pública del Estado de México y Municipios. </w:t>
      </w:r>
    </w:p>
    <w:p w14:paraId="7630E564" w14:textId="77777777" w:rsidR="001D5AF4" w:rsidRPr="00B71E3E" w:rsidRDefault="001D5AF4" w:rsidP="001D5AF4">
      <w:pPr>
        <w:spacing w:line="360" w:lineRule="auto"/>
        <w:contextualSpacing/>
        <w:jc w:val="both"/>
        <w:rPr>
          <w:rFonts w:ascii="Palatino Linotype" w:hAnsi="Palatino Linotype"/>
          <w:color w:val="000000"/>
          <w:sz w:val="22"/>
          <w:szCs w:val="22"/>
          <w:lang w:eastAsia="es-ES_tradnl"/>
        </w:rPr>
      </w:pPr>
    </w:p>
    <w:p w14:paraId="4CDD298F" w14:textId="77777777" w:rsidR="001D5AF4" w:rsidRPr="00903CC5" w:rsidRDefault="001D5AF4" w:rsidP="001D5AF4">
      <w:pPr>
        <w:pStyle w:val="Ttulo2"/>
        <w:spacing w:before="0" w:after="0" w:line="360" w:lineRule="auto"/>
        <w:contextualSpacing/>
        <w:jc w:val="both"/>
        <w:rPr>
          <w:rFonts w:ascii="Palatino Linotype" w:hAnsi="Palatino Linotype"/>
          <w:b/>
          <w:bCs/>
          <w:color w:val="auto"/>
          <w:sz w:val="22"/>
          <w:szCs w:val="22"/>
        </w:rPr>
      </w:pPr>
      <w:bookmarkStart w:id="21" w:name="_Toc199369391"/>
      <w:bookmarkStart w:id="22" w:name="_Toc203518781"/>
      <w:bookmarkStart w:id="23" w:name="_Toc213337145"/>
      <w:bookmarkStart w:id="24" w:name="_Toc224833586"/>
      <w:r w:rsidRPr="00903CC5">
        <w:rPr>
          <w:rFonts w:ascii="Palatino Linotype" w:hAnsi="Palatino Linotype"/>
          <w:b/>
          <w:bCs/>
          <w:color w:val="auto"/>
          <w:sz w:val="22"/>
          <w:szCs w:val="22"/>
          <w:lang w:val="es-ES"/>
        </w:rPr>
        <w:t xml:space="preserve">CUARTO. </w:t>
      </w:r>
      <w:r w:rsidRPr="00903CC5">
        <w:rPr>
          <w:rFonts w:ascii="Palatino Linotype" w:hAnsi="Palatino Linotype"/>
          <w:b/>
          <w:bCs/>
          <w:color w:val="auto"/>
          <w:sz w:val="22"/>
          <w:szCs w:val="22"/>
        </w:rPr>
        <w:t>Marco normativo aplicable en materia de transparencia y acceso a la información pública</w:t>
      </w:r>
      <w:bookmarkEnd w:id="21"/>
      <w:bookmarkEnd w:id="22"/>
      <w:bookmarkEnd w:id="23"/>
      <w:bookmarkEnd w:id="24"/>
    </w:p>
    <w:p w14:paraId="5B903315" w14:textId="77777777" w:rsidR="001D5AF4" w:rsidRPr="00B71E3E" w:rsidRDefault="001D5AF4" w:rsidP="001D5AF4">
      <w:pPr>
        <w:widowControl w:val="0"/>
        <w:spacing w:line="360" w:lineRule="auto"/>
        <w:contextualSpacing/>
        <w:jc w:val="both"/>
        <w:rPr>
          <w:rFonts w:ascii="Palatino Linotype" w:hAnsi="Palatino Linotype" w:cs="Tahoma"/>
          <w:sz w:val="22"/>
          <w:szCs w:val="22"/>
        </w:rPr>
      </w:pPr>
    </w:p>
    <w:p w14:paraId="46048831" w14:textId="77777777" w:rsidR="001D5AF4" w:rsidRPr="00B71E3E" w:rsidRDefault="001D5AF4" w:rsidP="001D5AF4">
      <w:pPr>
        <w:widowControl w:val="0"/>
        <w:spacing w:line="360" w:lineRule="auto"/>
        <w:contextualSpacing/>
        <w:jc w:val="both"/>
        <w:rPr>
          <w:rFonts w:ascii="Palatino Linotype" w:hAnsi="Palatino Linotype" w:cs="Tahoma"/>
          <w:sz w:val="22"/>
          <w:szCs w:val="22"/>
        </w:rPr>
      </w:pPr>
      <w:r w:rsidRPr="00B71E3E">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6E9984B" w14:textId="77777777" w:rsidR="001D5AF4" w:rsidRPr="00B71E3E" w:rsidRDefault="001D5AF4" w:rsidP="001D5AF4">
      <w:pPr>
        <w:widowControl w:val="0"/>
        <w:spacing w:line="360" w:lineRule="auto"/>
        <w:contextualSpacing/>
        <w:jc w:val="both"/>
        <w:rPr>
          <w:rFonts w:ascii="Palatino Linotype" w:hAnsi="Palatino Linotype" w:cs="Tahoma"/>
          <w:sz w:val="22"/>
          <w:szCs w:val="22"/>
        </w:rPr>
      </w:pPr>
    </w:p>
    <w:p w14:paraId="3A843C94" w14:textId="77777777" w:rsidR="001D5AF4" w:rsidRPr="00B71E3E" w:rsidRDefault="001D5AF4" w:rsidP="001D5AF4">
      <w:pPr>
        <w:spacing w:line="360" w:lineRule="auto"/>
        <w:contextualSpacing/>
        <w:jc w:val="both"/>
        <w:rPr>
          <w:rFonts w:ascii="Palatino Linotype" w:hAnsi="Palatino Linotype" w:cs="Tahoma"/>
          <w:sz w:val="22"/>
          <w:szCs w:val="22"/>
        </w:rPr>
      </w:pPr>
      <w:r w:rsidRPr="00B71E3E">
        <w:rPr>
          <w:rFonts w:ascii="Palatino Linotype" w:hAnsi="Palatino Linotype" w:cs="Tahoma"/>
          <w:sz w:val="22"/>
          <w:szCs w:val="22"/>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E14D09B" w14:textId="77777777" w:rsidR="001D5AF4" w:rsidRPr="00B71E3E" w:rsidRDefault="001D5AF4" w:rsidP="001D5AF4">
      <w:pPr>
        <w:widowControl w:val="0"/>
        <w:spacing w:line="360" w:lineRule="auto"/>
        <w:contextualSpacing/>
        <w:jc w:val="both"/>
        <w:rPr>
          <w:rFonts w:ascii="Palatino Linotype" w:hAnsi="Palatino Linotype" w:cs="Tahoma"/>
          <w:sz w:val="22"/>
          <w:szCs w:val="22"/>
        </w:rPr>
      </w:pPr>
    </w:p>
    <w:p w14:paraId="7F93B826" w14:textId="77777777" w:rsidR="001D5AF4" w:rsidRPr="00B71E3E" w:rsidRDefault="001D5AF4" w:rsidP="001D5AF4">
      <w:pPr>
        <w:widowControl w:val="0"/>
        <w:spacing w:line="360" w:lineRule="auto"/>
        <w:contextualSpacing/>
        <w:jc w:val="both"/>
        <w:rPr>
          <w:rFonts w:ascii="Palatino Linotype" w:hAnsi="Palatino Linotype" w:cs="Tahoma"/>
          <w:sz w:val="22"/>
          <w:szCs w:val="22"/>
        </w:rPr>
      </w:pPr>
      <w:r w:rsidRPr="00B71E3E">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610C9518" w14:textId="77777777" w:rsidR="001D5AF4" w:rsidRPr="00B71E3E" w:rsidRDefault="001D5AF4" w:rsidP="001D5AF4">
      <w:pPr>
        <w:widowControl w:val="0"/>
        <w:spacing w:line="360" w:lineRule="auto"/>
        <w:contextualSpacing/>
        <w:jc w:val="both"/>
        <w:rPr>
          <w:rFonts w:ascii="Palatino Linotype" w:hAnsi="Palatino Linotype" w:cs="Tahoma"/>
          <w:sz w:val="22"/>
          <w:szCs w:val="22"/>
        </w:rPr>
      </w:pPr>
    </w:p>
    <w:p w14:paraId="3AC0AD55" w14:textId="77777777" w:rsidR="001D5AF4" w:rsidRPr="00B71E3E" w:rsidRDefault="001D5AF4" w:rsidP="001D5AF4">
      <w:pPr>
        <w:widowControl w:val="0"/>
        <w:spacing w:line="360" w:lineRule="auto"/>
        <w:contextualSpacing/>
        <w:jc w:val="both"/>
        <w:rPr>
          <w:rFonts w:ascii="Palatino Linotype" w:hAnsi="Palatino Linotype" w:cs="Tahoma"/>
          <w:sz w:val="22"/>
          <w:szCs w:val="22"/>
        </w:rPr>
      </w:pPr>
      <w:r w:rsidRPr="00B71E3E">
        <w:rPr>
          <w:rFonts w:ascii="Palatino Linotype" w:hAnsi="Palatino Linotype" w:cs="Tahoma"/>
          <w:sz w:val="22"/>
          <w:szCs w:val="22"/>
        </w:rPr>
        <w:t>El artículo 12, que, quienes generen, recopilen, administren, manejen, procesen, archiven o conserven información pública serán responsables de la misma.</w:t>
      </w:r>
    </w:p>
    <w:p w14:paraId="0CC67A23" w14:textId="77777777" w:rsidR="001D5AF4" w:rsidRPr="00B71E3E" w:rsidRDefault="001D5AF4" w:rsidP="001D5AF4">
      <w:pPr>
        <w:widowControl w:val="0"/>
        <w:spacing w:line="360" w:lineRule="auto"/>
        <w:contextualSpacing/>
        <w:jc w:val="both"/>
        <w:rPr>
          <w:rFonts w:ascii="Palatino Linotype" w:hAnsi="Palatino Linotype" w:cs="Tahoma"/>
          <w:sz w:val="22"/>
          <w:szCs w:val="22"/>
        </w:rPr>
      </w:pPr>
    </w:p>
    <w:p w14:paraId="3548458A" w14:textId="77777777" w:rsidR="001D5AF4" w:rsidRPr="00B71E3E" w:rsidRDefault="001D5AF4" w:rsidP="001D5AF4">
      <w:pPr>
        <w:widowControl w:val="0"/>
        <w:spacing w:line="360" w:lineRule="auto"/>
        <w:contextualSpacing/>
        <w:jc w:val="both"/>
        <w:rPr>
          <w:rFonts w:ascii="Palatino Linotype" w:hAnsi="Palatino Linotype" w:cs="Tahoma"/>
          <w:sz w:val="22"/>
          <w:szCs w:val="22"/>
        </w:rPr>
      </w:pPr>
      <w:r w:rsidRPr="00B71E3E">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0A09B25" w14:textId="77777777" w:rsidR="001D5AF4" w:rsidRPr="00B71E3E" w:rsidRDefault="001D5AF4" w:rsidP="001D5AF4">
      <w:pPr>
        <w:widowControl w:val="0"/>
        <w:spacing w:line="360" w:lineRule="auto"/>
        <w:contextualSpacing/>
        <w:jc w:val="both"/>
        <w:rPr>
          <w:rFonts w:ascii="Palatino Linotype" w:hAnsi="Palatino Linotype" w:cs="Tahoma"/>
          <w:sz w:val="22"/>
          <w:szCs w:val="22"/>
        </w:rPr>
      </w:pPr>
    </w:p>
    <w:p w14:paraId="1C6CB662" w14:textId="77777777" w:rsidR="001D5AF4" w:rsidRDefault="001D5AF4" w:rsidP="001D5AF4">
      <w:pPr>
        <w:widowControl w:val="0"/>
        <w:spacing w:line="360" w:lineRule="auto"/>
        <w:contextualSpacing/>
        <w:jc w:val="both"/>
        <w:rPr>
          <w:rFonts w:ascii="Palatino Linotype" w:hAnsi="Palatino Linotype" w:cs="Tahoma"/>
          <w:sz w:val="22"/>
          <w:szCs w:val="22"/>
        </w:rPr>
      </w:pPr>
      <w:r w:rsidRPr="00B71E3E">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19D7C36" w14:textId="77777777" w:rsidR="001D5AF4" w:rsidRPr="00004DA0" w:rsidRDefault="001D5AF4" w:rsidP="001D5AF4">
      <w:pPr>
        <w:widowControl w:val="0"/>
        <w:spacing w:line="360" w:lineRule="auto"/>
        <w:contextualSpacing/>
        <w:jc w:val="both"/>
        <w:rPr>
          <w:rFonts w:ascii="Palatino Linotype" w:hAnsi="Palatino Linotype" w:cs="Tahoma"/>
          <w:sz w:val="22"/>
          <w:szCs w:val="22"/>
        </w:rPr>
      </w:pPr>
    </w:p>
    <w:p w14:paraId="61B2D658" w14:textId="77777777" w:rsidR="001D5AF4" w:rsidRPr="00903CC5" w:rsidRDefault="001D5AF4" w:rsidP="001D5AF4">
      <w:pPr>
        <w:pStyle w:val="Ttulo2"/>
        <w:spacing w:before="0" w:after="0" w:line="360" w:lineRule="auto"/>
        <w:contextualSpacing/>
        <w:rPr>
          <w:rFonts w:ascii="Palatino Linotype" w:hAnsi="Palatino Linotype"/>
          <w:b/>
          <w:bCs/>
          <w:color w:val="auto"/>
          <w:sz w:val="22"/>
          <w:szCs w:val="22"/>
          <w:lang w:val="es-ES"/>
        </w:rPr>
      </w:pPr>
      <w:bookmarkStart w:id="25" w:name="_Toc199369392"/>
      <w:bookmarkStart w:id="26" w:name="_Toc203518782"/>
      <w:bookmarkStart w:id="27" w:name="_Toc213337146"/>
      <w:bookmarkStart w:id="28" w:name="_Toc224833587"/>
      <w:r w:rsidRPr="00903CC5">
        <w:rPr>
          <w:rFonts w:ascii="Palatino Linotype" w:hAnsi="Palatino Linotype"/>
          <w:b/>
          <w:bCs/>
          <w:color w:val="auto"/>
          <w:sz w:val="22"/>
          <w:szCs w:val="22"/>
          <w:lang w:val="es-ES"/>
        </w:rPr>
        <w:t>QUINTO. Estudio de Fondo</w:t>
      </w:r>
      <w:bookmarkEnd w:id="25"/>
      <w:bookmarkEnd w:id="26"/>
      <w:bookmarkEnd w:id="27"/>
      <w:bookmarkEnd w:id="28"/>
    </w:p>
    <w:p w14:paraId="24D5C6B0" w14:textId="77777777" w:rsidR="001D5AF4" w:rsidRPr="00B71E3E" w:rsidRDefault="001D5AF4" w:rsidP="001D5AF4">
      <w:pPr>
        <w:spacing w:line="360" w:lineRule="auto"/>
        <w:contextualSpacing/>
        <w:jc w:val="both"/>
        <w:rPr>
          <w:rFonts w:ascii="Palatino Linotype" w:hAnsi="Palatino Linotype" w:cs="Tahoma"/>
          <w:b/>
          <w:sz w:val="22"/>
          <w:szCs w:val="22"/>
          <w:lang w:val="es-ES"/>
        </w:rPr>
      </w:pPr>
    </w:p>
    <w:p w14:paraId="383403D0" w14:textId="77777777" w:rsidR="001D5AF4" w:rsidRDefault="001D5AF4" w:rsidP="001D5AF4">
      <w:pPr>
        <w:spacing w:line="360" w:lineRule="auto"/>
        <w:contextualSpacing/>
        <w:jc w:val="both"/>
        <w:rPr>
          <w:rFonts w:ascii="Palatino Linotype" w:hAnsi="Palatino Linotype" w:cs="Tahoma"/>
          <w:bCs/>
          <w:iCs/>
          <w:sz w:val="22"/>
          <w:szCs w:val="22"/>
        </w:rPr>
      </w:pPr>
      <w:r w:rsidRPr="0032544D">
        <w:rPr>
          <w:rFonts w:ascii="Palatino Linotype" w:hAnsi="Palatino Linotype" w:cs="Tahoma"/>
          <w:bCs/>
          <w:iCs/>
          <w:sz w:val="22"/>
          <w:szCs w:val="22"/>
        </w:rPr>
        <w:t xml:space="preserve">Expuestas las posturas de las partes, se procede a realizar el análisis del agravio hecho valer por el ahora Recurrente, concerniente a la </w:t>
      </w:r>
      <w:r w:rsidRPr="00586FF7">
        <w:rPr>
          <w:rFonts w:ascii="Palatino Linotype" w:hAnsi="Palatino Linotype" w:cs="Tahoma"/>
          <w:sz w:val="22"/>
          <w:szCs w:val="22"/>
        </w:rPr>
        <w:t xml:space="preserve">entrega de información </w:t>
      </w:r>
      <w:r>
        <w:rPr>
          <w:rFonts w:ascii="Palatino Linotype" w:hAnsi="Palatino Linotype" w:cs="Tahoma"/>
          <w:sz w:val="22"/>
          <w:szCs w:val="22"/>
        </w:rPr>
        <w:t>incompleta</w:t>
      </w:r>
      <w:r w:rsidRPr="0032544D">
        <w:rPr>
          <w:rFonts w:ascii="Palatino Linotype" w:hAnsi="Palatino Linotype" w:cs="Tahoma"/>
          <w:bCs/>
          <w:iCs/>
          <w:sz w:val="22"/>
          <w:szCs w:val="22"/>
        </w:rPr>
        <w:t xml:space="preserve">, por lo que </w:t>
      </w:r>
      <w:r>
        <w:rPr>
          <w:rFonts w:ascii="Palatino Linotype" w:hAnsi="Palatino Linotype" w:cs="Tahoma"/>
          <w:bCs/>
          <w:iCs/>
          <w:sz w:val="22"/>
          <w:szCs w:val="22"/>
        </w:rPr>
        <w:t>resulta necesario contextualizar la solicitud de información</w:t>
      </w:r>
      <w:r w:rsidRPr="0032544D">
        <w:rPr>
          <w:rFonts w:ascii="Palatino Linotype" w:hAnsi="Palatino Linotype" w:cs="Tahoma"/>
          <w:bCs/>
          <w:iCs/>
          <w:sz w:val="22"/>
          <w:szCs w:val="22"/>
        </w:rPr>
        <w:t>.</w:t>
      </w:r>
    </w:p>
    <w:p w14:paraId="3E830D0B" w14:textId="77777777" w:rsidR="001D5AF4" w:rsidRDefault="001D5AF4" w:rsidP="001D5AF4">
      <w:pPr>
        <w:widowControl w:val="0"/>
        <w:spacing w:line="360" w:lineRule="auto"/>
        <w:contextualSpacing/>
        <w:jc w:val="both"/>
        <w:rPr>
          <w:rFonts w:ascii="Palatino Linotype" w:hAnsi="Palatino Linotype" w:cs="Tahoma"/>
          <w:bCs/>
          <w:iCs/>
          <w:sz w:val="22"/>
          <w:szCs w:val="22"/>
        </w:rPr>
      </w:pPr>
    </w:p>
    <w:p w14:paraId="4498279A" w14:textId="77777777" w:rsidR="001D5AF4" w:rsidRDefault="001D5AF4" w:rsidP="001D5AF4">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En principio, La Ley de Protección de Datos Personales, define a las bases de datos, de la siguiente manera:</w:t>
      </w:r>
    </w:p>
    <w:p w14:paraId="1C341929" w14:textId="77777777" w:rsidR="001D5AF4" w:rsidRDefault="001D5AF4" w:rsidP="001D5AF4">
      <w:pPr>
        <w:spacing w:line="360" w:lineRule="auto"/>
        <w:ind w:right="616"/>
        <w:rPr>
          <w:i/>
        </w:rPr>
      </w:pPr>
    </w:p>
    <w:p w14:paraId="15B6080C" w14:textId="77777777" w:rsidR="001D5AF4" w:rsidRDefault="001D5AF4" w:rsidP="001D5AF4">
      <w:pPr>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 xml:space="preserve">VI. </w:t>
      </w:r>
      <w:r>
        <w:rPr>
          <w:rFonts w:ascii="Palatino Linotype" w:eastAsia="Palatino Linotype" w:hAnsi="Palatino Linotype" w:cs="Palatino Linotype"/>
          <w:b/>
          <w:i/>
        </w:rPr>
        <w:t>Base de Datos:</w:t>
      </w:r>
      <w:r>
        <w:rPr>
          <w:rFonts w:ascii="Palatino Linotype" w:eastAsia="Palatino Linotype" w:hAnsi="Palatino Linotype" w:cs="Palatino Linotype"/>
          <w:i/>
        </w:rPr>
        <w:t xml:space="preserve"> al conjunto de archivos, registros, ficheros, condicionados a criterios determinados con independencia de la forma o modalidad de su creación, tipo de soporte, procesamiento, almacenamiento, organización y acceso.</w:t>
      </w:r>
    </w:p>
    <w:p w14:paraId="035F7926" w14:textId="77777777" w:rsidR="001D5AF4" w:rsidRDefault="001D5AF4" w:rsidP="001D5AF4">
      <w:pPr>
        <w:spacing w:line="360" w:lineRule="auto"/>
        <w:jc w:val="both"/>
        <w:rPr>
          <w:rFonts w:ascii="Palatino Linotype" w:eastAsia="Palatino Linotype" w:hAnsi="Palatino Linotype" w:cs="Palatino Linotype"/>
          <w:sz w:val="22"/>
          <w:szCs w:val="22"/>
        </w:rPr>
      </w:pPr>
    </w:p>
    <w:p w14:paraId="00B7508B" w14:textId="77777777" w:rsidR="001D5AF4" w:rsidRDefault="001D5AF4" w:rsidP="001D5AF4">
      <w:pPr>
        <w:spacing w:line="360" w:lineRule="auto"/>
        <w:ind w:right="-150"/>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 este concepto, también se debe analizar la figura de los sistemas de datos personales, el cual cobra relevancia para el desarrollo de la presente resolución.</w:t>
      </w:r>
    </w:p>
    <w:p w14:paraId="13999EA5" w14:textId="77777777" w:rsidR="001D5AF4" w:rsidRDefault="001D5AF4" w:rsidP="001D5AF4">
      <w:pPr>
        <w:spacing w:line="360" w:lineRule="auto"/>
        <w:ind w:right="-150"/>
        <w:jc w:val="both"/>
        <w:rPr>
          <w:rFonts w:ascii="Palatino Linotype" w:eastAsia="Palatino Linotype" w:hAnsi="Palatino Linotype" w:cs="Palatino Linotype"/>
          <w:sz w:val="22"/>
          <w:szCs w:val="22"/>
        </w:rPr>
      </w:pPr>
    </w:p>
    <w:p w14:paraId="0767D1A0" w14:textId="77777777" w:rsidR="001D5AF4" w:rsidRDefault="001D5AF4" w:rsidP="001D5AF4">
      <w:pPr>
        <w:spacing w:line="36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XLIII. </w:t>
      </w:r>
      <w:r>
        <w:rPr>
          <w:rFonts w:ascii="Palatino Linotype" w:eastAsia="Palatino Linotype" w:hAnsi="Palatino Linotype" w:cs="Palatino Linotype"/>
          <w:b/>
          <w:i/>
        </w:rPr>
        <w:t>Sistema de datos personales:</w:t>
      </w:r>
      <w:r>
        <w:rPr>
          <w:rFonts w:ascii="Palatino Linotype" w:eastAsia="Palatino Linotype" w:hAnsi="Palatino Linotype" w:cs="Palatino Linotype"/>
          <w:i/>
        </w:rPr>
        <w:t xml:space="preserve"> a los datos personales contenidos en los archivos de un sujeto obligado que puede comprender el tratamiento de una o diversas bases de datos para el cumplimiento de una o diversas finalidades.</w:t>
      </w:r>
    </w:p>
    <w:p w14:paraId="34E19026" w14:textId="77777777" w:rsidR="001D5AF4" w:rsidRDefault="001D5AF4" w:rsidP="001D5AF4">
      <w:pPr>
        <w:tabs>
          <w:tab w:val="left" w:pos="2130"/>
        </w:tabs>
        <w:spacing w:line="360" w:lineRule="auto"/>
        <w:jc w:val="both"/>
        <w:rPr>
          <w:rFonts w:ascii="Palatino Linotype" w:eastAsia="Palatino Linotype" w:hAnsi="Palatino Linotype" w:cs="Palatino Linotype"/>
          <w:sz w:val="22"/>
          <w:szCs w:val="22"/>
        </w:rPr>
      </w:pPr>
    </w:p>
    <w:p w14:paraId="4C63D9A8" w14:textId="77777777" w:rsidR="001D5AF4" w:rsidRDefault="001D5AF4" w:rsidP="001D5AF4">
      <w:pPr>
        <w:tabs>
          <w:tab w:val="left" w:pos="2130"/>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 el desarrollo de estos conceptos, se establece que los Sujetos Obligados (Responsables que deciden del tratamiento de los datos personales, así contemplada la figura jurídica en el artículo 4°, fracción XLI, de la Ley de Protección de Datos Personales en Posesión de Sujetos Obligados del Estado de México y Municipios), para el tratamiento de los datos personales, debe utilizar bases de datos personales, o bien, sistemas de datos personales, estos últimos, consisten en un sistema que consta o puede constar de diversas bases de datos y expedientes que se interrelacionan para un fin común. </w:t>
      </w:r>
    </w:p>
    <w:p w14:paraId="2DA1EE0B" w14:textId="77777777" w:rsidR="001D5AF4" w:rsidRDefault="001D5AF4" w:rsidP="001D5AF4">
      <w:pPr>
        <w:tabs>
          <w:tab w:val="left" w:pos="2130"/>
        </w:tabs>
        <w:spacing w:line="360" w:lineRule="auto"/>
        <w:jc w:val="both"/>
        <w:rPr>
          <w:rFonts w:ascii="Palatino Linotype" w:eastAsia="Palatino Linotype" w:hAnsi="Palatino Linotype" w:cs="Palatino Linotype"/>
          <w:sz w:val="22"/>
          <w:szCs w:val="22"/>
        </w:rPr>
      </w:pPr>
    </w:p>
    <w:p w14:paraId="3835DC49" w14:textId="77777777" w:rsidR="001D5AF4" w:rsidRDefault="001D5AF4" w:rsidP="001D5AF4">
      <w:pPr>
        <w:tabs>
          <w:tab w:val="left" w:pos="2130"/>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este orden de ideas, resulta importante analizar los artículos 35, 36 y 37 de la Ley de Protección de Datos Personales en Posesión de Sujetos Obligados del Estado de México y Municipios, establecen que lo siguiente:</w:t>
      </w:r>
    </w:p>
    <w:p w14:paraId="0550B085" w14:textId="77777777" w:rsidR="001D5AF4" w:rsidRDefault="001D5AF4" w:rsidP="001D5AF4">
      <w:pPr>
        <w:tabs>
          <w:tab w:val="left" w:pos="2130"/>
        </w:tabs>
        <w:spacing w:line="360" w:lineRule="auto"/>
        <w:jc w:val="both"/>
        <w:rPr>
          <w:rFonts w:ascii="Palatino Linotype" w:eastAsia="Palatino Linotype" w:hAnsi="Palatino Linotype" w:cs="Palatino Linotype"/>
          <w:sz w:val="22"/>
          <w:szCs w:val="22"/>
        </w:rPr>
      </w:pPr>
    </w:p>
    <w:p w14:paraId="5A0563A3" w14:textId="77777777" w:rsidR="001D5AF4" w:rsidRDefault="001D5AF4" w:rsidP="001D5AF4">
      <w:pPr>
        <w:tabs>
          <w:tab w:val="left" w:pos="2130"/>
        </w:tabs>
        <w:spacing w:line="360" w:lineRule="auto"/>
        <w:ind w:left="567" w:right="567"/>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Artículo 35. Corresponde a cada sujeto obligado determinar, a través de su titular, órgano competente o Comité de Transparencia, la creación, modificación o supresión de sistemas y bases de datos personales, conforme a su respectivo ámbito de competencia. </w:t>
      </w:r>
    </w:p>
    <w:p w14:paraId="1BCC3B95" w14:textId="77777777" w:rsidR="001D5AF4" w:rsidRDefault="001D5AF4" w:rsidP="001D5AF4">
      <w:pPr>
        <w:tabs>
          <w:tab w:val="left" w:pos="2130"/>
        </w:tabs>
        <w:spacing w:line="360" w:lineRule="auto"/>
        <w:ind w:left="567" w:right="567"/>
        <w:jc w:val="both"/>
        <w:rPr>
          <w:rFonts w:ascii="Palatino Linotype" w:eastAsia="Palatino Linotype" w:hAnsi="Palatino Linotype" w:cs="Palatino Linotype"/>
          <w:i/>
        </w:rPr>
      </w:pPr>
    </w:p>
    <w:p w14:paraId="05169508" w14:textId="77777777" w:rsidR="001D5AF4" w:rsidRDefault="001D5AF4" w:rsidP="001D5AF4">
      <w:pPr>
        <w:tabs>
          <w:tab w:val="left" w:pos="2130"/>
        </w:tabs>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rPr>
        <w:lastRenderedPageBreak/>
        <w:t>De manera conjunta con la creación del sistema de datos personales, deberá emitirse el acuerdo que los clasifique con carácter confidencial, precisando además los datos que tienen el carácter no confidencial, acuerdo que deberá cumplir con lo dispuesto por la Ley de Transparencia. El acuerdo de clasificación al que hace referencia el presente párrafo servirá de soporte para la emisión de versiones públicas, sólo podrá ser modificado con motivo de acciones correctivas y preventivas a propuesta del administrador.</w:t>
      </w:r>
    </w:p>
    <w:p w14:paraId="4E5FF579" w14:textId="77777777" w:rsidR="001D5AF4" w:rsidRDefault="001D5AF4" w:rsidP="001D5AF4">
      <w:pPr>
        <w:spacing w:line="360" w:lineRule="auto"/>
        <w:ind w:firstLine="708"/>
        <w:jc w:val="both"/>
        <w:rPr>
          <w:rFonts w:ascii="Palatino Linotype" w:eastAsia="Palatino Linotype" w:hAnsi="Palatino Linotype" w:cs="Palatino Linotype"/>
          <w:sz w:val="22"/>
          <w:szCs w:val="22"/>
        </w:rPr>
      </w:pPr>
    </w:p>
    <w:p w14:paraId="52590B2E" w14:textId="77777777" w:rsidR="001D5AF4" w:rsidRDefault="001D5AF4" w:rsidP="001D5AF4">
      <w:pPr>
        <w:spacing w:line="360" w:lineRule="auto"/>
        <w:ind w:right="567" w:firstLine="567"/>
        <w:jc w:val="both"/>
        <w:rPr>
          <w:rFonts w:ascii="Palatino Linotype" w:eastAsia="Palatino Linotype" w:hAnsi="Palatino Linotype" w:cs="Palatino Linotype"/>
          <w:i/>
        </w:rPr>
      </w:pPr>
      <w:r>
        <w:rPr>
          <w:rFonts w:ascii="Palatino Linotype" w:eastAsia="Palatino Linotype" w:hAnsi="Palatino Linotype" w:cs="Palatino Linotype"/>
          <w:b/>
          <w:i/>
        </w:rPr>
        <w:t>Tratamiento de los Sistemas de Datos Personales</w:t>
      </w:r>
      <w:r>
        <w:rPr>
          <w:rFonts w:ascii="Palatino Linotype" w:eastAsia="Palatino Linotype" w:hAnsi="Palatino Linotype" w:cs="Palatino Linotype"/>
          <w:i/>
        </w:rPr>
        <w:t xml:space="preserve"> </w:t>
      </w:r>
    </w:p>
    <w:p w14:paraId="3D0ED6F3" w14:textId="77777777" w:rsidR="001D5AF4" w:rsidRDefault="001D5AF4" w:rsidP="001D5AF4">
      <w:pPr>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Artículo 36. La integración, tratamiento y tutela de los sistemas de datos personales se regirán por las disposiciones siguientes: </w:t>
      </w:r>
    </w:p>
    <w:p w14:paraId="7D59100D" w14:textId="77777777" w:rsidR="001D5AF4" w:rsidRDefault="001D5AF4" w:rsidP="001D5AF4">
      <w:pPr>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I. Cada sujeto obligado deberá informar al Instituto sobre la creación, modificación o supresión de sus sistemas de datos personales. </w:t>
      </w:r>
    </w:p>
    <w:p w14:paraId="5CC9B284" w14:textId="77777777" w:rsidR="001D5AF4" w:rsidRDefault="001D5AF4" w:rsidP="001D5AF4">
      <w:pPr>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II. En caso de creación o modificación de sistemas de datos personales, se incluirá en el registro, los datos previstos la presente Ley. </w:t>
      </w:r>
    </w:p>
    <w:p w14:paraId="40D24C18" w14:textId="77777777" w:rsidR="001D5AF4" w:rsidRDefault="001D5AF4" w:rsidP="001D5AF4">
      <w:pPr>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III. En las disposiciones que se dicten para la supresión de los sistemas de datos personales, se establecerá el destino de los datos contenidos en los mismos o, en su caso, las previsiones que se adopten para su destrucción. </w:t>
      </w:r>
    </w:p>
    <w:p w14:paraId="5EBDFBE6" w14:textId="77777777" w:rsidR="001D5AF4" w:rsidRDefault="001D5AF4" w:rsidP="001D5AF4">
      <w:pPr>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IV. De la destrucción de los datos personales podrán ser excluidos aquellos que, con finalidades estadísticas o históricas, sean previamente sometidos al procedimiento de disociación. El registro de Sistemas de Datos Personales deberá realizarse a más tardar dentro de los seis meses siguientes al inicio del tratamiento por parte del responsable.</w:t>
      </w:r>
    </w:p>
    <w:p w14:paraId="397595D3" w14:textId="77777777" w:rsidR="001D5AF4" w:rsidRDefault="001D5AF4" w:rsidP="001D5AF4">
      <w:pPr>
        <w:spacing w:line="360" w:lineRule="auto"/>
        <w:ind w:firstLine="708"/>
        <w:jc w:val="both"/>
        <w:rPr>
          <w:rFonts w:ascii="Palatino Linotype" w:eastAsia="Palatino Linotype" w:hAnsi="Palatino Linotype" w:cs="Palatino Linotype"/>
          <w:sz w:val="22"/>
          <w:szCs w:val="22"/>
        </w:rPr>
      </w:pPr>
    </w:p>
    <w:p w14:paraId="6F018F60" w14:textId="77777777" w:rsidR="001D5AF4" w:rsidRDefault="001D5AF4" w:rsidP="001D5AF4">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Las bases de datos personales y su actualización, de igual manera se encuentran contemplados en el artículo 37 de la Ley, que señala:</w:t>
      </w:r>
    </w:p>
    <w:p w14:paraId="29E639E8" w14:textId="77777777" w:rsidR="001D5AF4" w:rsidRDefault="001D5AF4" w:rsidP="001D5AF4">
      <w:pPr>
        <w:spacing w:line="360" w:lineRule="auto"/>
        <w:ind w:right="-150"/>
        <w:rPr>
          <w:rFonts w:ascii="Palatino Linotype" w:eastAsia="Palatino Linotype" w:hAnsi="Palatino Linotype" w:cs="Palatino Linotype"/>
        </w:rPr>
      </w:pPr>
    </w:p>
    <w:p w14:paraId="00483FA5" w14:textId="77777777" w:rsidR="001D5AF4" w:rsidRDefault="001D5AF4" w:rsidP="001D5AF4">
      <w:pPr>
        <w:tabs>
          <w:tab w:val="left" w:pos="567"/>
        </w:tabs>
        <w:spacing w:line="360" w:lineRule="auto"/>
        <w:ind w:left="567" w:right="616"/>
        <w:jc w:val="both"/>
        <w:rPr>
          <w:rFonts w:ascii="Palatino Linotype" w:eastAsia="Palatino Linotype" w:hAnsi="Palatino Linotype" w:cs="Palatino Linotype"/>
          <w:b/>
          <w:i/>
        </w:rPr>
      </w:pPr>
      <w:r>
        <w:rPr>
          <w:rFonts w:ascii="Palatino Linotype" w:eastAsia="Palatino Linotype" w:hAnsi="Palatino Linotype" w:cs="Palatino Linotype"/>
          <w:b/>
          <w:i/>
        </w:rPr>
        <w:t>Registro de Sistemas de Datos Personales</w:t>
      </w:r>
    </w:p>
    <w:p w14:paraId="6EBE3F8E" w14:textId="77777777" w:rsidR="001D5AF4" w:rsidRDefault="001D5AF4" w:rsidP="001D5AF4">
      <w:pPr>
        <w:tabs>
          <w:tab w:val="left" w:pos="567"/>
        </w:tabs>
        <w:spacing w:line="36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Artículo 37. Los sujetos obligados registrarán ante el Instituto los sistemas de datos personales que posean. El registro deberá indicar por lo menos los datos siguientes:</w:t>
      </w:r>
    </w:p>
    <w:p w14:paraId="74B507FE" w14:textId="77777777" w:rsidR="007C5F15" w:rsidRDefault="007C5F15" w:rsidP="001D5AF4">
      <w:pPr>
        <w:tabs>
          <w:tab w:val="left" w:pos="567"/>
        </w:tabs>
        <w:spacing w:line="360" w:lineRule="auto"/>
        <w:ind w:left="567" w:right="616"/>
        <w:jc w:val="both"/>
        <w:rPr>
          <w:rFonts w:ascii="Palatino Linotype" w:eastAsia="Palatino Linotype" w:hAnsi="Palatino Linotype" w:cs="Palatino Linotype"/>
          <w:i/>
        </w:rPr>
      </w:pPr>
    </w:p>
    <w:p w14:paraId="139927A5" w14:textId="77777777" w:rsidR="001D5AF4" w:rsidRDefault="001D5AF4" w:rsidP="001D5AF4">
      <w:pPr>
        <w:tabs>
          <w:tab w:val="left" w:pos="567"/>
        </w:tabs>
        <w:spacing w:line="36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I. El sujeto obligado que tiene a su cargo el sistema de datos personales.</w:t>
      </w:r>
    </w:p>
    <w:p w14:paraId="7592ACF2" w14:textId="77777777" w:rsidR="001D5AF4" w:rsidRDefault="001D5AF4" w:rsidP="001D5AF4">
      <w:pPr>
        <w:tabs>
          <w:tab w:val="left" w:pos="567"/>
        </w:tabs>
        <w:spacing w:line="36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II. La denominación del sistema de datos personales, la base de datos y el tipo de datos personales objeto de tratamiento.</w:t>
      </w:r>
    </w:p>
    <w:p w14:paraId="1701AF1C" w14:textId="77777777" w:rsidR="001D5AF4" w:rsidRDefault="001D5AF4" w:rsidP="001D5AF4">
      <w:pPr>
        <w:tabs>
          <w:tab w:val="left" w:pos="567"/>
        </w:tabs>
        <w:spacing w:line="36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III. El nombre y cargo del administrador, así como el área o unidad administrativa a la que se encuentra adscrito.</w:t>
      </w:r>
    </w:p>
    <w:p w14:paraId="36A78DEE" w14:textId="77777777" w:rsidR="001D5AF4" w:rsidRDefault="001D5AF4" w:rsidP="001D5AF4">
      <w:pPr>
        <w:tabs>
          <w:tab w:val="left" w:pos="567"/>
        </w:tabs>
        <w:spacing w:line="36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IV. El nombre y cargo del encargado.</w:t>
      </w:r>
    </w:p>
    <w:p w14:paraId="54FCA53F" w14:textId="77777777" w:rsidR="001D5AF4" w:rsidRDefault="001D5AF4" w:rsidP="001D5AF4">
      <w:pPr>
        <w:tabs>
          <w:tab w:val="left" w:pos="567"/>
        </w:tabs>
        <w:spacing w:line="36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V. La normatividad aplicable que dé fundamento al tratamiento en términos de los principios de finalidad y licitud.</w:t>
      </w:r>
    </w:p>
    <w:p w14:paraId="7B5C4E28" w14:textId="77777777" w:rsidR="001D5AF4" w:rsidRDefault="001D5AF4" w:rsidP="001D5AF4">
      <w:pPr>
        <w:tabs>
          <w:tab w:val="left" w:pos="567"/>
        </w:tabs>
        <w:spacing w:line="36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VI. La finalidad del tratamiento.</w:t>
      </w:r>
    </w:p>
    <w:p w14:paraId="1F2F406E" w14:textId="77777777" w:rsidR="001D5AF4" w:rsidRPr="007C5F15" w:rsidRDefault="001D5AF4" w:rsidP="001D5AF4">
      <w:pPr>
        <w:tabs>
          <w:tab w:val="left" w:pos="567"/>
        </w:tabs>
        <w:spacing w:line="360" w:lineRule="auto"/>
        <w:ind w:left="567" w:right="616"/>
        <w:jc w:val="both"/>
        <w:rPr>
          <w:rFonts w:ascii="Palatino Linotype" w:eastAsia="Palatino Linotype" w:hAnsi="Palatino Linotype" w:cs="Palatino Linotype"/>
          <w:bCs/>
          <w:i/>
        </w:rPr>
      </w:pPr>
      <w:r w:rsidRPr="007C5F15">
        <w:rPr>
          <w:rFonts w:ascii="Palatino Linotype" w:eastAsia="Palatino Linotype" w:hAnsi="Palatino Linotype" w:cs="Palatino Linotype"/>
          <w:bCs/>
          <w:i/>
        </w:rPr>
        <w:t>VII. El origen, la forma de recolección y actualización de datos.</w:t>
      </w:r>
    </w:p>
    <w:p w14:paraId="72C78503" w14:textId="77777777" w:rsidR="001D5AF4" w:rsidRPr="007C5F15" w:rsidRDefault="001D5AF4" w:rsidP="001D5AF4">
      <w:pPr>
        <w:tabs>
          <w:tab w:val="left" w:pos="567"/>
        </w:tabs>
        <w:spacing w:line="360" w:lineRule="auto"/>
        <w:ind w:left="567" w:right="616"/>
        <w:jc w:val="both"/>
        <w:rPr>
          <w:rFonts w:ascii="Palatino Linotype" w:eastAsia="Palatino Linotype" w:hAnsi="Palatino Linotype" w:cs="Palatino Linotype"/>
          <w:b/>
          <w:bCs/>
          <w:i/>
        </w:rPr>
      </w:pPr>
      <w:r>
        <w:rPr>
          <w:rFonts w:ascii="Palatino Linotype" w:eastAsia="Palatino Linotype" w:hAnsi="Palatino Linotype" w:cs="Palatino Linotype"/>
          <w:i/>
        </w:rPr>
        <w:t xml:space="preserve">VIII. Datos transferidos, </w:t>
      </w:r>
      <w:r w:rsidRPr="007C5F15">
        <w:rPr>
          <w:rFonts w:ascii="Palatino Linotype" w:eastAsia="Palatino Linotype" w:hAnsi="Palatino Linotype" w:cs="Palatino Linotype"/>
          <w:b/>
          <w:bCs/>
          <w:i/>
        </w:rPr>
        <w:t>lugar de destino e identidad de los destinatarios, en el caso de que se registren transferencias.</w:t>
      </w:r>
    </w:p>
    <w:p w14:paraId="6B46C81C" w14:textId="77777777" w:rsidR="001D5AF4" w:rsidRDefault="001D5AF4" w:rsidP="001D5AF4">
      <w:pPr>
        <w:tabs>
          <w:tab w:val="left" w:pos="567"/>
        </w:tabs>
        <w:spacing w:line="36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IX. El modo de interrelacionar la información registrada, o en su caso, la trazabilidad de los datos en el sistema de datos personales. </w:t>
      </w:r>
    </w:p>
    <w:p w14:paraId="1577DC7A" w14:textId="77777777" w:rsidR="001D5AF4" w:rsidRDefault="001D5AF4" w:rsidP="001D5AF4">
      <w:pPr>
        <w:tabs>
          <w:tab w:val="left" w:pos="567"/>
        </w:tabs>
        <w:spacing w:line="36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X. El domicilio de la Unidad de Transparencia, así como de las áreas o unidades administrativas ante las que podrán ejercitarse de manera directa los derechos ARCO. </w:t>
      </w:r>
    </w:p>
    <w:p w14:paraId="3251E300" w14:textId="77777777" w:rsidR="001D5AF4" w:rsidRDefault="001D5AF4" w:rsidP="001D5AF4">
      <w:pPr>
        <w:tabs>
          <w:tab w:val="left" w:pos="567"/>
        </w:tabs>
        <w:spacing w:line="36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XI. El tiempo de conservación de los datos. </w:t>
      </w:r>
    </w:p>
    <w:p w14:paraId="0A7E5710" w14:textId="77777777" w:rsidR="001D5AF4" w:rsidRDefault="001D5AF4" w:rsidP="001D5AF4">
      <w:pPr>
        <w:tabs>
          <w:tab w:val="left" w:pos="567"/>
        </w:tabs>
        <w:spacing w:line="36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XII. El nivel de seguridad.</w:t>
      </w:r>
    </w:p>
    <w:p w14:paraId="2BDEAF0B" w14:textId="77777777" w:rsidR="001D5AF4" w:rsidRDefault="001D5AF4" w:rsidP="001D5AF4">
      <w:pPr>
        <w:tabs>
          <w:tab w:val="left" w:pos="567"/>
        </w:tabs>
        <w:spacing w:line="36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XIII. En caso de que se hubiera presentado una violación de la seguridad de los datos personales se indicará la fecha de ocurrencia, la de detección y la de atención. Dicha información deberá permanecer en el registro un año calendario posterior a la fecha de su atención.</w:t>
      </w:r>
    </w:p>
    <w:p w14:paraId="18EE159C" w14:textId="77777777" w:rsidR="001D5AF4" w:rsidRDefault="001D5AF4" w:rsidP="001D5AF4">
      <w:pPr>
        <w:tabs>
          <w:tab w:val="left" w:pos="567"/>
        </w:tabs>
        <w:spacing w:line="360" w:lineRule="auto"/>
        <w:ind w:left="567" w:right="616"/>
        <w:jc w:val="both"/>
        <w:rPr>
          <w:rFonts w:ascii="Palatino Linotype" w:eastAsia="Palatino Linotype" w:hAnsi="Palatino Linotype" w:cs="Palatino Linotype"/>
          <w:i/>
        </w:rPr>
      </w:pPr>
    </w:p>
    <w:p w14:paraId="00BFC8A2" w14:textId="77777777" w:rsidR="001D5AF4" w:rsidRDefault="001D5AF4" w:rsidP="001D5AF4">
      <w:pPr>
        <w:tabs>
          <w:tab w:val="left" w:pos="567"/>
        </w:tabs>
        <w:spacing w:line="36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Dicha información será publicada en el portal informativo del Instituto y se actualizará por la Unidad de Transparencia en el primer y séptimo mes de cada año.</w:t>
      </w:r>
    </w:p>
    <w:p w14:paraId="5880A2DA" w14:textId="77777777" w:rsidR="001D5AF4" w:rsidRDefault="001D5AF4" w:rsidP="001D5AF4">
      <w:pPr>
        <w:spacing w:line="360" w:lineRule="auto"/>
        <w:jc w:val="both"/>
        <w:rPr>
          <w:rFonts w:ascii="Palatino Linotype" w:eastAsia="Palatino Linotype" w:hAnsi="Palatino Linotype" w:cs="Palatino Linotype"/>
          <w:sz w:val="22"/>
          <w:szCs w:val="22"/>
        </w:rPr>
      </w:pPr>
    </w:p>
    <w:p w14:paraId="59F46148" w14:textId="77777777" w:rsidR="001D5AF4" w:rsidRDefault="001D5AF4" w:rsidP="001D5AF4">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Además, se deben considerar las medidas de seguridad, físicas y técnicas para el tratamiento, medidas de seguridad y su confidencialidad que se establecen en los artículos 38 al 50 de la propia Ley de Protección de Datos en el Estado.</w:t>
      </w:r>
    </w:p>
    <w:p w14:paraId="638C04DF" w14:textId="77777777" w:rsidR="001D5AF4" w:rsidRDefault="001D5AF4" w:rsidP="001D5AF4">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Así, con base en lo expuesto, las bases de datos son aquellos registros de datos personales que el Ayuntamiento de Toluca recaba por las funciones que realiza en los diversos temas derivados de sus funciones administrativas, los cuales se recolectan y actualizan en un Sistema de Datos Personales aprobado o modificado por el Comité de Transparencia, los cuales por disposición legal deben estar protegidos, los cuales además su contenido de describe en el documento de seguridad.</w:t>
      </w:r>
    </w:p>
    <w:p w14:paraId="0DA3CE22" w14:textId="77777777" w:rsidR="001D5AF4" w:rsidRDefault="001D5AF4" w:rsidP="001D5AF4">
      <w:pPr>
        <w:spacing w:line="360" w:lineRule="auto"/>
        <w:jc w:val="both"/>
        <w:rPr>
          <w:rFonts w:ascii="Palatino Linotype" w:eastAsia="Palatino Linotype" w:hAnsi="Palatino Linotype" w:cs="Palatino Linotype"/>
          <w:sz w:val="22"/>
          <w:szCs w:val="22"/>
        </w:rPr>
      </w:pPr>
    </w:p>
    <w:p w14:paraId="6027B023" w14:textId="77777777" w:rsidR="001D5AF4" w:rsidRDefault="001D5AF4" w:rsidP="001D5AF4">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Por lo que hace al documento de seguridad, es un documento que encuentra su marco de creación y actuación en la Ley de Protección de Datos Personales en Posesión de Sujetos Obligados del Estado de México y Municipios, que lo define a través de su artículo 4°, fracción XVIII, como el instrumento que describe y da cuenta de manera general sobre las medidas de seguridad técnicas, físicas y administrativas adoptadas por el responsable para garantizar la confidencialidad, integridad y disponibilidad de la información contenida en los sistemas y bases de datos personales. </w:t>
      </w:r>
    </w:p>
    <w:p w14:paraId="6D9D1AFC" w14:textId="77777777" w:rsidR="001D5AF4" w:rsidRDefault="001D5AF4" w:rsidP="001D5AF4">
      <w:pPr>
        <w:spacing w:line="360" w:lineRule="auto"/>
        <w:jc w:val="both"/>
        <w:rPr>
          <w:rFonts w:ascii="Palatino Linotype" w:eastAsia="Palatino Linotype" w:hAnsi="Palatino Linotype" w:cs="Palatino Linotype"/>
          <w:sz w:val="22"/>
          <w:szCs w:val="22"/>
        </w:rPr>
      </w:pPr>
    </w:p>
    <w:p w14:paraId="3F212172" w14:textId="77777777" w:rsidR="001D5AF4" w:rsidRDefault="001D5AF4" w:rsidP="001D5AF4">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48 de la Ley referida, establece que los Sujetos Obligados elaborarán y aprobarán un documento que contenga las medidas de seguridad aplicables a las bases y sistemas de datos personales, tomando en cuenta los estándares internacionales de seguridad, la propia Ley, y los lineamientos aplicables.</w:t>
      </w:r>
    </w:p>
    <w:p w14:paraId="750CDB77" w14:textId="77777777" w:rsidR="001D5AF4" w:rsidRDefault="001D5AF4" w:rsidP="001D5AF4">
      <w:pPr>
        <w:spacing w:line="360" w:lineRule="auto"/>
        <w:jc w:val="both"/>
        <w:rPr>
          <w:rFonts w:ascii="Palatino Linotype" w:eastAsia="Palatino Linotype" w:hAnsi="Palatino Linotype" w:cs="Palatino Linotype"/>
          <w:sz w:val="22"/>
          <w:szCs w:val="22"/>
        </w:rPr>
      </w:pPr>
    </w:p>
    <w:p w14:paraId="094C6842" w14:textId="77777777" w:rsidR="001D5AF4" w:rsidRDefault="001D5AF4" w:rsidP="001D5AF4">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su parte el Artículo 49, indica que el documento de seguridad deberá contener por lo menos lo siguiente:</w:t>
      </w:r>
    </w:p>
    <w:p w14:paraId="5348618D" w14:textId="77777777" w:rsidR="001D5AF4" w:rsidRDefault="001D5AF4" w:rsidP="001D5AF4">
      <w:pPr>
        <w:spacing w:line="360" w:lineRule="auto"/>
        <w:jc w:val="both"/>
        <w:rPr>
          <w:rFonts w:ascii="Palatino Linotype" w:eastAsia="Palatino Linotype" w:hAnsi="Palatino Linotype" w:cs="Palatino Linotype"/>
          <w:sz w:val="22"/>
          <w:szCs w:val="22"/>
        </w:rPr>
      </w:pPr>
    </w:p>
    <w:p w14:paraId="1AD33332" w14:textId="77777777" w:rsidR="001D5AF4" w:rsidRDefault="001D5AF4" w:rsidP="001D5AF4">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I. Respecto de los sistemas de datos personales: </w:t>
      </w:r>
    </w:p>
    <w:p w14:paraId="10C6FB2D" w14:textId="77777777" w:rsidR="007C5F15" w:rsidRDefault="007C5F15" w:rsidP="001D5AF4">
      <w:pPr>
        <w:spacing w:line="360" w:lineRule="auto"/>
        <w:jc w:val="both"/>
        <w:rPr>
          <w:rFonts w:ascii="Palatino Linotype" w:eastAsia="Palatino Linotype" w:hAnsi="Palatino Linotype" w:cs="Palatino Linotype"/>
          <w:sz w:val="22"/>
          <w:szCs w:val="22"/>
        </w:rPr>
      </w:pPr>
    </w:p>
    <w:p w14:paraId="335FB7E4" w14:textId="77777777" w:rsidR="001D5AF4" w:rsidRDefault="001D5AF4" w:rsidP="001D5AF4">
      <w:pPr>
        <w:spacing w:line="360" w:lineRule="auto"/>
        <w:ind w:firstLine="70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 El nombre. </w:t>
      </w:r>
    </w:p>
    <w:p w14:paraId="7A1E7E8A" w14:textId="77777777" w:rsidR="001D5AF4" w:rsidRDefault="001D5AF4" w:rsidP="001D5AF4">
      <w:pPr>
        <w:spacing w:line="360" w:lineRule="auto"/>
        <w:ind w:firstLine="70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b) El nombre, cargo y adscripción del administrador de cada sistema y base de datos. </w:t>
      </w:r>
    </w:p>
    <w:p w14:paraId="7EE976BB" w14:textId="77777777" w:rsidR="001D5AF4" w:rsidRDefault="001D5AF4" w:rsidP="001D5AF4">
      <w:pPr>
        <w:spacing w:line="360" w:lineRule="auto"/>
        <w:ind w:left="70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 Las funciones y obligaciones del responsable, encargado o encargados y todas las personas que traten datos personales. </w:t>
      </w:r>
    </w:p>
    <w:p w14:paraId="5D7CD4D9" w14:textId="77777777" w:rsidR="001D5AF4" w:rsidRDefault="001D5AF4" w:rsidP="001D5AF4">
      <w:pPr>
        <w:spacing w:line="360" w:lineRule="auto"/>
        <w:ind w:firstLine="70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 El folio del registro del sistema y base de datos. </w:t>
      </w:r>
    </w:p>
    <w:p w14:paraId="18FE7ED9" w14:textId="77777777" w:rsidR="001D5AF4" w:rsidRDefault="001D5AF4" w:rsidP="001D5AF4">
      <w:pPr>
        <w:spacing w:line="360" w:lineRule="auto"/>
        <w:ind w:firstLine="70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 El inventario o la especificación detallada del tipo de datos personales contenidos. </w:t>
      </w:r>
    </w:p>
    <w:p w14:paraId="76550187" w14:textId="77777777" w:rsidR="001D5AF4" w:rsidRDefault="001D5AF4" w:rsidP="001D5AF4">
      <w:pPr>
        <w:spacing w:line="360" w:lineRule="auto"/>
        <w:ind w:left="70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f) La estructura y descripción de los sistemas y bases de datos personales, lo cual consiste en precisar y describir el tipo de soporte, así como las características del lugar donde se resguardan. </w:t>
      </w:r>
    </w:p>
    <w:p w14:paraId="6E7E265C" w14:textId="77777777" w:rsidR="007C5F15" w:rsidRDefault="007C5F15" w:rsidP="001D5AF4">
      <w:pPr>
        <w:spacing w:line="360" w:lineRule="auto"/>
        <w:jc w:val="both"/>
        <w:rPr>
          <w:rFonts w:ascii="Palatino Linotype" w:eastAsia="Palatino Linotype" w:hAnsi="Palatino Linotype" w:cs="Palatino Linotype"/>
          <w:sz w:val="22"/>
          <w:szCs w:val="22"/>
        </w:rPr>
      </w:pPr>
    </w:p>
    <w:p w14:paraId="362888D0" w14:textId="41F85268" w:rsidR="001D5AF4" w:rsidRDefault="001D5AF4" w:rsidP="001D5AF4">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II. Respecto de las medidas de seguridad implementadas deberá incluir lo siguiente: </w:t>
      </w:r>
    </w:p>
    <w:p w14:paraId="4C155546" w14:textId="77777777" w:rsidR="001D5AF4" w:rsidRDefault="001D5AF4" w:rsidP="001D5AF4">
      <w:pPr>
        <w:spacing w:line="360" w:lineRule="auto"/>
        <w:ind w:firstLine="70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 Transferencia y remisiones. </w:t>
      </w:r>
    </w:p>
    <w:p w14:paraId="697543BB" w14:textId="77777777" w:rsidR="001D5AF4" w:rsidRDefault="001D5AF4" w:rsidP="001D5AF4">
      <w:pPr>
        <w:spacing w:line="360" w:lineRule="auto"/>
        <w:ind w:firstLine="70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b) Resguardo de soportes físicos y electrónicos. </w:t>
      </w:r>
    </w:p>
    <w:p w14:paraId="52B44CF3" w14:textId="77777777" w:rsidR="001D5AF4" w:rsidRDefault="001D5AF4" w:rsidP="001D5AF4">
      <w:pPr>
        <w:spacing w:line="360" w:lineRule="auto"/>
        <w:ind w:left="70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 Bitácoras para accesos, operación cotidiana y violaciones a la seguridad de los datos personales. </w:t>
      </w:r>
    </w:p>
    <w:p w14:paraId="69F8F552" w14:textId="77777777" w:rsidR="001D5AF4" w:rsidRDefault="001D5AF4" w:rsidP="001D5AF4">
      <w:pPr>
        <w:spacing w:line="360" w:lineRule="auto"/>
        <w:ind w:firstLine="70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 El análisis de riesgos. </w:t>
      </w:r>
    </w:p>
    <w:p w14:paraId="0EE82BF9" w14:textId="77777777" w:rsidR="001D5AF4" w:rsidRDefault="001D5AF4" w:rsidP="001D5AF4">
      <w:pPr>
        <w:spacing w:line="360" w:lineRule="auto"/>
        <w:ind w:firstLine="70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 El análisis de brecha. </w:t>
      </w:r>
    </w:p>
    <w:p w14:paraId="7BEBB97C" w14:textId="77777777" w:rsidR="001D5AF4" w:rsidRDefault="001D5AF4" w:rsidP="001D5AF4">
      <w:pPr>
        <w:spacing w:line="360" w:lineRule="auto"/>
        <w:ind w:firstLine="70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f) Gestión de incidentes. </w:t>
      </w:r>
    </w:p>
    <w:p w14:paraId="1D37B592" w14:textId="77777777" w:rsidR="001D5AF4" w:rsidRDefault="001D5AF4" w:rsidP="001D5AF4">
      <w:pPr>
        <w:spacing w:line="360" w:lineRule="auto"/>
        <w:ind w:firstLine="70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g) Acceso a las instalaciones. </w:t>
      </w:r>
    </w:p>
    <w:p w14:paraId="7D3D6EB0" w14:textId="77777777" w:rsidR="001D5AF4" w:rsidRDefault="001D5AF4" w:rsidP="001D5AF4">
      <w:pPr>
        <w:spacing w:line="360" w:lineRule="auto"/>
        <w:ind w:firstLine="70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h) Identificación y autenticación. </w:t>
      </w:r>
    </w:p>
    <w:p w14:paraId="38CC4F2C" w14:textId="77777777" w:rsidR="001D5AF4" w:rsidRDefault="001D5AF4" w:rsidP="001D5AF4">
      <w:pPr>
        <w:spacing w:line="360" w:lineRule="auto"/>
        <w:ind w:firstLine="70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i) Procedimientos de respaldo y recuperación de datos.</w:t>
      </w:r>
    </w:p>
    <w:p w14:paraId="110620EE" w14:textId="77777777" w:rsidR="001D5AF4" w:rsidRDefault="001D5AF4" w:rsidP="001D5AF4">
      <w:pPr>
        <w:spacing w:line="360" w:lineRule="auto"/>
        <w:ind w:firstLine="70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j) Plan de contingencia. </w:t>
      </w:r>
    </w:p>
    <w:p w14:paraId="332A0B0D" w14:textId="77777777" w:rsidR="001D5AF4" w:rsidRDefault="001D5AF4" w:rsidP="001D5AF4">
      <w:pPr>
        <w:spacing w:line="360" w:lineRule="auto"/>
        <w:ind w:firstLine="70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k) Auditorías.</w:t>
      </w:r>
    </w:p>
    <w:p w14:paraId="6EF6BB3A" w14:textId="77777777" w:rsidR="001D5AF4" w:rsidRDefault="001D5AF4" w:rsidP="001D5AF4">
      <w:pPr>
        <w:spacing w:line="360" w:lineRule="auto"/>
        <w:ind w:firstLine="70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l) Supresión y borrado seguro de datos. </w:t>
      </w:r>
    </w:p>
    <w:p w14:paraId="0A79812E" w14:textId="77777777" w:rsidR="001D5AF4" w:rsidRDefault="001D5AF4" w:rsidP="001D5AF4">
      <w:pPr>
        <w:spacing w:line="360" w:lineRule="auto"/>
        <w:ind w:firstLine="70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m) El plan de trabajo.</w:t>
      </w:r>
    </w:p>
    <w:p w14:paraId="725D84C5" w14:textId="77777777" w:rsidR="001D5AF4" w:rsidRDefault="001D5AF4" w:rsidP="001D5AF4">
      <w:pPr>
        <w:spacing w:line="360" w:lineRule="auto"/>
        <w:ind w:firstLine="70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n) Los mecanismos de monitoreo y revisión de las medidas de seguridad. </w:t>
      </w:r>
    </w:p>
    <w:p w14:paraId="08BB6937" w14:textId="77777777" w:rsidR="001D5AF4" w:rsidRDefault="001D5AF4" w:rsidP="001D5AF4">
      <w:pPr>
        <w:spacing w:line="360" w:lineRule="auto"/>
        <w:ind w:firstLine="70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o) El programa general de capacitación</w:t>
      </w:r>
    </w:p>
    <w:p w14:paraId="18C008F9" w14:textId="77777777" w:rsidR="001D5AF4" w:rsidRDefault="001D5AF4" w:rsidP="001D5AF4">
      <w:pPr>
        <w:spacing w:line="360" w:lineRule="auto"/>
        <w:jc w:val="both"/>
        <w:rPr>
          <w:rFonts w:ascii="Palatino Linotype" w:eastAsia="Palatino Linotype" w:hAnsi="Palatino Linotype" w:cs="Palatino Linotype"/>
          <w:sz w:val="22"/>
          <w:szCs w:val="22"/>
        </w:rPr>
      </w:pPr>
    </w:p>
    <w:p w14:paraId="1A24EF75" w14:textId="77777777" w:rsidR="001D5AF4" w:rsidRDefault="001D5AF4" w:rsidP="001D5AF4">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Además, el artículo 50 de la Ley en estudio, establece que el responsable revisará el documento de seguridad de manera periódica y actualizarlo cuando suceda lo siguiente:</w:t>
      </w:r>
    </w:p>
    <w:p w14:paraId="16031B6C" w14:textId="77777777" w:rsidR="001D5AF4" w:rsidRDefault="001D5AF4" w:rsidP="001D5AF4">
      <w:pPr>
        <w:spacing w:line="360" w:lineRule="auto"/>
        <w:jc w:val="both"/>
        <w:rPr>
          <w:rFonts w:ascii="Palatino Linotype" w:eastAsia="Palatino Linotype" w:hAnsi="Palatino Linotype" w:cs="Palatino Linotype"/>
          <w:sz w:val="22"/>
          <w:szCs w:val="22"/>
        </w:rPr>
      </w:pPr>
    </w:p>
    <w:p w14:paraId="103FAF64" w14:textId="77777777" w:rsidR="001D5AF4" w:rsidRDefault="001D5AF4" w:rsidP="001D5AF4">
      <w:pPr>
        <w:spacing w:line="360" w:lineRule="auto"/>
        <w:ind w:left="70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I. Se produzcan modificaciones sustanciales al tratamiento de datos personales que deriven en un cambio en el nivel de riesgo. </w:t>
      </w:r>
    </w:p>
    <w:p w14:paraId="763848CC" w14:textId="77777777" w:rsidR="001D5AF4" w:rsidRDefault="001D5AF4" w:rsidP="001D5AF4">
      <w:pPr>
        <w:spacing w:line="360" w:lineRule="auto"/>
        <w:ind w:left="70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II. Como resultado de un proceso de mejora continua, derivado del monitoreo y revisión del sistema de gestión. </w:t>
      </w:r>
    </w:p>
    <w:p w14:paraId="684DA029" w14:textId="77777777" w:rsidR="001D5AF4" w:rsidRDefault="001D5AF4" w:rsidP="001D5AF4">
      <w:pPr>
        <w:spacing w:line="360" w:lineRule="auto"/>
        <w:ind w:left="70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III. Como resultado de un proceso de mejora para mitigar el impacto de una vulneración a la seguridad ocurrida. </w:t>
      </w:r>
    </w:p>
    <w:p w14:paraId="05062E06" w14:textId="77777777" w:rsidR="001D5AF4" w:rsidRDefault="001D5AF4" w:rsidP="001D5AF4">
      <w:pPr>
        <w:spacing w:line="360" w:lineRule="auto"/>
        <w:ind w:left="70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IV. Implementación de acciones correctivas y preventivas ante una violación de la seguridad de los datos personales.  </w:t>
      </w:r>
    </w:p>
    <w:p w14:paraId="59204996" w14:textId="77777777" w:rsidR="001D5AF4" w:rsidRDefault="001D5AF4" w:rsidP="001D5AF4">
      <w:pPr>
        <w:spacing w:line="360" w:lineRule="auto"/>
        <w:jc w:val="both"/>
        <w:rPr>
          <w:rFonts w:ascii="Palatino Linotype" w:eastAsia="Palatino Linotype" w:hAnsi="Palatino Linotype" w:cs="Palatino Linotype"/>
          <w:sz w:val="22"/>
          <w:szCs w:val="22"/>
        </w:rPr>
      </w:pPr>
    </w:p>
    <w:p w14:paraId="4C24FE3F" w14:textId="014291BC" w:rsidR="001D5AF4" w:rsidRDefault="001D5AF4" w:rsidP="001D5AF4">
      <w:pPr>
        <w:spacing w:line="360" w:lineRule="auto"/>
        <w:contextualSpacing/>
        <w:jc w:val="both"/>
        <w:rPr>
          <w:rFonts w:ascii="Palatino Linotype" w:hAnsi="Palatino Linotype" w:cs="Tahoma"/>
          <w:sz w:val="22"/>
          <w:szCs w:val="22"/>
        </w:rPr>
      </w:pPr>
      <w:r>
        <w:rPr>
          <w:rFonts w:ascii="Palatino Linotype" w:hAnsi="Palatino Linotype" w:cs="Tahoma"/>
          <w:bCs/>
          <w:iCs/>
          <w:sz w:val="22"/>
          <w:szCs w:val="22"/>
        </w:rPr>
        <w:t xml:space="preserve">Conforme a lo anterior, se logra colegir que el </w:t>
      </w:r>
      <w:r w:rsidRPr="00E56C68">
        <w:rPr>
          <w:rFonts w:ascii="Palatino Linotype" w:hAnsi="Palatino Linotype" w:cs="Tahoma"/>
          <w:sz w:val="22"/>
          <w:szCs w:val="22"/>
        </w:rPr>
        <w:t xml:space="preserve">Particular </w:t>
      </w:r>
      <w:r w:rsidR="00644611">
        <w:rPr>
          <w:rFonts w:ascii="Palatino Linotype" w:hAnsi="Palatino Linotype" w:cs="Tahoma"/>
          <w:sz w:val="22"/>
          <w:szCs w:val="22"/>
        </w:rPr>
        <w:t>pretende acceder a los documentos en los que se adviertan las unidades administrativas o dependencias</w:t>
      </w:r>
      <w:r w:rsidR="00F55523">
        <w:rPr>
          <w:rFonts w:ascii="Palatino Linotype" w:hAnsi="Palatino Linotype" w:cs="Tahoma"/>
          <w:sz w:val="22"/>
          <w:szCs w:val="22"/>
        </w:rPr>
        <w:t>, a las cuales la Secretaría de Seguridad transfiere datos personales</w:t>
      </w:r>
      <w:r>
        <w:rPr>
          <w:rFonts w:ascii="Palatino Linotype" w:hAnsi="Palatino Linotype" w:cs="Tahoma"/>
          <w:sz w:val="22"/>
          <w:szCs w:val="22"/>
        </w:rPr>
        <w:t xml:space="preserve">, al </w:t>
      </w:r>
      <w:r w:rsidR="00644611">
        <w:rPr>
          <w:rFonts w:ascii="Palatino Linotype" w:hAnsi="Palatino Linotype" w:cs="Tahoma"/>
          <w:sz w:val="22"/>
          <w:szCs w:val="22"/>
        </w:rPr>
        <w:t xml:space="preserve">nueve de septiembre </w:t>
      </w:r>
      <w:r>
        <w:rPr>
          <w:rFonts w:ascii="Palatino Linotype" w:hAnsi="Palatino Linotype" w:cs="Tahoma"/>
          <w:sz w:val="22"/>
          <w:szCs w:val="22"/>
        </w:rPr>
        <w:t>de dos mil veinticinco.</w:t>
      </w:r>
    </w:p>
    <w:p w14:paraId="423A9FC9" w14:textId="77777777" w:rsidR="001D5AF4" w:rsidRDefault="001D5AF4" w:rsidP="001D5AF4">
      <w:pPr>
        <w:widowControl w:val="0"/>
        <w:spacing w:line="360" w:lineRule="auto"/>
        <w:contextualSpacing/>
        <w:jc w:val="both"/>
        <w:rPr>
          <w:rFonts w:ascii="Palatino Linotype" w:eastAsia="Palatino Linotype" w:hAnsi="Palatino Linotype" w:cs="Palatino Linotype"/>
          <w:sz w:val="22"/>
          <w:szCs w:val="22"/>
        </w:rPr>
      </w:pPr>
    </w:p>
    <w:p w14:paraId="5E10C73F" w14:textId="77777777" w:rsidR="001D5AF4" w:rsidRDefault="001D5AF4" w:rsidP="001D5AF4">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 xml:space="preserve">Ahora bien, de las constancias que obran en el expediente, se logra vislumbrar que el Sujeto Obligado turnó la solicitud de información a la </w:t>
      </w:r>
      <w:r w:rsidR="00644611">
        <w:rPr>
          <w:rFonts w:ascii="Palatino Linotype" w:eastAsia="Palatino Linotype" w:hAnsi="Palatino Linotype" w:cs="Palatino Linotype"/>
          <w:sz w:val="22"/>
          <w:szCs w:val="22"/>
        </w:rPr>
        <w:t>Unidad de Información Planeación, Programación y Evaluación</w:t>
      </w:r>
      <w:r>
        <w:rPr>
          <w:rFonts w:ascii="Palatino Linotype" w:eastAsia="Palatino Linotype" w:hAnsi="Palatino Linotype" w:cs="Palatino Linotype"/>
          <w:sz w:val="22"/>
          <w:szCs w:val="22"/>
        </w:rPr>
        <w:t xml:space="preserve">, por lo que resulta necesario hacer referencia al procedimiento de búsqueda que deben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a las </w:t>
      </w:r>
      <w:r>
        <w:rPr>
          <w:rFonts w:ascii="Palatino Linotype" w:eastAsia="Palatino Linotype" w:hAnsi="Palatino Linotype" w:cs="Palatino Linotype"/>
          <w:sz w:val="22"/>
          <w:szCs w:val="22"/>
        </w:rPr>
        <w:lastRenderedPageBreak/>
        <w:t>facultades, competencias y funciones-, con el objeto de que dichas áreas realicen una búsqueda exhaustiva y razonable de la información requerida.</w:t>
      </w:r>
    </w:p>
    <w:p w14:paraId="44B8A4F0" w14:textId="77777777" w:rsidR="001D5AF4" w:rsidRDefault="001D5AF4" w:rsidP="001D5AF4">
      <w:pPr>
        <w:widowControl w:val="0"/>
        <w:spacing w:line="360" w:lineRule="auto"/>
        <w:contextualSpacing/>
        <w:jc w:val="both"/>
        <w:rPr>
          <w:rFonts w:ascii="Palatino Linotype" w:hAnsi="Palatino Linotype" w:cs="Tahoma"/>
          <w:bCs/>
          <w:iCs/>
          <w:sz w:val="22"/>
          <w:szCs w:val="22"/>
          <w:lang w:val="es-ES"/>
        </w:rPr>
      </w:pPr>
    </w:p>
    <w:p w14:paraId="7A9C57FC" w14:textId="77777777" w:rsidR="001D5AF4" w:rsidRDefault="001D5AF4" w:rsidP="001D5AF4">
      <w:pPr>
        <w:tabs>
          <w:tab w:val="left" w:pos="4962"/>
        </w:tabs>
        <w:spacing w:line="360" w:lineRule="auto"/>
        <w:contextualSpacing/>
        <w:jc w:val="both"/>
        <w:rPr>
          <w:rFonts w:ascii="Palatino Linotype" w:eastAsia="Palatino Linotype" w:hAnsi="Palatino Linotype" w:cs="Palatino Linotype"/>
          <w:sz w:val="22"/>
          <w:szCs w:val="22"/>
        </w:rPr>
      </w:pPr>
      <w:r>
        <w:rPr>
          <w:rFonts w:ascii="Palatino Linotype" w:hAnsi="Palatino Linotype"/>
          <w:bCs/>
          <w:sz w:val="22"/>
          <w:szCs w:val="22"/>
        </w:rPr>
        <w:t xml:space="preserve">En este contexto, resulta oportuno traer a estudio </w:t>
      </w:r>
      <w:r w:rsidR="00644611">
        <w:rPr>
          <w:rFonts w:ascii="Palatino Linotype" w:hAnsi="Palatino Linotype"/>
          <w:bCs/>
          <w:sz w:val="22"/>
          <w:szCs w:val="22"/>
        </w:rPr>
        <w:t>e</w:t>
      </w:r>
      <w:r>
        <w:rPr>
          <w:rFonts w:ascii="Palatino Linotype" w:hAnsi="Palatino Linotype"/>
          <w:bCs/>
          <w:sz w:val="22"/>
          <w:szCs w:val="22"/>
        </w:rPr>
        <w:t>l nu</w:t>
      </w:r>
      <w:r w:rsidR="00644611">
        <w:rPr>
          <w:rFonts w:ascii="Palatino Linotype" w:hAnsi="Palatino Linotype"/>
          <w:bCs/>
          <w:sz w:val="22"/>
          <w:szCs w:val="22"/>
        </w:rPr>
        <w:t>meral</w:t>
      </w:r>
      <w:r>
        <w:rPr>
          <w:rFonts w:ascii="Palatino Linotype" w:hAnsi="Palatino Linotype"/>
          <w:bCs/>
          <w:sz w:val="22"/>
          <w:szCs w:val="22"/>
        </w:rPr>
        <w:t xml:space="preserve"> </w:t>
      </w:r>
      <w:r w:rsidR="00644611" w:rsidRPr="00644611">
        <w:rPr>
          <w:rFonts w:ascii="Palatino Linotype" w:hAnsi="Palatino Linotype"/>
          <w:bCs/>
          <w:sz w:val="22"/>
          <w:szCs w:val="22"/>
        </w:rPr>
        <w:t xml:space="preserve">20600007000000S </w:t>
      </w:r>
      <w:r>
        <w:rPr>
          <w:rFonts w:ascii="Palatino Linotype" w:hAnsi="Palatino Linotype"/>
          <w:bCs/>
          <w:sz w:val="22"/>
          <w:szCs w:val="22"/>
        </w:rPr>
        <w:t>del Manual General de Organi</w:t>
      </w:r>
      <w:r w:rsidR="00644611">
        <w:rPr>
          <w:rFonts w:ascii="Palatino Linotype" w:hAnsi="Palatino Linotype"/>
          <w:bCs/>
          <w:sz w:val="22"/>
          <w:szCs w:val="22"/>
        </w:rPr>
        <w:t>zación de la Secretaría de Segur</w:t>
      </w:r>
      <w:r>
        <w:rPr>
          <w:rFonts w:ascii="Palatino Linotype" w:hAnsi="Palatino Linotype"/>
          <w:bCs/>
          <w:sz w:val="22"/>
          <w:szCs w:val="22"/>
        </w:rPr>
        <w:t>idad, en el cual se establece, que el Sujeto Obligado para el ejercicio de sus atribuciones, contará con diversas unidades</w:t>
      </w:r>
      <w:r w:rsidR="00644611">
        <w:rPr>
          <w:rFonts w:ascii="Palatino Linotype" w:hAnsi="Palatino Linotype"/>
          <w:bCs/>
          <w:sz w:val="22"/>
          <w:szCs w:val="22"/>
        </w:rPr>
        <w:t xml:space="preserve"> administrativas entre otras la </w:t>
      </w:r>
      <w:r w:rsidR="00644611" w:rsidRPr="00644611">
        <w:rPr>
          <w:rFonts w:ascii="Palatino Linotype" w:eastAsia="Palatino Linotype" w:hAnsi="Palatino Linotype" w:cs="Palatino Linotype"/>
          <w:b/>
          <w:sz w:val="22"/>
          <w:szCs w:val="22"/>
        </w:rPr>
        <w:t>Unidad de Información Planeación, Programación y Evaluación</w:t>
      </w:r>
      <w:r w:rsidR="00644611">
        <w:rPr>
          <w:rFonts w:ascii="Palatino Linotype" w:eastAsia="Palatino Linotype" w:hAnsi="Palatino Linotype" w:cs="Palatino Linotype"/>
          <w:b/>
          <w:sz w:val="22"/>
          <w:szCs w:val="22"/>
        </w:rPr>
        <w:t xml:space="preserve">; </w:t>
      </w:r>
      <w:r w:rsidR="00644611">
        <w:rPr>
          <w:rFonts w:ascii="Palatino Linotype" w:eastAsia="Palatino Linotype" w:hAnsi="Palatino Linotype" w:cs="Palatino Linotype"/>
          <w:sz w:val="22"/>
          <w:szCs w:val="22"/>
        </w:rPr>
        <w:t>Encargada de c</w:t>
      </w:r>
      <w:r w:rsidR="00644611" w:rsidRPr="00644611">
        <w:rPr>
          <w:rFonts w:ascii="Palatino Linotype" w:eastAsia="Palatino Linotype" w:hAnsi="Palatino Linotype" w:cs="Palatino Linotype"/>
          <w:sz w:val="22"/>
          <w:szCs w:val="22"/>
        </w:rPr>
        <w:t xml:space="preserve">ompilar, diagnosticar, sistematizar, procesar, emitir y conducir la información generada en los procesos de planeación, programación, evaluación, acceso a la información pública y protección de los datos personales en posesión de </w:t>
      </w:r>
      <w:r w:rsidR="00CE0C0B">
        <w:rPr>
          <w:rFonts w:ascii="Palatino Linotype" w:eastAsia="Palatino Linotype" w:hAnsi="Palatino Linotype" w:cs="Palatino Linotype"/>
          <w:sz w:val="22"/>
          <w:szCs w:val="22"/>
        </w:rPr>
        <w:t>la</w:t>
      </w:r>
      <w:r w:rsidR="00644611" w:rsidRPr="00644611">
        <w:rPr>
          <w:rFonts w:ascii="Palatino Linotype" w:eastAsia="Palatino Linotype" w:hAnsi="Palatino Linotype" w:cs="Palatino Linotype"/>
          <w:sz w:val="22"/>
          <w:szCs w:val="22"/>
        </w:rPr>
        <w:t xml:space="preserve"> dependencia, así como las acciones relacionadas con la innovación y desarrollo administrativ</w:t>
      </w:r>
      <w:r w:rsidR="00CE0C0B">
        <w:rPr>
          <w:rFonts w:ascii="Palatino Linotype" w:eastAsia="Palatino Linotype" w:hAnsi="Palatino Linotype" w:cs="Palatino Linotype"/>
          <w:sz w:val="22"/>
          <w:szCs w:val="22"/>
        </w:rPr>
        <w:t>o de la Secretaría de Seguridad, para el ejercicio de sus atribuciones contará con diversas unidades administrativas entre otras el Departamento de Bases de Datos y de Información Pública de Oficio, quien en materia de datos personales contará con las atribuciones siguientes:</w:t>
      </w:r>
    </w:p>
    <w:p w14:paraId="5AE865B7" w14:textId="77777777" w:rsidR="00CE0C0B" w:rsidRDefault="00CE0C0B" w:rsidP="001D5AF4">
      <w:pPr>
        <w:tabs>
          <w:tab w:val="left" w:pos="4962"/>
        </w:tabs>
        <w:spacing w:line="360" w:lineRule="auto"/>
        <w:contextualSpacing/>
        <w:jc w:val="both"/>
        <w:rPr>
          <w:rFonts w:ascii="Palatino Linotype" w:eastAsia="Palatino Linotype" w:hAnsi="Palatino Linotype" w:cs="Palatino Linotype"/>
          <w:sz w:val="22"/>
          <w:szCs w:val="22"/>
        </w:rPr>
      </w:pPr>
    </w:p>
    <w:p w14:paraId="20931166" w14:textId="77777777" w:rsidR="00CE0C0B" w:rsidRDefault="00CE0C0B" w:rsidP="00CE0C0B">
      <w:pPr>
        <w:pStyle w:val="Prrafodelista"/>
        <w:numPr>
          <w:ilvl w:val="0"/>
          <w:numId w:val="45"/>
        </w:numPr>
        <w:tabs>
          <w:tab w:val="left" w:pos="4962"/>
        </w:tabs>
        <w:spacing w:line="360" w:lineRule="auto"/>
        <w:jc w:val="both"/>
        <w:rPr>
          <w:rFonts w:ascii="Palatino Linotype" w:hAnsi="Palatino Linotype"/>
          <w:bCs/>
          <w:sz w:val="22"/>
          <w:szCs w:val="22"/>
        </w:rPr>
      </w:pPr>
      <w:r w:rsidRPr="00CE0C0B">
        <w:rPr>
          <w:rFonts w:ascii="Palatino Linotype" w:hAnsi="Palatino Linotype"/>
          <w:bCs/>
          <w:sz w:val="22"/>
          <w:szCs w:val="22"/>
        </w:rPr>
        <w:t>Recopilar, con el apoyo de las personas servidoras públicas habilitadas de la Secretaría de Seguridad, la información pública de oficio, a fin de actualizar permanentemente el sistema que administra el Instituto de Transparencia, Acceso a la Información Pública y Protección de Datos Personales del Estado de México y Municipios.</w:t>
      </w:r>
    </w:p>
    <w:p w14:paraId="450F2975" w14:textId="77777777" w:rsidR="00CE0C0B" w:rsidRDefault="00CE0C0B" w:rsidP="00CE0C0B">
      <w:pPr>
        <w:pStyle w:val="Prrafodelista"/>
        <w:numPr>
          <w:ilvl w:val="0"/>
          <w:numId w:val="45"/>
        </w:numPr>
        <w:tabs>
          <w:tab w:val="left" w:pos="4962"/>
        </w:tabs>
        <w:spacing w:line="360" w:lineRule="auto"/>
        <w:jc w:val="both"/>
        <w:rPr>
          <w:rFonts w:ascii="Palatino Linotype" w:hAnsi="Palatino Linotype"/>
          <w:bCs/>
          <w:sz w:val="22"/>
          <w:szCs w:val="22"/>
        </w:rPr>
      </w:pPr>
      <w:r>
        <w:rPr>
          <w:rFonts w:ascii="Palatino Linotype" w:hAnsi="Palatino Linotype"/>
          <w:bCs/>
          <w:sz w:val="22"/>
          <w:szCs w:val="22"/>
        </w:rPr>
        <w:t>I</w:t>
      </w:r>
      <w:r w:rsidRPr="00CE0C0B">
        <w:rPr>
          <w:rFonts w:ascii="Palatino Linotype" w:hAnsi="Palatino Linotype"/>
          <w:bCs/>
          <w:sz w:val="22"/>
          <w:szCs w:val="22"/>
        </w:rPr>
        <w:t>ntegrar, verificar y actualizar los registros de las bases de datos personales existentes en las unidades administrativas de la Secretaría de Seguridad, y darlas de alta en el sistema que para este efecto ha implementado el Instituto de Transparencia, Acceso a la Información Pública y Protección de Datos Personales del Estado de México y Municipios.</w:t>
      </w:r>
    </w:p>
    <w:p w14:paraId="71B63834" w14:textId="77777777" w:rsidR="00CE0C0B" w:rsidRDefault="00CE0C0B" w:rsidP="00CE0C0B">
      <w:pPr>
        <w:pStyle w:val="Prrafodelista"/>
        <w:numPr>
          <w:ilvl w:val="0"/>
          <w:numId w:val="45"/>
        </w:numPr>
        <w:tabs>
          <w:tab w:val="left" w:pos="4962"/>
        </w:tabs>
        <w:spacing w:line="360" w:lineRule="auto"/>
        <w:jc w:val="both"/>
        <w:rPr>
          <w:rFonts w:ascii="Palatino Linotype" w:hAnsi="Palatino Linotype"/>
          <w:bCs/>
          <w:sz w:val="22"/>
          <w:szCs w:val="22"/>
        </w:rPr>
      </w:pPr>
      <w:r w:rsidRPr="00CE0C0B">
        <w:rPr>
          <w:rFonts w:ascii="Palatino Linotype" w:hAnsi="Palatino Linotype"/>
          <w:bCs/>
          <w:sz w:val="22"/>
          <w:szCs w:val="22"/>
        </w:rPr>
        <w:lastRenderedPageBreak/>
        <w:t>Gestionar con los administradores de las bases de datos a cargo de la Secretaría de Seguridad, la generación de lineamientos internos para el manejo, mantenimiento, seguridad y protección de datos personales, a fin de implementar medidas de seguridad y generar avisos de privacidad y documentos de seguridad, considerados por la legislación aplicable en la materia.</w:t>
      </w:r>
    </w:p>
    <w:p w14:paraId="769726C3" w14:textId="77777777" w:rsidR="00CE0C0B" w:rsidRPr="00CE0C0B" w:rsidRDefault="00CE0C0B" w:rsidP="00CE0C0B">
      <w:pPr>
        <w:pStyle w:val="Prrafodelista"/>
        <w:numPr>
          <w:ilvl w:val="0"/>
          <w:numId w:val="45"/>
        </w:numPr>
        <w:tabs>
          <w:tab w:val="left" w:pos="4962"/>
        </w:tabs>
        <w:spacing w:line="360" w:lineRule="auto"/>
        <w:jc w:val="both"/>
        <w:rPr>
          <w:rFonts w:ascii="Palatino Linotype" w:hAnsi="Palatino Linotype"/>
          <w:bCs/>
          <w:sz w:val="22"/>
          <w:szCs w:val="22"/>
        </w:rPr>
      </w:pPr>
      <w:r w:rsidRPr="00CE0C0B">
        <w:rPr>
          <w:rFonts w:ascii="Palatino Linotype" w:hAnsi="Palatino Linotype"/>
          <w:bCs/>
          <w:sz w:val="22"/>
          <w:szCs w:val="22"/>
        </w:rPr>
        <w:t>Difundir con las personas servidoras públicas habilitadas de la Secretaría de Seguridad, los criterios y lineamientos que emita el Instituto de Transparencia, Acceso a la Información Pública y Protección de Datos Personales del Estado de México y Municipios en materia de bases de datos y de información pública de oficio.</w:t>
      </w:r>
    </w:p>
    <w:p w14:paraId="1FB6FB0E" w14:textId="77777777" w:rsidR="001D5AF4" w:rsidRPr="008C5DDB" w:rsidRDefault="001D5AF4" w:rsidP="001D5AF4">
      <w:pPr>
        <w:spacing w:line="360" w:lineRule="auto"/>
        <w:jc w:val="both"/>
        <w:rPr>
          <w:rFonts w:ascii="Palatino Linotype" w:eastAsia="Palatino Linotype" w:hAnsi="Palatino Linotype" w:cs="Palatino Linotype"/>
          <w:sz w:val="22"/>
          <w:szCs w:val="22"/>
        </w:rPr>
      </w:pPr>
    </w:p>
    <w:p w14:paraId="49CA176F" w14:textId="77777777" w:rsidR="001D5AF4" w:rsidRDefault="001D5AF4" w:rsidP="001D5AF4">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Conforme a lo anterior se logra observar que el Sujeto Obligado, cumplió con el procedimiento de búsqueda previamente señalado al remitir la solicitud a las unidades administrativas encargadas de conocer sobre lo peticionado, por lo que, se considera que cumplió con el procedimiento de búsqueda establecido en el artículo 162 de la Ley de la materia.</w:t>
      </w:r>
    </w:p>
    <w:p w14:paraId="68F1E4DF" w14:textId="77777777" w:rsidR="001D5AF4" w:rsidRDefault="001D5AF4" w:rsidP="001D5AF4">
      <w:pPr>
        <w:spacing w:line="360" w:lineRule="auto"/>
        <w:contextualSpacing/>
        <w:jc w:val="both"/>
        <w:rPr>
          <w:rFonts w:ascii="Palatino Linotype" w:eastAsia="Palatino Linotype" w:hAnsi="Palatino Linotype" w:cs="Palatino Linotype"/>
          <w:sz w:val="22"/>
          <w:szCs w:val="22"/>
        </w:rPr>
      </w:pPr>
    </w:p>
    <w:p w14:paraId="22E64044" w14:textId="77777777" w:rsidR="00CE0C0B" w:rsidRDefault="001D5AF4" w:rsidP="00CE0C0B">
      <w:pPr>
        <w:spacing w:line="360" w:lineRule="auto"/>
        <w:contextualSpacing/>
        <w:jc w:val="both"/>
        <w:rPr>
          <w:rFonts w:ascii="Palatino Linotype" w:eastAsia="Palatino Linotype" w:hAnsi="Palatino Linotype" w:cs="Palatino Linotype"/>
          <w:bCs/>
          <w:iCs/>
          <w:color w:val="000000"/>
          <w:sz w:val="22"/>
          <w:szCs w:val="22"/>
        </w:rPr>
      </w:pPr>
      <w:r>
        <w:rPr>
          <w:rFonts w:ascii="Palatino Linotype" w:hAnsi="Palatino Linotype" w:cs="Tahoma"/>
          <w:sz w:val="22"/>
          <w:szCs w:val="22"/>
        </w:rPr>
        <w:t xml:space="preserve">Ahora bien, en respuesta </w:t>
      </w:r>
      <w:r w:rsidR="00CE0C0B">
        <w:rPr>
          <w:rFonts w:ascii="Palatino Linotype" w:hAnsi="Palatino Linotype" w:cs="Tahoma"/>
          <w:sz w:val="22"/>
          <w:szCs w:val="22"/>
        </w:rPr>
        <w:t xml:space="preserve">como a través del informe justificado remitió un enlace en formato cerrado así como el procedimiento para acceder a la información solicitada, </w:t>
      </w:r>
      <w:r w:rsidR="00CE0C0B">
        <w:rPr>
          <w:rFonts w:ascii="Palatino Linotype" w:eastAsia="Calibri" w:hAnsi="Palatino Linotype" w:cs="Tahoma"/>
          <w:bCs/>
          <w:color w:val="000000"/>
          <w:sz w:val="22"/>
          <w:szCs w:val="22"/>
        </w:rPr>
        <w:t xml:space="preserve">sin embargo, </w:t>
      </w:r>
      <w:r w:rsidR="00CE0C0B" w:rsidRPr="000B60F0">
        <w:rPr>
          <w:rFonts w:ascii="Palatino Linotype" w:eastAsia="Palatino Linotype" w:hAnsi="Palatino Linotype" w:cs="Palatino Linotype"/>
          <w:bCs/>
          <w:iCs/>
          <w:color w:val="000000"/>
          <w:sz w:val="22"/>
          <w:szCs w:val="22"/>
        </w:rPr>
        <w:t>dicho enlace, no se puede</w:t>
      </w:r>
      <w:r w:rsidR="00CE0C0B">
        <w:rPr>
          <w:rFonts w:ascii="Palatino Linotype" w:eastAsia="Palatino Linotype" w:hAnsi="Palatino Linotype" w:cs="Palatino Linotype"/>
          <w:bCs/>
          <w:iCs/>
          <w:color w:val="000000"/>
          <w:sz w:val="22"/>
          <w:szCs w:val="22"/>
        </w:rPr>
        <w:t>n</w:t>
      </w:r>
      <w:r w:rsidR="00CE0C0B" w:rsidRPr="000B60F0">
        <w:rPr>
          <w:rFonts w:ascii="Palatino Linotype" w:eastAsia="Palatino Linotype" w:hAnsi="Palatino Linotype" w:cs="Palatino Linotype"/>
          <w:bCs/>
          <w:iCs/>
          <w:color w:val="000000"/>
          <w:sz w:val="22"/>
          <w:szCs w:val="22"/>
        </w:rPr>
        <w:t xml:space="preserve"> copiar y pegar para tener acceso</w:t>
      </w:r>
      <w:r w:rsidR="00CE0C0B">
        <w:rPr>
          <w:rFonts w:ascii="Palatino Linotype" w:eastAsia="Palatino Linotype" w:hAnsi="Palatino Linotype" w:cs="Palatino Linotype"/>
          <w:bCs/>
          <w:iCs/>
          <w:color w:val="000000"/>
          <w:sz w:val="22"/>
          <w:szCs w:val="22"/>
        </w:rPr>
        <w:t>.</w:t>
      </w:r>
      <w:r w:rsidR="00CE0C0B" w:rsidRPr="000B60F0">
        <w:rPr>
          <w:rFonts w:ascii="Palatino Linotype" w:eastAsia="Palatino Linotype" w:hAnsi="Palatino Linotype" w:cs="Palatino Linotype"/>
          <w:bCs/>
          <w:iCs/>
          <w:color w:val="000000"/>
          <w:sz w:val="22"/>
          <w:szCs w:val="22"/>
        </w:rPr>
        <w:t xml:space="preserve"> </w:t>
      </w:r>
    </w:p>
    <w:p w14:paraId="763C30D7" w14:textId="77777777" w:rsidR="00CE0C0B" w:rsidRDefault="00CE0C0B" w:rsidP="00CE0C0B">
      <w:pPr>
        <w:spacing w:line="360" w:lineRule="auto"/>
        <w:contextualSpacing/>
        <w:jc w:val="both"/>
        <w:rPr>
          <w:rFonts w:ascii="Palatino Linotype" w:eastAsia="Palatino Linotype" w:hAnsi="Palatino Linotype" w:cs="Palatino Linotype"/>
          <w:bCs/>
          <w:iCs/>
          <w:color w:val="000000"/>
          <w:sz w:val="22"/>
          <w:szCs w:val="22"/>
        </w:rPr>
      </w:pPr>
    </w:p>
    <w:p w14:paraId="7E2A9486" w14:textId="77777777" w:rsidR="00CE0C0B" w:rsidRPr="000B60F0" w:rsidRDefault="00CE0C0B" w:rsidP="00CE0C0B">
      <w:pPr>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Cs/>
          <w:iCs/>
          <w:color w:val="000000"/>
          <w:sz w:val="22"/>
          <w:szCs w:val="22"/>
        </w:rPr>
        <w:t>S</w:t>
      </w:r>
      <w:r w:rsidRPr="000B60F0">
        <w:rPr>
          <w:rFonts w:ascii="Palatino Linotype" w:eastAsia="Palatino Linotype" w:hAnsi="Palatino Linotype" w:cs="Palatino Linotype"/>
          <w:bCs/>
          <w:iCs/>
          <w:color w:val="000000"/>
          <w:sz w:val="22"/>
          <w:szCs w:val="22"/>
        </w:rPr>
        <w:t xml:space="preserve">obre el tema, Trujillo, Humberto (2019), en el “Diccionario de Transparencia y Acceso a la Información Pública” (p. 136 y 137), precisa que cuando un Sujeto Obligado proporciona información pública de manera electrónica es necesario garantizar su interoperabilidad, lo cual se traduce al hecho a que la información contenga datos en formatos y estándares </w:t>
      </w:r>
      <w:r w:rsidRPr="000B60F0">
        <w:rPr>
          <w:rFonts w:ascii="Palatino Linotype" w:eastAsia="Palatino Linotype" w:hAnsi="Palatino Linotype" w:cs="Palatino Linotype"/>
          <w:bCs/>
          <w:iCs/>
          <w:color w:val="000000"/>
          <w:sz w:val="22"/>
          <w:szCs w:val="22"/>
        </w:rPr>
        <w:lastRenderedPageBreak/>
        <w:t>abiertos para su reproducción y reutilización electrónica de manera libre y sin ninguna restricción.</w:t>
      </w:r>
    </w:p>
    <w:p w14:paraId="4290D297" w14:textId="77777777" w:rsidR="00CE0C0B" w:rsidRPr="000B60F0" w:rsidRDefault="00CE0C0B" w:rsidP="00CE0C0B">
      <w:pPr>
        <w:spacing w:line="360" w:lineRule="auto"/>
        <w:contextualSpacing/>
        <w:jc w:val="both"/>
        <w:rPr>
          <w:rFonts w:ascii="Palatino Linotype" w:eastAsia="Palatino Linotype" w:hAnsi="Palatino Linotype" w:cs="Palatino Linotype"/>
          <w:bCs/>
          <w:iCs/>
          <w:color w:val="000000"/>
          <w:sz w:val="22"/>
          <w:szCs w:val="22"/>
        </w:rPr>
      </w:pPr>
      <w:r w:rsidRPr="000B60F0">
        <w:rPr>
          <w:rFonts w:ascii="Palatino Linotype" w:eastAsia="Palatino Linotype" w:hAnsi="Palatino Linotype" w:cs="Palatino Linotype"/>
          <w:bCs/>
          <w:iCs/>
          <w:color w:val="000000"/>
          <w:sz w:val="22"/>
          <w:szCs w:val="22"/>
        </w:rPr>
        <w:t xml:space="preserve"> </w:t>
      </w:r>
    </w:p>
    <w:p w14:paraId="48EBB2B6" w14:textId="77777777" w:rsidR="00CE0C0B" w:rsidRPr="000B60F0" w:rsidRDefault="00CE0C0B" w:rsidP="00CE0C0B">
      <w:pPr>
        <w:spacing w:line="360" w:lineRule="auto"/>
        <w:contextualSpacing/>
        <w:jc w:val="both"/>
        <w:rPr>
          <w:rFonts w:ascii="Palatino Linotype" w:eastAsia="Palatino Linotype" w:hAnsi="Palatino Linotype" w:cs="Palatino Linotype"/>
          <w:bCs/>
          <w:iCs/>
          <w:color w:val="000000"/>
          <w:sz w:val="22"/>
          <w:szCs w:val="22"/>
        </w:rPr>
      </w:pPr>
      <w:r w:rsidRPr="000B60F0">
        <w:rPr>
          <w:rFonts w:ascii="Palatino Linotype" w:eastAsia="Palatino Linotype" w:hAnsi="Palatino Linotype" w:cs="Palatino Linotype"/>
          <w:bCs/>
          <w:iCs/>
          <w:color w:val="000000"/>
          <w:sz w:val="22"/>
          <w:szCs w:val="22"/>
        </w:rPr>
        <w:t>Asimismo, establece que al proporcionar información pública es necesario que sea en un formato que no tenga ninguna restricción en el acceso o reutilización, por lo que, es necesario que los datos digitales (como ligas electrónicas), se proporcionen en un formato abierto.</w:t>
      </w:r>
    </w:p>
    <w:p w14:paraId="1533D161" w14:textId="77777777" w:rsidR="00CE0C0B" w:rsidRPr="000B60F0" w:rsidRDefault="00CE0C0B" w:rsidP="00CE0C0B">
      <w:pPr>
        <w:spacing w:line="360" w:lineRule="auto"/>
        <w:contextualSpacing/>
        <w:jc w:val="both"/>
        <w:rPr>
          <w:rFonts w:ascii="Palatino Linotype" w:eastAsia="Palatino Linotype" w:hAnsi="Palatino Linotype" w:cs="Palatino Linotype"/>
          <w:bCs/>
          <w:iCs/>
          <w:color w:val="000000"/>
          <w:sz w:val="22"/>
          <w:szCs w:val="22"/>
        </w:rPr>
      </w:pPr>
      <w:r w:rsidRPr="000B60F0">
        <w:rPr>
          <w:rFonts w:ascii="Palatino Linotype" w:eastAsia="Palatino Linotype" w:hAnsi="Palatino Linotype" w:cs="Palatino Linotype"/>
          <w:bCs/>
          <w:iCs/>
          <w:color w:val="000000"/>
          <w:sz w:val="22"/>
          <w:szCs w:val="22"/>
        </w:rPr>
        <w:t xml:space="preserve"> </w:t>
      </w:r>
    </w:p>
    <w:p w14:paraId="7FF420DE" w14:textId="77777777" w:rsidR="00CE0C0B" w:rsidRPr="000B60F0" w:rsidRDefault="00CE0C0B" w:rsidP="00CE0C0B">
      <w:pPr>
        <w:spacing w:line="360" w:lineRule="auto"/>
        <w:contextualSpacing/>
        <w:jc w:val="both"/>
        <w:rPr>
          <w:rFonts w:ascii="Palatino Linotype" w:eastAsia="Palatino Linotype" w:hAnsi="Palatino Linotype" w:cs="Palatino Linotype"/>
          <w:bCs/>
          <w:iCs/>
          <w:color w:val="000000"/>
          <w:sz w:val="22"/>
          <w:szCs w:val="22"/>
        </w:rPr>
      </w:pPr>
      <w:r w:rsidRPr="000B60F0">
        <w:rPr>
          <w:rFonts w:ascii="Palatino Linotype" w:eastAsia="Palatino Linotype" w:hAnsi="Palatino Linotype" w:cs="Palatino Linotype"/>
          <w:bCs/>
          <w:iCs/>
          <w:color w:val="000000"/>
          <w:sz w:val="22"/>
          <w:szCs w:val="22"/>
        </w:rPr>
        <w:t>En ese contexto, el artículo 3°, fracciones VIII y XVI de la Ley de Transparencia y Acceso a la Información Pública del Estado de México y Municipios, precisan lo siguiente:</w:t>
      </w:r>
    </w:p>
    <w:p w14:paraId="539DF269" w14:textId="77777777" w:rsidR="00CE0C0B" w:rsidRPr="000B60F0" w:rsidRDefault="00CE0C0B" w:rsidP="00CE0C0B">
      <w:pPr>
        <w:spacing w:line="360" w:lineRule="auto"/>
        <w:contextualSpacing/>
        <w:jc w:val="both"/>
        <w:rPr>
          <w:rFonts w:ascii="Palatino Linotype" w:eastAsia="Palatino Linotype" w:hAnsi="Palatino Linotype" w:cs="Palatino Linotype"/>
          <w:bCs/>
          <w:iCs/>
          <w:color w:val="000000"/>
          <w:sz w:val="22"/>
          <w:szCs w:val="22"/>
        </w:rPr>
      </w:pPr>
      <w:r w:rsidRPr="000B60F0">
        <w:rPr>
          <w:rFonts w:ascii="Palatino Linotype" w:eastAsia="Palatino Linotype" w:hAnsi="Palatino Linotype" w:cs="Palatino Linotype"/>
          <w:bCs/>
          <w:iCs/>
          <w:color w:val="000000"/>
          <w:sz w:val="22"/>
          <w:szCs w:val="22"/>
        </w:rPr>
        <w:t xml:space="preserve"> </w:t>
      </w:r>
    </w:p>
    <w:p w14:paraId="6D699975" w14:textId="77777777" w:rsidR="00CE0C0B" w:rsidRPr="000B60F0" w:rsidRDefault="00CE0C0B" w:rsidP="00CE0C0B">
      <w:pPr>
        <w:numPr>
          <w:ilvl w:val="0"/>
          <w:numId w:val="46"/>
        </w:numPr>
        <w:spacing w:line="360" w:lineRule="auto"/>
        <w:contextualSpacing/>
        <w:jc w:val="both"/>
        <w:rPr>
          <w:rFonts w:ascii="Palatino Linotype" w:eastAsia="Palatino Linotype" w:hAnsi="Palatino Linotype" w:cs="Palatino Linotype"/>
          <w:b/>
          <w:iCs/>
          <w:color w:val="000000"/>
          <w:sz w:val="22"/>
          <w:szCs w:val="22"/>
        </w:rPr>
      </w:pPr>
      <w:r w:rsidRPr="000B60F0">
        <w:rPr>
          <w:rFonts w:ascii="Palatino Linotype" w:eastAsia="Palatino Linotype" w:hAnsi="Palatino Linotype" w:cs="Palatino Linotype"/>
          <w:b/>
          <w:iCs/>
          <w:color w:val="000000"/>
          <w:sz w:val="22"/>
          <w:szCs w:val="22"/>
        </w:rPr>
        <w:t xml:space="preserve">Dato abierto: </w:t>
      </w:r>
      <w:r w:rsidRPr="000B60F0">
        <w:rPr>
          <w:rFonts w:ascii="Palatino Linotype" w:eastAsia="Palatino Linotype" w:hAnsi="Palatino Linotype" w:cs="Palatino Linotype"/>
          <w:bCs/>
          <w:iCs/>
          <w:color w:val="000000"/>
          <w:sz w:val="22"/>
          <w:szCs w:val="22"/>
        </w:rPr>
        <w:t>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07310C40" w14:textId="77777777" w:rsidR="00CE0C0B" w:rsidRPr="000B60F0" w:rsidRDefault="00CE0C0B" w:rsidP="00CE0C0B">
      <w:pPr>
        <w:spacing w:line="360" w:lineRule="auto"/>
        <w:contextualSpacing/>
        <w:jc w:val="both"/>
        <w:rPr>
          <w:rFonts w:ascii="Palatino Linotype" w:eastAsia="Palatino Linotype" w:hAnsi="Palatino Linotype" w:cs="Palatino Linotype"/>
          <w:b/>
          <w:iCs/>
          <w:color w:val="000000"/>
          <w:sz w:val="22"/>
          <w:szCs w:val="22"/>
        </w:rPr>
      </w:pPr>
      <w:r w:rsidRPr="000B60F0">
        <w:rPr>
          <w:rFonts w:ascii="Palatino Linotype" w:eastAsia="Palatino Linotype" w:hAnsi="Palatino Linotype" w:cs="Palatino Linotype"/>
          <w:b/>
          <w:iCs/>
          <w:color w:val="000000"/>
          <w:sz w:val="22"/>
          <w:szCs w:val="22"/>
        </w:rPr>
        <w:t xml:space="preserve"> </w:t>
      </w:r>
    </w:p>
    <w:p w14:paraId="7FAFB8B4" w14:textId="77777777" w:rsidR="00CE0C0B" w:rsidRPr="000B60F0" w:rsidRDefault="00CE0C0B" w:rsidP="00CE0C0B">
      <w:pPr>
        <w:numPr>
          <w:ilvl w:val="0"/>
          <w:numId w:val="46"/>
        </w:numPr>
        <w:spacing w:line="360" w:lineRule="auto"/>
        <w:contextualSpacing/>
        <w:jc w:val="both"/>
        <w:rPr>
          <w:rFonts w:ascii="Palatino Linotype" w:eastAsia="Palatino Linotype" w:hAnsi="Palatino Linotype" w:cs="Palatino Linotype"/>
          <w:b/>
          <w:iCs/>
          <w:color w:val="000000"/>
          <w:sz w:val="22"/>
          <w:szCs w:val="22"/>
        </w:rPr>
      </w:pPr>
      <w:r w:rsidRPr="000B60F0">
        <w:rPr>
          <w:rFonts w:ascii="Palatino Linotype" w:eastAsia="Palatino Linotype" w:hAnsi="Palatino Linotype" w:cs="Palatino Linotype"/>
          <w:b/>
          <w:iCs/>
          <w:color w:val="000000"/>
          <w:sz w:val="22"/>
          <w:szCs w:val="22"/>
        </w:rPr>
        <w:t xml:space="preserve">Formato accesible: </w:t>
      </w:r>
      <w:r w:rsidRPr="000B60F0">
        <w:rPr>
          <w:rFonts w:ascii="Palatino Linotype" w:eastAsia="Palatino Linotype" w:hAnsi="Palatino Linotype" w:cs="Palatino Linotype"/>
          <w:bCs/>
          <w:iCs/>
          <w:color w:val="000000"/>
          <w:sz w:val="22"/>
          <w:szCs w:val="22"/>
        </w:rPr>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134DE035" w14:textId="77777777" w:rsidR="00CE0C0B" w:rsidRPr="000B60F0" w:rsidRDefault="00CE0C0B" w:rsidP="00CE0C0B">
      <w:pPr>
        <w:spacing w:line="360" w:lineRule="auto"/>
        <w:contextualSpacing/>
        <w:jc w:val="both"/>
        <w:rPr>
          <w:rFonts w:ascii="Palatino Linotype" w:eastAsia="Palatino Linotype" w:hAnsi="Palatino Linotype" w:cs="Palatino Linotype"/>
          <w:bCs/>
          <w:iCs/>
          <w:color w:val="000000"/>
          <w:sz w:val="22"/>
          <w:szCs w:val="22"/>
        </w:rPr>
      </w:pPr>
      <w:r w:rsidRPr="000B60F0">
        <w:rPr>
          <w:rFonts w:ascii="Palatino Linotype" w:eastAsia="Palatino Linotype" w:hAnsi="Palatino Linotype" w:cs="Palatino Linotype"/>
          <w:bCs/>
          <w:iCs/>
          <w:color w:val="000000"/>
          <w:sz w:val="22"/>
          <w:szCs w:val="22"/>
        </w:rPr>
        <w:t xml:space="preserve"> </w:t>
      </w:r>
    </w:p>
    <w:p w14:paraId="2D9F0CD3" w14:textId="77777777" w:rsidR="00CE0C0B" w:rsidRPr="000B60F0" w:rsidRDefault="00CE0C0B" w:rsidP="00CE0C0B">
      <w:pPr>
        <w:spacing w:line="360" w:lineRule="auto"/>
        <w:contextualSpacing/>
        <w:jc w:val="both"/>
        <w:rPr>
          <w:rFonts w:ascii="Palatino Linotype" w:eastAsia="Palatino Linotype" w:hAnsi="Palatino Linotype" w:cs="Palatino Linotype"/>
          <w:bCs/>
          <w:iCs/>
          <w:color w:val="000000"/>
          <w:sz w:val="22"/>
          <w:szCs w:val="22"/>
        </w:rPr>
      </w:pPr>
      <w:r w:rsidRPr="000B60F0">
        <w:rPr>
          <w:rFonts w:ascii="Palatino Linotype" w:eastAsia="Palatino Linotype" w:hAnsi="Palatino Linotype" w:cs="Palatino Linotype"/>
          <w:bCs/>
          <w:iCs/>
          <w:color w:val="000000"/>
          <w:sz w:val="22"/>
          <w:szCs w:val="22"/>
        </w:rPr>
        <w:t>Conforme a lo anterior, se considera que en el caso de que la información peticionada obre en ligas electrónicas, el Sujeto Obligado deberá privilegiar la entrega de estas, en datos abiertos, es decir, en un formato que permita la accesibilidad y facilidad a los Particulares, para obtener la información contenida en estas.</w:t>
      </w:r>
    </w:p>
    <w:p w14:paraId="49BBBDA3" w14:textId="77777777" w:rsidR="00CE0C0B" w:rsidRPr="000B60F0" w:rsidRDefault="00CE0C0B" w:rsidP="00CE0C0B">
      <w:pPr>
        <w:spacing w:line="360" w:lineRule="auto"/>
        <w:contextualSpacing/>
        <w:jc w:val="both"/>
        <w:rPr>
          <w:rFonts w:ascii="Palatino Linotype" w:eastAsia="Palatino Linotype" w:hAnsi="Palatino Linotype" w:cs="Palatino Linotype"/>
          <w:bCs/>
          <w:iCs/>
          <w:color w:val="000000"/>
          <w:sz w:val="22"/>
          <w:szCs w:val="22"/>
        </w:rPr>
      </w:pPr>
      <w:r w:rsidRPr="000B60F0">
        <w:rPr>
          <w:rFonts w:ascii="Palatino Linotype" w:eastAsia="Palatino Linotype" w:hAnsi="Palatino Linotype" w:cs="Palatino Linotype"/>
          <w:bCs/>
          <w:iCs/>
          <w:color w:val="000000"/>
          <w:sz w:val="22"/>
          <w:szCs w:val="22"/>
        </w:rPr>
        <w:lastRenderedPageBreak/>
        <w:t xml:space="preserve"> </w:t>
      </w:r>
    </w:p>
    <w:p w14:paraId="4266FEE4" w14:textId="77777777" w:rsidR="00CE0C0B" w:rsidRPr="000B60F0" w:rsidRDefault="00CE0C0B" w:rsidP="00CE0C0B">
      <w:pPr>
        <w:spacing w:line="360" w:lineRule="auto"/>
        <w:contextualSpacing/>
        <w:jc w:val="both"/>
        <w:rPr>
          <w:rFonts w:ascii="Palatino Linotype" w:eastAsia="Palatino Linotype" w:hAnsi="Palatino Linotype" w:cs="Palatino Linotype"/>
          <w:bCs/>
          <w:color w:val="000000"/>
          <w:sz w:val="22"/>
          <w:szCs w:val="22"/>
        </w:rPr>
      </w:pPr>
      <w:r w:rsidRPr="000B60F0">
        <w:rPr>
          <w:rFonts w:ascii="Palatino Linotype" w:eastAsia="Palatino Linotype" w:hAnsi="Palatino Linotype" w:cs="Palatino Linotype"/>
          <w:bCs/>
          <w:color w:val="000000"/>
          <w:sz w:val="22"/>
          <w:szCs w:val="22"/>
        </w:rPr>
        <w:t>Al respecto, el artículo 161 de la Ley de Transparencia y Acceso a la Información Pública del Estado de México y Municipios, establece que cuando la documentación peticionada ya se encuentra disponible al público, entre otros, en formatos electrónicos disponibles en internet, los sujetos obligados cumplirán el derecho de acceso a la información, cuando le hagan saber de manera precisa a los solicitantes, la fuente, el lugar y la forma en que se puede obtener la información.</w:t>
      </w:r>
    </w:p>
    <w:p w14:paraId="044D4128" w14:textId="77777777" w:rsidR="00CE0C0B" w:rsidRDefault="00CE0C0B" w:rsidP="00CE0C0B">
      <w:pPr>
        <w:spacing w:line="360" w:lineRule="auto"/>
        <w:contextualSpacing/>
        <w:jc w:val="both"/>
        <w:rPr>
          <w:rFonts w:ascii="Palatino Linotype" w:eastAsia="Palatino Linotype" w:hAnsi="Palatino Linotype" w:cs="Palatino Linotype"/>
          <w:bCs/>
          <w:iCs/>
          <w:color w:val="000000"/>
          <w:sz w:val="22"/>
          <w:szCs w:val="22"/>
        </w:rPr>
      </w:pPr>
    </w:p>
    <w:p w14:paraId="22C94438" w14:textId="77777777" w:rsidR="00CE0C0B" w:rsidRDefault="00CE0C0B" w:rsidP="00CE0C0B">
      <w:pPr>
        <w:spacing w:line="360" w:lineRule="auto"/>
        <w:contextualSpacing/>
        <w:jc w:val="both"/>
        <w:rPr>
          <w:rFonts w:ascii="Palatino Linotype" w:eastAsia="Palatino Linotype" w:hAnsi="Palatino Linotype" w:cs="Palatino Linotype"/>
          <w:bCs/>
          <w:sz w:val="22"/>
          <w:szCs w:val="22"/>
        </w:rPr>
      </w:pPr>
      <w:r w:rsidRPr="001D13CE">
        <w:rPr>
          <w:rFonts w:ascii="Palatino Linotype" w:eastAsia="Palatino Linotype" w:hAnsi="Palatino Linotype" w:cs="Palatino Linotype"/>
          <w:bCs/>
          <w:sz w:val="22"/>
          <w:szCs w:val="22"/>
        </w:rPr>
        <w:t>No obstante, se procedió a ingresar al enlace proporcionado</w:t>
      </w:r>
      <w:r>
        <w:rPr>
          <w:rFonts w:ascii="Palatino Linotype" w:eastAsia="Palatino Linotype" w:hAnsi="Palatino Linotype" w:cs="Palatino Linotype"/>
          <w:bCs/>
          <w:sz w:val="22"/>
          <w:szCs w:val="22"/>
        </w:rPr>
        <w:t xml:space="preserve"> conforme al procedimiento indicado por el Sujeto Obligado</w:t>
      </w:r>
      <w:r w:rsidRPr="001D13CE">
        <w:rPr>
          <w:rFonts w:ascii="Palatino Linotype" w:eastAsia="Palatino Linotype" w:hAnsi="Palatino Linotype" w:cs="Palatino Linotype"/>
          <w:bCs/>
          <w:sz w:val="22"/>
          <w:szCs w:val="22"/>
        </w:rPr>
        <w:t xml:space="preserve">, en </w:t>
      </w:r>
      <w:r>
        <w:rPr>
          <w:rFonts w:ascii="Palatino Linotype" w:eastAsia="Palatino Linotype" w:hAnsi="Palatino Linotype" w:cs="Palatino Linotype"/>
          <w:bCs/>
          <w:sz w:val="22"/>
          <w:szCs w:val="22"/>
        </w:rPr>
        <w:t>e</w:t>
      </w:r>
      <w:r w:rsidRPr="001D13CE">
        <w:rPr>
          <w:rFonts w:ascii="Palatino Linotype" w:eastAsia="Palatino Linotype" w:hAnsi="Palatino Linotype" w:cs="Palatino Linotype"/>
          <w:bCs/>
          <w:sz w:val="22"/>
          <w:szCs w:val="22"/>
        </w:rPr>
        <w:t xml:space="preserve">l cual se logró advertir </w:t>
      </w:r>
      <w:r>
        <w:rPr>
          <w:rFonts w:ascii="Palatino Linotype" w:eastAsia="Palatino Linotype" w:hAnsi="Palatino Linotype" w:cs="Palatino Linotype"/>
          <w:bCs/>
          <w:sz w:val="22"/>
          <w:szCs w:val="22"/>
        </w:rPr>
        <w:t>que conduce a lo siguiente:</w:t>
      </w:r>
    </w:p>
    <w:p w14:paraId="1E4AE406" w14:textId="77777777" w:rsidR="00CE0C0B" w:rsidRDefault="00CE0C0B" w:rsidP="00CE0C0B">
      <w:pPr>
        <w:spacing w:line="360" w:lineRule="auto"/>
        <w:contextualSpacing/>
        <w:jc w:val="both"/>
        <w:rPr>
          <w:rFonts w:ascii="Palatino Linotype" w:eastAsia="Palatino Linotype" w:hAnsi="Palatino Linotype" w:cs="Palatino Linotype"/>
          <w:bCs/>
          <w:sz w:val="22"/>
          <w:szCs w:val="22"/>
        </w:rPr>
      </w:pPr>
    </w:p>
    <w:p w14:paraId="3A1A7F30" w14:textId="77777777" w:rsidR="00CE0C0B" w:rsidRPr="00CE0C0B" w:rsidRDefault="00CE0C0B" w:rsidP="00CE0C0B">
      <w:pPr>
        <w:spacing w:line="360" w:lineRule="auto"/>
        <w:contextualSpacing/>
        <w:jc w:val="both"/>
        <w:rPr>
          <w:rFonts w:ascii="Palatino Linotype" w:eastAsia="Palatino Linotype" w:hAnsi="Palatino Linotype" w:cs="Palatino Linotype"/>
          <w:bCs/>
          <w:sz w:val="22"/>
          <w:szCs w:val="22"/>
        </w:rPr>
      </w:pPr>
      <w:r w:rsidRPr="00CE0C0B">
        <w:rPr>
          <w:rFonts w:ascii="Palatino Linotype" w:eastAsia="Palatino Linotype" w:hAnsi="Palatino Linotype" w:cs="Palatino Linotype"/>
          <w:bCs/>
          <w:sz w:val="22"/>
          <w:szCs w:val="22"/>
        </w:rPr>
        <w:t xml:space="preserve">1.- </w:t>
      </w:r>
      <w:hyperlink r:id="rId7" w:history="1">
        <w:r w:rsidRPr="00CE0C0B">
          <w:rPr>
            <w:rStyle w:val="Hipervnculo"/>
            <w:rFonts w:ascii="Palatino Linotype" w:eastAsia="Palatino Linotype" w:hAnsi="Palatino Linotype" w:cs="Palatino Linotype"/>
            <w:bCs/>
            <w:color w:val="auto"/>
            <w:sz w:val="22"/>
            <w:szCs w:val="22"/>
            <w:u w:val="none"/>
          </w:rPr>
          <w:t>https://sseguridad.edomex.gob.mx/</w:t>
        </w:r>
      </w:hyperlink>
    </w:p>
    <w:p w14:paraId="258E3971" w14:textId="77777777" w:rsidR="00CE0C0B" w:rsidRPr="00CE0C0B" w:rsidRDefault="00CE0C0B" w:rsidP="00CE0C0B">
      <w:pPr>
        <w:spacing w:line="360" w:lineRule="auto"/>
        <w:contextualSpacing/>
        <w:jc w:val="both"/>
        <w:rPr>
          <w:rFonts w:ascii="Palatino Linotype" w:eastAsia="Palatino Linotype" w:hAnsi="Palatino Linotype" w:cs="Palatino Linotype"/>
          <w:bCs/>
          <w:sz w:val="22"/>
          <w:szCs w:val="22"/>
        </w:rPr>
      </w:pPr>
      <w:r w:rsidRPr="00CE0C0B">
        <w:rPr>
          <w:rFonts w:ascii="Palatino Linotype" w:eastAsia="Palatino Linotype" w:hAnsi="Palatino Linotype" w:cs="Palatino Linotype"/>
          <w:bCs/>
          <w:sz w:val="22"/>
          <w:szCs w:val="22"/>
        </w:rPr>
        <w:t>2.- Avisos de Privacidad</w:t>
      </w:r>
    </w:p>
    <w:p w14:paraId="5C3E7832" w14:textId="77777777" w:rsidR="00CE0C0B" w:rsidRPr="00CE0C0B" w:rsidRDefault="00CE0C0B" w:rsidP="00CE0C0B">
      <w:pPr>
        <w:spacing w:line="360" w:lineRule="auto"/>
        <w:contextualSpacing/>
        <w:jc w:val="both"/>
        <w:rPr>
          <w:rFonts w:ascii="Palatino Linotype" w:eastAsia="Palatino Linotype" w:hAnsi="Palatino Linotype" w:cs="Palatino Linotype"/>
          <w:bCs/>
          <w:sz w:val="22"/>
          <w:szCs w:val="22"/>
        </w:rPr>
      </w:pPr>
      <w:r w:rsidRPr="00CE0C0B">
        <w:rPr>
          <w:rFonts w:ascii="Palatino Linotype" w:eastAsia="Palatino Linotype" w:hAnsi="Palatino Linotype" w:cs="Palatino Linotype"/>
          <w:bCs/>
          <w:sz w:val="22"/>
          <w:szCs w:val="22"/>
        </w:rPr>
        <w:t>3.- Localizar instancias a los cuales se transfieren los datos personales.</w:t>
      </w:r>
    </w:p>
    <w:p w14:paraId="6395EF54" w14:textId="77777777" w:rsidR="00CE0C0B" w:rsidRPr="001D13CE" w:rsidRDefault="00CE0C0B" w:rsidP="00CE0C0B">
      <w:pPr>
        <w:spacing w:line="360" w:lineRule="auto"/>
        <w:contextualSpacing/>
        <w:jc w:val="both"/>
        <w:rPr>
          <w:rFonts w:ascii="Palatino Linotype" w:eastAsia="Palatino Linotype" w:hAnsi="Palatino Linotype" w:cs="Palatino Linotype"/>
          <w:bCs/>
          <w:sz w:val="22"/>
          <w:szCs w:val="22"/>
        </w:rPr>
      </w:pPr>
    </w:p>
    <w:p w14:paraId="0A0B4934" w14:textId="77777777" w:rsidR="00CE0C0B" w:rsidRDefault="00CE0C0B" w:rsidP="00CE0C0B">
      <w:pPr>
        <w:spacing w:line="360" w:lineRule="auto"/>
        <w:ind w:right="-28"/>
        <w:contextualSpacing/>
        <w:jc w:val="center"/>
        <w:rPr>
          <w:rFonts w:ascii="Palatino Linotype" w:hAnsi="Palatino Linotype" w:cs="Tahoma"/>
          <w:sz w:val="22"/>
          <w:szCs w:val="22"/>
        </w:rPr>
      </w:pPr>
      <w:r>
        <w:rPr>
          <w:rFonts w:ascii="Palatino Linotype" w:hAnsi="Palatino Linotype" w:cs="Tahoma"/>
          <w:noProof/>
          <w:sz w:val="22"/>
          <w:szCs w:val="22"/>
        </w:rPr>
        <w:drawing>
          <wp:inline distT="0" distB="0" distL="0" distR="0" wp14:anchorId="0BC5A33D" wp14:editId="4B53FFE7">
            <wp:extent cx="4706620" cy="31432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b="30981"/>
                    <a:stretch/>
                  </pic:blipFill>
                  <pic:spPr bwMode="auto">
                    <a:xfrm>
                      <a:off x="0" y="0"/>
                      <a:ext cx="4706620" cy="3143250"/>
                    </a:xfrm>
                    <a:prstGeom prst="rect">
                      <a:avLst/>
                    </a:prstGeom>
                    <a:noFill/>
                    <a:ln>
                      <a:noFill/>
                    </a:ln>
                    <a:extLst>
                      <a:ext uri="{53640926-AAD7-44D8-BBD7-CCE9431645EC}">
                        <a14:shadowObscured xmlns:a14="http://schemas.microsoft.com/office/drawing/2010/main"/>
                      </a:ext>
                    </a:extLst>
                  </pic:spPr>
                </pic:pic>
              </a:graphicData>
            </a:graphic>
          </wp:inline>
        </w:drawing>
      </w:r>
    </w:p>
    <w:p w14:paraId="6E0401A4" w14:textId="6EEFC298" w:rsidR="001D5AF4" w:rsidRPr="0052389C" w:rsidRDefault="00CE0C0B" w:rsidP="001D5AF4">
      <w:pPr>
        <w:spacing w:line="360" w:lineRule="auto"/>
        <w:ind w:right="-28"/>
        <w:contextualSpacing/>
        <w:jc w:val="both"/>
        <w:rPr>
          <w:rFonts w:ascii="Palatino Linotype" w:hAnsi="Palatino Linotype" w:cs="Tahoma"/>
          <w:sz w:val="22"/>
          <w:szCs w:val="22"/>
        </w:rPr>
      </w:pPr>
      <w:r>
        <w:rPr>
          <w:rFonts w:ascii="Palatino Linotype" w:hAnsi="Palatino Linotype" w:cs="Tahoma"/>
          <w:sz w:val="22"/>
          <w:szCs w:val="22"/>
        </w:rPr>
        <w:lastRenderedPageBreak/>
        <w:t>Conforme a lo expuesto, se logra colegir que si bien, el Sujeto Obligado a través del área competente proporcionó un enlace electrónico, así como el procedimiento para acceder a la informaci</w:t>
      </w:r>
      <w:r w:rsidR="0052389C">
        <w:rPr>
          <w:rFonts w:ascii="Palatino Linotype" w:hAnsi="Palatino Linotype" w:cs="Tahoma"/>
          <w:sz w:val="22"/>
          <w:szCs w:val="22"/>
        </w:rPr>
        <w:t xml:space="preserve">ón, lo cierto es que lo proporcionó en formato cerrado lo cual implica una búsqueda de la información para el solicitante, por lo que se considera que inobservó lo dispuesto por el artículo 161 de la Ley de Transparencia, </w:t>
      </w:r>
      <w:r w:rsidR="001D5AF4">
        <w:rPr>
          <w:rFonts w:ascii="Palatino Linotype" w:eastAsia="Palatino Linotype" w:hAnsi="Palatino Linotype" w:cs="Palatino Linotype"/>
          <w:sz w:val="22"/>
          <w:szCs w:val="22"/>
        </w:rPr>
        <w:t xml:space="preserve">lo cual da como resultado que el agravio sea </w:t>
      </w:r>
      <w:r w:rsidR="001D5AF4">
        <w:rPr>
          <w:rFonts w:ascii="Palatino Linotype" w:eastAsia="Palatino Linotype" w:hAnsi="Palatino Linotype" w:cs="Palatino Linotype"/>
          <w:b/>
          <w:bCs/>
          <w:sz w:val="22"/>
          <w:szCs w:val="22"/>
        </w:rPr>
        <w:t>FUNDADO.</w:t>
      </w:r>
    </w:p>
    <w:p w14:paraId="2ABFE1CC" w14:textId="77777777" w:rsidR="001D5AF4" w:rsidRPr="0000396F" w:rsidRDefault="001D5AF4" w:rsidP="001D5AF4">
      <w:pPr>
        <w:spacing w:line="360" w:lineRule="auto"/>
        <w:ind w:right="-28"/>
        <w:contextualSpacing/>
        <w:jc w:val="both"/>
        <w:rPr>
          <w:rFonts w:ascii="Palatino Linotype" w:eastAsia="Palatino Linotype" w:hAnsi="Palatino Linotype" w:cs="Palatino Linotype"/>
          <w:b/>
          <w:bCs/>
          <w:sz w:val="22"/>
          <w:szCs w:val="22"/>
        </w:rPr>
      </w:pPr>
    </w:p>
    <w:p w14:paraId="1E461445" w14:textId="033E3FA5" w:rsidR="0052389C" w:rsidRDefault="00F55523" w:rsidP="001D5AF4">
      <w:pPr>
        <w:spacing w:line="360" w:lineRule="auto"/>
        <w:contextualSpacing/>
        <w:jc w:val="both"/>
        <w:rPr>
          <w:rFonts w:ascii="Palatino Linotype" w:hAnsi="Palatino Linotype" w:cs="Tahoma"/>
          <w:sz w:val="22"/>
          <w:szCs w:val="24"/>
        </w:rPr>
      </w:pPr>
      <w:r>
        <w:rPr>
          <w:rFonts w:ascii="Palatino Linotype" w:hAnsi="Palatino Linotype" w:cs="Tahoma"/>
          <w:sz w:val="22"/>
          <w:szCs w:val="24"/>
        </w:rPr>
        <w:t>Así</w:t>
      </w:r>
      <w:r w:rsidR="001D5AF4" w:rsidRPr="005A4A25">
        <w:rPr>
          <w:rFonts w:ascii="Palatino Linotype" w:hAnsi="Palatino Linotype" w:cs="Tahoma"/>
          <w:sz w:val="22"/>
          <w:szCs w:val="24"/>
        </w:rPr>
        <w:t xml:space="preserve">, se logra vislumbrar que el Sujeto Obligado </w:t>
      </w:r>
      <w:r w:rsidR="001D5AF4">
        <w:rPr>
          <w:rFonts w:ascii="Palatino Linotype" w:hAnsi="Palatino Linotype" w:cs="Tahoma"/>
          <w:sz w:val="22"/>
          <w:szCs w:val="24"/>
        </w:rPr>
        <w:t xml:space="preserve">si bien, remitió </w:t>
      </w:r>
      <w:r w:rsidR="0052389C">
        <w:rPr>
          <w:rFonts w:ascii="Palatino Linotype" w:hAnsi="Palatino Linotype" w:cs="Tahoma"/>
          <w:sz w:val="22"/>
          <w:szCs w:val="24"/>
        </w:rPr>
        <w:t>un enlace y el procedimiento para acceder a la información</w:t>
      </w:r>
      <w:r w:rsidR="001D5AF4" w:rsidRPr="005A4A25">
        <w:rPr>
          <w:rFonts w:ascii="Palatino Linotype" w:hAnsi="Palatino Linotype" w:cs="Tahoma"/>
          <w:sz w:val="22"/>
          <w:szCs w:val="24"/>
        </w:rPr>
        <w:t xml:space="preserve">, </w:t>
      </w:r>
      <w:r w:rsidR="001D5AF4">
        <w:rPr>
          <w:rFonts w:ascii="Palatino Linotype" w:hAnsi="Palatino Linotype" w:cs="Tahoma"/>
          <w:sz w:val="22"/>
          <w:szCs w:val="24"/>
        </w:rPr>
        <w:t>lo cierto es que</w:t>
      </w:r>
      <w:r w:rsidR="001D5AF4" w:rsidRPr="005A4A25">
        <w:rPr>
          <w:rFonts w:ascii="Palatino Linotype" w:hAnsi="Palatino Linotype" w:cs="Tahoma"/>
          <w:sz w:val="22"/>
          <w:szCs w:val="24"/>
        </w:rPr>
        <w:t xml:space="preserve"> </w:t>
      </w:r>
      <w:r w:rsidR="0052389C">
        <w:rPr>
          <w:rFonts w:ascii="Palatino Linotype" w:hAnsi="Palatino Linotype" w:cs="Tahoma"/>
          <w:sz w:val="22"/>
          <w:szCs w:val="24"/>
        </w:rPr>
        <w:t>lo</w:t>
      </w:r>
      <w:r w:rsidR="001D5AF4">
        <w:rPr>
          <w:rFonts w:ascii="Palatino Linotype" w:hAnsi="Palatino Linotype" w:cs="Tahoma"/>
          <w:sz w:val="22"/>
          <w:szCs w:val="24"/>
        </w:rPr>
        <w:t xml:space="preserve"> proporcionó </w:t>
      </w:r>
      <w:r w:rsidR="0052389C">
        <w:rPr>
          <w:rFonts w:ascii="Palatino Linotype" w:hAnsi="Palatino Linotype" w:cs="Tahoma"/>
          <w:sz w:val="22"/>
          <w:szCs w:val="24"/>
        </w:rPr>
        <w:t>en un formato que no permite su acceso de forma directa</w:t>
      </w:r>
      <w:r w:rsidR="001D5AF4">
        <w:rPr>
          <w:rFonts w:ascii="Palatino Linotype" w:hAnsi="Palatino Linotype" w:cs="Tahoma"/>
          <w:sz w:val="22"/>
          <w:szCs w:val="24"/>
        </w:rPr>
        <w:t>, por lo que deberá realizar una</w:t>
      </w:r>
      <w:r w:rsidR="0052389C">
        <w:rPr>
          <w:rFonts w:ascii="Palatino Linotype" w:hAnsi="Palatino Linotype" w:cs="Tahoma"/>
          <w:sz w:val="22"/>
          <w:szCs w:val="24"/>
        </w:rPr>
        <w:t xml:space="preserve"> nueva</w:t>
      </w:r>
      <w:r w:rsidR="001D5AF4">
        <w:rPr>
          <w:rFonts w:ascii="Palatino Linotype" w:hAnsi="Palatino Linotype" w:cs="Tahoma"/>
          <w:sz w:val="22"/>
          <w:szCs w:val="24"/>
        </w:rPr>
        <w:t xml:space="preserve"> búsqueda exhaustiva y razonable a efecto de que proporcione la información </w:t>
      </w:r>
      <w:r w:rsidR="0052389C">
        <w:rPr>
          <w:rFonts w:ascii="Palatino Linotype" w:hAnsi="Palatino Linotype" w:cs="Tahoma"/>
          <w:sz w:val="22"/>
          <w:szCs w:val="24"/>
        </w:rPr>
        <w:t>solicitada</w:t>
      </w:r>
      <w:r w:rsidR="001D5AF4">
        <w:rPr>
          <w:rFonts w:ascii="Palatino Linotype" w:hAnsi="Palatino Linotype" w:cs="Tahoma"/>
          <w:sz w:val="22"/>
          <w:szCs w:val="24"/>
        </w:rPr>
        <w:t xml:space="preserve">. </w:t>
      </w:r>
    </w:p>
    <w:p w14:paraId="018467A6" w14:textId="77777777" w:rsidR="0052389C" w:rsidRDefault="0052389C" w:rsidP="001D5AF4">
      <w:pPr>
        <w:spacing w:line="360" w:lineRule="auto"/>
        <w:contextualSpacing/>
        <w:jc w:val="both"/>
        <w:rPr>
          <w:rFonts w:ascii="Palatino Linotype" w:hAnsi="Palatino Linotype" w:cs="Tahoma"/>
          <w:sz w:val="22"/>
          <w:szCs w:val="24"/>
        </w:rPr>
      </w:pPr>
    </w:p>
    <w:p w14:paraId="4F88F0D8" w14:textId="77777777" w:rsidR="001D5AF4" w:rsidRPr="00551607" w:rsidRDefault="001D5AF4" w:rsidP="001D5AF4">
      <w:pPr>
        <w:spacing w:line="360" w:lineRule="auto"/>
        <w:contextualSpacing/>
        <w:jc w:val="both"/>
        <w:rPr>
          <w:rFonts w:ascii="Palatino Linotype" w:hAnsi="Palatino Linotype" w:cs="Tahoma"/>
          <w:sz w:val="22"/>
          <w:szCs w:val="24"/>
        </w:rPr>
      </w:pPr>
      <w:r>
        <w:rPr>
          <w:rFonts w:ascii="Palatino Linotype" w:eastAsia="Calibri" w:hAnsi="Palatino Linotype" w:cs="Tahoma"/>
          <w:iCs/>
          <w:sz w:val="22"/>
          <w:szCs w:val="22"/>
          <w:lang w:eastAsia="es-ES_tradnl"/>
        </w:rPr>
        <w:t>Dicha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538C6862" w14:textId="77777777" w:rsidR="001D5AF4" w:rsidRDefault="001D5AF4" w:rsidP="001D5AF4">
      <w:pPr>
        <w:spacing w:line="360" w:lineRule="auto"/>
        <w:contextualSpacing/>
        <w:jc w:val="both"/>
        <w:rPr>
          <w:rFonts w:ascii="Palatino Linotype" w:eastAsia="Calibri" w:hAnsi="Palatino Linotype"/>
          <w:color w:val="FF0000"/>
          <w:sz w:val="22"/>
          <w:szCs w:val="22"/>
        </w:rPr>
      </w:pPr>
    </w:p>
    <w:p w14:paraId="4C8D5BB5" w14:textId="77777777" w:rsidR="001D5AF4" w:rsidRDefault="001D5AF4" w:rsidP="001D5AF4">
      <w:pPr>
        <w:spacing w:line="360" w:lineRule="auto"/>
        <w:contextualSpacing/>
        <w:jc w:val="both"/>
        <w:rPr>
          <w:rFonts w:ascii="Palatino Linotype" w:eastAsia="Calibri" w:hAnsi="Palatino Linotype"/>
          <w:sz w:val="22"/>
          <w:szCs w:val="22"/>
        </w:rPr>
      </w:pPr>
      <w:r>
        <w:rPr>
          <w:rFonts w:ascii="Palatino Linotype" w:eastAsia="Calibri" w:hAnsi="Palatino Linotype"/>
          <w:sz w:val="22"/>
          <w:szCs w:val="22"/>
        </w:rPr>
        <w:t xml:space="preserve">De esta manera, el derecho de acceso a la información pública se satisface en aquellos casos en que se entregue el soporte documental en el que conste la información solicitada, sin necesidad de elaborar documentos </w:t>
      </w:r>
      <w:r>
        <w:rPr>
          <w:rFonts w:ascii="Palatino Linotype" w:eastAsia="Calibri" w:hAnsi="Palatino Linotype"/>
          <w:i/>
          <w:sz w:val="22"/>
          <w:szCs w:val="22"/>
        </w:rPr>
        <w:t>ad hoc</w:t>
      </w:r>
      <w:r>
        <w:rPr>
          <w:rFonts w:ascii="Palatino Linotype" w:eastAsia="Calibri" w:hAnsi="Palatino Linotype"/>
          <w:sz w:val="22"/>
          <w:szCs w:val="22"/>
        </w:rPr>
        <w:t>; lo cual, de conformidad con en el artículo 160 de la Ley de Transparencia y Acceso a la Información Pública del Estado de México y Municipios, el cual refiere que los sujetos obligados deberán entregar la información que obre en sus archivos.</w:t>
      </w:r>
    </w:p>
    <w:p w14:paraId="6603FC01" w14:textId="77777777" w:rsidR="001D5AF4" w:rsidRDefault="001D5AF4" w:rsidP="001D5AF4">
      <w:pPr>
        <w:spacing w:line="360" w:lineRule="auto"/>
        <w:contextualSpacing/>
        <w:jc w:val="both"/>
        <w:rPr>
          <w:rFonts w:ascii="Palatino Linotype" w:eastAsia="Calibri" w:hAnsi="Palatino Linotype"/>
          <w:sz w:val="22"/>
          <w:szCs w:val="22"/>
        </w:rPr>
      </w:pPr>
    </w:p>
    <w:p w14:paraId="41E7969E" w14:textId="77777777" w:rsidR="001D5AF4" w:rsidRDefault="001D5AF4" w:rsidP="001D5AF4">
      <w:pPr>
        <w:spacing w:line="360" w:lineRule="auto"/>
        <w:contextualSpacing/>
        <w:jc w:val="both"/>
        <w:rPr>
          <w:rFonts w:ascii="Palatino Linotype" w:eastAsia="Calibri" w:hAnsi="Palatino Linotype"/>
          <w:sz w:val="22"/>
          <w:szCs w:val="22"/>
        </w:rPr>
      </w:pPr>
      <w:r>
        <w:rPr>
          <w:rFonts w:ascii="Palatino Linotype" w:hAnsi="Palatino Linotype" w:cs="Tahoma"/>
          <w:sz w:val="22"/>
          <w:szCs w:val="22"/>
          <w:lang w:val="es-ES"/>
        </w:rPr>
        <w:lastRenderedPageBreak/>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w:t>
      </w:r>
      <w:r>
        <w:rPr>
          <w:rFonts w:ascii="Palatino Linotype" w:eastAsia="Calibri" w:hAnsi="Palatino Linotype"/>
          <w:sz w:val="22"/>
          <w:szCs w:val="22"/>
        </w:rPr>
        <w:t xml:space="preserve">la documentación </w:t>
      </w:r>
      <w:r w:rsidR="0052389C">
        <w:rPr>
          <w:rFonts w:ascii="Palatino Linotype" w:eastAsia="Calibri" w:hAnsi="Palatino Linotype"/>
          <w:sz w:val="22"/>
          <w:szCs w:val="22"/>
        </w:rPr>
        <w:t>solicitada en un formato que permita su acceso de forma directa</w:t>
      </w:r>
      <w:r>
        <w:rPr>
          <w:rFonts w:ascii="Palatino Linotype" w:eastAsia="Calibri" w:hAnsi="Palatino Linotype"/>
          <w:sz w:val="22"/>
          <w:szCs w:val="22"/>
        </w:rPr>
        <w:t>.</w:t>
      </w:r>
    </w:p>
    <w:p w14:paraId="6C8A0695" w14:textId="77777777" w:rsidR="001D5AF4" w:rsidRDefault="001D5AF4" w:rsidP="001D5AF4">
      <w:pPr>
        <w:widowControl w:val="0"/>
        <w:spacing w:line="360" w:lineRule="auto"/>
        <w:contextualSpacing/>
        <w:jc w:val="both"/>
        <w:rPr>
          <w:rFonts w:ascii="Palatino Linotype" w:eastAsia="Calibri" w:hAnsi="Palatino Linotype"/>
          <w:sz w:val="22"/>
          <w:szCs w:val="22"/>
        </w:rPr>
      </w:pPr>
    </w:p>
    <w:p w14:paraId="062B8482" w14:textId="77777777" w:rsidR="001D5AF4" w:rsidRPr="00C737F8" w:rsidRDefault="001D5AF4" w:rsidP="001D5AF4">
      <w:pPr>
        <w:widowControl w:val="0"/>
        <w:spacing w:line="360" w:lineRule="auto"/>
        <w:contextualSpacing/>
        <w:jc w:val="both"/>
        <w:rPr>
          <w:rFonts w:ascii="Palatino Linotype" w:hAnsi="Palatino Linotype" w:cs="Tahoma"/>
          <w:bCs/>
          <w:iCs/>
          <w:sz w:val="22"/>
          <w:szCs w:val="22"/>
        </w:rPr>
      </w:pPr>
      <w:r w:rsidRPr="00C737F8">
        <w:rPr>
          <w:rFonts w:ascii="Palatino Linotype" w:hAnsi="Palatino Linotype" w:cs="Tahoma"/>
          <w:bCs/>
          <w:iCs/>
          <w:sz w:val="22"/>
          <w:szCs w:val="22"/>
        </w:rPr>
        <w:t>Así, este Instituto considera que el Sujeto Obligado deberá proporcionar lo solicitado, en versión pública; sobre dicha circunstancia, el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4E8724CD" w14:textId="77777777" w:rsidR="001D5AF4" w:rsidRPr="00C737F8" w:rsidRDefault="001D5AF4" w:rsidP="001D5AF4">
      <w:pPr>
        <w:widowControl w:val="0"/>
        <w:spacing w:line="360" w:lineRule="auto"/>
        <w:contextualSpacing/>
        <w:jc w:val="both"/>
        <w:rPr>
          <w:rFonts w:ascii="Palatino Linotype" w:hAnsi="Palatino Linotype" w:cs="Tahoma"/>
          <w:bCs/>
          <w:iCs/>
          <w:sz w:val="22"/>
          <w:szCs w:val="22"/>
        </w:rPr>
      </w:pPr>
      <w:r w:rsidRPr="00C737F8">
        <w:rPr>
          <w:rFonts w:ascii="Palatino Linotype" w:hAnsi="Palatino Linotype" w:cs="Tahoma"/>
          <w:bCs/>
          <w:iCs/>
          <w:sz w:val="22"/>
          <w:szCs w:val="22"/>
        </w:rPr>
        <w:t xml:space="preserve"> </w:t>
      </w:r>
    </w:p>
    <w:p w14:paraId="319BA171" w14:textId="77777777" w:rsidR="001D5AF4" w:rsidRPr="00C737F8" w:rsidRDefault="001D5AF4" w:rsidP="001D5AF4">
      <w:pPr>
        <w:widowControl w:val="0"/>
        <w:spacing w:line="360" w:lineRule="auto"/>
        <w:contextualSpacing/>
        <w:jc w:val="both"/>
        <w:rPr>
          <w:rFonts w:ascii="Palatino Linotype" w:hAnsi="Palatino Linotype" w:cs="Tahoma"/>
          <w:bCs/>
          <w:iCs/>
          <w:sz w:val="22"/>
          <w:szCs w:val="22"/>
        </w:rPr>
      </w:pPr>
      <w:r w:rsidRPr="00C737F8">
        <w:rPr>
          <w:rFonts w:ascii="Palatino Linotype" w:hAnsi="Palatino Linotype" w:cs="Tahoma"/>
          <w:bCs/>
          <w:iCs/>
          <w:sz w:val="22"/>
          <w:szCs w:val="22"/>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3A8D4524" w14:textId="77777777" w:rsidR="001D5AF4" w:rsidRDefault="001D5AF4" w:rsidP="001D5AF4">
      <w:pPr>
        <w:spacing w:line="360" w:lineRule="auto"/>
        <w:contextualSpacing/>
        <w:jc w:val="both"/>
        <w:rPr>
          <w:rFonts w:ascii="Palatino Linotype" w:hAnsi="Palatino Linotype"/>
          <w:bCs/>
          <w:iCs/>
          <w:sz w:val="22"/>
          <w:szCs w:val="22"/>
        </w:rPr>
      </w:pPr>
    </w:p>
    <w:p w14:paraId="58A24ECB" w14:textId="77777777" w:rsidR="001D5AF4" w:rsidRPr="00DE38C7" w:rsidRDefault="001D5AF4" w:rsidP="001D5AF4">
      <w:pPr>
        <w:pStyle w:val="Ttulo2"/>
        <w:spacing w:before="0" w:after="0" w:line="360" w:lineRule="auto"/>
        <w:contextualSpacing/>
        <w:rPr>
          <w:rFonts w:ascii="Palatino Linotype" w:hAnsi="Palatino Linotype"/>
          <w:b/>
          <w:bCs/>
          <w:color w:val="auto"/>
          <w:sz w:val="22"/>
          <w:szCs w:val="22"/>
        </w:rPr>
      </w:pPr>
      <w:bookmarkStart w:id="29" w:name="_Toc203518783"/>
      <w:bookmarkStart w:id="30" w:name="_Toc213337147"/>
      <w:bookmarkStart w:id="31" w:name="_Toc224833588"/>
      <w:r w:rsidRPr="00DE38C7">
        <w:rPr>
          <w:rFonts w:ascii="Palatino Linotype" w:hAnsi="Palatino Linotype"/>
          <w:b/>
          <w:bCs/>
          <w:color w:val="auto"/>
          <w:sz w:val="22"/>
          <w:szCs w:val="22"/>
        </w:rPr>
        <w:t>SEXTO. Decisión</w:t>
      </w:r>
      <w:bookmarkEnd w:id="29"/>
      <w:bookmarkEnd w:id="30"/>
      <w:bookmarkEnd w:id="31"/>
    </w:p>
    <w:p w14:paraId="65B59DFB" w14:textId="77777777" w:rsidR="001D5AF4" w:rsidRPr="00DE38C7" w:rsidRDefault="001D5AF4" w:rsidP="001D5AF4">
      <w:pPr>
        <w:spacing w:line="360" w:lineRule="auto"/>
        <w:contextualSpacing/>
        <w:jc w:val="both"/>
        <w:rPr>
          <w:rFonts w:ascii="Palatino Linotype" w:eastAsia="Palatino Linotype" w:hAnsi="Palatino Linotype" w:cs="Palatino Linotype"/>
          <w:sz w:val="22"/>
          <w:szCs w:val="22"/>
        </w:rPr>
      </w:pPr>
    </w:p>
    <w:p w14:paraId="037A9708" w14:textId="77777777" w:rsidR="001D5AF4" w:rsidRPr="00DE38C7" w:rsidRDefault="001D5AF4" w:rsidP="001D5AF4">
      <w:pPr>
        <w:tabs>
          <w:tab w:val="left" w:pos="4962"/>
        </w:tabs>
        <w:spacing w:line="360" w:lineRule="auto"/>
        <w:contextualSpacing/>
        <w:jc w:val="both"/>
        <w:rPr>
          <w:rFonts w:ascii="Palatino Linotype" w:hAnsi="Palatino Linotype" w:cs="Tahoma"/>
          <w:sz w:val="22"/>
          <w:szCs w:val="22"/>
        </w:rPr>
      </w:pPr>
      <w:r w:rsidRPr="00DE38C7">
        <w:rPr>
          <w:rFonts w:ascii="Palatino Linotype" w:hAnsi="Palatino Linotype" w:cs="Arial"/>
          <w:sz w:val="22"/>
          <w:szCs w:val="22"/>
        </w:rPr>
        <w:t>C</w:t>
      </w:r>
      <w:r w:rsidRPr="00DE38C7">
        <w:rPr>
          <w:rFonts w:ascii="Palatino Linotype" w:hAnsi="Palatino Linotype" w:cs="Tahoma"/>
          <w:sz w:val="22"/>
          <w:szCs w:val="22"/>
        </w:rPr>
        <w:t xml:space="preserve">on fundamento en el artículo 186, fracción III, de la Ley de Transparencia y Acceso a la Información Pública del Estado de México y Municipios, este Instituto considera procedente </w:t>
      </w:r>
      <w:r>
        <w:rPr>
          <w:rFonts w:ascii="Palatino Linotype" w:hAnsi="Palatino Linotype" w:cs="Tahoma"/>
          <w:b/>
          <w:sz w:val="22"/>
          <w:szCs w:val="22"/>
        </w:rPr>
        <w:t>MODIFI</w:t>
      </w:r>
      <w:r w:rsidRPr="00DE38C7">
        <w:rPr>
          <w:rFonts w:ascii="Palatino Linotype" w:hAnsi="Palatino Linotype" w:cs="Tahoma"/>
          <w:b/>
          <w:sz w:val="22"/>
          <w:szCs w:val="22"/>
        </w:rPr>
        <w:t>CAR</w:t>
      </w:r>
      <w:r w:rsidRPr="00DE38C7">
        <w:rPr>
          <w:rFonts w:ascii="Palatino Linotype" w:hAnsi="Palatino Linotype" w:cs="Tahoma"/>
          <w:sz w:val="22"/>
          <w:szCs w:val="22"/>
        </w:rPr>
        <w:t xml:space="preserve"> la respuesta otorgada a la solicitud de información </w:t>
      </w:r>
      <w:r w:rsidR="0052389C" w:rsidRPr="0052389C">
        <w:rPr>
          <w:rFonts w:ascii="Palatino Linotype" w:eastAsia="Palatino Linotype" w:hAnsi="Palatino Linotype" w:cs="Palatino Linotype"/>
          <w:sz w:val="22"/>
          <w:szCs w:val="22"/>
        </w:rPr>
        <w:t>00500/SSEM/IP/2025</w:t>
      </w:r>
      <w:r w:rsidRPr="00DE38C7">
        <w:rPr>
          <w:rFonts w:ascii="Palatino Linotype" w:hAnsi="Palatino Linotype" w:cs="Tahoma"/>
          <w:bCs/>
          <w:sz w:val="22"/>
          <w:szCs w:val="22"/>
        </w:rPr>
        <w:t>, a efecto de que</w:t>
      </w:r>
      <w:r w:rsidRPr="00DE38C7">
        <w:rPr>
          <w:rFonts w:ascii="Palatino Linotype" w:hAnsi="Palatino Linotype" w:cs="Tahoma"/>
          <w:sz w:val="22"/>
          <w:szCs w:val="22"/>
        </w:rPr>
        <w:t xml:space="preserve"> proporcione </w:t>
      </w:r>
      <w:r>
        <w:rPr>
          <w:rFonts w:ascii="Palatino Linotype" w:hAnsi="Palatino Linotype" w:cs="Tahoma"/>
          <w:sz w:val="22"/>
          <w:szCs w:val="22"/>
        </w:rPr>
        <w:t xml:space="preserve">la información </w:t>
      </w:r>
      <w:r w:rsidR="0052389C">
        <w:rPr>
          <w:rFonts w:ascii="Palatino Linotype" w:hAnsi="Palatino Linotype" w:cs="Tahoma"/>
          <w:sz w:val="22"/>
          <w:szCs w:val="22"/>
        </w:rPr>
        <w:t>solicitada</w:t>
      </w:r>
      <w:r w:rsidRPr="00DE38C7">
        <w:rPr>
          <w:rFonts w:ascii="Palatino Linotype" w:hAnsi="Palatino Linotype" w:cs="Tahoma"/>
          <w:sz w:val="22"/>
          <w:szCs w:val="22"/>
        </w:rPr>
        <w:t>.</w:t>
      </w:r>
    </w:p>
    <w:p w14:paraId="1100B027" w14:textId="77777777" w:rsidR="001D5AF4" w:rsidRPr="00DE38C7" w:rsidRDefault="001D5AF4" w:rsidP="001D5AF4">
      <w:pPr>
        <w:spacing w:line="360" w:lineRule="auto"/>
        <w:contextualSpacing/>
        <w:jc w:val="both"/>
        <w:rPr>
          <w:rFonts w:ascii="Palatino Linotype" w:hAnsi="Palatino Linotype"/>
          <w:b/>
          <w:color w:val="000000"/>
          <w:sz w:val="22"/>
          <w:szCs w:val="22"/>
        </w:rPr>
      </w:pPr>
      <w:bookmarkStart w:id="32" w:name="_Toc199369393"/>
    </w:p>
    <w:p w14:paraId="62727C04" w14:textId="77777777" w:rsidR="001D5AF4" w:rsidRPr="00DE38C7" w:rsidRDefault="001D5AF4" w:rsidP="001D5AF4">
      <w:pPr>
        <w:spacing w:line="360" w:lineRule="auto"/>
        <w:contextualSpacing/>
        <w:jc w:val="both"/>
        <w:rPr>
          <w:rFonts w:ascii="Palatino Linotype" w:hAnsi="Palatino Linotype"/>
          <w:b/>
          <w:color w:val="000000"/>
          <w:sz w:val="22"/>
          <w:szCs w:val="22"/>
        </w:rPr>
      </w:pPr>
      <w:r w:rsidRPr="00DE38C7">
        <w:rPr>
          <w:rFonts w:ascii="Palatino Linotype" w:hAnsi="Palatino Linotype"/>
          <w:b/>
          <w:color w:val="000000"/>
          <w:sz w:val="22"/>
          <w:szCs w:val="22"/>
        </w:rPr>
        <w:lastRenderedPageBreak/>
        <w:t>Términos de la Resolución para el Recurrente</w:t>
      </w:r>
    </w:p>
    <w:p w14:paraId="5D0C99F7" w14:textId="77777777" w:rsidR="001D5AF4" w:rsidRPr="00DE38C7" w:rsidRDefault="001D5AF4" w:rsidP="001D5AF4">
      <w:pPr>
        <w:spacing w:line="360" w:lineRule="auto"/>
        <w:contextualSpacing/>
        <w:jc w:val="both"/>
        <w:rPr>
          <w:rFonts w:ascii="Palatino Linotype" w:hAnsi="Palatino Linotype"/>
          <w:b/>
          <w:color w:val="000000"/>
          <w:sz w:val="22"/>
          <w:szCs w:val="22"/>
        </w:rPr>
      </w:pPr>
    </w:p>
    <w:p w14:paraId="477B83E1" w14:textId="77777777" w:rsidR="001D5AF4" w:rsidRDefault="001D5AF4" w:rsidP="001D5AF4">
      <w:pPr>
        <w:spacing w:line="360" w:lineRule="auto"/>
        <w:contextualSpacing/>
        <w:jc w:val="both"/>
        <w:rPr>
          <w:rFonts w:ascii="Palatino Linotype" w:hAnsi="Palatino Linotype"/>
          <w:color w:val="000000"/>
          <w:sz w:val="22"/>
          <w:szCs w:val="22"/>
        </w:rPr>
      </w:pPr>
      <w:r w:rsidRPr="00DE38C7">
        <w:rPr>
          <w:rFonts w:ascii="Palatino Linotype" w:hAnsi="Palatino Linotype"/>
          <w:color w:val="000000"/>
          <w:sz w:val="22"/>
          <w:szCs w:val="22"/>
        </w:rPr>
        <w:t>Se le hace del conocimiento al Particular, que, en el presente caso, se le concede la razón, pues l</w:t>
      </w:r>
      <w:r>
        <w:rPr>
          <w:rFonts w:ascii="Palatino Linotype" w:hAnsi="Palatino Linotype"/>
          <w:color w:val="000000"/>
          <w:sz w:val="22"/>
          <w:szCs w:val="22"/>
        </w:rPr>
        <w:t>a</w:t>
      </w:r>
      <w:r w:rsidRPr="00DE38C7">
        <w:rPr>
          <w:rFonts w:ascii="Palatino Linotype" w:hAnsi="Palatino Linotype"/>
          <w:color w:val="000000"/>
          <w:sz w:val="22"/>
          <w:szCs w:val="22"/>
        </w:rPr>
        <w:t xml:space="preserve"> </w:t>
      </w:r>
      <w:r>
        <w:rPr>
          <w:rFonts w:ascii="Palatino Linotype" w:hAnsi="Palatino Linotype"/>
          <w:color w:val="000000"/>
          <w:sz w:val="22"/>
          <w:szCs w:val="22"/>
        </w:rPr>
        <w:t xml:space="preserve">Secretaría de </w:t>
      </w:r>
      <w:r w:rsidR="0052389C">
        <w:rPr>
          <w:rFonts w:ascii="Palatino Linotype" w:hAnsi="Palatino Linotype"/>
          <w:color w:val="000000"/>
          <w:sz w:val="22"/>
          <w:szCs w:val="22"/>
        </w:rPr>
        <w:t>Segur</w:t>
      </w:r>
      <w:r>
        <w:rPr>
          <w:rFonts w:ascii="Palatino Linotype" w:hAnsi="Palatino Linotype"/>
          <w:color w:val="000000"/>
          <w:sz w:val="22"/>
          <w:szCs w:val="22"/>
        </w:rPr>
        <w:t>idad</w:t>
      </w:r>
      <w:r w:rsidRPr="00DE38C7">
        <w:rPr>
          <w:rFonts w:ascii="Palatino Linotype" w:hAnsi="Palatino Linotype"/>
          <w:color w:val="000000"/>
          <w:sz w:val="22"/>
          <w:szCs w:val="22"/>
        </w:rPr>
        <w:t xml:space="preserve">, si bien, proporcionó </w:t>
      </w:r>
      <w:r w:rsidR="0052389C">
        <w:rPr>
          <w:rFonts w:ascii="Palatino Linotype" w:hAnsi="Palatino Linotype"/>
          <w:color w:val="000000"/>
          <w:sz w:val="22"/>
          <w:szCs w:val="22"/>
        </w:rPr>
        <w:t>un enlace por el que indicó que se localizaba</w:t>
      </w:r>
      <w:r>
        <w:rPr>
          <w:rFonts w:ascii="Palatino Linotype" w:hAnsi="Palatino Linotype"/>
          <w:color w:val="000000"/>
          <w:sz w:val="22"/>
          <w:szCs w:val="22"/>
        </w:rPr>
        <w:t xml:space="preserve"> lo solicitado</w:t>
      </w:r>
      <w:r w:rsidRPr="00DE38C7">
        <w:rPr>
          <w:rFonts w:ascii="Palatino Linotype" w:hAnsi="Palatino Linotype"/>
          <w:color w:val="000000"/>
          <w:sz w:val="22"/>
          <w:szCs w:val="22"/>
        </w:rPr>
        <w:t xml:space="preserve">, lo cierto es que la proporcionó </w:t>
      </w:r>
      <w:r>
        <w:rPr>
          <w:rFonts w:ascii="Palatino Linotype" w:hAnsi="Palatino Linotype"/>
          <w:color w:val="000000"/>
          <w:sz w:val="22"/>
          <w:szCs w:val="22"/>
        </w:rPr>
        <w:t xml:space="preserve">en </w:t>
      </w:r>
      <w:r w:rsidR="0052389C">
        <w:rPr>
          <w:rFonts w:ascii="Palatino Linotype" w:hAnsi="Palatino Linotype"/>
          <w:color w:val="000000"/>
          <w:sz w:val="22"/>
          <w:szCs w:val="22"/>
        </w:rPr>
        <w:t>formato cerrado</w:t>
      </w:r>
      <w:r w:rsidRPr="00DE38C7">
        <w:rPr>
          <w:rFonts w:ascii="Palatino Linotype" w:hAnsi="Palatino Linotype"/>
          <w:color w:val="000000"/>
          <w:sz w:val="22"/>
          <w:szCs w:val="22"/>
        </w:rPr>
        <w:t>, por lo que deberá proporcionar los documentos requeridos en</w:t>
      </w:r>
      <w:r>
        <w:rPr>
          <w:rFonts w:ascii="Palatino Linotype" w:hAnsi="Palatino Linotype"/>
          <w:color w:val="000000"/>
          <w:sz w:val="22"/>
          <w:szCs w:val="22"/>
        </w:rPr>
        <w:t xml:space="preserve"> su caso en</w:t>
      </w:r>
      <w:r w:rsidRPr="00DE38C7">
        <w:rPr>
          <w:rFonts w:ascii="Palatino Linotype" w:hAnsi="Palatino Linotype"/>
          <w:color w:val="000000"/>
          <w:sz w:val="22"/>
          <w:szCs w:val="22"/>
        </w:rPr>
        <w:t xml:space="preserve"> versión </w:t>
      </w:r>
      <w:r>
        <w:rPr>
          <w:rFonts w:ascii="Palatino Linotype" w:hAnsi="Palatino Linotype"/>
          <w:color w:val="000000"/>
          <w:sz w:val="22"/>
          <w:szCs w:val="22"/>
        </w:rPr>
        <w:t>íntegra</w:t>
      </w:r>
      <w:r w:rsidRPr="00DE38C7">
        <w:rPr>
          <w:rFonts w:ascii="Palatino Linotype" w:hAnsi="Palatino Linotype"/>
          <w:color w:val="000000"/>
          <w:sz w:val="22"/>
          <w:szCs w:val="22"/>
        </w:rPr>
        <w:t>. La labor del Instituto, es apoyar a la población para acceder a la información pública y garantizar la protección de los datos personales.</w:t>
      </w:r>
    </w:p>
    <w:p w14:paraId="687F1ED6" w14:textId="77777777" w:rsidR="001D5AF4" w:rsidRPr="00D86ECA" w:rsidRDefault="001D5AF4" w:rsidP="001D5AF4">
      <w:pPr>
        <w:spacing w:line="360" w:lineRule="auto"/>
        <w:contextualSpacing/>
        <w:jc w:val="both"/>
        <w:rPr>
          <w:rFonts w:ascii="Palatino Linotype" w:hAnsi="Palatino Linotype"/>
          <w:color w:val="000000"/>
          <w:sz w:val="22"/>
          <w:szCs w:val="22"/>
        </w:rPr>
      </w:pPr>
    </w:p>
    <w:p w14:paraId="6FCED83F" w14:textId="77777777" w:rsidR="001D5AF4" w:rsidRDefault="001D5AF4" w:rsidP="001D5AF4">
      <w:pPr>
        <w:spacing w:line="360" w:lineRule="auto"/>
        <w:ind w:right="-93"/>
        <w:contextualSpacing/>
        <w:jc w:val="both"/>
        <w:rPr>
          <w:rFonts w:ascii="Palatino Linotype" w:hAnsi="Palatino Linotype"/>
          <w:color w:val="000000"/>
          <w:sz w:val="22"/>
          <w:szCs w:val="22"/>
        </w:rPr>
      </w:pPr>
      <w:r w:rsidRPr="00D86ECA">
        <w:rPr>
          <w:rFonts w:ascii="Palatino Linotype" w:hAnsi="Palatino Linotype"/>
          <w:color w:val="000000"/>
          <w:sz w:val="22"/>
          <w:szCs w:val="22"/>
        </w:rPr>
        <w:t>Por lo expuesto y fundado, este Pleno:</w:t>
      </w:r>
    </w:p>
    <w:p w14:paraId="6D4AE74A" w14:textId="77777777" w:rsidR="001D5AF4" w:rsidRPr="00D86ECA" w:rsidRDefault="001D5AF4" w:rsidP="001D5AF4">
      <w:pPr>
        <w:spacing w:line="360" w:lineRule="auto"/>
        <w:ind w:right="-93"/>
        <w:contextualSpacing/>
        <w:jc w:val="both"/>
        <w:rPr>
          <w:rFonts w:ascii="Palatino Linotype" w:hAnsi="Palatino Linotype"/>
          <w:color w:val="000000"/>
          <w:sz w:val="22"/>
          <w:szCs w:val="22"/>
        </w:rPr>
      </w:pPr>
    </w:p>
    <w:p w14:paraId="6D97EC34" w14:textId="77777777" w:rsidR="001D5AF4" w:rsidRPr="00903CC5" w:rsidRDefault="001D5AF4" w:rsidP="001D5AF4">
      <w:pPr>
        <w:pStyle w:val="Ttulo1"/>
        <w:spacing w:before="0" w:after="0" w:line="360" w:lineRule="auto"/>
        <w:contextualSpacing/>
        <w:jc w:val="center"/>
        <w:rPr>
          <w:rFonts w:ascii="Palatino Linotype" w:eastAsia="Calibri" w:hAnsi="Palatino Linotype"/>
          <w:b/>
          <w:bCs/>
          <w:color w:val="auto"/>
          <w:sz w:val="22"/>
          <w:szCs w:val="22"/>
        </w:rPr>
      </w:pPr>
      <w:bookmarkStart w:id="33" w:name="_Toc203518784"/>
      <w:bookmarkStart w:id="34" w:name="_Toc213337148"/>
      <w:bookmarkStart w:id="35" w:name="_Toc224833589"/>
      <w:r w:rsidRPr="00903CC5">
        <w:rPr>
          <w:rFonts w:ascii="Palatino Linotype" w:eastAsia="Calibri" w:hAnsi="Palatino Linotype"/>
          <w:b/>
          <w:bCs/>
          <w:color w:val="auto"/>
          <w:sz w:val="22"/>
          <w:szCs w:val="22"/>
        </w:rPr>
        <w:t>R E S U E L V E</w:t>
      </w:r>
      <w:bookmarkEnd w:id="32"/>
      <w:bookmarkEnd w:id="33"/>
      <w:bookmarkEnd w:id="34"/>
      <w:bookmarkEnd w:id="35"/>
    </w:p>
    <w:p w14:paraId="784D7D80" w14:textId="77777777" w:rsidR="001D5AF4" w:rsidRPr="00B71E3E" w:rsidRDefault="001D5AF4" w:rsidP="001D5AF4">
      <w:pPr>
        <w:spacing w:line="360" w:lineRule="auto"/>
        <w:ind w:right="-28"/>
        <w:contextualSpacing/>
        <w:jc w:val="both"/>
        <w:rPr>
          <w:rFonts w:ascii="Palatino Linotype" w:hAnsi="Palatino Linotype" w:cs="Tahoma"/>
          <w:b/>
          <w:bCs/>
          <w:sz w:val="22"/>
          <w:szCs w:val="22"/>
        </w:rPr>
      </w:pPr>
    </w:p>
    <w:p w14:paraId="4FD48605" w14:textId="77777777" w:rsidR="001D5AF4" w:rsidRPr="00B71E3E" w:rsidRDefault="001D5AF4" w:rsidP="001D5AF4">
      <w:pPr>
        <w:widowControl w:val="0"/>
        <w:spacing w:line="360" w:lineRule="auto"/>
        <w:contextualSpacing/>
        <w:jc w:val="both"/>
        <w:rPr>
          <w:rFonts w:ascii="Palatino Linotype" w:eastAsia="Calibri" w:hAnsi="Palatino Linotype"/>
          <w:b/>
          <w:bCs/>
          <w:sz w:val="22"/>
          <w:szCs w:val="22"/>
        </w:rPr>
      </w:pPr>
      <w:r w:rsidRPr="00B71E3E">
        <w:rPr>
          <w:rFonts w:ascii="Palatino Linotype" w:eastAsia="Calibri" w:hAnsi="Palatino Linotype"/>
          <w:b/>
          <w:bCs/>
          <w:sz w:val="22"/>
          <w:szCs w:val="22"/>
        </w:rPr>
        <w:t xml:space="preserve">PRIMERO. </w:t>
      </w:r>
      <w:r w:rsidRPr="00B71E3E">
        <w:rPr>
          <w:rFonts w:ascii="Palatino Linotype" w:eastAsia="Calibri" w:hAnsi="Palatino Linotype"/>
          <w:sz w:val="22"/>
          <w:szCs w:val="22"/>
        </w:rPr>
        <w:t xml:space="preserve">Se </w:t>
      </w:r>
      <w:r>
        <w:rPr>
          <w:rFonts w:ascii="Palatino Linotype" w:eastAsia="Calibri" w:hAnsi="Palatino Linotype"/>
          <w:b/>
          <w:bCs/>
          <w:sz w:val="22"/>
          <w:szCs w:val="22"/>
        </w:rPr>
        <w:t>MODIFICA</w:t>
      </w:r>
      <w:r w:rsidRPr="00B71E3E">
        <w:rPr>
          <w:rFonts w:ascii="Palatino Linotype" w:eastAsia="Calibri" w:hAnsi="Palatino Linotype"/>
          <w:b/>
          <w:bCs/>
          <w:sz w:val="22"/>
          <w:szCs w:val="22"/>
        </w:rPr>
        <w:t xml:space="preserve"> </w:t>
      </w:r>
      <w:r w:rsidRPr="00B71E3E">
        <w:rPr>
          <w:rFonts w:ascii="Palatino Linotype" w:eastAsia="Calibri" w:hAnsi="Palatino Linotype"/>
          <w:sz w:val="22"/>
          <w:szCs w:val="22"/>
        </w:rPr>
        <w:t>la</w:t>
      </w:r>
      <w:r w:rsidRPr="00B71E3E">
        <w:rPr>
          <w:rFonts w:ascii="Palatino Linotype" w:eastAsia="Calibri" w:hAnsi="Palatino Linotype"/>
          <w:b/>
          <w:bCs/>
          <w:sz w:val="22"/>
          <w:szCs w:val="22"/>
        </w:rPr>
        <w:t xml:space="preserve"> </w:t>
      </w:r>
      <w:r w:rsidRPr="00B71E3E">
        <w:rPr>
          <w:rFonts w:ascii="Palatino Linotype" w:eastAsia="Calibri" w:hAnsi="Palatino Linotype"/>
          <w:sz w:val="22"/>
          <w:szCs w:val="22"/>
        </w:rPr>
        <w:t>respuesta entregada por l</w:t>
      </w:r>
      <w:r>
        <w:rPr>
          <w:rFonts w:ascii="Palatino Linotype" w:eastAsia="Calibri" w:hAnsi="Palatino Linotype"/>
          <w:sz w:val="22"/>
          <w:szCs w:val="22"/>
        </w:rPr>
        <w:t>a</w:t>
      </w:r>
      <w:r w:rsidRPr="00B71E3E">
        <w:rPr>
          <w:rFonts w:ascii="Palatino Linotype" w:eastAsia="Calibri" w:hAnsi="Palatino Linotype"/>
          <w:sz w:val="22"/>
          <w:szCs w:val="22"/>
        </w:rPr>
        <w:t xml:space="preserve"> </w:t>
      </w:r>
      <w:r w:rsidR="0052389C">
        <w:rPr>
          <w:rFonts w:ascii="Palatino Linotype" w:eastAsia="Calibri" w:hAnsi="Palatino Linotype"/>
          <w:sz w:val="22"/>
          <w:szCs w:val="22"/>
        </w:rPr>
        <w:t>Secretaría de Segur</w:t>
      </w:r>
      <w:r>
        <w:rPr>
          <w:rFonts w:ascii="Palatino Linotype" w:eastAsia="Calibri" w:hAnsi="Palatino Linotype"/>
          <w:sz w:val="22"/>
          <w:szCs w:val="22"/>
        </w:rPr>
        <w:t xml:space="preserve">idad </w:t>
      </w:r>
      <w:r w:rsidRPr="00B71E3E">
        <w:rPr>
          <w:rFonts w:ascii="Palatino Linotype" w:eastAsia="Calibri" w:hAnsi="Palatino Linotype"/>
          <w:sz w:val="22"/>
          <w:szCs w:val="22"/>
        </w:rPr>
        <w:t xml:space="preserve">a la solicitud de </w:t>
      </w:r>
      <w:r w:rsidRPr="00806FE8">
        <w:rPr>
          <w:rFonts w:ascii="Palatino Linotype" w:eastAsia="Calibri" w:hAnsi="Palatino Linotype"/>
          <w:sz w:val="22"/>
          <w:szCs w:val="22"/>
        </w:rPr>
        <w:t xml:space="preserve">información </w:t>
      </w:r>
      <w:r w:rsidR="0052389C" w:rsidRPr="0052389C">
        <w:rPr>
          <w:rFonts w:ascii="Palatino Linotype" w:eastAsia="Palatino Linotype" w:hAnsi="Palatino Linotype" w:cs="Palatino Linotype"/>
          <w:sz w:val="22"/>
          <w:szCs w:val="22"/>
        </w:rPr>
        <w:t>00500/SSEM/IP/2025</w:t>
      </w:r>
      <w:r w:rsidR="0052389C">
        <w:rPr>
          <w:rFonts w:ascii="Palatino Linotype" w:eastAsia="Palatino Linotype" w:hAnsi="Palatino Linotype" w:cs="Palatino Linotype"/>
          <w:sz w:val="22"/>
          <w:szCs w:val="22"/>
        </w:rPr>
        <w:t xml:space="preserve"> </w:t>
      </w:r>
      <w:r w:rsidRPr="00806FE8">
        <w:rPr>
          <w:rFonts w:ascii="Palatino Linotype" w:eastAsia="Calibri" w:hAnsi="Palatino Linotype"/>
          <w:sz w:val="22"/>
          <w:szCs w:val="22"/>
        </w:rPr>
        <w:t>por</w:t>
      </w:r>
      <w:r w:rsidRPr="00B71E3E">
        <w:rPr>
          <w:rFonts w:ascii="Palatino Linotype" w:eastAsia="Calibri" w:hAnsi="Palatino Linotype"/>
          <w:sz w:val="22"/>
          <w:szCs w:val="22"/>
        </w:rPr>
        <w:t xml:space="preserve"> resultar </w:t>
      </w:r>
      <w:r w:rsidRPr="00B71E3E">
        <w:rPr>
          <w:rFonts w:ascii="Palatino Linotype" w:eastAsia="Calibri" w:hAnsi="Palatino Linotype"/>
          <w:b/>
          <w:bCs/>
          <w:caps/>
          <w:sz w:val="22"/>
          <w:szCs w:val="22"/>
        </w:rPr>
        <w:t>fundadas</w:t>
      </w:r>
      <w:r w:rsidRPr="00B71E3E">
        <w:rPr>
          <w:rFonts w:ascii="Palatino Linotype" w:eastAsia="Calibri" w:hAnsi="Palatino Linotype"/>
          <w:sz w:val="22"/>
          <w:szCs w:val="22"/>
        </w:rPr>
        <w:t xml:space="preserve"> las razones o motivos de inconformidad hechos valer por el Recurrente, en términos de los considerandos QUINTO y SEXTO de la presente Resolución.</w:t>
      </w:r>
    </w:p>
    <w:p w14:paraId="272644A9" w14:textId="77777777" w:rsidR="001D5AF4" w:rsidRPr="00B71E3E" w:rsidRDefault="001D5AF4" w:rsidP="001D5AF4">
      <w:pPr>
        <w:widowControl w:val="0"/>
        <w:spacing w:line="360" w:lineRule="auto"/>
        <w:contextualSpacing/>
        <w:jc w:val="both"/>
        <w:rPr>
          <w:rFonts w:ascii="Palatino Linotype" w:eastAsia="Calibri" w:hAnsi="Palatino Linotype"/>
          <w:sz w:val="22"/>
          <w:szCs w:val="22"/>
        </w:rPr>
      </w:pPr>
    </w:p>
    <w:p w14:paraId="1C7C9998" w14:textId="3EAD7D4A" w:rsidR="00F55523" w:rsidRDefault="001D5AF4" w:rsidP="001D5AF4">
      <w:pPr>
        <w:spacing w:line="360" w:lineRule="auto"/>
        <w:contextualSpacing/>
        <w:jc w:val="both"/>
        <w:rPr>
          <w:rFonts w:ascii="Palatino Linotype" w:eastAsia="Calibri" w:hAnsi="Palatino Linotype" w:cs="Tahoma"/>
          <w:sz w:val="22"/>
          <w:szCs w:val="22"/>
        </w:rPr>
      </w:pPr>
      <w:r w:rsidRPr="00DE38C7">
        <w:rPr>
          <w:rFonts w:ascii="Palatino Linotype" w:hAnsi="Palatino Linotype"/>
          <w:b/>
          <w:sz w:val="22"/>
          <w:szCs w:val="22"/>
        </w:rPr>
        <w:t xml:space="preserve">SEGUNDO. </w:t>
      </w:r>
      <w:r w:rsidRPr="00DE38C7">
        <w:rPr>
          <w:rFonts w:ascii="Palatino Linotype" w:hAnsi="Palatino Linotype"/>
          <w:sz w:val="22"/>
          <w:szCs w:val="22"/>
        </w:rPr>
        <w:t xml:space="preserve">Se </w:t>
      </w:r>
      <w:r w:rsidRPr="00DE38C7">
        <w:rPr>
          <w:rFonts w:ascii="Palatino Linotype" w:hAnsi="Palatino Linotype"/>
          <w:b/>
          <w:sz w:val="22"/>
          <w:szCs w:val="22"/>
        </w:rPr>
        <w:t>ORDENA</w:t>
      </w:r>
      <w:r w:rsidRPr="00DE38C7">
        <w:rPr>
          <w:rFonts w:ascii="Palatino Linotype" w:hAnsi="Palatino Linotype"/>
          <w:sz w:val="22"/>
          <w:szCs w:val="22"/>
        </w:rPr>
        <w:t xml:space="preserve"> al Ente Recurrido</w:t>
      </w:r>
      <w:r w:rsidRPr="00DE38C7">
        <w:rPr>
          <w:rFonts w:ascii="Palatino Linotype" w:hAnsi="Palatino Linotype"/>
          <w:b/>
          <w:sz w:val="22"/>
          <w:szCs w:val="22"/>
        </w:rPr>
        <w:t xml:space="preserve">, </w:t>
      </w:r>
      <w:r w:rsidRPr="00DE38C7">
        <w:rPr>
          <w:rFonts w:ascii="Palatino Linotype" w:hAnsi="Palatino Linotype" w:cs="Tahoma"/>
          <w:sz w:val="22"/>
          <w:szCs w:val="22"/>
        </w:rPr>
        <w:t xml:space="preserve">a efecto de que </w:t>
      </w:r>
      <w:r>
        <w:rPr>
          <w:rFonts w:ascii="Palatino Linotype" w:hAnsi="Palatino Linotype" w:cs="Tahoma"/>
          <w:sz w:val="22"/>
          <w:szCs w:val="22"/>
        </w:rPr>
        <w:t xml:space="preserve">previa búsqueda exhaustiva y razonable en las unidades administrativas competentes, </w:t>
      </w:r>
      <w:r w:rsidRPr="00DE38C7">
        <w:rPr>
          <w:rFonts w:ascii="Palatino Linotype" w:eastAsia="Calibri" w:hAnsi="Palatino Linotype" w:cs="Tahoma"/>
          <w:sz w:val="22"/>
          <w:szCs w:val="22"/>
        </w:rPr>
        <w:t xml:space="preserve">entregue </w:t>
      </w:r>
      <w:r>
        <w:rPr>
          <w:rFonts w:ascii="Palatino Linotype" w:eastAsia="Calibri" w:hAnsi="Palatino Linotype" w:cs="Tahoma"/>
          <w:sz w:val="22"/>
          <w:szCs w:val="22"/>
        </w:rPr>
        <w:t xml:space="preserve">en su caso, en versión pública, </w:t>
      </w:r>
      <w:r w:rsidRPr="00DE38C7">
        <w:rPr>
          <w:rFonts w:ascii="Palatino Linotype" w:eastAsia="Calibri" w:hAnsi="Palatino Linotype" w:cs="Tahoma"/>
          <w:sz w:val="22"/>
          <w:szCs w:val="22"/>
        </w:rPr>
        <w:t xml:space="preserve">a través del SAIMEX, </w:t>
      </w:r>
      <w:r>
        <w:rPr>
          <w:rFonts w:ascii="Palatino Linotype" w:eastAsia="Calibri" w:hAnsi="Palatino Linotype" w:cs="Tahoma"/>
          <w:sz w:val="22"/>
          <w:szCs w:val="22"/>
        </w:rPr>
        <w:t xml:space="preserve">los documentos </w:t>
      </w:r>
      <w:r w:rsidR="00F55523">
        <w:rPr>
          <w:rFonts w:ascii="Palatino Linotype" w:eastAsia="Calibri" w:hAnsi="Palatino Linotype" w:cs="Tahoma"/>
          <w:sz w:val="22"/>
          <w:szCs w:val="22"/>
        </w:rPr>
        <w:t>donde conste lo siguiente:</w:t>
      </w:r>
    </w:p>
    <w:p w14:paraId="10EF0961" w14:textId="77777777" w:rsidR="00F55523" w:rsidRDefault="00F55523" w:rsidP="001D5AF4">
      <w:pPr>
        <w:spacing w:line="360" w:lineRule="auto"/>
        <w:contextualSpacing/>
        <w:jc w:val="both"/>
        <w:rPr>
          <w:rFonts w:ascii="Palatino Linotype" w:eastAsia="Calibri" w:hAnsi="Palatino Linotype" w:cs="Tahoma"/>
          <w:sz w:val="22"/>
          <w:szCs w:val="22"/>
        </w:rPr>
      </w:pPr>
    </w:p>
    <w:p w14:paraId="7CFD077E" w14:textId="1B830E64" w:rsidR="00F55523" w:rsidRPr="00F55523" w:rsidRDefault="00F55523" w:rsidP="00F55523">
      <w:pPr>
        <w:pStyle w:val="Prrafodelista"/>
        <w:numPr>
          <w:ilvl w:val="0"/>
          <w:numId w:val="47"/>
        </w:numPr>
        <w:spacing w:line="360" w:lineRule="auto"/>
        <w:jc w:val="both"/>
        <w:rPr>
          <w:rFonts w:ascii="Palatino Linotype" w:eastAsia="Calibri" w:hAnsi="Palatino Linotype" w:cs="Tahoma"/>
          <w:sz w:val="22"/>
          <w:szCs w:val="22"/>
        </w:rPr>
      </w:pPr>
      <w:r>
        <w:rPr>
          <w:rFonts w:ascii="Palatino Linotype" w:hAnsi="Palatino Linotype" w:cs="Tahoma"/>
          <w:sz w:val="22"/>
          <w:szCs w:val="22"/>
        </w:rPr>
        <w:t>Las unidades administrativas o dependencias, a las cuales la Secretaría de Seguridad transfiere datos personales, al nueve de septiembre de dos mil veinticinco.</w:t>
      </w:r>
    </w:p>
    <w:p w14:paraId="72238782" w14:textId="77777777" w:rsidR="00F55523" w:rsidRDefault="00F55523" w:rsidP="001D5AF4">
      <w:pPr>
        <w:spacing w:line="360" w:lineRule="auto"/>
        <w:contextualSpacing/>
        <w:jc w:val="both"/>
        <w:rPr>
          <w:rFonts w:ascii="Palatino Linotype" w:eastAsia="Calibri" w:hAnsi="Palatino Linotype" w:cs="Tahoma"/>
          <w:sz w:val="22"/>
          <w:szCs w:val="22"/>
        </w:rPr>
      </w:pPr>
    </w:p>
    <w:p w14:paraId="58A8081F" w14:textId="77777777" w:rsidR="00F55523" w:rsidRDefault="00F55523" w:rsidP="001D5AF4">
      <w:pPr>
        <w:spacing w:line="360" w:lineRule="auto"/>
        <w:contextualSpacing/>
        <w:jc w:val="both"/>
        <w:rPr>
          <w:rFonts w:ascii="Palatino Linotype" w:eastAsia="Calibri" w:hAnsi="Palatino Linotype" w:cs="Tahoma"/>
          <w:sz w:val="22"/>
          <w:szCs w:val="22"/>
        </w:rPr>
      </w:pPr>
    </w:p>
    <w:p w14:paraId="6D7359C5" w14:textId="58127F3C" w:rsidR="001D5AF4" w:rsidRPr="00132133" w:rsidRDefault="001D5AF4" w:rsidP="001D5AF4">
      <w:pPr>
        <w:spacing w:line="360" w:lineRule="auto"/>
        <w:contextualSpacing/>
        <w:jc w:val="both"/>
        <w:rPr>
          <w:rFonts w:ascii="Palatino Linotype" w:eastAsia="Calibri" w:hAnsi="Palatino Linotype" w:cs="Tahoma"/>
          <w:iCs/>
          <w:sz w:val="22"/>
          <w:szCs w:val="22"/>
        </w:rPr>
      </w:pPr>
      <w:r w:rsidRPr="00132133">
        <w:rPr>
          <w:rFonts w:ascii="Palatino Linotype" w:eastAsia="Calibri" w:hAnsi="Palatino Linotype" w:cs="Tahoma"/>
          <w:iCs/>
          <w:sz w:val="22"/>
          <w:szCs w:val="22"/>
        </w:rPr>
        <w:lastRenderedPageBreak/>
        <w:t xml:space="preserve">Además, </w:t>
      </w:r>
      <w:r w:rsidR="00012747">
        <w:rPr>
          <w:rFonts w:ascii="Palatino Linotype" w:eastAsia="Calibri" w:hAnsi="Palatino Linotype" w:cs="Tahoma"/>
          <w:iCs/>
          <w:sz w:val="22"/>
          <w:szCs w:val="22"/>
        </w:rPr>
        <w:t xml:space="preserve">en caso de ser necesario </w:t>
      </w:r>
      <w:r w:rsidRPr="00132133">
        <w:rPr>
          <w:rFonts w:ascii="Palatino Linotype" w:eastAsia="Calibri" w:hAnsi="Palatino Linotype" w:cs="Tahoma"/>
          <w:iCs/>
          <w:sz w:val="22"/>
          <w:szCs w:val="22"/>
        </w:rPr>
        <w:t>deberá proporcionar el Acuerdo de Clasificación donde el Comité de Transparencia, confirme la eliminación de los datos o información, en la versión pública, de conformidad con los artículos 49, fracciones II y VIII y 132, fracción II, de la Ley de Transparencia y Acceso a la Información Pública del Estado de México y Municipios.</w:t>
      </w:r>
    </w:p>
    <w:p w14:paraId="7D47D718" w14:textId="77777777" w:rsidR="001D5AF4" w:rsidRPr="00132133" w:rsidRDefault="001D5AF4" w:rsidP="001D5AF4">
      <w:pPr>
        <w:spacing w:line="360" w:lineRule="auto"/>
        <w:contextualSpacing/>
        <w:jc w:val="both"/>
        <w:rPr>
          <w:rFonts w:ascii="Palatino Linotype" w:eastAsia="Calibri" w:hAnsi="Palatino Linotype" w:cs="Tahoma"/>
          <w:iCs/>
          <w:sz w:val="22"/>
          <w:szCs w:val="22"/>
        </w:rPr>
      </w:pPr>
    </w:p>
    <w:p w14:paraId="4813AFBA" w14:textId="77777777" w:rsidR="001D5AF4" w:rsidRDefault="001D5AF4" w:rsidP="001D5AF4">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b/>
          <w:bCs/>
          <w:iCs/>
          <w:sz w:val="22"/>
          <w:szCs w:val="22"/>
        </w:rPr>
        <w:t>TERCERO. NOTIFÍQUESE POR SAIMEX</w:t>
      </w:r>
      <w:r w:rsidRPr="00B71E3E">
        <w:rPr>
          <w:rFonts w:ascii="Palatino Linotype" w:eastAsia="Calibri" w:hAnsi="Palatino Linotype" w:cs="Tahoma"/>
          <w:iCs/>
          <w:sz w:val="22"/>
          <w:szCs w:val="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Pr>
          <w:rFonts w:ascii="Palatino Linotype" w:eastAsia="Calibri" w:hAnsi="Palatino Linotype" w:cs="Tahoma"/>
          <w:iCs/>
          <w:sz w:val="22"/>
          <w:szCs w:val="22"/>
        </w:rPr>
        <w:t xml:space="preserve"> </w:t>
      </w:r>
    </w:p>
    <w:p w14:paraId="36493DB9" w14:textId="77777777" w:rsidR="001D5AF4" w:rsidRDefault="001D5AF4" w:rsidP="001D5AF4">
      <w:pPr>
        <w:spacing w:line="360" w:lineRule="auto"/>
        <w:contextualSpacing/>
        <w:jc w:val="both"/>
        <w:rPr>
          <w:rFonts w:ascii="Palatino Linotype" w:eastAsia="Calibri" w:hAnsi="Palatino Linotype" w:cs="Tahoma"/>
          <w:iCs/>
          <w:sz w:val="22"/>
          <w:szCs w:val="22"/>
        </w:rPr>
      </w:pPr>
    </w:p>
    <w:p w14:paraId="32D1C32A" w14:textId="77777777" w:rsidR="001D5AF4" w:rsidRPr="00B71E3E" w:rsidRDefault="001D5AF4" w:rsidP="001D5AF4">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iCs/>
          <w:sz w:val="22"/>
          <w:szCs w:val="22"/>
        </w:rPr>
        <w:t xml:space="preserve">De conformidad con el artículo 198 de la </w:t>
      </w:r>
      <w:r>
        <w:rPr>
          <w:rFonts w:ascii="Palatino Linotype" w:eastAsia="Calibri" w:hAnsi="Palatino Linotype" w:cs="Tahoma"/>
          <w:iCs/>
          <w:sz w:val="22"/>
          <w:szCs w:val="22"/>
        </w:rPr>
        <w:t>Ley de la materia</w:t>
      </w:r>
      <w:r w:rsidRPr="00B71E3E">
        <w:rPr>
          <w:rFonts w:ascii="Palatino Linotype" w:eastAsia="Calibri" w:hAnsi="Palatino Linotype" w:cs="Tahoma"/>
          <w:iCs/>
          <w:sz w:val="22"/>
          <w:szCs w:val="22"/>
        </w:rPr>
        <w:t>, de considerarlo procedente, el Sujeto Obligado de manera fundada y motivada, podrá solicitar una ampliación de plazo para el cumplimiento de la presente Resolución.</w:t>
      </w:r>
    </w:p>
    <w:p w14:paraId="3438FDBF" w14:textId="77777777" w:rsidR="001D5AF4" w:rsidRPr="00B71E3E" w:rsidRDefault="001D5AF4" w:rsidP="001D5AF4">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iCs/>
          <w:sz w:val="22"/>
          <w:szCs w:val="22"/>
        </w:rPr>
        <w:t xml:space="preserve"> </w:t>
      </w:r>
    </w:p>
    <w:p w14:paraId="096B59EA" w14:textId="77777777" w:rsidR="001D5AF4" w:rsidRDefault="001D5AF4" w:rsidP="001D5AF4">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b/>
          <w:bCs/>
          <w:iCs/>
          <w:sz w:val="22"/>
          <w:szCs w:val="22"/>
        </w:rPr>
        <w:t>CUARTO. NOTIFÍQUESE POR SAIMEX</w:t>
      </w:r>
      <w:r w:rsidRPr="00B71E3E">
        <w:rPr>
          <w:rFonts w:ascii="Palatino Linotype" w:eastAsia="Calibri" w:hAnsi="Palatino Linotype" w:cs="Tahoma"/>
          <w:iCs/>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6650B18" w14:textId="77777777" w:rsidR="001D5AF4" w:rsidRDefault="001D5AF4" w:rsidP="001D5AF4">
      <w:pPr>
        <w:spacing w:line="360" w:lineRule="auto"/>
        <w:contextualSpacing/>
        <w:jc w:val="both"/>
        <w:rPr>
          <w:rFonts w:ascii="Palatino Linotype" w:eastAsia="Calibri" w:hAnsi="Palatino Linotype" w:cs="Tahoma"/>
          <w:iCs/>
          <w:sz w:val="22"/>
          <w:szCs w:val="22"/>
        </w:rPr>
      </w:pPr>
    </w:p>
    <w:p w14:paraId="1D67948D" w14:textId="14EFC09A" w:rsidR="001D5AF4" w:rsidRDefault="001D5AF4" w:rsidP="001D5AF4">
      <w:pPr>
        <w:spacing w:line="360" w:lineRule="auto"/>
        <w:contextualSpacing/>
        <w:jc w:val="both"/>
        <w:rPr>
          <w:rFonts w:ascii="Palatino Linotype" w:hAnsi="Palatino Linotype" w:cs="Tahoma"/>
          <w:bCs/>
          <w:iCs/>
          <w:sz w:val="22"/>
          <w:szCs w:val="22"/>
        </w:rPr>
      </w:pPr>
      <w:r w:rsidRPr="00B71E3E">
        <w:rPr>
          <w:rFonts w:ascii="Palatino Linotype" w:eastAsia="Calibri" w:hAnsi="Palatino Linotype" w:cs="Tahoma"/>
          <w:iCs/>
          <w:sz w:val="22"/>
          <w:szCs w:val="22"/>
        </w:rPr>
        <w:t xml:space="preserve">ASÍ LO RESUELVE, POR </w:t>
      </w:r>
      <w:r w:rsidRPr="00B71E3E">
        <w:rPr>
          <w:rFonts w:ascii="Palatino Linotype" w:eastAsia="Calibri" w:hAnsi="Palatino Linotype" w:cs="Tahoma"/>
          <w:b/>
          <w:bCs/>
          <w:iCs/>
          <w:sz w:val="22"/>
          <w:szCs w:val="22"/>
        </w:rPr>
        <w:t>UNANIMIDAD</w:t>
      </w:r>
      <w:r w:rsidRPr="00B71E3E">
        <w:rPr>
          <w:rFonts w:ascii="Palatino Linotype" w:eastAsia="Calibri" w:hAnsi="Palatino Linotype" w:cs="Tahoma"/>
          <w:iCs/>
          <w:sz w:val="22"/>
          <w:szCs w:val="22"/>
        </w:rPr>
        <w:t xml:space="preserve"> DE VOTOS EL PLENO DEL INSTITUTO DE TRANSPARENCIA, ACCESO A LA INFORMACIÓN PÚBLICA Y PROTECCIÓN DE </w:t>
      </w:r>
      <w:r w:rsidRPr="00B71E3E">
        <w:rPr>
          <w:rFonts w:ascii="Palatino Linotype" w:eastAsia="Calibri" w:hAnsi="Palatino Linotype" w:cs="Tahoma"/>
          <w:iCs/>
          <w:sz w:val="22"/>
          <w:szCs w:val="22"/>
        </w:rPr>
        <w:lastRenderedPageBreak/>
        <w:t xml:space="preserve">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Calibri" w:hAnsi="Palatino Linotype" w:cs="Tahoma"/>
          <w:iCs/>
          <w:sz w:val="22"/>
          <w:szCs w:val="22"/>
        </w:rPr>
        <w:t xml:space="preserve">DÉCIMA </w:t>
      </w:r>
      <w:r w:rsidRPr="00B71E3E">
        <w:rPr>
          <w:rFonts w:ascii="Palatino Linotype" w:eastAsia="Calibri" w:hAnsi="Palatino Linotype" w:cs="Tahoma"/>
          <w:iCs/>
          <w:sz w:val="22"/>
          <w:szCs w:val="22"/>
        </w:rPr>
        <w:t xml:space="preserve">SESIÓN ORDINARIA, CELEBRADA EL </w:t>
      </w:r>
      <w:r>
        <w:rPr>
          <w:rFonts w:ascii="Palatino Linotype" w:eastAsia="Calibri" w:hAnsi="Palatino Linotype" w:cs="Tahoma"/>
          <w:iCs/>
          <w:sz w:val="22"/>
          <w:szCs w:val="22"/>
        </w:rPr>
        <w:t xml:space="preserve">DIECINUEVE DE MARZO </w:t>
      </w:r>
      <w:r w:rsidRPr="00B71E3E">
        <w:rPr>
          <w:rFonts w:ascii="Palatino Linotype" w:eastAsia="Calibri" w:hAnsi="Palatino Linotype" w:cs="Tahoma"/>
          <w:iCs/>
          <w:sz w:val="22"/>
          <w:szCs w:val="22"/>
        </w:rPr>
        <w:t>DE DOS MIL VEINTI</w:t>
      </w:r>
      <w:r>
        <w:rPr>
          <w:rFonts w:ascii="Palatino Linotype" w:eastAsia="Calibri" w:hAnsi="Palatino Linotype" w:cs="Tahoma"/>
          <w:iCs/>
          <w:sz w:val="22"/>
          <w:szCs w:val="22"/>
        </w:rPr>
        <w:t>SÉIS</w:t>
      </w:r>
      <w:r w:rsidRPr="00B71E3E">
        <w:rPr>
          <w:rFonts w:ascii="Palatino Linotype" w:eastAsia="Calibri" w:hAnsi="Palatino Linotype" w:cs="Tahoma"/>
          <w:iCs/>
          <w:sz w:val="22"/>
          <w:szCs w:val="22"/>
        </w:rPr>
        <w:t>, ANTE EL SECRETARIO TÉCNICO DEL PLENO, ALEXIS TAPIA RAMÍREZ.</w:t>
      </w:r>
    </w:p>
    <w:p w14:paraId="29BAB061" w14:textId="77777777" w:rsidR="001D5AF4" w:rsidRDefault="001D5AF4" w:rsidP="001D5AF4">
      <w:pPr>
        <w:spacing w:line="360" w:lineRule="auto"/>
        <w:contextualSpacing/>
        <w:jc w:val="both"/>
        <w:rPr>
          <w:rFonts w:ascii="Palatino Linotype" w:eastAsia="Palatino Linotype" w:hAnsi="Palatino Linotype" w:cs="Palatino Linotype"/>
          <w:sz w:val="22"/>
          <w:szCs w:val="22"/>
        </w:rPr>
      </w:pPr>
    </w:p>
    <w:p w14:paraId="7A0D33D4" w14:textId="77777777" w:rsidR="001D5AF4" w:rsidRDefault="001D5AF4" w:rsidP="001D5AF4">
      <w:pPr>
        <w:spacing w:line="360" w:lineRule="auto"/>
        <w:contextualSpacing/>
        <w:jc w:val="both"/>
        <w:rPr>
          <w:rFonts w:ascii="Palatino Linotype" w:eastAsia="Palatino Linotype" w:hAnsi="Palatino Linotype" w:cs="Palatino Linotype"/>
          <w:sz w:val="22"/>
          <w:szCs w:val="22"/>
        </w:rPr>
      </w:pPr>
    </w:p>
    <w:p w14:paraId="678A4DDD" w14:textId="77777777" w:rsidR="001D5AF4" w:rsidRDefault="001D5AF4" w:rsidP="001D5AF4">
      <w:pPr>
        <w:spacing w:line="360" w:lineRule="auto"/>
        <w:contextualSpacing/>
        <w:jc w:val="both"/>
        <w:rPr>
          <w:rFonts w:ascii="Palatino Linotype" w:eastAsia="Palatino Linotype" w:hAnsi="Palatino Linotype" w:cs="Palatino Linotype"/>
          <w:sz w:val="22"/>
          <w:szCs w:val="22"/>
        </w:rPr>
      </w:pPr>
    </w:p>
    <w:p w14:paraId="3FDA0F3F" w14:textId="77777777" w:rsidR="001D5AF4" w:rsidRDefault="001D5AF4" w:rsidP="001D5AF4">
      <w:pPr>
        <w:spacing w:line="360" w:lineRule="auto"/>
        <w:contextualSpacing/>
        <w:rPr>
          <w:rFonts w:ascii="Palatino Linotype" w:eastAsia="Palatino Linotype" w:hAnsi="Palatino Linotype" w:cs="Palatino Linotype"/>
        </w:rPr>
      </w:pPr>
    </w:p>
    <w:p w14:paraId="2B87B64F" w14:textId="77777777" w:rsidR="001D5AF4" w:rsidRDefault="001D5AF4" w:rsidP="001D5AF4">
      <w:pPr>
        <w:spacing w:line="360" w:lineRule="auto"/>
        <w:contextualSpacing/>
        <w:rPr>
          <w:rFonts w:ascii="Palatino Linotype" w:eastAsia="Palatino Linotype" w:hAnsi="Palatino Linotype" w:cs="Palatino Linotype"/>
        </w:rPr>
      </w:pPr>
    </w:p>
    <w:p w14:paraId="1069C70C" w14:textId="77777777" w:rsidR="001D5AF4" w:rsidRDefault="001D5AF4" w:rsidP="001D5AF4">
      <w:pPr>
        <w:spacing w:line="360" w:lineRule="auto"/>
        <w:contextualSpacing/>
        <w:rPr>
          <w:rFonts w:ascii="Palatino Linotype" w:eastAsia="Palatino Linotype" w:hAnsi="Palatino Linotype" w:cs="Palatino Linotype"/>
        </w:rPr>
      </w:pPr>
    </w:p>
    <w:p w14:paraId="4505E2BD" w14:textId="77777777" w:rsidR="001D5AF4" w:rsidRDefault="001D5AF4" w:rsidP="001D5AF4">
      <w:pPr>
        <w:spacing w:line="360" w:lineRule="auto"/>
        <w:contextualSpacing/>
        <w:rPr>
          <w:rFonts w:ascii="Palatino Linotype" w:eastAsia="Palatino Linotype" w:hAnsi="Palatino Linotype" w:cs="Palatino Linotype"/>
        </w:rPr>
      </w:pPr>
    </w:p>
    <w:p w14:paraId="0DD83C2A" w14:textId="77777777" w:rsidR="001D5AF4" w:rsidRDefault="001D5AF4" w:rsidP="001D5AF4">
      <w:pPr>
        <w:spacing w:line="360" w:lineRule="auto"/>
        <w:contextualSpacing/>
        <w:rPr>
          <w:rFonts w:ascii="Palatino Linotype" w:eastAsia="Palatino Linotype" w:hAnsi="Palatino Linotype" w:cs="Palatino Linotype"/>
        </w:rPr>
      </w:pPr>
    </w:p>
    <w:p w14:paraId="3B88C005" w14:textId="77777777" w:rsidR="001D5AF4" w:rsidRDefault="001D5AF4" w:rsidP="001D5AF4">
      <w:pPr>
        <w:spacing w:line="360" w:lineRule="auto"/>
        <w:contextualSpacing/>
        <w:rPr>
          <w:rFonts w:ascii="Palatino Linotype" w:eastAsia="Palatino Linotype" w:hAnsi="Palatino Linotype" w:cs="Palatino Linotype"/>
        </w:rPr>
      </w:pPr>
    </w:p>
    <w:p w14:paraId="083B5277" w14:textId="77777777" w:rsidR="001D5AF4" w:rsidRDefault="001D5AF4" w:rsidP="001D5AF4">
      <w:pPr>
        <w:spacing w:line="360" w:lineRule="auto"/>
        <w:contextualSpacing/>
        <w:rPr>
          <w:rFonts w:ascii="Palatino Linotype" w:eastAsia="Palatino Linotype" w:hAnsi="Palatino Linotype" w:cs="Palatino Linotype"/>
        </w:rPr>
      </w:pPr>
    </w:p>
    <w:p w14:paraId="66D7601E" w14:textId="77777777" w:rsidR="001D5AF4" w:rsidRDefault="001D5AF4" w:rsidP="001D5AF4">
      <w:pPr>
        <w:spacing w:line="360" w:lineRule="auto"/>
        <w:contextualSpacing/>
        <w:rPr>
          <w:rFonts w:ascii="Palatino Linotype" w:eastAsia="Palatino Linotype" w:hAnsi="Palatino Linotype" w:cs="Palatino Linotype"/>
        </w:rPr>
      </w:pPr>
    </w:p>
    <w:p w14:paraId="6F8F4446" w14:textId="77777777" w:rsidR="001D5AF4" w:rsidRDefault="001D5AF4" w:rsidP="001D5AF4">
      <w:pPr>
        <w:spacing w:line="360" w:lineRule="auto"/>
        <w:contextualSpacing/>
        <w:rPr>
          <w:rFonts w:ascii="Palatino Linotype" w:eastAsia="Palatino Linotype" w:hAnsi="Palatino Linotype" w:cs="Palatino Linotype"/>
        </w:rPr>
      </w:pPr>
    </w:p>
    <w:p w14:paraId="663B286A" w14:textId="77777777" w:rsidR="001D5AF4" w:rsidRDefault="001D5AF4" w:rsidP="001D5AF4">
      <w:pPr>
        <w:spacing w:line="360" w:lineRule="auto"/>
        <w:contextualSpacing/>
        <w:rPr>
          <w:rFonts w:ascii="Palatino Linotype" w:eastAsia="Palatino Linotype" w:hAnsi="Palatino Linotype" w:cs="Palatino Linotype"/>
        </w:rPr>
      </w:pPr>
    </w:p>
    <w:p w14:paraId="068A556F" w14:textId="77777777" w:rsidR="001D5AF4" w:rsidRDefault="001D5AF4" w:rsidP="001D5AF4">
      <w:pPr>
        <w:spacing w:line="360" w:lineRule="auto"/>
        <w:contextualSpacing/>
        <w:rPr>
          <w:rFonts w:ascii="Palatino Linotype" w:eastAsia="Palatino Linotype" w:hAnsi="Palatino Linotype" w:cs="Palatino Linotype"/>
        </w:rPr>
      </w:pPr>
    </w:p>
    <w:p w14:paraId="03FC3E86" w14:textId="77777777" w:rsidR="001D5AF4" w:rsidRDefault="001D5AF4" w:rsidP="001D5AF4">
      <w:pPr>
        <w:spacing w:line="360" w:lineRule="auto"/>
        <w:contextualSpacing/>
        <w:rPr>
          <w:rFonts w:ascii="Palatino Linotype" w:eastAsia="Palatino Linotype" w:hAnsi="Palatino Linotype" w:cs="Palatino Linotype"/>
        </w:rPr>
      </w:pPr>
    </w:p>
    <w:p w14:paraId="7EF73AD2" w14:textId="77777777" w:rsidR="001D5AF4" w:rsidRDefault="001D5AF4" w:rsidP="001D5AF4">
      <w:pPr>
        <w:spacing w:line="360" w:lineRule="auto"/>
        <w:contextualSpacing/>
        <w:rPr>
          <w:rFonts w:ascii="Palatino Linotype" w:eastAsia="Palatino Linotype" w:hAnsi="Palatino Linotype" w:cs="Palatino Linotype"/>
        </w:rPr>
      </w:pPr>
    </w:p>
    <w:p w14:paraId="6D988791" w14:textId="77777777" w:rsidR="001D5AF4" w:rsidRDefault="001D5AF4" w:rsidP="001D5AF4">
      <w:pPr>
        <w:spacing w:line="360" w:lineRule="auto"/>
        <w:contextualSpacing/>
        <w:rPr>
          <w:rFonts w:ascii="Palatino Linotype" w:eastAsia="Palatino Linotype" w:hAnsi="Palatino Linotype" w:cs="Palatino Linotype"/>
        </w:rPr>
      </w:pPr>
    </w:p>
    <w:p w14:paraId="0F95BA7E" w14:textId="77777777" w:rsidR="001D5AF4" w:rsidRDefault="001D5AF4" w:rsidP="001D5AF4">
      <w:pPr>
        <w:spacing w:line="360" w:lineRule="auto"/>
        <w:contextualSpacing/>
      </w:pPr>
    </w:p>
    <w:p w14:paraId="7E202E24" w14:textId="77777777" w:rsidR="001D5AF4" w:rsidRDefault="001D5AF4" w:rsidP="001D5AF4">
      <w:pPr>
        <w:spacing w:line="360" w:lineRule="auto"/>
        <w:contextualSpacing/>
      </w:pPr>
    </w:p>
    <w:p w14:paraId="33970806" w14:textId="77777777" w:rsidR="001D5AF4" w:rsidRDefault="001D5AF4" w:rsidP="001D5AF4">
      <w:pPr>
        <w:spacing w:line="360" w:lineRule="auto"/>
        <w:contextualSpacing/>
      </w:pPr>
    </w:p>
    <w:p w14:paraId="441BAC37" w14:textId="77777777" w:rsidR="001D5AF4" w:rsidRDefault="001D5AF4" w:rsidP="001D5AF4">
      <w:pPr>
        <w:spacing w:line="360" w:lineRule="auto"/>
        <w:contextualSpacing/>
      </w:pPr>
    </w:p>
    <w:p w14:paraId="74AA923E" w14:textId="77777777" w:rsidR="001D5AF4" w:rsidRDefault="001D5AF4" w:rsidP="001D5AF4">
      <w:pPr>
        <w:spacing w:line="360" w:lineRule="auto"/>
        <w:contextualSpacing/>
      </w:pPr>
    </w:p>
    <w:p w14:paraId="4EB953AD" w14:textId="77777777" w:rsidR="001D5AF4" w:rsidRDefault="001D5AF4" w:rsidP="001D5AF4">
      <w:pPr>
        <w:spacing w:line="360" w:lineRule="auto"/>
        <w:contextualSpacing/>
      </w:pPr>
    </w:p>
    <w:bookmarkEnd w:id="0"/>
    <w:p w14:paraId="36CBF721" w14:textId="77777777" w:rsidR="001D5AF4" w:rsidRDefault="001D5AF4" w:rsidP="001D5AF4">
      <w:pPr>
        <w:spacing w:line="360" w:lineRule="auto"/>
        <w:contextualSpacing/>
      </w:pPr>
    </w:p>
    <w:p w14:paraId="49D47A50" w14:textId="77777777" w:rsidR="001D5AF4" w:rsidRDefault="001D5AF4" w:rsidP="001D5AF4">
      <w:pPr>
        <w:spacing w:line="360" w:lineRule="auto"/>
        <w:contextualSpacing/>
      </w:pPr>
    </w:p>
    <w:p w14:paraId="77653A48" w14:textId="77777777" w:rsidR="001D5AF4" w:rsidRDefault="001D5AF4" w:rsidP="001D5AF4">
      <w:pPr>
        <w:spacing w:line="360" w:lineRule="auto"/>
        <w:contextualSpacing/>
      </w:pPr>
    </w:p>
    <w:p w14:paraId="0179D997" w14:textId="77777777" w:rsidR="001D5AF4" w:rsidRDefault="001D5AF4" w:rsidP="001D5AF4">
      <w:pPr>
        <w:spacing w:line="360" w:lineRule="auto"/>
        <w:contextualSpacing/>
      </w:pPr>
    </w:p>
    <w:p w14:paraId="3A9D2C07" w14:textId="77777777" w:rsidR="001D5AF4" w:rsidRDefault="001D5AF4" w:rsidP="001D5AF4">
      <w:pPr>
        <w:spacing w:line="360" w:lineRule="auto"/>
        <w:contextualSpacing/>
      </w:pPr>
    </w:p>
    <w:p w14:paraId="3AAEEEE6" w14:textId="77777777" w:rsidR="001D5AF4" w:rsidRDefault="001D5AF4" w:rsidP="001D5AF4">
      <w:pPr>
        <w:spacing w:line="360" w:lineRule="auto"/>
        <w:contextualSpacing/>
      </w:pPr>
    </w:p>
    <w:p w14:paraId="640FB123" w14:textId="77777777" w:rsidR="001D5AF4" w:rsidRDefault="001D5AF4" w:rsidP="001D5AF4">
      <w:pPr>
        <w:spacing w:line="360" w:lineRule="auto"/>
        <w:contextualSpacing/>
      </w:pPr>
    </w:p>
    <w:p w14:paraId="490B85C6" w14:textId="77777777" w:rsidR="001D5AF4" w:rsidRDefault="001D5AF4" w:rsidP="001D5AF4">
      <w:pPr>
        <w:spacing w:line="360" w:lineRule="auto"/>
        <w:contextualSpacing/>
      </w:pPr>
    </w:p>
    <w:p w14:paraId="5A17D2A5" w14:textId="77777777" w:rsidR="001D5AF4" w:rsidRDefault="001D5AF4" w:rsidP="001D5AF4">
      <w:pPr>
        <w:spacing w:line="360" w:lineRule="auto"/>
        <w:contextualSpacing/>
      </w:pPr>
    </w:p>
    <w:p w14:paraId="5EF8FC59" w14:textId="77777777" w:rsidR="001D5AF4" w:rsidRDefault="001D5AF4" w:rsidP="001D5AF4">
      <w:pPr>
        <w:spacing w:line="360" w:lineRule="auto"/>
        <w:contextualSpacing/>
      </w:pPr>
    </w:p>
    <w:p w14:paraId="10F5DE91" w14:textId="77777777" w:rsidR="001D5AF4" w:rsidRDefault="001D5AF4" w:rsidP="001D5AF4">
      <w:pPr>
        <w:spacing w:line="360" w:lineRule="auto"/>
        <w:contextualSpacing/>
      </w:pPr>
    </w:p>
    <w:p w14:paraId="43681A4C" w14:textId="77777777" w:rsidR="00997351" w:rsidRDefault="00997351"/>
    <w:sectPr w:rsidR="00997351" w:rsidSect="001D5AF4">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3B463" w14:textId="77777777" w:rsidR="00CE7131" w:rsidRDefault="00CE7131">
      <w:r>
        <w:separator/>
      </w:r>
    </w:p>
  </w:endnote>
  <w:endnote w:type="continuationSeparator" w:id="0">
    <w:p w14:paraId="5B5FD4A9" w14:textId="77777777" w:rsidR="00CE7131" w:rsidRDefault="00CE7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B8312" w14:textId="77777777" w:rsidR="00CE0C0B" w:rsidRDefault="00CE0C0B">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CE4476">
      <w:rPr>
        <w:rFonts w:ascii="Palatino Linotype" w:eastAsia="Palatino Linotype" w:hAnsi="Palatino Linotype" w:cs="Palatino Linotype"/>
        <w:b/>
        <w:noProof/>
        <w:color w:val="000000"/>
        <w:sz w:val="22"/>
        <w:szCs w:val="22"/>
      </w:rPr>
      <w:t>26</w:t>
    </w:r>
    <w:r>
      <w:rPr>
        <w:rFonts w:ascii="Palatino Linotype" w:eastAsia="Palatino Linotype" w:hAnsi="Palatino Linotype" w:cs="Palatino Linotype"/>
        <w:b/>
        <w:color w:val="000000"/>
        <w:sz w:val="22"/>
        <w:szCs w:val="22"/>
      </w:rPr>
      <w:fldChar w:fldCharType="end"/>
    </w:r>
  </w:p>
  <w:p w14:paraId="35303D61" w14:textId="77777777" w:rsidR="00CE0C0B" w:rsidRDefault="00CE0C0B">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F7918" w14:textId="77777777" w:rsidR="00CE0C0B" w:rsidRDefault="00CE0C0B">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CE4476">
      <w:rPr>
        <w:rFonts w:ascii="Palatino Linotype" w:eastAsia="Palatino Linotype" w:hAnsi="Palatino Linotype" w:cs="Palatino Linotype"/>
        <w:b/>
        <w:noProof/>
        <w:color w:val="000000"/>
        <w:sz w:val="22"/>
        <w:szCs w:val="22"/>
      </w:rPr>
      <w:t>25</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CE4476">
      <w:rPr>
        <w:rFonts w:ascii="Palatino Linotype" w:eastAsia="Palatino Linotype" w:hAnsi="Palatino Linotype" w:cs="Palatino Linotype"/>
        <w:b/>
        <w:noProof/>
        <w:color w:val="000000"/>
        <w:sz w:val="22"/>
        <w:szCs w:val="22"/>
      </w:rPr>
      <w:t>26</w:t>
    </w:r>
    <w:r>
      <w:rPr>
        <w:rFonts w:ascii="Palatino Linotype" w:eastAsia="Palatino Linotype" w:hAnsi="Palatino Linotype" w:cs="Palatino Linotype"/>
        <w:b/>
        <w:color w:val="000000"/>
        <w:sz w:val="22"/>
        <w:szCs w:val="22"/>
      </w:rPr>
      <w:fldChar w:fldCharType="end"/>
    </w:r>
  </w:p>
  <w:p w14:paraId="29256ADB" w14:textId="77777777" w:rsidR="00CE0C0B" w:rsidRDefault="00CE0C0B">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A49C3" w14:textId="77777777" w:rsidR="00CE0C0B" w:rsidRDefault="00CE0C0B">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CE4476">
      <w:rPr>
        <w:rFonts w:ascii="Palatino Linotype" w:eastAsia="Palatino Linotype" w:hAnsi="Palatino Linotype" w:cs="Palatino Linotype"/>
        <w:b/>
        <w:noProof/>
        <w:color w:val="000000"/>
        <w:sz w:val="22"/>
        <w:szCs w:val="22"/>
      </w:rPr>
      <w:t>1</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CE4476">
      <w:rPr>
        <w:rFonts w:ascii="Palatino Linotype" w:eastAsia="Palatino Linotype" w:hAnsi="Palatino Linotype" w:cs="Palatino Linotype"/>
        <w:b/>
        <w:noProof/>
        <w:color w:val="000000"/>
        <w:sz w:val="22"/>
        <w:szCs w:val="22"/>
      </w:rPr>
      <w:t>26</w:t>
    </w:r>
    <w:r>
      <w:rPr>
        <w:rFonts w:ascii="Palatino Linotype" w:eastAsia="Palatino Linotype" w:hAnsi="Palatino Linotype" w:cs="Palatino Linotype"/>
        <w:b/>
        <w:color w:val="000000"/>
        <w:sz w:val="22"/>
        <w:szCs w:val="22"/>
      </w:rPr>
      <w:fldChar w:fldCharType="end"/>
    </w:r>
  </w:p>
  <w:p w14:paraId="317CBF3E" w14:textId="77777777" w:rsidR="00CE0C0B" w:rsidRDefault="00CE0C0B">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7FE03" w14:textId="77777777" w:rsidR="00CE7131" w:rsidRDefault="00CE7131">
      <w:r>
        <w:separator/>
      </w:r>
    </w:p>
  </w:footnote>
  <w:footnote w:type="continuationSeparator" w:id="0">
    <w:p w14:paraId="03F93FAC" w14:textId="77777777" w:rsidR="00CE7131" w:rsidRDefault="00CE7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DAE40" w14:textId="77777777" w:rsidR="00CE0C0B" w:rsidRDefault="00CE0C0B">
    <w:pPr>
      <w:widowControl w:val="0"/>
      <w:pBdr>
        <w:top w:val="nil"/>
        <w:left w:val="nil"/>
        <w:bottom w:val="nil"/>
        <w:right w:val="nil"/>
        <w:between w:val="nil"/>
      </w:pBdr>
      <w:spacing w:line="276" w:lineRule="auto"/>
    </w:pPr>
  </w:p>
  <w:tbl>
    <w:tblPr>
      <w:tblW w:w="9705" w:type="dxa"/>
      <w:tblLayout w:type="fixed"/>
      <w:tblLook w:val="0400" w:firstRow="0" w:lastRow="0" w:firstColumn="0" w:lastColumn="0" w:noHBand="0" w:noVBand="1"/>
    </w:tblPr>
    <w:tblGrid>
      <w:gridCol w:w="2972"/>
      <w:gridCol w:w="6733"/>
    </w:tblGrid>
    <w:tr w:rsidR="00CE0C0B" w14:paraId="642685FE" w14:textId="77777777">
      <w:trPr>
        <w:trHeight w:val="1435"/>
      </w:trPr>
      <w:tc>
        <w:tcPr>
          <w:tcW w:w="2972" w:type="dxa"/>
        </w:tcPr>
        <w:p w14:paraId="6DE2D8C4" w14:textId="77777777" w:rsidR="00CE0C0B" w:rsidRDefault="00CE0C0B">
          <w:pPr>
            <w:tabs>
              <w:tab w:val="right" w:pos="4273"/>
            </w:tabs>
            <w:spacing w:line="256" w:lineRule="auto"/>
            <w:rPr>
              <w:rFonts w:ascii="Garamond" w:eastAsia="Garamond" w:hAnsi="Garamond" w:cs="Garamond"/>
              <w:sz w:val="22"/>
              <w:szCs w:val="22"/>
            </w:rPr>
          </w:pPr>
        </w:p>
      </w:tc>
      <w:tc>
        <w:tcPr>
          <w:tcW w:w="6733" w:type="dxa"/>
        </w:tcPr>
        <w:p w14:paraId="32A2B96F" w14:textId="77777777" w:rsidR="00CE0C0B" w:rsidRDefault="00CE0C0B">
          <w:pPr>
            <w:widowControl w:val="0"/>
            <w:pBdr>
              <w:top w:val="nil"/>
              <w:left w:val="nil"/>
              <w:bottom w:val="nil"/>
              <w:right w:val="nil"/>
              <w:between w:val="nil"/>
            </w:pBdr>
            <w:spacing w:line="276" w:lineRule="auto"/>
            <w:rPr>
              <w:rFonts w:ascii="Garamond" w:eastAsia="Garamond" w:hAnsi="Garamond" w:cs="Garamond"/>
              <w:sz w:val="22"/>
              <w:szCs w:val="22"/>
            </w:rPr>
          </w:pPr>
        </w:p>
        <w:tbl>
          <w:tblPr>
            <w:tblW w:w="5535" w:type="dxa"/>
            <w:tblInd w:w="322" w:type="dxa"/>
            <w:tblBorders>
              <w:top w:val="nil"/>
              <w:left w:val="nil"/>
              <w:bottom w:val="nil"/>
              <w:right w:val="nil"/>
              <w:insideH w:val="nil"/>
              <w:insideV w:val="nil"/>
            </w:tblBorders>
            <w:tblLayout w:type="fixed"/>
            <w:tblLook w:val="0400" w:firstRow="0" w:lastRow="0" w:firstColumn="0" w:lastColumn="0" w:noHBand="0" w:noVBand="1"/>
          </w:tblPr>
          <w:tblGrid>
            <w:gridCol w:w="2447"/>
            <w:gridCol w:w="3088"/>
          </w:tblGrid>
          <w:tr w:rsidR="00CE0C0B" w14:paraId="3D65C96A" w14:textId="77777777">
            <w:trPr>
              <w:trHeight w:val="144"/>
            </w:trPr>
            <w:tc>
              <w:tcPr>
                <w:tcW w:w="2447" w:type="dxa"/>
              </w:tcPr>
              <w:p w14:paraId="27B0B643" w14:textId="77777777" w:rsidR="00CE0C0B" w:rsidRDefault="00CE0C0B">
                <w:pPr>
                  <w:tabs>
                    <w:tab w:val="right" w:pos="8838"/>
                  </w:tabs>
                  <w:ind w:left="-69"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088" w:type="dxa"/>
              </w:tcPr>
              <w:p w14:paraId="414CE123" w14:textId="77777777" w:rsidR="00CE0C0B" w:rsidRDefault="00CE0C0B">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02946/INFOEM/IP/RR/2021</w:t>
                </w:r>
              </w:p>
            </w:tc>
          </w:tr>
          <w:tr w:rsidR="00CE0C0B" w14:paraId="2DC09687" w14:textId="77777777">
            <w:trPr>
              <w:trHeight w:val="283"/>
            </w:trPr>
            <w:tc>
              <w:tcPr>
                <w:tcW w:w="2447" w:type="dxa"/>
              </w:tcPr>
              <w:p w14:paraId="04ECCF36" w14:textId="77777777" w:rsidR="00CE0C0B" w:rsidRDefault="00CE0C0B">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088" w:type="dxa"/>
              </w:tcPr>
              <w:p w14:paraId="0BD60D15" w14:textId="77777777" w:rsidR="00CE0C0B" w:rsidRDefault="00CE0C0B">
                <w:pPr>
                  <w:tabs>
                    <w:tab w:val="left" w:pos="2834"/>
                    <w:tab w:val="right" w:pos="8838"/>
                  </w:tabs>
                  <w:ind w:left="-74" w:right="-105"/>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Ayuntamiento de San Antonio la Isla</w:t>
                </w:r>
              </w:p>
            </w:tc>
          </w:tr>
          <w:tr w:rsidR="00CE0C0B" w14:paraId="55461683" w14:textId="77777777">
            <w:trPr>
              <w:trHeight w:val="283"/>
            </w:trPr>
            <w:tc>
              <w:tcPr>
                <w:tcW w:w="2447" w:type="dxa"/>
              </w:tcPr>
              <w:p w14:paraId="505B7FD9" w14:textId="77777777" w:rsidR="00CE0C0B" w:rsidRDefault="00CE0C0B">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088" w:type="dxa"/>
              </w:tcPr>
              <w:p w14:paraId="61449A9F" w14:textId="77777777" w:rsidR="00CE0C0B" w:rsidRDefault="00CE0C0B">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p w14:paraId="1FECAA18" w14:textId="77777777" w:rsidR="00CE0C0B" w:rsidRDefault="00CE0C0B">
                <w:pPr>
                  <w:tabs>
                    <w:tab w:val="right" w:pos="8838"/>
                  </w:tabs>
                  <w:ind w:left="-74" w:right="-105"/>
                  <w:jc w:val="both"/>
                  <w:rPr>
                    <w:rFonts w:ascii="Palatino Linotype" w:eastAsia="Palatino Linotype" w:hAnsi="Palatino Linotype" w:cs="Palatino Linotype"/>
                    <w:b/>
                    <w:sz w:val="22"/>
                    <w:szCs w:val="22"/>
                  </w:rPr>
                </w:pPr>
              </w:p>
            </w:tc>
          </w:tr>
        </w:tbl>
        <w:p w14:paraId="7CDA777A" w14:textId="77777777" w:rsidR="00CE0C0B" w:rsidRDefault="00CE0C0B">
          <w:pPr>
            <w:tabs>
              <w:tab w:val="right" w:pos="8838"/>
            </w:tabs>
            <w:spacing w:line="256" w:lineRule="auto"/>
            <w:ind w:left="-28"/>
            <w:jc w:val="both"/>
            <w:rPr>
              <w:rFonts w:ascii="Arial" w:eastAsia="Arial" w:hAnsi="Arial" w:cs="Arial"/>
              <w:b/>
              <w:sz w:val="22"/>
              <w:szCs w:val="22"/>
            </w:rPr>
          </w:pPr>
        </w:p>
      </w:tc>
    </w:tr>
  </w:tbl>
  <w:p w14:paraId="34EF5916" w14:textId="77777777" w:rsidR="00CE0C0B" w:rsidRDefault="00CE0C0B">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sz w:val="22"/>
        <w:szCs w:val="22"/>
      </w:rPr>
      <w:drawing>
        <wp:anchor distT="0" distB="0" distL="0" distR="0" simplePos="0" relativeHeight="251656704" behindDoc="1" locked="0" layoutInCell="1" hidden="0" allowOverlap="1" wp14:anchorId="0C31F6F4" wp14:editId="73DBA8C8">
          <wp:simplePos x="0" y="0"/>
          <wp:positionH relativeFrom="margin">
            <wp:posOffset>-1381124</wp:posOffset>
          </wp:positionH>
          <wp:positionV relativeFrom="margin">
            <wp:posOffset>-1611629</wp:posOffset>
          </wp:positionV>
          <wp:extent cx="5612130" cy="7308215"/>
          <wp:effectExtent l="0" t="0" r="0" b="0"/>
          <wp:wrapNone/>
          <wp:docPr id="205032824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612130" cy="730821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6D3E8" w14:textId="77777777" w:rsidR="00CE0C0B" w:rsidRDefault="00CE0C0B">
    <w:pPr>
      <w:widowControl w:val="0"/>
      <w:pBdr>
        <w:top w:val="nil"/>
        <w:left w:val="nil"/>
        <w:bottom w:val="nil"/>
        <w:right w:val="nil"/>
        <w:between w:val="nil"/>
      </w:pBdr>
      <w:spacing w:line="276" w:lineRule="auto"/>
      <w:rPr>
        <w:color w:val="000000"/>
      </w:rPr>
    </w:pPr>
  </w:p>
  <w:tbl>
    <w:tblPr>
      <w:tblW w:w="9356" w:type="dxa"/>
      <w:tblLayout w:type="fixed"/>
      <w:tblLook w:val="0400" w:firstRow="0" w:lastRow="0" w:firstColumn="0" w:lastColumn="0" w:noHBand="0" w:noVBand="1"/>
    </w:tblPr>
    <w:tblGrid>
      <w:gridCol w:w="1985"/>
      <w:gridCol w:w="7371"/>
    </w:tblGrid>
    <w:tr w:rsidR="00CE0C0B" w14:paraId="07F246C7" w14:textId="77777777">
      <w:trPr>
        <w:trHeight w:val="1435"/>
      </w:trPr>
      <w:tc>
        <w:tcPr>
          <w:tcW w:w="1985" w:type="dxa"/>
        </w:tcPr>
        <w:p w14:paraId="012C5C47" w14:textId="77777777" w:rsidR="00CE0C0B" w:rsidRDefault="00CE0C0B">
          <w:pPr>
            <w:tabs>
              <w:tab w:val="right" w:pos="4273"/>
            </w:tabs>
            <w:spacing w:line="256" w:lineRule="auto"/>
            <w:rPr>
              <w:rFonts w:ascii="Garamond" w:eastAsia="Garamond" w:hAnsi="Garamond" w:cs="Garamond"/>
              <w:sz w:val="22"/>
              <w:szCs w:val="22"/>
            </w:rPr>
          </w:pPr>
        </w:p>
      </w:tc>
      <w:tc>
        <w:tcPr>
          <w:tcW w:w="7371" w:type="dxa"/>
        </w:tcPr>
        <w:p w14:paraId="1DDCBFF9" w14:textId="77777777" w:rsidR="00CE0C0B" w:rsidRDefault="00CE0C0B">
          <w:pPr>
            <w:rPr>
              <w:sz w:val="28"/>
              <w:szCs w:val="28"/>
            </w:rPr>
          </w:pPr>
        </w:p>
        <w:tbl>
          <w:tblPr>
            <w:tblW w:w="8072" w:type="dxa"/>
            <w:tblInd w:w="1161" w:type="dxa"/>
            <w:tblBorders>
              <w:top w:val="nil"/>
              <w:left w:val="nil"/>
              <w:bottom w:val="nil"/>
              <w:right w:val="nil"/>
              <w:insideH w:val="nil"/>
              <w:insideV w:val="nil"/>
            </w:tblBorders>
            <w:tblLayout w:type="fixed"/>
            <w:tblLook w:val="0400" w:firstRow="0" w:lastRow="0" w:firstColumn="0" w:lastColumn="0" w:noHBand="0" w:noVBand="1"/>
          </w:tblPr>
          <w:tblGrid>
            <w:gridCol w:w="2700"/>
            <w:gridCol w:w="3118"/>
            <w:gridCol w:w="2254"/>
          </w:tblGrid>
          <w:tr w:rsidR="00CE0C0B" w14:paraId="52D566F2" w14:textId="77777777" w:rsidTr="001D5AF4">
            <w:trPr>
              <w:trHeight w:val="194"/>
            </w:trPr>
            <w:tc>
              <w:tcPr>
                <w:tcW w:w="2700" w:type="dxa"/>
              </w:tcPr>
              <w:p w14:paraId="38BD856E" w14:textId="77777777" w:rsidR="00CE0C0B" w:rsidRDefault="00CE0C0B">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Recurso de Revisión:</w:t>
                </w:r>
              </w:p>
            </w:tc>
            <w:tc>
              <w:tcPr>
                <w:tcW w:w="3118" w:type="dxa"/>
              </w:tcPr>
              <w:p w14:paraId="59B4A75C" w14:textId="77777777" w:rsidR="00CE0C0B" w:rsidRDefault="00CE0C0B" w:rsidP="001D5AF4">
                <w:pPr>
                  <w:tabs>
                    <w:tab w:val="right" w:pos="8838"/>
                  </w:tabs>
                  <w:ind w:left="-57"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011811/INFOEM/IP/RR/2025</w:t>
                </w:r>
              </w:p>
            </w:tc>
            <w:tc>
              <w:tcPr>
                <w:tcW w:w="2254" w:type="dxa"/>
              </w:tcPr>
              <w:p w14:paraId="02856737" w14:textId="77777777" w:rsidR="00CE0C0B" w:rsidRDefault="00CE0C0B">
                <w:pPr>
                  <w:tabs>
                    <w:tab w:val="right" w:pos="8838"/>
                  </w:tabs>
                  <w:ind w:left="-114" w:right="-105"/>
                  <w:jc w:val="both"/>
                  <w:rPr>
                    <w:rFonts w:ascii="Palatino Linotype" w:eastAsia="Palatino Linotype" w:hAnsi="Palatino Linotype" w:cs="Palatino Linotype"/>
                    <w:sz w:val="22"/>
                    <w:szCs w:val="22"/>
                  </w:rPr>
                </w:pPr>
              </w:p>
            </w:tc>
          </w:tr>
          <w:tr w:rsidR="00CE0C0B" w14:paraId="383EA163" w14:textId="77777777" w:rsidTr="001D5AF4">
            <w:trPr>
              <w:trHeight w:val="88"/>
            </w:trPr>
            <w:tc>
              <w:tcPr>
                <w:tcW w:w="2700" w:type="dxa"/>
              </w:tcPr>
              <w:p w14:paraId="5FDB3412" w14:textId="77777777" w:rsidR="00CE0C0B" w:rsidRDefault="00CE0C0B">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Sujeto Obligado:</w:t>
                </w:r>
              </w:p>
            </w:tc>
            <w:tc>
              <w:tcPr>
                <w:tcW w:w="3118" w:type="dxa"/>
              </w:tcPr>
              <w:p w14:paraId="7769856E" w14:textId="77777777" w:rsidR="00CE0C0B" w:rsidRPr="00FE651E" w:rsidRDefault="00CE0C0B" w:rsidP="001D5AF4">
                <w:pPr>
                  <w:tabs>
                    <w:tab w:val="left" w:pos="2834"/>
                    <w:tab w:val="right" w:pos="8838"/>
                  </w:tabs>
                  <w:ind w:left="-57"/>
                  <w:jc w:val="both"/>
                  <w:rPr>
                    <w:rFonts w:ascii="Palatino Linotype" w:eastAsia="Palatino Linotype" w:hAnsi="Palatino Linotype" w:cs="Palatino Linotype"/>
                    <w:sz w:val="32"/>
                    <w:szCs w:val="32"/>
                  </w:rPr>
                </w:pPr>
                <w:r>
                  <w:rPr>
                    <w:rFonts w:ascii="Palatino Linotype" w:eastAsia="Palatino Linotype" w:hAnsi="Palatino Linotype" w:cs="Palatino Linotype"/>
                    <w:sz w:val="22"/>
                    <w:szCs w:val="22"/>
                  </w:rPr>
                  <w:t xml:space="preserve">Secretaría de Seguridad </w:t>
                </w:r>
              </w:p>
            </w:tc>
            <w:tc>
              <w:tcPr>
                <w:tcW w:w="2254" w:type="dxa"/>
              </w:tcPr>
              <w:p w14:paraId="2630C692" w14:textId="77777777" w:rsidR="00CE0C0B" w:rsidRDefault="00CE0C0B">
                <w:pPr>
                  <w:tabs>
                    <w:tab w:val="left" w:pos="2834"/>
                    <w:tab w:val="right" w:pos="8838"/>
                  </w:tabs>
                  <w:ind w:left="-114"/>
                  <w:jc w:val="both"/>
                  <w:rPr>
                    <w:rFonts w:ascii="Palatino Linotype" w:eastAsia="Palatino Linotype" w:hAnsi="Palatino Linotype" w:cs="Palatino Linotype"/>
                    <w:sz w:val="22"/>
                    <w:szCs w:val="22"/>
                  </w:rPr>
                </w:pPr>
              </w:p>
            </w:tc>
          </w:tr>
          <w:tr w:rsidR="00CE0C0B" w14:paraId="4F3A947D" w14:textId="77777777" w:rsidTr="001D5AF4">
            <w:trPr>
              <w:trHeight w:val="383"/>
            </w:trPr>
            <w:tc>
              <w:tcPr>
                <w:tcW w:w="2700" w:type="dxa"/>
              </w:tcPr>
              <w:p w14:paraId="55C21E57" w14:textId="77777777" w:rsidR="00CE0C0B" w:rsidRDefault="00CE0C0B">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Comisionado Ponente:</w:t>
                </w:r>
              </w:p>
            </w:tc>
            <w:tc>
              <w:tcPr>
                <w:tcW w:w="3118" w:type="dxa"/>
              </w:tcPr>
              <w:p w14:paraId="1312E579" w14:textId="77777777" w:rsidR="00CE0C0B" w:rsidRDefault="00CE0C0B" w:rsidP="001D5AF4">
                <w:pPr>
                  <w:tabs>
                    <w:tab w:val="right" w:pos="8838"/>
                  </w:tabs>
                  <w:ind w:left="-57"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c>
              <w:tcPr>
                <w:tcW w:w="2254" w:type="dxa"/>
              </w:tcPr>
              <w:p w14:paraId="56F9FBB8" w14:textId="77777777" w:rsidR="00CE0C0B" w:rsidRDefault="00CE0C0B">
                <w:pPr>
                  <w:tabs>
                    <w:tab w:val="right" w:pos="8838"/>
                  </w:tabs>
                  <w:ind w:left="-114" w:right="-105"/>
                  <w:jc w:val="both"/>
                  <w:rPr>
                    <w:rFonts w:ascii="Palatino Linotype" w:eastAsia="Palatino Linotype" w:hAnsi="Palatino Linotype" w:cs="Palatino Linotype"/>
                    <w:sz w:val="22"/>
                    <w:szCs w:val="22"/>
                  </w:rPr>
                </w:pPr>
              </w:p>
            </w:tc>
          </w:tr>
        </w:tbl>
        <w:p w14:paraId="155F66AA" w14:textId="77777777" w:rsidR="00CE0C0B" w:rsidRDefault="00CE0C0B">
          <w:pPr>
            <w:tabs>
              <w:tab w:val="right" w:pos="8838"/>
            </w:tabs>
            <w:spacing w:line="256" w:lineRule="auto"/>
            <w:ind w:left="-28"/>
            <w:jc w:val="both"/>
            <w:rPr>
              <w:rFonts w:ascii="Arial" w:eastAsia="Arial" w:hAnsi="Arial" w:cs="Arial"/>
              <w:b/>
              <w:sz w:val="22"/>
              <w:szCs w:val="22"/>
            </w:rPr>
          </w:pPr>
        </w:p>
      </w:tc>
    </w:tr>
  </w:tbl>
  <w:p w14:paraId="7491EA8D" w14:textId="77777777" w:rsidR="00CE0C0B" w:rsidRDefault="00CE0C0B">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sz w:val="22"/>
        <w:szCs w:val="22"/>
      </w:rPr>
      <w:drawing>
        <wp:anchor distT="0" distB="0" distL="0" distR="0" simplePos="0" relativeHeight="251657728" behindDoc="1" locked="0" layoutInCell="1" hidden="0" allowOverlap="1" wp14:anchorId="4CE6FF0F" wp14:editId="54D3CCC6">
          <wp:simplePos x="0" y="0"/>
          <wp:positionH relativeFrom="margin">
            <wp:posOffset>-1153159</wp:posOffset>
          </wp:positionH>
          <wp:positionV relativeFrom="margin">
            <wp:posOffset>-1539239</wp:posOffset>
          </wp:positionV>
          <wp:extent cx="7835900" cy="10203815"/>
          <wp:effectExtent l="0" t="0" r="0" b="0"/>
          <wp:wrapNone/>
          <wp:docPr id="205032824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35900" cy="1020381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2A257" w14:textId="77777777" w:rsidR="00CE0C0B" w:rsidRDefault="00CE0C0B">
    <w:pPr>
      <w:widowControl w:val="0"/>
      <w:pBdr>
        <w:top w:val="nil"/>
        <w:left w:val="nil"/>
        <w:bottom w:val="nil"/>
        <w:right w:val="nil"/>
        <w:between w:val="nil"/>
      </w:pBdr>
      <w:spacing w:line="276" w:lineRule="auto"/>
      <w:rPr>
        <w:color w:val="000000"/>
      </w:rPr>
    </w:pPr>
  </w:p>
  <w:tbl>
    <w:tblPr>
      <w:tblW w:w="9214" w:type="dxa"/>
      <w:tblLayout w:type="fixed"/>
      <w:tblLook w:val="0400" w:firstRow="0" w:lastRow="0" w:firstColumn="0" w:lastColumn="0" w:noHBand="0" w:noVBand="1"/>
    </w:tblPr>
    <w:tblGrid>
      <w:gridCol w:w="1560"/>
      <w:gridCol w:w="7654"/>
    </w:tblGrid>
    <w:tr w:rsidR="00CE0C0B" w14:paraId="4F08B40B" w14:textId="77777777">
      <w:trPr>
        <w:trHeight w:val="1435"/>
      </w:trPr>
      <w:tc>
        <w:tcPr>
          <w:tcW w:w="1560" w:type="dxa"/>
        </w:tcPr>
        <w:p w14:paraId="7CCAC250" w14:textId="77777777" w:rsidR="00CE0C0B" w:rsidRDefault="00CE0C0B">
          <w:pPr>
            <w:tabs>
              <w:tab w:val="right" w:pos="4273"/>
            </w:tabs>
            <w:spacing w:line="256" w:lineRule="auto"/>
            <w:rPr>
              <w:rFonts w:ascii="Garamond" w:eastAsia="Garamond" w:hAnsi="Garamond" w:cs="Garamond"/>
              <w:sz w:val="22"/>
              <w:szCs w:val="22"/>
            </w:rPr>
          </w:pPr>
        </w:p>
      </w:tc>
      <w:tc>
        <w:tcPr>
          <w:tcW w:w="7654" w:type="dxa"/>
        </w:tcPr>
        <w:p w14:paraId="098D67AF" w14:textId="77777777" w:rsidR="00CE0C0B" w:rsidRDefault="00CE0C0B">
          <w:pPr>
            <w:widowControl w:val="0"/>
            <w:pBdr>
              <w:top w:val="nil"/>
              <w:left w:val="nil"/>
              <w:bottom w:val="nil"/>
              <w:right w:val="nil"/>
              <w:between w:val="nil"/>
            </w:pBdr>
            <w:spacing w:line="276" w:lineRule="auto"/>
            <w:rPr>
              <w:rFonts w:ascii="Garamond" w:eastAsia="Garamond" w:hAnsi="Garamond" w:cs="Garamond"/>
              <w:sz w:val="22"/>
              <w:szCs w:val="22"/>
            </w:rPr>
          </w:pPr>
        </w:p>
        <w:tbl>
          <w:tblPr>
            <w:tblW w:w="6650" w:type="dxa"/>
            <w:tblInd w:w="607" w:type="dxa"/>
            <w:tblBorders>
              <w:top w:val="nil"/>
              <w:left w:val="nil"/>
              <w:bottom w:val="nil"/>
              <w:right w:val="nil"/>
              <w:insideH w:val="nil"/>
              <w:insideV w:val="nil"/>
            </w:tblBorders>
            <w:tblLayout w:type="fixed"/>
            <w:tblLook w:val="0400" w:firstRow="0" w:lastRow="0" w:firstColumn="0" w:lastColumn="0" w:noHBand="0" w:noVBand="1"/>
          </w:tblPr>
          <w:tblGrid>
            <w:gridCol w:w="3815"/>
            <w:gridCol w:w="2835"/>
          </w:tblGrid>
          <w:tr w:rsidR="00CE0C0B" w14:paraId="486EEFA5" w14:textId="77777777" w:rsidTr="001D5AF4">
            <w:trPr>
              <w:trHeight w:val="155"/>
            </w:trPr>
            <w:tc>
              <w:tcPr>
                <w:tcW w:w="3815" w:type="dxa"/>
              </w:tcPr>
              <w:p w14:paraId="10CF585A" w14:textId="77777777" w:rsidR="00CE0C0B" w:rsidRDefault="00CE0C0B">
                <w:pPr>
                  <w:tabs>
                    <w:tab w:val="right" w:pos="8838"/>
                  </w:tabs>
                  <w:ind w:left="-69"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Recurso de Revisión:</w:t>
                </w:r>
              </w:p>
            </w:tc>
            <w:tc>
              <w:tcPr>
                <w:tcW w:w="2835" w:type="dxa"/>
              </w:tcPr>
              <w:p w14:paraId="7D7D3BE0" w14:textId="77777777" w:rsidR="00CE0C0B" w:rsidRDefault="00CE0C0B">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011811/INFOEM/IP/RR/2025 </w:t>
                </w:r>
              </w:p>
            </w:tc>
          </w:tr>
          <w:tr w:rsidR="00CE0C0B" w14:paraId="67AF7A8E" w14:textId="77777777" w:rsidTr="001D5AF4">
            <w:trPr>
              <w:trHeight w:val="155"/>
            </w:trPr>
            <w:tc>
              <w:tcPr>
                <w:tcW w:w="3815" w:type="dxa"/>
              </w:tcPr>
              <w:p w14:paraId="62EC5CBD" w14:textId="77777777" w:rsidR="00CE0C0B" w:rsidRDefault="00CE0C0B">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Recurrente:</w:t>
                </w:r>
              </w:p>
            </w:tc>
            <w:tc>
              <w:tcPr>
                <w:tcW w:w="2835" w:type="dxa"/>
              </w:tcPr>
              <w:p w14:paraId="20AEA9A9" w14:textId="470E38AE" w:rsidR="00CE0C0B" w:rsidRDefault="00FE45E1">
                <w:pPr>
                  <w:tabs>
                    <w:tab w:val="left" w:pos="3122"/>
                    <w:tab w:val="right" w:pos="8838"/>
                  </w:tabs>
                  <w:ind w:left="-74" w:right="-105"/>
                  <w:jc w:val="both"/>
                  <w:rPr>
                    <w:rFonts w:ascii="Palatino Linotype" w:eastAsia="Palatino Linotype" w:hAnsi="Palatino Linotype" w:cs="Palatino Linotype"/>
                    <w:sz w:val="22"/>
                    <w:szCs w:val="22"/>
                  </w:rPr>
                </w:pPr>
                <w:r w:rsidRPr="00FE45E1">
                  <w:rPr>
                    <w:rFonts w:ascii="Palatino Linotype" w:eastAsia="Palatino Linotype" w:hAnsi="Palatino Linotype" w:cs="Palatino Linotype"/>
                    <w:sz w:val="22"/>
                    <w:szCs w:val="22"/>
                    <w:highlight w:val="black"/>
                  </w:rPr>
                  <w:t>XXXXXXXX</w:t>
                </w:r>
              </w:p>
            </w:tc>
          </w:tr>
          <w:tr w:rsidR="00CE0C0B" w14:paraId="4C1AF6B3" w14:textId="77777777" w:rsidTr="001D5AF4">
            <w:trPr>
              <w:trHeight w:val="309"/>
            </w:trPr>
            <w:tc>
              <w:tcPr>
                <w:tcW w:w="3815" w:type="dxa"/>
              </w:tcPr>
              <w:p w14:paraId="51FD8256" w14:textId="77777777" w:rsidR="00CE0C0B" w:rsidRDefault="00CE0C0B">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Sujeto Obligado:</w:t>
                </w:r>
              </w:p>
            </w:tc>
            <w:tc>
              <w:tcPr>
                <w:tcW w:w="2835" w:type="dxa"/>
              </w:tcPr>
              <w:p w14:paraId="057DF48A" w14:textId="77777777" w:rsidR="00CE0C0B" w:rsidRPr="00FE651E" w:rsidRDefault="00CE0C0B" w:rsidP="001D5AF4">
                <w:pPr>
                  <w:tabs>
                    <w:tab w:val="left" w:pos="2834"/>
                    <w:tab w:val="right" w:pos="8838"/>
                  </w:tabs>
                  <w:ind w:left="-7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Secretaría de Seguridad</w:t>
                </w:r>
              </w:p>
            </w:tc>
          </w:tr>
          <w:tr w:rsidR="00CE0C0B" w14:paraId="4E57DF4C" w14:textId="77777777" w:rsidTr="001D5AF4">
            <w:trPr>
              <w:trHeight w:val="309"/>
            </w:trPr>
            <w:tc>
              <w:tcPr>
                <w:tcW w:w="3815" w:type="dxa"/>
              </w:tcPr>
              <w:p w14:paraId="4176FD14" w14:textId="77777777" w:rsidR="00CE0C0B" w:rsidRDefault="00CE0C0B">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Comisionado Ponente:</w:t>
                </w:r>
              </w:p>
            </w:tc>
            <w:tc>
              <w:tcPr>
                <w:tcW w:w="2835" w:type="dxa"/>
              </w:tcPr>
              <w:p w14:paraId="0CD7D01F" w14:textId="77777777" w:rsidR="00CE0C0B" w:rsidRDefault="00CE0C0B">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r>
        </w:tbl>
        <w:p w14:paraId="1C1E3CA1" w14:textId="77777777" w:rsidR="00CE0C0B" w:rsidRDefault="00CE0C0B">
          <w:pPr>
            <w:tabs>
              <w:tab w:val="right" w:pos="8838"/>
            </w:tabs>
            <w:spacing w:line="256" w:lineRule="auto"/>
            <w:ind w:left="-28"/>
            <w:jc w:val="both"/>
            <w:rPr>
              <w:rFonts w:ascii="Arial" w:eastAsia="Arial" w:hAnsi="Arial" w:cs="Arial"/>
              <w:b/>
              <w:sz w:val="22"/>
              <w:szCs w:val="22"/>
            </w:rPr>
          </w:pPr>
        </w:p>
      </w:tc>
    </w:tr>
  </w:tbl>
  <w:p w14:paraId="1BEFF5BF" w14:textId="77777777" w:rsidR="00CE0C0B" w:rsidRDefault="00000000">
    <w:pPr>
      <w:pBdr>
        <w:top w:val="nil"/>
        <w:left w:val="nil"/>
        <w:bottom w:val="nil"/>
        <w:right w:val="nil"/>
        <w:between w:val="nil"/>
      </w:pBdr>
      <w:tabs>
        <w:tab w:val="center" w:pos="4419"/>
        <w:tab w:val="right" w:pos="8838"/>
      </w:tabs>
      <w:rPr>
        <w:color w:val="000000"/>
      </w:rPr>
    </w:pPr>
    <w:r>
      <w:rPr>
        <w:rFonts w:ascii="Garamond" w:eastAsia="Garamond" w:hAnsi="Garamond" w:cs="Garamond"/>
        <w:color w:val="000000"/>
        <w:sz w:val="22"/>
        <w:szCs w:val="22"/>
      </w:rPr>
      <w:pict w14:anchorId="5C6398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85.8pt;margin-top:-134.85pt;width:663.5pt;height:12in;z-index:-251657728;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1B97"/>
    <w:multiLevelType w:val="multilevel"/>
    <w:tmpl w:val="EF40F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4A27A4"/>
    <w:multiLevelType w:val="hybridMultilevel"/>
    <w:tmpl w:val="838CFD34"/>
    <w:lvl w:ilvl="0" w:tplc="080A0017">
      <w:start w:val="1"/>
      <w:numFmt w:val="lowerLetter"/>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6C5158"/>
    <w:multiLevelType w:val="hybridMultilevel"/>
    <w:tmpl w:val="1E54FD14"/>
    <w:lvl w:ilvl="0" w:tplc="4EE052A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7801A3"/>
    <w:multiLevelType w:val="hybridMultilevel"/>
    <w:tmpl w:val="71FE87B4"/>
    <w:lvl w:ilvl="0" w:tplc="CB724AA8">
      <w:start w:val="1"/>
      <w:numFmt w:val="lowerLetter"/>
      <w:lvlText w:val="%1)"/>
      <w:lvlJc w:val="left"/>
      <w:pPr>
        <w:ind w:left="1080" w:hanging="360"/>
      </w:pPr>
      <w:rPr>
        <w:rFonts w:eastAsia="Times New Roman" w:hint="default"/>
        <w:sz w:val="2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139F5E2C"/>
    <w:multiLevelType w:val="hybridMultilevel"/>
    <w:tmpl w:val="F76EC18C"/>
    <w:lvl w:ilvl="0" w:tplc="E1284F92">
      <w:start w:val="1"/>
      <w:numFmt w:val="lowerLetter"/>
      <w:lvlText w:val="%1)"/>
      <w:lvlJc w:val="left"/>
      <w:pPr>
        <w:ind w:left="1080" w:hanging="360"/>
      </w:pPr>
      <w:rPr>
        <w:rFonts w:eastAsia="Times New Roman"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6487A85"/>
    <w:multiLevelType w:val="hybridMultilevel"/>
    <w:tmpl w:val="21DEA4D6"/>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6" w15:restartNumberingAfterBreak="0">
    <w:nsid w:val="18D963A5"/>
    <w:multiLevelType w:val="hybridMultilevel"/>
    <w:tmpl w:val="8AC0576E"/>
    <w:lvl w:ilvl="0" w:tplc="D0283F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92307AE"/>
    <w:multiLevelType w:val="hybridMultilevel"/>
    <w:tmpl w:val="45E27EBC"/>
    <w:lvl w:ilvl="0" w:tplc="6CB02B02">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A672F6"/>
    <w:multiLevelType w:val="hybridMultilevel"/>
    <w:tmpl w:val="90A0B7EA"/>
    <w:lvl w:ilvl="0" w:tplc="71344092">
      <w:start w:val="14"/>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D8D58B6"/>
    <w:multiLevelType w:val="hybridMultilevel"/>
    <w:tmpl w:val="6BC255B2"/>
    <w:lvl w:ilvl="0" w:tplc="44D281F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21421C39"/>
    <w:multiLevelType w:val="hybridMultilevel"/>
    <w:tmpl w:val="D56AD0CC"/>
    <w:lvl w:ilvl="0" w:tplc="F556AFF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34E1C72"/>
    <w:multiLevelType w:val="hybridMultilevel"/>
    <w:tmpl w:val="0C8216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4225E53"/>
    <w:multiLevelType w:val="hybridMultilevel"/>
    <w:tmpl w:val="2EAE4B14"/>
    <w:lvl w:ilvl="0" w:tplc="58F0876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5C10A80"/>
    <w:multiLevelType w:val="hybridMultilevel"/>
    <w:tmpl w:val="EC065BB6"/>
    <w:lvl w:ilvl="0" w:tplc="BB30D75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64A20B7"/>
    <w:multiLevelType w:val="multilevel"/>
    <w:tmpl w:val="9DC28E2A"/>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5" w15:restartNumberingAfterBreak="0">
    <w:nsid w:val="277572F1"/>
    <w:multiLevelType w:val="hybridMultilevel"/>
    <w:tmpl w:val="91B8A584"/>
    <w:lvl w:ilvl="0" w:tplc="080A0001">
      <w:start w:val="1"/>
      <w:numFmt w:val="bullet"/>
      <w:lvlText w:val=""/>
      <w:lvlJc w:val="left"/>
      <w:pPr>
        <w:ind w:left="927" w:hanging="360"/>
      </w:pPr>
      <w:rPr>
        <w:rFonts w:ascii="Symbol" w:hAnsi="Symbo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6" w15:restartNumberingAfterBreak="0">
    <w:nsid w:val="29FB36DC"/>
    <w:multiLevelType w:val="hybridMultilevel"/>
    <w:tmpl w:val="624EB652"/>
    <w:lvl w:ilvl="0" w:tplc="8A56AD0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C9756BD"/>
    <w:multiLevelType w:val="hybridMultilevel"/>
    <w:tmpl w:val="F4CA9328"/>
    <w:lvl w:ilvl="0" w:tplc="B1A236AC">
      <w:start w:val="5"/>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CEF0BDC"/>
    <w:multiLevelType w:val="hybridMultilevel"/>
    <w:tmpl w:val="76309DB0"/>
    <w:lvl w:ilvl="0" w:tplc="968862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F2E3566"/>
    <w:multiLevelType w:val="hybridMultilevel"/>
    <w:tmpl w:val="23362502"/>
    <w:lvl w:ilvl="0" w:tplc="B28AF3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2360A66"/>
    <w:multiLevelType w:val="hybridMultilevel"/>
    <w:tmpl w:val="00980512"/>
    <w:lvl w:ilvl="0" w:tplc="F25098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8293032"/>
    <w:multiLevelType w:val="multilevel"/>
    <w:tmpl w:val="4DC01F00"/>
    <w:lvl w:ilvl="0">
      <w:start w:val="1"/>
      <w:numFmt w:val="lowerLetter"/>
      <w:lvlText w:val="%1)"/>
      <w:lvlJc w:val="left"/>
      <w:pPr>
        <w:ind w:left="720" w:hanging="360"/>
      </w:pPr>
      <w:rPr>
        <w:rFonts w:ascii="Times New Roman" w:hAnsi="Times New Roman" w:cs="Times New Roman" w:hint="default"/>
        <w:b/>
        <w:bCs/>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2" w15:restartNumberingAfterBreak="0">
    <w:nsid w:val="3B2C3937"/>
    <w:multiLevelType w:val="hybridMultilevel"/>
    <w:tmpl w:val="7758D232"/>
    <w:lvl w:ilvl="0" w:tplc="27B0F64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2904641"/>
    <w:multiLevelType w:val="hybridMultilevel"/>
    <w:tmpl w:val="D0F6FE5E"/>
    <w:lvl w:ilvl="0" w:tplc="511869A8">
      <w:start w:val="1"/>
      <w:numFmt w:val="lowerLetter"/>
      <w:lvlText w:val="%1)"/>
      <w:lvlJc w:val="left"/>
      <w:pPr>
        <w:ind w:left="1080" w:hanging="360"/>
      </w:pPr>
      <w:rPr>
        <w:rFonts w:eastAsia="Times New Roman"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45714AA1"/>
    <w:multiLevelType w:val="hybridMultilevel"/>
    <w:tmpl w:val="3530E10A"/>
    <w:lvl w:ilvl="0" w:tplc="E058122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464629E3"/>
    <w:multiLevelType w:val="multilevel"/>
    <w:tmpl w:val="41AA89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9C7EE2"/>
    <w:multiLevelType w:val="hybridMultilevel"/>
    <w:tmpl w:val="33F8F83C"/>
    <w:lvl w:ilvl="0" w:tplc="080A0017">
      <w:start w:val="1"/>
      <w:numFmt w:val="lowerLetter"/>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B4E4620"/>
    <w:multiLevelType w:val="hybridMultilevel"/>
    <w:tmpl w:val="EA6A9810"/>
    <w:lvl w:ilvl="0" w:tplc="DC00AC7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4C8C61EA"/>
    <w:multiLevelType w:val="hybridMultilevel"/>
    <w:tmpl w:val="09100318"/>
    <w:lvl w:ilvl="0" w:tplc="4382351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4E961E68"/>
    <w:multiLevelType w:val="hybridMultilevel"/>
    <w:tmpl w:val="E6DAD952"/>
    <w:lvl w:ilvl="0" w:tplc="03260FD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53825F60"/>
    <w:multiLevelType w:val="hybridMultilevel"/>
    <w:tmpl w:val="65F61C84"/>
    <w:lvl w:ilvl="0" w:tplc="6CB02B02">
      <w:start w:val="1"/>
      <w:numFmt w:val="bullet"/>
      <w:lvlText w:val="-"/>
      <w:lvlJc w:val="left"/>
      <w:pPr>
        <w:ind w:left="720" w:hanging="360"/>
      </w:pPr>
      <w:rPr>
        <w:rFonts w:ascii="Palatino Linotype" w:eastAsia="Palatino Linotype" w:hAnsi="Palatino Linotype" w:cs="Palatino Linotype"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88232F1"/>
    <w:multiLevelType w:val="hybridMultilevel"/>
    <w:tmpl w:val="17E28022"/>
    <w:lvl w:ilvl="0" w:tplc="9F3C3E22">
      <w:start w:val="1"/>
      <w:numFmt w:val="upperLetter"/>
      <w:lvlText w:val="%1)"/>
      <w:lvlJc w:val="left"/>
      <w:pPr>
        <w:ind w:left="1080" w:hanging="360"/>
      </w:pPr>
      <w:rPr>
        <w:rFonts w:hint="default"/>
        <w:sz w:val="2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5AF53019"/>
    <w:multiLevelType w:val="hybridMultilevel"/>
    <w:tmpl w:val="6A78F948"/>
    <w:lvl w:ilvl="0" w:tplc="7262760C">
      <w:start w:val="1"/>
      <w:numFmt w:val="bullet"/>
      <w:lvlText w:val="-"/>
      <w:lvlJc w:val="left"/>
      <w:pPr>
        <w:ind w:left="720" w:hanging="360"/>
      </w:pPr>
      <w:rPr>
        <w:rFonts w:ascii="Palatino Linotype" w:eastAsia="Times New Roman" w:hAnsi="Palatino Linotype" w:hint="default"/>
      </w:rPr>
    </w:lvl>
    <w:lvl w:ilvl="1" w:tplc="080A0003">
      <w:start w:val="1"/>
      <w:numFmt w:val="bullet"/>
      <w:lvlText w:val="o"/>
      <w:lvlJc w:val="left"/>
      <w:pPr>
        <w:ind w:left="1440" w:hanging="360"/>
      </w:pPr>
      <w:rPr>
        <w:rFonts w:ascii="Courier New" w:hAnsi="Courier New" w:cs="Times New Roman"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Times New Roman"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Times New Roman" w:hint="default"/>
      </w:rPr>
    </w:lvl>
    <w:lvl w:ilvl="8" w:tplc="080A0005">
      <w:start w:val="1"/>
      <w:numFmt w:val="bullet"/>
      <w:lvlText w:val=""/>
      <w:lvlJc w:val="left"/>
      <w:pPr>
        <w:ind w:left="6480" w:hanging="360"/>
      </w:pPr>
      <w:rPr>
        <w:rFonts w:ascii="Wingdings" w:hAnsi="Wingdings" w:hint="default"/>
      </w:rPr>
    </w:lvl>
  </w:abstractNum>
  <w:abstractNum w:abstractNumId="33" w15:restartNumberingAfterBreak="0">
    <w:nsid w:val="5CF453E0"/>
    <w:multiLevelType w:val="hybridMultilevel"/>
    <w:tmpl w:val="893AFCD4"/>
    <w:lvl w:ilvl="0" w:tplc="784ECE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1C334B3"/>
    <w:multiLevelType w:val="multilevel"/>
    <w:tmpl w:val="9F1C8B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2A0DDF"/>
    <w:multiLevelType w:val="hybridMultilevel"/>
    <w:tmpl w:val="AEC8D390"/>
    <w:lvl w:ilvl="0" w:tplc="EEC2223E">
      <w:start w:val="9"/>
      <w:numFmt w:val="bullet"/>
      <w:lvlText w:val="-"/>
      <w:lvlJc w:val="left"/>
      <w:pPr>
        <w:ind w:left="1287" w:hanging="360"/>
      </w:pPr>
      <w:rPr>
        <w:rFonts w:ascii="Palatino Linotype" w:eastAsia="Times New Roman" w:hAnsi="Palatino Linotype" w:cs="Times New Roman"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6" w15:restartNumberingAfterBreak="0">
    <w:nsid w:val="664230A4"/>
    <w:multiLevelType w:val="hybridMultilevel"/>
    <w:tmpl w:val="4ECA0558"/>
    <w:lvl w:ilvl="0" w:tplc="27BCB04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15:restartNumberingAfterBreak="0">
    <w:nsid w:val="66896904"/>
    <w:multiLevelType w:val="multilevel"/>
    <w:tmpl w:val="F5F2CC96"/>
    <w:lvl w:ilvl="0">
      <w:numFmt w:val="bullet"/>
      <w:lvlText w:val="-"/>
      <w:lvlJc w:val="left"/>
      <w:pPr>
        <w:ind w:left="720" w:hanging="360"/>
      </w:pPr>
      <w:rPr>
        <w:rFonts w:ascii="Palatino Linotype" w:eastAsia="Times New Roman" w:hAnsi="Palatino Linotype"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A3D6B40"/>
    <w:multiLevelType w:val="multilevel"/>
    <w:tmpl w:val="4D0EA6D0"/>
    <w:lvl w:ilvl="0">
      <w:start w:val="1"/>
      <w:numFmt w:val="decimal"/>
      <w:lvlText w:val="%1."/>
      <w:lvlJc w:val="left"/>
      <w:pPr>
        <w:ind w:left="720" w:hanging="360"/>
      </w:pPr>
      <w:rPr>
        <w:rFonts w:hint="default"/>
        <w:b/>
        <w:bCs/>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9" w15:restartNumberingAfterBreak="0">
    <w:nsid w:val="6AC84D25"/>
    <w:multiLevelType w:val="multilevel"/>
    <w:tmpl w:val="9F1C8B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E9A6234"/>
    <w:multiLevelType w:val="multilevel"/>
    <w:tmpl w:val="567E7602"/>
    <w:lvl w:ilvl="0">
      <w:start w:val="2"/>
      <w:numFmt w:val="bullet"/>
      <w:lvlText w:val="-"/>
      <w:lvlJc w:val="left"/>
      <w:pPr>
        <w:ind w:left="720" w:hanging="360"/>
      </w:pPr>
      <w:rPr>
        <w:rFonts w:ascii="Palatino Linotype" w:eastAsia="Times New Roman" w:hAnsi="Palatino Linotype"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1202FDD"/>
    <w:multiLevelType w:val="hybridMultilevel"/>
    <w:tmpl w:val="C0FCFDA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158189C"/>
    <w:multiLevelType w:val="hybridMultilevel"/>
    <w:tmpl w:val="5AD27C68"/>
    <w:lvl w:ilvl="0" w:tplc="080A000F">
      <w:start w:val="1"/>
      <w:numFmt w:val="decimal"/>
      <w:lvlText w:val="%1."/>
      <w:lvlJc w:val="left"/>
      <w:pPr>
        <w:ind w:left="720" w:hanging="360"/>
      </w:pPr>
      <w:rPr>
        <w:rFonts w:hint="default"/>
      </w:rPr>
    </w:lvl>
    <w:lvl w:ilvl="1" w:tplc="0B1E03DE">
      <w:numFmt w:val="bullet"/>
      <w:lvlText w:val="•"/>
      <w:lvlJc w:val="left"/>
      <w:pPr>
        <w:ind w:left="1440" w:hanging="360"/>
      </w:pPr>
      <w:rPr>
        <w:rFonts w:ascii="Palatino Linotype" w:eastAsia="Calibri"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2E1704B"/>
    <w:multiLevelType w:val="hybridMultilevel"/>
    <w:tmpl w:val="FC30591A"/>
    <w:lvl w:ilvl="0" w:tplc="26CA6B3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4" w15:restartNumberingAfterBreak="0">
    <w:nsid w:val="739E56E1"/>
    <w:multiLevelType w:val="hybridMultilevel"/>
    <w:tmpl w:val="F48E762C"/>
    <w:lvl w:ilvl="0" w:tplc="2EAAA6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99815C5"/>
    <w:multiLevelType w:val="multilevel"/>
    <w:tmpl w:val="4DC01F00"/>
    <w:lvl w:ilvl="0">
      <w:start w:val="1"/>
      <w:numFmt w:val="lowerLetter"/>
      <w:lvlText w:val="%1)"/>
      <w:lvlJc w:val="left"/>
      <w:pPr>
        <w:ind w:left="720" w:hanging="360"/>
      </w:pPr>
      <w:rPr>
        <w:rFonts w:ascii="Times New Roman" w:hAnsi="Times New Roman" w:cs="Times New Roman" w:hint="default"/>
        <w:b/>
        <w:bCs/>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6" w15:restartNumberingAfterBreak="0">
    <w:nsid w:val="7BDE3525"/>
    <w:multiLevelType w:val="hybridMultilevel"/>
    <w:tmpl w:val="D3867662"/>
    <w:lvl w:ilvl="0" w:tplc="A0741E2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2145613364">
    <w:abstractNumId w:val="15"/>
  </w:num>
  <w:num w:numId="2" w16cid:durableId="1815834463">
    <w:abstractNumId w:val="5"/>
  </w:num>
  <w:num w:numId="3" w16cid:durableId="1081292622">
    <w:abstractNumId w:val="7"/>
  </w:num>
  <w:num w:numId="4" w16cid:durableId="494541157">
    <w:abstractNumId w:val="35"/>
  </w:num>
  <w:num w:numId="5" w16cid:durableId="1025067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4789288">
    <w:abstractNumId w:val="37"/>
  </w:num>
  <w:num w:numId="7" w16cid:durableId="1722441422">
    <w:abstractNumId w:val="32"/>
  </w:num>
  <w:num w:numId="8" w16cid:durableId="1008287486">
    <w:abstractNumId w:val="12"/>
  </w:num>
  <w:num w:numId="9" w16cid:durableId="739668814">
    <w:abstractNumId w:val="8"/>
  </w:num>
  <w:num w:numId="10" w16cid:durableId="534737621">
    <w:abstractNumId w:val="42"/>
  </w:num>
  <w:num w:numId="11" w16cid:durableId="726338653">
    <w:abstractNumId w:val="18"/>
  </w:num>
  <w:num w:numId="12" w16cid:durableId="838083773">
    <w:abstractNumId w:val="13"/>
  </w:num>
  <w:num w:numId="13" w16cid:durableId="464127070">
    <w:abstractNumId w:val="19"/>
  </w:num>
  <w:num w:numId="14" w16cid:durableId="2133747559">
    <w:abstractNumId w:val="2"/>
  </w:num>
  <w:num w:numId="15" w16cid:durableId="1071074530">
    <w:abstractNumId w:val="30"/>
  </w:num>
  <w:num w:numId="16" w16cid:durableId="1463647297">
    <w:abstractNumId w:val="44"/>
  </w:num>
  <w:num w:numId="17" w16cid:durableId="1247350614">
    <w:abstractNumId w:val="20"/>
  </w:num>
  <w:num w:numId="18" w16cid:durableId="2098208694">
    <w:abstractNumId w:val="33"/>
  </w:num>
  <w:num w:numId="19" w16cid:durableId="508301001">
    <w:abstractNumId w:val="22"/>
  </w:num>
  <w:num w:numId="20" w16cid:durableId="1913079245">
    <w:abstractNumId w:val="6"/>
  </w:num>
  <w:num w:numId="21" w16cid:durableId="1317346115">
    <w:abstractNumId w:val="40"/>
  </w:num>
  <w:num w:numId="22" w16cid:durableId="418214048">
    <w:abstractNumId w:val="39"/>
  </w:num>
  <w:num w:numId="23" w16cid:durableId="1991328789">
    <w:abstractNumId w:val="34"/>
  </w:num>
  <w:num w:numId="24" w16cid:durableId="257249455">
    <w:abstractNumId w:val="0"/>
  </w:num>
  <w:num w:numId="25" w16cid:durableId="15750453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66647554">
    <w:abstractNumId w:val="10"/>
  </w:num>
  <w:num w:numId="27" w16cid:durableId="1415395650">
    <w:abstractNumId w:val="16"/>
  </w:num>
  <w:num w:numId="28" w16cid:durableId="1821189393">
    <w:abstractNumId w:val="24"/>
  </w:num>
  <w:num w:numId="29" w16cid:durableId="485098996">
    <w:abstractNumId w:val="45"/>
  </w:num>
  <w:num w:numId="30" w16cid:durableId="120075818">
    <w:abstractNumId w:val="38"/>
  </w:num>
  <w:num w:numId="31" w16cid:durableId="1666394161">
    <w:abstractNumId w:val="43"/>
  </w:num>
  <w:num w:numId="32" w16cid:durableId="1714572211">
    <w:abstractNumId w:val="4"/>
  </w:num>
  <w:num w:numId="33" w16cid:durableId="267472367">
    <w:abstractNumId w:val="29"/>
  </w:num>
  <w:num w:numId="34" w16cid:durableId="37049609">
    <w:abstractNumId w:val="36"/>
  </w:num>
  <w:num w:numId="35" w16cid:durableId="183323667">
    <w:abstractNumId w:val="27"/>
  </w:num>
  <w:num w:numId="36" w16cid:durableId="1473912473">
    <w:abstractNumId w:val="31"/>
  </w:num>
  <w:num w:numId="37" w16cid:durableId="716898422">
    <w:abstractNumId w:val="41"/>
  </w:num>
  <w:num w:numId="38" w16cid:durableId="564069386">
    <w:abstractNumId w:val="26"/>
  </w:num>
  <w:num w:numId="39" w16cid:durableId="1366902373">
    <w:abstractNumId w:val="3"/>
  </w:num>
  <w:num w:numId="40" w16cid:durableId="748579669">
    <w:abstractNumId w:val="1"/>
  </w:num>
  <w:num w:numId="41" w16cid:durableId="1403214938">
    <w:abstractNumId w:val="9"/>
  </w:num>
  <w:num w:numId="42" w16cid:durableId="1989748687">
    <w:abstractNumId w:val="46"/>
  </w:num>
  <w:num w:numId="43" w16cid:durableId="1571887358">
    <w:abstractNumId w:val="23"/>
  </w:num>
  <w:num w:numId="44" w16cid:durableId="2027559235">
    <w:abstractNumId w:val="28"/>
  </w:num>
  <w:num w:numId="45" w16cid:durableId="1365138099">
    <w:abstractNumId w:val="17"/>
  </w:num>
  <w:num w:numId="46" w16cid:durableId="257062115">
    <w:abstractNumId w:val="25"/>
  </w:num>
  <w:num w:numId="47" w16cid:durableId="801577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AF4"/>
    <w:rsid w:val="00012747"/>
    <w:rsid w:val="000836DA"/>
    <w:rsid w:val="001D5AF4"/>
    <w:rsid w:val="002771C4"/>
    <w:rsid w:val="002C2322"/>
    <w:rsid w:val="0052389C"/>
    <w:rsid w:val="00644611"/>
    <w:rsid w:val="006F67E6"/>
    <w:rsid w:val="0078057B"/>
    <w:rsid w:val="007C5F15"/>
    <w:rsid w:val="008F16CF"/>
    <w:rsid w:val="00997351"/>
    <w:rsid w:val="00AE0FCE"/>
    <w:rsid w:val="00C11B2E"/>
    <w:rsid w:val="00CE0C0B"/>
    <w:rsid w:val="00CE4476"/>
    <w:rsid w:val="00CE6C3F"/>
    <w:rsid w:val="00CE7131"/>
    <w:rsid w:val="00D067B0"/>
    <w:rsid w:val="00F55523"/>
    <w:rsid w:val="00FC1A54"/>
    <w:rsid w:val="00FE45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CA5A7"/>
  <w15:chartTrackingRefBased/>
  <w15:docId w15:val="{790120C7-8751-4E1B-AB3C-E98EA7B58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D5AF4"/>
    <w:pPr>
      <w:spacing w:after="0" w:line="240" w:lineRule="auto"/>
    </w:pPr>
    <w:rPr>
      <w:rFonts w:ascii="Times New Roman" w:eastAsia="Times New Roman" w:hAnsi="Times New Roman" w:cs="Times New Roman"/>
      <w:sz w:val="20"/>
      <w:szCs w:val="20"/>
      <w:lang w:eastAsia="es-MX"/>
    </w:rPr>
  </w:style>
  <w:style w:type="paragraph" w:styleId="Ttulo1">
    <w:name w:val="heading 1"/>
    <w:basedOn w:val="Normal"/>
    <w:next w:val="Normal"/>
    <w:link w:val="Ttulo1Car"/>
    <w:uiPriority w:val="9"/>
    <w:qFormat/>
    <w:rsid w:val="001D5AF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unhideWhenUsed/>
    <w:qFormat/>
    <w:rsid w:val="001D5AF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1D5AF4"/>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1D5AF4"/>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1D5AF4"/>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1D5AF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D5AF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D5AF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D5AF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D5AF4"/>
    <w:rPr>
      <w:rFonts w:asciiTheme="majorHAnsi" w:eastAsiaTheme="majorEastAsia" w:hAnsiTheme="majorHAnsi" w:cstheme="majorBidi"/>
      <w:color w:val="2E74B5" w:themeColor="accent1" w:themeShade="BF"/>
      <w:sz w:val="40"/>
      <w:szCs w:val="40"/>
      <w:lang w:eastAsia="es-MX"/>
    </w:rPr>
  </w:style>
  <w:style w:type="character" w:customStyle="1" w:styleId="Ttulo2Car">
    <w:name w:val="Título 2 Car"/>
    <w:basedOn w:val="Fuentedeprrafopredeter"/>
    <w:link w:val="Ttulo2"/>
    <w:uiPriority w:val="9"/>
    <w:rsid w:val="001D5AF4"/>
    <w:rPr>
      <w:rFonts w:asciiTheme="majorHAnsi" w:eastAsiaTheme="majorEastAsia" w:hAnsiTheme="majorHAnsi" w:cstheme="majorBidi"/>
      <w:color w:val="2E74B5" w:themeColor="accent1" w:themeShade="BF"/>
      <w:sz w:val="32"/>
      <w:szCs w:val="32"/>
      <w:lang w:eastAsia="es-MX"/>
    </w:rPr>
  </w:style>
  <w:style w:type="character" w:customStyle="1" w:styleId="Ttulo3Car">
    <w:name w:val="Título 3 Car"/>
    <w:basedOn w:val="Fuentedeprrafopredeter"/>
    <w:link w:val="Ttulo3"/>
    <w:uiPriority w:val="9"/>
    <w:semiHidden/>
    <w:rsid w:val="001D5AF4"/>
    <w:rPr>
      <w:rFonts w:ascii="Times New Roman" w:eastAsiaTheme="majorEastAsia" w:hAnsi="Times New Roman" w:cstheme="majorBidi"/>
      <w:color w:val="2E74B5" w:themeColor="accent1" w:themeShade="BF"/>
      <w:sz w:val="28"/>
      <w:szCs w:val="28"/>
      <w:lang w:eastAsia="es-MX"/>
    </w:rPr>
  </w:style>
  <w:style w:type="character" w:customStyle="1" w:styleId="Ttulo4Car">
    <w:name w:val="Título 4 Car"/>
    <w:basedOn w:val="Fuentedeprrafopredeter"/>
    <w:link w:val="Ttulo4"/>
    <w:uiPriority w:val="9"/>
    <w:semiHidden/>
    <w:rsid w:val="001D5AF4"/>
    <w:rPr>
      <w:rFonts w:ascii="Times New Roman" w:eastAsiaTheme="majorEastAsia" w:hAnsi="Times New Roman" w:cstheme="majorBidi"/>
      <w:i/>
      <w:iCs/>
      <w:color w:val="2E74B5" w:themeColor="accent1" w:themeShade="BF"/>
      <w:sz w:val="20"/>
      <w:szCs w:val="20"/>
      <w:lang w:eastAsia="es-MX"/>
    </w:rPr>
  </w:style>
  <w:style w:type="character" w:customStyle="1" w:styleId="Ttulo5Car">
    <w:name w:val="Título 5 Car"/>
    <w:basedOn w:val="Fuentedeprrafopredeter"/>
    <w:link w:val="Ttulo5"/>
    <w:uiPriority w:val="9"/>
    <w:semiHidden/>
    <w:rsid w:val="001D5AF4"/>
    <w:rPr>
      <w:rFonts w:ascii="Times New Roman" w:eastAsiaTheme="majorEastAsia" w:hAnsi="Times New Roman" w:cstheme="majorBidi"/>
      <w:color w:val="2E74B5" w:themeColor="accent1" w:themeShade="BF"/>
      <w:sz w:val="20"/>
      <w:szCs w:val="20"/>
      <w:lang w:eastAsia="es-MX"/>
    </w:rPr>
  </w:style>
  <w:style w:type="character" w:customStyle="1" w:styleId="Ttulo6Car">
    <w:name w:val="Título 6 Car"/>
    <w:basedOn w:val="Fuentedeprrafopredeter"/>
    <w:link w:val="Ttulo6"/>
    <w:uiPriority w:val="9"/>
    <w:semiHidden/>
    <w:rsid w:val="001D5AF4"/>
    <w:rPr>
      <w:rFonts w:ascii="Times New Roman" w:eastAsiaTheme="majorEastAsia" w:hAnsi="Times New Roman" w:cstheme="majorBidi"/>
      <w:i/>
      <w:iCs/>
      <w:color w:val="595959" w:themeColor="text1" w:themeTint="A6"/>
      <w:sz w:val="20"/>
      <w:szCs w:val="20"/>
      <w:lang w:eastAsia="es-MX"/>
    </w:rPr>
  </w:style>
  <w:style w:type="character" w:customStyle="1" w:styleId="Ttulo7Car">
    <w:name w:val="Título 7 Car"/>
    <w:basedOn w:val="Fuentedeprrafopredeter"/>
    <w:link w:val="Ttulo7"/>
    <w:uiPriority w:val="9"/>
    <w:semiHidden/>
    <w:rsid w:val="001D5AF4"/>
    <w:rPr>
      <w:rFonts w:ascii="Times New Roman" w:eastAsiaTheme="majorEastAsia" w:hAnsi="Times New Roman" w:cstheme="majorBidi"/>
      <w:color w:val="595959" w:themeColor="text1" w:themeTint="A6"/>
      <w:sz w:val="20"/>
      <w:szCs w:val="20"/>
      <w:lang w:eastAsia="es-MX"/>
    </w:rPr>
  </w:style>
  <w:style w:type="character" w:customStyle="1" w:styleId="Ttulo8Car">
    <w:name w:val="Título 8 Car"/>
    <w:basedOn w:val="Fuentedeprrafopredeter"/>
    <w:link w:val="Ttulo8"/>
    <w:uiPriority w:val="9"/>
    <w:semiHidden/>
    <w:rsid w:val="001D5AF4"/>
    <w:rPr>
      <w:rFonts w:ascii="Times New Roman" w:eastAsiaTheme="majorEastAsia" w:hAnsi="Times New Roman" w:cstheme="majorBidi"/>
      <w:i/>
      <w:iCs/>
      <w:color w:val="272727" w:themeColor="text1" w:themeTint="D8"/>
      <w:sz w:val="20"/>
      <w:szCs w:val="20"/>
      <w:lang w:eastAsia="es-MX"/>
    </w:rPr>
  </w:style>
  <w:style w:type="character" w:customStyle="1" w:styleId="Ttulo9Car">
    <w:name w:val="Título 9 Car"/>
    <w:basedOn w:val="Fuentedeprrafopredeter"/>
    <w:link w:val="Ttulo9"/>
    <w:uiPriority w:val="9"/>
    <w:semiHidden/>
    <w:rsid w:val="001D5AF4"/>
    <w:rPr>
      <w:rFonts w:ascii="Times New Roman" w:eastAsiaTheme="majorEastAsia" w:hAnsi="Times New Roman" w:cstheme="majorBidi"/>
      <w:color w:val="272727" w:themeColor="text1" w:themeTint="D8"/>
      <w:sz w:val="20"/>
      <w:szCs w:val="20"/>
      <w:lang w:eastAsia="es-MX"/>
    </w:rPr>
  </w:style>
  <w:style w:type="paragraph" w:styleId="Ttulo">
    <w:name w:val="Title"/>
    <w:basedOn w:val="Normal"/>
    <w:next w:val="Normal"/>
    <w:link w:val="TtuloCar"/>
    <w:uiPriority w:val="10"/>
    <w:qFormat/>
    <w:rsid w:val="001D5AF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D5AF4"/>
    <w:rPr>
      <w:rFonts w:asciiTheme="majorHAnsi" w:eastAsiaTheme="majorEastAsia" w:hAnsiTheme="majorHAnsi" w:cstheme="majorBidi"/>
      <w:spacing w:val="-10"/>
      <w:kern w:val="28"/>
      <w:sz w:val="56"/>
      <w:szCs w:val="56"/>
      <w:lang w:eastAsia="es-MX"/>
    </w:rPr>
  </w:style>
  <w:style w:type="paragraph" w:styleId="Subttulo">
    <w:name w:val="Subtitle"/>
    <w:basedOn w:val="Normal"/>
    <w:next w:val="Normal"/>
    <w:link w:val="SubttuloCar"/>
    <w:uiPriority w:val="11"/>
    <w:qFormat/>
    <w:rsid w:val="001D5AF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D5AF4"/>
    <w:rPr>
      <w:rFonts w:ascii="Times New Roman" w:eastAsiaTheme="majorEastAsia" w:hAnsi="Times New Roman" w:cstheme="majorBidi"/>
      <w:color w:val="595959" w:themeColor="text1" w:themeTint="A6"/>
      <w:spacing w:val="15"/>
      <w:sz w:val="28"/>
      <w:szCs w:val="28"/>
      <w:lang w:eastAsia="es-MX"/>
    </w:rPr>
  </w:style>
  <w:style w:type="paragraph" w:styleId="Cita">
    <w:name w:val="Quote"/>
    <w:basedOn w:val="Normal"/>
    <w:next w:val="Normal"/>
    <w:link w:val="CitaCar"/>
    <w:uiPriority w:val="29"/>
    <w:qFormat/>
    <w:rsid w:val="001D5AF4"/>
    <w:pPr>
      <w:spacing w:before="160"/>
      <w:jc w:val="center"/>
    </w:pPr>
    <w:rPr>
      <w:i/>
      <w:iCs/>
      <w:color w:val="404040" w:themeColor="text1" w:themeTint="BF"/>
    </w:rPr>
  </w:style>
  <w:style w:type="character" w:customStyle="1" w:styleId="CitaCar">
    <w:name w:val="Cita Car"/>
    <w:basedOn w:val="Fuentedeprrafopredeter"/>
    <w:link w:val="Cita"/>
    <w:uiPriority w:val="29"/>
    <w:rsid w:val="001D5AF4"/>
    <w:rPr>
      <w:rFonts w:ascii="Times New Roman" w:eastAsia="Times New Roman" w:hAnsi="Times New Roman" w:cs="Times New Roman"/>
      <w:i/>
      <w:iCs/>
      <w:color w:val="404040" w:themeColor="text1" w:themeTint="BF"/>
      <w:sz w:val="20"/>
      <w:szCs w:val="20"/>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D5AF4"/>
    <w:pPr>
      <w:ind w:left="720"/>
      <w:contextualSpacing/>
    </w:pPr>
  </w:style>
  <w:style w:type="character" w:styleId="nfasisintenso">
    <w:name w:val="Intense Emphasis"/>
    <w:basedOn w:val="Fuentedeprrafopredeter"/>
    <w:uiPriority w:val="21"/>
    <w:qFormat/>
    <w:rsid w:val="001D5AF4"/>
    <w:rPr>
      <w:i/>
      <w:iCs/>
      <w:color w:val="2E74B5" w:themeColor="accent1" w:themeShade="BF"/>
    </w:rPr>
  </w:style>
  <w:style w:type="paragraph" w:styleId="Citadestacada">
    <w:name w:val="Intense Quote"/>
    <w:basedOn w:val="Normal"/>
    <w:next w:val="Normal"/>
    <w:link w:val="CitadestacadaCar"/>
    <w:uiPriority w:val="30"/>
    <w:qFormat/>
    <w:rsid w:val="001D5AF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1D5AF4"/>
    <w:rPr>
      <w:rFonts w:ascii="Times New Roman" w:eastAsia="Times New Roman" w:hAnsi="Times New Roman" w:cs="Times New Roman"/>
      <w:i/>
      <w:iCs/>
      <w:color w:val="2E74B5" w:themeColor="accent1" w:themeShade="BF"/>
      <w:sz w:val="20"/>
      <w:szCs w:val="20"/>
      <w:lang w:eastAsia="es-MX"/>
    </w:rPr>
  </w:style>
  <w:style w:type="character" w:styleId="Referenciaintensa">
    <w:name w:val="Intense Reference"/>
    <w:basedOn w:val="Fuentedeprrafopredeter"/>
    <w:uiPriority w:val="32"/>
    <w:qFormat/>
    <w:rsid w:val="001D5AF4"/>
    <w:rPr>
      <w:b/>
      <w:bCs/>
      <w:smallCaps/>
      <w:color w:val="2E74B5" w:themeColor="accent1" w:themeShade="BF"/>
      <w:spacing w:val="5"/>
    </w:rPr>
  </w:style>
  <w:style w:type="character" w:styleId="Hipervnculo">
    <w:name w:val="Hyperlink"/>
    <w:aliases w:val="Hipervínculo1,Hipervínculo11,Hipervínculo12,Hipervínculo13,Hipervínculo14,Hipervínculo15"/>
    <w:basedOn w:val="Fuentedeprrafopredeter"/>
    <w:uiPriority w:val="99"/>
    <w:unhideWhenUsed/>
    <w:qFormat/>
    <w:rsid w:val="001D5AF4"/>
    <w:rPr>
      <w:color w:val="0563C1" w:themeColor="hyperlink"/>
      <w:u w:val="single"/>
    </w:rPr>
  </w:style>
  <w:style w:type="paragraph" w:styleId="TtuloTDC">
    <w:name w:val="TOC Heading"/>
    <w:basedOn w:val="Ttulo1"/>
    <w:next w:val="Normal"/>
    <w:uiPriority w:val="39"/>
    <w:unhideWhenUsed/>
    <w:qFormat/>
    <w:rsid w:val="001D5AF4"/>
    <w:pPr>
      <w:spacing w:before="240" w:after="0"/>
      <w:outlineLvl w:val="9"/>
    </w:pPr>
    <w:rPr>
      <w:sz w:val="32"/>
      <w:szCs w:val="32"/>
    </w:rPr>
  </w:style>
  <w:style w:type="paragraph" w:styleId="TDC1">
    <w:name w:val="toc 1"/>
    <w:basedOn w:val="Normal"/>
    <w:next w:val="Normal"/>
    <w:autoRedefine/>
    <w:uiPriority w:val="39"/>
    <w:unhideWhenUsed/>
    <w:rsid w:val="001D5AF4"/>
    <w:pPr>
      <w:spacing w:after="100" w:line="254" w:lineRule="auto"/>
      <w:jc w:val="both"/>
    </w:pPr>
    <w:rPr>
      <w:rFonts w:ascii="Palatino Linotype" w:eastAsia="Palatino Linotype" w:hAnsi="Palatino Linotype" w:cs="Palatino Linotype"/>
      <w:color w:val="000000" w:themeColor="text1"/>
      <w:sz w:val="22"/>
      <w:szCs w:val="22"/>
    </w:rPr>
  </w:style>
  <w:style w:type="paragraph" w:styleId="TDC2">
    <w:name w:val="toc 2"/>
    <w:basedOn w:val="Normal"/>
    <w:next w:val="Normal"/>
    <w:autoRedefine/>
    <w:uiPriority w:val="39"/>
    <w:unhideWhenUsed/>
    <w:rsid w:val="001D5AF4"/>
    <w:pPr>
      <w:spacing w:after="100" w:line="254" w:lineRule="auto"/>
      <w:ind w:left="220"/>
      <w:jc w:val="both"/>
    </w:pPr>
    <w:rPr>
      <w:rFonts w:ascii="Palatino Linotype" w:eastAsia="Palatino Linotype" w:hAnsi="Palatino Linotype" w:cs="Palatino Linotype"/>
      <w:color w:val="000000" w:themeColor="text1"/>
      <w:sz w:val="22"/>
      <w:szCs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1D5AF4"/>
    <w:rPr>
      <w:rFonts w:ascii="Times New Roman" w:eastAsia="Times New Roman" w:hAnsi="Times New Roman" w:cs="Times New Roman"/>
      <w:sz w:val="20"/>
      <w:szCs w:val="20"/>
      <w:lang w:eastAsia="es-MX"/>
    </w:rPr>
  </w:style>
  <w:style w:type="table" w:styleId="Tablaconcuadrcula">
    <w:name w:val="Table Grid"/>
    <w:basedOn w:val="Tablanormal"/>
    <w:uiPriority w:val="39"/>
    <w:rsid w:val="001D5AF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sseguridad.edomex.gob.mx/"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5830</Words>
  <Characters>32066</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INFOEM500</dc:creator>
  <cp:keywords/>
  <dc:description/>
  <cp:lastModifiedBy>IVAN PEÑA VARA</cp:lastModifiedBy>
  <cp:revision>4</cp:revision>
  <cp:lastPrinted>2026-03-20T21:30:00Z</cp:lastPrinted>
  <dcterms:created xsi:type="dcterms:W3CDTF">2026-03-20T21:30:00Z</dcterms:created>
  <dcterms:modified xsi:type="dcterms:W3CDTF">2026-04-10T00:11:00Z</dcterms:modified>
</cp:coreProperties>
</file>