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37C3" w14:textId="77777777" w:rsidR="00052BAA" w:rsidRDefault="00052BAA" w:rsidP="00052BAA">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7F29FDCA" w14:textId="77777777" w:rsidR="00052BAA" w:rsidRPr="002D3F04" w:rsidRDefault="00052BAA" w:rsidP="002D3F04">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08FA394E" w14:textId="24CA48B0" w:rsidR="00052BAA" w:rsidRPr="00ED0B90" w:rsidRDefault="00052BAA" w:rsidP="002D3F04">
          <w:pPr>
            <w:pStyle w:val="TtuloTDC"/>
            <w:spacing w:before="0" w:line="360" w:lineRule="auto"/>
            <w:contextualSpacing/>
            <w:jc w:val="center"/>
            <w:rPr>
              <w:rFonts w:ascii="Palatino Linotype" w:hAnsi="Palatino Linotype"/>
              <w:color w:val="auto"/>
              <w:sz w:val="22"/>
              <w:szCs w:val="22"/>
            </w:rPr>
          </w:pPr>
          <w:r w:rsidRPr="00ED0B90">
            <w:rPr>
              <w:rFonts w:ascii="Palatino Linotype" w:hAnsi="Palatino Linotype"/>
              <w:color w:val="auto"/>
              <w:sz w:val="22"/>
              <w:szCs w:val="22"/>
              <w:lang w:val="es-ES"/>
            </w:rPr>
            <w:t xml:space="preserve">RESOLUCIÓN DEL RECURSO DE REVISIÓN </w:t>
          </w:r>
          <w:r w:rsidRPr="00ED0B90">
            <w:rPr>
              <w:rFonts w:ascii="Palatino Linotype" w:hAnsi="Palatino Linotype"/>
              <w:color w:val="auto"/>
              <w:sz w:val="22"/>
              <w:szCs w:val="22"/>
            </w:rPr>
            <w:t>04616/INFOEM/IP/RR/2025</w:t>
          </w:r>
        </w:p>
        <w:p w14:paraId="02750FD3" w14:textId="77777777" w:rsidR="00052BAA" w:rsidRPr="00ED0B90" w:rsidRDefault="00052BAA" w:rsidP="002D3F04">
          <w:pPr>
            <w:spacing w:line="360" w:lineRule="auto"/>
            <w:contextualSpacing/>
          </w:pPr>
        </w:p>
        <w:p w14:paraId="61343DBA" w14:textId="248DD7C7" w:rsidR="00ED0B90" w:rsidRPr="00ED0B90" w:rsidRDefault="00052BAA">
          <w:pPr>
            <w:pStyle w:val="TDC1"/>
            <w:tabs>
              <w:tab w:val="right" w:leader="dot" w:pos="8828"/>
            </w:tabs>
            <w:rPr>
              <w:rFonts w:asciiTheme="minorHAnsi" w:eastAsiaTheme="minorEastAsia" w:hAnsiTheme="minorHAnsi" w:cstheme="minorBidi"/>
              <w:noProof/>
              <w:color w:val="auto"/>
              <w:kern w:val="2"/>
              <w14:ligatures w14:val="standardContextual"/>
            </w:rPr>
          </w:pPr>
          <w:r w:rsidRPr="00ED0B90">
            <w:fldChar w:fldCharType="begin"/>
          </w:r>
          <w:r w:rsidRPr="00ED0B90">
            <w:instrText xml:space="preserve"> TOC \o "1-3" \h \z \u </w:instrText>
          </w:r>
          <w:r w:rsidRPr="00ED0B90">
            <w:fldChar w:fldCharType="separate"/>
          </w:r>
          <w:hyperlink w:anchor="_Toc221810640" w:history="1">
            <w:r w:rsidR="00ED0B90" w:rsidRPr="00ED0B90">
              <w:rPr>
                <w:rStyle w:val="Hipervnculo"/>
                <w:noProof/>
              </w:rPr>
              <w:t>A N T E C E D E N T E S</w:t>
            </w:r>
            <w:r w:rsidR="00ED0B90" w:rsidRPr="00ED0B90">
              <w:rPr>
                <w:noProof/>
                <w:webHidden/>
              </w:rPr>
              <w:tab/>
            </w:r>
            <w:r w:rsidR="00ED0B90" w:rsidRPr="00ED0B90">
              <w:rPr>
                <w:noProof/>
                <w:webHidden/>
              </w:rPr>
              <w:fldChar w:fldCharType="begin"/>
            </w:r>
            <w:r w:rsidR="00ED0B90" w:rsidRPr="00ED0B90">
              <w:rPr>
                <w:noProof/>
                <w:webHidden/>
              </w:rPr>
              <w:instrText xml:space="preserve"> PAGEREF _Toc221810640 \h </w:instrText>
            </w:r>
            <w:r w:rsidR="00ED0B90" w:rsidRPr="00ED0B90">
              <w:rPr>
                <w:noProof/>
                <w:webHidden/>
              </w:rPr>
            </w:r>
            <w:r w:rsidR="00ED0B90" w:rsidRPr="00ED0B90">
              <w:rPr>
                <w:noProof/>
                <w:webHidden/>
              </w:rPr>
              <w:fldChar w:fldCharType="separate"/>
            </w:r>
            <w:r w:rsidR="000B0893">
              <w:rPr>
                <w:noProof/>
                <w:webHidden/>
              </w:rPr>
              <w:t>2</w:t>
            </w:r>
            <w:r w:rsidR="00ED0B90" w:rsidRPr="00ED0B90">
              <w:rPr>
                <w:noProof/>
                <w:webHidden/>
              </w:rPr>
              <w:fldChar w:fldCharType="end"/>
            </w:r>
          </w:hyperlink>
        </w:p>
        <w:p w14:paraId="2C3102A1" w14:textId="6DC55363"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1" w:history="1">
            <w:r w:rsidRPr="00ED0B90">
              <w:rPr>
                <w:rStyle w:val="Hipervnculo"/>
                <w:noProof/>
              </w:rPr>
              <w:t>I. Presentación de la solicitud de información</w:t>
            </w:r>
            <w:r w:rsidRPr="00ED0B90">
              <w:rPr>
                <w:noProof/>
                <w:webHidden/>
              </w:rPr>
              <w:tab/>
            </w:r>
            <w:r w:rsidRPr="00ED0B90">
              <w:rPr>
                <w:noProof/>
                <w:webHidden/>
              </w:rPr>
              <w:fldChar w:fldCharType="begin"/>
            </w:r>
            <w:r w:rsidRPr="00ED0B90">
              <w:rPr>
                <w:noProof/>
                <w:webHidden/>
              </w:rPr>
              <w:instrText xml:space="preserve"> PAGEREF _Toc221810641 \h </w:instrText>
            </w:r>
            <w:r w:rsidRPr="00ED0B90">
              <w:rPr>
                <w:noProof/>
                <w:webHidden/>
              </w:rPr>
            </w:r>
            <w:r w:rsidRPr="00ED0B90">
              <w:rPr>
                <w:noProof/>
                <w:webHidden/>
              </w:rPr>
              <w:fldChar w:fldCharType="separate"/>
            </w:r>
            <w:r w:rsidR="000B0893">
              <w:rPr>
                <w:noProof/>
                <w:webHidden/>
              </w:rPr>
              <w:t>2</w:t>
            </w:r>
            <w:r w:rsidRPr="00ED0B90">
              <w:rPr>
                <w:noProof/>
                <w:webHidden/>
              </w:rPr>
              <w:fldChar w:fldCharType="end"/>
            </w:r>
          </w:hyperlink>
        </w:p>
        <w:p w14:paraId="6F3EB034" w14:textId="3AECB2FC"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2" w:history="1">
            <w:r w:rsidRPr="00ED0B90">
              <w:rPr>
                <w:rStyle w:val="Hipervnculo"/>
                <w:noProof/>
              </w:rPr>
              <w:t>II. Respuesta del Sujeto Obligado</w:t>
            </w:r>
            <w:r w:rsidRPr="00ED0B90">
              <w:rPr>
                <w:noProof/>
                <w:webHidden/>
              </w:rPr>
              <w:tab/>
            </w:r>
            <w:r w:rsidRPr="00ED0B90">
              <w:rPr>
                <w:noProof/>
                <w:webHidden/>
              </w:rPr>
              <w:fldChar w:fldCharType="begin"/>
            </w:r>
            <w:r w:rsidRPr="00ED0B90">
              <w:rPr>
                <w:noProof/>
                <w:webHidden/>
              </w:rPr>
              <w:instrText xml:space="preserve"> PAGEREF _Toc221810642 \h </w:instrText>
            </w:r>
            <w:r w:rsidRPr="00ED0B90">
              <w:rPr>
                <w:noProof/>
                <w:webHidden/>
              </w:rPr>
            </w:r>
            <w:r w:rsidRPr="00ED0B90">
              <w:rPr>
                <w:noProof/>
                <w:webHidden/>
              </w:rPr>
              <w:fldChar w:fldCharType="separate"/>
            </w:r>
            <w:r w:rsidR="000B0893">
              <w:rPr>
                <w:noProof/>
                <w:webHidden/>
              </w:rPr>
              <w:t>4</w:t>
            </w:r>
            <w:r w:rsidRPr="00ED0B90">
              <w:rPr>
                <w:noProof/>
                <w:webHidden/>
              </w:rPr>
              <w:fldChar w:fldCharType="end"/>
            </w:r>
          </w:hyperlink>
        </w:p>
        <w:p w14:paraId="52FAB34D" w14:textId="2CDA3EA1"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3" w:history="1">
            <w:r w:rsidRPr="00ED0B90">
              <w:rPr>
                <w:rStyle w:val="Hipervnculo"/>
                <w:noProof/>
              </w:rPr>
              <w:t>III. Interposición del Recurso de Revisión</w:t>
            </w:r>
            <w:r w:rsidRPr="00ED0B90">
              <w:rPr>
                <w:noProof/>
                <w:webHidden/>
              </w:rPr>
              <w:tab/>
            </w:r>
            <w:r w:rsidRPr="00ED0B90">
              <w:rPr>
                <w:noProof/>
                <w:webHidden/>
              </w:rPr>
              <w:fldChar w:fldCharType="begin"/>
            </w:r>
            <w:r w:rsidRPr="00ED0B90">
              <w:rPr>
                <w:noProof/>
                <w:webHidden/>
              </w:rPr>
              <w:instrText xml:space="preserve"> PAGEREF _Toc221810643 \h </w:instrText>
            </w:r>
            <w:r w:rsidRPr="00ED0B90">
              <w:rPr>
                <w:noProof/>
                <w:webHidden/>
              </w:rPr>
            </w:r>
            <w:r w:rsidRPr="00ED0B90">
              <w:rPr>
                <w:noProof/>
                <w:webHidden/>
              </w:rPr>
              <w:fldChar w:fldCharType="separate"/>
            </w:r>
            <w:r w:rsidR="000B0893">
              <w:rPr>
                <w:noProof/>
                <w:webHidden/>
              </w:rPr>
              <w:t>5</w:t>
            </w:r>
            <w:r w:rsidRPr="00ED0B90">
              <w:rPr>
                <w:noProof/>
                <w:webHidden/>
              </w:rPr>
              <w:fldChar w:fldCharType="end"/>
            </w:r>
          </w:hyperlink>
        </w:p>
        <w:p w14:paraId="76BD66EA" w14:textId="0FC18BED"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4" w:history="1">
            <w:r w:rsidRPr="00ED0B90">
              <w:rPr>
                <w:rStyle w:val="Hipervnculo"/>
                <w:noProof/>
              </w:rPr>
              <w:t>IV. Trámite del Recurso de Revisión ante este Instituto</w:t>
            </w:r>
            <w:r w:rsidRPr="00ED0B90">
              <w:rPr>
                <w:noProof/>
                <w:webHidden/>
              </w:rPr>
              <w:tab/>
            </w:r>
            <w:r w:rsidRPr="00ED0B90">
              <w:rPr>
                <w:noProof/>
                <w:webHidden/>
              </w:rPr>
              <w:fldChar w:fldCharType="begin"/>
            </w:r>
            <w:r w:rsidRPr="00ED0B90">
              <w:rPr>
                <w:noProof/>
                <w:webHidden/>
              </w:rPr>
              <w:instrText xml:space="preserve"> PAGEREF _Toc221810644 \h </w:instrText>
            </w:r>
            <w:r w:rsidRPr="00ED0B90">
              <w:rPr>
                <w:noProof/>
                <w:webHidden/>
              </w:rPr>
            </w:r>
            <w:r w:rsidRPr="00ED0B90">
              <w:rPr>
                <w:noProof/>
                <w:webHidden/>
              </w:rPr>
              <w:fldChar w:fldCharType="separate"/>
            </w:r>
            <w:r w:rsidR="000B0893">
              <w:rPr>
                <w:noProof/>
                <w:webHidden/>
              </w:rPr>
              <w:t>6</w:t>
            </w:r>
            <w:r w:rsidRPr="00ED0B90">
              <w:rPr>
                <w:noProof/>
                <w:webHidden/>
              </w:rPr>
              <w:fldChar w:fldCharType="end"/>
            </w:r>
          </w:hyperlink>
        </w:p>
        <w:p w14:paraId="5B2205F5" w14:textId="40FB8DCE" w:rsidR="00ED0B90" w:rsidRPr="00ED0B90" w:rsidRDefault="00ED0B90">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1810645" w:history="1">
            <w:r w:rsidRPr="00ED0B90">
              <w:rPr>
                <w:rStyle w:val="Hipervnculo"/>
                <w:noProof/>
              </w:rPr>
              <w:t>C O N S I D E R A N D O S</w:t>
            </w:r>
            <w:r w:rsidRPr="00ED0B90">
              <w:rPr>
                <w:noProof/>
                <w:webHidden/>
              </w:rPr>
              <w:tab/>
            </w:r>
            <w:r w:rsidRPr="00ED0B90">
              <w:rPr>
                <w:noProof/>
                <w:webHidden/>
              </w:rPr>
              <w:fldChar w:fldCharType="begin"/>
            </w:r>
            <w:r w:rsidRPr="00ED0B90">
              <w:rPr>
                <w:noProof/>
                <w:webHidden/>
              </w:rPr>
              <w:instrText xml:space="preserve"> PAGEREF _Toc221810645 \h </w:instrText>
            </w:r>
            <w:r w:rsidRPr="00ED0B90">
              <w:rPr>
                <w:noProof/>
                <w:webHidden/>
              </w:rPr>
            </w:r>
            <w:r w:rsidRPr="00ED0B90">
              <w:rPr>
                <w:noProof/>
                <w:webHidden/>
              </w:rPr>
              <w:fldChar w:fldCharType="separate"/>
            </w:r>
            <w:r w:rsidR="000B0893">
              <w:rPr>
                <w:noProof/>
                <w:webHidden/>
              </w:rPr>
              <w:t>8</w:t>
            </w:r>
            <w:r w:rsidRPr="00ED0B90">
              <w:rPr>
                <w:noProof/>
                <w:webHidden/>
              </w:rPr>
              <w:fldChar w:fldCharType="end"/>
            </w:r>
          </w:hyperlink>
        </w:p>
        <w:p w14:paraId="434B7806" w14:textId="7F9B3425"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6" w:history="1">
            <w:r w:rsidRPr="00ED0B90">
              <w:rPr>
                <w:rStyle w:val="Hipervnculo"/>
                <w:noProof/>
              </w:rPr>
              <w:t>PRIMERO. Competencia</w:t>
            </w:r>
            <w:r w:rsidRPr="00ED0B90">
              <w:rPr>
                <w:noProof/>
                <w:webHidden/>
              </w:rPr>
              <w:tab/>
            </w:r>
            <w:r w:rsidRPr="00ED0B90">
              <w:rPr>
                <w:noProof/>
                <w:webHidden/>
              </w:rPr>
              <w:fldChar w:fldCharType="begin"/>
            </w:r>
            <w:r w:rsidRPr="00ED0B90">
              <w:rPr>
                <w:noProof/>
                <w:webHidden/>
              </w:rPr>
              <w:instrText xml:space="preserve"> PAGEREF _Toc221810646 \h </w:instrText>
            </w:r>
            <w:r w:rsidRPr="00ED0B90">
              <w:rPr>
                <w:noProof/>
                <w:webHidden/>
              </w:rPr>
            </w:r>
            <w:r w:rsidRPr="00ED0B90">
              <w:rPr>
                <w:noProof/>
                <w:webHidden/>
              </w:rPr>
              <w:fldChar w:fldCharType="separate"/>
            </w:r>
            <w:r w:rsidR="000B0893">
              <w:rPr>
                <w:noProof/>
                <w:webHidden/>
              </w:rPr>
              <w:t>8</w:t>
            </w:r>
            <w:r w:rsidRPr="00ED0B90">
              <w:rPr>
                <w:noProof/>
                <w:webHidden/>
              </w:rPr>
              <w:fldChar w:fldCharType="end"/>
            </w:r>
          </w:hyperlink>
        </w:p>
        <w:p w14:paraId="414846DC" w14:textId="12EB0486"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7" w:history="1">
            <w:r w:rsidRPr="00ED0B90">
              <w:rPr>
                <w:rStyle w:val="Hipervnculo"/>
                <w:noProof/>
              </w:rPr>
              <w:t>SEGUNDO. Causales de improcedencia y sobreseimiento</w:t>
            </w:r>
            <w:r w:rsidRPr="00ED0B90">
              <w:rPr>
                <w:noProof/>
                <w:webHidden/>
              </w:rPr>
              <w:tab/>
            </w:r>
            <w:r w:rsidRPr="00ED0B90">
              <w:rPr>
                <w:noProof/>
                <w:webHidden/>
              </w:rPr>
              <w:fldChar w:fldCharType="begin"/>
            </w:r>
            <w:r w:rsidRPr="00ED0B90">
              <w:rPr>
                <w:noProof/>
                <w:webHidden/>
              </w:rPr>
              <w:instrText xml:space="preserve"> PAGEREF _Toc221810647 \h </w:instrText>
            </w:r>
            <w:r w:rsidRPr="00ED0B90">
              <w:rPr>
                <w:noProof/>
                <w:webHidden/>
              </w:rPr>
            </w:r>
            <w:r w:rsidRPr="00ED0B90">
              <w:rPr>
                <w:noProof/>
                <w:webHidden/>
              </w:rPr>
              <w:fldChar w:fldCharType="separate"/>
            </w:r>
            <w:r w:rsidR="000B0893">
              <w:rPr>
                <w:noProof/>
                <w:webHidden/>
              </w:rPr>
              <w:t>9</w:t>
            </w:r>
            <w:r w:rsidRPr="00ED0B90">
              <w:rPr>
                <w:noProof/>
                <w:webHidden/>
              </w:rPr>
              <w:fldChar w:fldCharType="end"/>
            </w:r>
          </w:hyperlink>
        </w:p>
        <w:p w14:paraId="0CD3471B" w14:textId="4D67AD59"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8" w:history="1">
            <w:r w:rsidRPr="00ED0B90">
              <w:rPr>
                <w:rStyle w:val="Hipervnculo"/>
                <w:noProof/>
              </w:rPr>
              <w:t>TERCERO. Determinación de la Controversia</w:t>
            </w:r>
            <w:r w:rsidRPr="00ED0B90">
              <w:rPr>
                <w:noProof/>
                <w:webHidden/>
              </w:rPr>
              <w:tab/>
            </w:r>
            <w:r w:rsidRPr="00ED0B90">
              <w:rPr>
                <w:noProof/>
                <w:webHidden/>
              </w:rPr>
              <w:fldChar w:fldCharType="begin"/>
            </w:r>
            <w:r w:rsidRPr="00ED0B90">
              <w:rPr>
                <w:noProof/>
                <w:webHidden/>
              </w:rPr>
              <w:instrText xml:space="preserve"> PAGEREF _Toc221810648 \h </w:instrText>
            </w:r>
            <w:r w:rsidRPr="00ED0B90">
              <w:rPr>
                <w:noProof/>
                <w:webHidden/>
              </w:rPr>
            </w:r>
            <w:r w:rsidRPr="00ED0B90">
              <w:rPr>
                <w:noProof/>
                <w:webHidden/>
              </w:rPr>
              <w:fldChar w:fldCharType="separate"/>
            </w:r>
            <w:r w:rsidR="000B0893">
              <w:rPr>
                <w:noProof/>
                <w:webHidden/>
              </w:rPr>
              <w:t>10</w:t>
            </w:r>
            <w:r w:rsidRPr="00ED0B90">
              <w:rPr>
                <w:noProof/>
                <w:webHidden/>
              </w:rPr>
              <w:fldChar w:fldCharType="end"/>
            </w:r>
          </w:hyperlink>
        </w:p>
        <w:p w14:paraId="205BA0D7" w14:textId="690828AE"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49" w:history="1">
            <w:r w:rsidRPr="00ED0B90">
              <w:rPr>
                <w:rStyle w:val="Hipervnculo"/>
                <w:noProof/>
              </w:rPr>
              <w:t>CUARTO. Marco normativo aplicable en materia de transparencia y acceso a la información pública</w:t>
            </w:r>
            <w:r w:rsidRPr="00ED0B90">
              <w:rPr>
                <w:noProof/>
                <w:webHidden/>
              </w:rPr>
              <w:tab/>
            </w:r>
            <w:r w:rsidRPr="00ED0B90">
              <w:rPr>
                <w:noProof/>
                <w:webHidden/>
              </w:rPr>
              <w:fldChar w:fldCharType="begin"/>
            </w:r>
            <w:r w:rsidRPr="00ED0B90">
              <w:rPr>
                <w:noProof/>
                <w:webHidden/>
              </w:rPr>
              <w:instrText xml:space="preserve"> PAGEREF _Toc221810649 \h </w:instrText>
            </w:r>
            <w:r w:rsidRPr="00ED0B90">
              <w:rPr>
                <w:noProof/>
                <w:webHidden/>
              </w:rPr>
            </w:r>
            <w:r w:rsidRPr="00ED0B90">
              <w:rPr>
                <w:noProof/>
                <w:webHidden/>
              </w:rPr>
              <w:fldChar w:fldCharType="separate"/>
            </w:r>
            <w:r w:rsidR="000B0893">
              <w:rPr>
                <w:noProof/>
                <w:webHidden/>
              </w:rPr>
              <w:t>12</w:t>
            </w:r>
            <w:r w:rsidRPr="00ED0B90">
              <w:rPr>
                <w:noProof/>
                <w:webHidden/>
              </w:rPr>
              <w:fldChar w:fldCharType="end"/>
            </w:r>
          </w:hyperlink>
        </w:p>
        <w:p w14:paraId="76361D43" w14:textId="0BDD1D5E"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50" w:history="1">
            <w:r w:rsidRPr="00ED0B90">
              <w:rPr>
                <w:rStyle w:val="Hipervnculo"/>
                <w:noProof/>
              </w:rPr>
              <w:t>QUINTO. Estudio de Fondo</w:t>
            </w:r>
            <w:r w:rsidRPr="00ED0B90">
              <w:rPr>
                <w:noProof/>
                <w:webHidden/>
              </w:rPr>
              <w:tab/>
            </w:r>
            <w:r w:rsidRPr="00ED0B90">
              <w:rPr>
                <w:noProof/>
                <w:webHidden/>
              </w:rPr>
              <w:fldChar w:fldCharType="begin"/>
            </w:r>
            <w:r w:rsidRPr="00ED0B90">
              <w:rPr>
                <w:noProof/>
                <w:webHidden/>
              </w:rPr>
              <w:instrText xml:space="preserve"> PAGEREF _Toc221810650 \h </w:instrText>
            </w:r>
            <w:r w:rsidRPr="00ED0B90">
              <w:rPr>
                <w:noProof/>
                <w:webHidden/>
              </w:rPr>
            </w:r>
            <w:r w:rsidRPr="00ED0B90">
              <w:rPr>
                <w:noProof/>
                <w:webHidden/>
              </w:rPr>
              <w:fldChar w:fldCharType="separate"/>
            </w:r>
            <w:r w:rsidR="000B0893">
              <w:rPr>
                <w:noProof/>
                <w:webHidden/>
              </w:rPr>
              <w:t>13</w:t>
            </w:r>
            <w:r w:rsidRPr="00ED0B90">
              <w:rPr>
                <w:noProof/>
                <w:webHidden/>
              </w:rPr>
              <w:fldChar w:fldCharType="end"/>
            </w:r>
          </w:hyperlink>
        </w:p>
        <w:p w14:paraId="150D8648" w14:textId="4A31C0DC" w:rsidR="00ED0B90" w:rsidRPr="00ED0B90" w:rsidRDefault="00ED0B90">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651" w:history="1">
            <w:r w:rsidRPr="00ED0B90">
              <w:rPr>
                <w:rStyle w:val="Hipervnculo"/>
                <w:noProof/>
              </w:rPr>
              <w:t>SEXTO. Decisión</w:t>
            </w:r>
            <w:r w:rsidRPr="00ED0B90">
              <w:rPr>
                <w:noProof/>
                <w:webHidden/>
              </w:rPr>
              <w:tab/>
            </w:r>
            <w:r w:rsidRPr="00ED0B90">
              <w:rPr>
                <w:noProof/>
                <w:webHidden/>
              </w:rPr>
              <w:fldChar w:fldCharType="begin"/>
            </w:r>
            <w:r w:rsidRPr="00ED0B90">
              <w:rPr>
                <w:noProof/>
                <w:webHidden/>
              </w:rPr>
              <w:instrText xml:space="preserve"> PAGEREF _Toc221810651 \h </w:instrText>
            </w:r>
            <w:r w:rsidRPr="00ED0B90">
              <w:rPr>
                <w:noProof/>
                <w:webHidden/>
              </w:rPr>
            </w:r>
            <w:r w:rsidRPr="00ED0B90">
              <w:rPr>
                <w:noProof/>
                <w:webHidden/>
              </w:rPr>
              <w:fldChar w:fldCharType="separate"/>
            </w:r>
            <w:r w:rsidR="000B0893">
              <w:rPr>
                <w:noProof/>
                <w:webHidden/>
              </w:rPr>
              <w:t>24</w:t>
            </w:r>
            <w:r w:rsidRPr="00ED0B90">
              <w:rPr>
                <w:noProof/>
                <w:webHidden/>
              </w:rPr>
              <w:fldChar w:fldCharType="end"/>
            </w:r>
          </w:hyperlink>
        </w:p>
        <w:p w14:paraId="42E54435" w14:textId="6B1FDEE0" w:rsidR="00ED0B90" w:rsidRPr="00ED0B90" w:rsidRDefault="00ED0B90">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1810652" w:history="1">
            <w:r w:rsidRPr="00ED0B90">
              <w:rPr>
                <w:rStyle w:val="Hipervnculo"/>
                <w:noProof/>
              </w:rPr>
              <w:t>R E S U E L V E</w:t>
            </w:r>
            <w:r w:rsidRPr="00ED0B90">
              <w:rPr>
                <w:noProof/>
                <w:webHidden/>
              </w:rPr>
              <w:tab/>
            </w:r>
            <w:r w:rsidRPr="00ED0B90">
              <w:rPr>
                <w:noProof/>
                <w:webHidden/>
              </w:rPr>
              <w:fldChar w:fldCharType="begin"/>
            </w:r>
            <w:r w:rsidRPr="00ED0B90">
              <w:rPr>
                <w:noProof/>
                <w:webHidden/>
              </w:rPr>
              <w:instrText xml:space="preserve"> PAGEREF _Toc221810652 \h </w:instrText>
            </w:r>
            <w:r w:rsidRPr="00ED0B90">
              <w:rPr>
                <w:noProof/>
                <w:webHidden/>
              </w:rPr>
            </w:r>
            <w:r w:rsidRPr="00ED0B90">
              <w:rPr>
                <w:noProof/>
                <w:webHidden/>
              </w:rPr>
              <w:fldChar w:fldCharType="separate"/>
            </w:r>
            <w:r w:rsidR="000B0893">
              <w:rPr>
                <w:noProof/>
                <w:webHidden/>
              </w:rPr>
              <w:t>25</w:t>
            </w:r>
            <w:r w:rsidRPr="00ED0B90">
              <w:rPr>
                <w:noProof/>
                <w:webHidden/>
              </w:rPr>
              <w:fldChar w:fldCharType="end"/>
            </w:r>
          </w:hyperlink>
        </w:p>
        <w:p w14:paraId="07B8F9DB" w14:textId="70768D1A" w:rsidR="00052BAA" w:rsidRDefault="00052BAA" w:rsidP="002D3F04">
          <w:pPr>
            <w:widowControl w:val="0"/>
            <w:pBdr>
              <w:top w:val="nil"/>
              <w:left w:val="nil"/>
              <w:bottom w:val="nil"/>
              <w:right w:val="nil"/>
              <w:between w:val="nil"/>
            </w:pBdr>
            <w:spacing w:line="360" w:lineRule="auto"/>
            <w:ind w:left="720" w:hanging="720"/>
            <w:contextualSpacing/>
          </w:pPr>
          <w:r w:rsidRPr="00ED0B90">
            <w:rPr>
              <w:rFonts w:ascii="Palatino Linotype" w:hAnsi="Palatino Linotype"/>
              <w:sz w:val="22"/>
              <w:szCs w:val="22"/>
              <w:lang w:val="es-ES"/>
            </w:rPr>
            <w:fldChar w:fldCharType="end"/>
          </w:r>
        </w:p>
      </w:sdtContent>
    </w:sdt>
    <w:p w14:paraId="5E560DBD" w14:textId="77777777" w:rsidR="00052BAA" w:rsidRDefault="00052BAA" w:rsidP="00052BAA">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2659FAEE" w14:textId="77777777" w:rsidR="00052BAA" w:rsidRDefault="00052BAA" w:rsidP="00052BAA">
      <w:pPr>
        <w:spacing w:line="360" w:lineRule="auto"/>
        <w:ind w:right="-28"/>
        <w:contextualSpacing/>
        <w:jc w:val="both"/>
        <w:rPr>
          <w:rFonts w:ascii="Palatino Linotype" w:eastAsia="Palatino Linotype" w:hAnsi="Palatino Linotype" w:cs="Palatino Linotype"/>
          <w:color w:val="000000"/>
          <w:sz w:val="22"/>
          <w:szCs w:val="22"/>
        </w:rPr>
      </w:pPr>
    </w:p>
    <w:p w14:paraId="64FC4C2F" w14:textId="77777777" w:rsidR="00052BAA" w:rsidRDefault="00052BAA" w:rsidP="00052BAA">
      <w:pPr>
        <w:spacing w:line="360" w:lineRule="auto"/>
        <w:ind w:right="-28"/>
        <w:contextualSpacing/>
        <w:jc w:val="both"/>
        <w:rPr>
          <w:rFonts w:ascii="Palatino Linotype" w:eastAsia="Palatino Linotype" w:hAnsi="Palatino Linotype" w:cs="Palatino Linotype"/>
          <w:color w:val="000000"/>
          <w:sz w:val="22"/>
          <w:szCs w:val="22"/>
        </w:rPr>
      </w:pPr>
    </w:p>
    <w:p w14:paraId="3E038B1B" w14:textId="77777777" w:rsidR="00052BAA" w:rsidRDefault="00052BAA" w:rsidP="00052BAA">
      <w:pPr>
        <w:spacing w:line="360" w:lineRule="auto"/>
        <w:ind w:right="-28"/>
        <w:contextualSpacing/>
        <w:jc w:val="both"/>
        <w:rPr>
          <w:rFonts w:ascii="Palatino Linotype" w:eastAsia="Palatino Linotype" w:hAnsi="Palatino Linotype" w:cs="Palatino Linotype"/>
          <w:color w:val="000000"/>
          <w:sz w:val="22"/>
          <w:szCs w:val="22"/>
        </w:rPr>
      </w:pPr>
    </w:p>
    <w:p w14:paraId="28FC5118" w14:textId="77777777" w:rsidR="00052BAA" w:rsidRDefault="00052BAA" w:rsidP="00052BAA">
      <w:pPr>
        <w:spacing w:line="360" w:lineRule="auto"/>
        <w:ind w:right="-28"/>
        <w:contextualSpacing/>
        <w:jc w:val="both"/>
        <w:rPr>
          <w:rFonts w:ascii="Palatino Linotype" w:eastAsia="Palatino Linotype" w:hAnsi="Palatino Linotype" w:cs="Palatino Linotype"/>
          <w:color w:val="000000"/>
          <w:sz w:val="22"/>
          <w:szCs w:val="22"/>
        </w:rPr>
      </w:pPr>
    </w:p>
    <w:p w14:paraId="72BFC7BA" w14:textId="77777777" w:rsidR="00052BAA" w:rsidRDefault="00052BAA" w:rsidP="00052BAA">
      <w:pPr>
        <w:spacing w:line="360" w:lineRule="auto"/>
        <w:ind w:right="-28"/>
        <w:contextualSpacing/>
        <w:jc w:val="both"/>
        <w:rPr>
          <w:rFonts w:ascii="Palatino Linotype" w:eastAsia="Palatino Linotype" w:hAnsi="Palatino Linotype" w:cs="Palatino Linotype"/>
          <w:color w:val="000000"/>
          <w:sz w:val="22"/>
          <w:szCs w:val="22"/>
        </w:rPr>
      </w:pPr>
    </w:p>
    <w:p w14:paraId="425E2BBF" w14:textId="77777777" w:rsidR="00052BAA" w:rsidRDefault="00052BAA" w:rsidP="00052BAA">
      <w:pPr>
        <w:spacing w:line="360" w:lineRule="auto"/>
        <w:ind w:right="-28"/>
        <w:contextualSpacing/>
        <w:jc w:val="both"/>
        <w:rPr>
          <w:rFonts w:ascii="Palatino Linotype" w:hAnsi="Palatino Linotype" w:cs="Tahoma"/>
          <w:sz w:val="22"/>
          <w:szCs w:val="22"/>
        </w:rPr>
      </w:pPr>
    </w:p>
    <w:p w14:paraId="31C11DEC" w14:textId="7D995CC9"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once de febrero de dos mil veinti</w:t>
      </w:r>
      <w:r w:rsidR="00ED0B90">
        <w:rPr>
          <w:rFonts w:ascii="Palatino Linotype" w:eastAsia="Palatino Linotype" w:hAnsi="Palatino Linotype" w:cs="Palatino Linotype"/>
          <w:sz w:val="22"/>
          <w:szCs w:val="22"/>
        </w:rPr>
        <w:t>séis.</w:t>
      </w:r>
    </w:p>
    <w:p w14:paraId="58A5B0EA" w14:textId="77777777" w:rsidR="00052BAA" w:rsidRDefault="00052BAA" w:rsidP="00052BAA">
      <w:pPr>
        <w:spacing w:line="360" w:lineRule="auto"/>
        <w:contextualSpacing/>
        <w:rPr>
          <w:rFonts w:ascii="Palatino Linotype" w:eastAsia="Palatino Linotype" w:hAnsi="Palatino Linotype" w:cs="Palatino Linotype"/>
          <w:sz w:val="22"/>
          <w:szCs w:val="22"/>
        </w:rPr>
      </w:pPr>
    </w:p>
    <w:p w14:paraId="6780D41A" w14:textId="4C7CDB85"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B26DDF">
        <w:rPr>
          <w:rFonts w:ascii="Palatino Linotype" w:eastAsia="Palatino Linotype" w:hAnsi="Palatino Linotype" w:cs="Palatino Linotype"/>
          <w:b/>
          <w:bCs/>
          <w:sz w:val="22"/>
          <w:szCs w:val="22"/>
        </w:rPr>
        <w:t>04616/INFOEM/IP/RR/2025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r w:rsidR="00E956B1" w:rsidRPr="00E956B1">
        <w:rPr>
          <w:rFonts w:ascii="Palatino Linotype" w:eastAsia="Palatino Linotype" w:hAnsi="Palatino Linotype" w:cs="Palatino Linotype"/>
          <w:sz w:val="22"/>
          <w:szCs w:val="22"/>
          <w:highlight w:val="black"/>
        </w:rPr>
        <w:t>XXXXXXXXXXXXXXXXXXX</w:t>
      </w:r>
      <w:r w:rsidR="00E956B1">
        <w:rPr>
          <w:rFonts w:ascii="Palatino Linotype" w:eastAsia="Palatino Linotype" w:hAnsi="Palatino Linotype" w:cs="Palatino Linotype"/>
          <w:sz w:val="22"/>
          <w:szCs w:val="22"/>
        </w:rPr>
        <w:t xml:space="preserve"> </w:t>
      </w:r>
      <w:r w:rsidRPr="003B6775">
        <w:rPr>
          <w:rFonts w:ascii="Palatino Linotype" w:eastAsia="Palatino Linotype" w:hAnsi="Palatino Linotype" w:cs="Palatino Linotype"/>
          <w:bCs/>
          <w:color w:val="0D0D0D"/>
          <w:sz w:val="22"/>
          <w:szCs w:val="22"/>
        </w:rPr>
        <w:t xml:space="preserve">en lo sucesivo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 a la solicitud de acceso a la información pública</w:t>
      </w:r>
      <w:r w:rsidRPr="003B6775">
        <w:rPr>
          <w:rFonts w:ascii="Palatino Linotype" w:eastAsia="Palatino Linotype" w:hAnsi="Palatino Linotype" w:cs="Palatino Linotype"/>
          <w:bCs/>
          <w:sz w:val="22"/>
          <w:szCs w:val="22"/>
        </w:rPr>
        <w:t> </w:t>
      </w:r>
      <w:r w:rsidRPr="00052BAA">
        <w:rPr>
          <w:rFonts w:ascii="Palatino Linotype" w:eastAsia="Palatino Linotype" w:hAnsi="Palatino Linotype" w:cs="Palatino Linotype"/>
          <w:sz w:val="22"/>
          <w:szCs w:val="22"/>
        </w:rPr>
        <w:t>00205/TEOLOYU/IP/2025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5455D424"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7BB85C17" w14:textId="77777777" w:rsidR="00052BAA" w:rsidRPr="00633419" w:rsidRDefault="00052BAA" w:rsidP="00052BAA">
      <w:pPr>
        <w:pStyle w:val="Ttulo1"/>
        <w:spacing w:before="0" w:after="0" w:line="360" w:lineRule="auto"/>
        <w:contextualSpacing/>
        <w:jc w:val="center"/>
        <w:rPr>
          <w:rFonts w:ascii="Palatino Linotype" w:hAnsi="Palatino Linotype"/>
          <w:b/>
          <w:bCs/>
          <w:color w:val="auto"/>
          <w:sz w:val="22"/>
          <w:szCs w:val="22"/>
        </w:rPr>
      </w:pPr>
      <w:bookmarkStart w:id="2" w:name="_Toc221810640"/>
      <w:r w:rsidRPr="00633419">
        <w:rPr>
          <w:rFonts w:ascii="Palatino Linotype" w:hAnsi="Palatino Linotype"/>
          <w:b/>
          <w:bCs/>
          <w:color w:val="auto"/>
          <w:sz w:val="22"/>
          <w:szCs w:val="22"/>
        </w:rPr>
        <w:t>A N T E C E D E N T E S</w:t>
      </w:r>
      <w:bookmarkEnd w:id="2"/>
    </w:p>
    <w:p w14:paraId="6AB1D796" w14:textId="77777777" w:rsidR="00052BAA" w:rsidRDefault="00052BAA" w:rsidP="00052BAA">
      <w:pPr>
        <w:spacing w:line="360" w:lineRule="auto"/>
        <w:contextualSpacing/>
      </w:pPr>
    </w:p>
    <w:p w14:paraId="43A891CC" w14:textId="77777777" w:rsidR="00052BAA" w:rsidRPr="00633419" w:rsidRDefault="00052BAA" w:rsidP="00052BAA">
      <w:pPr>
        <w:pStyle w:val="Ttulo2"/>
        <w:spacing w:before="0" w:after="0" w:line="360" w:lineRule="auto"/>
        <w:contextualSpacing/>
        <w:rPr>
          <w:rFonts w:ascii="Palatino Linotype" w:hAnsi="Palatino Linotype"/>
          <w:b/>
          <w:bCs/>
          <w:color w:val="auto"/>
          <w:sz w:val="22"/>
          <w:szCs w:val="22"/>
        </w:rPr>
      </w:pPr>
      <w:bookmarkStart w:id="3" w:name="_Toc221810641"/>
      <w:r w:rsidRPr="00633419">
        <w:rPr>
          <w:rFonts w:ascii="Palatino Linotype" w:hAnsi="Palatino Linotype"/>
          <w:b/>
          <w:bCs/>
          <w:color w:val="auto"/>
          <w:sz w:val="22"/>
          <w:szCs w:val="22"/>
        </w:rPr>
        <w:t>I. Presentación de la solicitud de información</w:t>
      </w:r>
      <w:bookmarkEnd w:id="3"/>
    </w:p>
    <w:p w14:paraId="34EE2610" w14:textId="77777777" w:rsidR="00052BAA" w:rsidRDefault="00052BAA" w:rsidP="00052BAA">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2F36FD52" w14:textId="36C41FD2" w:rsidR="00052BAA" w:rsidRDefault="00052BAA" w:rsidP="00052BAA">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trece de marzo de dos mil veinticinco, el Particular presentó una solicitud de acceso a la información pública, a través del Sistema de Acceso a la Información Mexiquense, en lo sucesivo el SAIMEX, ante el </w:t>
      </w:r>
      <w:r w:rsidRPr="00217A0E">
        <w:rPr>
          <w:rFonts w:ascii="Palatino Linotype" w:eastAsia="Palatino Linotype" w:hAnsi="Palatino Linotype" w:cs="Palatino Linotype"/>
          <w:color w:val="000000"/>
          <w:sz w:val="22"/>
          <w:szCs w:val="22"/>
        </w:rPr>
        <w:t xml:space="preserve">Ayuntamiento de </w:t>
      </w:r>
      <w:r w:rsidR="00322687">
        <w:rPr>
          <w:rFonts w:ascii="Palatino Linotype" w:eastAsia="Palatino Linotype" w:hAnsi="Palatino Linotype" w:cs="Palatino Linotype"/>
          <w:color w:val="000000"/>
          <w:sz w:val="22"/>
          <w:szCs w:val="22"/>
        </w:rPr>
        <w:t>Teoloyucan</w:t>
      </w:r>
      <w:r>
        <w:rPr>
          <w:rFonts w:ascii="Palatino Linotype" w:eastAsia="Palatino Linotype" w:hAnsi="Palatino Linotype" w:cs="Palatino Linotype"/>
          <w:color w:val="000000"/>
          <w:sz w:val="22"/>
          <w:szCs w:val="22"/>
        </w:rPr>
        <w:t>, mediante la cual requirió lo siguiente:</w:t>
      </w:r>
    </w:p>
    <w:p w14:paraId="6BA0ED88" w14:textId="77777777" w:rsidR="00052BAA" w:rsidRDefault="00052BAA" w:rsidP="00052BAA">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17C563D5" w14:textId="77777777" w:rsidR="00052BAA" w:rsidRDefault="00052BAA" w:rsidP="00052BAA">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0A93ABBD" w14:textId="25F34988" w:rsidR="00052BAA" w:rsidRPr="005C08BB" w:rsidRDefault="00322687" w:rsidP="00052BAA">
      <w:pPr>
        <w:spacing w:line="360" w:lineRule="auto"/>
        <w:ind w:left="567" w:right="567"/>
        <w:contextualSpacing/>
        <w:jc w:val="both"/>
        <w:rPr>
          <w:rFonts w:ascii="Palatino Linotype" w:eastAsia="Palatino Linotype" w:hAnsi="Palatino Linotype" w:cs="Palatino Linotype"/>
          <w:i/>
        </w:rPr>
      </w:pPr>
      <w:r w:rsidRPr="00322687">
        <w:rPr>
          <w:rFonts w:ascii="Palatino Linotype" w:eastAsia="Palatino Linotype" w:hAnsi="Palatino Linotype" w:cs="Palatino Linotype"/>
          <w:i/>
        </w:rPr>
        <w:t xml:space="preserve">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todos los traslados de dominio desde el año 2020 al 2025 cantidad por año así mismo cantidad de verificación de linderos o </w:t>
      </w:r>
      <w:proofErr w:type="spellStart"/>
      <w:r w:rsidRPr="00322687">
        <w:rPr>
          <w:rFonts w:ascii="Palatino Linotype" w:eastAsia="Palatino Linotype" w:hAnsi="Palatino Linotype" w:cs="Palatino Linotype"/>
          <w:i/>
        </w:rPr>
        <w:t>verificaciónes</w:t>
      </w:r>
      <w:proofErr w:type="spellEnd"/>
      <w:r w:rsidRPr="00322687">
        <w:rPr>
          <w:rFonts w:ascii="Palatino Linotype" w:eastAsia="Palatino Linotype" w:hAnsi="Palatino Linotype" w:cs="Palatino Linotype"/>
          <w:i/>
        </w:rPr>
        <w:t xml:space="preserve"> por año desde el año 2018 hasta el 15 de Marzo del año 2025 así como los planos </w:t>
      </w:r>
      <w:r w:rsidRPr="00322687">
        <w:rPr>
          <w:rFonts w:ascii="Palatino Linotype" w:eastAsia="Palatino Linotype" w:hAnsi="Palatino Linotype" w:cs="Palatino Linotype"/>
          <w:i/>
        </w:rPr>
        <w:lastRenderedPageBreak/>
        <w:t>manzaneros del municipio de Teoloyucan expedidos por esta área desde el año 2020 al 2025 día 10 de marzo en PDF de forma digital</w:t>
      </w:r>
      <w:r w:rsidR="00052BAA">
        <w:rPr>
          <w:rFonts w:ascii="Palatino Linotype" w:eastAsia="Palatino Linotype" w:hAnsi="Palatino Linotype" w:cs="Palatino Linotype"/>
          <w:i/>
        </w:rPr>
        <w:t>.” (Sic).</w:t>
      </w:r>
    </w:p>
    <w:p w14:paraId="5E301E77" w14:textId="77777777" w:rsidR="00052BAA" w:rsidRDefault="00052BAA" w:rsidP="00052BAA">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770DACE5" w14:textId="77777777" w:rsidR="00052BAA" w:rsidRDefault="00052BAA" w:rsidP="00052BAA">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62AEBC15" w14:textId="77777777" w:rsidR="00052BAA" w:rsidRDefault="00052BAA" w:rsidP="00052BAA">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4FE1EAF7" w14:textId="77777777" w:rsidR="00322687" w:rsidRDefault="00322687" w:rsidP="00052BAA">
      <w:pPr>
        <w:tabs>
          <w:tab w:val="left" w:pos="4667"/>
        </w:tabs>
        <w:spacing w:line="360" w:lineRule="auto"/>
        <w:ind w:left="567" w:right="567"/>
        <w:contextualSpacing/>
        <w:jc w:val="both"/>
        <w:rPr>
          <w:rFonts w:ascii="Palatino Linotype" w:eastAsia="Palatino Linotype" w:hAnsi="Palatino Linotype" w:cs="Palatino Linotype"/>
          <w:i/>
        </w:rPr>
      </w:pPr>
    </w:p>
    <w:p w14:paraId="34A4B04A" w14:textId="7B367573" w:rsidR="00322687" w:rsidRPr="009D511B" w:rsidRDefault="00322687" w:rsidP="00322687">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sidRPr="00E866A4">
        <w:rPr>
          <w:rFonts w:ascii="Palatino Linotype" w:hAnsi="Palatino Linotype"/>
          <w:b/>
          <w:sz w:val="22"/>
          <w:szCs w:val="22"/>
        </w:rPr>
        <w:t xml:space="preserve">II. Solicitud de aclaración </w:t>
      </w:r>
    </w:p>
    <w:p w14:paraId="2D0BD4BC" w14:textId="77777777" w:rsidR="00322687" w:rsidRPr="00E866A4" w:rsidRDefault="00322687" w:rsidP="00322687">
      <w:pPr>
        <w:spacing w:line="360" w:lineRule="auto"/>
        <w:contextualSpacing/>
        <w:jc w:val="both"/>
        <w:rPr>
          <w:rFonts w:ascii="Palatino Linotype" w:hAnsi="Palatino Linotype"/>
          <w:sz w:val="22"/>
          <w:szCs w:val="22"/>
        </w:rPr>
      </w:pPr>
    </w:p>
    <w:p w14:paraId="39ECFF92" w14:textId="68DD80E6" w:rsidR="00322687" w:rsidRPr="00E866A4" w:rsidRDefault="00322687" w:rsidP="00322687">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Con fecha </w:t>
      </w:r>
      <w:r>
        <w:rPr>
          <w:rFonts w:ascii="Palatino Linotype" w:hAnsi="Palatino Linotype"/>
          <w:sz w:val="22"/>
          <w:szCs w:val="22"/>
        </w:rPr>
        <w:t xml:space="preserve">veinte de marzo </w:t>
      </w:r>
      <w:r w:rsidRPr="00E866A4">
        <w:rPr>
          <w:rFonts w:ascii="Palatino Linotype" w:hAnsi="Palatino Linotype"/>
          <w:sz w:val="22"/>
          <w:szCs w:val="22"/>
        </w:rPr>
        <w:t xml:space="preserve">de dos mil veinticinco, la Unidad de Transparencia del </w:t>
      </w:r>
      <w:r>
        <w:rPr>
          <w:rFonts w:ascii="Palatino Linotype" w:hAnsi="Palatino Linotype"/>
          <w:sz w:val="22"/>
          <w:szCs w:val="22"/>
        </w:rPr>
        <w:t>Sujeto Obligado</w:t>
      </w:r>
      <w:r w:rsidRPr="00E866A4">
        <w:rPr>
          <w:rFonts w:ascii="Palatino Linotype" w:hAnsi="Palatino Linotype"/>
          <w:sz w:val="22"/>
          <w:szCs w:val="22"/>
        </w:rPr>
        <w:t xml:space="preserve">, notificó al Particular, </w:t>
      </w:r>
      <w:r>
        <w:rPr>
          <w:rFonts w:ascii="Palatino Linotype" w:hAnsi="Palatino Linotype"/>
          <w:sz w:val="22"/>
          <w:szCs w:val="22"/>
        </w:rPr>
        <w:t xml:space="preserve">a través del oficio sin número de fecha de su presentación, </w:t>
      </w:r>
      <w:r w:rsidRPr="00E866A4">
        <w:rPr>
          <w:rFonts w:ascii="Palatino Linotype" w:hAnsi="Palatino Linotype"/>
          <w:sz w:val="22"/>
          <w:szCs w:val="22"/>
        </w:rPr>
        <w:t xml:space="preserve">solicitud de aclaración al </w:t>
      </w:r>
      <w:r>
        <w:rPr>
          <w:rFonts w:ascii="Palatino Linotype" w:hAnsi="Palatino Linotype"/>
          <w:sz w:val="22"/>
          <w:szCs w:val="22"/>
        </w:rPr>
        <w:t xml:space="preserve">requerimiento </w:t>
      </w:r>
      <w:r w:rsidRPr="00E866A4">
        <w:rPr>
          <w:rFonts w:ascii="Palatino Linotype" w:hAnsi="Palatino Linotype"/>
          <w:sz w:val="22"/>
          <w:szCs w:val="22"/>
        </w:rPr>
        <w:t xml:space="preserve">de información en </w:t>
      </w:r>
      <w:r>
        <w:rPr>
          <w:rFonts w:ascii="Palatino Linotype" w:hAnsi="Palatino Linotype"/>
          <w:sz w:val="22"/>
          <w:szCs w:val="22"/>
        </w:rPr>
        <w:t xml:space="preserve">los </w:t>
      </w:r>
      <w:r w:rsidRPr="00E866A4">
        <w:rPr>
          <w:rFonts w:ascii="Palatino Linotype" w:hAnsi="Palatino Linotype"/>
          <w:sz w:val="22"/>
          <w:szCs w:val="22"/>
        </w:rPr>
        <w:t>términos siguiente</w:t>
      </w:r>
      <w:r>
        <w:rPr>
          <w:rFonts w:ascii="Palatino Linotype" w:hAnsi="Palatino Linotype"/>
          <w:sz w:val="22"/>
          <w:szCs w:val="22"/>
        </w:rPr>
        <w:t>s</w:t>
      </w:r>
      <w:r w:rsidRPr="00E866A4">
        <w:rPr>
          <w:rFonts w:ascii="Palatino Linotype" w:hAnsi="Palatino Linotype"/>
          <w:sz w:val="22"/>
          <w:szCs w:val="22"/>
        </w:rPr>
        <w:t>:</w:t>
      </w:r>
    </w:p>
    <w:p w14:paraId="5415649F" w14:textId="77777777" w:rsidR="00322687" w:rsidRPr="00E866A4" w:rsidRDefault="00322687" w:rsidP="00322687">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66BEC989" w14:textId="77777777" w:rsidR="00322687" w:rsidRDefault="00322687" w:rsidP="00322687">
      <w:pPr>
        <w:spacing w:line="360" w:lineRule="auto"/>
        <w:ind w:left="567" w:right="567"/>
        <w:contextualSpacing/>
        <w:jc w:val="both"/>
        <w:rPr>
          <w:rFonts w:ascii="Palatino Linotype" w:hAnsi="Palatino Linotype"/>
          <w:i/>
        </w:rPr>
      </w:pPr>
      <w:r w:rsidRPr="00E866A4">
        <w:rPr>
          <w:rFonts w:ascii="Palatino Linotype" w:hAnsi="Palatino Linotype"/>
          <w:i/>
        </w:rPr>
        <w:t>“…</w:t>
      </w:r>
    </w:p>
    <w:p w14:paraId="6AC0DEFA" w14:textId="77777777" w:rsidR="00322687" w:rsidRDefault="00322687" w:rsidP="00322687">
      <w:pPr>
        <w:spacing w:line="360" w:lineRule="auto"/>
        <w:ind w:left="567" w:right="567"/>
        <w:contextualSpacing/>
        <w:jc w:val="both"/>
        <w:rPr>
          <w:rFonts w:ascii="Palatino Linotype" w:hAnsi="Palatino Linotype"/>
          <w:i/>
        </w:rPr>
      </w:pPr>
      <w:r w:rsidRPr="00322687">
        <w:rPr>
          <w:rFonts w:ascii="Palatino Linotype" w:hAnsi="Palatino Linotype"/>
          <w:i/>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El sujeto obligado atenderá la solicitud en los términos en que se desahogue el requerimiento de información adicional. </w:t>
      </w:r>
    </w:p>
    <w:p w14:paraId="4D33F0F6" w14:textId="77777777" w:rsidR="00322687" w:rsidRDefault="00322687" w:rsidP="00322687">
      <w:pPr>
        <w:spacing w:line="360" w:lineRule="auto"/>
        <w:ind w:left="567" w:right="567"/>
        <w:contextualSpacing/>
        <w:jc w:val="both"/>
        <w:rPr>
          <w:rFonts w:ascii="Palatino Linotype" w:hAnsi="Palatino Linotype"/>
          <w:i/>
        </w:rPr>
      </w:pPr>
    </w:p>
    <w:p w14:paraId="62FAF149" w14:textId="77777777" w:rsidR="00322687" w:rsidRDefault="00322687" w:rsidP="00322687">
      <w:pPr>
        <w:spacing w:line="360" w:lineRule="auto"/>
        <w:ind w:left="567" w:right="567"/>
        <w:contextualSpacing/>
        <w:jc w:val="both"/>
        <w:rPr>
          <w:rFonts w:ascii="Palatino Linotype" w:hAnsi="Palatino Linotype"/>
          <w:i/>
        </w:rPr>
      </w:pPr>
      <w:r w:rsidRPr="00322687">
        <w:rPr>
          <w:rFonts w:ascii="Palatino Linotype" w:hAnsi="Palatino Linotype"/>
          <w:i/>
        </w:rPr>
        <w:t xml:space="preserve">La solicitud se tendrá por no presentada cuando los solicitantes no atiendan el requerimiento de información adicional. Por lo que, tomando en cuenta que su solicitud inicial ciertamente es confusa y errónea, se le requiere para que haga las aclaraciones que permitan identificar cuál es la información de su interés y que se encuentre en posesión del sujeto obligado, lo que deberá hacer dentro de los diez días siguientes, en caso contrario se tendrá por no presentada. </w:t>
      </w:r>
    </w:p>
    <w:p w14:paraId="492D025D" w14:textId="77777777" w:rsidR="00322687" w:rsidRDefault="00322687" w:rsidP="00322687">
      <w:pPr>
        <w:spacing w:line="360" w:lineRule="auto"/>
        <w:ind w:left="567" w:right="567"/>
        <w:contextualSpacing/>
        <w:jc w:val="both"/>
        <w:rPr>
          <w:rFonts w:ascii="Palatino Linotype" w:hAnsi="Palatino Linotype"/>
          <w:i/>
        </w:rPr>
      </w:pPr>
    </w:p>
    <w:p w14:paraId="7F492867" w14:textId="77777777" w:rsidR="00322687" w:rsidRDefault="00322687" w:rsidP="00322687">
      <w:pPr>
        <w:spacing w:line="360" w:lineRule="auto"/>
        <w:ind w:left="567" w:right="567"/>
        <w:contextualSpacing/>
        <w:jc w:val="both"/>
        <w:rPr>
          <w:rFonts w:ascii="Palatino Linotype" w:hAnsi="Palatino Linotype"/>
          <w:i/>
        </w:rPr>
      </w:pPr>
      <w:r w:rsidRPr="00322687">
        <w:rPr>
          <w:rFonts w:ascii="Palatino Linotype" w:hAnsi="Palatino Linotype"/>
          <w:i/>
        </w:rPr>
        <w:lastRenderedPageBreak/>
        <w:t>Sin embargo, se dejan a salvo sus derechos para presentar una nueva solicitud que cumpla con lo establecido por la Constitución Política de los Estados Unidos Mexicanos y las Leyes en la materia, o bien, para que ejerza sus derechos en la vía que estime procedente</w:t>
      </w:r>
      <w:r>
        <w:rPr>
          <w:rFonts w:ascii="Palatino Linotype" w:hAnsi="Palatino Linotype"/>
          <w:i/>
        </w:rPr>
        <w:t>.</w:t>
      </w:r>
    </w:p>
    <w:p w14:paraId="77B73199" w14:textId="1AA32182" w:rsidR="00322687" w:rsidRPr="00E866A4" w:rsidRDefault="00322687" w:rsidP="00322687">
      <w:pPr>
        <w:spacing w:line="360" w:lineRule="auto"/>
        <w:ind w:left="567" w:right="567"/>
        <w:contextualSpacing/>
        <w:jc w:val="both"/>
        <w:rPr>
          <w:rFonts w:ascii="Palatino Linotype" w:hAnsi="Palatino Linotype"/>
          <w:i/>
        </w:rPr>
      </w:pPr>
      <w:r w:rsidRPr="00E866A4">
        <w:rPr>
          <w:rFonts w:ascii="Palatino Linotype" w:hAnsi="Palatino Linotype"/>
          <w:i/>
        </w:rPr>
        <w:t>…”</w:t>
      </w:r>
    </w:p>
    <w:p w14:paraId="49F69FE3" w14:textId="77777777" w:rsidR="00322687" w:rsidRPr="00E866A4" w:rsidRDefault="00322687" w:rsidP="00322687">
      <w:pPr>
        <w:spacing w:line="360" w:lineRule="auto"/>
        <w:contextualSpacing/>
        <w:jc w:val="both"/>
        <w:rPr>
          <w:rFonts w:ascii="Palatino Linotype" w:hAnsi="Palatino Linotype"/>
          <w:b/>
          <w:sz w:val="22"/>
          <w:szCs w:val="22"/>
        </w:rPr>
      </w:pPr>
      <w:r w:rsidRPr="00E866A4">
        <w:rPr>
          <w:rFonts w:ascii="Palatino Linotype" w:hAnsi="Palatino Linotype"/>
          <w:b/>
          <w:sz w:val="22"/>
          <w:szCs w:val="22"/>
        </w:rPr>
        <w:t xml:space="preserve"> </w:t>
      </w:r>
    </w:p>
    <w:p w14:paraId="1560911F" w14:textId="77777777" w:rsidR="00322687" w:rsidRPr="00E866A4" w:rsidRDefault="00322687" w:rsidP="00322687">
      <w:pPr>
        <w:spacing w:line="360" w:lineRule="auto"/>
        <w:contextualSpacing/>
        <w:jc w:val="both"/>
        <w:rPr>
          <w:rFonts w:ascii="Palatino Linotype" w:hAnsi="Palatino Linotype"/>
          <w:b/>
          <w:sz w:val="22"/>
          <w:szCs w:val="22"/>
        </w:rPr>
      </w:pPr>
      <w:r w:rsidRPr="00E866A4">
        <w:rPr>
          <w:rFonts w:ascii="Palatino Linotype" w:hAnsi="Palatino Linotype"/>
          <w:b/>
          <w:sz w:val="22"/>
          <w:szCs w:val="22"/>
        </w:rPr>
        <w:t>III. Desahogo de la aclaración por parte del Solicitante</w:t>
      </w:r>
    </w:p>
    <w:p w14:paraId="34AC1AF1" w14:textId="77777777" w:rsidR="00322687" w:rsidRPr="00E866A4" w:rsidRDefault="00322687" w:rsidP="00322687">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499270BC" w14:textId="7033440F" w:rsidR="00322687" w:rsidRPr="00E866A4" w:rsidRDefault="00322687" w:rsidP="00322687">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Con fecha </w:t>
      </w:r>
      <w:r>
        <w:rPr>
          <w:rFonts w:ascii="Palatino Linotype" w:hAnsi="Palatino Linotype"/>
          <w:sz w:val="22"/>
          <w:szCs w:val="22"/>
        </w:rPr>
        <w:t xml:space="preserve">veinticinco de marzo </w:t>
      </w:r>
      <w:r w:rsidRPr="00E866A4">
        <w:rPr>
          <w:rFonts w:ascii="Palatino Linotype" w:hAnsi="Palatino Linotype"/>
          <w:sz w:val="22"/>
          <w:szCs w:val="22"/>
        </w:rPr>
        <w:t xml:space="preserve">de </w:t>
      </w:r>
      <w:r>
        <w:rPr>
          <w:rFonts w:ascii="Palatino Linotype" w:hAnsi="Palatino Linotype"/>
          <w:sz w:val="22"/>
          <w:szCs w:val="22"/>
        </w:rPr>
        <w:t>dos mil veinticinco</w:t>
      </w:r>
      <w:r w:rsidRPr="00E866A4">
        <w:rPr>
          <w:rFonts w:ascii="Palatino Linotype" w:hAnsi="Palatino Linotype"/>
          <w:sz w:val="22"/>
          <w:szCs w:val="22"/>
        </w:rPr>
        <w:t>, el Particular desahogó l</w:t>
      </w:r>
      <w:r w:rsidR="00D06E25">
        <w:rPr>
          <w:rFonts w:ascii="Palatino Linotype" w:hAnsi="Palatino Linotype"/>
          <w:sz w:val="22"/>
          <w:szCs w:val="22"/>
        </w:rPr>
        <w:t>a</w:t>
      </w:r>
      <w:r w:rsidRPr="00E866A4">
        <w:rPr>
          <w:rFonts w:ascii="Palatino Linotype" w:hAnsi="Palatino Linotype"/>
          <w:sz w:val="22"/>
          <w:szCs w:val="22"/>
        </w:rPr>
        <w:t xml:space="preserve"> solicitud de aclaración presentad</w:t>
      </w:r>
      <w:r w:rsidR="00D06E25">
        <w:rPr>
          <w:rFonts w:ascii="Palatino Linotype" w:hAnsi="Palatino Linotype"/>
          <w:sz w:val="22"/>
          <w:szCs w:val="22"/>
        </w:rPr>
        <w:t>a</w:t>
      </w:r>
      <w:r w:rsidRPr="00E866A4">
        <w:rPr>
          <w:rFonts w:ascii="Palatino Linotype" w:hAnsi="Palatino Linotype"/>
          <w:sz w:val="22"/>
          <w:szCs w:val="22"/>
        </w:rPr>
        <w:t xml:space="preserve"> por el Ente Recurrido, en términos idénticos, conforme a lo siguiente:  </w:t>
      </w:r>
    </w:p>
    <w:p w14:paraId="11FBA654" w14:textId="77777777" w:rsidR="00322687" w:rsidRPr="00E866A4" w:rsidRDefault="00322687" w:rsidP="00322687">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7E28A9AC" w14:textId="77777777" w:rsidR="00322687" w:rsidRPr="00D06E25" w:rsidRDefault="00322687" w:rsidP="00D06E25">
      <w:pPr>
        <w:spacing w:line="360" w:lineRule="auto"/>
        <w:ind w:left="567" w:right="567"/>
        <w:contextualSpacing/>
        <w:jc w:val="both"/>
        <w:rPr>
          <w:rFonts w:ascii="Palatino Linotype" w:hAnsi="Palatino Linotype"/>
          <w:b/>
          <w:i/>
        </w:rPr>
      </w:pPr>
      <w:r w:rsidRPr="00D06E25">
        <w:rPr>
          <w:rFonts w:ascii="Palatino Linotype" w:hAnsi="Palatino Linotype"/>
          <w:b/>
          <w:i/>
        </w:rPr>
        <w:t>“DATOS A COMPLETAR, CORREGIR, AMPLIAR O ACLARAR</w:t>
      </w:r>
    </w:p>
    <w:p w14:paraId="79021E6C" w14:textId="70DB9750" w:rsidR="00322687" w:rsidRPr="00D06E25" w:rsidRDefault="00D06E25" w:rsidP="00D06E25">
      <w:pPr>
        <w:spacing w:line="360" w:lineRule="auto"/>
        <w:ind w:left="567" w:right="567"/>
        <w:contextualSpacing/>
        <w:jc w:val="both"/>
        <w:rPr>
          <w:rFonts w:ascii="Palatino Linotype" w:hAnsi="Palatino Linotype"/>
          <w:i/>
        </w:rPr>
      </w:pPr>
      <w:r w:rsidRPr="00D06E25">
        <w:rPr>
          <w:rFonts w:ascii="Palatino Linotype" w:hAnsi="Palatino Linotype"/>
          <w:i/>
        </w:rPr>
        <w:t xml:space="preserve">Reglamento del </w:t>
      </w:r>
      <w:proofErr w:type="spellStart"/>
      <w:r w:rsidRPr="00D06E25">
        <w:rPr>
          <w:rFonts w:ascii="Palatino Linotype" w:hAnsi="Palatino Linotype"/>
          <w:i/>
        </w:rPr>
        <w:t>saimex</w:t>
      </w:r>
      <w:proofErr w:type="spellEnd"/>
      <w:r w:rsidRPr="00D06E25">
        <w:rPr>
          <w:rFonts w:ascii="Palatino Linotype" w:hAnsi="Palatino Linotype"/>
          <w:i/>
        </w:rPr>
        <w:t xml:space="preserve"> artículo 1, 3 y 5 constitución política de los estados unidos Mexicanos Artículos 6, y 8 Ley de acceso a la información </w:t>
      </w:r>
      <w:proofErr w:type="spellStart"/>
      <w:r w:rsidRPr="00D06E25">
        <w:rPr>
          <w:rFonts w:ascii="Palatino Linotype" w:hAnsi="Palatino Linotype"/>
          <w:i/>
        </w:rPr>
        <w:t>plublica</w:t>
      </w:r>
      <w:proofErr w:type="spellEnd"/>
      <w:r w:rsidRPr="00D06E25">
        <w:rPr>
          <w:rFonts w:ascii="Palatino Linotype" w:hAnsi="Palatino Linotype"/>
          <w:i/>
        </w:rPr>
        <w:t xml:space="preserve"> Artículos 3, 5, 14, 24 y 27, ley federal de transparencia y acceso a la información pública 1, 2, y 13, ley Reglamento INAI Artículos 10, 11, 12 y 13, código de procedimientos administrativos Artículos 17 y 20, la fragancia y el dolo por parte de la autoridad municipal de </w:t>
      </w:r>
      <w:proofErr w:type="spellStart"/>
      <w:r w:rsidRPr="00D06E25">
        <w:rPr>
          <w:rFonts w:ascii="Palatino Linotype" w:hAnsi="Palatino Linotype"/>
          <w:i/>
        </w:rPr>
        <w:t>Teoloyuca</w:t>
      </w:r>
      <w:proofErr w:type="spellEnd"/>
      <w:r w:rsidRPr="00D06E25">
        <w:rPr>
          <w:rFonts w:ascii="Palatino Linotype" w:hAnsi="Palatino Linotype"/>
          <w:i/>
        </w:rPr>
        <w:t xml:space="preserve"> Estado de México para evadir su responsabilidad de entregar la información requerida, por lo cual solicito las sanciones que enmarca la ley para sujetos obligados, ya que puesto cumple con todo lo que en marca el artículo 159 de la ley de transparencia y acceso a la información pública del Estado de México y municipios, sea aplicada la ley en este requerimiento de inconformidad de la negativa, a dar la información que </w:t>
      </w:r>
      <w:proofErr w:type="spellStart"/>
      <w:r w:rsidRPr="00D06E25">
        <w:rPr>
          <w:rFonts w:ascii="Palatino Linotype" w:hAnsi="Palatino Linotype"/>
          <w:i/>
        </w:rPr>
        <w:t>enexo</w:t>
      </w:r>
      <w:proofErr w:type="spellEnd"/>
      <w:r w:rsidRPr="00D06E25">
        <w:rPr>
          <w:rFonts w:ascii="Palatino Linotype" w:hAnsi="Palatino Linotype"/>
          <w:i/>
        </w:rPr>
        <w:t xml:space="preserve"> emitida de forma clara y precisa...</w:t>
      </w:r>
      <w:r w:rsidR="00322687" w:rsidRPr="00D06E25">
        <w:rPr>
          <w:rFonts w:ascii="Palatino Linotype" w:hAnsi="Palatino Linotype"/>
          <w:i/>
        </w:rPr>
        <w:t xml:space="preserve">”  (Sic) </w:t>
      </w:r>
    </w:p>
    <w:p w14:paraId="79EBA9BB" w14:textId="77777777" w:rsidR="00052BAA" w:rsidRDefault="00052BAA" w:rsidP="00052BAA">
      <w:pPr>
        <w:spacing w:line="360" w:lineRule="auto"/>
        <w:contextualSpacing/>
      </w:pPr>
    </w:p>
    <w:p w14:paraId="60DB71F4" w14:textId="77777777" w:rsidR="00052BAA" w:rsidRPr="00633419" w:rsidRDefault="00052BAA" w:rsidP="00052BAA">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21810642"/>
      <w:bookmarkEnd w:id="4"/>
      <w:r w:rsidRPr="00633419">
        <w:rPr>
          <w:rFonts w:ascii="Palatino Linotype" w:eastAsia="Palatino Linotype" w:hAnsi="Palatino Linotype"/>
          <w:b/>
          <w:bCs/>
          <w:color w:val="auto"/>
          <w:sz w:val="22"/>
          <w:szCs w:val="22"/>
        </w:rPr>
        <w:t>II. Respuesta del Sujeto Obligado</w:t>
      </w:r>
      <w:bookmarkEnd w:id="5"/>
    </w:p>
    <w:p w14:paraId="5DAF83C4" w14:textId="77777777" w:rsidR="00052BAA" w:rsidRDefault="00052BAA" w:rsidP="00052BAA">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1B370A42" w14:textId="740157D2" w:rsidR="00052BAA" w:rsidRDefault="00052BAA" w:rsidP="00D06E25">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sidR="00D06E25">
        <w:rPr>
          <w:rFonts w:ascii="Palatino Linotype" w:eastAsia="Palatino Linotype" w:hAnsi="Palatino Linotype" w:cs="Palatino Linotype"/>
          <w:sz w:val="22"/>
          <w:szCs w:val="22"/>
        </w:rPr>
        <w:t xml:space="preserve">catorce </w:t>
      </w:r>
      <w:r>
        <w:rPr>
          <w:rFonts w:ascii="Palatino Linotype" w:eastAsia="Palatino Linotype" w:hAnsi="Palatino Linotype" w:cs="Palatino Linotype"/>
          <w:sz w:val="22"/>
          <w:szCs w:val="22"/>
        </w:rPr>
        <w:t xml:space="preserve">de abril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00D06E25">
        <w:rPr>
          <w:rFonts w:ascii="Palatino Linotype" w:eastAsia="Palatino Linotype" w:hAnsi="Palatino Linotype" w:cs="Palatino Linotype"/>
          <w:sz w:val="22"/>
          <w:szCs w:val="22"/>
        </w:rPr>
        <w:t>a través del o</w:t>
      </w:r>
      <w:r w:rsidRPr="007D7705">
        <w:rPr>
          <w:rFonts w:ascii="Palatino Linotype" w:eastAsia="Palatino Linotype" w:hAnsi="Palatino Linotype" w:cs="Palatino Linotype"/>
          <w:sz w:val="22"/>
          <w:szCs w:val="22"/>
        </w:rPr>
        <w:t xml:space="preserve">ficio número </w:t>
      </w:r>
      <w:r w:rsidR="00D06E25" w:rsidRPr="00D06E25">
        <w:rPr>
          <w:rFonts w:ascii="Palatino Linotype" w:eastAsia="Palatino Linotype" w:hAnsi="Palatino Linotype" w:cs="Palatino Linotype"/>
          <w:sz w:val="22"/>
          <w:szCs w:val="22"/>
        </w:rPr>
        <w:t>ES/565/04/2025.</w:t>
      </w:r>
      <w:r w:rsidRPr="007D7705">
        <w:rPr>
          <w:rFonts w:ascii="Palatino Linotype" w:eastAsia="Palatino Linotype" w:hAnsi="Palatino Linotype" w:cs="Palatino Linotype"/>
          <w:sz w:val="22"/>
          <w:szCs w:val="22"/>
        </w:rPr>
        <w:t xml:space="preserve">, del </w:t>
      </w:r>
      <w:r w:rsidR="00D06E25">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 xml:space="preserve">de abril </w:t>
      </w:r>
      <w:r w:rsidRPr="007D7705">
        <w:rPr>
          <w:rFonts w:ascii="Palatino Linotype" w:eastAsia="Palatino Linotype" w:hAnsi="Palatino Linotype" w:cs="Palatino Linotype"/>
          <w:sz w:val="22"/>
          <w:szCs w:val="22"/>
        </w:rPr>
        <w:t xml:space="preserve">de dos </w:t>
      </w:r>
      <w:r w:rsidRPr="007D7705">
        <w:rPr>
          <w:rFonts w:ascii="Palatino Linotype" w:eastAsia="Palatino Linotype" w:hAnsi="Palatino Linotype" w:cs="Palatino Linotype"/>
          <w:sz w:val="22"/>
          <w:szCs w:val="22"/>
        </w:rPr>
        <w:lastRenderedPageBreak/>
        <w:t xml:space="preserve">mil veinticinco, suscrito por el </w:t>
      </w:r>
      <w:r w:rsidR="00D06E25">
        <w:rPr>
          <w:rFonts w:ascii="Palatino Linotype" w:eastAsia="Palatino Linotype" w:hAnsi="Palatino Linotype" w:cs="Palatino Linotype"/>
          <w:sz w:val="22"/>
          <w:szCs w:val="22"/>
        </w:rPr>
        <w:t>Tesorero Municipal</w:t>
      </w:r>
      <w:r w:rsidRPr="007D7705">
        <w:rPr>
          <w:rFonts w:ascii="Palatino Linotype" w:eastAsia="Palatino Linotype" w:hAnsi="Palatino Linotype" w:cs="Palatino Linotype"/>
          <w:sz w:val="22"/>
          <w:szCs w:val="22"/>
        </w:rPr>
        <w:t xml:space="preserve">, dirigido al </w:t>
      </w:r>
      <w:r w:rsidR="00D06E25">
        <w:rPr>
          <w:rFonts w:ascii="Palatino Linotype" w:eastAsia="Palatino Linotype" w:hAnsi="Palatino Linotype" w:cs="Palatino Linotype"/>
          <w:sz w:val="22"/>
          <w:szCs w:val="22"/>
        </w:rPr>
        <w:t>Titular de la Unidad de Transparencia</w:t>
      </w:r>
      <w:r w:rsidRPr="007D7705">
        <w:rPr>
          <w:rFonts w:ascii="Palatino Linotype" w:eastAsia="Palatino Linotype" w:hAnsi="Palatino Linotype" w:cs="Palatino Linotype"/>
          <w:sz w:val="22"/>
          <w:szCs w:val="22"/>
        </w:rPr>
        <w:t xml:space="preserve">, a través del cual manifiesta </w:t>
      </w:r>
      <w:r w:rsidR="00D06E25">
        <w:rPr>
          <w:rFonts w:ascii="Palatino Linotype" w:eastAsia="Palatino Linotype" w:hAnsi="Palatino Linotype" w:cs="Palatino Linotype"/>
          <w:sz w:val="22"/>
          <w:szCs w:val="22"/>
        </w:rPr>
        <w:t>y expone lo siguiente:</w:t>
      </w:r>
    </w:p>
    <w:p w14:paraId="0C1B2015" w14:textId="77777777" w:rsidR="00D06E25" w:rsidRDefault="00D06E25" w:rsidP="00D06E25">
      <w:pPr>
        <w:tabs>
          <w:tab w:val="left" w:pos="4667"/>
        </w:tabs>
        <w:spacing w:line="360" w:lineRule="auto"/>
        <w:contextualSpacing/>
        <w:jc w:val="both"/>
        <w:rPr>
          <w:rFonts w:ascii="Palatino Linotype" w:eastAsia="Palatino Linotype" w:hAnsi="Palatino Linotype" w:cs="Palatino Linotype"/>
          <w:sz w:val="22"/>
          <w:szCs w:val="22"/>
        </w:rPr>
      </w:pPr>
    </w:p>
    <w:p w14:paraId="3364C1EE" w14:textId="4E39D71B" w:rsidR="00D06E25" w:rsidRPr="00D06E25" w:rsidRDefault="00D06E25" w:rsidP="00D06E25">
      <w:pPr>
        <w:tabs>
          <w:tab w:val="left" w:pos="4667"/>
        </w:tabs>
        <w:spacing w:line="360" w:lineRule="auto"/>
        <w:ind w:left="567" w:right="567"/>
        <w:contextualSpacing/>
        <w:jc w:val="both"/>
        <w:rPr>
          <w:rFonts w:ascii="Palatino Linotype" w:eastAsia="Palatino Linotype" w:hAnsi="Palatino Linotype" w:cs="Palatino Linotype"/>
          <w:i/>
          <w:iCs/>
        </w:rPr>
      </w:pPr>
      <w:r w:rsidRPr="00D06E25">
        <w:rPr>
          <w:rFonts w:ascii="Palatino Linotype" w:eastAsia="Palatino Linotype" w:hAnsi="Palatino Linotype" w:cs="Palatino Linotype"/>
          <w:i/>
          <w:iCs/>
        </w:rPr>
        <w:t>“…</w:t>
      </w:r>
    </w:p>
    <w:p w14:paraId="0A36AE29" w14:textId="77777777" w:rsidR="00D06E25" w:rsidRPr="00D06E25" w:rsidRDefault="00D06E25" w:rsidP="00D06E25">
      <w:pPr>
        <w:tabs>
          <w:tab w:val="left" w:pos="4667"/>
        </w:tabs>
        <w:spacing w:line="360" w:lineRule="auto"/>
        <w:ind w:left="567" w:right="567"/>
        <w:contextualSpacing/>
        <w:jc w:val="both"/>
        <w:rPr>
          <w:rFonts w:ascii="Palatino Linotype" w:eastAsia="Palatino Linotype" w:hAnsi="Palatino Linotype" w:cs="Palatino Linotype"/>
          <w:i/>
          <w:iCs/>
        </w:rPr>
      </w:pPr>
      <w:r w:rsidRPr="00D06E25">
        <w:rPr>
          <w:rFonts w:ascii="Palatino Linotype" w:eastAsia="Palatino Linotype" w:hAnsi="Palatino Linotype" w:cs="Palatino Linotype"/>
          <w:i/>
          <w:iCs/>
        </w:rPr>
        <w:t xml:space="preserve">Al respecto le informó que para dar puntual respuesta a la solicitud específicamente a la información que compete a esta tesorería municipal para dar cumplimiento a la ley se informa al peticionario lo siguiente: </w:t>
      </w:r>
    </w:p>
    <w:p w14:paraId="7529D46E" w14:textId="77777777" w:rsidR="00D06E25" w:rsidRPr="00D06E25" w:rsidRDefault="00D06E25" w:rsidP="00D06E25">
      <w:pPr>
        <w:tabs>
          <w:tab w:val="left" w:pos="4667"/>
        </w:tabs>
        <w:spacing w:line="360" w:lineRule="auto"/>
        <w:ind w:left="567" w:right="567"/>
        <w:contextualSpacing/>
        <w:jc w:val="both"/>
        <w:rPr>
          <w:rFonts w:ascii="Palatino Linotype" w:eastAsia="Palatino Linotype" w:hAnsi="Palatino Linotype" w:cs="Palatino Linotype"/>
          <w:i/>
          <w:iCs/>
        </w:rPr>
      </w:pPr>
    </w:p>
    <w:p w14:paraId="29914FA2" w14:textId="5593E295" w:rsidR="00052BAA" w:rsidRPr="00D06E25" w:rsidRDefault="00D06E25" w:rsidP="00D06E25">
      <w:pPr>
        <w:tabs>
          <w:tab w:val="left" w:pos="4667"/>
        </w:tabs>
        <w:spacing w:line="360" w:lineRule="auto"/>
        <w:ind w:left="567" w:right="567"/>
        <w:contextualSpacing/>
        <w:jc w:val="both"/>
        <w:rPr>
          <w:rFonts w:ascii="Palatino Linotype" w:eastAsia="Palatino Linotype" w:hAnsi="Palatino Linotype" w:cs="Palatino Linotype"/>
          <w:i/>
          <w:iCs/>
        </w:rPr>
      </w:pPr>
      <w:r w:rsidRPr="00D06E25">
        <w:rPr>
          <w:rFonts w:ascii="Palatino Linotype" w:eastAsia="Palatino Linotype" w:hAnsi="Palatino Linotype" w:cs="Palatino Linotype"/>
          <w:i/>
          <w:iCs/>
        </w:rPr>
        <w:t>Con fundamento en los artículos 93, 94 y 95 de la Ley Orgánica Municipal del Estado de México y Municipios, artículos 12, 18, 19 y 23 de la Ley de Transparencia y Acceso a la Información Pública del Estado de México y Municipios, después de realizar una búsqueda en los registros físicos de esta dependencia, le informo los trámites realizados por el área de Catastro es la siguiente:</w:t>
      </w:r>
    </w:p>
    <w:p w14:paraId="2DCE790F" w14:textId="77777777" w:rsidR="00D06E25" w:rsidRPr="00D06E25" w:rsidRDefault="00D06E25" w:rsidP="00D06E25">
      <w:pPr>
        <w:tabs>
          <w:tab w:val="left" w:pos="4667"/>
        </w:tabs>
        <w:spacing w:line="360" w:lineRule="auto"/>
        <w:ind w:left="567" w:right="567"/>
        <w:contextualSpacing/>
        <w:jc w:val="both"/>
        <w:rPr>
          <w:rFonts w:ascii="Palatino Linotype" w:eastAsia="Palatino Linotype" w:hAnsi="Palatino Linotype" w:cs="Palatino Linotype"/>
          <w:i/>
          <w:iCs/>
        </w:rPr>
      </w:pPr>
    </w:p>
    <w:p w14:paraId="6139153E" w14:textId="6171DCEA" w:rsidR="00D06E25" w:rsidRPr="00D06E25" w:rsidRDefault="00D06E25" w:rsidP="00D06E25">
      <w:pPr>
        <w:tabs>
          <w:tab w:val="left" w:pos="4667"/>
        </w:tabs>
        <w:spacing w:line="360" w:lineRule="auto"/>
        <w:ind w:left="567" w:right="567"/>
        <w:contextualSpacing/>
        <w:jc w:val="center"/>
        <w:rPr>
          <w:rFonts w:ascii="Palatino Linotype" w:eastAsia="Palatino Linotype" w:hAnsi="Palatino Linotype" w:cs="Palatino Linotype"/>
          <w:i/>
          <w:iCs/>
        </w:rPr>
      </w:pPr>
      <w:r w:rsidRPr="00D06E25">
        <w:rPr>
          <w:rFonts w:ascii="Palatino Linotype" w:eastAsia="Palatino Linotype" w:hAnsi="Palatino Linotype" w:cs="Palatino Linotype"/>
          <w:i/>
          <w:iCs/>
          <w:noProof/>
        </w:rPr>
        <w:drawing>
          <wp:inline distT="0" distB="0" distL="0" distR="0" wp14:anchorId="0D80C9AF" wp14:editId="3D59FECA">
            <wp:extent cx="4763386" cy="661936"/>
            <wp:effectExtent l="0" t="0" r="0" b="5080"/>
            <wp:docPr id="1331565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1440" cy="667224"/>
                    </a:xfrm>
                    <a:prstGeom prst="rect">
                      <a:avLst/>
                    </a:prstGeom>
                    <a:noFill/>
                  </pic:spPr>
                </pic:pic>
              </a:graphicData>
            </a:graphic>
          </wp:inline>
        </w:drawing>
      </w:r>
    </w:p>
    <w:p w14:paraId="13DD4F72" w14:textId="66FEBC8A" w:rsidR="00052BAA" w:rsidRPr="00D06E25" w:rsidRDefault="00052BAA" w:rsidP="00D06E25">
      <w:pPr>
        <w:tabs>
          <w:tab w:val="left" w:pos="4667"/>
        </w:tabs>
        <w:spacing w:line="360" w:lineRule="auto"/>
        <w:ind w:left="567" w:right="567"/>
        <w:contextualSpacing/>
        <w:jc w:val="both"/>
        <w:rPr>
          <w:rFonts w:ascii="Palatino Linotype" w:eastAsia="Palatino Linotype" w:hAnsi="Palatino Linotype" w:cs="Palatino Linotype"/>
          <w:i/>
          <w:iCs/>
        </w:rPr>
      </w:pPr>
      <w:r w:rsidRPr="00D06E25">
        <w:rPr>
          <w:rFonts w:ascii="Palatino Linotype" w:eastAsia="Palatino Linotype" w:hAnsi="Palatino Linotype" w:cs="Palatino Linotype"/>
          <w:i/>
          <w:iCs/>
        </w:rPr>
        <w:t>…”</w:t>
      </w:r>
    </w:p>
    <w:p w14:paraId="2C3D8FF9" w14:textId="77777777" w:rsidR="00052BAA" w:rsidRPr="00B14C28" w:rsidRDefault="00052BAA" w:rsidP="00052BAA">
      <w:pPr>
        <w:tabs>
          <w:tab w:val="left" w:pos="4667"/>
        </w:tabs>
        <w:spacing w:line="360" w:lineRule="auto"/>
        <w:ind w:right="567"/>
        <w:contextualSpacing/>
        <w:jc w:val="both"/>
        <w:rPr>
          <w:rFonts w:ascii="Palatino Linotype" w:eastAsia="Palatino Linotype" w:hAnsi="Palatino Linotype" w:cs="Palatino Linotype"/>
        </w:rPr>
      </w:pPr>
    </w:p>
    <w:p w14:paraId="50C908D7" w14:textId="77777777" w:rsidR="00052BAA" w:rsidRPr="00633419" w:rsidRDefault="00052BAA" w:rsidP="00052BAA">
      <w:pPr>
        <w:pStyle w:val="Ttulo2"/>
        <w:spacing w:before="0" w:after="0" w:line="360" w:lineRule="auto"/>
        <w:contextualSpacing/>
        <w:rPr>
          <w:rFonts w:ascii="Palatino Linotype" w:hAnsi="Palatino Linotype"/>
          <w:b/>
          <w:bCs/>
          <w:color w:val="auto"/>
          <w:sz w:val="22"/>
          <w:szCs w:val="22"/>
        </w:rPr>
      </w:pPr>
      <w:bookmarkStart w:id="6" w:name="_Toc221810643"/>
      <w:r w:rsidRPr="00633419">
        <w:rPr>
          <w:rFonts w:ascii="Palatino Linotype" w:hAnsi="Palatino Linotype"/>
          <w:b/>
          <w:bCs/>
          <w:color w:val="auto"/>
          <w:sz w:val="22"/>
          <w:szCs w:val="22"/>
        </w:rPr>
        <w:t>III. Interposición del Recurso de Revisión</w:t>
      </w:r>
      <w:bookmarkEnd w:id="6"/>
    </w:p>
    <w:p w14:paraId="4B650196"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7CFABD64" w14:textId="410C6710"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veinti</w:t>
      </w:r>
      <w:r w:rsidR="00D06E25">
        <w:rPr>
          <w:rFonts w:ascii="Palatino Linotype" w:eastAsia="Palatino Linotype" w:hAnsi="Palatino Linotype" w:cs="Palatino Linotype"/>
          <w:sz w:val="22"/>
          <w:szCs w:val="22"/>
        </w:rPr>
        <w:t>trés</w:t>
      </w:r>
      <w:r>
        <w:rPr>
          <w:rFonts w:ascii="Palatino Linotype" w:eastAsia="Palatino Linotype" w:hAnsi="Palatino Linotype" w:cs="Palatino Linotype"/>
          <w:sz w:val="22"/>
          <w:szCs w:val="22"/>
        </w:rPr>
        <w:t xml:space="preserve"> de abril de dos mil veinticinco, se recibió en este Instituto, a través del SAIMEX, el Recurso de Revisión interpuesto por la parte Recurrente, en contra de la respuesta del Ayuntamiento de </w:t>
      </w:r>
      <w:r w:rsidR="00817A16">
        <w:rPr>
          <w:rFonts w:ascii="Palatino Linotype" w:eastAsia="Palatino Linotype" w:hAnsi="Palatino Linotype" w:cs="Palatino Linotype"/>
          <w:sz w:val="22"/>
          <w:szCs w:val="22"/>
        </w:rPr>
        <w:t>Teoloyucan</w:t>
      </w:r>
      <w:r>
        <w:rPr>
          <w:rFonts w:ascii="Palatino Linotype" w:eastAsia="Palatino Linotype" w:hAnsi="Palatino Linotype" w:cs="Palatino Linotype"/>
          <w:sz w:val="22"/>
          <w:szCs w:val="22"/>
        </w:rPr>
        <w:t>, en los siguientes términos:</w:t>
      </w:r>
    </w:p>
    <w:p w14:paraId="3A40A6BB"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5D492215" w14:textId="77777777" w:rsidR="00052BAA" w:rsidRDefault="00052BAA" w:rsidP="00052BA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59AD6AC6" w14:textId="7BC64E1F" w:rsidR="00052BAA" w:rsidRDefault="00052BAA" w:rsidP="00052BA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D06E25">
        <w:rPr>
          <w:rFonts w:ascii="Palatino Linotype" w:eastAsia="Palatino Linotype" w:hAnsi="Palatino Linotype" w:cs="Palatino Linotype"/>
          <w:i/>
        </w:rPr>
        <w:t>Negativo de la información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6CE62464" w14:textId="77777777" w:rsidR="00052BAA" w:rsidRDefault="00052BAA" w:rsidP="00052BAA">
      <w:pPr>
        <w:spacing w:line="360" w:lineRule="auto"/>
        <w:ind w:left="567" w:right="567"/>
        <w:contextualSpacing/>
        <w:jc w:val="both"/>
        <w:rPr>
          <w:rFonts w:ascii="Palatino Linotype" w:eastAsia="Palatino Linotype" w:hAnsi="Palatino Linotype" w:cs="Palatino Linotype"/>
          <w:i/>
        </w:rPr>
      </w:pPr>
    </w:p>
    <w:p w14:paraId="540EF0D6" w14:textId="77777777" w:rsidR="00052BAA" w:rsidRDefault="00052BAA" w:rsidP="00052BAA">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RAZONES O MOTIVOS DE LA INCONFORMIDAD</w:t>
      </w:r>
    </w:p>
    <w:p w14:paraId="5C3A19C8" w14:textId="2F350720" w:rsidR="00052BAA" w:rsidRDefault="00052BAA" w:rsidP="00052BA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D06E25" w:rsidRPr="00D06E25">
        <w:rPr>
          <w:rFonts w:ascii="Palatino Linotype" w:eastAsia="Palatino Linotype" w:hAnsi="Palatino Linotype" w:cs="Palatino Linotype"/>
          <w:i/>
          <w:color w:val="000000"/>
        </w:rPr>
        <w:t xml:space="preserve">Ejemplo de una de las cosas que pedí que fueron específicas por supuesto la cantidad de dominios que han hecho todos los trámites traslativos son de vital importancia pues todo pagan un impuesto quiero saber la cantidad y las cantidades o sea tener el acceso a la información completa de los documentos si están completos no están completos si hay algún tipo de producción en los trámites traslativos esto porque servidores públicos se prestan hacer contratos y hacer traslados dominio apócrifos y perjudican a la ciudadanía es un ejemplo de lo que solicita que se me fue negado no sé de qué forma esta autoridad incompetente le gusta que se le detalle la información cómo se la va uno a requerir para ser más específicos y se me hace una arbitrariedad de parte de administración o de los responsables de sujetos obligados a entregar la misma no tener la capacidad para poder hacerlo o tenerla cinismo de hacer la negativa de la misma pido las sanciones pertinentes al ámbito y a la distancia distinta </w:t>
      </w:r>
      <w:proofErr w:type="spellStart"/>
      <w:r w:rsidR="00D06E25" w:rsidRPr="00D06E25">
        <w:rPr>
          <w:rFonts w:ascii="Palatino Linotype" w:eastAsia="Palatino Linotype" w:hAnsi="Palatino Linotype" w:cs="Palatino Linotype"/>
          <w:i/>
          <w:color w:val="000000"/>
        </w:rPr>
        <w:t>esta</w:t>
      </w:r>
      <w:proofErr w:type="spellEnd"/>
      <w:r w:rsidR="00D06E25" w:rsidRPr="00D06E25">
        <w:rPr>
          <w:rFonts w:ascii="Palatino Linotype" w:eastAsia="Palatino Linotype" w:hAnsi="Palatino Linotype" w:cs="Palatino Linotype"/>
          <w:i/>
          <w:color w:val="000000"/>
        </w:rPr>
        <w:t xml:space="preserve"> a la que de forma escrita o como escrito sirva al presente</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3BFBF7E8" w14:textId="77777777" w:rsidR="00052BAA" w:rsidRPr="003C3093" w:rsidRDefault="00052BAA" w:rsidP="00052BAA">
      <w:pPr>
        <w:spacing w:line="360" w:lineRule="auto"/>
        <w:contextualSpacing/>
        <w:jc w:val="both"/>
        <w:rPr>
          <w:rFonts w:ascii="Palatino Linotype" w:eastAsia="Palatino Linotype" w:hAnsi="Palatino Linotype" w:cs="Palatino Linotype"/>
          <w:iCs/>
          <w:sz w:val="22"/>
          <w:szCs w:val="22"/>
        </w:rPr>
      </w:pPr>
    </w:p>
    <w:p w14:paraId="4C62487C" w14:textId="77777777" w:rsidR="00052BAA" w:rsidRPr="00633419" w:rsidRDefault="00052BAA" w:rsidP="00052BAA">
      <w:pPr>
        <w:pStyle w:val="Ttulo2"/>
        <w:spacing w:before="0" w:after="0" w:line="360" w:lineRule="auto"/>
        <w:contextualSpacing/>
        <w:rPr>
          <w:rFonts w:ascii="Palatino Linotype" w:hAnsi="Palatino Linotype"/>
          <w:b/>
          <w:bCs/>
          <w:color w:val="auto"/>
          <w:sz w:val="22"/>
          <w:szCs w:val="22"/>
        </w:rPr>
      </w:pPr>
      <w:bookmarkStart w:id="7" w:name="_Toc221810644"/>
      <w:r w:rsidRPr="00633419">
        <w:rPr>
          <w:rFonts w:ascii="Palatino Linotype" w:hAnsi="Palatino Linotype"/>
          <w:b/>
          <w:bCs/>
          <w:color w:val="auto"/>
          <w:sz w:val="22"/>
          <w:szCs w:val="22"/>
        </w:rPr>
        <w:t>IV. Trámite del Recurso de Revisión ante este Instituto</w:t>
      </w:r>
      <w:bookmarkEnd w:id="7"/>
    </w:p>
    <w:p w14:paraId="7183A8A4"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62E9957C" w14:textId="6A01116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D06E25">
        <w:rPr>
          <w:rFonts w:ascii="Palatino Linotype" w:eastAsia="Palatino Linotype" w:hAnsi="Palatino Linotype" w:cs="Palatino Linotype"/>
          <w:sz w:val="22"/>
          <w:szCs w:val="22"/>
        </w:rPr>
        <w:t>veintitrés</w:t>
      </w:r>
      <w:r>
        <w:rPr>
          <w:rFonts w:ascii="Palatino Linotype" w:eastAsia="Palatino Linotype" w:hAnsi="Palatino Linotype" w:cs="Palatino Linotype"/>
          <w:sz w:val="22"/>
          <w:szCs w:val="22"/>
        </w:rPr>
        <w:t xml:space="preserve"> de abril de dos mil veinticinco, el SAIMEX, asignó el número de expediente </w:t>
      </w:r>
      <w:r>
        <w:rPr>
          <w:rFonts w:ascii="Palatino Linotype" w:eastAsia="Palatino Linotype" w:hAnsi="Palatino Linotype" w:cs="Palatino Linotype"/>
          <w:b/>
          <w:sz w:val="22"/>
          <w:szCs w:val="22"/>
        </w:rPr>
        <w:t>046</w:t>
      </w:r>
      <w:r w:rsidR="00D06E25">
        <w:rPr>
          <w:rFonts w:ascii="Palatino Linotype" w:eastAsia="Palatino Linotype" w:hAnsi="Palatino Linotype" w:cs="Palatino Linotype"/>
          <w:b/>
          <w:sz w:val="22"/>
          <w:szCs w:val="22"/>
        </w:rPr>
        <w:t>16</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3618A444"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6A62A5F5" w14:textId="10525058"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El veintio</w:t>
      </w:r>
      <w:r w:rsidR="00B41D93">
        <w:rPr>
          <w:rFonts w:ascii="Palatino Linotype" w:eastAsia="Palatino Linotype" w:hAnsi="Palatino Linotype" w:cs="Palatino Linotype"/>
          <w:sz w:val="22"/>
          <w:szCs w:val="22"/>
        </w:rPr>
        <w:t>cho</w:t>
      </w:r>
      <w:r>
        <w:rPr>
          <w:rFonts w:ascii="Palatino Linotype" w:eastAsia="Palatino Linotype" w:hAnsi="Palatino Linotype" w:cs="Palatino Linotype"/>
          <w:sz w:val="22"/>
          <w:szCs w:val="22"/>
        </w:rPr>
        <w:t xml:space="preserve"> de abril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B41D93">
        <w:rPr>
          <w:rFonts w:ascii="Palatino Linotype" w:eastAsia="Palatino Linotype" w:hAnsi="Palatino Linotype" w:cs="Palatino Linotype"/>
          <w:sz w:val="22"/>
          <w:szCs w:val="22"/>
        </w:rPr>
        <w:t>mismo día</w:t>
      </w:r>
      <w:r>
        <w:rPr>
          <w:rFonts w:ascii="Palatino Linotype" w:eastAsia="Palatino Linotype" w:hAnsi="Palatino Linotype" w:cs="Palatino Linotype"/>
          <w:sz w:val="22"/>
          <w:szCs w:val="22"/>
        </w:rPr>
        <w:t xml:space="preserve">, a través del SAIMEX, en el que se les otorgó un plazo de siete días </w:t>
      </w:r>
      <w:r>
        <w:rPr>
          <w:rFonts w:ascii="Palatino Linotype" w:eastAsia="Palatino Linotype" w:hAnsi="Palatino Linotype" w:cs="Palatino Linotype"/>
          <w:sz w:val="22"/>
          <w:szCs w:val="22"/>
        </w:rPr>
        <w:lastRenderedPageBreak/>
        <w:t>hábiles posteriores a la misma, para que manifestaran lo que a su derecho conviniera y formularan alegatos.</w:t>
      </w:r>
    </w:p>
    <w:p w14:paraId="65859F5D"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523F9A2F" w14:textId="4DF196D8" w:rsidR="00052BAA" w:rsidRDefault="00052BAA" w:rsidP="00052BAA">
      <w:pPr>
        <w:spacing w:line="360" w:lineRule="auto"/>
        <w:contextualSpacing/>
        <w:jc w:val="both"/>
        <w:rPr>
          <w:rFonts w:ascii="Palatino Linotype" w:eastAsia="Palatino Linotype" w:hAnsi="Palatino Linotype" w:cs="Palatino Linotype"/>
          <w:sz w:val="22"/>
          <w:szCs w:val="22"/>
        </w:rPr>
      </w:pPr>
      <w:bookmarkStart w:id="8" w:name="_Hlk219236574"/>
      <w:r>
        <w:rPr>
          <w:rFonts w:ascii="Palatino Linotype" w:eastAsia="Palatino Linotype" w:hAnsi="Palatino Linotype" w:cs="Palatino Linotype"/>
          <w:b/>
          <w:sz w:val="22"/>
          <w:szCs w:val="22"/>
        </w:rPr>
        <w:t xml:space="preserve">c) Informe Justificado. </w:t>
      </w:r>
      <w:bookmarkEnd w:id="8"/>
      <w:r w:rsidR="00B41D93" w:rsidRPr="00A24BE6">
        <w:rPr>
          <w:rFonts w:ascii="Palatino Linotype" w:eastAsia="Palatino Linotype" w:hAnsi="Palatino Linotype" w:cs="Palatino Linotype"/>
          <w:sz w:val="22"/>
          <w:szCs w:val="22"/>
        </w:rPr>
        <w:t xml:space="preserve">El </w:t>
      </w:r>
      <w:r w:rsidR="00B41D93">
        <w:rPr>
          <w:rFonts w:ascii="Palatino Linotype" w:eastAsia="Palatino Linotype" w:hAnsi="Palatino Linotype" w:cs="Palatino Linotype"/>
          <w:sz w:val="22"/>
          <w:szCs w:val="22"/>
        </w:rPr>
        <w:t xml:space="preserve">catorce de mayo </w:t>
      </w:r>
      <w:r w:rsidR="00B41D93" w:rsidRPr="00A24BE6">
        <w:rPr>
          <w:rFonts w:ascii="Palatino Linotype" w:eastAsia="Palatino Linotype" w:hAnsi="Palatino Linotype" w:cs="Palatino Linotype"/>
          <w:sz w:val="22"/>
          <w:szCs w:val="22"/>
        </w:rPr>
        <w:t>de dos mil veinticinco, se recibió, a través del SAIMEX, el informe justificado</w:t>
      </w:r>
      <w:r w:rsidR="00B41D93" w:rsidRPr="00A24BE6">
        <w:rPr>
          <w:rFonts w:ascii="Palatino Linotype" w:eastAsia="Palatino Linotype" w:hAnsi="Palatino Linotype" w:cs="Palatino Linotype"/>
          <w:color w:val="0D0D0D"/>
          <w:sz w:val="22"/>
          <w:szCs w:val="22"/>
        </w:rPr>
        <w:t xml:space="preserve"> </w:t>
      </w:r>
      <w:r w:rsidR="00B41D93" w:rsidRPr="00A24BE6">
        <w:rPr>
          <w:rFonts w:ascii="Palatino Linotype" w:eastAsia="Palatino Linotype" w:hAnsi="Palatino Linotype" w:cs="Palatino Linotype"/>
          <w:sz w:val="22"/>
          <w:szCs w:val="22"/>
        </w:rPr>
        <w:t xml:space="preserve">por medio de la digitalización del </w:t>
      </w:r>
      <w:r w:rsidR="00B41D93">
        <w:rPr>
          <w:rFonts w:ascii="Palatino Linotype" w:eastAsia="Palatino Linotype" w:hAnsi="Palatino Linotype" w:cs="Palatino Linotype"/>
          <w:sz w:val="22"/>
          <w:szCs w:val="22"/>
        </w:rPr>
        <w:t xml:space="preserve">oficio número </w:t>
      </w:r>
      <w:r w:rsidR="00B41D93" w:rsidRPr="00B41D93">
        <w:rPr>
          <w:rFonts w:ascii="Palatino Linotype" w:eastAsia="Palatino Linotype" w:hAnsi="Palatino Linotype" w:cs="Palatino Linotype"/>
          <w:sz w:val="22"/>
          <w:szCs w:val="22"/>
        </w:rPr>
        <w:t>UT/ABRO/534/2025</w:t>
      </w:r>
      <w:r w:rsidR="00B41D93">
        <w:rPr>
          <w:rFonts w:ascii="Palatino Linotype" w:eastAsia="Palatino Linotype" w:hAnsi="Palatino Linotype" w:cs="Palatino Linotype"/>
          <w:sz w:val="22"/>
          <w:szCs w:val="22"/>
        </w:rPr>
        <w:t>, de fecha de su presentación, suscrito por el Titular de la Unidad de Transparencia, dirigido al Comisionado Ponente, a través del cual manifiesta y expone lo siguiente:</w:t>
      </w:r>
    </w:p>
    <w:p w14:paraId="2A9E96B9" w14:textId="77777777" w:rsidR="00B41D93" w:rsidRDefault="00B41D93" w:rsidP="00052BAA">
      <w:pPr>
        <w:spacing w:line="360" w:lineRule="auto"/>
        <w:contextualSpacing/>
        <w:jc w:val="both"/>
        <w:rPr>
          <w:rFonts w:ascii="Palatino Linotype" w:eastAsia="Palatino Linotype" w:hAnsi="Palatino Linotype" w:cs="Palatino Linotype"/>
          <w:sz w:val="22"/>
          <w:szCs w:val="22"/>
        </w:rPr>
      </w:pPr>
    </w:p>
    <w:p w14:paraId="33019780" w14:textId="5D938C77" w:rsidR="00B41D93" w:rsidRPr="00B41D93" w:rsidRDefault="00B41D93" w:rsidP="00B41D93">
      <w:pPr>
        <w:spacing w:line="360" w:lineRule="auto"/>
        <w:ind w:left="567" w:right="567"/>
        <w:contextualSpacing/>
        <w:jc w:val="both"/>
        <w:rPr>
          <w:rFonts w:ascii="Palatino Linotype" w:eastAsia="Palatino Linotype" w:hAnsi="Palatino Linotype" w:cs="Palatino Linotype"/>
          <w:i/>
          <w:iCs/>
        </w:rPr>
      </w:pPr>
      <w:r w:rsidRPr="00B41D93">
        <w:rPr>
          <w:rFonts w:ascii="Palatino Linotype" w:eastAsia="Palatino Linotype" w:hAnsi="Palatino Linotype" w:cs="Palatino Linotype"/>
          <w:i/>
          <w:iCs/>
        </w:rPr>
        <w:t>“…</w:t>
      </w:r>
      <w:r w:rsidRPr="00B41D93">
        <w:rPr>
          <w:rFonts w:ascii="Palatino Linotype" w:eastAsia="Palatino Linotype" w:hAnsi="Palatino Linotype" w:cs="Palatino Linotype"/>
          <w:bCs/>
          <w:i/>
          <w:iCs/>
          <w:color w:val="000000"/>
        </w:rPr>
        <w:t>Deberá desecharse el Recurso de Revisión indicado al rubro, concretamente con fundamento en lo dispuesto por el párrafo tercero del artículo 159 de la Ley de Transparencia y Acceso a la Información Pública del Estado de México y Municipios; toda vez que la Unidad de Transparencia solicitó la aclaración en fecha veinte de marzo del año en curso, sin embargo, en su respuesta del veinticinco de marzo del mismo año, el solicitante omitió hacer aclaración alguna limitándose únicamente a reiterar los artículos que a su juicio resultaban aplicables, es decir, no aclaró la solicitud.</w:t>
      </w:r>
    </w:p>
    <w:p w14:paraId="6D0AF063" w14:textId="77777777" w:rsidR="00052BAA" w:rsidRPr="00B41D93" w:rsidRDefault="00052BAA" w:rsidP="00B41D93">
      <w:pPr>
        <w:spacing w:line="360" w:lineRule="auto"/>
        <w:ind w:left="567" w:right="567"/>
        <w:contextualSpacing/>
        <w:jc w:val="both"/>
        <w:rPr>
          <w:rFonts w:ascii="Palatino Linotype" w:eastAsia="Palatino Linotype" w:hAnsi="Palatino Linotype" w:cs="Palatino Linotype"/>
          <w:b/>
          <w:i/>
          <w:iCs/>
        </w:rPr>
      </w:pPr>
    </w:p>
    <w:p w14:paraId="3399947E" w14:textId="77777777" w:rsidR="00B41D93" w:rsidRPr="00B41D93" w:rsidRDefault="00B41D93" w:rsidP="00B41D93">
      <w:pPr>
        <w:spacing w:line="360" w:lineRule="auto"/>
        <w:ind w:left="567" w:right="567"/>
        <w:contextualSpacing/>
        <w:jc w:val="both"/>
        <w:rPr>
          <w:rFonts w:ascii="Palatino Linotype" w:eastAsia="Palatino Linotype" w:hAnsi="Palatino Linotype" w:cs="Palatino Linotype"/>
          <w:bCs/>
          <w:i/>
          <w:iCs/>
        </w:rPr>
      </w:pPr>
      <w:r w:rsidRPr="00B41D93">
        <w:rPr>
          <w:rFonts w:ascii="Palatino Linotype" w:eastAsia="Palatino Linotype" w:hAnsi="Palatino Linotype" w:cs="Palatino Linotype"/>
          <w:bCs/>
          <w:i/>
          <w:iCs/>
        </w:rPr>
        <w:t xml:space="preserve">En ese sentido, al haber omitido hacer la aclaración se hizo efectivo el apercibimiento de ley contenido en el párrafo tercero del artículo 159 de la Ley de Transparencia en cita, lo que se hizo del conocimiento al solicitante en fecha catorce de abril de dos mil veinticinco. </w:t>
      </w:r>
    </w:p>
    <w:p w14:paraId="7D8E5878" w14:textId="77777777" w:rsidR="00B41D93" w:rsidRPr="00B41D93" w:rsidRDefault="00B41D93" w:rsidP="00B41D93">
      <w:pPr>
        <w:spacing w:line="360" w:lineRule="auto"/>
        <w:ind w:left="567" w:right="567"/>
        <w:contextualSpacing/>
        <w:jc w:val="both"/>
        <w:rPr>
          <w:rFonts w:ascii="Palatino Linotype" w:eastAsia="Palatino Linotype" w:hAnsi="Palatino Linotype" w:cs="Palatino Linotype"/>
          <w:bCs/>
          <w:i/>
          <w:iCs/>
        </w:rPr>
      </w:pPr>
    </w:p>
    <w:p w14:paraId="5505E2B1" w14:textId="62BF5108" w:rsidR="00B41D93" w:rsidRDefault="00B41D93" w:rsidP="00B41D93">
      <w:pPr>
        <w:spacing w:line="360" w:lineRule="auto"/>
        <w:ind w:left="567" w:right="567"/>
        <w:contextualSpacing/>
        <w:jc w:val="both"/>
        <w:rPr>
          <w:rFonts w:ascii="Palatino Linotype" w:eastAsia="Palatino Linotype" w:hAnsi="Palatino Linotype" w:cs="Palatino Linotype"/>
          <w:bCs/>
          <w:i/>
          <w:iCs/>
        </w:rPr>
      </w:pPr>
      <w:r w:rsidRPr="00B41D93">
        <w:rPr>
          <w:rFonts w:ascii="Palatino Linotype" w:eastAsia="Palatino Linotype" w:hAnsi="Palatino Linotype" w:cs="Palatino Linotype"/>
          <w:bCs/>
          <w:i/>
          <w:iCs/>
        </w:rPr>
        <w:t>No obstante, el solicitante interpone recurso de revisión, pero lejos de argumentar a favor de su derecho, continúa emitiendo expresiones personales y subjetivas, juicios de valor y opiniones que nada tienen que ver con la transparencia y acceso a la información…”</w:t>
      </w:r>
      <w:bookmarkStart w:id="9" w:name="_heading=h.9qpj1ejz85lp" w:colFirst="0" w:colLast="0"/>
      <w:bookmarkEnd w:id="9"/>
    </w:p>
    <w:p w14:paraId="3CD59D17" w14:textId="77777777" w:rsidR="00B41D93" w:rsidRPr="00B41D93" w:rsidRDefault="00B41D93" w:rsidP="00B41D93">
      <w:pPr>
        <w:spacing w:line="360" w:lineRule="auto"/>
        <w:ind w:left="567" w:right="567"/>
        <w:contextualSpacing/>
        <w:jc w:val="both"/>
        <w:rPr>
          <w:rFonts w:ascii="Palatino Linotype" w:eastAsia="Palatino Linotype" w:hAnsi="Palatino Linotype" w:cs="Palatino Linotype"/>
          <w:bCs/>
          <w:i/>
          <w:iCs/>
        </w:rPr>
      </w:pPr>
    </w:p>
    <w:p w14:paraId="29BF3095" w14:textId="4C2E852F" w:rsidR="00B41D93" w:rsidRPr="00A24BE6" w:rsidRDefault="00B41D93" w:rsidP="00B41D93">
      <w:pPr>
        <w:spacing w:line="360" w:lineRule="auto"/>
        <w:contextualSpacing/>
        <w:jc w:val="both"/>
        <w:rPr>
          <w:rFonts w:ascii="Palatino Linotype" w:eastAsia="Palatino Linotype" w:hAnsi="Palatino Linotype" w:cs="Palatino Linotype"/>
          <w:sz w:val="22"/>
          <w:szCs w:val="22"/>
        </w:rPr>
      </w:pPr>
      <w:r w:rsidRPr="00A24BE6">
        <w:rPr>
          <w:rFonts w:ascii="Palatino Linotype" w:eastAsia="Palatino Linotype" w:hAnsi="Palatino Linotype" w:cs="Palatino Linotype"/>
          <w:b/>
          <w:sz w:val="22"/>
          <w:szCs w:val="22"/>
        </w:rPr>
        <w:t xml:space="preserve">d) Vista del informe justificado. </w:t>
      </w:r>
      <w:r w:rsidRPr="00A24BE6">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 xml:space="preserve">cuatro de febrero </w:t>
      </w:r>
      <w:r w:rsidRPr="00A24BE6">
        <w:rPr>
          <w:rFonts w:ascii="Palatino Linotype" w:eastAsia="Palatino Linotype" w:hAnsi="Palatino Linotype" w:cs="Palatino Linotype"/>
          <w:sz w:val="22"/>
          <w:szCs w:val="22"/>
        </w:rPr>
        <w:t xml:space="preserve">de dos mil </w:t>
      </w:r>
      <w:r>
        <w:rPr>
          <w:rFonts w:ascii="Palatino Linotype" w:eastAsia="Palatino Linotype" w:hAnsi="Palatino Linotype" w:cs="Palatino Linotype"/>
          <w:sz w:val="22"/>
          <w:szCs w:val="22"/>
        </w:rPr>
        <w:t>dieciséis</w:t>
      </w:r>
      <w:r w:rsidRPr="00A24BE6">
        <w:rPr>
          <w:rFonts w:ascii="Palatino Linotype" w:eastAsia="Palatino Linotype" w:hAnsi="Palatino Linotype" w:cs="Palatino Linotype"/>
          <w:sz w:val="22"/>
          <w:szCs w:val="22"/>
        </w:rPr>
        <w:t xml:space="preserve">, se dictó acuerdo mediante el cual se puso a la vista del Particular, el Informe Justificado entregado por el Sujeto Obligado, el cual fue notificado, a través del SAIMEX, el mismo día. </w:t>
      </w:r>
    </w:p>
    <w:p w14:paraId="076930A5" w14:textId="77777777" w:rsidR="00B41D93" w:rsidRDefault="00B41D93" w:rsidP="00052BAA">
      <w:pPr>
        <w:spacing w:line="360" w:lineRule="auto"/>
        <w:contextualSpacing/>
        <w:jc w:val="both"/>
        <w:rPr>
          <w:rFonts w:ascii="Palatino Linotype" w:eastAsia="Palatino Linotype" w:hAnsi="Palatino Linotype" w:cs="Palatino Linotype"/>
          <w:b/>
          <w:sz w:val="22"/>
          <w:szCs w:val="22"/>
        </w:rPr>
      </w:pPr>
    </w:p>
    <w:p w14:paraId="57B4F4B5" w14:textId="59ED32BD" w:rsidR="00052BAA" w:rsidRDefault="00B41D93" w:rsidP="00052BAA">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e) </w:t>
      </w:r>
      <w:r w:rsidR="00052BAA">
        <w:rPr>
          <w:rFonts w:ascii="Palatino Linotype" w:eastAsia="Palatino Linotype" w:hAnsi="Palatino Linotype" w:cs="Palatino Linotype"/>
          <w:b/>
          <w:sz w:val="22"/>
          <w:szCs w:val="22"/>
        </w:rPr>
        <w:t xml:space="preserve">Ampliación de plazo para resolver. </w:t>
      </w:r>
      <w:r w:rsidR="00052BAA">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 xml:space="preserve">cuatro de febrero </w:t>
      </w:r>
      <w:r w:rsidR="00052BAA">
        <w:rPr>
          <w:rFonts w:ascii="Palatino Linotype" w:eastAsia="Palatino Linotype" w:hAnsi="Palatino Linotype" w:cs="Palatino Linotype"/>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541CAF93"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6B8882DA" w14:textId="02B181AF" w:rsidR="00052BAA" w:rsidRDefault="00052BAA" w:rsidP="00052BAA">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B41D93">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 xml:space="preserve">de febrero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w:t>
      </w:r>
      <w:r w:rsidR="002D3F04">
        <w:rPr>
          <w:rFonts w:ascii="Palatino Linotype" w:eastAsia="Palatino Linotype" w:hAnsi="Palatino Linotype" w:cs="Palatino Linotype"/>
          <w:sz w:val="22"/>
          <w:szCs w:val="22"/>
        </w:rPr>
        <w:t>once de dicho mes y año</w:t>
      </w:r>
      <w:r>
        <w:rPr>
          <w:rFonts w:ascii="Palatino Linotype" w:eastAsia="Palatino Linotype" w:hAnsi="Palatino Linotype" w:cs="Palatino Linotype"/>
          <w:sz w:val="22"/>
          <w:szCs w:val="22"/>
        </w:rPr>
        <w:t>.</w:t>
      </w:r>
    </w:p>
    <w:p w14:paraId="6F10C6F9"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71AE404E" w14:textId="77777777" w:rsidR="00052BAA" w:rsidRDefault="00052BAA" w:rsidP="00052BAA">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4E5E84C" w14:textId="77777777" w:rsidR="00052BAA" w:rsidRDefault="00052BAA" w:rsidP="00052BAA">
      <w:pPr>
        <w:spacing w:line="360" w:lineRule="auto"/>
        <w:contextualSpacing/>
      </w:pPr>
    </w:p>
    <w:p w14:paraId="430D7E1B" w14:textId="77777777" w:rsidR="00052BAA" w:rsidRDefault="00052BAA" w:rsidP="00052BAA">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21810645"/>
      <w:r>
        <w:rPr>
          <w:rFonts w:ascii="Palatino Linotype" w:eastAsia="Palatino Linotype" w:hAnsi="Palatino Linotype" w:cs="Palatino Linotype"/>
          <w:b/>
          <w:color w:val="000000"/>
          <w:sz w:val="22"/>
          <w:szCs w:val="22"/>
        </w:rPr>
        <w:t>C O N S I D E R A N D O S</w:t>
      </w:r>
      <w:bookmarkEnd w:id="10"/>
    </w:p>
    <w:p w14:paraId="77ABAB1F" w14:textId="77777777" w:rsidR="00052BAA" w:rsidRDefault="00052BAA" w:rsidP="00052BAA">
      <w:pPr>
        <w:spacing w:line="360" w:lineRule="auto"/>
        <w:contextualSpacing/>
      </w:pPr>
    </w:p>
    <w:p w14:paraId="0FD0B1E3" w14:textId="77777777" w:rsidR="00052BAA" w:rsidRDefault="00052BAA" w:rsidP="00052BAA">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21810646"/>
      <w:r>
        <w:rPr>
          <w:rFonts w:ascii="Palatino Linotype" w:eastAsia="Palatino Linotype" w:hAnsi="Palatino Linotype" w:cs="Palatino Linotype"/>
          <w:b/>
          <w:color w:val="000000"/>
          <w:sz w:val="22"/>
          <w:szCs w:val="22"/>
        </w:rPr>
        <w:t>PRIMERO. Competencia</w:t>
      </w:r>
      <w:bookmarkEnd w:id="11"/>
    </w:p>
    <w:p w14:paraId="5444FB0D" w14:textId="77777777" w:rsidR="00052BAA" w:rsidRDefault="00052BAA" w:rsidP="00052BAA">
      <w:pPr>
        <w:spacing w:line="360" w:lineRule="auto"/>
        <w:contextualSpacing/>
      </w:pPr>
    </w:p>
    <w:p w14:paraId="755FF44A"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2"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lastRenderedPageBreak/>
        <w:t>sexto</w:t>
      </w:r>
      <w:bookmarkEnd w:id="12"/>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D2BC187" w14:textId="77777777" w:rsidR="00052BAA" w:rsidRDefault="00052BAA" w:rsidP="00052BAA">
      <w:pPr>
        <w:spacing w:line="360" w:lineRule="auto"/>
        <w:contextualSpacing/>
        <w:jc w:val="both"/>
        <w:rPr>
          <w:rFonts w:ascii="Palatino Linotype" w:eastAsia="Palatino Linotype" w:hAnsi="Palatino Linotype" w:cs="Palatino Linotype"/>
          <w:color w:val="000000"/>
          <w:sz w:val="22"/>
          <w:szCs w:val="22"/>
        </w:rPr>
      </w:pPr>
    </w:p>
    <w:p w14:paraId="12AC419F" w14:textId="77777777" w:rsidR="00052BAA" w:rsidRDefault="00052BAA" w:rsidP="00052BAA">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21810647"/>
      <w:r>
        <w:rPr>
          <w:rFonts w:ascii="Palatino Linotype" w:eastAsia="Palatino Linotype" w:hAnsi="Palatino Linotype" w:cs="Palatino Linotype"/>
          <w:b/>
          <w:color w:val="000000"/>
          <w:sz w:val="22"/>
          <w:szCs w:val="22"/>
        </w:rPr>
        <w:t>SEGUNDO. Causales de improcedencia y sobreseimiento</w:t>
      </w:r>
      <w:bookmarkEnd w:id="13"/>
    </w:p>
    <w:p w14:paraId="755E21B0"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373F4E3B" w14:textId="77777777" w:rsidR="00052BAA" w:rsidRPr="00495A4C"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2A8F97D"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7777F1E5"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4F87D4F4"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29016ABC"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6687CD3"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61896BEA"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FFDD1DD"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7768EDAA" w14:textId="69E571F1"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actualiza la causal de procedencia del Recurso de Revisión establecida en el artículo 179, fracción </w:t>
      </w:r>
      <w:r w:rsidR="00961886">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de la Ley de Transparencia y Acceso a la Información Pública del Estado de México y Municipios, referente a la entrega de información incompleta.</w:t>
      </w:r>
    </w:p>
    <w:p w14:paraId="0F727FA2"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36971A7B" w14:textId="77777777" w:rsidR="00052BAA" w:rsidRDefault="00052BAA" w:rsidP="00052BAA">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bookmarkStart w:id="15" w:name="_Toc221810648"/>
      <w:r>
        <w:rPr>
          <w:rFonts w:ascii="Palatino Linotype" w:eastAsia="Palatino Linotype" w:hAnsi="Palatino Linotype" w:cs="Palatino Linotype"/>
          <w:b/>
          <w:color w:val="000000"/>
          <w:sz w:val="22"/>
          <w:szCs w:val="22"/>
        </w:rPr>
        <w:t>TERCERO. Determinación de la Controversia</w:t>
      </w:r>
      <w:bookmarkEnd w:id="14"/>
      <w:bookmarkEnd w:id="15"/>
    </w:p>
    <w:p w14:paraId="5DDFB61A"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6A59DFFB" w14:textId="4F3C41B5" w:rsidR="00052BAA" w:rsidRPr="00587816" w:rsidRDefault="00052BAA" w:rsidP="00052BAA">
      <w:pPr>
        <w:spacing w:line="360" w:lineRule="auto"/>
        <w:contextualSpacing/>
        <w:jc w:val="both"/>
        <w:rPr>
          <w:rFonts w:ascii="Palatino Linotype" w:hAnsi="Palatino Linotype"/>
          <w:sz w:val="22"/>
          <w:szCs w:val="22"/>
        </w:rPr>
      </w:pPr>
      <w:r w:rsidRPr="00587816">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sidRPr="00587816">
        <w:rPr>
          <w:rFonts w:ascii="Palatino Linotype" w:hAnsi="Palatino Linotype"/>
          <w:sz w:val="22"/>
          <w:szCs w:val="22"/>
        </w:rPr>
        <w:t>,</w:t>
      </w:r>
      <w:r w:rsidR="00902824">
        <w:rPr>
          <w:rFonts w:ascii="Palatino Linotype" w:hAnsi="Palatino Linotype"/>
          <w:sz w:val="22"/>
          <w:szCs w:val="22"/>
        </w:rPr>
        <w:t xml:space="preserve"> a</w:t>
      </w:r>
      <w:r w:rsidRPr="00587816">
        <w:rPr>
          <w:rFonts w:ascii="Palatino Linotype" w:hAnsi="Palatino Linotype"/>
          <w:sz w:val="22"/>
          <w:szCs w:val="22"/>
        </w:rPr>
        <w:t xml:space="preserve">l </w:t>
      </w:r>
      <w:r w:rsidR="00902824">
        <w:rPr>
          <w:rFonts w:ascii="Palatino Linotype" w:hAnsi="Palatino Linotype"/>
          <w:sz w:val="22"/>
          <w:szCs w:val="22"/>
        </w:rPr>
        <w:t xml:space="preserve">trece de marzo </w:t>
      </w:r>
      <w:r w:rsidRPr="00587816">
        <w:rPr>
          <w:rFonts w:ascii="Palatino Linotype" w:hAnsi="Palatino Linotype"/>
          <w:sz w:val="22"/>
          <w:szCs w:val="22"/>
        </w:rPr>
        <w:t>de dos mil veinticinco</w:t>
      </w:r>
      <w:r>
        <w:rPr>
          <w:rFonts w:ascii="Palatino Linotype" w:hAnsi="Palatino Linotype"/>
          <w:sz w:val="22"/>
          <w:szCs w:val="22"/>
        </w:rPr>
        <w:t>, los documentos que dieran cuenta de lo siguiente:</w:t>
      </w:r>
    </w:p>
    <w:p w14:paraId="14F2868A" w14:textId="77777777" w:rsidR="00052BAA" w:rsidRPr="00587816" w:rsidRDefault="00052BAA" w:rsidP="00052BAA">
      <w:pPr>
        <w:spacing w:line="360" w:lineRule="auto"/>
        <w:ind w:left="357" w:hanging="357"/>
        <w:contextualSpacing/>
        <w:jc w:val="both"/>
        <w:rPr>
          <w:rFonts w:ascii="Palatino Linotype" w:hAnsi="Palatino Linotype"/>
          <w:sz w:val="22"/>
          <w:szCs w:val="22"/>
        </w:rPr>
      </w:pPr>
    </w:p>
    <w:p w14:paraId="7710971B" w14:textId="7837DDC0" w:rsidR="00052BAA" w:rsidRDefault="00901F98" w:rsidP="00902824">
      <w:pPr>
        <w:pStyle w:val="Prrafodelista"/>
        <w:numPr>
          <w:ilvl w:val="0"/>
          <w:numId w:val="1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Cantidad de t</w:t>
      </w:r>
      <w:r w:rsidR="00902824">
        <w:rPr>
          <w:rFonts w:ascii="Palatino Linotype" w:hAnsi="Palatino Linotype"/>
          <w:color w:val="000000"/>
          <w:sz w:val="22"/>
          <w:szCs w:val="22"/>
        </w:rPr>
        <w:t>raslados de dominio</w:t>
      </w:r>
      <w:r>
        <w:rPr>
          <w:rFonts w:ascii="Palatino Linotype" w:hAnsi="Palatino Linotype"/>
          <w:color w:val="000000"/>
          <w:sz w:val="22"/>
          <w:szCs w:val="22"/>
        </w:rPr>
        <w:t xml:space="preserve"> generados por año,</w:t>
      </w:r>
      <w:r w:rsidR="00902824">
        <w:rPr>
          <w:rFonts w:ascii="Palatino Linotype" w:hAnsi="Palatino Linotype"/>
          <w:color w:val="000000"/>
          <w:sz w:val="22"/>
          <w:szCs w:val="22"/>
        </w:rPr>
        <w:t xml:space="preserve"> del primero de enero de dos mil veinte, al quince de marzo de dos mil veinticinco;</w:t>
      </w:r>
    </w:p>
    <w:p w14:paraId="6EC03121" w14:textId="2AFB5E86" w:rsidR="00902824" w:rsidRDefault="00902824" w:rsidP="00902824">
      <w:pPr>
        <w:pStyle w:val="Prrafodelista"/>
        <w:numPr>
          <w:ilvl w:val="0"/>
          <w:numId w:val="1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Cantidad de verificación de linderos del primero de enero de dos mil dieciocho, al quince de marzo de dos mil veinticinco;</w:t>
      </w:r>
      <w:r w:rsidR="00961886">
        <w:rPr>
          <w:rFonts w:ascii="Palatino Linotype" w:hAnsi="Palatino Linotype"/>
          <w:color w:val="000000"/>
          <w:sz w:val="22"/>
          <w:szCs w:val="22"/>
        </w:rPr>
        <w:t xml:space="preserve"> y</w:t>
      </w:r>
    </w:p>
    <w:p w14:paraId="71431A68" w14:textId="6C6C1F0A" w:rsidR="00902824" w:rsidRPr="00902824" w:rsidRDefault="00961886" w:rsidP="00902824">
      <w:pPr>
        <w:pStyle w:val="Prrafodelista"/>
        <w:numPr>
          <w:ilvl w:val="0"/>
          <w:numId w:val="1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Planos manzaneros expedidos, del primero de enero de dos mil veinte, al diez de marzo de dos mil veinticinco.</w:t>
      </w:r>
    </w:p>
    <w:p w14:paraId="39BDA697" w14:textId="45203177" w:rsidR="007A75A9" w:rsidRDefault="00052BAA" w:rsidP="00052BAA">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lastRenderedPageBreak/>
        <w:t>En respuesta, el Sujeto Obligado,</w:t>
      </w:r>
      <w:r>
        <w:rPr>
          <w:rFonts w:ascii="Palatino Linotype" w:hAnsi="Palatino Linotype"/>
          <w:color w:val="000000"/>
          <w:sz w:val="22"/>
          <w:szCs w:val="22"/>
        </w:rPr>
        <w:t xml:space="preserve"> a través del </w:t>
      </w:r>
      <w:r w:rsidR="00961886">
        <w:rPr>
          <w:rFonts w:ascii="Palatino Linotype" w:hAnsi="Palatino Linotype"/>
          <w:color w:val="000000"/>
          <w:sz w:val="22"/>
          <w:szCs w:val="22"/>
        </w:rPr>
        <w:t xml:space="preserve">Tesorero Municipal </w:t>
      </w:r>
      <w:r>
        <w:rPr>
          <w:rFonts w:ascii="Palatino Linotype" w:hAnsi="Palatino Linotype"/>
          <w:color w:val="000000"/>
          <w:sz w:val="22"/>
          <w:szCs w:val="22"/>
        </w:rPr>
        <w:t xml:space="preserve">proporcionó </w:t>
      </w:r>
      <w:r w:rsidR="00961886">
        <w:rPr>
          <w:rFonts w:ascii="Palatino Linotype" w:hAnsi="Palatino Linotype"/>
          <w:color w:val="000000"/>
          <w:sz w:val="22"/>
          <w:szCs w:val="22"/>
        </w:rPr>
        <w:t>la información estadística de los trámites solicitados</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w:t>
      </w:r>
      <w:r w:rsidR="00961886">
        <w:rPr>
          <w:rFonts w:ascii="Palatino Linotype" w:hAnsi="Palatino Linotype" w:cs="Tahoma"/>
          <w:sz w:val="22"/>
          <w:szCs w:val="22"/>
          <w:lang w:val="es-ES"/>
        </w:rPr>
        <w:t xml:space="preserve">entrega de </w:t>
      </w:r>
      <w:r>
        <w:rPr>
          <w:rFonts w:ascii="Palatino Linotype" w:hAnsi="Palatino Linotype" w:cs="Tahoma"/>
          <w:sz w:val="22"/>
          <w:szCs w:val="22"/>
          <w:lang w:val="es-ES"/>
        </w:rPr>
        <w:t xml:space="preserve">la información </w:t>
      </w:r>
      <w:r w:rsidR="00961886">
        <w:rPr>
          <w:rFonts w:ascii="Palatino Linotype" w:hAnsi="Palatino Linotype" w:cs="Tahoma"/>
          <w:sz w:val="22"/>
          <w:szCs w:val="22"/>
          <w:lang w:val="es-ES"/>
        </w:rPr>
        <w:t>incompleta</w:t>
      </w:r>
      <w:r>
        <w:rPr>
          <w:rFonts w:ascii="Palatino Linotype" w:hAnsi="Palatino Linotype" w:cs="Tahoma"/>
          <w:sz w:val="22"/>
          <w:szCs w:val="22"/>
          <w:lang w:val="es-ES"/>
        </w:rPr>
        <w:t>, al señalar que no se le había</w:t>
      </w:r>
      <w:r w:rsidR="00961886">
        <w:rPr>
          <w:rFonts w:ascii="Palatino Linotype" w:hAnsi="Palatino Linotype" w:cs="Tahoma"/>
          <w:sz w:val="22"/>
          <w:szCs w:val="22"/>
          <w:lang w:val="es-ES"/>
        </w:rPr>
        <w:t xml:space="preserve"> proporcionado </w:t>
      </w:r>
      <w:r w:rsidR="00901F98">
        <w:rPr>
          <w:rFonts w:ascii="Palatino Linotype" w:hAnsi="Palatino Linotype" w:cs="Tahoma"/>
          <w:sz w:val="22"/>
          <w:szCs w:val="22"/>
          <w:lang w:val="es-ES"/>
        </w:rPr>
        <w:t>la información solicitada</w:t>
      </w:r>
      <w:r>
        <w:rPr>
          <w:rFonts w:ascii="Palatino Linotype" w:hAnsi="Palatino Linotype" w:cs="Tahoma"/>
          <w:sz w:val="22"/>
          <w:szCs w:val="22"/>
          <w:lang w:val="es-ES"/>
        </w:rPr>
        <w:t>, lo</w:t>
      </w:r>
      <w:r w:rsidRPr="00E56C68">
        <w:rPr>
          <w:rFonts w:ascii="Palatino Linotype" w:hAnsi="Palatino Linotype" w:cs="Tahoma"/>
          <w:sz w:val="22"/>
          <w:szCs w:val="22"/>
          <w:lang w:val="es-ES"/>
        </w:rPr>
        <w:t xml:space="preserve">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007A75A9" w:rsidRPr="007A75A9">
        <w:rPr>
          <w:rFonts w:ascii="Palatino Linotype" w:hAnsi="Palatino Linotype"/>
          <w:color w:val="0D0D0D"/>
          <w:sz w:val="22"/>
          <w:szCs w:val="22"/>
        </w:rPr>
        <w:t xml:space="preserve">Así las cosas, una vez admitido y notificado el Recurso de Revisión a las partes, el Sujeto Obligado </w:t>
      </w:r>
      <w:r w:rsidR="007A75A9">
        <w:rPr>
          <w:rFonts w:ascii="Palatino Linotype" w:hAnsi="Palatino Linotype"/>
          <w:color w:val="0D0D0D"/>
          <w:sz w:val="22"/>
          <w:szCs w:val="22"/>
        </w:rPr>
        <w:t>esencialmente ratificó su respuesta inicial</w:t>
      </w:r>
      <w:r w:rsidR="007A75A9" w:rsidRPr="007A75A9">
        <w:rPr>
          <w:rFonts w:ascii="Palatino Linotype" w:hAnsi="Palatino Linotype"/>
          <w:color w:val="0D0D0D"/>
          <w:sz w:val="22"/>
          <w:szCs w:val="22"/>
        </w:rPr>
        <w:t>.</w:t>
      </w:r>
    </w:p>
    <w:p w14:paraId="5C660DEE" w14:textId="77777777" w:rsidR="007A75A9" w:rsidRDefault="007A75A9" w:rsidP="00052BAA">
      <w:pPr>
        <w:spacing w:line="360" w:lineRule="auto"/>
        <w:contextualSpacing/>
        <w:jc w:val="both"/>
        <w:rPr>
          <w:rFonts w:ascii="Palatino Linotype" w:hAnsi="Palatino Linotype"/>
          <w:color w:val="0D0D0D"/>
          <w:sz w:val="22"/>
          <w:szCs w:val="22"/>
        </w:rPr>
      </w:pPr>
    </w:p>
    <w:p w14:paraId="1A7809CB" w14:textId="07FDE408" w:rsidR="007A75A9" w:rsidRPr="007A75A9" w:rsidRDefault="007A75A9" w:rsidP="007A75A9">
      <w:pPr>
        <w:spacing w:line="360" w:lineRule="auto"/>
        <w:contextualSpacing/>
        <w:jc w:val="both"/>
        <w:rPr>
          <w:rFonts w:ascii="Palatino Linotype" w:hAnsi="Palatino Linotype"/>
          <w:bCs/>
          <w:color w:val="0D0D0D"/>
          <w:sz w:val="22"/>
          <w:szCs w:val="22"/>
        </w:rPr>
      </w:pPr>
      <w:r w:rsidRPr="007A75A9">
        <w:rPr>
          <w:rFonts w:ascii="Palatino Linotype" w:hAnsi="Palatino Linotype"/>
          <w:bCs/>
          <w:color w:val="0D0D0D"/>
          <w:sz w:val="22"/>
          <w:szCs w:val="22"/>
        </w:rPr>
        <w:t>Por otra parte, a través de la solicitud de información, el Particular realizó las siguientes</w:t>
      </w:r>
      <w:r w:rsidRPr="007A75A9">
        <w:rPr>
          <w:rFonts w:ascii="Palatino Linotype" w:hAnsi="Palatino Linotype"/>
          <w:bCs/>
          <w:color w:val="0D0D0D"/>
          <w:sz w:val="22"/>
          <w:szCs w:val="22"/>
        </w:rPr>
        <w:br/>
        <w:t>manifestaciones: “…</w:t>
      </w:r>
      <w:r w:rsidRPr="00D06E25">
        <w:rPr>
          <w:rFonts w:ascii="Palatino Linotype" w:eastAsia="Palatino Linotype" w:hAnsi="Palatino Linotype" w:cs="Palatino Linotype"/>
          <w:i/>
          <w:color w:val="000000"/>
        </w:rPr>
        <w:t xml:space="preserve">esto porque servidores públicos se prestan hacer contratos y hacer traslados dominio apócrifos y perjudican a la ciudadanía es un ejemplo de lo que solicita que se me fue negado no sé de qué forma esta autoridad incompetente le gusta que se le detalle la información cómo se la va uno a requerir para ser más específicos y se me hace una arbitrariedad de parte de administración o de los responsables de sujetos obligados a entregar la misma no tener la capacidad para poder hacerlo o tenerla cinismo de hacer la negativa de la misma pido las sanciones pertinentes al ámbito y a la distancia distinta </w:t>
      </w:r>
      <w:proofErr w:type="spellStart"/>
      <w:r w:rsidRPr="00D06E25">
        <w:rPr>
          <w:rFonts w:ascii="Palatino Linotype" w:eastAsia="Palatino Linotype" w:hAnsi="Palatino Linotype" w:cs="Palatino Linotype"/>
          <w:i/>
          <w:color w:val="000000"/>
        </w:rPr>
        <w:t>esta</w:t>
      </w:r>
      <w:proofErr w:type="spellEnd"/>
      <w:r w:rsidRPr="00D06E25">
        <w:rPr>
          <w:rFonts w:ascii="Palatino Linotype" w:eastAsia="Palatino Linotype" w:hAnsi="Palatino Linotype" w:cs="Palatino Linotype"/>
          <w:i/>
          <w:color w:val="000000"/>
        </w:rPr>
        <w:t xml:space="preserve"> a la que de forma escrita o como escrito sirva al presente</w:t>
      </w:r>
      <w:r w:rsidRPr="007A75A9">
        <w:rPr>
          <w:rFonts w:ascii="Palatino Linotype" w:hAnsi="Palatino Linotype"/>
          <w:i/>
          <w:iCs/>
          <w:color w:val="0D0D0D"/>
          <w:sz w:val="22"/>
          <w:szCs w:val="22"/>
        </w:rPr>
        <w:t>.</w:t>
      </w:r>
      <w:r w:rsidRPr="007A75A9">
        <w:rPr>
          <w:rFonts w:ascii="Palatino Linotype" w:hAnsi="Palatino Linotype"/>
          <w:bCs/>
          <w:color w:val="0D0D0D"/>
          <w:sz w:val="22"/>
          <w:szCs w:val="22"/>
        </w:rPr>
        <w:t>”;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w:t>
      </w:r>
    </w:p>
    <w:p w14:paraId="5AB0C50B" w14:textId="77777777" w:rsidR="00052BAA" w:rsidRDefault="00052BAA" w:rsidP="00052BAA">
      <w:pPr>
        <w:spacing w:line="360" w:lineRule="auto"/>
        <w:contextualSpacing/>
        <w:jc w:val="both"/>
        <w:rPr>
          <w:rFonts w:ascii="Palatino Linotype" w:hAnsi="Palatino Linotype"/>
          <w:color w:val="0D0D0D"/>
          <w:sz w:val="22"/>
          <w:szCs w:val="22"/>
        </w:rPr>
      </w:pPr>
    </w:p>
    <w:p w14:paraId="4A842F08" w14:textId="77777777" w:rsidR="00052BAA" w:rsidRPr="005A23D4" w:rsidRDefault="00052BAA" w:rsidP="00052BAA">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y el escrito recursal, instrumentales que se toman en cuenta a efecto de resolver el presente medio de impugnación, conforme a lo dispuesto por el artículo 185, fracción IV, </w:t>
      </w:r>
      <w:r>
        <w:rPr>
          <w:rFonts w:ascii="Palatino Linotype" w:eastAsia="Palatino Linotype" w:hAnsi="Palatino Linotype" w:cs="Palatino Linotype"/>
          <w:sz w:val="22"/>
          <w:szCs w:val="22"/>
        </w:rPr>
        <w:lastRenderedPageBreak/>
        <w:t xml:space="preserve">de la Ley de Transparencia y Acceso a la Información Pública del Estado de México y Municipios. </w:t>
      </w:r>
      <w:r>
        <w:rPr>
          <w:rFonts w:ascii="Palatino Linotype" w:eastAsia="Palatino Linotype" w:hAnsi="Palatino Linotype" w:cs="Palatino Linotype"/>
          <w:b/>
          <w:bCs/>
          <w:sz w:val="22"/>
          <w:szCs w:val="22"/>
        </w:rPr>
        <w:t>Cabe señalar que las partes fueron omisas en realizar manifestaciones o alegatos.</w:t>
      </w:r>
    </w:p>
    <w:p w14:paraId="4C0D1F4C" w14:textId="77777777" w:rsidR="00052BAA" w:rsidRDefault="00052BAA" w:rsidP="00052BAA">
      <w:pPr>
        <w:spacing w:line="360" w:lineRule="auto"/>
        <w:contextualSpacing/>
        <w:jc w:val="both"/>
        <w:rPr>
          <w:rFonts w:ascii="Palatino Linotype" w:eastAsia="Palatino Linotype" w:hAnsi="Palatino Linotype" w:cs="Palatino Linotype"/>
          <w:color w:val="000000"/>
          <w:sz w:val="22"/>
          <w:szCs w:val="22"/>
        </w:rPr>
      </w:pPr>
    </w:p>
    <w:p w14:paraId="2E7674D6" w14:textId="77777777" w:rsidR="00052BAA" w:rsidRDefault="00052BAA" w:rsidP="00052BAA">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5679574"/>
      <w:bookmarkStart w:id="17" w:name="_Toc221810649"/>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bookmarkEnd w:id="17"/>
    </w:p>
    <w:p w14:paraId="116D017F"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1DDF311E"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6C066C"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493F0B64"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4D0F9"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57F1AB89"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6D4E80C2"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77AE7215"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7A5B8723"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245C3F21"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01EEA0BF"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A996500"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29C491E3"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1D769F"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065CA4B5" w14:textId="77777777" w:rsidR="00052BAA" w:rsidRDefault="00052BAA" w:rsidP="00052BAA">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5679575"/>
      <w:bookmarkStart w:id="19" w:name="_Toc221810650"/>
      <w:r>
        <w:rPr>
          <w:rFonts w:ascii="Palatino Linotype" w:eastAsia="Palatino Linotype" w:hAnsi="Palatino Linotype" w:cs="Palatino Linotype"/>
          <w:b/>
          <w:color w:val="000000"/>
          <w:sz w:val="22"/>
          <w:szCs w:val="22"/>
        </w:rPr>
        <w:t>QUINTO. Estudio de Fondo</w:t>
      </w:r>
      <w:bookmarkEnd w:id="18"/>
      <w:bookmarkEnd w:id="19"/>
    </w:p>
    <w:p w14:paraId="2B275972" w14:textId="77777777" w:rsidR="00052BAA" w:rsidRDefault="00052BAA" w:rsidP="00052BAA">
      <w:pPr>
        <w:spacing w:line="360" w:lineRule="auto"/>
        <w:contextualSpacing/>
        <w:jc w:val="both"/>
        <w:rPr>
          <w:rFonts w:ascii="Palatino Linotype" w:eastAsia="Palatino Linotype" w:hAnsi="Palatino Linotype" w:cs="Palatino Linotype"/>
          <w:b/>
          <w:sz w:val="22"/>
          <w:szCs w:val="22"/>
        </w:rPr>
      </w:pPr>
    </w:p>
    <w:p w14:paraId="1F9F2BE7" w14:textId="60F4881C"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w:t>
      </w:r>
      <w:r w:rsidR="00441462">
        <w:rPr>
          <w:rFonts w:ascii="Palatino Linotype" w:eastAsia="Palatino Linotype" w:hAnsi="Palatino Linotype" w:cs="Palatino Linotype"/>
          <w:sz w:val="22"/>
          <w:szCs w:val="22"/>
        </w:rPr>
        <w:t xml:space="preserve">entrega de </w:t>
      </w:r>
      <w:r>
        <w:rPr>
          <w:rFonts w:ascii="Palatino Linotype" w:eastAsia="Palatino Linotype" w:hAnsi="Palatino Linotype" w:cs="Palatino Linotype"/>
          <w:sz w:val="22"/>
          <w:szCs w:val="22"/>
        </w:rPr>
        <w:t>información</w:t>
      </w:r>
      <w:r w:rsidR="00441462">
        <w:rPr>
          <w:rFonts w:ascii="Palatino Linotype" w:eastAsia="Palatino Linotype" w:hAnsi="Palatino Linotype" w:cs="Palatino Linotype"/>
          <w:sz w:val="22"/>
          <w:szCs w:val="22"/>
        </w:rPr>
        <w:t xml:space="preserve"> incompleta,</w:t>
      </w:r>
      <w:r>
        <w:rPr>
          <w:rFonts w:ascii="Palatino Linotype" w:eastAsia="Palatino Linotype" w:hAnsi="Palatino Linotype" w:cs="Palatino Linotype"/>
          <w:sz w:val="22"/>
          <w:szCs w:val="22"/>
        </w:rPr>
        <w:t xml:space="preserve"> por lo que resulta necesario contextualizar la solicitud</w:t>
      </w:r>
      <w:r w:rsidR="00441462">
        <w:rPr>
          <w:rFonts w:ascii="Palatino Linotype" w:eastAsia="Palatino Linotype" w:hAnsi="Palatino Linotype" w:cs="Palatino Linotype"/>
          <w:sz w:val="22"/>
          <w:szCs w:val="22"/>
        </w:rPr>
        <w:t xml:space="preserve"> relacionada con traslados de dominio, verificación de linderos y planos manzaneros</w:t>
      </w:r>
      <w:r>
        <w:rPr>
          <w:rFonts w:ascii="Palatino Linotype" w:eastAsia="Palatino Linotype" w:hAnsi="Palatino Linotype" w:cs="Palatino Linotype"/>
          <w:sz w:val="22"/>
          <w:szCs w:val="22"/>
        </w:rPr>
        <w:t>.</w:t>
      </w:r>
    </w:p>
    <w:p w14:paraId="38640D51"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1922809E" w14:textId="63DB3E95" w:rsidR="00441462" w:rsidRDefault="00052BAA" w:rsidP="00052BAA">
      <w:pPr>
        <w:widowControl w:val="0"/>
        <w:spacing w:line="360" w:lineRule="auto"/>
        <w:contextualSpacing/>
        <w:jc w:val="both"/>
        <w:rPr>
          <w:rFonts w:ascii="Palatino Linotype" w:eastAsia="Palatino Linotype" w:hAnsi="Palatino Linotype" w:cs="Palatino Linotype"/>
          <w:sz w:val="22"/>
          <w:szCs w:val="22"/>
        </w:rPr>
      </w:pPr>
      <w:r w:rsidRPr="00216833">
        <w:rPr>
          <w:rFonts w:ascii="Palatino Linotype" w:eastAsia="Palatino Linotype" w:hAnsi="Palatino Linotype" w:cs="Palatino Linotype"/>
          <w:sz w:val="22"/>
          <w:szCs w:val="22"/>
        </w:rPr>
        <w:t xml:space="preserve">En principio, </w:t>
      </w:r>
      <w:r w:rsidR="00441462">
        <w:rPr>
          <w:rFonts w:ascii="Palatino Linotype" w:eastAsia="Palatino Linotype" w:hAnsi="Palatino Linotype" w:cs="Palatino Linotype"/>
          <w:sz w:val="22"/>
          <w:szCs w:val="22"/>
        </w:rPr>
        <w:t>el artículo 169 del Código Financiero del Estado de México, establece que son autoridades en materia de catastro las siguientes:</w:t>
      </w:r>
    </w:p>
    <w:p w14:paraId="369F369C" w14:textId="77777777" w:rsidR="00441462" w:rsidRDefault="00441462" w:rsidP="00052BAA">
      <w:pPr>
        <w:widowControl w:val="0"/>
        <w:spacing w:line="360" w:lineRule="auto"/>
        <w:contextualSpacing/>
        <w:jc w:val="both"/>
        <w:rPr>
          <w:rFonts w:ascii="Palatino Linotype" w:eastAsia="Palatino Linotype" w:hAnsi="Palatino Linotype" w:cs="Palatino Linotype"/>
          <w:sz w:val="22"/>
          <w:szCs w:val="22"/>
        </w:rPr>
      </w:pPr>
    </w:p>
    <w:p w14:paraId="44CD3510" w14:textId="2881BC50" w:rsidR="00441462" w:rsidRPr="00441462" w:rsidRDefault="00441462" w:rsidP="00441462">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41462">
        <w:rPr>
          <w:rFonts w:ascii="Palatino Linotype" w:eastAsia="Palatino Linotype" w:hAnsi="Palatino Linotype" w:cs="Palatino Linotype"/>
          <w:sz w:val="22"/>
          <w:szCs w:val="22"/>
        </w:rPr>
        <w:t xml:space="preserve">La persona titular del Poder Ejecutivo del Estado; </w:t>
      </w:r>
    </w:p>
    <w:p w14:paraId="06575135" w14:textId="425D7A8F" w:rsidR="00441462" w:rsidRDefault="00441462" w:rsidP="00441462">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41462">
        <w:rPr>
          <w:rFonts w:ascii="Palatino Linotype" w:eastAsia="Palatino Linotype" w:hAnsi="Palatino Linotype" w:cs="Palatino Linotype"/>
          <w:sz w:val="22"/>
          <w:szCs w:val="22"/>
        </w:rPr>
        <w:t>La persona titular de la Secretaría</w:t>
      </w:r>
      <w:r>
        <w:rPr>
          <w:rFonts w:ascii="Palatino Linotype" w:eastAsia="Palatino Linotype" w:hAnsi="Palatino Linotype" w:cs="Palatino Linotype"/>
          <w:sz w:val="22"/>
          <w:szCs w:val="22"/>
        </w:rPr>
        <w:t>;</w:t>
      </w:r>
    </w:p>
    <w:p w14:paraId="3DF7DB74" w14:textId="01D436BA" w:rsidR="00441462" w:rsidRDefault="00441462" w:rsidP="00441462">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41462">
        <w:rPr>
          <w:rFonts w:ascii="Palatino Linotype" w:eastAsia="Palatino Linotype" w:hAnsi="Palatino Linotype" w:cs="Palatino Linotype"/>
          <w:sz w:val="22"/>
          <w:szCs w:val="22"/>
        </w:rPr>
        <w:t>La persona titular de la Dirección General del Instituto de Información e Investigación Geográfica, Estadística y Catastral del Estado de México y la persona servidora pública que sea designada como titular de la Dirección de Catastro de ese Instituto</w:t>
      </w:r>
      <w:r>
        <w:rPr>
          <w:rFonts w:ascii="Palatino Linotype" w:eastAsia="Palatino Linotype" w:hAnsi="Palatino Linotype" w:cs="Palatino Linotype"/>
          <w:sz w:val="22"/>
          <w:szCs w:val="22"/>
        </w:rPr>
        <w:t>; y</w:t>
      </w:r>
      <w:r w:rsidRPr="00441462">
        <w:rPr>
          <w:rFonts w:ascii="Palatino Linotype" w:eastAsia="Palatino Linotype" w:hAnsi="Palatino Linotype" w:cs="Palatino Linotype"/>
          <w:sz w:val="22"/>
          <w:szCs w:val="22"/>
        </w:rPr>
        <w:t xml:space="preserve"> </w:t>
      </w:r>
    </w:p>
    <w:p w14:paraId="0F23F282" w14:textId="49C5425F" w:rsidR="00441462" w:rsidRPr="00441462" w:rsidRDefault="00441462" w:rsidP="00441462">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41462">
        <w:rPr>
          <w:rFonts w:ascii="Palatino Linotype" w:eastAsia="Palatino Linotype" w:hAnsi="Palatino Linotype" w:cs="Palatino Linotype"/>
          <w:sz w:val="22"/>
          <w:szCs w:val="22"/>
        </w:rPr>
        <w:t xml:space="preserve">El Ayuntamiento y la persona servidora pública que sea designada como titular </w:t>
      </w:r>
      <w:r w:rsidRPr="00441462">
        <w:rPr>
          <w:rFonts w:ascii="Palatino Linotype" w:eastAsia="Palatino Linotype" w:hAnsi="Palatino Linotype" w:cs="Palatino Linotype"/>
          <w:sz w:val="22"/>
          <w:szCs w:val="22"/>
        </w:rPr>
        <w:lastRenderedPageBreak/>
        <w:t>de la unidad encargada del catastro municipal.</w:t>
      </w:r>
    </w:p>
    <w:p w14:paraId="13809470" w14:textId="77777777" w:rsidR="00441462" w:rsidRDefault="00441462" w:rsidP="00052BAA">
      <w:pPr>
        <w:widowControl w:val="0"/>
        <w:spacing w:line="360" w:lineRule="auto"/>
        <w:contextualSpacing/>
        <w:jc w:val="both"/>
        <w:rPr>
          <w:rFonts w:ascii="Palatino Linotype" w:eastAsia="Palatino Linotype" w:hAnsi="Palatino Linotype" w:cs="Palatino Linotype"/>
          <w:sz w:val="22"/>
          <w:szCs w:val="22"/>
        </w:rPr>
      </w:pPr>
    </w:p>
    <w:p w14:paraId="12D0BF76" w14:textId="77777777" w:rsidR="00D615FE" w:rsidRDefault="00441462" w:rsidP="00052BA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el artículo 171 fracción XVIII del código señalado, refiere que los Ayuntamientos y las autoridades catastrales municipales, además de las atribuciones establecidas en el propio código, y los demás ordenamientos les confieran en materia catastral, tendrán diversas facultades entre otras</w:t>
      </w:r>
      <w:r w:rsidR="00D615FE">
        <w:rPr>
          <w:rFonts w:ascii="Palatino Linotype" w:eastAsia="Palatino Linotype" w:hAnsi="Palatino Linotype" w:cs="Palatino Linotype"/>
          <w:sz w:val="22"/>
          <w:szCs w:val="22"/>
        </w:rPr>
        <w:t xml:space="preserve"> las siguientes</w:t>
      </w:r>
      <w:r>
        <w:rPr>
          <w:rFonts w:ascii="Palatino Linotype" w:eastAsia="Palatino Linotype" w:hAnsi="Palatino Linotype" w:cs="Palatino Linotype"/>
          <w:sz w:val="22"/>
          <w:szCs w:val="22"/>
        </w:rPr>
        <w:t>;</w:t>
      </w:r>
    </w:p>
    <w:p w14:paraId="5AC3DC36" w14:textId="77777777" w:rsidR="00D615FE" w:rsidRDefault="00D615FE" w:rsidP="00052BAA">
      <w:pPr>
        <w:widowControl w:val="0"/>
        <w:spacing w:line="360" w:lineRule="auto"/>
        <w:contextualSpacing/>
        <w:jc w:val="both"/>
        <w:rPr>
          <w:rFonts w:ascii="Palatino Linotype" w:eastAsia="Palatino Linotype" w:hAnsi="Palatino Linotype" w:cs="Palatino Linotype"/>
          <w:sz w:val="22"/>
          <w:szCs w:val="22"/>
        </w:rPr>
      </w:pPr>
    </w:p>
    <w:p w14:paraId="4BFBD259"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Llevar a cabo la inscripción y control de los inmuebles localizados dentro del territorio municipal en el Padrón Catastral Municipal</w:t>
      </w:r>
      <w:r>
        <w:rPr>
          <w:rFonts w:ascii="Palatino Linotype" w:eastAsia="Palatino Linotype" w:hAnsi="Palatino Linotype" w:cs="Palatino Linotype"/>
          <w:sz w:val="22"/>
          <w:szCs w:val="22"/>
        </w:rPr>
        <w:t>.</w:t>
      </w:r>
    </w:p>
    <w:p w14:paraId="47AD1E96"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 xml:space="preserve">Identificar en forma precisa los inmuebles ubicados dentro del territorio municipal, mediante la localización geográfica y asignación de la clave catastral que le corresponda. </w:t>
      </w:r>
    </w:p>
    <w:p w14:paraId="2E0F1800"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Recibir las manifestaciones catastrales de los propietarios o poseedores de inmuebles, para efectos de su inscripción o actualización en el padrón catastral municipal.</w:t>
      </w:r>
    </w:p>
    <w:p w14:paraId="278AE934"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 xml:space="preserve">Integrar, conservar y mantener actualizados los registros gráfico y alfanumérico de los inmuebles ubicados en el territorio del municipio. </w:t>
      </w:r>
    </w:p>
    <w:p w14:paraId="13014438"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Practicar levantamientos topográficos catastrales y verificación de linderos, en los términos de los ordenamientos correspondientes.</w:t>
      </w:r>
    </w:p>
    <w:p w14:paraId="2242639C"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 xml:space="preserve">Solicitar los documentos con los que se acredite la propiedad o posesión de los inmuebles y demás documentación requerida para integrar los expedientes que soportan la inscripción o actualización en el padrón catastral municipal. </w:t>
      </w:r>
    </w:p>
    <w:p w14:paraId="1F9300B3"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Expedir las constancias o certificaciones catastrales en el ámbito de su competencia.</w:t>
      </w:r>
    </w:p>
    <w:p w14:paraId="7B228237" w14:textId="77777777" w:rsidR="00D615FE" w:rsidRDefault="00D615FE" w:rsidP="00D615FE">
      <w:pPr>
        <w:pStyle w:val="Prrafodelista"/>
        <w:widowControl w:val="0"/>
        <w:numPr>
          <w:ilvl w:val="0"/>
          <w:numId w:val="13"/>
        </w:numPr>
        <w:spacing w:line="360" w:lineRule="auto"/>
        <w:jc w:val="both"/>
        <w:rPr>
          <w:rFonts w:ascii="Palatino Linotype" w:eastAsia="Palatino Linotype" w:hAnsi="Palatino Linotype" w:cs="Palatino Linotype"/>
          <w:sz w:val="22"/>
          <w:szCs w:val="22"/>
        </w:rPr>
      </w:pPr>
      <w:r w:rsidRPr="00D615FE">
        <w:rPr>
          <w:rFonts w:ascii="Palatino Linotype" w:eastAsia="Palatino Linotype" w:hAnsi="Palatino Linotype" w:cs="Palatino Linotype"/>
          <w:sz w:val="22"/>
          <w:szCs w:val="22"/>
        </w:rPr>
        <w:t>Mantener el resguardo y control de los archivos físicos, digitales, cartográficos y alfanuméricos del Catastro Municipal, en términos de lo dispuesto por la normatividad aplicable.</w:t>
      </w:r>
    </w:p>
    <w:p w14:paraId="1531852C" w14:textId="77777777" w:rsidR="00D615FE" w:rsidRDefault="00D615FE" w:rsidP="00D615FE">
      <w:pPr>
        <w:widowControl w:val="0"/>
        <w:spacing w:line="360" w:lineRule="auto"/>
        <w:ind w:left="360"/>
        <w:jc w:val="both"/>
        <w:rPr>
          <w:rFonts w:ascii="Palatino Linotype" w:eastAsia="Palatino Linotype" w:hAnsi="Palatino Linotype" w:cs="Palatino Linotype"/>
          <w:sz w:val="22"/>
          <w:szCs w:val="22"/>
        </w:rPr>
      </w:pPr>
    </w:p>
    <w:p w14:paraId="7906BAB3" w14:textId="49AFD427" w:rsidR="00047639" w:rsidRDefault="00D615FE" w:rsidP="00047639">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w:t>
      </w:r>
      <w:r w:rsidR="00047639">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el Manual Catastral del Estado de México</w:t>
      </w:r>
      <w:r w:rsidR="00047639">
        <w:rPr>
          <w:rFonts w:ascii="Palatino Linotype" w:eastAsia="Palatino Linotype" w:hAnsi="Palatino Linotype" w:cs="Palatino Linotype"/>
          <w:sz w:val="22"/>
          <w:szCs w:val="22"/>
        </w:rPr>
        <w:t xml:space="preserve"> visible en el siguiente enlace; </w:t>
      </w:r>
      <w:hyperlink r:id="rId8" w:history="1">
        <w:r w:rsidR="00047639" w:rsidRPr="00413FB2">
          <w:rPr>
            <w:rStyle w:val="Hipervnculo"/>
            <w:rFonts w:ascii="Palatino Linotype" w:eastAsia="Palatino Linotype" w:hAnsi="Palatino Linotype" w:cs="Palatino Linotype"/>
            <w:sz w:val="22"/>
            <w:szCs w:val="22"/>
          </w:rPr>
          <w:t>https://legislacion.edomex.gob.mx/sites/legislacion.edomex.gob.mx/files/files/pdf/gct/2024/mayo/may292/may292b.pdf</w:t>
        </w:r>
      </w:hyperlink>
      <w:r w:rsidR="00047639">
        <w:rPr>
          <w:rFonts w:ascii="Palatino Linotype" w:eastAsia="Palatino Linotype" w:hAnsi="Palatino Linotype" w:cs="Palatino Linotype"/>
          <w:sz w:val="22"/>
          <w:szCs w:val="22"/>
        </w:rPr>
        <w:t xml:space="preserve">, constituye un instrumento de consulta que contempla aspectos relacionados con el desarrollo de la actividad catastral en los municipios, el cual en su numeral </w:t>
      </w:r>
      <w:r w:rsidR="00047639" w:rsidRPr="00047639">
        <w:rPr>
          <w:rFonts w:ascii="Palatino Linotype" w:eastAsia="Palatino Linotype" w:hAnsi="Palatino Linotype" w:cs="Palatino Linotype"/>
          <w:sz w:val="22"/>
          <w:szCs w:val="22"/>
        </w:rPr>
        <w:t>ACGC014</w:t>
      </w:r>
      <w:r w:rsidR="00047639">
        <w:rPr>
          <w:rFonts w:ascii="Palatino Linotype" w:eastAsia="Palatino Linotype" w:hAnsi="Palatino Linotype" w:cs="Palatino Linotype"/>
          <w:sz w:val="22"/>
          <w:szCs w:val="22"/>
        </w:rPr>
        <w:t>, establece que los servicios catastrales que presta el Ayuntamiento son:</w:t>
      </w:r>
    </w:p>
    <w:p w14:paraId="0FA9C752" w14:textId="77777777" w:rsidR="00047639" w:rsidRDefault="00047639" w:rsidP="00047639">
      <w:pPr>
        <w:widowControl w:val="0"/>
        <w:spacing w:line="360" w:lineRule="auto"/>
        <w:jc w:val="both"/>
        <w:rPr>
          <w:rFonts w:ascii="Palatino Linotype" w:eastAsia="Palatino Linotype" w:hAnsi="Palatino Linotype" w:cs="Palatino Linotype"/>
          <w:sz w:val="22"/>
          <w:szCs w:val="22"/>
        </w:rPr>
      </w:pPr>
    </w:p>
    <w:p w14:paraId="08947336" w14:textId="77777777" w:rsidR="00047639" w:rsidRPr="00047639" w:rsidRDefault="00047639" w:rsidP="00047639">
      <w:pPr>
        <w:widowControl w:val="0"/>
        <w:spacing w:line="360" w:lineRule="auto"/>
        <w:jc w:val="both"/>
        <w:rPr>
          <w:rFonts w:ascii="Palatino Linotype" w:eastAsia="Palatino Linotype" w:hAnsi="Palatino Linotype" w:cs="Palatino Linotype"/>
          <w:b/>
          <w:bCs/>
          <w:sz w:val="22"/>
          <w:szCs w:val="22"/>
        </w:rPr>
      </w:pPr>
      <w:r w:rsidRPr="00047639">
        <w:rPr>
          <w:rFonts w:ascii="Palatino Linotype" w:eastAsia="Palatino Linotype" w:hAnsi="Palatino Linotype" w:cs="Palatino Linotype"/>
          <w:b/>
          <w:bCs/>
          <w:sz w:val="22"/>
          <w:szCs w:val="22"/>
        </w:rPr>
        <w:t xml:space="preserve">I. Trámites: </w:t>
      </w:r>
    </w:p>
    <w:p w14:paraId="2971FD30" w14:textId="0C65AA73" w:rsidR="00047639" w:rsidRPr="00047639" w:rsidRDefault="00047639" w:rsidP="00047639">
      <w:pPr>
        <w:pStyle w:val="Prrafodelista"/>
        <w:widowControl w:val="0"/>
        <w:numPr>
          <w:ilvl w:val="1"/>
          <w:numId w:val="17"/>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Inscripción de inmuebles en el padrón catastral municipal. </w:t>
      </w:r>
    </w:p>
    <w:p w14:paraId="5C398848" w14:textId="2AB578D9" w:rsidR="00047639" w:rsidRPr="00047639" w:rsidRDefault="00047639" w:rsidP="00047639">
      <w:pPr>
        <w:pStyle w:val="Prrafodelista"/>
        <w:widowControl w:val="0"/>
        <w:numPr>
          <w:ilvl w:val="1"/>
          <w:numId w:val="17"/>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Registro de altas, bajas y modificaciones de construcciones. </w:t>
      </w:r>
    </w:p>
    <w:p w14:paraId="4ED70F96" w14:textId="7D3EA922" w:rsidR="00047639" w:rsidRPr="00047639" w:rsidRDefault="00047639" w:rsidP="00047639">
      <w:pPr>
        <w:pStyle w:val="Prrafodelista"/>
        <w:widowControl w:val="0"/>
        <w:numPr>
          <w:ilvl w:val="1"/>
          <w:numId w:val="17"/>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Actualización del padrón catastral derivada de subdivisión, fusión, lotificación, relotificación, conjuntos urbanos, afectaciones y modificación de linderos, previa autorización emitida por la autoridad competente. </w:t>
      </w:r>
    </w:p>
    <w:p w14:paraId="128BA29B" w14:textId="01E68CED" w:rsidR="00047639" w:rsidRPr="00047639" w:rsidRDefault="00047639" w:rsidP="00047639">
      <w:pPr>
        <w:pStyle w:val="Prrafodelista"/>
        <w:widowControl w:val="0"/>
        <w:numPr>
          <w:ilvl w:val="1"/>
          <w:numId w:val="17"/>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Actualización al padrón catastral municipal derivada de cambios técnicos y administrativos y </w:t>
      </w:r>
    </w:p>
    <w:p w14:paraId="538D9A11" w14:textId="35604743" w:rsidR="00047639" w:rsidRPr="00047639" w:rsidRDefault="00047639" w:rsidP="00047639">
      <w:pPr>
        <w:pStyle w:val="Prrafodelista"/>
        <w:widowControl w:val="0"/>
        <w:numPr>
          <w:ilvl w:val="1"/>
          <w:numId w:val="17"/>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Asignación, baja y reasignación de clave catastral. </w:t>
      </w:r>
    </w:p>
    <w:p w14:paraId="7B4207F0" w14:textId="77777777" w:rsidR="00047639" w:rsidRDefault="00047639" w:rsidP="00047639">
      <w:pPr>
        <w:widowControl w:val="0"/>
        <w:spacing w:line="360" w:lineRule="auto"/>
        <w:jc w:val="both"/>
        <w:rPr>
          <w:rFonts w:ascii="Palatino Linotype" w:eastAsia="Palatino Linotype" w:hAnsi="Palatino Linotype" w:cs="Palatino Linotype"/>
          <w:sz w:val="22"/>
          <w:szCs w:val="22"/>
        </w:rPr>
      </w:pPr>
    </w:p>
    <w:p w14:paraId="43FF9F3F" w14:textId="77777777" w:rsidR="00047639" w:rsidRPr="00047639" w:rsidRDefault="00047639" w:rsidP="00047639">
      <w:pPr>
        <w:widowControl w:val="0"/>
        <w:spacing w:line="360" w:lineRule="auto"/>
        <w:jc w:val="both"/>
        <w:rPr>
          <w:rFonts w:ascii="Palatino Linotype" w:eastAsia="Palatino Linotype" w:hAnsi="Palatino Linotype" w:cs="Palatino Linotype"/>
          <w:b/>
          <w:bCs/>
          <w:sz w:val="22"/>
          <w:szCs w:val="22"/>
        </w:rPr>
      </w:pPr>
      <w:r w:rsidRPr="00047639">
        <w:rPr>
          <w:rFonts w:ascii="Palatino Linotype" w:eastAsia="Palatino Linotype" w:hAnsi="Palatino Linotype" w:cs="Palatino Linotype"/>
          <w:b/>
          <w:bCs/>
          <w:sz w:val="22"/>
          <w:szCs w:val="22"/>
        </w:rPr>
        <w:t xml:space="preserve">II. Servicios: </w:t>
      </w:r>
    </w:p>
    <w:p w14:paraId="7CFB79C2" w14:textId="7E15314C" w:rsidR="00047639" w:rsidRPr="00047639" w:rsidRDefault="00047639" w:rsidP="00047639">
      <w:pPr>
        <w:pStyle w:val="Prrafodelista"/>
        <w:widowControl w:val="0"/>
        <w:numPr>
          <w:ilvl w:val="1"/>
          <w:numId w:val="20"/>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Certificaciones de clave catastral, clave y valor catastral y plano manzanero. </w:t>
      </w:r>
    </w:p>
    <w:p w14:paraId="483037FA" w14:textId="68A72350" w:rsidR="00047639" w:rsidRPr="00047639" w:rsidRDefault="00047639" w:rsidP="00047639">
      <w:pPr>
        <w:pStyle w:val="Prrafodelista"/>
        <w:widowControl w:val="0"/>
        <w:numPr>
          <w:ilvl w:val="1"/>
          <w:numId w:val="20"/>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Constancia de identificación catastral. </w:t>
      </w:r>
    </w:p>
    <w:p w14:paraId="42C94F51" w14:textId="3B674C08" w:rsidR="00047639" w:rsidRPr="00047639" w:rsidRDefault="00047639" w:rsidP="00047639">
      <w:pPr>
        <w:pStyle w:val="Prrafodelista"/>
        <w:widowControl w:val="0"/>
        <w:numPr>
          <w:ilvl w:val="1"/>
          <w:numId w:val="20"/>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 xml:space="preserve">Levantamiento topográfico catastral, en los casos previstos por las disposiciones jurídicas aplicables. </w:t>
      </w:r>
    </w:p>
    <w:p w14:paraId="33559783" w14:textId="3CCC4B55" w:rsidR="00052BAA" w:rsidRPr="00901F98" w:rsidRDefault="00047639" w:rsidP="00052BAA">
      <w:pPr>
        <w:pStyle w:val="Prrafodelista"/>
        <w:widowControl w:val="0"/>
        <w:numPr>
          <w:ilvl w:val="1"/>
          <w:numId w:val="20"/>
        </w:numPr>
        <w:spacing w:line="360" w:lineRule="auto"/>
        <w:jc w:val="both"/>
        <w:rPr>
          <w:rFonts w:ascii="Palatino Linotype" w:eastAsia="Palatino Linotype" w:hAnsi="Palatino Linotype" w:cs="Palatino Linotype"/>
          <w:sz w:val="22"/>
          <w:szCs w:val="22"/>
        </w:rPr>
      </w:pPr>
      <w:r w:rsidRPr="00047639">
        <w:rPr>
          <w:rFonts w:ascii="Palatino Linotype" w:eastAsia="Palatino Linotype" w:hAnsi="Palatino Linotype" w:cs="Palatino Linotype"/>
          <w:sz w:val="22"/>
          <w:szCs w:val="22"/>
        </w:rPr>
        <w:t>Verificación de linderos.</w:t>
      </w:r>
    </w:p>
    <w:p w14:paraId="4102AD9B" w14:textId="77777777" w:rsidR="00901F98" w:rsidRDefault="00901F98" w:rsidP="00052BAA">
      <w:pPr>
        <w:spacing w:line="360" w:lineRule="auto"/>
        <w:contextualSpacing/>
        <w:jc w:val="both"/>
        <w:rPr>
          <w:rFonts w:ascii="Palatino Linotype" w:eastAsia="Palatino Linotype" w:hAnsi="Palatino Linotype" w:cs="Palatino Linotype"/>
          <w:bCs/>
          <w:iCs/>
          <w:sz w:val="22"/>
          <w:szCs w:val="22"/>
        </w:rPr>
      </w:pPr>
    </w:p>
    <w:p w14:paraId="436D8277" w14:textId="77777777" w:rsidR="00126D4A" w:rsidRPr="00126D4A" w:rsidRDefault="00126D4A" w:rsidP="00126D4A">
      <w:pPr>
        <w:spacing w:line="360" w:lineRule="auto"/>
        <w:contextualSpacing/>
        <w:jc w:val="both"/>
        <w:rPr>
          <w:rFonts w:ascii="Palatino Linotype" w:eastAsia="Palatino Linotype" w:hAnsi="Palatino Linotype" w:cs="Palatino Linotype"/>
          <w:bCs/>
          <w:iCs/>
          <w:sz w:val="22"/>
          <w:szCs w:val="22"/>
        </w:rPr>
      </w:pPr>
      <w:r w:rsidRPr="00126D4A">
        <w:rPr>
          <w:rFonts w:ascii="Palatino Linotype" w:eastAsia="Palatino Linotype" w:hAnsi="Palatino Linotype" w:cs="Palatino Linotype"/>
          <w:bCs/>
          <w:iCs/>
          <w:sz w:val="22"/>
          <w:szCs w:val="22"/>
        </w:rPr>
        <w:lastRenderedPageBreak/>
        <w:t>Asimismo,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35396601" w14:textId="77777777" w:rsidR="00126D4A" w:rsidRDefault="00126D4A" w:rsidP="00052BAA">
      <w:pPr>
        <w:spacing w:line="360" w:lineRule="auto"/>
        <w:contextualSpacing/>
        <w:jc w:val="both"/>
        <w:rPr>
          <w:rFonts w:ascii="Palatino Linotype" w:eastAsia="Palatino Linotype" w:hAnsi="Palatino Linotype" w:cs="Palatino Linotype"/>
          <w:bCs/>
          <w:iCs/>
          <w:sz w:val="22"/>
          <w:szCs w:val="22"/>
        </w:rPr>
      </w:pPr>
    </w:p>
    <w:p w14:paraId="75A25B25" w14:textId="5C513DDF" w:rsidR="00052BAA" w:rsidRDefault="00052BAA" w:rsidP="00052BAA">
      <w:pPr>
        <w:spacing w:line="360" w:lineRule="auto"/>
        <w:contextualSpacing/>
        <w:jc w:val="both"/>
        <w:rPr>
          <w:rFonts w:ascii="Palatino Linotype" w:hAnsi="Palatino Linotype"/>
          <w:sz w:val="22"/>
          <w:szCs w:val="22"/>
        </w:rPr>
      </w:pPr>
      <w:r w:rsidRPr="00216833">
        <w:rPr>
          <w:rFonts w:ascii="Palatino Linotype" w:eastAsia="Palatino Linotype" w:hAnsi="Palatino Linotype" w:cs="Palatino Linotype"/>
          <w:bCs/>
          <w:iCs/>
          <w:sz w:val="22"/>
          <w:szCs w:val="22"/>
        </w:rPr>
        <w:t xml:space="preserve">Conforme a lo anterior, se logra vislumbrar que la pretensión del ahora Recurrente, es obtener </w:t>
      </w:r>
      <w:r w:rsidRPr="00587816">
        <w:rPr>
          <w:rFonts w:ascii="Palatino Linotype" w:hAnsi="Palatino Linotype"/>
          <w:sz w:val="22"/>
          <w:szCs w:val="22"/>
        </w:rPr>
        <w:t xml:space="preserve">al </w:t>
      </w:r>
      <w:r w:rsidR="00126D4A">
        <w:rPr>
          <w:rFonts w:ascii="Palatino Linotype" w:hAnsi="Palatino Linotype"/>
          <w:sz w:val="22"/>
          <w:szCs w:val="22"/>
        </w:rPr>
        <w:t xml:space="preserve">trece de marzo </w:t>
      </w:r>
      <w:r w:rsidRPr="00587816">
        <w:rPr>
          <w:rFonts w:ascii="Palatino Linotype" w:hAnsi="Palatino Linotype"/>
          <w:sz w:val="22"/>
          <w:szCs w:val="22"/>
        </w:rPr>
        <w:t>de dos mil veinticinco</w:t>
      </w:r>
      <w:r>
        <w:rPr>
          <w:rFonts w:ascii="Palatino Linotype" w:hAnsi="Palatino Linotype"/>
          <w:sz w:val="22"/>
          <w:szCs w:val="22"/>
        </w:rPr>
        <w:t>, los documentos que dieran cuenta de lo siguiente:</w:t>
      </w:r>
    </w:p>
    <w:p w14:paraId="4AE46358" w14:textId="77777777" w:rsidR="00126D4A" w:rsidRPr="00587816" w:rsidRDefault="00126D4A" w:rsidP="00052BAA">
      <w:pPr>
        <w:spacing w:line="360" w:lineRule="auto"/>
        <w:contextualSpacing/>
        <w:jc w:val="both"/>
        <w:rPr>
          <w:rFonts w:ascii="Palatino Linotype" w:hAnsi="Palatino Linotype"/>
          <w:sz w:val="22"/>
          <w:szCs w:val="22"/>
        </w:rPr>
      </w:pPr>
    </w:p>
    <w:p w14:paraId="386A6F9E" w14:textId="2B8738C2" w:rsidR="00126D4A" w:rsidRDefault="00126D4A" w:rsidP="00126D4A">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t>Cantidad de traslados de dominio generados por año, del primero de enero de dos mil veinte, al trece de marzo de dos mil veinticinco;</w:t>
      </w:r>
    </w:p>
    <w:p w14:paraId="6648CA7F" w14:textId="09BEB229" w:rsidR="00126D4A" w:rsidRDefault="00126D4A" w:rsidP="00126D4A">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t>Cantidad de verificación de linderos del primero de enero de dos mil dieciocho, al trece de marzo de dos mil veinticinco; y</w:t>
      </w:r>
    </w:p>
    <w:p w14:paraId="7EB94B10" w14:textId="58F8605A" w:rsidR="00052BAA" w:rsidRDefault="00126D4A" w:rsidP="00126D4A">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t>Planos manzaneros expedidos, del primero de enero de dos mil veinte, al diez de marzo de dos mil veinticinco.</w:t>
      </w:r>
    </w:p>
    <w:p w14:paraId="36D871C0" w14:textId="77777777" w:rsidR="00126D4A" w:rsidRPr="00126D4A" w:rsidRDefault="00126D4A" w:rsidP="00126D4A">
      <w:pPr>
        <w:pStyle w:val="Prrafodelista"/>
        <w:spacing w:line="360" w:lineRule="auto"/>
        <w:jc w:val="both"/>
        <w:rPr>
          <w:rFonts w:ascii="Palatino Linotype" w:hAnsi="Palatino Linotype"/>
          <w:color w:val="000000"/>
          <w:sz w:val="22"/>
          <w:szCs w:val="22"/>
        </w:rPr>
      </w:pPr>
    </w:p>
    <w:p w14:paraId="58FB6C11" w14:textId="54557E2B" w:rsidR="00126D4A" w:rsidRPr="00126D4A" w:rsidRDefault="00126D4A" w:rsidP="00126D4A">
      <w:pPr>
        <w:spacing w:after="160" w:line="360" w:lineRule="auto"/>
        <w:jc w:val="both"/>
        <w:rPr>
          <w:rFonts w:ascii="Palatino Linotype" w:hAnsi="Palatino Linotype"/>
          <w:bCs/>
          <w:iCs/>
          <w:sz w:val="22"/>
          <w:szCs w:val="22"/>
        </w:rPr>
      </w:pPr>
      <w:r>
        <w:rPr>
          <w:rFonts w:ascii="Palatino Linotype" w:hAnsi="Palatino Linotype"/>
          <w:sz w:val="22"/>
          <w:szCs w:val="22"/>
        </w:rPr>
        <w:t>Respecto al punto 1 y 2 si bien el particular requirió información al quince de marzo de dos mil veinticinco, lo cierto es que a la fecha de la solicitud no se había generado información, por lo que se</w:t>
      </w:r>
      <w:r w:rsidRPr="00126D4A">
        <w:rPr>
          <w:rFonts w:ascii="Palatino Linotype" w:hAnsi="Palatino Linotype"/>
          <w:bCs/>
          <w:iCs/>
          <w:sz w:val="22"/>
          <w:szCs w:val="22"/>
        </w:rPr>
        <w:t xml:space="preserve"> trata de hechos futuros, lo cual implica que a la fecha de la solicitud no se habían generado, por lo que la temporalidad que deberá proporcionar es </w:t>
      </w:r>
      <w:r>
        <w:rPr>
          <w:rFonts w:ascii="Palatino Linotype" w:hAnsi="Palatino Linotype"/>
          <w:bCs/>
          <w:iCs/>
          <w:sz w:val="22"/>
          <w:szCs w:val="22"/>
        </w:rPr>
        <w:t xml:space="preserve">al trece de marzo </w:t>
      </w:r>
      <w:r w:rsidRPr="00126D4A">
        <w:rPr>
          <w:rFonts w:ascii="Palatino Linotype" w:hAnsi="Palatino Linotype"/>
          <w:bCs/>
          <w:iCs/>
          <w:sz w:val="22"/>
          <w:szCs w:val="22"/>
        </w:rPr>
        <w:t>de dos mil veintic</w:t>
      </w:r>
      <w:r>
        <w:rPr>
          <w:rFonts w:ascii="Palatino Linotype" w:hAnsi="Palatino Linotype"/>
          <w:bCs/>
          <w:iCs/>
          <w:sz w:val="22"/>
          <w:szCs w:val="22"/>
        </w:rPr>
        <w:t>inco.</w:t>
      </w:r>
    </w:p>
    <w:p w14:paraId="28488C6F" w14:textId="77777777" w:rsidR="00126D4A" w:rsidRDefault="00126D4A" w:rsidP="00052BAA">
      <w:pPr>
        <w:spacing w:line="360" w:lineRule="auto"/>
        <w:ind w:right="-28"/>
        <w:contextualSpacing/>
        <w:jc w:val="both"/>
        <w:rPr>
          <w:rFonts w:ascii="Palatino Linotype" w:eastAsia="Palatino Linotype" w:hAnsi="Palatino Linotype" w:cs="Palatino Linotype"/>
          <w:sz w:val="22"/>
          <w:szCs w:val="22"/>
        </w:rPr>
      </w:pPr>
    </w:p>
    <w:p w14:paraId="2581AC5D" w14:textId="50C2F976" w:rsidR="00052BAA" w:rsidRPr="00AC17E4" w:rsidRDefault="00052BAA" w:rsidP="00052BAA">
      <w:pPr>
        <w:spacing w:line="360" w:lineRule="auto"/>
        <w:ind w:right="-28"/>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lastRenderedPageBreak/>
        <w:t>Establecida dicha circunstancia, se procede analizar la respuesta entregada, para lo cual, es de señalar que de las constancias que obran en el expediente, se logra advertir que el Sujeto Obligado turno la solicitud de información a</w:t>
      </w:r>
      <w:r>
        <w:rPr>
          <w:rFonts w:ascii="Palatino Linotype" w:eastAsia="Palatino Linotype" w:hAnsi="Palatino Linotype" w:cs="Palatino Linotype"/>
          <w:sz w:val="22"/>
          <w:szCs w:val="22"/>
        </w:rPr>
        <w:t xml:space="preserve"> </w:t>
      </w:r>
      <w:r w:rsidRPr="0028418F">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28418F">
        <w:rPr>
          <w:rFonts w:ascii="Palatino Linotype" w:eastAsia="Palatino Linotype" w:hAnsi="Palatino Linotype" w:cs="Palatino Linotype"/>
          <w:sz w:val="22"/>
          <w:szCs w:val="22"/>
        </w:rPr>
        <w:t xml:space="preserve"> </w:t>
      </w:r>
      <w:r w:rsidR="00607CCF">
        <w:rPr>
          <w:rFonts w:ascii="Palatino Linotype" w:eastAsia="Palatino Linotype" w:hAnsi="Palatino Linotype" w:cs="Palatino Linotype"/>
          <w:sz w:val="22"/>
          <w:szCs w:val="22"/>
        </w:rPr>
        <w:t>Tesorería Municipal</w:t>
      </w:r>
      <w:r>
        <w:rPr>
          <w:rFonts w:ascii="Palatino Linotype" w:eastAsia="Palatino Linotype" w:hAnsi="Palatino Linotype" w:cs="Palatino Linotype"/>
          <w:sz w:val="22"/>
          <w:szCs w:val="22"/>
        </w:rPr>
        <w:t>, por lo que</w:t>
      </w:r>
      <w:r w:rsidRPr="00AC17E4">
        <w:rPr>
          <w:rFonts w:ascii="Palatino Linotype" w:eastAsia="Palatino Linotype" w:hAnsi="Palatino Linotype" w:cs="Palatino Linotype"/>
          <w:sz w:val="22"/>
          <w:szCs w:val="22"/>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ABE2673" w14:textId="77777777" w:rsidR="00052BAA" w:rsidRPr="00AC17E4" w:rsidRDefault="00052BAA" w:rsidP="00052BAA">
      <w:pPr>
        <w:spacing w:line="360" w:lineRule="auto"/>
        <w:ind w:right="-28"/>
        <w:contextualSpacing/>
        <w:jc w:val="both"/>
        <w:rPr>
          <w:rFonts w:ascii="Palatino Linotype" w:eastAsia="Palatino Linotype" w:hAnsi="Palatino Linotype" w:cs="Palatino Linotype"/>
          <w:sz w:val="22"/>
          <w:szCs w:val="22"/>
        </w:rPr>
      </w:pPr>
    </w:p>
    <w:p w14:paraId="775DF1E5" w14:textId="75D3D274" w:rsidR="00607CCF" w:rsidRDefault="00607CCF" w:rsidP="00607CCF">
      <w:pPr>
        <w:spacing w:line="360" w:lineRule="auto"/>
        <w:jc w:val="both"/>
        <w:rPr>
          <w:rFonts w:ascii="Palatino Linotype" w:eastAsia="Palatino Linotype" w:hAnsi="Palatino Linotype" w:cs="Palatino Linotype"/>
          <w:bCs/>
          <w:sz w:val="22"/>
          <w:szCs w:val="22"/>
        </w:rPr>
      </w:pPr>
      <w:r w:rsidRPr="00607CCF">
        <w:rPr>
          <w:rFonts w:ascii="Palatino Linotype" w:eastAsia="Palatino Linotype" w:hAnsi="Palatino Linotype" w:cs="Palatino Linotype"/>
          <w:bCs/>
          <w:sz w:val="22"/>
          <w:szCs w:val="22"/>
        </w:rPr>
        <w:t xml:space="preserve">Así, es necesario traer al estudio </w:t>
      </w:r>
      <w:r w:rsidRPr="00607CCF">
        <w:rPr>
          <w:rFonts w:ascii="Palatino Linotype" w:eastAsia="Palatino Linotype" w:hAnsi="Palatino Linotype" w:cs="Palatino Linotype"/>
          <w:sz w:val="22"/>
          <w:szCs w:val="22"/>
        </w:rPr>
        <w:t xml:space="preserve">los artículos </w:t>
      </w:r>
      <w:r>
        <w:rPr>
          <w:rFonts w:ascii="Palatino Linotype" w:eastAsia="Palatino Linotype" w:hAnsi="Palatino Linotype" w:cs="Palatino Linotype"/>
          <w:sz w:val="22"/>
          <w:szCs w:val="22"/>
        </w:rPr>
        <w:t xml:space="preserve">37 fracción II </w:t>
      </w:r>
      <w:r w:rsidRPr="00607CCF">
        <w:rPr>
          <w:rFonts w:ascii="Palatino Linotype" w:eastAsia="Palatino Linotype" w:hAnsi="Palatino Linotype" w:cs="Palatino Linotype"/>
          <w:sz w:val="22"/>
          <w:szCs w:val="22"/>
        </w:rPr>
        <w:t>del Bando Municipal de Teoloyucan</w:t>
      </w:r>
      <w:r w:rsidRPr="00607CCF">
        <w:rPr>
          <w:rFonts w:ascii="Palatino Linotype" w:eastAsia="Palatino Linotype" w:hAnsi="Palatino Linotype" w:cs="Palatino Linotype"/>
          <w:bCs/>
          <w:sz w:val="22"/>
          <w:szCs w:val="22"/>
        </w:rPr>
        <w:t xml:space="preserve">, dos mil veinticinco, con relación en los artículos </w:t>
      </w:r>
      <w:r>
        <w:rPr>
          <w:rFonts w:ascii="Palatino Linotype" w:eastAsia="Palatino Linotype" w:hAnsi="Palatino Linotype" w:cs="Palatino Linotype"/>
          <w:bCs/>
          <w:sz w:val="22"/>
          <w:szCs w:val="22"/>
        </w:rPr>
        <w:t xml:space="preserve">8 fracción II, 48, 49, 50 54, y 61 </w:t>
      </w:r>
      <w:r w:rsidRPr="00607CCF">
        <w:rPr>
          <w:rFonts w:ascii="Palatino Linotype" w:eastAsia="Palatino Linotype" w:hAnsi="Palatino Linotype" w:cs="Palatino Linotype"/>
          <w:bCs/>
          <w:sz w:val="22"/>
          <w:szCs w:val="22"/>
        </w:rPr>
        <w:t>del Reglamento Interno de la Administración Pública Municipal, en los que se establece que la Administración Pública Municipal, estará conformada por dependencias y unidades administrativas subordinadas al Presidente Municipal, para el despacho, estudio y planeación de los diversos asuntos de su competencia contará con diversas dependencias municipales, entre otras La Tesorería Municipal:</w:t>
      </w:r>
      <w:r w:rsidRPr="00607CCF">
        <w:rPr>
          <w:rFonts w:ascii="Palatino Linotype" w:eastAsia="Palatino Linotype" w:hAnsi="Palatino Linotype" w:cs="Palatino Linotype"/>
          <w:b/>
          <w:sz w:val="22"/>
          <w:szCs w:val="22"/>
        </w:rPr>
        <w:t xml:space="preserve"> </w:t>
      </w:r>
      <w:r w:rsidRPr="00607CCF">
        <w:rPr>
          <w:rFonts w:ascii="Palatino Linotype" w:eastAsia="Palatino Linotype" w:hAnsi="Palatino Linotype" w:cs="Palatino Linotype"/>
          <w:bCs/>
          <w:sz w:val="22"/>
          <w:szCs w:val="22"/>
        </w:rPr>
        <w:t>Encargada de la recaudación de los ingresos municipales y responsable de realizar las erogaciones del Ayuntamiento</w:t>
      </w:r>
      <w:r>
        <w:rPr>
          <w:rFonts w:ascii="Palatino Linotype" w:eastAsia="Palatino Linotype" w:hAnsi="Palatino Linotype" w:cs="Palatino Linotype"/>
          <w:bCs/>
          <w:sz w:val="22"/>
          <w:szCs w:val="22"/>
        </w:rPr>
        <w:t xml:space="preserve">, para el desempeño de sus funciones se auxiliará de nueve áreas administrativas entre otras la siguiente: </w:t>
      </w:r>
    </w:p>
    <w:p w14:paraId="0C540EEC" w14:textId="77777777" w:rsidR="00607CCF" w:rsidRDefault="00607CCF" w:rsidP="00607CCF">
      <w:pPr>
        <w:spacing w:line="360" w:lineRule="auto"/>
        <w:jc w:val="both"/>
        <w:rPr>
          <w:rFonts w:ascii="Palatino Linotype" w:eastAsia="Palatino Linotype" w:hAnsi="Palatino Linotype" w:cs="Palatino Linotype"/>
          <w:bCs/>
          <w:sz w:val="22"/>
          <w:szCs w:val="22"/>
        </w:rPr>
      </w:pPr>
    </w:p>
    <w:p w14:paraId="6F2E4221" w14:textId="5EE8649D" w:rsidR="007B0786" w:rsidRPr="007B0786" w:rsidRDefault="00607CCF" w:rsidP="007B0786">
      <w:pPr>
        <w:pStyle w:val="Prrafodelista"/>
        <w:numPr>
          <w:ilvl w:val="0"/>
          <w:numId w:val="24"/>
        </w:numPr>
        <w:spacing w:line="360" w:lineRule="auto"/>
        <w:jc w:val="both"/>
        <w:rPr>
          <w:rFonts w:ascii="Palatino Linotype" w:eastAsia="Palatino Linotype" w:hAnsi="Palatino Linotype" w:cs="Palatino Linotype"/>
          <w:b/>
          <w:sz w:val="22"/>
          <w:szCs w:val="22"/>
        </w:rPr>
      </w:pPr>
      <w:r w:rsidRPr="00607CCF">
        <w:rPr>
          <w:rFonts w:ascii="Palatino Linotype" w:eastAsia="Palatino Linotype" w:hAnsi="Palatino Linotype" w:cs="Palatino Linotype"/>
          <w:b/>
          <w:sz w:val="22"/>
          <w:szCs w:val="22"/>
        </w:rPr>
        <w:t>Subdirección de Catastro:</w:t>
      </w:r>
      <w:r w:rsidR="007B0786">
        <w:rPr>
          <w:rFonts w:ascii="Palatino Linotype" w:eastAsia="Palatino Linotype" w:hAnsi="Palatino Linotype" w:cs="Palatino Linotype"/>
          <w:b/>
          <w:sz w:val="22"/>
          <w:szCs w:val="22"/>
        </w:rPr>
        <w:t xml:space="preserve"> </w:t>
      </w:r>
      <w:r w:rsidR="007B0786">
        <w:rPr>
          <w:rFonts w:ascii="Palatino Linotype" w:eastAsia="Palatino Linotype" w:hAnsi="Palatino Linotype" w:cs="Palatino Linotype"/>
          <w:bCs/>
          <w:sz w:val="22"/>
          <w:szCs w:val="22"/>
        </w:rPr>
        <w:t>A quien en el ejercicio de sus atribuciones le corresponderá el ejercicio de las siguientes funciones:</w:t>
      </w:r>
    </w:p>
    <w:p w14:paraId="76743385"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lastRenderedPageBreak/>
        <w:t xml:space="preserve">Planear, coordinar, administrar y evaluar los programas que se elaboren en materia catastral. </w:t>
      </w:r>
    </w:p>
    <w:p w14:paraId="795B41F3"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Llevar a cabo la inscripción y control de los inmuebles localizados dentro del territorio municipal. </w:t>
      </w:r>
    </w:p>
    <w:p w14:paraId="743950E7"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Identificar en forma precisa los inmuebles ubicados dentro del territorio municipal, mediante la localización geográfica y asignación de la clave catastral que le corresponda. </w:t>
      </w:r>
    </w:p>
    <w:p w14:paraId="0BCBC503"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Recibir las manifestaciones catastrales de los propietarios o poseedores de inmuebles, para efectos de su inscripción o actualización en el padrón catastral municipal. </w:t>
      </w:r>
    </w:p>
    <w:p w14:paraId="2BA6B862"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Proporcionar al IGECEM dentro de los plazos señalados por el mismo y demás disposiciones aplicables en la materia, las propuestas, reportes, informes y documentos, para integrar, conservar y mantener actualizada la información catastral del Estado. </w:t>
      </w:r>
    </w:p>
    <w:p w14:paraId="0F8A8AD2"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Integrar, conservar y mantener actualizados los registros gráfico y alfanumérico de los inmuebles ubicados en el territorio del municipio. </w:t>
      </w:r>
    </w:p>
    <w:p w14:paraId="7CC69EE3"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Practicar levantamientos topográficos catastrales y verificación de linderos, en los términos de los ordenamientos correspondientes. </w:t>
      </w:r>
    </w:p>
    <w:p w14:paraId="70BF448B"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Proporcionar la información que soliciten por escrito otras dependencias oficiales. </w:t>
      </w:r>
    </w:p>
    <w:p w14:paraId="06FCEF64"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 </w:t>
      </w:r>
    </w:p>
    <w:p w14:paraId="592B0E76"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Dar a conocer dentro de su territorio las Tablas de Valores Unitarios de Suelo y Construcción aprobadas por la Legislatura. </w:t>
      </w:r>
    </w:p>
    <w:p w14:paraId="322E4429"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lastRenderedPageBreak/>
        <w:t xml:space="preserve">Aplicar las Tablas de Valores Unitarios de Suelo y Construcciones aprobadas por la Legislatura, en la determinación del valor catastral de los inmuebles. </w:t>
      </w:r>
    </w:p>
    <w:p w14:paraId="219AF44C"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Obtener de las autoridades, dependencias o instituciones de carácter federal y estatal, de las personas físicas o jurídicas colectivas, los documentos, datos o informes que sean necesarios para la integración y actualización del padrón catastral municipal. </w:t>
      </w:r>
    </w:p>
    <w:p w14:paraId="3A8DB72E"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Cumplir con la normatividad y los procedimientos técnicos y administrativos establecidos en el IGECEM y demás disposiciones aplicables en la materia. </w:t>
      </w:r>
    </w:p>
    <w:p w14:paraId="1B80C09E"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Proponer al IGECEM la realización de estudios tendientes a lograr la actualización del catastro municipal y, en su caso, aplicarlos en lo conducente sin contravenir lo dispuesto por el IGECEM y demás disposiciones aplicables en la materia. </w:t>
      </w:r>
    </w:p>
    <w:p w14:paraId="6323AF2A"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Proponer a la Legislatura para su aprobación el proyecto de Tablas de Valores Unitarios de Suelo y Construcciones. </w:t>
      </w:r>
    </w:p>
    <w:p w14:paraId="09BFCFE2"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Asistir a las reuniones de trabajo o de capacitación convocadas por el IGECEM en el ámbito de la coordinación catastral. </w:t>
      </w:r>
    </w:p>
    <w:p w14:paraId="6B080757" w14:textId="77777777" w:rsidR="007B0786"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 xml:space="preserve">Expedir las manifestaciones catastrales y demás certificaciones en el ámbito de su competencia; asimismo, podrá constatar la veracidad de los datos manifestados mediante la realización de los estudios técnicos catastrales que así lo requieran. </w:t>
      </w:r>
    </w:p>
    <w:p w14:paraId="485120E3" w14:textId="1890187C" w:rsidR="00052BAA" w:rsidRP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bCs/>
          <w:sz w:val="22"/>
          <w:szCs w:val="22"/>
        </w:rPr>
        <w:t>Verificar y registrar oportunamente los cambios que se operen en los inmuebles, que por cualquier concepto alteren los datos contenidos en el Padrón Catastral Municipal.</w:t>
      </w:r>
    </w:p>
    <w:p w14:paraId="7C818835" w14:textId="073757C4" w:rsid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sz w:val="22"/>
          <w:szCs w:val="22"/>
        </w:rPr>
        <w:t>Mantener actualizada la vinculación de los registros alfanumérico y gráfico del Padrón Catastral Municipal.</w:t>
      </w:r>
    </w:p>
    <w:p w14:paraId="7BD94149" w14:textId="77777777" w:rsidR="007B0786"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sz w:val="22"/>
          <w:szCs w:val="22"/>
        </w:rPr>
        <w:t xml:space="preserve">Atender las solicitudes de los productos y servicios catastrales presentadas por los particulares y las instituciones, de conformidad a las disposiciones aplicables en la materia. </w:t>
      </w:r>
    </w:p>
    <w:p w14:paraId="4F913F5B" w14:textId="3FFD84B7" w:rsidR="007B0786" w:rsidRPr="00D74018" w:rsidRDefault="007B0786" w:rsidP="007B0786">
      <w:pPr>
        <w:pStyle w:val="Prrafodelista"/>
        <w:numPr>
          <w:ilvl w:val="0"/>
          <w:numId w:val="13"/>
        </w:numPr>
        <w:spacing w:line="360" w:lineRule="auto"/>
        <w:ind w:right="-28"/>
        <w:jc w:val="both"/>
        <w:rPr>
          <w:rFonts w:ascii="Palatino Linotype" w:eastAsia="Palatino Linotype" w:hAnsi="Palatino Linotype" w:cs="Palatino Linotype"/>
          <w:sz w:val="22"/>
          <w:szCs w:val="22"/>
        </w:rPr>
      </w:pPr>
      <w:r w:rsidRPr="007B0786">
        <w:rPr>
          <w:rFonts w:ascii="Palatino Linotype" w:eastAsia="Palatino Linotype" w:hAnsi="Palatino Linotype" w:cs="Palatino Linotype"/>
          <w:sz w:val="22"/>
          <w:szCs w:val="22"/>
        </w:rPr>
        <w:lastRenderedPageBreak/>
        <w:t>Coordinar y atender en los tiempos establecidos los informes, reportes, formatos y demás documentación requerida por los Órganos Fiscalizadores, así como la relativa al acceso a la información, transparencia, rendición de cuentas y protección de datos personales, de acuerdo con la normatividad aplicable.</w:t>
      </w:r>
    </w:p>
    <w:p w14:paraId="2034592A" w14:textId="77777777" w:rsidR="007B0786" w:rsidRDefault="007B0786" w:rsidP="00052BAA">
      <w:pPr>
        <w:spacing w:line="360" w:lineRule="auto"/>
        <w:ind w:right="-28"/>
        <w:contextualSpacing/>
        <w:jc w:val="both"/>
        <w:rPr>
          <w:rFonts w:ascii="Palatino Linotype" w:eastAsia="Palatino Linotype" w:hAnsi="Palatino Linotype" w:cs="Palatino Linotype"/>
          <w:bCs/>
          <w:iCs/>
          <w:sz w:val="22"/>
          <w:szCs w:val="22"/>
        </w:rPr>
      </w:pPr>
    </w:p>
    <w:p w14:paraId="6B6788B7" w14:textId="15F012D9" w:rsidR="00052BAA" w:rsidRPr="003660B3" w:rsidRDefault="00052BAA" w:rsidP="00052BAA">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iCs/>
          <w:sz w:val="22"/>
          <w:szCs w:val="22"/>
        </w:rPr>
        <w:t>Por lo expuesto, el Sujeto Obligado</w:t>
      </w:r>
      <w:r>
        <w:rPr>
          <w:rFonts w:ascii="Palatino Linotype" w:eastAsia="Palatino Linotype" w:hAnsi="Palatino Linotype" w:cs="Palatino Linotype"/>
          <w:bCs/>
          <w:iCs/>
          <w:sz w:val="22"/>
          <w:szCs w:val="22"/>
        </w:rPr>
        <w:t xml:space="preserve"> turnó la solicitud a la </w:t>
      </w:r>
      <w:r w:rsidR="007B0786">
        <w:rPr>
          <w:rFonts w:ascii="Palatino Linotype" w:eastAsia="Palatino Linotype" w:hAnsi="Palatino Linotype" w:cs="Palatino Linotype"/>
          <w:bCs/>
          <w:iCs/>
          <w:sz w:val="22"/>
          <w:szCs w:val="22"/>
        </w:rPr>
        <w:t>Tesorería Municipal</w:t>
      </w:r>
      <w:r>
        <w:rPr>
          <w:rFonts w:ascii="Palatino Linotype" w:eastAsia="Palatino Linotype" w:hAnsi="Palatino Linotype" w:cs="Palatino Linotype"/>
          <w:bCs/>
          <w:iCs/>
          <w:sz w:val="22"/>
          <w:szCs w:val="22"/>
        </w:rPr>
        <w:t>,</w:t>
      </w:r>
      <w:r w:rsidR="007B0786">
        <w:rPr>
          <w:rFonts w:ascii="Palatino Linotype" w:eastAsia="Palatino Linotype" w:hAnsi="Palatino Linotype" w:cs="Palatino Linotype"/>
          <w:bCs/>
          <w:iCs/>
          <w:sz w:val="22"/>
          <w:szCs w:val="22"/>
        </w:rPr>
        <w:t xml:space="preserve"> que a través de la Subdirección de Catastro se encarga de conocer respecto de lo solicitado</w:t>
      </w:r>
      <w:r>
        <w:rPr>
          <w:rFonts w:ascii="Palatino Linotype" w:eastAsia="Palatino Linotype" w:hAnsi="Palatino Linotype" w:cs="Palatino Linotype"/>
          <w:bCs/>
          <w:iCs/>
          <w:sz w:val="22"/>
          <w:szCs w:val="22"/>
        </w:rPr>
        <w:t xml:space="preserve">, por lo que se considera que cumplió con </w:t>
      </w:r>
      <w:r w:rsidRPr="003660B3">
        <w:rPr>
          <w:rFonts w:ascii="Palatino Linotype" w:eastAsia="Palatino Linotype" w:hAnsi="Palatino Linotype" w:cs="Palatino Linotype"/>
          <w:bCs/>
          <w:iCs/>
          <w:sz w:val="22"/>
          <w:szCs w:val="22"/>
        </w:rPr>
        <w:t>el procedimiento de búsqueda establecido en el artículo 162 de la Ley de la materia.</w:t>
      </w:r>
    </w:p>
    <w:p w14:paraId="7DF4D607" w14:textId="77777777" w:rsidR="00052BAA" w:rsidRDefault="00052BAA" w:rsidP="00052BAA">
      <w:pPr>
        <w:spacing w:line="360" w:lineRule="auto"/>
        <w:contextualSpacing/>
        <w:jc w:val="both"/>
        <w:rPr>
          <w:rFonts w:ascii="Palatino Linotype" w:hAnsi="Palatino Linotype"/>
          <w:sz w:val="22"/>
          <w:szCs w:val="22"/>
        </w:rPr>
      </w:pPr>
    </w:p>
    <w:p w14:paraId="1A284D09" w14:textId="77777777" w:rsidR="00BE0D44" w:rsidRDefault="007B0786" w:rsidP="00052BAA">
      <w:pPr>
        <w:spacing w:line="360" w:lineRule="auto"/>
        <w:contextualSpacing/>
        <w:jc w:val="both"/>
        <w:rPr>
          <w:rFonts w:ascii="Palatino Linotype" w:hAnsi="Palatino Linotype"/>
          <w:sz w:val="22"/>
          <w:szCs w:val="22"/>
        </w:rPr>
      </w:pPr>
      <w:r>
        <w:rPr>
          <w:rFonts w:ascii="Palatino Linotype" w:hAnsi="Palatino Linotype"/>
          <w:sz w:val="22"/>
          <w:szCs w:val="22"/>
        </w:rPr>
        <w:t>Ahora bien, en respuesta la Tesorería Municipal proporcionó la información estadística</w:t>
      </w:r>
      <w:r w:rsidR="00BE0D44">
        <w:rPr>
          <w:rFonts w:ascii="Palatino Linotype" w:hAnsi="Palatino Linotype"/>
          <w:sz w:val="22"/>
          <w:szCs w:val="22"/>
        </w:rPr>
        <w:t xml:space="preserve"> relacionada con lo solicitado, </w:t>
      </w:r>
      <w:r>
        <w:rPr>
          <w:rFonts w:ascii="Palatino Linotype" w:hAnsi="Palatino Linotype"/>
          <w:sz w:val="22"/>
          <w:szCs w:val="22"/>
        </w:rPr>
        <w:t>circunstancia que se logra vislumbrar conforme al siguiente</w:t>
      </w:r>
      <w:r w:rsidR="00BE0D44">
        <w:rPr>
          <w:rFonts w:ascii="Palatino Linotype" w:hAnsi="Palatino Linotype"/>
          <w:sz w:val="22"/>
          <w:szCs w:val="22"/>
        </w:rPr>
        <w:t xml:space="preserve"> cuadro para mayor referencia:</w:t>
      </w:r>
    </w:p>
    <w:p w14:paraId="469133A1" w14:textId="77777777" w:rsidR="00BE0D44" w:rsidRDefault="00BE0D44" w:rsidP="00052BAA">
      <w:pPr>
        <w:spacing w:line="360" w:lineRule="auto"/>
        <w:contextualSpacing/>
        <w:jc w:val="both"/>
        <w:rPr>
          <w:rFonts w:ascii="Palatino Linotype" w:hAnsi="Palatino Linotype"/>
          <w:sz w:val="22"/>
          <w:szCs w:val="22"/>
        </w:rPr>
      </w:pPr>
    </w:p>
    <w:tbl>
      <w:tblPr>
        <w:tblStyle w:val="Tablaconcuadrcula"/>
        <w:tblW w:w="0" w:type="auto"/>
        <w:jc w:val="center"/>
        <w:tblLook w:val="04A0" w:firstRow="1" w:lastRow="0" w:firstColumn="1" w:lastColumn="0" w:noHBand="0" w:noVBand="1"/>
      </w:tblPr>
      <w:tblGrid>
        <w:gridCol w:w="4106"/>
        <w:gridCol w:w="1559"/>
      </w:tblGrid>
      <w:tr w:rsidR="00BE0D44" w14:paraId="133E65BA" w14:textId="77777777" w:rsidTr="006E5516">
        <w:trPr>
          <w:jc w:val="center"/>
        </w:trPr>
        <w:tc>
          <w:tcPr>
            <w:tcW w:w="4106" w:type="dxa"/>
            <w:shd w:val="clear" w:color="auto" w:fill="A6A6A6" w:themeFill="background1" w:themeFillShade="A6"/>
          </w:tcPr>
          <w:p w14:paraId="43DD112F" w14:textId="5A00AC6B" w:rsidR="00BE0D44" w:rsidRPr="00BE0D44" w:rsidRDefault="00BE0D44" w:rsidP="00BE0D44">
            <w:pPr>
              <w:spacing w:line="360" w:lineRule="auto"/>
              <w:contextualSpacing/>
              <w:jc w:val="center"/>
              <w:rPr>
                <w:rFonts w:ascii="Palatino Linotype" w:hAnsi="Palatino Linotype"/>
                <w:b/>
                <w:bCs/>
                <w:sz w:val="22"/>
                <w:szCs w:val="22"/>
              </w:rPr>
            </w:pPr>
            <w:r w:rsidRPr="00BE0D44">
              <w:rPr>
                <w:rFonts w:ascii="Palatino Linotype" w:hAnsi="Palatino Linotype"/>
                <w:b/>
                <w:bCs/>
                <w:sz w:val="22"/>
                <w:szCs w:val="22"/>
              </w:rPr>
              <w:t>Trámite</w:t>
            </w:r>
          </w:p>
        </w:tc>
        <w:tc>
          <w:tcPr>
            <w:tcW w:w="1559" w:type="dxa"/>
            <w:shd w:val="clear" w:color="auto" w:fill="A6A6A6" w:themeFill="background1" w:themeFillShade="A6"/>
          </w:tcPr>
          <w:p w14:paraId="12E917B0" w14:textId="43E691E2" w:rsidR="00BE0D44" w:rsidRPr="00BE0D44" w:rsidRDefault="00BE0D44" w:rsidP="00BE0D44">
            <w:pPr>
              <w:spacing w:line="360" w:lineRule="auto"/>
              <w:contextualSpacing/>
              <w:jc w:val="center"/>
              <w:rPr>
                <w:rFonts w:ascii="Palatino Linotype" w:hAnsi="Palatino Linotype"/>
                <w:b/>
                <w:bCs/>
                <w:sz w:val="22"/>
                <w:szCs w:val="22"/>
              </w:rPr>
            </w:pPr>
            <w:r w:rsidRPr="00BE0D44">
              <w:rPr>
                <w:rFonts w:ascii="Palatino Linotype" w:hAnsi="Palatino Linotype"/>
                <w:b/>
                <w:bCs/>
                <w:sz w:val="22"/>
                <w:szCs w:val="22"/>
              </w:rPr>
              <w:t>Cantidad</w:t>
            </w:r>
          </w:p>
        </w:tc>
      </w:tr>
      <w:tr w:rsidR="00BE0D44" w14:paraId="7771DC26" w14:textId="77777777" w:rsidTr="006E5516">
        <w:trPr>
          <w:jc w:val="center"/>
        </w:trPr>
        <w:tc>
          <w:tcPr>
            <w:tcW w:w="4106" w:type="dxa"/>
          </w:tcPr>
          <w:p w14:paraId="5BD1392E" w14:textId="14E5EEF3" w:rsidR="00BE0D44" w:rsidRDefault="00BE0D44" w:rsidP="00052BAA">
            <w:pPr>
              <w:spacing w:line="360" w:lineRule="auto"/>
              <w:contextualSpacing/>
              <w:jc w:val="both"/>
              <w:rPr>
                <w:rFonts w:ascii="Palatino Linotype" w:hAnsi="Palatino Linotype"/>
                <w:sz w:val="22"/>
                <w:szCs w:val="22"/>
              </w:rPr>
            </w:pPr>
            <w:r>
              <w:rPr>
                <w:rFonts w:ascii="Palatino Linotype" w:hAnsi="Palatino Linotype"/>
                <w:sz w:val="22"/>
                <w:szCs w:val="22"/>
              </w:rPr>
              <w:t>Certificación de Clave y Valor Catastral y/o Traslado de Dominio</w:t>
            </w:r>
          </w:p>
        </w:tc>
        <w:tc>
          <w:tcPr>
            <w:tcW w:w="1559" w:type="dxa"/>
          </w:tcPr>
          <w:p w14:paraId="048B84CA" w14:textId="3412306F" w:rsidR="00BE0D44" w:rsidRDefault="00BE0D44" w:rsidP="00BE0D44">
            <w:pPr>
              <w:spacing w:line="360" w:lineRule="auto"/>
              <w:contextualSpacing/>
              <w:jc w:val="center"/>
              <w:rPr>
                <w:rFonts w:ascii="Palatino Linotype" w:hAnsi="Palatino Linotype"/>
                <w:sz w:val="22"/>
                <w:szCs w:val="22"/>
              </w:rPr>
            </w:pPr>
            <w:r>
              <w:rPr>
                <w:rFonts w:ascii="Palatino Linotype" w:hAnsi="Palatino Linotype"/>
                <w:sz w:val="22"/>
                <w:szCs w:val="22"/>
              </w:rPr>
              <w:t>180</w:t>
            </w:r>
          </w:p>
        </w:tc>
      </w:tr>
      <w:tr w:rsidR="00BE0D44" w14:paraId="564FBE8D" w14:textId="77777777" w:rsidTr="006E5516">
        <w:trPr>
          <w:jc w:val="center"/>
        </w:trPr>
        <w:tc>
          <w:tcPr>
            <w:tcW w:w="4106" w:type="dxa"/>
          </w:tcPr>
          <w:p w14:paraId="6617826E" w14:textId="4C4FFEBB" w:rsidR="00BE0D44" w:rsidRDefault="00BE0D44" w:rsidP="00052BAA">
            <w:pPr>
              <w:spacing w:line="360" w:lineRule="auto"/>
              <w:contextualSpacing/>
              <w:jc w:val="both"/>
              <w:rPr>
                <w:rFonts w:ascii="Palatino Linotype" w:hAnsi="Palatino Linotype"/>
                <w:sz w:val="22"/>
                <w:szCs w:val="22"/>
              </w:rPr>
            </w:pPr>
            <w:r>
              <w:rPr>
                <w:rFonts w:ascii="Palatino Linotype" w:hAnsi="Palatino Linotype"/>
                <w:sz w:val="22"/>
                <w:szCs w:val="22"/>
              </w:rPr>
              <w:t>Plano Manzanero</w:t>
            </w:r>
          </w:p>
        </w:tc>
        <w:tc>
          <w:tcPr>
            <w:tcW w:w="1559" w:type="dxa"/>
          </w:tcPr>
          <w:p w14:paraId="2EF3B411" w14:textId="08CA8811" w:rsidR="00BE0D44" w:rsidRDefault="00BE0D44" w:rsidP="00BE0D44">
            <w:pPr>
              <w:spacing w:line="360" w:lineRule="auto"/>
              <w:contextualSpacing/>
              <w:jc w:val="center"/>
              <w:rPr>
                <w:rFonts w:ascii="Palatino Linotype" w:hAnsi="Palatino Linotype"/>
                <w:sz w:val="22"/>
                <w:szCs w:val="22"/>
              </w:rPr>
            </w:pPr>
            <w:r>
              <w:rPr>
                <w:rFonts w:ascii="Palatino Linotype" w:hAnsi="Palatino Linotype"/>
                <w:sz w:val="22"/>
                <w:szCs w:val="22"/>
              </w:rPr>
              <w:t>26</w:t>
            </w:r>
          </w:p>
        </w:tc>
      </w:tr>
      <w:tr w:rsidR="00BE0D44" w14:paraId="143F5EA8" w14:textId="77777777" w:rsidTr="006E5516">
        <w:trPr>
          <w:jc w:val="center"/>
        </w:trPr>
        <w:tc>
          <w:tcPr>
            <w:tcW w:w="4106" w:type="dxa"/>
          </w:tcPr>
          <w:p w14:paraId="4C4E00E9" w14:textId="4A1E9131" w:rsidR="00BE0D44" w:rsidRDefault="00BE0D44" w:rsidP="00052BAA">
            <w:pPr>
              <w:spacing w:line="360" w:lineRule="auto"/>
              <w:contextualSpacing/>
              <w:jc w:val="both"/>
              <w:rPr>
                <w:rFonts w:ascii="Palatino Linotype" w:hAnsi="Palatino Linotype"/>
                <w:sz w:val="22"/>
                <w:szCs w:val="22"/>
              </w:rPr>
            </w:pPr>
            <w:r>
              <w:rPr>
                <w:rFonts w:ascii="Palatino Linotype" w:hAnsi="Palatino Linotype"/>
                <w:sz w:val="22"/>
                <w:szCs w:val="22"/>
              </w:rPr>
              <w:t>Verificación de Linderos</w:t>
            </w:r>
          </w:p>
        </w:tc>
        <w:tc>
          <w:tcPr>
            <w:tcW w:w="1559" w:type="dxa"/>
          </w:tcPr>
          <w:p w14:paraId="6785D4BE" w14:textId="60ABE3D2" w:rsidR="00BE0D44" w:rsidRDefault="00BE0D44" w:rsidP="00BE0D44">
            <w:pPr>
              <w:spacing w:line="360" w:lineRule="auto"/>
              <w:contextualSpacing/>
              <w:jc w:val="center"/>
              <w:rPr>
                <w:rFonts w:ascii="Palatino Linotype" w:hAnsi="Palatino Linotype"/>
                <w:sz w:val="22"/>
                <w:szCs w:val="22"/>
              </w:rPr>
            </w:pPr>
            <w:r>
              <w:rPr>
                <w:rFonts w:ascii="Palatino Linotype" w:hAnsi="Palatino Linotype"/>
                <w:sz w:val="22"/>
                <w:szCs w:val="22"/>
              </w:rPr>
              <w:t>24</w:t>
            </w:r>
          </w:p>
        </w:tc>
      </w:tr>
    </w:tbl>
    <w:p w14:paraId="6FDCCE20" w14:textId="45ABA462" w:rsidR="00BE0D44" w:rsidRDefault="007B0786" w:rsidP="00052BAA">
      <w:pPr>
        <w:spacing w:line="360" w:lineRule="auto"/>
        <w:contextualSpacing/>
        <w:jc w:val="both"/>
        <w:rPr>
          <w:rFonts w:ascii="Palatino Linotype" w:hAnsi="Palatino Linotype"/>
          <w:sz w:val="22"/>
          <w:szCs w:val="22"/>
        </w:rPr>
      </w:pPr>
      <w:r>
        <w:rPr>
          <w:rFonts w:ascii="Palatino Linotype" w:hAnsi="Palatino Linotype"/>
          <w:sz w:val="22"/>
          <w:szCs w:val="22"/>
        </w:rPr>
        <w:t xml:space="preserve"> </w:t>
      </w:r>
    </w:p>
    <w:p w14:paraId="3BE041BD" w14:textId="55147B4B" w:rsidR="006E5516" w:rsidRDefault="006E5516" w:rsidP="00052BAA">
      <w:pPr>
        <w:spacing w:line="360" w:lineRule="auto"/>
        <w:contextualSpacing/>
        <w:jc w:val="both"/>
        <w:rPr>
          <w:rFonts w:ascii="Palatino Linotype" w:hAnsi="Palatino Linotype"/>
          <w:sz w:val="22"/>
          <w:szCs w:val="22"/>
        </w:rPr>
      </w:pPr>
      <w:r>
        <w:rPr>
          <w:rFonts w:ascii="Palatino Linotype" w:hAnsi="Palatino Linotype"/>
          <w:sz w:val="22"/>
          <w:szCs w:val="22"/>
        </w:rPr>
        <w:t>Conforme a lo anterior, se logra vislumbrar que el área competente remitió la información estadística con la que contaba a la fecha de la solicitud, por lo que hace a la Certificación de Clave y Valor Catastral y/o Traslado de Dominio, así como a la Verificación de Linderos, por lo que con dicha información dio atención a lo dispuesto por los artículos 12, y 160 de la Ley de la Materia.</w:t>
      </w:r>
    </w:p>
    <w:p w14:paraId="298A2FB5" w14:textId="77777777" w:rsidR="006E5516" w:rsidRPr="006E5516" w:rsidRDefault="006E5516" w:rsidP="00052BAA">
      <w:pPr>
        <w:spacing w:line="360" w:lineRule="auto"/>
        <w:contextualSpacing/>
        <w:jc w:val="both"/>
        <w:rPr>
          <w:rFonts w:ascii="Palatino Linotype" w:hAnsi="Palatino Linotype"/>
          <w:sz w:val="22"/>
          <w:szCs w:val="22"/>
        </w:rPr>
      </w:pPr>
    </w:p>
    <w:p w14:paraId="615D3A2E" w14:textId="76B33A84" w:rsidR="00ED0C30" w:rsidRDefault="006E5516" w:rsidP="00ED0C30">
      <w:pPr>
        <w:spacing w:line="360" w:lineRule="auto"/>
        <w:contextualSpacing/>
        <w:jc w:val="both"/>
        <w:rPr>
          <w:rFonts w:ascii="Palatino Linotype" w:eastAsia="Palatino Linotype" w:hAnsi="Palatino Linotype" w:cs="Palatino Linotype"/>
          <w:sz w:val="22"/>
          <w:szCs w:val="22"/>
        </w:rPr>
      </w:pPr>
      <w:r>
        <w:rPr>
          <w:rFonts w:ascii="Palatino Linotype" w:hAnsi="Palatino Linotype"/>
          <w:color w:val="000000"/>
          <w:sz w:val="22"/>
          <w:szCs w:val="22"/>
        </w:rPr>
        <w:lastRenderedPageBreak/>
        <w:t>No obstante, por lo que hace a los planos manzaneros</w:t>
      </w:r>
      <w:r w:rsidR="00ED0C30">
        <w:rPr>
          <w:rFonts w:ascii="Palatino Linotype" w:hAnsi="Palatino Linotype"/>
          <w:color w:val="000000"/>
          <w:sz w:val="22"/>
          <w:szCs w:val="22"/>
        </w:rPr>
        <w:t xml:space="preserve"> si bien, remitió la cantidad de trámites realizados, lo cierto es que omitió la entrega de los documentos que dieran cuenta de dicha circunstancia tal y como fue solicitado inicialmente por el ahora Recurrente, </w:t>
      </w:r>
      <w:r w:rsidR="00ED0C30">
        <w:rPr>
          <w:rFonts w:ascii="Palatino Linotype" w:eastAsia="Palatino Linotype" w:hAnsi="Palatino Linotype" w:cs="Palatino Linotype"/>
          <w:sz w:val="22"/>
          <w:szCs w:val="22"/>
        </w:rPr>
        <w:t>a</w:t>
      </w:r>
      <w:r w:rsidR="00ED0C30" w:rsidRPr="00A24BE6">
        <w:rPr>
          <w:rFonts w:ascii="Palatino Linotype" w:eastAsia="Palatino Linotype" w:hAnsi="Palatino Linotype" w:cs="Palatino Linotype"/>
          <w:sz w:val="22"/>
          <w:szCs w:val="22"/>
        </w:rPr>
        <w:t xml:space="preserve">l 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00ED0C30" w:rsidRPr="00A24BE6">
        <w:rPr>
          <w:rFonts w:ascii="Palatino Linotype" w:eastAsia="Palatino Linotype" w:hAnsi="Palatino Linotype" w:cs="Palatino Linotype"/>
          <w:b/>
          <w:sz w:val="22"/>
          <w:szCs w:val="22"/>
        </w:rPr>
        <w:t xml:space="preserve">Principio de Congruencia, </w:t>
      </w:r>
      <w:r w:rsidR="00ED0C30" w:rsidRPr="00A24BE6">
        <w:rPr>
          <w:rFonts w:ascii="Palatino Linotype" w:eastAsia="Palatino Linotype" w:hAnsi="Palatino Linotype" w:cs="Palatino Linotype"/>
          <w:sz w:val="22"/>
          <w:szCs w:val="22"/>
        </w:rPr>
        <w:t>el cual</w:t>
      </w:r>
      <w:r w:rsidR="00ED0C30" w:rsidRPr="00A24BE6">
        <w:rPr>
          <w:rFonts w:ascii="Palatino Linotype" w:eastAsia="Palatino Linotype" w:hAnsi="Palatino Linotype" w:cs="Palatino Linotype"/>
          <w:b/>
          <w:sz w:val="22"/>
          <w:szCs w:val="22"/>
        </w:rPr>
        <w:t xml:space="preserve"> </w:t>
      </w:r>
      <w:r w:rsidR="00ED0C30" w:rsidRPr="00A24BE6">
        <w:rPr>
          <w:rFonts w:ascii="Palatino Linotype" w:eastAsia="Palatino Linotype" w:hAnsi="Palatino Linotype" w:cs="Palatino Linotype"/>
          <w:sz w:val="22"/>
          <w:szCs w:val="22"/>
        </w:rPr>
        <w:t xml:space="preserve">implica que exista concordancia entre el requerimiento formulado y la respuesta entregada; por lo que, el Sujeto Obligado incumplió dicho principio lo cual da como resultado que no se pueda validar </w:t>
      </w:r>
      <w:r w:rsidR="00ED0C30">
        <w:rPr>
          <w:rFonts w:ascii="Palatino Linotype" w:eastAsia="Palatino Linotype" w:hAnsi="Palatino Linotype" w:cs="Palatino Linotype"/>
          <w:sz w:val="22"/>
          <w:szCs w:val="22"/>
        </w:rPr>
        <w:t xml:space="preserve">en tu totalidad </w:t>
      </w:r>
      <w:r w:rsidR="00ED0C30" w:rsidRPr="00A24BE6">
        <w:rPr>
          <w:rFonts w:ascii="Palatino Linotype" w:eastAsia="Palatino Linotype" w:hAnsi="Palatino Linotype" w:cs="Palatino Linotype"/>
          <w:sz w:val="22"/>
          <w:szCs w:val="22"/>
        </w:rPr>
        <w:t xml:space="preserve">la respuesta entregada </w:t>
      </w:r>
      <w:r w:rsidR="00ED0C30">
        <w:rPr>
          <w:rFonts w:ascii="Palatino Linotype" w:eastAsia="Palatino Linotype" w:hAnsi="Palatino Linotype" w:cs="Palatino Linotype"/>
          <w:sz w:val="22"/>
          <w:szCs w:val="22"/>
        </w:rPr>
        <w:t>a este punto de la solicitud</w:t>
      </w:r>
      <w:r w:rsidR="00ED0C30" w:rsidRPr="00A24BE6">
        <w:rPr>
          <w:rFonts w:ascii="Palatino Linotype" w:eastAsia="Palatino Linotype" w:hAnsi="Palatino Linotype" w:cs="Palatino Linotype"/>
          <w:sz w:val="22"/>
          <w:szCs w:val="22"/>
        </w:rPr>
        <w:t>.</w:t>
      </w:r>
    </w:p>
    <w:p w14:paraId="13980968" w14:textId="54D8D0A3" w:rsidR="00052BAA" w:rsidRPr="00ED0C30" w:rsidRDefault="00ED0C30" w:rsidP="00052BAA">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 </w:t>
      </w:r>
    </w:p>
    <w:p w14:paraId="4AAD97FF" w14:textId="70AEF8B0" w:rsidR="00052BAA" w:rsidRDefault="00052BAA" w:rsidP="00052BAA">
      <w:pPr>
        <w:spacing w:line="360" w:lineRule="auto"/>
        <w:contextualSpacing/>
        <w:jc w:val="both"/>
        <w:rPr>
          <w:rFonts w:ascii="Palatino Linotype" w:eastAsia="Palatino Linotype" w:hAnsi="Palatino Linotype" w:cs="Palatino Linotype"/>
          <w:b/>
          <w:bCs/>
          <w:sz w:val="22"/>
          <w:szCs w:val="22"/>
        </w:rPr>
      </w:pPr>
      <w:r w:rsidRPr="008273F6">
        <w:rPr>
          <w:rFonts w:ascii="Palatino Linotype" w:eastAsia="Palatino Linotype" w:hAnsi="Palatino Linotype" w:cs="Palatino Linotype"/>
          <w:sz w:val="22"/>
          <w:szCs w:val="22"/>
        </w:rPr>
        <w:t>En ese contexto,</w:t>
      </w:r>
      <w:r>
        <w:rPr>
          <w:rFonts w:ascii="Palatino Linotype" w:eastAsia="Palatino Linotype" w:hAnsi="Palatino Linotype" w:cs="Palatino Linotype"/>
          <w:sz w:val="22"/>
          <w:szCs w:val="22"/>
        </w:rPr>
        <w:t xml:space="preserve"> se logra colegir que, si bien el Sujeto Obligado proporcionó información relacionada con lo solicitado, lo cierto es que la proporcionó de manera incompleta, sumado a que </w:t>
      </w:r>
      <w:r w:rsidR="00ED0C30">
        <w:rPr>
          <w:rFonts w:ascii="Palatino Linotype" w:eastAsia="Palatino Linotype" w:hAnsi="Palatino Linotype" w:cs="Palatino Linotype"/>
          <w:sz w:val="22"/>
          <w:szCs w:val="22"/>
        </w:rPr>
        <w:t>omitió la entrega de los documentos que dieran cuenta de los planos manzaneros requeridos</w:t>
      </w:r>
      <w:r>
        <w:rPr>
          <w:rFonts w:ascii="Palatino Linotype" w:eastAsia="Palatino Linotype" w:hAnsi="Palatino Linotype" w:cs="Palatino Linotype"/>
          <w:sz w:val="22"/>
          <w:szCs w:val="22"/>
        </w:rPr>
        <w:t>, lo cual da como resultado que el agravio sea</w:t>
      </w:r>
      <w:r w:rsidR="00ED0C30">
        <w:rPr>
          <w:rFonts w:ascii="Palatino Linotype" w:eastAsia="Palatino Linotype" w:hAnsi="Palatino Linotype" w:cs="Palatino Linotype"/>
          <w:sz w:val="22"/>
          <w:szCs w:val="22"/>
        </w:rPr>
        <w:t xml:space="preserve"> </w:t>
      </w:r>
      <w:r w:rsidRPr="008742BD">
        <w:rPr>
          <w:rFonts w:ascii="Palatino Linotype" w:eastAsia="Palatino Linotype" w:hAnsi="Palatino Linotype" w:cs="Palatino Linotype"/>
          <w:b/>
          <w:bCs/>
          <w:sz w:val="22"/>
          <w:szCs w:val="22"/>
        </w:rPr>
        <w:t>FUNDADO.</w:t>
      </w:r>
    </w:p>
    <w:p w14:paraId="00ACFAD7" w14:textId="77777777" w:rsidR="00052BAA" w:rsidRDefault="00052BAA" w:rsidP="00052BAA">
      <w:pPr>
        <w:spacing w:line="360" w:lineRule="auto"/>
        <w:contextualSpacing/>
        <w:jc w:val="both"/>
        <w:rPr>
          <w:rFonts w:ascii="Palatino Linotype" w:eastAsia="Palatino Linotype" w:hAnsi="Palatino Linotype" w:cs="Palatino Linotype"/>
          <w:b/>
          <w:bCs/>
          <w:sz w:val="22"/>
          <w:szCs w:val="22"/>
        </w:rPr>
      </w:pPr>
    </w:p>
    <w:p w14:paraId="071FBE7C" w14:textId="3735A2D0" w:rsidR="00052BAA" w:rsidRDefault="00052BAA" w:rsidP="00052BAA">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sz w:val="22"/>
          <w:szCs w:val="22"/>
        </w:rPr>
        <w:t xml:space="preserve">Conforme a lo anterior, se advierte que para atender el requerimiento de información el Ayuntamiento de </w:t>
      </w:r>
      <w:r w:rsidR="00ED0C30">
        <w:rPr>
          <w:rFonts w:ascii="Palatino Linotype" w:hAnsi="Palatino Linotype"/>
          <w:sz w:val="22"/>
          <w:szCs w:val="22"/>
        </w:rPr>
        <w:t xml:space="preserve">Teoloyucan </w:t>
      </w:r>
      <w:r w:rsidRPr="002231CB">
        <w:rPr>
          <w:rFonts w:ascii="Palatino Linotype" w:hAnsi="Palatino Linotype"/>
          <w:sz w:val="22"/>
          <w:szCs w:val="22"/>
        </w:rPr>
        <w:t xml:space="preserve">deberá realizar una </w:t>
      </w:r>
      <w:r w:rsidR="00ED0C30">
        <w:rPr>
          <w:rFonts w:ascii="Palatino Linotype" w:hAnsi="Palatino Linotype"/>
          <w:sz w:val="22"/>
          <w:szCs w:val="22"/>
        </w:rPr>
        <w:t xml:space="preserve">nueva </w:t>
      </w:r>
      <w:r w:rsidRPr="002231CB">
        <w:rPr>
          <w:rFonts w:ascii="Palatino Linotype" w:hAnsi="Palatino Linotype"/>
          <w:sz w:val="22"/>
          <w:szCs w:val="22"/>
        </w:rPr>
        <w:t xml:space="preserve">búsqueda exhaustiva y razonable, en los archivos de las unidades administrativas competentes, </w:t>
      </w:r>
      <w:r>
        <w:rPr>
          <w:rFonts w:ascii="Palatino Linotype" w:hAnsi="Palatino Linotype"/>
          <w:bCs/>
          <w:iCs/>
          <w:sz w:val="22"/>
          <w:szCs w:val="22"/>
        </w:rPr>
        <w:t>a efecto de que proporcione los</w:t>
      </w:r>
      <w:r w:rsidR="00ED0C30">
        <w:rPr>
          <w:rFonts w:ascii="Palatino Linotype" w:hAnsi="Palatino Linotype"/>
          <w:bCs/>
          <w:iCs/>
          <w:sz w:val="22"/>
          <w:szCs w:val="22"/>
        </w:rPr>
        <w:t xml:space="preserve"> planos manzaneros señalados en respuesta</w:t>
      </w:r>
      <w:r>
        <w:rPr>
          <w:rFonts w:ascii="Palatino Linotype" w:hAnsi="Palatino Linotype"/>
          <w:bCs/>
          <w:iCs/>
          <w:sz w:val="22"/>
          <w:szCs w:val="22"/>
        </w:rPr>
        <w:t xml:space="preserve">. </w:t>
      </w:r>
    </w:p>
    <w:p w14:paraId="67DB4D3F" w14:textId="77777777" w:rsidR="00052BAA" w:rsidRDefault="00052BAA" w:rsidP="00052BAA">
      <w:pPr>
        <w:tabs>
          <w:tab w:val="left" w:pos="4962"/>
        </w:tabs>
        <w:spacing w:line="360" w:lineRule="auto"/>
        <w:contextualSpacing/>
        <w:jc w:val="both"/>
        <w:rPr>
          <w:rFonts w:ascii="Palatino Linotype" w:hAnsi="Palatino Linotype"/>
          <w:bCs/>
          <w:iCs/>
          <w:sz w:val="22"/>
          <w:szCs w:val="22"/>
        </w:rPr>
      </w:pPr>
    </w:p>
    <w:p w14:paraId="632F6A0D" w14:textId="77777777" w:rsidR="00052BAA" w:rsidRPr="000F3AB5" w:rsidRDefault="00052BAA" w:rsidP="00052BAA">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2D045622" w14:textId="77777777" w:rsidR="00052BAA" w:rsidRPr="002231CB" w:rsidRDefault="00052BAA" w:rsidP="00052BAA">
      <w:pPr>
        <w:spacing w:line="360" w:lineRule="auto"/>
        <w:contextualSpacing/>
        <w:jc w:val="both"/>
        <w:rPr>
          <w:rFonts w:ascii="Palatino Linotype" w:hAnsi="Palatino Linotype"/>
          <w:sz w:val="22"/>
          <w:szCs w:val="22"/>
        </w:rPr>
      </w:pPr>
    </w:p>
    <w:p w14:paraId="1A690EED" w14:textId="77777777" w:rsidR="00052BAA" w:rsidRPr="002231CB" w:rsidRDefault="00052BAA" w:rsidP="00052BAA">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4B6E52E5" w14:textId="77777777" w:rsidR="00052BAA" w:rsidRPr="002231CB" w:rsidRDefault="00052BAA" w:rsidP="00052BAA">
      <w:pPr>
        <w:spacing w:line="360" w:lineRule="auto"/>
        <w:contextualSpacing/>
        <w:jc w:val="both"/>
        <w:rPr>
          <w:rFonts w:ascii="Palatino Linotype" w:hAnsi="Palatino Linotype"/>
          <w:i/>
          <w:iCs/>
          <w:sz w:val="22"/>
          <w:szCs w:val="22"/>
        </w:rPr>
      </w:pPr>
    </w:p>
    <w:p w14:paraId="626EE8E4" w14:textId="77777777" w:rsidR="00052BAA" w:rsidRPr="002231CB" w:rsidRDefault="00052BAA" w:rsidP="00052BAA">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 </w:t>
      </w:r>
    </w:p>
    <w:p w14:paraId="0542BAA0" w14:textId="77777777" w:rsidR="00052BAA" w:rsidRDefault="00052BAA" w:rsidP="00052BAA">
      <w:pPr>
        <w:spacing w:line="360" w:lineRule="auto"/>
        <w:contextualSpacing/>
        <w:jc w:val="both"/>
        <w:rPr>
          <w:rFonts w:ascii="Palatino Linotype" w:hAnsi="Palatino Linotype" w:cs="Tahoma"/>
          <w:sz w:val="22"/>
          <w:szCs w:val="24"/>
        </w:rPr>
      </w:pPr>
    </w:p>
    <w:p w14:paraId="14132F69" w14:textId="77777777" w:rsidR="00526413" w:rsidRPr="00526413" w:rsidRDefault="00526413" w:rsidP="00526413">
      <w:pPr>
        <w:spacing w:line="360" w:lineRule="auto"/>
        <w:contextualSpacing/>
        <w:jc w:val="both"/>
        <w:rPr>
          <w:rFonts w:ascii="Palatino Linotype" w:eastAsia="Palatino Linotype" w:hAnsi="Palatino Linotype" w:cs="Palatino Linotype"/>
          <w:sz w:val="22"/>
          <w:szCs w:val="22"/>
        </w:rPr>
      </w:pPr>
      <w:r w:rsidRPr="00526413">
        <w:rPr>
          <w:rFonts w:ascii="Palatino Linotype" w:eastAsia="Palatino Linotype" w:hAnsi="Palatino Linotype" w:cs="Palatino Linotype"/>
          <w:sz w:val="22"/>
          <w:szCs w:val="22"/>
        </w:rPr>
        <w:t xml:space="preserve">Finalmente, no pasa desapercibido para este Instituto que los documentos que den cuenta de lo solicitado pudieran contener información de carácter confidencial, como CURP, números de teléfono particular, domicilios particulares o datos de las credenciales de identificación personas como credencial para votar con fotografía, sólo por mencionar algunos ejemplos,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F0E938E" w14:textId="77777777" w:rsidR="00526413" w:rsidRPr="00526413" w:rsidRDefault="00526413" w:rsidP="00526413">
      <w:pPr>
        <w:spacing w:line="360" w:lineRule="auto"/>
        <w:contextualSpacing/>
        <w:jc w:val="both"/>
        <w:rPr>
          <w:rFonts w:ascii="Palatino Linotype" w:eastAsia="Palatino Linotype" w:hAnsi="Palatino Linotype" w:cs="Palatino Linotype"/>
          <w:sz w:val="22"/>
          <w:szCs w:val="22"/>
        </w:rPr>
      </w:pPr>
      <w:r w:rsidRPr="00526413">
        <w:rPr>
          <w:rFonts w:ascii="Palatino Linotype" w:eastAsia="Palatino Linotype" w:hAnsi="Palatino Linotype" w:cs="Palatino Linotype"/>
          <w:sz w:val="22"/>
          <w:szCs w:val="22"/>
        </w:rPr>
        <w:t xml:space="preserve"> </w:t>
      </w:r>
    </w:p>
    <w:p w14:paraId="43D93EC0" w14:textId="2EFE7A83" w:rsidR="00ED0C30" w:rsidRDefault="00526413" w:rsidP="00052BAA">
      <w:pPr>
        <w:spacing w:line="360" w:lineRule="auto"/>
        <w:contextualSpacing/>
        <w:jc w:val="both"/>
        <w:rPr>
          <w:rFonts w:ascii="Palatino Linotype" w:eastAsia="Palatino Linotype" w:hAnsi="Palatino Linotype" w:cs="Palatino Linotype"/>
          <w:sz w:val="22"/>
          <w:szCs w:val="22"/>
        </w:rPr>
      </w:pPr>
      <w:r w:rsidRPr="00526413">
        <w:rPr>
          <w:rFonts w:ascii="Palatino Linotype" w:eastAsia="Palatino Linotype" w:hAnsi="Palatino Linotype" w:cs="Palatino Linotype"/>
          <w:sz w:val="22"/>
          <w:szCs w:val="22"/>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Por lo </w:t>
      </w:r>
      <w:r w:rsidRPr="00526413">
        <w:rPr>
          <w:rFonts w:ascii="Palatino Linotype" w:eastAsia="Palatino Linotype" w:hAnsi="Palatino Linotype" w:cs="Palatino Linotype"/>
          <w:sz w:val="22"/>
          <w:szCs w:val="22"/>
        </w:rPr>
        <w:lastRenderedPageBreak/>
        <w:t>que se enuncia de manera enunciativa mas no limitativa el dato que pudiera encontrarse dentro de los documentos solicitados y se debe clasificar</w:t>
      </w:r>
    </w:p>
    <w:p w14:paraId="43C0647D" w14:textId="77777777" w:rsidR="00526413" w:rsidRDefault="00526413" w:rsidP="00052BAA">
      <w:pPr>
        <w:spacing w:line="360" w:lineRule="auto"/>
        <w:contextualSpacing/>
        <w:jc w:val="both"/>
        <w:rPr>
          <w:rFonts w:ascii="Palatino Linotype" w:eastAsia="Palatino Linotype" w:hAnsi="Palatino Linotype" w:cs="Palatino Linotype"/>
          <w:sz w:val="22"/>
          <w:szCs w:val="22"/>
        </w:rPr>
      </w:pPr>
    </w:p>
    <w:p w14:paraId="3FB4F759" w14:textId="77777777" w:rsidR="005D1E23" w:rsidRPr="002124C5" w:rsidRDefault="005D1E23" w:rsidP="005D1E23">
      <w:pPr>
        <w:pStyle w:val="Prrafodelista"/>
        <w:numPr>
          <w:ilvl w:val="0"/>
          <w:numId w:val="25"/>
        </w:numPr>
        <w:spacing w:line="360" w:lineRule="auto"/>
        <w:jc w:val="both"/>
        <w:rPr>
          <w:rFonts w:ascii="Palatino Linotype" w:eastAsia="Calibri" w:hAnsi="Palatino Linotype" w:cs="Tahoma"/>
          <w:b/>
          <w:bCs/>
          <w:color w:val="000000"/>
          <w:sz w:val="22"/>
          <w:szCs w:val="24"/>
        </w:rPr>
      </w:pPr>
      <w:r w:rsidRPr="002124C5">
        <w:rPr>
          <w:rFonts w:ascii="Palatino Linotype" w:eastAsia="Batang" w:hAnsi="Palatino Linotype" w:cs="Tahoma"/>
          <w:b/>
          <w:bCs/>
          <w:sz w:val="22"/>
          <w:szCs w:val="22"/>
        </w:rPr>
        <w:t>Clave catastral</w:t>
      </w:r>
    </w:p>
    <w:p w14:paraId="1C81F49D" w14:textId="77777777" w:rsidR="005D1E23" w:rsidRDefault="005D1E23" w:rsidP="005D1E23">
      <w:pPr>
        <w:spacing w:line="360" w:lineRule="auto"/>
        <w:contextualSpacing/>
        <w:jc w:val="both"/>
        <w:rPr>
          <w:rFonts w:ascii="Palatino Linotype" w:eastAsia="Calibri" w:hAnsi="Palatino Linotype" w:cs="Tahoma"/>
          <w:b/>
          <w:bCs/>
          <w:color w:val="000000"/>
          <w:sz w:val="22"/>
          <w:szCs w:val="24"/>
        </w:rPr>
      </w:pPr>
    </w:p>
    <w:p w14:paraId="4091F85D" w14:textId="77777777" w:rsidR="005D1E23" w:rsidRDefault="005D1E23" w:rsidP="005D1E23">
      <w:pPr>
        <w:spacing w:line="360" w:lineRule="auto"/>
        <w:contextualSpacing/>
        <w:jc w:val="both"/>
        <w:rPr>
          <w:rFonts w:ascii="Palatino Linotype" w:eastAsia="Calibri" w:hAnsi="Palatino Linotype" w:cs="Tahoma"/>
          <w:color w:val="000000"/>
          <w:sz w:val="22"/>
          <w:szCs w:val="24"/>
        </w:rPr>
      </w:pPr>
      <w:r w:rsidRPr="002124C5">
        <w:rPr>
          <w:rFonts w:ascii="Palatino Linotype" w:eastAsia="Calibri" w:hAnsi="Palatino Linotype" w:cs="Tahoma"/>
          <w:color w:val="000000"/>
          <w:sz w:val="22"/>
          <w:szCs w:val="24"/>
        </w:rPr>
        <w:t xml:space="preserve">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 </w:t>
      </w:r>
    </w:p>
    <w:p w14:paraId="3AF1CCA5" w14:textId="77777777" w:rsidR="005D1E23" w:rsidRDefault="005D1E23" w:rsidP="005D1E23">
      <w:pPr>
        <w:spacing w:line="360" w:lineRule="auto"/>
        <w:contextualSpacing/>
        <w:jc w:val="both"/>
        <w:rPr>
          <w:rFonts w:ascii="Palatino Linotype" w:eastAsia="Calibri" w:hAnsi="Palatino Linotype" w:cs="Tahoma"/>
          <w:color w:val="000000"/>
          <w:sz w:val="22"/>
          <w:szCs w:val="24"/>
        </w:rPr>
      </w:pPr>
    </w:p>
    <w:p w14:paraId="6944AD02" w14:textId="77777777" w:rsidR="005D1E23" w:rsidRDefault="005D1E23" w:rsidP="005D1E23">
      <w:pPr>
        <w:spacing w:line="360" w:lineRule="auto"/>
        <w:contextualSpacing/>
        <w:jc w:val="both"/>
        <w:rPr>
          <w:rFonts w:ascii="Palatino Linotype" w:eastAsia="Calibri" w:hAnsi="Palatino Linotype" w:cs="Tahoma"/>
          <w:color w:val="000000"/>
          <w:sz w:val="22"/>
          <w:szCs w:val="24"/>
        </w:rPr>
      </w:pPr>
      <w:r w:rsidRPr="002124C5">
        <w:rPr>
          <w:rFonts w:ascii="Palatino Linotype" w:eastAsia="Calibri" w:hAnsi="Palatino Linotype" w:cs="Tahoma"/>
          <w:color w:val="000000"/>
          <w:sz w:val="22"/>
          <w:szCs w:val="24"/>
        </w:rPr>
        <w:t>El diccionario de Datos catastrales Escala 1:1000 del Instituto Nacional de Estadística y Geografía (INEGI), contempla en su glosario la definición de clave catastral, la cual, es la siguiente:</w:t>
      </w:r>
    </w:p>
    <w:p w14:paraId="0AAE021E" w14:textId="77777777" w:rsidR="005D1E23" w:rsidRDefault="005D1E23" w:rsidP="005D1E23">
      <w:pPr>
        <w:spacing w:line="360" w:lineRule="auto"/>
        <w:contextualSpacing/>
        <w:jc w:val="both"/>
        <w:rPr>
          <w:rFonts w:ascii="Palatino Linotype" w:eastAsia="Calibri" w:hAnsi="Palatino Linotype" w:cs="Tahoma"/>
          <w:color w:val="000000"/>
          <w:sz w:val="22"/>
          <w:szCs w:val="24"/>
        </w:rPr>
      </w:pPr>
    </w:p>
    <w:p w14:paraId="5093EAF3" w14:textId="77777777" w:rsidR="005D1E23" w:rsidRPr="002124C5" w:rsidRDefault="005D1E23" w:rsidP="005D1E23">
      <w:pPr>
        <w:spacing w:line="360" w:lineRule="auto"/>
        <w:ind w:left="567" w:right="567"/>
        <w:contextualSpacing/>
        <w:jc w:val="both"/>
        <w:rPr>
          <w:rFonts w:ascii="Palatino Linotype" w:eastAsia="Calibri" w:hAnsi="Palatino Linotype" w:cs="Tahoma"/>
          <w:i/>
          <w:iCs/>
          <w:color w:val="000000"/>
        </w:rPr>
      </w:pPr>
      <w:r w:rsidRPr="002124C5">
        <w:rPr>
          <w:rFonts w:ascii="Palatino Linotype" w:eastAsia="Calibri" w:hAnsi="Palatino Linotype" w:cs="Tahoma"/>
          <w:i/>
          <w:iCs/>
          <w:color w:val="000000"/>
        </w:rPr>
        <w:t>“</w:t>
      </w:r>
      <w:r w:rsidRPr="002124C5">
        <w:rPr>
          <w:rFonts w:ascii="Palatino Linotype" w:eastAsia="Calibri" w:hAnsi="Palatino Linotype" w:cs="Tahoma"/>
          <w:b/>
          <w:bCs/>
          <w:i/>
          <w:iCs/>
          <w:color w:val="000000"/>
        </w:rPr>
        <w:t>Clave catastral:</w:t>
      </w:r>
      <w:r w:rsidRPr="002124C5">
        <w:rPr>
          <w:rFonts w:ascii="Palatino Linotype" w:eastAsia="Calibri" w:hAnsi="Palatino Linotype" w:cs="Tahoma"/>
          <w:i/>
          <w:iCs/>
          <w:color w:val="000000"/>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14:paraId="55A95301" w14:textId="77777777" w:rsidR="005D1E23" w:rsidRDefault="005D1E23" w:rsidP="005D1E23">
      <w:pPr>
        <w:spacing w:line="360" w:lineRule="auto"/>
        <w:ind w:right="-93"/>
        <w:contextualSpacing/>
        <w:jc w:val="both"/>
        <w:rPr>
          <w:rFonts w:ascii="Palatino Linotype" w:hAnsi="Palatino Linotype" w:cs="Tahoma"/>
          <w:sz w:val="22"/>
          <w:szCs w:val="22"/>
          <w:lang w:val="es-ES"/>
        </w:rPr>
      </w:pPr>
    </w:p>
    <w:p w14:paraId="5BE22853" w14:textId="77777777" w:rsidR="005D1E23" w:rsidRDefault="005D1E23" w:rsidP="005D1E23">
      <w:pPr>
        <w:spacing w:line="360" w:lineRule="auto"/>
        <w:ind w:right="-93"/>
        <w:contextualSpacing/>
        <w:jc w:val="both"/>
        <w:rPr>
          <w:rFonts w:ascii="Palatino Linotype" w:hAnsi="Palatino Linotype" w:cs="Tahoma"/>
          <w:sz w:val="22"/>
          <w:szCs w:val="22"/>
        </w:rPr>
      </w:pPr>
      <w:r w:rsidRPr="002124C5">
        <w:rPr>
          <w:rFonts w:ascii="Palatino Linotype" w:hAnsi="Palatino Linotype" w:cs="Tahoma"/>
          <w:sz w:val="22"/>
          <w:szCs w:val="22"/>
        </w:rPr>
        <w:t>Así mismo, dicho diccionario estipula dos tipos de Claves catastrales, siendo estas la Estándar y la Original, cuyo diccionario de datos catastrales Escala 1:1000 del INEGI, las define como</w:t>
      </w:r>
    </w:p>
    <w:p w14:paraId="0E31E5A0" w14:textId="77777777" w:rsidR="005D1E23" w:rsidRDefault="005D1E23" w:rsidP="005D1E23">
      <w:pPr>
        <w:spacing w:line="360" w:lineRule="auto"/>
        <w:ind w:right="-93"/>
        <w:contextualSpacing/>
        <w:jc w:val="both"/>
        <w:rPr>
          <w:rFonts w:ascii="Palatino Linotype" w:hAnsi="Palatino Linotype" w:cs="Tahoma"/>
          <w:sz w:val="22"/>
          <w:szCs w:val="22"/>
        </w:rPr>
      </w:pPr>
    </w:p>
    <w:p w14:paraId="2B42ED10" w14:textId="77777777" w:rsidR="005D1E23" w:rsidRPr="002124C5" w:rsidRDefault="005D1E23" w:rsidP="005D1E23">
      <w:pPr>
        <w:spacing w:line="360" w:lineRule="auto"/>
        <w:ind w:left="567" w:right="567"/>
        <w:contextualSpacing/>
        <w:jc w:val="both"/>
        <w:rPr>
          <w:rFonts w:ascii="Palatino Linotype" w:hAnsi="Palatino Linotype" w:cs="Tahoma"/>
          <w:i/>
          <w:iCs/>
        </w:rPr>
      </w:pPr>
      <w:r w:rsidRPr="002124C5">
        <w:rPr>
          <w:rFonts w:ascii="Palatino Linotype" w:hAnsi="Palatino Linotype" w:cs="Tahoma"/>
          <w:i/>
          <w:iCs/>
        </w:rPr>
        <w:t>“</w:t>
      </w:r>
      <w:r w:rsidRPr="002124C5">
        <w:rPr>
          <w:rFonts w:ascii="Palatino Linotype" w:hAnsi="Palatino Linotype" w:cs="Tahoma"/>
          <w:b/>
          <w:bCs/>
          <w:i/>
          <w:iCs/>
        </w:rPr>
        <w:t>CLAVE CATASTRAL ESTÁNDAR:</w:t>
      </w:r>
      <w:r w:rsidRPr="002124C5">
        <w:rPr>
          <w:rFonts w:ascii="Palatino Linotype" w:hAnsi="Palatino Linotype" w:cs="Tahoma"/>
          <w:i/>
          <w:iCs/>
        </w:rPr>
        <w:t xml:space="preserve"> Código de 31 caracteres conformado por elementos administrativos y que identifica al objeto espacial en forma única para su localización, compuesto </w:t>
      </w:r>
      <w:r w:rsidRPr="002124C5">
        <w:rPr>
          <w:rFonts w:ascii="Palatino Linotype" w:hAnsi="Palatino Linotype" w:cs="Tahoma"/>
          <w:i/>
          <w:iCs/>
        </w:rPr>
        <w:lastRenderedPageBreak/>
        <w:t xml:space="preserve">por: Estado (2) + Región Catastral (3) + Municipio (3) + Zona Catastral (2) + Localidad (4) + Sector Catastral (3) + </w:t>
      </w:r>
      <w:proofErr w:type="gramStart"/>
      <w:r w:rsidRPr="002124C5">
        <w:rPr>
          <w:rFonts w:ascii="Palatino Linotype" w:hAnsi="Palatino Linotype" w:cs="Tahoma"/>
          <w:i/>
          <w:iCs/>
        </w:rPr>
        <w:t>Manzana(</w:t>
      </w:r>
      <w:proofErr w:type="gramEnd"/>
      <w:r w:rsidRPr="002124C5">
        <w:rPr>
          <w:rFonts w:ascii="Palatino Linotype" w:hAnsi="Palatino Linotype" w:cs="Tahoma"/>
          <w:i/>
          <w:iCs/>
        </w:rPr>
        <w:t xml:space="preserve">3) + Predio (5) + Condominio: edificio (2) y unidad (4). </w:t>
      </w:r>
    </w:p>
    <w:p w14:paraId="418D52A8" w14:textId="77777777" w:rsidR="005D1E23" w:rsidRPr="002124C5" w:rsidRDefault="005D1E23" w:rsidP="005D1E23">
      <w:pPr>
        <w:spacing w:line="360" w:lineRule="auto"/>
        <w:ind w:left="567" w:right="567"/>
        <w:contextualSpacing/>
        <w:jc w:val="both"/>
        <w:rPr>
          <w:rFonts w:ascii="Palatino Linotype" w:hAnsi="Palatino Linotype" w:cs="Tahoma"/>
          <w:i/>
          <w:iCs/>
        </w:rPr>
      </w:pPr>
    </w:p>
    <w:p w14:paraId="65A8DAAF" w14:textId="77777777" w:rsidR="005D1E23" w:rsidRPr="002124C5" w:rsidRDefault="005D1E23" w:rsidP="005D1E23">
      <w:pPr>
        <w:spacing w:line="360" w:lineRule="auto"/>
        <w:ind w:left="567" w:right="567"/>
        <w:contextualSpacing/>
        <w:jc w:val="both"/>
        <w:rPr>
          <w:rFonts w:ascii="Palatino Linotype" w:hAnsi="Palatino Linotype" w:cs="Tahoma"/>
          <w:i/>
          <w:iCs/>
          <w:lang w:val="es-ES"/>
        </w:rPr>
      </w:pPr>
      <w:r w:rsidRPr="002124C5">
        <w:rPr>
          <w:rFonts w:ascii="Palatino Linotype" w:hAnsi="Palatino Linotype" w:cs="Tahoma"/>
          <w:b/>
          <w:bCs/>
          <w:i/>
          <w:iCs/>
        </w:rPr>
        <w:t>CLAVE CATASTRAL ORIGINAL:</w:t>
      </w:r>
      <w:r w:rsidRPr="002124C5">
        <w:rPr>
          <w:rFonts w:ascii="Palatino Linotype" w:hAnsi="Palatino Linotype" w:cs="Tahoma"/>
          <w:i/>
          <w:iCs/>
        </w:rPr>
        <w:t xml:space="preserve"> Código que identifica al objeto espacial el cual es asignado, por el Catastro Estatal, Municipal o por el registro Agrario Nacional”</w:t>
      </w:r>
    </w:p>
    <w:p w14:paraId="19DA5BBF" w14:textId="77777777" w:rsidR="005D1E23" w:rsidRDefault="005D1E23" w:rsidP="005D1E23">
      <w:pPr>
        <w:spacing w:line="360" w:lineRule="auto"/>
        <w:contextualSpacing/>
        <w:jc w:val="both"/>
        <w:rPr>
          <w:rFonts w:ascii="Palatino Linotype" w:hAnsi="Palatino Linotype" w:cs="Tahoma"/>
          <w:b/>
          <w:sz w:val="22"/>
          <w:szCs w:val="22"/>
        </w:rPr>
      </w:pPr>
    </w:p>
    <w:p w14:paraId="5B4695D2" w14:textId="1073D217" w:rsidR="005D1E23" w:rsidRPr="005D1E23" w:rsidRDefault="005D1E23" w:rsidP="00052BAA">
      <w:pPr>
        <w:spacing w:line="360" w:lineRule="auto"/>
        <w:contextualSpacing/>
        <w:jc w:val="both"/>
        <w:rPr>
          <w:rFonts w:ascii="Palatino Linotype" w:hAnsi="Palatino Linotype" w:cs="Tahoma"/>
          <w:b/>
          <w:sz w:val="22"/>
          <w:szCs w:val="22"/>
        </w:rPr>
      </w:pPr>
      <w:r w:rsidRPr="002124C5">
        <w:rPr>
          <w:rFonts w:ascii="Palatino Linotype" w:hAnsi="Palatino Linotype" w:cs="Tahoma"/>
          <w:bCs/>
          <w:sz w:val="22"/>
          <w:szCs w:val="22"/>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2124C5">
        <w:rPr>
          <w:rFonts w:ascii="Palatino Linotype" w:hAnsi="Palatino Linotype" w:cs="Tahoma"/>
          <w:b/>
          <w:sz w:val="22"/>
          <w:szCs w:val="22"/>
        </w:rPr>
        <w:t>procede a clasificar dicho dato como confidencial.</w:t>
      </w:r>
    </w:p>
    <w:p w14:paraId="7F9E2C56" w14:textId="77777777" w:rsidR="005D1E23" w:rsidRDefault="005D1E23" w:rsidP="00052BAA">
      <w:pPr>
        <w:spacing w:line="360" w:lineRule="auto"/>
        <w:contextualSpacing/>
        <w:jc w:val="both"/>
        <w:rPr>
          <w:rFonts w:ascii="Palatino Linotype" w:eastAsia="Palatino Linotype" w:hAnsi="Palatino Linotype" w:cs="Palatino Linotype"/>
          <w:sz w:val="22"/>
          <w:szCs w:val="22"/>
        </w:rPr>
      </w:pPr>
    </w:p>
    <w:p w14:paraId="6BFE2FF0" w14:textId="77777777" w:rsidR="00052BAA" w:rsidRDefault="00052BAA" w:rsidP="00052BAA">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5679576"/>
      <w:bookmarkStart w:id="21" w:name="_Toc221810651"/>
      <w:r>
        <w:rPr>
          <w:rFonts w:ascii="Palatino Linotype" w:eastAsia="Palatino Linotype" w:hAnsi="Palatino Linotype" w:cs="Palatino Linotype"/>
          <w:b/>
          <w:color w:val="000000"/>
          <w:sz w:val="22"/>
          <w:szCs w:val="22"/>
        </w:rPr>
        <w:t>SEXTO. Decisión</w:t>
      </w:r>
      <w:bookmarkEnd w:id="20"/>
      <w:bookmarkEnd w:id="21"/>
    </w:p>
    <w:p w14:paraId="118203A6"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43D2BBB7" w14:textId="6B8636CB" w:rsidR="00052BAA" w:rsidRDefault="00052BAA" w:rsidP="00052BAA">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w:t>
      </w:r>
      <w:r w:rsidR="005D1E23" w:rsidRPr="00052BAA">
        <w:rPr>
          <w:rFonts w:ascii="Palatino Linotype" w:eastAsia="Palatino Linotype" w:hAnsi="Palatino Linotype" w:cs="Palatino Linotype"/>
          <w:sz w:val="22"/>
          <w:szCs w:val="22"/>
        </w:rPr>
        <w:t>00205/TEOLOYU/IP/2025</w:t>
      </w:r>
      <w:r>
        <w:rPr>
          <w:rFonts w:ascii="Palatino Linotype" w:eastAsia="Palatino Linotype" w:hAnsi="Palatino Linotype" w:cs="Palatino Linotype"/>
          <w:sz w:val="22"/>
          <w:szCs w:val="22"/>
        </w:rPr>
        <w:t>, a efecto de que, proporcione la información faltante.</w:t>
      </w:r>
    </w:p>
    <w:p w14:paraId="373D0ADB" w14:textId="77777777" w:rsidR="005D1E23" w:rsidRDefault="005D1E23" w:rsidP="00052BAA">
      <w:pPr>
        <w:tabs>
          <w:tab w:val="left" w:pos="4962"/>
        </w:tabs>
        <w:spacing w:line="360" w:lineRule="auto"/>
        <w:contextualSpacing/>
        <w:jc w:val="both"/>
        <w:rPr>
          <w:rFonts w:ascii="Palatino Linotype" w:eastAsia="Palatino Linotype" w:hAnsi="Palatino Linotype" w:cs="Palatino Linotype"/>
          <w:sz w:val="22"/>
          <w:szCs w:val="22"/>
        </w:rPr>
      </w:pPr>
    </w:p>
    <w:p w14:paraId="06782F1B" w14:textId="77777777" w:rsidR="00052BAA" w:rsidRDefault="00052BAA" w:rsidP="00052BAA">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Términos de la Resolución para el Recurrente</w:t>
      </w:r>
    </w:p>
    <w:p w14:paraId="4BB3C732" w14:textId="77777777" w:rsidR="00052BAA" w:rsidRDefault="00052BAA" w:rsidP="00052BAA">
      <w:pPr>
        <w:spacing w:line="360" w:lineRule="auto"/>
        <w:contextualSpacing/>
        <w:jc w:val="both"/>
        <w:rPr>
          <w:rFonts w:ascii="Palatino Linotype" w:eastAsia="Palatino Linotype" w:hAnsi="Palatino Linotype" w:cs="Palatino Linotype"/>
          <w:b/>
          <w:color w:val="000000"/>
          <w:sz w:val="22"/>
          <w:szCs w:val="22"/>
        </w:rPr>
      </w:pPr>
    </w:p>
    <w:p w14:paraId="4AED9F55" w14:textId="4199FB48" w:rsidR="00052BAA" w:rsidRDefault="00052BAA" w:rsidP="00052BAA">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5D1E23">
        <w:rPr>
          <w:rFonts w:ascii="Palatino Linotype" w:eastAsia="Palatino Linotype" w:hAnsi="Palatino Linotype" w:cs="Palatino Linotype"/>
          <w:color w:val="000000"/>
          <w:sz w:val="22"/>
          <w:szCs w:val="22"/>
        </w:rPr>
        <w:t>Teoloyucan</w:t>
      </w:r>
      <w:r>
        <w:rPr>
          <w:rFonts w:ascii="Palatino Linotype" w:eastAsia="Palatino Linotype" w:hAnsi="Palatino Linotype" w:cs="Palatino Linotype"/>
          <w:color w:val="000000"/>
          <w:sz w:val="22"/>
          <w:szCs w:val="22"/>
        </w:rPr>
        <w:t xml:space="preserve">, </w:t>
      </w:r>
      <w:r w:rsidR="005D1E23">
        <w:rPr>
          <w:rFonts w:ascii="Palatino Linotype" w:eastAsia="Palatino Linotype" w:hAnsi="Palatino Linotype" w:cs="Palatino Linotype"/>
          <w:color w:val="000000"/>
          <w:sz w:val="22"/>
          <w:szCs w:val="22"/>
        </w:rPr>
        <w:t>omitió la entrega de la información de forma completa</w:t>
      </w:r>
      <w:r>
        <w:rPr>
          <w:rFonts w:ascii="Palatino Linotype" w:eastAsia="Palatino Linotype" w:hAnsi="Palatino Linotype" w:cs="Palatino Linotype"/>
          <w:color w:val="000000"/>
          <w:sz w:val="22"/>
          <w:szCs w:val="22"/>
        </w:rPr>
        <w:t>, por lo que deberá</w:t>
      </w:r>
      <w:r w:rsidR="005D1E23">
        <w:rPr>
          <w:rFonts w:ascii="Palatino Linotype" w:eastAsia="Palatino Linotype" w:hAnsi="Palatino Linotype" w:cs="Palatino Linotype"/>
          <w:color w:val="000000"/>
          <w:sz w:val="22"/>
          <w:szCs w:val="22"/>
        </w:rPr>
        <w:t xml:space="preserve"> remitir la expresión documental en la que se advierta la información faltante</w:t>
      </w:r>
      <w:r>
        <w:rPr>
          <w:rFonts w:ascii="Palatino Linotype" w:eastAsia="Palatino Linotype" w:hAnsi="Palatino Linotype" w:cs="Palatino Linotype"/>
          <w:color w:val="000000"/>
          <w:sz w:val="22"/>
          <w:szCs w:val="22"/>
        </w:rPr>
        <w:t>. La labor del Instituto, es apoyar a la población para acceder a la información pública y garantizar la protección de los datos personales.</w:t>
      </w:r>
    </w:p>
    <w:p w14:paraId="19065560" w14:textId="77777777" w:rsidR="00052BAA" w:rsidRDefault="00052BAA" w:rsidP="00052BAA">
      <w:pPr>
        <w:spacing w:line="360" w:lineRule="auto"/>
        <w:contextualSpacing/>
        <w:jc w:val="both"/>
        <w:rPr>
          <w:rFonts w:ascii="Palatino Linotype" w:eastAsia="Palatino Linotype" w:hAnsi="Palatino Linotype" w:cs="Palatino Linotype"/>
          <w:color w:val="000000"/>
          <w:sz w:val="22"/>
          <w:szCs w:val="22"/>
        </w:rPr>
      </w:pPr>
    </w:p>
    <w:p w14:paraId="23060105" w14:textId="77777777" w:rsidR="00052BAA" w:rsidRDefault="00052BAA" w:rsidP="00052BAA">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Por lo expuesto y fundado, este Pleno:</w:t>
      </w:r>
    </w:p>
    <w:p w14:paraId="3861D8AF" w14:textId="77777777" w:rsidR="00052BAA" w:rsidRDefault="00052BAA" w:rsidP="00052BAA">
      <w:pPr>
        <w:spacing w:line="360" w:lineRule="auto"/>
        <w:ind w:right="-93"/>
        <w:contextualSpacing/>
        <w:jc w:val="both"/>
        <w:rPr>
          <w:rFonts w:ascii="Palatino Linotype" w:eastAsia="Palatino Linotype" w:hAnsi="Palatino Linotype" w:cs="Palatino Linotype"/>
          <w:color w:val="000000"/>
          <w:sz w:val="22"/>
          <w:szCs w:val="22"/>
        </w:rPr>
      </w:pPr>
    </w:p>
    <w:p w14:paraId="1CC29070" w14:textId="77777777" w:rsidR="00052BAA" w:rsidRDefault="00052BAA" w:rsidP="00052BAA">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2" w:name="_Toc215679577"/>
      <w:bookmarkStart w:id="23" w:name="_Toc221810652"/>
      <w:r>
        <w:rPr>
          <w:rFonts w:ascii="Palatino Linotype" w:eastAsia="Palatino Linotype" w:hAnsi="Palatino Linotype" w:cs="Palatino Linotype"/>
          <w:b/>
          <w:color w:val="000000"/>
          <w:sz w:val="22"/>
          <w:szCs w:val="22"/>
        </w:rPr>
        <w:t>R E S U E L V E</w:t>
      </w:r>
      <w:bookmarkEnd w:id="22"/>
      <w:bookmarkEnd w:id="23"/>
    </w:p>
    <w:p w14:paraId="6F2BCA83" w14:textId="77777777" w:rsidR="00052BAA" w:rsidRDefault="00052BAA" w:rsidP="00052BAA">
      <w:pPr>
        <w:spacing w:line="360" w:lineRule="auto"/>
        <w:ind w:right="-28"/>
        <w:contextualSpacing/>
        <w:jc w:val="both"/>
        <w:rPr>
          <w:rFonts w:ascii="Palatino Linotype" w:eastAsia="Palatino Linotype" w:hAnsi="Palatino Linotype" w:cs="Palatino Linotype"/>
          <w:b/>
          <w:sz w:val="22"/>
          <w:szCs w:val="22"/>
        </w:rPr>
      </w:pPr>
    </w:p>
    <w:p w14:paraId="7E04FBC5" w14:textId="1EA14D02" w:rsidR="00052BAA" w:rsidRDefault="00052BAA" w:rsidP="00052BAA">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r w:rsidR="0061024C">
        <w:rPr>
          <w:rFonts w:ascii="Palatino Linotype" w:eastAsia="Palatino Linotype" w:hAnsi="Palatino Linotype" w:cs="Palatino Linotype"/>
          <w:sz w:val="22"/>
          <w:szCs w:val="22"/>
        </w:rPr>
        <w:t xml:space="preserve">Teoloyucan </w:t>
      </w:r>
      <w:r>
        <w:rPr>
          <w:rFonts w:ascii="Palatino Linotype" w:eastAsia="Palatino Linotype" w:hAnsi="Palatino Linotype" w:cs="Palatino Linotype"/>
          <w:sz w:val="22"/>
          <w:szCs w:val="22"/>
        </w:rPr>
        <w:t xml:space="preserve">a la solicitud de información </w:t>
      </w:r>
      <w:r w:rsidR="005D1E23" w:rsidRPr="00052BAA">
        <w:rPr>
          <w:rFonts w:ascii="Palatino Linotype" w:eastAsia="Palatino Linotype" w:hAnsi="Palatino Linotype" w:cs="Palatino Linotype"/>
          <w:sz w:val="22"/>
          <w:szCs w:val="22"/>
        </w:rPr>
        <w:t>00205/TEOLOYU/IP/2025</w:t>
      </w:r>
      <w:r w:rsidR="005D1E23">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203BC242" w14:textId="77777777" w:rsidR="00052BAA" w:rsidRDefault="00052BAA" w:rsidP="00052BAA">
      <w:pPr>
        <w:widowControl w:val="0"/>
        <w:spacing w:line="360" w:lineRule="auto"/>
        <w:contextualSpacing/>
        <w:jc w:val="both"/>
        <w:rPr>
          <w:rFonts w:ascii="Palatino Linotype" w:eastAsia="Palatino Linotype" w:hAnsi="Palatino Linotype" w:cs="Palatino Linotype"/>
          <w:sz w:val="22"/>
          <w:szCs w:val="22"/>
        </w:rPr>
      </w:pPr>
    </w:p>
    <w:p w14:paraId="4EDA1644" w14:textId="06869635"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previa búsqueda exhaustiva y razonable en las unidades administrativas competentes, a través del SAIMEX</w:t>
      </w:r>
      <w:r>
        <w:rPr>
          <w:rFonts w:ascii="Palatino Linotype" w:hAnsi="Palatino Linotype"/>
          <w:sz w:val="22"/>
          <w:szCs w:val="22"/>
        </w:rPr>
        <w:t xml:space="preserve">, </w:t>
      </w:r>
      <w:r w:rsidR="0061024C">
        <w:rPr>
          <w:rFonts w:ascii="Palatino Linotype" w:hAnsi="Palatino Linotype"/>
          <w:sz w:val="22"/>
          <w:szCs w:val="22"/>
        </w:rPr>
        <w:t>en su caso en versión pública, l</w:t>
      </w:r>
      <w:r>
        <w:rPr>
          <w:rFonts w:ascii="Palatino Linotype" w:eastAsia="Palatino Linotype" w:hAnsi="Palatino Linotype" w:cs="Palatino Linotype"/>
          <w:sz w:val="22"/>
          <w:szCs w:val="22"/>
        </w:rPr>
        <w:t>os documentos que den cuenta de lo siguiente:</w:t>
      </w:r>
    </w:p>
    <w:p w14:paraId="65D7EF38" w14:textId="77777777" w:rsidR="0061024C" w:rsidRDefault="0061024C" w:rsidP="00052BAA">
      <w:pPr>
        <w:spacing w:line="360" w:lineRule="auto"/>
        <w:contextualSpacing/>
        <w:jc w:val="both"/>
        <w:rPr>
          <w:rFonts w:ascii="Palatino Linotype" w:eastAsia="Palatino Linotype" w:hAnsi="Palatino Linotype" w:cs="Palatino Linotype"/>
          <w:sz w:val="22"/>
          <w:szCs w:val="22"/>
        </w:rPr>
      </w:pPr>
    </w:p>
    <w:p w14:paraId="7DFCA5F7" w14:textId="53BAACA0" w:rsidR="0061024C" w:rsidRPr="0061024C" w:rsidRDefault="0061024C" w:rsidP="0061024C">
      <w:pPr>
        <w:pStyle w:val="Prrafodelista"/>
        <w:numPr>
          <w:ilvl w:val="0"/>
          <w:numId w:val="27"/>
        </w:numPr>
        <w:spacing w:line="360" w:lineRule="auto"/>
        <w:jc w:val="both"/>
        <w:rPr>
          <w:rFonts w:ascii="Palatino Linotype" w:hAnsi="Palatino Linotype"/>
          <w:color w:val="000000"/>
          <w:sz w:val="22"/>
          <w:szCs w:val="22"/>
        </w:rPr>
      </w:pPr>
      <w:r w:rsidRPr="0061024C">
        <w:rPr>
          <w:rFonts w:ascii="Palatino Linotype" w:hAnsi="Palatino Linotype"/>
          <w:color w:val="000000"/>
          <w:sz w:val="22"/>
          <w:szCs w:val="22"/>
        </w:rPr>
        <w:t xml:space="preserve">Planos manzaneros </w:t>
      </w:r>
      <w:r>
        <w:rPr>
          <w:rFonts w:ascii="Palatino Linotype" w:hAnsi="Palatino Linotype"/>
          <w:color w:val="000000"/>
          <w:sz w:val="22"/>
          <w:szCs w:val="22"/>
        </w:rPr>
        <w:t>señalados en respuesta</w:t>
      </w:r>
      <w:r w:rsidRPr="0061024C">
        <w:rPr>
          <w:rFonts w:ascii="Palatino Linotype" w:hAnsi="Palatino Linotype"/>
          <w:color w:val="000000"/>
          <w:sz w:val="22"/>
          <w:szCs w:val="22"/>
        </w:rPr>
        <w:t>, del primero de enero de dos mil veinte, al diez de marzo de dos mil veinticinco.</w:t>
      </w:r>
    </w:p>
    <w:p w14:paraId="5F9A42F4" w14:textId="77777777" w:rsidR="0061024C" w:rsidRPr="0061024C" w:rsidRDefault="0061024C" w:rsidP="00052BAA">
      <w:pPr>
        <w:spacing w:line="360" w:lineRule="auto"/>
        <w:contextualSpacing/>
        <w:jc w:val="both"/>
        <w:rPr>
          <w:rFonts w:ascii="Palatino Linotype" w:eastAsia="Palatino Linotype" w:hAnsi="Palatino Linotype" w:cs="Palatino Linotype"/>
          <w:sz w:val="22"/>
          <w:szCs w:val="22"/>
        </w:rPr>
      </w:pPr>
    </w:p>
    <w:p w14:paraId="1F951056" w14:textId="77777777" w:rsidR="00052BAA" w:rsidRDefault="00052BAA" w:rsidP="00052BAA">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48549367" w14:textId="77777777" w:rsidR="00052BAA" w:rsidRPr="002231CB" w:rsidRDefault="00052BAA" w:rsidP="00052BAA">
      <w:pPr>
        <w:spacing w:line="360" w:lineRule="auto"/>
        <w:contextualSpacing/>
        <w:jc w:val="both"/>
        <w:rPr>
          <w:rFonts w:ascii="Palatino Linotype" w:hAnsi="Palatino Linotype" w:cs="Tahoma"/>
          <w:bCs/>
          <w:iCs/>
          <w:sz w:val="22"/>
          <w:szCs w:val="22"/>
        </w:rPr>
      </w:pPr>
    </w:p>
    <w:p w14:paraId="6FA7B38D"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w:t>
      </w:r>
      <w:r>
        <w:rPr>
          <w:rFonts w:ascii="Palatino Linotype" w:eastAsia="Palatino Linotype" w:hAnsi="Palatino Linotype" w:cs="Palatino Linotype"/>
          <w:sz w:val="22"/>
          <w:szCs w:val="22"/>
        </w:rPr>
        <w:lastRenderedPageBreak/>
        <w:t xml:space="preserve">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0FA01FF6"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0CF6DE09"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75B0C58D"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9979A9A"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812BA78"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31887419" w14:textId="55B19876" w:rsidR="00052BAA" w:rsidRDefault="00052BAA" w:rsidP="00052B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D3F04">
        <w:rPr>
          <w:rFonts w:ascii="Palatino Linotype" w:eastAsia="Palatino Linotype" w:hAnsi="Palatino Linotype" w:cs="Palatino Linotype"/>
          <w:sz w:val="22"/>
          <w:szCs w:val="22"/>
        </w:rPr>
        <w:t>QUIN</w:t>
      </w:r>
      <w:r>
        <w:rPr>
          <w:rFonts w:ascii="Palatino Linotype" w:eastAsia="Palatino Linotype" w:hAnsi="Palatino Linotype" w:cs="Palatino Linotype"/>
          <w:sz w:val="22"/>
          <w:szCs w:val="22"/>
        </w:rPr>
        <w:t xml:space="preserve">TA SESIÓN ORDINARIA, CELEBRADA EL </w:t>
      </w:r>
      <w:r w:rsidR="002D3F04">
        <w:rPr>
          <w:rFonts w:ascii="Palatino Linotype" w:eastAsia="Palatino Linotype" w:hAnsi="Palatino Linotype" w:cs="Palatino Linotype"/>
          <w:sz w:val="22"/>
          <w:szCs w:val="22"/>
        </w:rPr>
        <w:t xml:space="preserve">ONCE </w:t>
      </w:r>
      <w:r>
        <w:rPr>
          <w:rFonts w:ascii="Palatino Linotype" w:eastAsia="Palatino Linotype" w:hAnsi="Palatino Linotype" w:cs="Palatino Linotype"/>
          <w:sz w:val="22"/>
          <w:szCs w:val="22"/>
        </w:rPr>
        <w:t>DE FEBRERO DE DOS MIL VEINTISÉIS, ANTE EL SECRETARIO TÉCNICO DEL PLENO, ALEXIS TAPIA RAMÍREZ.</w:t>
      </w:r>
    </w:p>
    <w:p w14:paraId="5ADAA924"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11979D8D"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0083EB0A" w14:textId="77777777" w:rsidR="00052BAA" w:rsidRDefault="00052BAA" w:rsidP="00052BAA">
      <w:pPr>
        <w:spacing w:line="360" w:lineRule="auto"/>
        <w:contextualSpacing/>
        <w:jc w:val="both"/>
        <w:rPr>
          <w:rFonts w:ascii="Palatino Linotype" w:eastAsia="Palatino Linotype" w:hAnsi="Palatino Linotype" w:cs="Palatino Linotype"/>
          <w:sz w:val="22"/>
          <w:szCs w:val="22"/>
        </w:rPr>
      </w:pPr>
    </w:p>
    <w:p w14:paraId="5FDC96AD" w14:textId="77777777" w:rsidR="00052BAA" w:rsidRDefault="00052BAA" w:rsidP="00052BAA">
      <w:pPr>
        <w:spacing w:line="360" w:lineRule="auto"/>
        <w:contextualSpacing/>
        <w:rPr>
          <w:rFonts w:ascii="Palatino Linotype" w:eastAsia="Palatino Linotype" w:hAnsi="Palatino Linotype" w:cs="Palatino Linotype"/>
        </w:rPr>
      </w:pPr>
    </w:p>
    <w:p w14:paraId="2C8D65F5" w14:textId="77777777" w:rsidR="00052BAA" w:rsidRDefault="00052BAA" w:rsidP="00052BAA">
      <w:pPr>
        <w:spacing w:line="360" w:lineRule="auto"/>
        <w:contextualSpacing/>
        <w:rPr>
          <w:rFonts w:ascii="Palatino Linotype" w:eastAsia="Palatino Linotype" w:hAnsi="Palatino Linotype" w:cs="Palatino Linotype"/>
        </w:rPr>
      </w:pPr>
    </w:p>
    <w:p w14:paraId="478D37A7" w14:textId="77777777" w:rsidR="00052BAA" w:rsidRDefault="00052BAA" w:rsidP="00052BAA">
      <w:pPr>
        <w:spacing w:line="360" w:lineRule="auto"/>
        <w:contextualSpacing/>
        <w:rPr>
          <w:rFonts w:ascii="Palatino Linotype" w:eastAsia="Palatino Linotype" w:hAnsi="Palatino Linotype" w:cs="Palatino Linotype"/>
        </w:rPr>
      </w:pPr>
    </w:p>
    <w:p w14:paraId="0F9CDEBB" w14:textId="77777777" w:rsidR="00052BAA" w:rsidRDefault="00052BAA" w:rsidP="00052BAA">
      <w:pPr>
        <w:spacing w:line="360" w:lineRule="auto"/>
        <w:contextualSpacing/>
        <w:rPr>
          <w:rFonts w:ascii="Palatino Linotype" w:eastAsia="Palatino Linotype" w:hAnsi="Palatino Linotype" w:cs="Palatino Linotype"/>
        </w:rPr>
      </w:pPr>
    </w:p>
    <w:p w14:paraId="10197657" w14:textId="77777777" w:rsidR="00052BAA" w:rsidRDefault="00052BAA" w:rsidP="00052BAA">
      <w:pPr>
        <w:spacing w:line="360" w:lineRule="auto"/>
        <w:contextualSpacing/>
        <w:rPr>
          <w:rFonts w:ascii="Palatino Linotype" w:eastAsia="Palatino Linotype" w:hAnsi="Palatino Linotype" w:cs="Palatino Linotype"/>
        </w:rPr>
      </w:pPr>
    </w:p>
    <w:p w14:paraId="3BDDA93E" w14:textId="77777777" w:rsidR="00052BAA" w:rsidRDefault="00052BAA" w:rsidP="00052BAA">
      <w:pPr>
        <w:spacing w:line="360" w:lineRule="auto"/>
        <w:contextualSpacing/>
        <w:rPr>
          <w:rFonts w:ascii="Palatino Linotype" w:eastAsia="Palatino Linotype" w:hAnsi="Palatino Linotype" w:cs="Palatino Linotype"/>
        </w:rPr>
      </w:pPr>
    </w:p>
    <w:p w14:paraId="41B28DDC" w14:textId="77777777" w:rsidR="00052BAA" w:rsidRDefault="00052BAA" w:rsidP="00052BAA">
      <w:pPr>
        <w:spacing w:line="360" w:lineRule="auto"/>
        <w:contextualSpacing/>
        <w:rPr>
          <w:rFonts w:ascii="Palatino Linotype" w:eastAsia="Palatino Linotype" w:hAnsi="Palatino Linotype" w:cs="Palatino Linotype"/>
        </w:rPr>
      </w:pPr>
    </w:p>
    <w:p w14:paraId="79F8FEB2" w14:textId="77777777" w:rsidR="00052BAA" w:rsidRDefault="00052BAA" w:rsidP="00052BAA">
      <w:pPr>
        <w:spacing w:line="360" w:lineRule="auto"/>
        <w:contextualSpacing/>
        <w:rPr>
          <w:rFonts w:ascii="Palatino Linotype" w:eastAsia="Palatino Linotype" w:hAnsi="Palatino Linotype" w:cs="Palatino Linotype"/>
        </w:rPr>
      </w:pPr>
    </w:p>
    <w:p w14:paraId="604FE155" w14:textId="77777777" w:rsidR="00052BAA" w:rsidRDefault="00052BAA" w:rsidP="00052BAA">
      <w:pPr>
        <w:spacing w:line="360" w:lineRule="auto"/>
        <w:contextualSpacing/>
        <w:rPr>
          <w:rFonts w:ascii="Palatino Linotype" w:eastAsia="Palatino Linotype" w:hAnsi="Palatino Linotype" w:cs="Palatino Linotype"/>
        </w:rPr>
      </w:pPr>
    </w:p>
    <w:p w14:paraId="73845EA8" w14:textId="77777777" w:rsidR="00052BAA" w:rsidRDefault="00052BAA" w:rsidP="00052BAA">
      <w:pPr>
        <w:spacing w:line="360" w:lineRule="auto"/>
        <w:contextualSpacing/>
        <w:rPr>
          <w:rFonts w:ascii="Palatino Linotype" w:eastAsia="Palatino Linotype" w:hAnsi="Palatino Linotype" w:cs="Palatino Linotype"/>
        </w:rPr>
      </w:pPr>
    </w:p>
    <w:p w14:paraId="383038A3" w14:textId="77777777" w:rsidR="00052BAA" w:rsidRDefault="00052BAA" w:rsidP="00052BAA">
      <w:pPr>
        <w:spacing w:line="360" w:lineRule="auto"/>
        <w:contextualSpacing/>
        <w:rPr>
          <w:rFonts w:ascii="Palatino Linotype" w:eastAsia="Palatino Linotype" w:hAnsi="Palatino Linotype" w:cs="Palatino Linotype"/>
        </w:rPr>
      </w:pPr>
    </w:p>
    <w:p w14:paraId="2CF98462" w14:textId="77777777" w:rsidR="00052BAA" w:rsidRDefault="00052BAA" w:rsidP="00052BAA">
      <w:pPr>
        <w:spacing w:line="360" w:lineRule="auto"/>
        <w:contextualSpacing/>
        <w:rPr>
          <w:rFonts w:ascii="Palatino Linotype" w:eastAsia="Palatino Linotype" w:hAnsi="Palatino Linotype" w:cs="Palatino Linotype"/>
        </w:rPr>
      </w:pPr>
    </w:p>
    <w:p w14:paraId="7B585BCB" w14:textId="77777777" w:rsidR="00052BAA" w:rsidRDefault="00052BAA" w:rsidP="00052BAA">
      <w:pPr>
        <w:spacing w:line="360" w:lineRule="auto"/>
        <w:contextualSpacing/>
        <w:rPr>
          <w:rFonts w:ascii="Palatino Linotype" w:eastAsia="Palatino Linotype" w:hAnsi="Palatino Linotype" w:cs="Palatino Linotype"/>
        </w:rPr>
      </w:pPr>
    </w:p>
    <w:p w14:paraId="07C683CB" w14:textId="77777777" w:rsidR="00052BAA" w:rsidRDefault="00052BAA" w:rsidP="00052BAA">
      <w:pPr>
        <w:spacing w:line="360" w:lineRule="auto"/>
        <w:contextualSpacing/>
        <w:rPr>
          <w:rFonts w:ascii="Palatino Linotype" w:eastAsia="Palatino Linotype" w:hAnsi="Palatino Linotype" w:cs="Palatino Linotype"/>
        </w:rPr>
      </w:pPr>
    </w:p>
    <w:p w14:paraId="65BABEC3" w14:textId="77777777" w:rsidR="00052BAA" w:rsidRDefault="00052BAA" w:rsidP="00052BAA">
      <w:pPr>
        <w:spacing w:line="360" w:lineRule="auto"/>
        <w:contextualSpacing/>
      </w:pPr>
    </w:p>
    <w:p w14:paraId="48352BA3" w14:textId="77777777" w:rsidR="00052BAA" w:rsidRDefault="00052BAA" w:rsidP="00052BAA">
      <w:pPr>
        <w:spacing w:line="360" w:lineRule="auto"/>
        <w:contextualSpacing/>
      </w:pPr>
    </w:p>
    <w:p w14:paraId="3AD7DC2A" w14:textId="77777777" w:rsidR="00052BAA" w:rsidRDefault="00052BAA" w:rsidP="00052BAA">
      <w:pPr>
        <w:spacing w:line="360" w:lineRule="auto"/>
        <w:contextualSpacing/>
      </w:pPr>
    </w:p>
    <w:p w14:paraId="062609D5" w14:textId="77777777" w:rsidR="00052BAA" w:rsidRDefault="00052BAA" w:rsidP="00052BAA">
      <w:pPr>
        <w:spacing w:line="360" w:lineRule="auto"/>
        <w:contextualSpacing/>
      </w:pPr>
    </w:p>
    <w:p w14:paraId="7C53EA4C" w14:textId="77777777" w:rsidR="00052BAA" w:rsidRDefault="00052BAA" w:rsidP="00052BAA">
      <w:pPr>
        <w:spacing w:line="360" w:lineRule="auto"/>
        <w:contextualSpacing/>
      </w:pPr>
    </w:p>
    <w:p w14:paraId="3A504F1C" w14:textId="77777777" w:rsidR="00052BAA" w:rsidRDefault="00052BAA" w:rsidP="00052BAA">
      <w:pPr>
        <w:spacing w:line="360" w:lineRule="auto"/>
        <w:contextualSpacing/>
      </w:pPr>
    </w:p>
    <w:bookmarkEnd w:id="0"/>
    <w:p w14:paraId="35F7B56C" w14:textId="77777777" w:rsidR="00052BAA" w:rsidRDefault="00052BAA" w:rsidP="00052BAA">
      <w:pPr>
        <w:spacing w:line="360" w:lineRule="auto"/>
        <w:contextualSpacing/>
      </w:pPr>
    </w:p>
    <w:p w14:paraId="7AF7B850" w14:textId="77777777" w:rsidR="00052BAA" w:rsidRDefault="00052BAA" w:rsidP="00052BAA">
      <w:pPr>
        <w:spacing w:line="360" w:lineRule="auto"/>
        <w:contextualSpacing/>
      </w:pPr>
    </w:p>
    <w:p w14:paraId="0C66CB3A" w14:textId="77777777" w:rsidR="00052BAA" w:rsidRDefault="00052BAA" w:rsidP="00052BAA">
      <w:pPr>
        <w:spacing w:line="360" w:lineRule="auto"/>
        <w:contextualSpacing/>
      </w:pPr>
    </w:p>
    <w:p w14:paraId="5E8F34C7" w14:textId="77777777" w:rsidR="00052BAA" w:rsidRDefault="00052BAA" w:rsidP="00052BAA">
      <w:pPr>
        <w:spacing w:line="360" w:lineRule="auto"/>
        <w:contextualSpacing/>
      </w:pPr>
    </w:p>
    <w:p w14:paraId="36E8A5CA" w14:textId="77777777" w:rsidR="00052BAA" w:rsidRDefault="00052BAA" w:rsidP="00052BAA">
      <w:pPr>
        <w:spacing w:line="360" w:lineRule="auto"/>
        <w:contextualSpacing/>
      </w:pPr>
    </w:p>
    <w:p w14:paraId="162CF4A7" w14:textId="77777777" w:rsidR="00052BAA" w:rsidRDefault="00052BAA" w:rsidP="00052BAA">
      <w:pPr>
        <w:spacing w:line="360" w:lineRule="auto"/>
        <w:contextualSpacing/>
      </w:pPr>
    </w:p>
    <w:p w14:paraId="55B25BF8" w14:textId="77777777" w:rsidR="00052BAA" w:rsidRDefault="00052BAA" w:rsidP="00052BAA">
      <w:pPr>
        <w:spacing w:line="360" w:lineRule="auto"/>
        <w:contextualSpacing/>
      </w:pPr>
    </w:p>
    <w:p w14:paraId="367F26DD" w14:textId="77777777" w:rsidR="00052BAA" w:rsidRDefault="00052BAA" w:rsidP="00052BAA">
      <w:pPr>
        <w:spacing w:line="360" w:lineRule="auto"/>
        <w:contextualSpacing/>
      </w:pPr>
    </w:p>
    <w:p w14:paraId="4702CA18" w14:textId="77777777" w:rsidR="00B01980" w:rsidRDefault="00B01980"/>
    <w:sectPr w:rsidR="00B01980" w:rsidSect="00052BA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1CAD" w14:textId="77777777" w:rsidR="007E0753" w:rsidRDefault="007E0753" w:rsidP="00052BAA">
      <w:r>
        <w:separator/>
      </w:r>
    </w:p>
  </w:endnote>
  <w:endnote w:type="continuationSeparator" w:id="0">
    <w:p w14:paraId="1AC570C0" w14:textId="77777777" w:rsidR="007E0753" w:rsidRDefault="007E0753" w:rsidP="0005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93D" w14:textId="77777777" w:rsidR="00052BAA" w:rsidRDefault="00052BAA">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B0893">
      <w:rPr>
        <w:rFonts w:ascii="Palatino Linotype" w:eastAsia="Palatino Linotype" w:hAnsi="Palatino Linotype" w:cs="Palatino Linotype"/>
        <w:b/>
        <w:noProof/>
        <w:color w:val="000000"/>
        <w:sz w:val="22"/>
        <w:szCs w:val="22"/>
      </w:rPr>
      <w:t>27</w:t>
    </w:r>
    <w:r>
      <w:rPr>
        <w:rFonts w:ascii="Palatino Linotype" w:eastAsia="Palatino Linotype" w:hAnsi="Palatino Linotype" w:cs="Palatino Linotype"/>
        <w:b/>
        <w:color w:val="000000"/>
        <w:sz w:val="22"/>
        <w:szCs w:val="22"/>
      </w:rPr>
      <w:fldChar w:fldCharType="end"/>
    </w:r>
  </w:p>
  <w:p w14:paraId="0D70D7AF" w14:textId="77777777" w:rsidR="00052BAA" w:rsidRDefault="00052BA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B192" w14:textId="77777777" w:rsidR="00052BAA" w:rsidRDefault="00052BAA">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B0893">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B0893">
      <w:rPr>
        <w:rFonts w:ascii="Palatino Linotype" w:eastAsia="Palatino Linotype" w:hAnsi="Palatino Linotype" w:cs="Palatino Linotype"/>
        <w:b/>
        <w:noProof/>
        <w:color w:val="000000"/>
        <w:sz w:val="22"/>
        <w:szCs w:val="22"/>
      </w:rPr>
      <w:t>27</w:t>
    </w:r>
    <w:r>
      <w:rPr>
        <w:rFonts w:ascii="Palatino Linotype" w:eastAsia="Palatino Linotype" w:hAnsi="Palatino Linotype" w:cs="Palatino Linotype"/>
        <w:b/>
        <w:color w:val="000000"/>
        <w:sz w:val="22"/>
        <w:szCs w:val="22"/>
      </w:rPr>
      <w:fldChar w:fldCharType="end"/>
    </w:r>
  </w:p>
  <w:p w14:paraId="6745EC74" w14:textId="77777777" w:rsidR="00052BAA" w:rsidRDefault="00052BAA">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DDBE" w14:textId="77777777" w:rsidR="00052BAA" w:rsidRDefault="00052BA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B0893">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B0893">
      <w:rPr>
        <w:rFonts w:ascii="Palatino Linotype" w:eastAsia="Palatino Linotype" w:hAnsi="Palatino Linotype" w:cs="Palatino Linotype"/>
        <w:b/>
        <w:noProof/>
        <w:color w:val="000000"/>
        <w:sz w:val="22"/>
        <w:szCs w:val="22"/>
      </w:rPr>
      <w:t>27</w:t>
    </w:r>
    <w:r>
      <w:rPr>
        <w:rFonts w:ascii="Palatino Linotype" w:eastAsia="Palatino Linotype" w:hAnsi="Palatino Linotype" w:cs="Palatino Linotype"/>
        <w:b/>
        <w:color w:val="000000"/>
        <w:sz w:val="22"/>
        <w:szCs w:val="22"/>
      </w:rPr>
      <w:fldChar w:fldCharType="end"/>
    </w:r>
  </w:p>
  <w:p w14:paraId="3C4D99D7" w14:textId="77777777" w:rsidR="00052BAA" w:rsidRDefault="00052BA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F0D5" w14:textId="77777777" w:rsidR="007E0753" w:rsidRDefault="007E0753" w:rsidP="00052BAA">
      <w:r>
        <w:separator/>
      </w:r>
    </w:p>
  </w:footnote>
  <w:footnote w:type="continuationSeparator" w:id="0">
    <w:p w14:paraId="3338213C" w14:textId="77777777" w:rsidR="007E0753" w:rsidRDefault="007E0753" w:rsidP="0005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914C" w14:textId="77777777" w:rsidR="00052BAA" w:rsidRDefault="00052BAA">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052BAA" w14:paraId="1598E901" w14:textId="77777777">
      <w:trPr>
        <w:trHeight w:val="1435"/>
      </w:trPr>
      <w:tc>
        <w:tcPr>
          <w:tcW w:w="2972" w:type="dxa"/>
        </w:tcPr>
        <w:p w14:paraId="0E880713" w14:textId="77777777" w:rsidR="00052BAA" w:rsidRDefault="00052BAA">
          <w:pPr>
            <w:tabs>
              <w:tab w:val="right" w:pos="4273"/>
            </w:tabs>
            <w:spacing w:line="256" w:lineRule="auto"/>
            <w:rPr>
              <w:rFonts w:ascii="Garamond" w:eastAsia="Garamond" w:hAnsi="Garamond" w:cs="Garamond"/>
              <w:sz w:val="22"/>
              <w:szCs w:val="22"/>
            </w:rPr>
          </w:pPr>
        </w:p>
      </w:tc>
      <w:tc>
        <w:tcPr>
          <w:tcW w:w="6733" w:type="dxa"/>
        </w:tcPr>
        <w:p w14:paraId="13841E20" w14:textId="77777777" w:rsidR="00052BAA" w:rsidRDefault="00052BAA">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052BAA" w14:paraId="63CCAABE" w14:textId="77777777">
            <w:trPr>
              <w:trHeight w:val="144"/>
            </w:trPr>
            <w:tc>
              <w:tcPr>
                <w:tcW w:w="2447" w:type="dxa"/>
              </w:tcPr>
              <w:p w14:paraId="4E846A45" w14:textId="77777777" w:rsidR="00052BAA" w:rsidRDefault="00052BAA">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8EDBF32" w14:textId="77777777" w:rsidR="00052BAA" w:rsidRDefault="00052BAA">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052BAA" w14:paraId="1D68AE9F" w14:textId="77777777">
            <w:trPr>
              <w:trHeight w:val="283"/>
            </w:trPr>
            <w:tc>
              <w:tcPr>
                <w:tcW w:w="2447" w:type="dxa"/>
              </w:tcPr>
              <w:p w14:paraId="3DBF2319" w14:textId="77777777" w:rsidR="00052BAA" w:rsidRDefault="00052BAA">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8B25B62" w14:textId="77777777" w:rsidR="00052BAA" w:rsidRDefault="00052BAA">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052BAA" w14:paraId="40A73F2D" w14:textId="77777777">
            <w:trPr>
              <w:trHeight w:val="283"/>
            </w:trPr>
            <w:tc>
              <w:tcPr>
                <w:tcW w:w="2447" w:type="dxa"/>
              </w:tcPr>
              <w:p w14:paraId="53FFD271" w14:textId="77777777" w:rsidR="00052BAA" w:rsidRDefault="00052BAA">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18391A3C" w14:textId="77777777" w:rsidR="00052BAA" w:rsidRDefault="00052BAA">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61B039D3" w14:textId="77777777" w:rsidR="00052BAA" w:rsidRDefault="00052BAA">
                <w:pPr>
                  <w:tabs>
                    <w:tab w:val="right" w:pos="8838"/>
                  </w:tabs>
                  <w:ind w:left="-74" w:right="-105"/>
                  <w:jc w:val="both"/>
                  <w:rPr>
                    <w:rFonts w:ascii="Palatino Linotype" w:eastAsia="Palatino Linotype" w:hAnsi="Palatino Linotype" w:cs="Palatino Linotype"/>
                    <w:b/>
                    <w:sz w:val="22"/>
                    <w:szCs w:val="22"/>
                  </w:rPr>
                </w:pPr>
              </w:p>
            </w:tc>
          </w:tr>
        </w:tbl>
        <w:p w14:paraId="6B2F6DEC" w14:textId="77777777" w:rsidR="00052BAA" w:rsidRDefault="00052BAA">
          <w:pPr>
            <w:tabs>
              <w:tab w:val="right" w:pos="8838"/>
            </w:tabs>
            <w:spacing w:line="256" w:lineRule="auto"/>
            <w:ind w:left="-28"/>
            <w:jc w:val="both"/>
            <w:rPr>
              <w:rFonts w:ascii="Arial" w:eastAsia="Arial" w:hAnsi="Arial" w:cs="Arial"/>
              <w:b/>
              <w:sz w:val="22"/>
              <w:szCs w:val="22"/>
            </w:rPr>
          </w:pPr>
        </w:p>
      </w:tc>
    </w:tr>
  </w:tbl>
  <w:p w14:paraId="262F7EFE" w14:textId="77777777" w:rsidR="00052BAA" w:rsidRDefault="00052BAA">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1F907972" wp14:editId="048FC23D">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B277" w14:textId="77777777" w:rsidR="00052BAA" w:rsidRDefault="00052BAA">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052BAA" w14:paraId="080791E2" w14:textId="77777777">
      <w:trPr>
        <w:trHeight w:val="1435"/>
      </w:trPr>
      <w:tc>
        <w:tcPr>
          <w:tcW w:w="1985" w:type="dxa"/>
        </w:tcPr>
        <w:p w14:paraId="56004E34" w14:textId="77777777" w:rsidR="00052BAA" w:rsidRDefault="00052BAA">
          <w:pPr>
            <w:tabs>
              <w:tab w:val="right" w:pos="4273"/>
            </w:tabs>
            <w:spacing w:line="256" w:lineRule="auto"/>
            <w:rPr>
              <w:rFonts w:ascii="Garamond" w:eastAsia="Garamond" w:hAnsi="Garamond" w:cs="Garamond"/>
              <w:sz w:val="22"/>
              <w:szCs w:val="22"/>
            </w:rPr>
          </w:pPr>
        </w:p>
      </w:tc>
      <w:tc>
        <w:tcPr>
          <w:tcW w:w="7371" w:type="dxa"/>
        </w:tcPr>
        <w:p w14:paraId="64C50BF6" w14:textId="77777777" w:rsidR="00052BAA" w:rsidRDefault="00052BAA">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700"/>
            <w:gridCol w:w="3118"/>
            <w:gridCol w:w="2254"/>
          </w:tblGrid>
          <w:tr w:rsidR="00052BAA" w14:paraId="576A9D1B" w14:textId="77777777" w:rsidTr="00052BAA">
            <w:trPr>
              <w:trHeight w:val="194"/>
            </w:trPr>
            <w:tc>
              <w:tcPr>
                <w:tcW w:w="2700" w:type="dxa"/>
              </w:tcPr>
              <w:p w14:paraId="7668CBDC" w14:textId="77777777" w:rsidR="00052BAA" w:rsidRDefault="00052BAA">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118" w:type="dxa"/>
              </w:tcPr>
              <w:p w14:paraId="2D619B8D" w14:textId="0928FCE8" w:rsidR="00052BAA" w:rsidRDefault="00052BAA" w:rsidP="00C56AE9">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04616/INFOEM/IP/RR/2025</w:t>
                </w:r>
              </w:p>
            </w:tc>
            <w:tc>
              <w:tcPr>
                <w:tcW w:w="2254" w:type="dxa"/>
              </w:tcPr>
              <w:p w14:paraId="149947F7" w14:textId="77777777" w:rsidR="00052BAA" w:rsidRDefault="00052BAA">
                <w:pPr>
                  <w:tabs>
                    <w:tab w:val="right" w:pos="8838"/>
                  </w:tabs>
                  <w:ind w:left="-114" w:right="-105"/>
                  <w:jc w:val="both"/>
                  <w:rPr>
                    <w:rFonts w:ascii="Palatino Linotype" w:eastAsia="Palatino Linotype" w:hAnsi="Palatino Linotype" w:cs="Palatino Linotype"/>
                    <w:sz w:val="22"/>
                    <w:szCs w:val="22"/>
                  </w:rPr>
                </w:pPr>
              </w:p>
            </w:tc>
          </w:tr>
          <w:tr w:rsidR="00052BAA" w14:paraId="7D59F482" w14:textId="77777777" w:rsidTr="00052BAA">
            <w:trPr>
              <w:trHeight w:val="88"/>
            </w:trPr>
            <w:tc>
              <w:tcPr>
                <w:tcW w:w="2700" w:type="dxa"/>
              </w:tcPr>
              <w:p w14:paraId="3019EE80" w14:textId="77777777" w:rsidR="00052BAA" w:rsidRDefault="00052BAA">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118" w:type="dxa"/>
              </w:tcPr>
              <w:p w14:paraId="6DDF683C" w14:textId="3D17C7F0" w:rsidR="00052BAA" w:rsidRPr="00FE651E" w:rsidRDefault="00052BAA" w:rsidP="00C56AE9">
                <w:pPr>
                  <w:tabs>
                    <w:tab w:val="left" w:pos="2834"/>
                    <w:tab w:val="right" w:pos="8838"/>
                  </w:tabs>
                  <w:ind w:left="-57"/>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Ayuntamiento de Teoloyucan </w:t>
                </w:r>
              </w:p>
            </w:tc>
            <w:tc>
              <w:tcPr>
                <w:tcW w:w="2254" w:type="dxa"/>
              </w:tcPr>
              <w:p w14:paraId="2EAEA76E" w14:textId="77777777" w:rsidR="00052BAA" w:rsidRDefault="00052BAA">
                <w:pPr>
                  <w:tabs>
                    <w:tab w:val="left" w:pos="2834"/>
                    <w:tab w:val="right" w:pos="8838"/>
                  </w:tabs>
                  <w:ind w:left="-114"/>
                  <w:jc w:val="both"/>
                  <w:rPr>
                    <w:rFonts w:ascii="Palatino Linotype" w:eastAsia="Palatino Linotype" w:hAnsi="Palatino Linotype" w:cs="Palatino Linotype"/>
                    <w:sz w:val="22"/>
                    <w:szCs w:val="22"/>
                  </w:rPr>
                </w:pPr>
              </w:p>
            </w:tc>
          </w:tr>
          <w:tr w:rsidR="00052BAA" w14:paraId="02C72C34" w14:textId="77777777" w:rsidTr="00052BAA">
            <w:trPr>
              <w:trHeight w:val="383"/>
            </w:trPr>
            <w:tc>
              <w:tcPr>
                <w:tcW w:w="2700" w:type="dxa"/>
              </w:tcPr>
              <w:p w14:paraId="7F061F5A" w14:textId="77777777" w:rsidR="00052BAA" w:rsidRDefault="00052BAA">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118" w:type="dxa"/>
              </w:tcPr>
              <w:p w14:paraId="28EDB0EA" w14:textId="77777777" w:rsidR="00052BAA" w:rsidRDefault="00052BAA" w:rsidP="00C56AE9">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54" w:type="dxa"/>
              </w:tcPr>
              <w:p w14:paraId="41A8C62B" w14:textId="77777777" w:rsidR="00052BAA" w:rsidRDefault="00052BAA">
                <w:pPr>
                  <w:tabs>
                    <w:tab w:val="right" w:pos="8838"/>
                  </w:tabs>
                  <w:ind w:left="-114" w:right="-105"/>
                  <w:jc w:val="both"/>
                  <w:rPr>
                    <w:rFonts w:ascii="Palatino Linotype" w:eastAsia="Palatino Linotype" w:hAnsi="Palatino Linotype" w:cs="Palatino Linotype"/>
                    <w:sz w:val="22"/>
                    <w:szCs w:val="22"/>
                  </w:rPr>
                </w:pPr>
              </w:p>
            </w:tc>
          </w:tr>
        </w:tbl>
        <w:p w14:paraId="2DF76C6E" w14:textId="77777777" w:rsidR="00052BAA" w:rsidRDefault="00052BAA">
          <w:pPr>
            <w:tabs>
              <w:tab w:val="right" w:pos="8838"/>
            </w:tabs>
            <w:spacing w:line="256" w:lineRule="auto"/>
            <w:ind w:left="-28"/>
            <w:jc w:val="both"/>
            <w:rPr>
              <w:rFonts w:ascii="Arial" w:eastAsia="Arial" w:hAnsi="Arial" w:cs="Arial"/>
              <w:b/>
              <w:sz w:val="22"/>
              <w:szCs w:val="22"/>
            </w:rPr>
          </w:pPr>
        </w:p>
      </w:tc>
    </w:tr>
  </w:tbl>
  <w:p w14:paraId="25742E05" w14:textId="77777777" w:rsidR="00052BAA" w:rsidRDefault="00052BAA">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1A1B5E00" wp14:editId="26F1F68D">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758D" w14:textId="771CEAE7" w:rsidR="00052BAA" w:rsidRDefault="00052BAA">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052BAA" w14:paraId="3BA91536" w14:textId="77777777">
      <w:trPr>
        <w:trHeight w:val="1435"/>
      </w:trPr>
      <w:tc>
        <w:tcPr>
          <w:tcW w:w="1560" w:type="dxa"/>
        </w:tcPr>
        <w:p w14:paraId="640B80C8" w14:textId="77777777" w:rsidR="00052BAA" w:rsidRDefault="00052BAA">
          <w:pPr>
            <w:tabs>
              <w:tab w:val="right" w:pos="4273"/>
            </w:tabs>
            <w:spacing w:line="256" w:lineRule="auto"/>
            <w:rPr>
              <w:rFonts w:ascii="Garamond" w:eastAsia="Garamond" w:hAnsi="Garamond" w:cs="Garamond"/>
              <w:sz w:val="22"/>
              <w:szCs w:val="22"/>
            </w:rPr>
          </w:pPr>
        </w:p>
      </w:tc>
      <w:tc>
        <w:tcPr>
          <w:tcW w:w="7654" w:type="dxa"/>
        </w:tcPr>
        <w:p w14:paraId="285866CD" w14:textId="77777777" w:rsidR="00052BAA" w:rsidRDefault="00052BAA">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531"/>
            <w:gridCol w:w="3119"/>
          </w:tblGrid>
          <w:tr w:rsidR="00052BAA" w14:paraId="10CFF709" w14:textId="77777777" w:rsidTr="00052BAA">
            <w:trPr>
              <w:trHeight w:val="155"/>
            </w:trPr>
            <w:tc>
              <w:tcPr>
                <w:tcW w:w="3531" w:type="dxa"/>
              </w:tcPr>
              <w:p w14:paraId="626CA0C2" w14:textId="3373B476" w:rsidR="00052BAA" w:rsidRDefault="00052BAA">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119" w:type="dxa"/>
              </w:tcPr>
              <w:p w14:paraId="7C602DF4" w14:textId="7F9F9460" w:rsidR="00052BAA" w:rsidRDefault="00052BAA">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04616/INFOEM/IP/RR/2025 </w:t>
                </w:r>
              </w:p>
            </w:tc>
          </w:tr>
          <w:tr w:rsidR="00052BAA" w14:paraId="28B31A66" w14:textId="77777777" w:rsidTr="00052BAA">
            <w:trPr>
              <w:trHeight w:val="155"/>
            </w:trPr>
            <w:tc>
              <w:tcPr>
                <w:tcW w:w="3531" w:type="dxa"/>
              </w:tcPr>
              <w:p w14:paraId="1544BE75" w14:textId="57E97D2B" w:rsidR="00052BAA" w:rsidRDefault="00052BAA">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119" w:type="dxa"/>
              </w:tcPr>
              <w:p w14:paraId="094B4C19" w14:textId="670640AB" w:rsidR="00052BAA" w:rsidRDefault="00E956B1">
                <w:pPr>
                  <w:tabs>
                    <w:tab w:val="left" w:pos="3122"/>
                    <w:tab w:val="right" w:pos="8838"/>
                  </w:tabs>
                  <w:ind w:left="-74" w:right="-105"/>
                  <w:jc w:val="both"/>
                  <w:rPr>
                    <w:rFonts w:ascii="Palatino Linotype" w:eastAsia="Palatino Linotype" w:hAnsi="Palatino Linotype" w:cs="Palatino Linotype"/>
                    <w:sz w:val="22"/>
                    <w:szCs w:val="22"/>
                  </w:rPr>
                </w:pPr>
                <w:r w:rsidRPr="00E956B1">
                  <w:rPr>
                    <w:rFonts w:ascii="Palatino Linotype" w:eastAsia="Palatino Linotype" w:hAnsi="Palatino Linotype" w:cs="Palatino Linotype"/>
                    <w:sz w:val="22"/>
                    <w:szCs w:val="22"/>
                    <w:highlight w:val="black"/>
                  </w:rPr>
                  <w:t>XXXXXXXXXXXXXXXXXXX</w:t>
                </w:r>
              </w:p>
            </w:tc>
          </w:tr>
          <w:tr w:rsidR="00052BAA" w14:paraId="4202BC81" w14:textId="77777777" w:rsidTr="00052BAA">
            <w:trPr>
              <w:trHeight w:val="309"/>
            </w:trPr>
            <w:tc>
              <w:tcPr>
                <w:tcW w:w="3531" w:type="dxa"/>
              </w:tcPr>
              <w:p w14:paraId="7A08812F" w14:textId="79D76924" w:rsidR="00052BAA" w:rsidRDefault="00052BAA">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119" w:type="dxa"/>
              </w:tcPr>
              <w:p w14:paraId="3350E8E1" w14:textId="29334554" w:rsidR="00052BAA" w:rsidRPr="00FE651E" w:rsidRDefault="00052BAA">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Teoloyucan</w:t>
                </w:r>
              </w:p>
            </w:tc>
          </w:tr>
          <w:tr w:rsidR="00052BAA" w14:paraId="1F898CE5" w14:textId="77777777" w:rsidTr="00052BAA">
            <w:trPr>
              <w:trHeight w:val="309"/>
            </w:trPr>
            <w:tc>
              <w:tcPr>
                <w:tcW w:w="3531" w:type="dxa"/>
              </w:tcPr>
              <w:p w14:paraId="7E06869D" w14:textId="424F5E09" w:rsidR="00052BAA" w:rsidRDefault="00052BAA">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119" w:type="dxa"/>
              </w:tcPr>
              <w:p w14:paraId="5B672880" w14:textId="77777777" w:rsidR="00052BAA" w:rsidRDefault="00052BAA">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AEEF139" w14:textId="77777777" w:rsidR="00052BAA" w:rsidRDefault="00052BAA">
          <w:pPr>
            <w:tabs>
              <w:tab w:val="right" w:pos="8838"/>
            </w:tabs>
            <w:spacing w:line="256" w:lineRule="auto"/>
            <w:ind w:left="-28"/>
            <w:jc w:val="both"/>
            <w:rPr>
              <w:rFonts w:ascii="Arial" w:eastAsia="Arial" w:hAnsi="Arial" w:cs="Arial"/>
              <w:b/>
              <w:sz w:val="22"/>
              <w:szCs w:val="22"/>
            </w:rPr>
          </w:pPr>
        </w:p>
      </w:tc>
    </w:tr>
  </w:tbl>
  <w:p w14:paraId="609F9C0C" w14:textId="77777777" w:rsidR="00052BAA"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2B8C3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D67CC"/>
    <w:multiLevelType w:val="hybridMultilevel"/>
    <w:tmpl w:val="7A7420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560760D"/>
    <w:multiLevelType w:val="hybridMultilevel"/>
    <w:tmpl w:val="661CB91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7B406F"/>
    <w:multiLevelType w:val="hybridMultilevel"/>
    <w:tmpl w:val="253AA76E"/>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F0140A"/>
    <w:multiLevelType w:val="hybridMultilevel"/>
    <w:tmpl w:val="0464C9BA"/>
    <w:lvl w:ilvl="0" w:tplc="453A47E0">
      <w:start w:val="1"/>
      <w:numFmt w:val="upperRoman"/>
      <w:lvlText w:val="%1."/>
      <w:lvlJc w:val="left"/>
      <w:pPr>
        <w:ind w:left="1080" w:hanging="720"/>
      </w:pPr>
      <w:rPr>
        <w:rFonts w:hint="default"/>
      </w:rPr>
    </w:lvl>
    <w:lvl w:ilvl="1" w:tplc="665A030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0194A"/>
    <w:multiLevelType w:val="hybridMultilevel"/>
    <w:tmpl w:val="D2D25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174F59"/>
    <w:multiLevelType w:val="multilevel"/>
    <w:tmpl w:val="B3F2D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1837D5"/>
    <w:multiLevelType w:val="hybridMultilevel"/>
    <w:tmpl w:val="2C0C5812"/>
    <w:lvl w:ilvl="0" w:tplc="78E0C78E">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42475D"/>
    <w:multiLevelType w:val="hybridMultilevel"/>
    <w:tmpl w:val="B19E6A98"/>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731869"/>
    <w:multiLevelType w:val="hybridMultilevel"/>
    <w:tmpl w:val="29FAD100"/>
    <w:lvl w:ilvl="0" w:tplc="FFFFFFFF">
      <w:start w:val="1"/>
      <w:numFmt w:val="bullet"/>
      <w:lvlText w:val=""/>
      <w:lvlJc w:val="left"/>
      <w:pPr>
        <w:ind w:left="720" w:hanging="360"/>
      </w:pPr>
      <w:rPr>
        <w:rFonts w:ascii="Symbol" w:hAnsi="Symbol" w:hint="default"/>
      </w:rPr>
    </w:lvl>
    <w:lvl w:ilvl="1" w:tplc="453A47E0">
      <w:start w:val="1"/>
      <w:numFmt w:val="upperRoman"/>
      <w:lvlText w:val="%2."/>
      <w:lvlJc w:val="left"/>
      <w:pPr>
        <w:ind w:left="108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2363CB"/>
    <w:multiLevelType w:val="hybridMultilevel"/>
    <w:tmpl w:val="26FCFD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8576A6"/>
    <w:multiLevelType w:val="hybridMultilevel"/>
    <w:tmpl w:val="2CBEE8EA"/>
    <w:lvl w:ilvl="0" w:tplc="26C8098A">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D69DD"/>
    <w:multiLevelType w:val="hybridMultilevel"/>
    <w:tmpl w:val="20BE907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8723AD"/>
    <w:multiLevelType w:val="hybridMultilevel"/>
    <w:tmpl w:val="D7DA8974"/>
    <w:lvl w:ilvl="0" w:tplc="78E0C78E">
      <w:start w:val="1"/>
      <w:numFmt w:val="decimal"/>
      <w:lvlText w:val="%1."/>
      <w:lvlJc w:val="left"/>
      <w:pPr>
        <w:ind w:left="720" w:hanging="360"/>
      </w:pPr>
      <w:rPr>
        <w:rFont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F06D9D"/>
    <w:multiLevelType w:val="hybridMultilevel"/>
    <w:tmpl w:val="7106742E"/>
    <w:lvl w:ilvl="0" w:tplc="99F6E74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F34ED2"/>
    <w:multiLevelType w:val="multilevel"/>
    <w:tmpl w:val="72C8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87699F"/>
    <w:multiLevelType w:val="hybridMultilevel"/>
    <w:tmpl w:val="0A3E686E"/>
    <w:lvl w:ilvl="0" w:tplc="453A47E0">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D75871"/>
    <w:multiLevelType w:val="hybridMultilevel"/>
    <w:tmpl w:val="5F6645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2D313D"/>
    <w:multiLevelType w:val="multilevel"/>
    <w:tmpl w:val="72C8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A45F0B"/>
    <w:multiLevelType w:val="hybridMultilevel"/>
    <w:tmpl w:val="DEB2E1CA"/>
    <w:lvl w:ilvl="0" w:tplc="C59A3416">
      <w:start w:val="6"/>
      <w:numFmt w:val="bullet"/>
      <w:lvlText w:val="-"/>
      <w:lvlJc w:val="left"/>
      <w:pPr>
        <w:ind w:left="720" w:hanging="360"/>
      </w:pPr>
      <w:rPr>
        <w:rFonts w:ascii="Palatino Linotype" w:eastAsia="Times New Roman"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FE1269"/>
    <w:multiLevelType w:val="hybridMultilevel"/>
    <w:tmpl w:val="2A72C3E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8F139A"/>
    <w:multiLevelType w:val="hybridMultilevel"/>
    <w:tmpl w:val="3C0E36D6"/>
    <w:lvl w:ilvl="0" w:tplc="C59A3416">
      <w:start w:val="6"/>
      <w:numFmt w:val="bullet"/>
      <w:lvlText w:val="-"/>
      <w:lvlJc w:val="left"/>
      <w:pPr>
        <w:ind w:left="720" w:hanging="360"/>
      </w:pPr>
      <w:rPr>
        <w:rFonts w:ascii="Palatino Linotype" w:eastAsia="Times New Roman"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090589">
    <w:abstractNumId w:val="19"/>
  </w:num>
  <w:num w:numId="2" w16cid:durableId="1879462733">
    <w:abstractNumId w:val="18"/>
  </w:num>
  <w:num w:numId="3" w16cid:durableId="2122989254">
    <w:abstractNumId w:val="23"/>
  </w:num>
  <w:num w:numId="4" w16cid:durableId="1797529112">
    <w:abstractNumId w:val="26"/>
  </w:num>
  <w:num w:numId="5" w16cid:durableId="493574533">
    <w:abstractNumId w:val="9"/>
  </w:num>
  <w:num w:numId="6" w16cid:durableId="830603350">
    <w:abstractNumId w:val="22"/>
  </w:num>
  <w:num w:numId="7" w16cid:durableId="1046560726">
    <w:abstractNumId w:val="0"/>
  </w:num>
  <w:num w:numId="8" w16cid:durableId="1243905227">
    <w:abstractNumId w:val="16"/>
  </w:num>
  <w:num w:numId="9" w16cid:durableId="1105541518">
    <w:abstractNumId w:val="5"/>
  </w:num>
  <w:num w:numId="10" w16cid:durableId="2040814538">
    <w:abstractNumId w:val="24"/>
  </w:num>
  <w:num w:numId="11" w16cid:durableId="493568446">
    <w:abstractNumId w:val="2"/>
  </w:num>
  <w:num w:numId="12" w16cid:durableId="738866052">
    <w:abstractNumId w:val="4"/>
  </w:num>
  <w:num w:numId="13" w16cid:durableId="580333376">
    <w:abstractNumId w:val="13"/>
  </w:num>
  <w:num w:numId="14" w16cid:durableId="1554195786">
    <w:abstractNumId w:val="6"/>
  </w:num>
  <w:num w:numId="15" w16cid:durableId="461118727">
    <w:abstractNumId w:val="7"/>
  </w:num>
  <w:num w:numId="16" w16cid:durableId="147092127">
    <w:abstractNumId w:val="25"/>
  </w:num>
  <w:num w:numId="17" w16cid:durableId="985233506">
    <w:abstractNumId w:val="10"/>
  </w:num>
  <w:num w:numId="18" w16cid:durableId="1484538770">
    <w:abstractNumId w:val="21"/>
  </w:num>
  <w:num w:numId="19" w16cid:durableId="1395280591">
    <w:abstractNumId w:val="11"/>
  </w:num>
  <w:num w:numId="20" w16cid:durableId="1216350398">
    <w:abstractNumId w:val="3"/>
  </w:num>
  <w:num w:numId="21" w16cid:durableId="1980764136">
    <w:abstractNumId w:val="20"/>
  </w:num>
  <w:num w:numId="22" w16cid:durableId="1134567050">
    <w:abstractNumId w:val="15"/>
  </w:num>
  <w:num w:numId="23" w16cid:durableId="1670595000">
    <w:abstractNumId w:val="8"/>
  </w:num>
  <w:num w:numId="24" w16cid:durableId="1481381326">
    <w:abstractNumId w:val="1"/>
  </w:num>
  <w:num w:numId="25" w16cid:durableId="2042700677">
    <w:abstractNumId w:val="17"/>
  </w:num>
  <w:num w:numId="26" w16cid:durableId="1155216719">
    <w:abstractNumId w:val="12"/>
  </w:num>
  <w:num w:numId="27" w16cid:durableId="1640725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AA"/>
    <w:rsid w:val="00047639"/>
    <w:rsid w:val="00052BAA"/>
    <w:rsid w:val="000B0893"/>
    <w:rsid w:val="00126D4A"/>
    <w:rsid w:val="00183EE3"/>
    <w:rsid w:val="001873C0"/>
    <w:rsid w:val="002C7835"/>
    <w:rsid w:val="002D3F04"/>
    <w:rsid w:val="00322687"/>
    <w:rsid w:val="00441462"/>
    <w:rsid w:val="00526413"/>
    <w:rsid w:val="00543563"/>
    <w:rsid w:val="005D1E23"/>
    <w:rsid w:val="005E72BF"/>
    <w:rsid w:val="00607CCF"/>
    <w:rsid w:val="0061024C"/>
    <w:rsid w:val="006E5516"/>
    <w:rsid w:val="007A75A9"/>
    <w:rsid w:val="007B0786"/>
    <w:rsid w:val="007E0753"/>
    <w:rsid w:val="007E685F"/>
    <w:rsid w:val="00817A16"/>
    <w:rsid w:val="008F16CF"/>
    <w:rsid w:val="00901F98"/>
    <w:rsid w:val="00902824"/>
    <w:rsid w:val="00961886"/>
    <w:rsid w:val="00A24DBB"/>
    <w:rsid w:val="00B01980"/>
    <w:rsid w:val="00B26DDF"/>
    <w:rsid w:val="00B41D93"/>
    <w:rsid w:val="00B464FE"/>
    <w:rsid w:val="00BE0D44"/>
    <w:rsid w:val="00C27859"/>
    <w:rsid w:val="00C56AE9"/>
    <w:rsid w:val="00D06E25"/>
    <w:rsid w:val="00D615FE"/>
    <w:rsid w:val="00DA1822"/>
    <w:rsid w:val="00E1064F"/>
    <w:rsid w:val="00E956B1"/>
    <w:rsid w:val="00ED0B90"/>
    <w:rsid w:val="00ED0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4AA8"/>
  <w15:chartTrackingRefBased/>
  <w15:docId w15:val="{DE61A9F7-7379-47B9-B396-9E73A4DC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2BAA"/>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052B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052B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52B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52B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52B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52B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2B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2B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2BA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2BA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52BA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52BA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52BA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52BA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52B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2B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2B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2BAA"/>
    <w:rPr>
      <w:rFonts w:eastAsiaTheme="majorEastAsia" w:cstheme="majorBidi"/>
      <w:color w:val="272727" w:themeColor="text1" w:themeTint="D8"/>
    </w:rPr>
  </w:style>
  <w:style w:type="paragraph" w:styleId="Ttulo">
    <w:name w:val="Title"/>
    <w:basedOn w:val="Normal"/>
    <w:next w:val="Normal"/>
    <w:link w:val="TtuloCar"/>
    <w:uiPriority w:val="10"/>
    <w:qFormat/>
    <w:rsid w:val="00052B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2B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2B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2B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2BAA"/>
    <w:pPr>
      <w:spacing w:before="160"/>
      <w:jc w:val="center"/>
    </w:pPr>
    <w:rPr>
      <w:i/>
      <w:iCs/>
      <w:color w:val="404040" w:themeColor="text1" w:themeTint="BF"/>
    </w:rPr>
  </w:style>
  <w:style w:type="character" w:customStyle="1" w:styleId="CitaCar">
    <w:name w:val="Cita Car"/>
    <w:basedOn w:val="Fuentedeprrafopredeter"/>
    <w:link w:val="Cita"/>
    <w:uiPriority w:val="29"/>
    <w:rsid w:val="00052BA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2BAA"/>
    <w:pPr>
      <w:ind w:left="720"/>
      <w:contextualSpacing/>
    </w:pPr>
  </w:style>
  <w:style w:type="character" w:styleId="nfasisintenso">
    <w:name w:val="Intense Emphasis"/>
    <w:basedOn w:val="Fuentedeprrafopredeter"/>
    <w:uiPriority w:val="21"/>
    <w:qFormat/>
    <w:rsid w:val="00052BAA"/>
    <w:rPr>
      <w:i/>
      <w:iCs/>
      <w:color w:val="2F5496" w:themeColor="accent1" w:themeShade="BF"/>
    </w:rPr>
  </w:style>
  <w:style w:type="paragraph" w:styleId="Citadestacada">
    <w:name w:val="Intense Quote"/>
    <w:basedOn w:val="Normal"/>
    <w:next w:val="Normal"/>
    <w:link w:val="CitadestacadaCar"/>
    <w:uiPriority w:val="30"/>
    <w:qFormat/>
    <w:rsid w:val="00052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52BAA"/>
    <w:rPr>
      <w:i/>
      <w:iCs/>
      <w:color w:val="2F5496" w:themeColor="accent1" w:themeShade="BF"/>
    </w:rPr>
  </w:style>
  <w:style w:type="character" w:styleId="Referenciaintensa">
    <w:name w:val="Intense Reference"/>
    <w:basedOn w:val="Fuentedeprrafopredeter"/>
    <w:uiPriority w:val="32"/>
    <w:qFormat/>
    <w:rsid w:val="00052BAA"/>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052BAA"/>
    <w:rPr>
      <w:color w:val="0563C1" w:themeColor="hyperlink"/>
      <w:u w:val="single"/>
    </w:rPr>
  </w:style>
  <w:style w:type="paragraph" w:styleId="TtuloTDC">
    <w:name w:val="TOC Heading"/>
    <w:basedOn w:val="Ttulo1"/>
    <w:next w:val="Normal"/>
    <w:uiPriority w:val="39"/>
    <w:unhideWhenUsed/>
    <w:qFormat/>
    <w:rsid w:val="00052BAA"/>
    <w:pPr>
      <w:spacing w:before="240" w:after="0"/>
      <w:outlineLvl w:val="9"/>
    </w:pPr>
    <w:rPr>
      <w:sz w:val="32"/>
      <w:szCs w:val="32"/>
    </w:rPr>
  </w:style>
  <w:style w:type="paragraph" w:styleId="TDC1">
    <w:name w:val="toc 1"/>
    <w:basedOn w:val="Normal"/>
    <w:next w:val="Normal"/>
    <w:autoRedefine/>
    <w:uiPriority w:val="39"/>
    <w:unhideWhenUsed/>
    <w:rsid w:val="00052BAA"/>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052BAA"/>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52BAA"/>
  </w:style>
  <w:style w:type="character" w:customStyle="1" w:styleId="Mencinsinresolver1">
    <w:name w:val="Mención sin resolver1"/>
    <w:basedOn w:val="Fuentedeprrafopredeter"/>
    <w:uiPriority w:val="99"/>
    <w:semiHidden/>
    <w:unhideWhenUsed/>
    <w:rsid w:val="00047639"/>
    <w:rPr>
      <w:color w:val="605E5C"/>
      <w:shd w:val="clear" w:color="auto" w:fill="E1DFDD"/>
    </w:rPr>
  </w:style>
  <w:style w:type="table" w:styleId="Tablaconcuadrcula">
    <w:name w:val="Table Grid"/>
    <w:basedOn w:val="Tablanormal"/>
    <w:uiPriority w:val="39"/>
    <w:rsid w:val="00BE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4/mayo/may292/may292b.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6537</Words>
  <Characters>35955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2026-02-13T17:00:00Z</cp:lastPrinted>
  <dcterms:created xsi:type="dcterms:W3CDTF">2026-02-13T16:59:00Z</dcterms:created>
  <dcterms:modified xsi:type="dcterms:W3CDTF">2026-04-09T23:13:00Z</dcterms:modified>
</cp:coreProperties>
</file>