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F1F77" w14:textId="6E19FE56" w:rsidR="00F12C46" w:rsidRPr="00D53C65" w:rsidRDefault="00095DD5">
      <w:pPr>
        <w:spacing w:line="360" w:lineRule="auto"/>
        <w:ind w:right="49"/>
        <w:jc w:val="both"/>
        <w:rPr>
          <w:rFonts w:ascii="Palatino Linotype" w:eastAsia="Palatino Linotype" w:hAnsi="Palatino Linotype" w:cs="Palatino Linotype"/>
          <w:sz w:val="22"/>
          <w:szCs w:val="22"/>
        </w:rPr>
      </w:pPr>
      <w:bookmarkStart w:id="0" w:name="_heading=h.gjdgxs" w:colFirst="0" w:colLast="0"/>
      <w:bookmarkEnd w:id="0"/>
      <w:r w:rsidRPr="00D53C65">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w:t>
      </w:r>
      <w:r w:rsidR="00524364" w:rsidRPr="00D53C65">
        <w:rPr>
          <w:rFonts w:ascii="Palatino Linotype" w:eastAsia="Palatino Linotype" w:hAnsi="Palatino Linotype" w:cs="Palatino Linotype"/>
          <w:sz w:val="22"/>
          <w:szCs w:val="22"/>
        </w:rPr>
        <w:t>n Metepec, Estado de México, cinco de marzo de dos mil veintiséis</w:t>
      </w:r>
      <w:r w:rsidRPr="00D53C65">
        <w:rPr>
          <w:rFonts w:ascii="Palatino Linotype" w:eastAsia="Palatino Linotype" w:hAnsi="Palatino Linotype" w:cs="Palatino Linotype"/>
          <w:sz w:val="22"/>
          <w:szCs w:val="22"/>
        </w:rPr>
        <w:t xml:space="preserve">. </w:t>
      </w:r>
    </w:p>
    <w:p w14:paraId="0AC6C68A" w14:textId="77777777" w:rsidR="00F12C46" w:rsidRPr="00D53C65" w:rsidRDefault="00F12C46">
      <w:pPr>
        <w:spacing w:line="360" w:lineRule="auto"/>
        <w:ind w:right="49"/>
        <w:jc w:val="both"/>
        <w:rPr>
          <w:rFonts w:ascii="Palatino Linotype" w:eastAsia="Palatino Linotype" w:hAnsi="Palatino Linotype" w:cs="Palatino Linotype"/>
          <w:sz w:val="22"/>
          <w:szCs w:val="22"/>
        </w:rPr>
      </w:pPr>
    </w:p>
    <w:p w14:paraId="06BB595B" w14:textId="0976D4BF" w:rsidR="00F12C46" w:rsidRPr="00D53C65" w:rsidRDefault="00095DD5">
      <w:pPr>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Visto el expediente relativo al recurso de revisión </w:t>
      </w:r>
      <w:r w:rsidR="00524364" w:rsidRPr="00D53C65">
        <w:rPr>
          <w:rFonts w:ascii="Palatino Linotype" w:eastAsia="Palatino Linotype" w:hAnsi="Palatino Linotype" w:cs="Palatino Linotype"/>
          <w:b/>
          <w:sz w:val="22"/>
          <w:szCs w:val="22"/>
        </w:rPr>
        <w:t>10114</w:t>
      </w:r>
      <w:r w:rsidRPr="00D53C65">
        <w:rPr>
          <w:rFonts w:ascii="Palatino Linotype" w:eastAsia="Palatino Linotype" w:hAnsi="Palatino Linotype" w:cs="Palatino Linotype"/>
          <w:b/>
          <w:sz w:val="22"/>
          <w:szCs w:val="22"/>
        </w:rPr>
        <w:t>/INFOEM/IP/RR/2025</w:t>
      </w:r>
      <w:r w:rsidRPr="00D53C65">
        <w:rPr>
          <w:rFonts w:ascii="Palatino Linotype" w:eastAsia="Palatino Linotype" w:hAnsi="Palatino Linotype" w:cs="Palatino Linotype"/>
          <w:sz w:val="22"/>
          <w:szCs w:val="22"/>
        </w:rPr>
        <w:t xml:space="preserve">, interpuesto por </w:t>
      </w:r>
      <w:r w:rsidR="004B444B">
        <w:rPr>
          <w:rFonts w:ascii="Palatino Linotype" w:eastAsia="Palatino Linotype" w:hAnsi="Palatino Linotype" w:cs="Palatino Linotype"/>
          <w:b/>
          <w:sz w:val="22"/>
          <w:szCs w:val="22"/>
        </w:rPr>
        <w:t>XXXXXX XX X</w:t>
      </w:r>
      <w:r w:rsidRPr="00D53C65">
        <w:rPr>
          <w:rFonts w:ascii="Palatino Linotype" w:eastAsia="Palatino Linotype" w:hAnsi="Palatino Linotype" w:cs="Palatino Linotype"/>
          <w:sz w:val="22"/>
          <w:szCs w:val="22"/>
        </w:rPr>
        <w:t xml:space="preserve">, a quien en lo sucesivo se le denominará </w:t>
      </w:r>
      <w:r w:rsidRPr="00D53C65">
        <w:rPr>
          <w:rFonts w:ascii="Palatino Linotype" w:eastAsia="Palatino Linotype" w:hAnsi="Palatino Linotype" w:cs="Palatino Linotype"/>
          <w:b/>
          <w:sz w:val="22"/>
          <w:szCs w:val="22"/>
        </w:rPr>
        <w:t>la parte Recurrente</w:t>
      </w:r>
      <w:r w:rsidRPr="00D53C65">
        <w:rPr>
          <w:rFonts w:ascii="Palatino Linotype" w:eastAsia="Palatino Linotype" w:hAnsi="Palatino Linotype" w:cs="Palatino Linotype"/>
          <w:sz w:val="22"/>
          <w:szCs w:val="22"/>
        </w:rPr>
        <w:t>, en contra de la respuesta a su solicitud de información identificada con número de folio</w:t>
      </w:r>
      <w:r w:rsidRPr="00D53C65">
        <w:t xml:space="preserve"> </w:t>
      </w:r>
      <w:r w:rsidR="00524364" w:rsidRPr="00D53C65">
        <w:rPr>
          <w:rFonts w:ascii="Palatino Linotype" w:eastAsia="Palatino Linotype" w:hAnsi="Palatino Linotype" w:cs="Palatino Linotype"/>
          <w:b/>
          <w:bCs/>
          <w:sz w:val="22"/>
          <w:szCs w:val="22"/>
        </w:rPr>
        <w:t> 00323/SSEM/IP/2025</w:t>
      </w:r>
      <w:r w:rsidRPr="00D53C65">
        <w:rPr>
          <w:rFonts w:ascii="Palatino Linotype" w:eastAsia="Palatino Linotype" w:hAnsi="Palatino Linotype" w:cs="Palatino Linotype"/>
          <w:sz w:val="22"/>
          <w:szCs w:val="22"/>
        </w:rPr>
        <w:t>, proporcionada por la</w:t>
      </w:r>
      <w:r w:rsidRPr="00D53C65">
        <w:rPr>
          <w:sz w:val="22"/>
          <w:szCs w:val="22"/>
        </w:rPr>
        <w:t xml:space="preserve"> </w:t>
      </w:r>
      <w:r w:rsidRPr="00D53C65">
        <w:rPr>
          <w:rFonts w:ascii="Palatino Linotype" w:eastAsia="Palatino Linotype" w:hAnsi="Palatino Linotype" w:cs="Palatino Linotype"/>
          <w:b/>
          <w:sz w:val="22"/>
          <w:szCs w:val="22"/>
        </w:rPr>
        <w:t xml:space="preserve">Secretaría de </w:t>
      </w:r>
      <w:r w:rsidR="00524364" w:rsidRPr="00D53C65">
        <w:rPr>
          <w:rFonts w:ascii="Palatino Linotype" w:eastAsia="Palatino Linotype" w:hAnsi="Palatino Linotype" w:cs="Palatino Linotype"/>
          <w:b/>
          <w:sz w:val="22"/>
          <w:szCs w:val="22"/>
        </w:rPr>
        <w:t>Segurid</w:t>
      </w:r>
      <w:r w:rsidRPr="00D53C65">
        <w:rPr>
          <w:rFonts w:ascii="Palatino Linotype" w:eastAsia="Palatino Linotype" w:hAnsi="Palatino Linotype" w:cs="Palatino Linotype"/>
          <w:b/>
          <w:sz w:val="22"/>
          <w:szCs w:val="22"/>
        </w:rPr>
        <w:t>ad</w:t>
      </w:r>
      <w:r w:rsidRPr="00D53C65">
        <w:rPr>
          <w:rFonts w:ascii="Palatino Linotype" w:eastAsia="Palatino Linotype" w:hAnsi="Palatino Linotype" w:cs="Palatino Linotype"/>
          <w:sz w:val="22"/>
          <w:szCs w:val="22"/>
        </w:rPr>
        <w:t xml:space="preserve">, en lo sucesivo el </w:t>
      </w:r>
      <w:r w:rsidRPr="00D53C65">
        <w:rPr>
          <w:rFonts w:ascii="Palatino Linotype" w:eastAsia="Palatino Linotype" w:hAnsi="Palatino Linotype" w:cs="Palatino Linotype"/>
          <w:b/>
          <w:sz w:val="22"/>
          <w:szCs w:val="22"/>
        </w:rPr>
        <w:t>Sujeto Obligado</w:t>
      </w:r>
      <w:r w:rsidRPr="00D53C65">
        <w:rPr>
          <w:rFonts w:ascii="Palatino Linotype" w:eastAsia="Palatino Linotype" w:hAnsi="Palatino Linotype" w:cs="Palatino Linotype"/>
          <w:sz w:val="22"/>
          <w:szCs w:val="22"/>
        </w:rPr>
        <w:t>; se procede a dictar la presente resolución, con base en los siguientes:</w:t>
      </w:r>
    </w:p>
    <w:p w14:paraId="5C5FA008" w14:textId="77777777" w:rsidR="00F12C46" w:rsidRPr="00D53C65" w:rsidRDefault="00F12C46">
      <w:pPr>
        <w:spacing w:line="360" w:lineRule="auto"/>
        <w:ind w:right="49"/>
        <w:jc w:val="both"/>
        <w:rPr>
          <w:rFonts w:ascii="Palatino Linotype" w:eastAsia="Palatino Linotype" w:hAnsi="Palatino Linotype" w:cs="Palatino Linotype"/>
          <w:sz w:val="22"/>
          <w:szCs w:val="22"/>
        </w:rPr>
      </w:pPr>
    </w:p>
    <w:p w14:paraId="5B8B3C4B" w14:textId="77777777" w:rsidR="00F12C46" w:rsidRPr="00D53C65" w:rsidRDefault="00095DD5">
      <w:pPr>
        <w:spacing w:line="360" w:lineRule="auto"/>
        <w:ind w:right="49"/>
        <w:jc w:val="center"/>
        <w:rPr>
          <w:rFonts w:ascii="Palatino Linotype" w:eastAsia="Palatino Linotype" w:hAnsi="Palatino Linotype" w:cs="Palatino Linotype"/>
          <w:b/>
          <w:sz w:val="22"/>
          <w:szCs w:val="22"/>
        </w:rPr>
      </w:pPr>
      <w:r w:rsidRPr="00D53C65">
        <w:rPr>
          <w:rFonts w:ascii="Palatino Linotype" w:eastAsia="Palatino Linotype" w:hAnsi="Palatino Linotype" w:cs="Palatino Linotype"/>
          <w:b/>
          <w:sz w:val="22"/>
          <w:szCs w:val="22"/>
        </w:rPr>
        <w:t>I.</w:t>
      </w:r>
      <w:r w:rsidRPr="00D53C65">
        <w:rPr>
          <w:rFonts w:ascii="Palatino Linotype" w:eastAsia="Palatino Linotype" w:hAnsi="Palatino Linotype" w:cs="Palatino Linotype"/>
          <w:b/>
          <w:sz w:val="22"/>
          <w:szCs w:val="22"/>
        </w:rPr>
        <w:tab/>
        <w:t>A N T E C E D E N T E S</w:t>
      </w:r>
    </w:p>
    <w:p w14:paraId="0794E244" w14:textId="77777777" w:rsidR="00F12C46" w:rsidRPr="00D53C65" w:rsidRDefault="00F12C4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1" w:name="_heading=h.2et92p0" w:colFirst="0" w:colLast="0"/>
      <w:bookmarkEnd w:id="1"/>
    </w:p>
    <w:p w14:paraId="75B8F615" w14:textId="06723DCC" w:rsidR="00F12C46" w:rsidRPr="00D53C65" w:rsidRDefault="00095DD5">
      <w:pPr>
        <w:numPr>
          <w:ilvl w:val="0"/>
          <w:numId w:val="2"/>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sz w:val="22"/>
          <w:szCs w:val="22"/>
        </w:rPr>
      </w:pPr>
      <w:bookmarkStart w:id="2" w:name="_heading=h.1fob9te" w:colFirst="0" w:colLast="0"/>
      <w:bookmarkEnd w:id="2"/>
      <w:r w:rsidRPr="00D53C65">
        <w:rPr>
          <w:rFonts w:ascii="Palatino Linotype" w:eastAsia="Palatino Linotype" w:hAnsi="Palatino Linotype" w:cs="Palatino Linotype"/>
          <w:b/>
          <w:sz w:val="22"/>
          <w:szCs w:val="22"/>
        </w:rPr>
        <w:t>Solicitud de acceso a la información.</w:t>
      </w:r>
      <w:r w:rsidRPr="00D53C65">
        <w:rPr>
          <w:rFonts w:ascii="Palatino Linotype" w:eastAsia="Palatino Linotype" w:hAnsi="Palatino Linotype" w:cs="Palatino Linotype"/>
          <w:sz w:val="22"/>
          <w:szCs w:val="22"/>
        </w:rPr>
        <w:t xml:space="preserve"> Con fecha </w:t>
      </w:r>
      <w:r w:rsidR="00524364" w:rsidRPr="00D53C65">
        <w:rPr>
          <w:rFonts w:ascii="Palatino Linotype" w:eastAsia="Palatino Linotype" w:hAnsi="Palatino Linotype" w:cs="Palatino Linotype"/>
          <w:b/>
          <w:sz w:val="22"/>
          <w:szCs w:val="22"/>
        </w:rPr>
        <w:t>veintidós de julio</w:t>
      </w:r>
      <w:r w:rsidRPr="00D53C65">
        <w:rPr>
          <w:rFonts w:ascii="Palatino Linotype" w:eastAsia="Palatino Linotype" w:hAnsi="Palatino Linotype" w:cs="Palatino Linotype"/>
          <w:b/>
          <w:sz w:val="22"/>
          <w:szCs w:val="22"/>
        </w:rPr>
        <w:t xml:space="preserve"> de dos mil veinticinco</w:t>
      </w:r>
      <w:r w:rsidRPr="00D53C65">
        <w:rPr>
          <w:rFonts w:ascii="Palatino Linotype" w:eastAsia="Palatino Linotype" w:hAnsi="Palatino Linotype" w:cs="Palatino Linotype"/>
          <w:sz w:val="22"/>
          <w:szCs w:val="22"/>
        </w:rPr>
        <w:t xml:space="preserve">, la parte </w:t>
      </w:r>
      <w:r w:rsidRPr="00D53C65">
        <w:rPr>
          <w:rFonts w:ascii="Palatino Linotype" w:eastAsia="Palatino Linotype" w:hAnsi="Palatino Linotype" w:cs="Palatino Linotype"/>
          <w:b/>
          <w:sz w:val="22"/>
          <w:szCs w:val="22"/>
        </w:rPr>
        <w:t>Recurrente</w:t>
      </w:r>
      <w:r w:rsidRPr="00D53C65">
        <w:rPr>
          <w:rFonts w:ascii="Palatino Linotype" w:eastAsia="Palatino Linotype" w:hAnsi="Palatino Linotype" w:cs="Palatino Linotype"/>
          <w:sz w:val="22"/>
          <w:szCs w:val="22"/>
        </w:rPr>
        <w:t xml:space="preserve"> a través </w:t>
      </w:r>
      <w:r w:rsidR="00524364" w:rsidRPr="00D53C65">
        <w:rPr>
          <w:rFonts w:ascii="Palatino Linotype" w:eastAsia="Palatino Linotype" w:hAnsi="Palatino Linotype" w:cs="Palatino Linotype"/>
          <w:sz w:val="22"/>
          <w:szCs w:val="22"/>
        </w:rPr>
        <w:t>de</w:t>
      </w:r>
      <w:r w:rsidRPr="00D53C65">
        <w:rPr>
          <w:rFonts w:ascii="Palatino Linotype" w:eastAsia="Palatino Linotype" w:hAnsi="Palatino Linotype" w:cs="Palatino Linotype"/>
          <w:sz w:val="22"/>
          <w:szCs w:val="22"/>
        </w:rPr>
        <w:t xml:space="preserve">l Sistema de Acceso a la Información Mexiquense, en lo subsecuente el SAIMEX, formuló ante el </w:t>
      </w:r>
      <w:r w:rsidRPr="00D53C65">
        <w:rPr>
          <w:rFonts w:ascii="Palatino Linotype" w:eastAsia="Palatino Linotype" w:hAnsi="Palatino Linotype" w:cs="Palatino Linotype"/>
          <w:b/>
          <w:sz w:val="22"/>
          <w:szCs w:val="22"/>
        </w:rPr>
        <w:t>Sujeto Obligado</w:t>
      </w:r>
      <w:r w:rsidRPr="00D53C65">
        <w:rPr>
          <w:rFonts w:ascii="Palatino Linotype" w:eastAsia="Palatino Linotype" w:hAnsi="Palatino Linotype" w:cs="Palatino Linotype"/>
          <w:sz w:val="22"/>
          <w:szCs w:val="22"/>
        </w:rPr>
        <w:t>, la solicitud de acceso a la información pública a la que se le asignó el número</w:t>
      </w:r>
      <w:r w:rsidRPr="00D53C65">
        <w:t xml:space="preserve"> </w:t>
      </w:r>
      <w:r w:rsidR="00524364" w:rsidRPr="00D53C65">
        <w:rPr>
          <w:rFonts w:ascii="Palatino Linotype" w:eastAsia="Palatino Linotype" w:hAnsi="Palatino Linotype" w:cs="Palatino Linotype"/>
          <w:b/>
          <w:bCs/>
          <w:sz w:val="22"/>
          <w:szCs w:val="22"/>
        </w:rPr>
        <w:t>00323/SSEM/IP/2025</w:t>
      </w:r>
      <w:r w:rsidRPr="00D53C65">
        <w:rPr>
          <w:rFonts w:ascii="Palatino Linotype" w:eastAsia="Palatino Linotype" w:hAnsi="Palatino Linotype" w:cs="Palatino Linotype"/>
          <w:sz w:val="22"/>
          <w:szCs w:val="22"/>
        </w:rPr>
        <w:t xml:space="preserve">; no obstante, al corresponder a un día inhábil la misma se tuvo por presentada el </w:t>
      </w:r>
      <w:r w:rsidR="00524364" w:rsidRPr="00D53C65">
        <w:rPr>
          <w:rFonts w:ascii="Palatino Linotype" w:eastAsia="Palatino Linotype" w:hAnsi="Palatino Linotype" w:cs="Palatino Linotype"/>
          <w:b/>
          <w:sz w:val="22"/>
          <w:szCs w:val="22"/>
        </w:rPr>
        <w:t>cuatro de agosto</w:t>
      </w:r>
      <w:r w:rsidRPr="00D53C65">
        <w:rPr>
          <w:rFonts w:ascii="Palatino Linotype" w:eastAsia="Palatino Linotype" w:hAnsi="Palatino Linotype" w:cs="Palatino Linotype"/>
          <w:b/>
          <w:sz w:val="22"/>
          <w:szCs w:val="22"/>
        </w:rPr>
        <w:t xml:space="preserve"> de dos mil veinticinco</w:t>
      </w:r>
      <w:r w:rsidRPr="00D53C65">
        <w:rPr>
          <w:rFonts w:ascii="Palatino Linotype" w:eastAsia="Palatino Linotype" w:hAnsi="Palatino Linotype" w:cs="Palatino Linotype"/>
          <w:sz w:val="22"/>
          <w:szCs w:val="22"/>
        </w:rPr>
        <w:t>, mediante la cual se requirió la información siguiente:</w:t>
      </w:r>
    </w:p>
    <w:p w14:paraId="53C58A59" w14:textId="77777777" w:rsidR="00F12C46" w:rsidRPr="00D53C65" w:rsidRDefault="00F12C46">
      <w:pPr>
        <w:tabs>
          <w:tab w:val="left" w:pos="8505"/>
        </w:tabs>
        <w:spacing w:line="360" w:lineRule="auto"/>
        <w:ind w:left="567" w:right="560"/>
        <w:jc w:val="both"/>
        <w:rPr>
          <w:rFonts w:ascii="Palatino Linotype" w:eastAsia="Palatino Linotype" w:hAnsi="Palatino Linotype" w:cs="Palatino Linotype"/>
          <w:i/>
          <w:sz w:val="22"/>
          <w:szCs w:val="22"/>
        </w:rPr>
      </w:pPr>
      <w:bookmarkStart w:id="3" w:name="_heading=h.30j0zll" w:colFirst="0" w:colLast="0"/>
      <w:bookmarkEnd w:id="3"/>
    </w:p>
    <w:p w14:paraId="5C5968F3" w14:textId="16D8E623" w:rsidR="00F12C46" w:rsidRPr="00D53C65" w:rsidRDefault="00095DD5">
      <w:pPr>
        <w:tabs>
          <w:tab w:val="left" w:pos="8505"/>
        </w:tabs>
        <w:spacing w:line="276" w:lineRule="auto"/>
        <w:ind w:left="567" w:right="560"/>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w:t>
      </w:r>
      <w:r w:rsidR="00524364" w:rsidRPr="00D53C65">
        <w:rPr>
          <w:rFonts w:ascii="Palatino Linotype" w:eastAsia="Palatino Linotype" w:hAnsi="Palatino Linotype" w:cs="Palatino Linotype"/>
          <w:i/>
          <w:sz w:val="22"/>
          <w:szCs w:val="22"/>
        </w:rPr>
        <w:t xml:space="preserve">Se solicita copia pública y digital del permiso concedido por esta institución al dueño del vehículo Honda Pilot, placas </w:t>
      </w:r>
      <w:r w:rsidR="004B444B">
        <w:rPr>
          <w:rFonts w:ascii="Palatino Linotype" w:eastAsia="Palatino Linotype" w:hAnsi="Palatino Linotype" w:cs="Palatino Linotype"/>
          <w:i/>
          <w:sz w:val="22"/>
          <w:szCs w:val="22"/>
        </w:rPr>
        <w:t>XXXXXXXXX</w:t>
      </w:r>
      <w:bookmarkStart w:id="4" w:name="_GoBack"/>
      <w:bookmarkEnd w:id="4"/>
      <w:r w:rsidR="00524364" w:rsidRPr="00D53C65">
        <w:rPr>
          <w:rFonts w:ascii="Palatino Linotype" w:eastAsia="Palatino Linotype" w:hAnsi="Palatino Linotype" w:cs="Palatino Linotype"/>
          <w:i/>
          <w:sz w:val="22"/>
          <w:szCs w:val="22"/>
        </w:rPr>
        <w:t xml:space="preserve"> para estacionarse en la banqueta de la avenida Contral Hilario Rodríguez Malpica, Lomas del Huizachal, Naculapan, Estado de México, 53840. En caso de no existir un permiso, favor de presentar copia pública y digital de la instrucción escrita para permitir que el vehículo referido pueda incumplir la normatividad vigente sobre estacionarse sobre las aceras. En caso de existir dicha instrucción escrita, </w:t>
      </w:r>
      <w:r w:rsidR="00524364" w:rsidRPr="00D53C65">
        <w:rPr>
          <w:rFonts w:ascii="Palatino Linotype" w:eastAsia="Palatino Linotype" w:hAnsi="Palatino Linotype" w:cs="Palatino Linotype"/>
          <w:i/>
          <w:sz w:val="22"/>
          <w:szCs w:val="22"/>
        </w:rPr>
        <w:lastRenderedPageBreak/>
        <w:t>presentar cualquier evidencia pública que explique el motivo porqué las autoridades de tránsito del Gobierno del Estado de México no aplican la normatividad vigente.</w:t>
      </w:r>
      <w:r w:rsidRPr="00D53C65">
        <w:rPr>
          <w:rFonts w:ascii="Palatino Linotype" w:eastAsia="Palatino Linotype" w:hAnsi="Palatino Linotype" w:cs="Palatino Linotype"/>
          <w:i/>
          <w:sz w:val="22"/>
          <w:szCs w:val="22"/>
        </w:rPr>
        <w:t>” (Sic)</w:t>
      </w:r>
    </w:p>
    <w:p w14:paraId="6D1C0C57" w14:textId="77777777" w:rsidR="00F12C46" w:rsidRPr="00D53C65" w:rsidRDefault="00F12C46">
      <w:pPr>
        <w:tabs>
          <w:tab w:val="left" w:pos="8505"/>
        </w:tabs>
        <w:spacing w:line="360" w:lineRule="auto"/>
        <w:ind w:left="567" w:right="560"/>
        <w:jc w:val="both"/>
        <w:rPr>
          <w:rFonts w:ascii="Palatino Linotype" w:eastAsia="Palatino Linotype" w:hAnsi="Palatino Linotype" w:cs="Palatino Linotype"/>
          <w:i/>
          <w:sz w:val="22"/>
          <w:szCs w:val="22"/>
        </w:rPr>
      </w:pPr>
    </w:p>
    <w:p w14:paraId="68124C2E" w14:textId="444BD0C1" w:rsidR="00F12C46" w:rsidRPr="00D53C65" w:rsidRDefault="00095DD5">
      <w:pPr>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 xml:space="preserve">Modalidad elegida para la entrega de la información: </w:t>
      </w:r>
      <w:r w:rsidR="00524364" w:rsidRPr="00D53C65">
        <w:rPr>
          <w:rFonts w:ascii="Palatino Linotype" w:eastAsia="Palatino Linotype" w:hAnsi="Palatino Linotype" w:cs="Palatino Linotype"/>
          <w:sz w:val="22"/>
          <w:szCs w:val="22"/>
        </w:rPr>
        <w:t>a través del Sistema de Acceso a la Información Mexiquense.</w:t>
      </w:r>
    </w:p>
    <w:p w14:paraId="4CF3AD01" w14:textId="77777777" w:rsidR="006F1D1F" w:rsidRPr="00D53C65" w:rsidRDefault="006F1D1F" w:rsidP="006F1D1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B944971" w14:textId="76C84A1A" w:rsidR="00524364" w:rsidRPr="00D53C65" w:rsidRDefault="00524364">
      <w:pPr>
        <w:numPr>
          <w:ilvl w:val="0"/>
          <w:numId w:val="2"/>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 xml:space="preserve">Incompetencia parcial. </w:t>
      </w:r>
      <w:r w:rsidRPr="00D53C65">
        <w:rPr>
          <w:rFonts w:ascii="Palatino Linotype" w:eastAsia="Palatino Linotype" w:hAnsi="Palatino Linotype" w:cs="Palatino Linotype"/>
          <w:sz w:val="22"/>
          <w:szCs w:val="22"/>
        </w:rPr>
        <w:t xml:space="preserve">En fecha </w:t>
      </w:r>
      <w:r w:rsidRPr="00D53C65">
        <w:rPr>
          <w:rFonts w:ascii="Palatino Linotype" w:eastAsia="Palatino Linotype" w:hAnsi="Palatino Linotype" w:cs="Palatino Linotype"/>
          <w:b/>
          <w:sz w:val="22"/>
          <w:szCs w:val="22"/>
        </w:rPr>
        <w:t xml:space="preserve">cuatro de agosto de dos mil veinticinco, </w:t>
      </w:r>
      <w:r w:rsidRPr="00D53C65">
        <w:rPr>
          <w:rFonts w:ascii="Palatino Linotype" w:eastAsia="Palatino Linotype" w:hAnsi="Palatino Linotype" w:cs="Palatino Linotype"/>
          <w:sz w:val="22"/>
          <w:szCs w:val="22"/>
        </w:rPr>
        <w:t xml:space="preserve">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de declaró su incompetencia de manera parcial para conocer de la solicitud de información en los siguientes términos:</w:t>
      </w:r>
    </w:p>
    <w:p w14:paraId="7CCFD1D6" w14:textId="77777777" w:rsidR="00524364" w:rsidRPr="00D53C65" w:rsidRDefault="00524364" w:rsidP="0052436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sz w:val="22"/>
          <w:szCs w:val="22"/>
        </w:rPr>
      </w:pPr>
    </w:p>
    <w:p w14:paraId="4BB1EB76" w14:textId="52E82D1D" w:rsidR="00524364" w:rsidRPr="00D53C65" w:rsidRDefault="00524364" w:rsidP="00524364">
      <w:pPr>
        <w:pBdr>
          <w:top w:val="nil"/>
          <w:left w:val="nil"/>
          <w:bottom w:val="nil"/>
          <w:right w:val="nil"/>
          <w:between w:val="nil"/>
        </w:pBdr>
        <w:tabs>
          <w:tab w:val="left" w:pos="284"/>
        </w:tabs>
        <w:spacing w:line="276" w:lineRule="auto"/>
        <w:ind w:left="567" w:right="56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w:t>
      </w:r>
      <w:r w:rsidRPr="00D53C65">
        <w:rPr>
          <w:rFonts w:ascii="Palatino Linotype" w:eastAsia="Palatino Linotype" w:hAnsi="Palatino Linotype" w:cs="Palatino Linotype"/>
          <w:i/>
          <w:sz w:val="22"/>
          <w:szCs w:val="22"/>
        </w:rPr>
        <w:t>SE ANEXA ACUERDO DE INCOMPETENCIA PARCIAL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D53C65">
        <w:rPr>
          <w:rFonts w:ascii="Palatino Linotype" w:eastAsia="Palatino Linotype" w:hAnsi="Palatino Linotype" w:cs="Palatino Linotype"/>
          <w:b/>
          <w:sz w:val="22"/>
          <w:szCs w:val="22"/>
        </w:rPr>
        <w:t xml:space="preserve">” </w:t>
      </w:r>
      <w:r w:rsidRPr="00D53C65">
        <w:rPr>
          <w:rFonts w:ascii="Palatino Linotype" w:eastAsia="Palatino Linotype" w:hAnsi="Palatino Linotype" w:cs="Palatino Linotype"/>
          <w:sz w:val="22"/>
          <w:szCs w:val="22"/>
        </w:rPr>
        <w:t>(Sic)</w:t>
      </w:r>
    </w:p>
    <w:p w14:paraId="215D6351" w14:textId="77777777" w:rsidR="00524364" w:rsidRPr="00D53C65" w:rsidRDefault="00524364" w:rsidP="0052436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4D17674" w14:textId="43D44598" w:rsidR="00524364" w:rsidRPr="00D53C65" w:rsidRDefault="00524364" w:rsidP="0052436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Adjunto a lo anterior, 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 xml:space="preserve">proporcionó un oficio del 04 de agosto de 2025, a través del cual el Encargado de Despacho de la Unidad de Información, Planeación, Programación y Evaluación y de la Unidad de Transparencia se declaró incompetente parcialmente para dar respuesta a la solicitud, </w:t>
      </w:r>
      <w:r w:rsidRPr="00D53C65">
        <w:rPr>
          <w:rFonts w:ascii="Palatino Linotype" w:eastAsia="Palatino Linotype" w:hAnsi="Palatino Linotype" w:cs="Palatino Linotype"/>
          <w:b/>
          <w:sz w:val="22"/>
          <w:szCs w:val="22"/>
        </w:rPr>
        <w:t>ya que lo relativo al permiso para estacionar un vehículo particular en banquetas,</w:t>
      </w:r>
      <w:r w:rsidRPr="00D53C65">
        <w:rPr>
          <w:rFonts w:ascii="Palatino Linotype" w:eastAsia="Palatino Linotype" w:hAnsi="Palatino Linotype" w:cs="Palatino Linotype"/>
          <w:sz w:val="22"/>
          <w:szCs w:val="22"/>
        </w:rPr>
        <w:t xml:space="preserve"> le compete conocer a la Secretaría de Movilidad del Estado de México, de conformidad con el artículo 167 de la Ley de Transparencia y Acceso a la Información Pública</w:t>
      </w:r>
      <w:r w:rsidR="00020691" w:rsidRPr="00D53C65">
        <w:rPr>
          <w:rFonts w:ascii="Palatino Linotype" w:eastAsia="Palatino Linotype" w:hAnsi="Palatino Linotype" w:cs="Palatino Linotype"/>
          <w:sz w:val="22"/>
          <w:szCs w:val="22"/>
        </w:rPr>
        <w:t>, orientando al particular a que dirija su solicitud a dicho sujeto obligado.</w:t>
      </w:r>
    </w:p>
    <w:p w14:paraId="30179C3C" w14:textId="77777777" w:rsidR="00524364" w:rsidRPr="00D53C65" w:rsidRDefault="00524364" w:rsidP="0052436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FD2B8AA" w14:textId="6D872033" w:rsidR="00F12C46" w:rsidRPr="00D53C65" w:rsidRDefault="00095DD5">
      <w:pPr>
        <w:numPr>
          <w:ilvl w:val="0"/>
          <w:numId w:val="2"/>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Respuesta.</w:t>
      </w:r>
      <w:r w:rsidRPr="00D53C65">
        <w:rPr>
          <w:rFonts w:ascii="Palatino Linotype" w:eastAsia="Palatino Linotype" w:hAnsi="Palatino Linotype" w:cs="Palatino Linotype"/>
          <w:sz w:val="22"/>
          <w:szCs w:val="22"/>
        </w:rPr>
        <w:t xml:space="preserve"> En fecha </w:t>
      </w:r>
      <w:r w:rsidR="00020691" w:rsidRPr="00D53C65">
        <w:rPr>
          <w:rFonts w:ascii="Palatino Linotype" w:eastAsia="Palatino Linotype" w:hAnsi="Palatino Linotype" w:cs="Palatino Linotype"/>
          <w:b/>
          <w:sz w:val="22"/>
          <w:szCs w:val="22"/>
        </w:rPr>
        <w:t>ocho de agosto</w:t>
      </w:r>
      <w:r w:rsidRPr="00D53C65">
        <w:rPr>
          <w:rFonts w:ascii="Palatino Linotype" w:eastAsia="Palatino Linotype" w:hAnsi="Palatino Linotype" w:cs="Palatino Linotype"/>
          <w:b/>
          <w:sz w:val="22"/>
          <w:szCs w:val="22"/>
        </w:rPr>
        <w:t xml:space="preserve"> de dos mil veinticinco</w:t>
      </w:r>
      <w:r w:rsidRPr="00D53C65">
        <w:rPr>
          <w:rFonts w:ascii="Palatino Linotype" w:eastAsia="Palatino Linotype" w:hAnsi="Palatino Linotype" w:cs="Palatino Linotype"/>
          <w:sz w:val="22"/>
          <w:szCs w:val="22"/>
        </w:rPr>
        <w:t xml:space="preserve">, 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 xml:space="preserve">remitió respuesta a la solicitud de información, al tenor de lo siguiente: </w:t>
      </w:r>
    </w:p>
    <w:p w14:paraId="62033530" w14:textId="77777777" w:rsidR="00F12C46" w:rsidRPr="00D53C65" w:rsidRDefault="00F12C4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01C4DB4" w14:textId="7D7D789C" w:rsidR="00F12C46" w:rsidRPr="00D53C65" w:rsidRDefault="00095DD5">
      <w:pPr>
        <w:ind w:left="567" w:right="560"/>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w:t>
      </w:r>
      <w:r w:rsidR="00020691" w:rsidRPr="00D53C65">
        <w:rPr>
          <w:rFonts w:ascii="Palatino Linotype" w:eastAsia="Palatino Linotype" w:hAnsi="Palatino Linotype" w:cs="Palatino Linotype"/>
          <w:i/>
          <w:sz w:val="22"/>
          <w:szCs w:val="22"/>
        </w:rPr>
        <w:t>SE ANEXA RESPUESTA EN FORMATO PDF, EN CASO DE PRESENTAR PROBLEMAS CON LA RECEPCIÓN DE LA MISMA, LE PEDIMOS SE COMUNIQUE A LA UNIDAD DE TRANSPARENCIA DE LA SECRETARÍA DE SEGURIDAD DEL ESTADO DE MÉXICO, AL TELÉFONO 722 2 79 62 00 EXT. 4108, DE LUNES A VIERNES, EN UN HORARIO DE 9:00 A 18:00 HRS.</w:t>
      </w:r>
      <w:r w:rsidRPr="00D53C65">
        <w:rPr>
          <w:rFonts w:ascii="Palatino Linotype" w:eastAsia="Palatino Linotype" w:hAnsi="Palatino Linotype" w:cs="Palatino Linotype"/>
          <w:i/>
          <w:sz w:val="22"/>
          <w:szCs w:val="22"/>
        </w:rPr>
        <w:t>” (Sic)</w:t>
      </w:r>
    </w:p>
    <w:p w14:paraId="48DDAF02" w14:textId="77777777" w:rsidR="00F12C46" w:rsidRPr="00D53C65" w:rsidRDefault="00F12C46">
      <w:pPr>
        <w:spacing w:line="360" w:lineRule="auto"/>
        <w:ind w:right="560"/>
        <w:jc w:val="both"/>
        <w:rPr>
          <w:rFonts w:ascii="Palatino Linotype" w:eastAsia="Palatino Linotype" w:hAnsi="Palatino Linotype" w:cs="Palatino Linotype"/>
          <w:i/>
          <w:sz w:val="22"/>
          <w:szCs w:val="22"/>
        </w:rPr>
      </w:pPr>
    </w:p>
    <w:p w14:paraId="7B8FB78A" w14:textId="77777777" w:rsidR="00F12C46" w:rsidRPr="00D53C65" w:rsidRDefault="00095DD5">
      <w:pPr>
        <w:spacing w:line="360" w:lineRule="auto"/>
        <w:ind w:right="-7"/>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Adjunto a la respuesta, 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aportó un archivo electrónico que contiene la siguiente información:</w:t>
      </w:r>
    </w:p>
    <w:p w14:paraId="538124D7" w14:textId="77777777" w:rsidR="00F12C46" w:rsidRPr="00D53C65" w:rsidRDefault="00F12C46">
      <w:pPr>
        <w:spacing w:line="360" w:lineRule="auto"/>
        <w:ind w:right="-7"/>
        <w:jc w:val="both"/>
        <w:rPr>
          <w:rFonts w:ascii="Palatino Linotype" w:eastAsia="Palatino Linotype" w:hAnsi="Palatino Linotype" w:cs="Palatino Linotype"/>
          <w:sz w:val="22"/>
          <w:szCs w:val="22"/>
        </w:rPr>
      </w:pPr>
    </w:p>
    <w:p w14:paraId="1C6F21C0" w14:textId="6DB7D5FE" w:rsidR="00F12C46" w:rsidRPr="00D53C65" w:rsidRDefault="00095DD5">
      <w:pPr>
        <w:numPr>
          <w:ilvl w:val="0"/>
          <w:numId w:val="3"/>
        </w:numPr>
        <w:pBdr>
          <w:top w:val="nil"/>
          <w:left w:val="nil"/>
          <w:bottom w:val="nil"/>
          <w:right w:val="nil"/>
          <w:between w:val="nil"/>
        </w:pBdr>
        <w:spacing w:after="160" w:line="276" w:lineRule="auto"/>
        <w:ind w:right="-7"/>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Oficio del </w:t>
      </w:r>
      <w:r w:rsidR="00020691" w:rsidRPr="00D53C65">
        <w:rPr>
          <w:rFonts w:ascii="Palatino Linotype" w:eastAsia="Palatino Linotype" w:hAnsi="Palatino Linotype" w:cs="Palatino Linotype"/>
          <w:sz w:val="22"/>
          <w:szCs w:val="22"/>
        </w:rPr>
        <w:t>08 de agosto de 2025, a través del cual el Encargado de Despacho de la Unidad de Información, Planeación, Programación y Evaluación y de la Unidad de Transparencia ratifica su incompetencia parcial, y con relación al requerimiento de la persona solicitante relativa a “…</w:t>
      </w:r>
      <w:r w:rsidR="00020691" w:rsidRPr="00D53C65">
        <w:rPr>
          <w:rFonts w:ascii="Palatino Linotype" w:eastAsia="Palatino Linotype" w:hAnsi="Palatino Linotype" w:cs="Palatino Linotype"/>
          <w:b/>
          <w:i/>
          <w:sz w:val="22"/>
          <w:szCs w:val="22"/>
        </w:rPr>
        <w:t>el motivo porqué las autoridades de tránsito del Gobierno del Estado de México no aplican la normatividad vigente</w:t>
      </w:r>
      <w:r w:rsidR="00020691" w:rsidRPr="00D53C65">
        <w:rPr>
          <w:rFonts w:ascii="Palatino Linotype" w:eastAsia="Palatino Linotype" w:hAnsi="Palatino Linotype" w:cs="Palatino Linotype"/>
          <w:sz w:val="22"/>
          <w:szCs w:val="22"/>
        </w:rPr>
        <w:t>...” refiere que la Dirección de Policía de Tránsito, dependiente de la Dirección General de Seguridad Publica y Transito, informó que realiza recomendaciones a los usuarios a respetar el Reglamento de Tránsito Vigente, documento que establece las normas y regulaciones para la circulación de vehículos y peatones en las vías públicas, con el objetivo de garantizar la seguridad vial, prevenir accidentes y mantener el orden en el flujo vehicular.</w:t>
      </w:r>
    </w:p>
    <w:p w14:paraId="6E6E8DD3" w14:textId="77777777" w:rsidR="00F12C46" w:rsidRPr="00D53C65" w:rsidRDefault="00F12C4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243D802" w14:textId="60DE9CF1" w:rsidR="00F12C46" w:rsidRPr="00D53C65" w:rsidRDefault="00095DD5">
      <w:pPr>
        <w:numPr>
          <w:ilvl w:val="0"/>
          <w:numId w:val="2"/>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Recurso de revisión.</w:t>
      </w:r>
      <w:r w:rsidRPr="00D53C65">
        <w:rPr>
          <w:rFonts w:ascii="Palatino Linotype" w:eastAsia="Palatino Linotype" w:hAnsi="Palatino Linotype" w:cs="Palatino Linotype"/>
          <w:sz w:val="22"/>
          <w:szCs w:val="22"/>
        </w:rPr>
        <w:t xml:space="preserve"> Derivado de la respuesta del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 xml:space="preserve">la persona solicitante interpuso Recurso de Revisión a través del </w:t>
      </w:r>
      <w:r w:rsidRPr="00D53C65">
        <w:rPr>
          <w:rFonts w:ascii="Palatino Linotype" w:eastAsia="Palatino Linotype" w:hAnsi="Palatino Linotype" w:cs="Palatino Linotype"/>
          <w:b/>
          <w:sz w:val="22"/>
          <w:szCs w:val="22"/>
        </w:rPr>
        <w:t>SAIMEX</w:t>
      </w:r>
      <w:r w:rsidRPr="00D53C65">
        <w:rPr>
          <w:rFonts w:ascii="Palatino Linotype" w:eastAsia="Palatino Linotype" w:hAnsi="Palatino Linotype" w:cs="Palatino Linotype"/>
          <w:sz w:val="22"/>
          <w:szCs w:val="22"/>
        </w:rPr>
        <w:t xml:space="preserve"> en fecha </w:t>
      </w:r>
      <w:r w:rsidR="00020691" w:rsidRPr="00D53C65">
        <w:rPr>
          <w:rFonts w:ascii="Palatino Linotype" w:eastAsia="Palatino Linotype" w:hAnsi="Palatino Linotype" w:cs="Palatino Linotype"/>
          <w:b/>
          <w:sz w:val="22"/>
          <w:szCs w:val="22"/>
        </w:rPr>
        <w:t>veintisiete de agosto</w:t>
      </w:r>
      <w:r w:rsidRPr="00D53C65">
        <w:rPr>
          <w:rFonts w:ascii="Palatino Linotype" w:eastAsia="Palatino Linotype" w:hAnsi="Palatino Linotype" w:cs="Palatino Linotype"/>
          <w:b/>
          <w:sz w:val="22"/>
          <w:szCs w:val="22"/>
        </w:rPr>
        <w:t xml:space="preserve"> de dos mil veinticinco</w:t>
      </w:r>
      <w:r w:rsidRPr="00D53C65">
        <w:rPr>
          <w:rFonts w:ascii="Palatino Linotype" w:eastAsia="Palatino Linotype" w:hAnsi="Palatino Linotype" w:cs="Palatino Linotype"/>
          <w:sz w:val="22"/>
          <w:szCs w:val="22"/>
        </w:rPr>
        <w:t>, a través del cual expresó lo siguiente:</w:t>
      </w:r>
    </w:p>
    <w:p w14:paraId="1FC27E0D" w14:textId="77777777" w:rsidR="00F12C46" w:rsidRPr="00D53C65" w:rsidRDefault="00F12C46">
      <w:pPr>
        <w:pBdr>
          <w:top w:val="nil"/>
          <w:left w:val="nil"/>
          <w:bottom w:val="nil"/>
          <w:right w:val="nil"/>
          <w:between w:val="nil"/>
        </w:pBdr>
        <w:tabs>
          <w:tab w:val="left" w:pos="851"/>
        </w:tabs>
        <w:spacing w:line="360" w:lineRule="auto"/>
        <w:ind w:left="567" w:right="701"/>
        <w:jc w:val="both"/>
        <w:rPr>
          <w:rFonts w:ascii="Palatino Linotype" w:eastAsia="Palatino Linotype" w:hAnsi="Palatino Linotype" w:cs="Palatino Linotype"/>
          <w:b/>
          <w:sz w:val="22"/>
          <w:szCs w:val="22"/>
        </w:rPr>
      </w:pPr>
    </w:p>
    <w:p w14:paraId="036A6A7B" w14:textId="19AA44C6" w:rsidR="00F12C46" w:rsidRPr="00D53C65" w:rsidRDefault="00095DD5">
      <w:pPr>
        <w:pBdr>
          <w:top w:val="nil"/>
          <w:left w:val="nil"/>
          <w:bottom w:val="nil"/>
          <w:right w:val="nil"/>
          <w:between w:val="nil"/>
        </w:pBdr>
        <w:tabs>
          <w:tab w:val="left" w:pos="851"/>
        </w:tabs>
        <w:spacing w:line="276" w:lineRule="auto"/>
        <w:ind w:left="567" w:right="701"/>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b/>
          <w:sz w:val="22"/>
          <w:szCs w:val="22"/>
        </w:rPr>
        <w:t xml:space="preserve">Acto impugnado. </w:t>
      </w:r>
      <w:r w:rsidRPr="00D53C65">
        <w:rPr>
          <w:rFonts w:ascii="Palatino Linotype" w:eastAsia="Palatino Linotype" w:hAnsi="Palatino Linotype" w:cs="Palatino Linotype"/>
          <w:i/>
          <w:sz w:val="22"/>
          <w:szCs w:val="22"/>
        </w:rPr>
        <w:t>“</w:t>
      </w:r>
      <w:r w:rsidR="00020691" w:rsidRPr="00D53C65">
        <w:rPr>
          <w:rFonts w:ascii="Palatino Linotype" w:eastAsia="Palatino Linotype" w:hAnsi="Palatino Linotype" w:cs="Palatino Linotype"/>
          <w:i/>
          <w:sz w:val="22"/>
          <w:szCs w:val="22"/>
        </w:rPr>
        <w:t>Entonces, ¿por qué permiten que lo haga?</w:t>
      </w:r>
      <w:r w:rsidRPr="00D53C65">
        <w:rPr>
          <w:rFonts w:ascii="Palatino Linotype" w:eastAsia="Palatino Linotype" w:hAnsi="Palatino Linotype" w:cs="Palatino Linotype"/>
          <w:i/>
          <w:sz w:val="22"/>
          <w:szCs w:val="22"/>
        </w:rPr>
        <w:t>” (Sic)</w:t>
      </w:r>
    </w:p>
    <w:p w14:paraId="2483952D" w14:textId="77777777" w:rsidR="00F12C46" w:rsidRPr="00D53C65" w:rsidRDefault="00F12C46">
      <w:pPr>
        <w:pBdr>
          <w:top w:val="nil"/>
          <w:left w:val="nil"/>
          <w:bottom w:val="nil"/>
          <w:right w:val="nil"/>
          <w:between w:val="nil"/>
        </w:pBdr>
        <w:tabs>
          <w:tab w:val="left" w:pos="993"/>
        </w:tabs>
        <w:spacing w:line="276" w:lineRule="auto"/>
        <w:ind w:left="567" w:right="701"/>
        <w:jc w:val="both"/>
        <w:rPr>
          <w:rFonts w:ascii="Palatino Linotype" w:eastAsia="Palatino Linotype" w:hAnsi="Palatino Linotype" w:cs="Palatino Linotype"/>
          <w:b/>
          <w:sz w:val="22"/>
          <w:szCs w:val="22"/>
        </w:rPr>
      </w:pPr>
    </w:p>
    <w:p w14:paraId="4E3E9C88" w14:textId="77777777" w:rsidR="00020691" w:rsidRPr="00D53C65" w:rsidRDefault="00095DD5" w:rsidP="00020691">
      <w:pPr>
        <w:pBdr>
          <w:top w:val="nil"/>
          <w:left w:val="nil"/>
          <w:bottom w:val="nil"/>
          <w:right w:val="nil"/>
          <w:between w:val="nil"/>
        </w:pBdr>
        <w:tabs>
          <w:tab w:val="left" w:pos="851"/>
        </w:tabs>
        <w:spacing w:line="276" w:lineRule="auto"/>
        <w:ind w:left="567" w:right="701"/>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b/>
          <w:sz w:val="22"/>
          <w:szCs w:val="22"/>
        </w:rPr>
        <w:t xml:space="preserve">Razones o motivos de la inconformidad: </w:t>
      </w:r>
      <w:r w:rsidR="00020691" w:rsidRPr="00D53C65">
        <w:rPr>
          <w:rFonts w:ascii="Palatino Linotype" w:eastAsia="Palatino Linotype" w:hAnsi="Palatino Linotype" w:cs="Palatino Linotype"/>
          <w:i/>
          <w:sz w:val="22"/>
          <w:szCs w:val="22"/>
        </w:rPr>
        <w:t>“Entonces, ¿por qué permiten que lo haga?” (Sic)</w:t>
      </w:r>
    </w:p>
    <w:p w14:paraId="66FEA46E" w14:textId="04CD2CDC" w:rsidR="00F12C46" w:rsidRPr="00D53C65" w:rsidRDefault="00F12C46">
      <w:pPr>
        <w:pBdr>
          <w:top w:val="nil"/>
          <w:left w:val="nil"/>
          <w:bottom w:val="nil"/>
          <w:right w:val="nil"/>
          <w:between w:val="nil"/>
        </w:pBdr>
        <w:tabs>
          <w:tab w:val="left" w:pos="709"/>
          <w:tab w:val="left" w:pos="851"/>
        </w:tabs>
        <w:spacing w:line="276" w:lineRule="auto"/>
        <w:ind w:left="567" w:right="701"/>
        <w:jc w:val="both"/>
        <w:rPr>
          <w:rFonts w:ascii="Palatino Linotype" w:eastAsia="Palatino Linotype" w:hAnsi="Palatino Linotype" w:cs="Palatino Linotype"/>
          <w:i/>
          <w:sz w:val="22"/>
          <w:szCs w:val="22"/>
        </w:rPr>
      </w:pPr>
    </w:p>
    <w:p w14:paraId="51F6FBEF" w14:textId="77777777" w:rsidR="00F12C46" w:rsidRPr="00D53C65" w:rsidRDefault="00F12C46">
      <w:pPr>
        <w:pBdr>
          <w:top w:val="nil"/>
          <w:left w:val="nil"/>
          <w:bottom w:val="nil"/>
          <w:right w:val="nil"/>
          <w:between w:val="nil"/>
        </w:pBdr>
        <w:tabs>
          <w:tab w:val="left" w:pos="709"/>
          <w:tab w:val="left" w:pos="851"/>
        </w:tabs>
        <w:spacing w:line="276" w:lineRule="auto"/>
        <w:ind w:left="567" w:right="701"/>
        <w:jc w:val="both"/>
        <w:rPr>
          <w:rFonts w:ascii="Palatino Linotype" w:eastAsia="Palatino Linotype" w:hAnsi="Palatino Linotype" w:cs="Palatino Linotype"/>
          <w:i/>
          <w:sz w:val="22"/>
          <w:szCs w:val="22"/>
        </w:rPr>
      </w:pPr>
    </w:p>
    <w:p w14:paraId="0B2BCFDA" w14:textId="2F77D4B4" w:rsidR="00F12C46" w:rsidRPr="00D53C65" w:rsidRDefault="00095DD5">
      <w:pPr>
        <w:numPr>
          <w:ilvl w:val="0"/>
          <w:numId w:val="2"/>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Turno.</w:t>
      </w:r>
      <w:r w:rsidRPr="00D53C65">
        <w:rPr>
          <w:rFonts w:ascii="Palatino Linotype" w:eastAsia="Palatino Linotype" w:hAnsi="Palatino Linotype" w:cs="Palatino Linotype"/>
          <w:sz w:val="22"/>
          <w:szCs w:val="22"/>
        </w:rPr>
        <w:t xml:space="preserve"> De conformidad con el artículo 185, fracción I de la Ley de Transparencia y Acceso a la Información Pública del Estado de México y Municipios, el recurso de revisión número </w:t>
      </w:r>
      <w:r w:rsidR="00020691" w:rsidRPr="00D53C65">
        <w:rPr>
          <w:rFonts w:ascii="Palatino Linotype" w:eastAsia="Palatino Linotype" w:hAnsi="Palatino Linotype" w:cs="Palatino Linotype"/>
          <w:b/>
          <w:sz w:val="22"/>
          <w:szCs w:val="22"/>
        </w:rPr>
        <w:t>10114</w:t>
      </w:r>
      <w:r w:rsidRPr="00D53C65">
        <w:rPr>
          <w:rFonts w:ascii="Palatino Linotype" w:eastAsia="Palatino Linotype" w:hAnsi="Palatino Linotype" w:cs="Palatino Linotype"/>
          <w:b/>
          <w:sz w:val="22"/>
          <w:szCs w:val="22"/>
        </w:rPr>
        <w:t>/INFOEM/IP/RR/2025</w:t>
      </w:r>
      <w:r w:rsidRPr="00D53C65">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w:t>
      </w:r>
      <w:r w:rsidRPr="00D53C65">
        <w:rPr>
          <w:rFonts w:ascii="Palatino Linotype" w:eastAsia="Palatino Linotype" w:hAnsi="Palatino Linotype" w:cs="Palatino Linotype"/>
          <w:b/>
          <w:sz w:val="22"/>
          <w:szCs w:val="22"/>
        </w:rPr>
        <w:t>Comisionada Guadalupe Ramírez Peña</w:t>
      </w:r>
      <w:r w:rsidRPr="00D53C65">
        <w:rPr>
          <w:rFonts w:ascii="Palatino Linotype" w:eastAsia="Palatino Linotype" w:hAnsi="Palatino Linotype" w:cs="Palatino Linotype"/>
          <w:sz w:val="22"/>
          <w:szCs w:val="22"/>
        </w:rPr>
        <w:t xml:space="preserve"> para su análisis, estudio, elaboración del proyecto y presentación ante el Pleno de este Instituto.</w:t>
      </w:r>
    </w:p>
    <w:p w14:paraId="2AD1915F" w14:textId="77777777" w:rsidR="00F12C46" w:rsidRPr="00D53C65" w:rsidRDefault="00F12C4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4C2C5AC" w14:textId="0BFF306D" w:rsidR="00F12C46" w:rsidRPr="00D53C65" w:rsidRDefault="00095DD5">
      <w:pPr>
        <w:numPr>
          <w:ilvl w:val="0"/>
          <w:numId w:val="2"/>
        </w:numPr>
        <w:pBdr>
          <w:top w:val="nil"/>
          <w:left w:val="nil"/>
          <w:bottom w:val="nil"/>
          <w:right w:val="nil"/>
          <w:between w:val="nil"/>
        </w:pBdr>
        <w:tabs>
          <w:tab w:val="left" w:pos="142"/>
          <w:tab w:val="left" w:pos="284"/>
        </w:tabs>
        <w:spacing w:line="360" w:lineRule="auto"/>
        <w:ind w:left="0" w:right="49"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Admisión del recurso de revisión</w:t>
      </w:r>
      <w:r w:rsidRPr="00D53C65">
        <w:rPr>
          <w:rFonts w:ascii="Palatino Linotype" w:eastAsia="Palatino Linotype" w:hAnsi="Palatino Linotype" w:cs="Palatino Linotype"/>
          <w:sz w:val="22"/>
          <w:szCs w:val="22"/>
        </w:rPr>
        <w:t xml:space="preserve">: En fecha </w:t>
      </w:r>
      <w:r w:rsidR="00020691" w:rsidRPr="00D53C65">
        <w:rPr>
          <w:rFonts w:ascii="Palatino Linotype" w:eastAsia="Palatino Linotype" w:hAnsi="Palatino Linotype" w:cs="Palatino Linotype"/>
          <w:b/>
          <w:sz w:val="22"/>
          <w:szCs w:val="22"/>
        </w:rPr>
        <w:t>primero de septiembre de</w:t>
      </w:r>
      <w:r w:rsidRPr="00D53C65">
        <w:rPr>
          <w:rFonts w:ascii="Palatino Linotype" w:eastAsia="Palatino Linotype" w:hAnsi="Palatino Linotype" w:cs="Palatino Linotype"/>
          <w:b/>
          <w:sz w:val="22"/>
          <w:szCs w:val="22"/>
        </w:rPr>
        <w:t xml:space="preserve"> dos mil veinticinco</w:t>
      </w:r>
      <w:r w:rsidRPr="00D53C65">
        <w:rPr>
          <w:rFonts w:ascii="Palatino Linotype" w:eastAsia="Palatino Linotype" w:hAnsi="Palatino Linotype" w:cs="Palatino Linotype"/>
          <w:sz w:val="22"/>
          <w:szCs w:val="22"/>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w:t>
      </w:r>
      <w:r w:rsidRPr="00D53C65">
        <w:rPr>
          <w:rFonts w:ascii="Palatino Linotype" w:eastAsia="Palatino Linotype" w:hAnsi="Palatino Linotype" w:cs="Palatino Linotype"/>
          <w:b/>
          <w:sz w:val="22"/>
          <w:szCs w:val="22"/>
        </w:rPr>
        <w:t>Sujeto Obligado</w:t>
      </w:r>
      <w:r w:rsidRPr="00D53C65">
        <w:rPr>
          <w:rFonts w:ascii="Palatino Linotype" w:eastAsia="Palatino Linotype" w:hAnsi="Palatino Linotype" w:cs="Palatino Linotype"/>
          <w:sz w:val="22"/>
          <w:szCs w:val="22"/>
        </w:rPr>
        <w:t xml:space="preserve"> presentara su informe justificado. </w:t>
      </w:r>
    </w:p>
    <w:p w14:paraId="7F26415B" w14:textId="77777777" w:rsidR="00F12C46" w:rsidRPr="00D53C65" w:rsidRDefault="00F12C4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80512A4" w14:textId="3BCBC26B" w:rsidR="00F12C46" w:rsidRPr="00D53C65" w:rsidRDefault="00095DD5" w:rsidP="00CB7761">
      <w:pPr>
        <w:numPr>
          <w:ilvl w:val="0"/>
          <w:numId w:val="2"/>
        </w:numPr>
        <w:pBdr>
          <w:top w:val="nil"/>
          <w:left w:val="nil"/>
          <w:bottom w:val="nil"/>
          <w:right w:val="nil"/>
          <w:between w:val="nil"/>
        </w:pBdr>
        <w:tabs>
          <w:tab w:val="left" w:pos="284"/>
        </w:tabs>
        <w:spacing w:line="360" w:lineRule="auto"/>
        <w:ind w:left="0" w:right="49" w:firstLine="0"/>
        <w:jc w:val="both"/>
        <w:rPr>
          <w:rFonts w:ascii="Palatino Linotype" w:eastAsia="Palatino Linotype" w:hAnsi="Palatino Linotype" w:cs="Palatino Linotype"/>
          <w:b/>
          <w:sz w:val="22"/>
          <w:szCs w:val="22"/>
        </w:rPr>
      </w:pPr>
      <w:r w:rsidRPr="00D53C65">
        <w:rPr>
          <w:rFonts w:ascii="Palatino Linotype" w:eastAsia="Palatino Linotype" w:hAnsi="Palatino Linotype" w:cs="Palatino Linotype"/>
          <w:b/>
          <w:sz w:val="22"/>
          <w:szCs w:val="22"/>
        </w:rPr>
        <w:t xml:space="preserve">Informe Justificado. </w:t>
      </w:r>
      <w:r w:rsidRPr="00D53C65">
        <w:rPr>
          <w:rFonts w:ascii="Palatino Linotype" w:eastAsia="Palatino Linotype" w:hAnsi="Palatino Linotype" w:cs="Palatino Linotype"/>
          <w:sz w:val="22"/>
          <w:szCs w:val="22"/>
        </w:rPr>
        <w:t xml:space="preserve">De las constancias que obran en el expediente electrónico aperturado con motivo del presente medio de impugnación, se advierte que durante el periodo de manifestaciones 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 xml:space="preserve">en fecha </w:t>
      </w:r>
      <w:r w:rsidR="00020691" w:rsidRPr="00D53C65">
        <w:rPr>
          <w:rFonts w:ascii="Palatino Linotype" w:eastAsia="Palatino Linotype" w:hAnsi="Palatino Linotype" w:cs="Palatino Linotype"/>
          <w:b/>
          <w:sz w:val="22"/>
          <w:szCs w:val="22"/>
        </w:rPr>
        <w:t>nueve de septiembre</w:t>
      </w:r>
      <w:r w:rsidRPr="00D53C65">
        <w:rPr>
          <w:rFonts w:ascii="Palatino Linotype" w:eastAsia="Palatino Linotype" w:hAnsi="Palatino Linotype" w:cs="Palatino Linotype"/>
          <w:b/>
          <w:sz w:val="22"/>
          <w:szCs w:val="22"/>
        </w:rPr>
        <w:t xml:space="preserve"> de dos mil veinticinco </w:t>
      </w:r>
      <w:r w:rsidRPr="00D53C65">
        <w:rPr>
          <w:rFonts w:ascii="Palatino Linotype" w:eastAsia="Palatino Linotype" w:hAnsi="Palatino Linotype" w:cs="Palatino Linotype"/>
          <w:sz w:val="22"/>
          <w:szCs w:val="22"/>
        </w:rPr>
        <w:t xml:space="preserve">rindió su informe justificado, a través de </w:t>
      </w:r>
      <w:r w:rsidR="00020691" w:rsidRPr="00D53C65">
        <w:rPr>
          <w:rFonts w:ascii="Palatino Linotype" w:eastAsia="Palatino Linotype" w:hAnsi="Palatino Linotype" w:cs="Palatino Linotype"/>
          <w:sz w:val="22"/>
          <w:szCs w:val="22"/>
        </w:rPr>
        <w:t>un</w:t>
      </w:r>
      <w:r w:rsidRPr="00D53C65">
        <w:rPr>
          <w:rFonts w:ascii="Palatino Linotype" w:eastAsia="Palatino Linotype" w:hAnsi="Palatino Linotype" w:cs="Palatino Linotype"/>
          <w:sz w:val="22"/>
          <w:szCs w:val="22"/>
        </w:rPr>
        <w:t xml:space="preserve"> archivo electrónico </w:t>
      </w:r>
      <w:r w:rsidR="00020691" w:rsidRPr="00D53C65">
        <w:rPr>
          <w:rFonts w:ascii="Palatino Linotype" w:eastAsia="Palatino Linotype" w:hAnsi="Palatino Linotype" w:cs="Palatino Linotype"/>
          <w:sz w:val="22"/>
          <w:szCs w:val="22"/>
        </w:rPr>
        <w:t>denominado “</w:t>
      </w:r>
      <w:r w:rsidR="00020691" w:rsidRPr="00D53C65">
        <w:rPr>
          <w:rFonts w:ascii="Palatino Linotype" w:eastAsia="Palatino Linotype" w:hAnsi="Palatino Linotype" w:cs="Palatino Linotype"/>
          <w:b/>
          <w:i/>
          <w:sz w:val="22"/>
          <w:szCs w:val="22"/>
        </w:rPr>
        <w:t>RR 10114.pdf</w:t>
      </w:r>
      <w:r w:rsidR="00020691" w:rsidRPr="00D53C65">
        <w:rPr>
          <w:rFonts w:ascii="Palatino Linotype" w:eastAsia="Palatino Linotype" w:hAnsi="Palatino Linotype" w:cs="Palatino Linotype"/>
          <w:sz w:val="22"/>
          <w:szCs w:val="22"/>
        </w:rPr>
        <w:t xml:space="preserve">” </w:t>
      </w:r>
      <w:r w:rsidR="00CB7761" w:rsidRPr="00D53C65">
        <w:rPr>
          <w:rFonts w:ascii="Palatino Linotype" w:eastAsia="Palatino Linotype" w:hAnsi="Palatino Linotype" w:cs="Palatino Linotype"/>
          <w:sz w:val="22"/>
          <w:szCs w:val="22"/>
        </w:rPr>
        <w:t>mediante el cual se ratificó la respuesta inicial.</w:t>
      </w:r>
    </w:p>
    <w:p w14:paraId="2D1FCAA9" w14:textId="77777777" w:rsidR="00F12C46" w:rsidRPr="00D53C65" w:rsidRDefault="00F12C46" w:rsidP="00020691">
      <w:pPr>
        <w:pBdr>
          <w:top w:val="nil"/>
          <w:left w:val="nil"/>
          <w:bottom w:val="nil"/>
          <w:right w:val="nil"/>
          <w:between w:val="nil"/>
        </w:pBdr>
        <w:spacing w:line="276" w:lineRule="auto"/>
        <w:jc w:val="both"/>
        <w:rPr>
          <w:rFonts w:ascii="Palatino Linotype" w:eastAsia="Palatino Linotype" w:hAnsi="Palatino Linotype" w:cs="Palatino Linotype"/>
          <w:sz w:val="22"/>
          <w:szCs w:val="22"/>
        </w:rPr>
      </w:pPr>
    </w:p>
    <w:p w14:paraId="37AE8472" w14:textId="10DC029D" w:rsidR="00F12C46" w:rsidRPr="00D53C65" w:rsidRDefault="00095DD5">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Documento que se pus</w:t>
      </w:r>
      <w:r w:rsidR="00CB7761" w:rsidRPr="00D53C65">
        <w:rPr>
          <w:rFonts w:ascii="Palatino Linotype" w:eastAsia="Palatino Linotype" w:hAnsi="Palatino Linotype" w:cs="Palatino Linotype"/>
          <w:sz w:val="22"/>
          <w:szCs w:val="22"/>
        </w:rPr>
        <w:t>o</w:t>
      </w:r>
      <w:r w:rsidRPr="00D53C65">
        <w:rPr>
          <w:rFonts w:ascii="Palatino Linotype" w:eastAsia="Palatino Linotype" w:hAnsi="Palatino Linotype" w:cs="Palatino Linotype"/>
          <w:sz w:val="22"/>
          <w:szCs w:val="22"/>
        </w:rPr>
        <w:t xml:space="preserve"> a la vista de la parte </w:t>
      </w:r>
      <w:r w:rsidRPr="00D53C65">
        <w:rPr>
          <w:rFonts w:ascii="Palatino Linotype" w:eastAsia="Palatino Linotype" w:hAnsi="Palatino Linotype" w:cs="Palatino Linotype"/>
          <w:b/>
          <w:sz w:val="22"/>
          <w:szCs w:val="22"/>
        </w:rPr>
        <w:t xml:space="preserve">Recurrente, </w:t>
      </w:r>
      <w:r w:rsidRPr="00D53C65">
        <w:rPr>
          <w:rFonts w:ascii="Palatino Linotype" w:eastAsia="Palatino Linotype" w:hAnsi="Palatino Linotype" w:cs="Palatino Linotype"/>
          <w:sz w:val="22"/>
          <w:szCs w:val="22"/>
        </w:rPr>
        <w:t xml:space="preserve">a fin de que manifestara lo que a su derecho resultara conveniente; no obstante, fue omisa en ejercer dicha prerrogativa. </w:t>
      </w:r>
    </w:p>
    <w:p w14:paraId="3D1BD518" w14:textId="77777777" w:rsidR="00F12C46" w:rsidRPr="00D53C65" w:rsidRDefault="00F12C4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sz w:val="22"/>
          <w:szCs w:val="22"/>
        </w:rPr>
      </w:pPr>
    </w:p>
    <w:p w14:paraId="6FCABEBA" w14:textId="49CB2607" w:rsidR="00F12C46" w:rsidRPr="00D53C65" w:rsidRDefault="00095DD5">
      <w:pPr>
        <w:spacing w:line="360" w:lineRule="auto"/>
        <w:jc w:val="both"/>
        <w:rPr>
          <w:rFonts w:ascii="Palatino Linotype" w:eastAsia="Palatino Linotype" w:hAnsi="Palatino Linotype" w:cs="Palatino Linotype"/>
          <w:sz w:val="22"/>
          <w:szCs w:val="22"/>
        </w:rPr>
      </w:pPr>
      <w:bookmarkStart w:id="5" w:name="_heading=h.fx7vcrn1mcia" w:colFirst="0" w:colLast="0"/>
      <w:bookmarkEnd w:id="5"/>
      <w:r w:rsidRPr="00D53C65">
        <w:rPr>
          <w:rFonts w:ascii="Palatino Linotype" w:eastAsia="Palatino Linotype" w:hAnsi="Palatino Linotype" w:cs="Palatino Linotype"/>
          <w:b/>
          <w:sz w:val="22"/>
          <w:szCs w:val="22"/>
        </w:rPr>
        <w:t>7. Ampliación del término para resolver</w:t>
      </w:r>
      <w:r w:rsidRPr="00D53C65">
        <w:rPr>
          <w:rFonts w:ascii="Palatino Linotype" w:eastAsia="Palatino Linotype" w:hAnsi="Palatino Linotype" w:cs="Palatino Linotype"/>
          <w:sz w:val="22"/>
          <w:szCs w:val="22"/>
        </w:rPr>
        <w:t xml:space="preserve">. Mediante acuerdo del </w:t>
      </w:r>
      <w:r w:rsidR="00CB7761" w:rsidRPr="00D53C65">
        <w:rPr>
          <w:rFonts w:ascii="Palatino Linotype" w:eastAsia="Palatino Linotype" w:hAnsi="Palatino Linotype" w:cs="Palatino Linotype"/>
          <w:b/>
          <w:sz w:val="22"/>
          <w:szCs w:val="22"/>
        </w:rPr>
        <w:t>veinticuatro de febrero</w:t>
      </w:r>
      <w:r w:rsidRPr="00D53C65">
        <w:rPr>
          <w:rFonts w:ascii="Palatino Linotype" w:eastAsia="Palatino Linotype" w:hAnsi="Palatino Linotype" w:cs="Palatino Linotype"/>
          <w:b/>
          <w:sz w:val="22"/>
          <w:szCs w:val="22"/>
        </w:rPr>
        <w:t xml:space="preserve"> de dos mil </w:t>
      </w:r>
      <w:r w:rsidR="00CB7761" w:rsidRPr="00D53C65">
        <w:rPr>
          <w:rFonts w:ascii="Palatino Linotype" w:eastAsia="Palatino Linotype" w:hAnsi="Palatino Linotype" w:cs="Palatino Linotype"/>
          <w:b/>
          <w:sz w:val="22"/>
          <w:szCs w:val="22"/>
        </w:rPr>
        <w:t>veintiséis</w:t>
      </w:r>
      <w:r w:rsidRPr="00D53C65">
        <w:rPr>
          <w:rFonts w:ascii="Palatino Linotype" w:eastAsia="Palatino Linotype" w:hAnsi="Palatino Linotype" w:cs="Palatino Linotype"/>
          <w:sz w:val="22"/>
          <w:szCs w:val="22"/>
        </w:rPr>
        <w:t>, se amplió el término para resolver el recurso de revisión en términos del artículo 181 párrafo tercero de la Ley de Transparencia y Acceso a la Información Pública del Estado de México y Municipios.</w:t>
      </w:r>
    </w:p>
    <w:p w14:paraId="5003CA93"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3C7F3D8C"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7868FD05"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6EBFAEDC"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4AA42C7A"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174B1638"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6A02A47"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3982A7A8"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6466A4E8"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50D1400E"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069348E2" w14:textId="77777777" w:rsidR="00F12C46" w:rsidRPr="00D53C65" w:rsidRDefault="00F12C46">
      <w:pPr>
        <w:spacing w:line="360" w:lineRule="auto"/>
        <w:jc w:val="both"/>
        <w:rPr>
          <w:rFonts w:ascii="Palatino Linotype" w:eastAsia="Palatino Linotype" w:hAnsi="Palatino Linotype" w:cs="Palatino Linotype"/>
          <w:strike/>
          <w:sz w:val="22"/>
          <w:szCs w:val="22"/>
        </w:rPr>
      </w:pPr>
    </w:p>
    <w:p w14:paraId="5B5FB9E0" w14:textId="77777777" w:rsidR="00F12C46" w:rsidRPr="00D53C65" w:rsidRDefault="00095DD5">
      <w:pPr>
        <w:numPr>
          <w:ilvl w:val="0"/>
          <w:numId w:val="4"/>
        </w:numPr>
        <w:tabs>
          <w:tab w:val="left" w:pos="993"/>
        </w:tabs>
        <w:spacing w:line="360" w:lineRule="auto"/>
        <w:ind w:left="567" w:right="900"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Complejidad del Asunto:</w:t>
      </w:r>
      <w:r w:rsidRPr="00D53C65">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026AB3ED" w14:textId="77777777" w:rsidR="00F12C46" w:rsidRPr="00D53C65" w:rsidRDefault="00095DD5">
      <w:pPr>
        <w:numPr>
          <w:ilvl w:val="0"/>
          <w:numId w:val="4"/>
        </w:numPr>
        <w:tabs>
          <w:tab w:val="left" w:pos="993"/>
        </w:tabs>
        <w:spacing w:line="360" w:lineRule="auto"/>
        <w:ind w:left="567" w:right="900"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Actividad Procesal del interesado</w:t>
      </w:r>
      <w:r w:rsidRPr="00D53C65">
        <w:rPr>
          <w:rFonts w:ascii="Palatino Linotype" w:eastAsia="Palatino Linotype" w:hAnsi="Palatino Linotype" w:cs="Palatino Linotype"/>
          <w:sz w:val="22"/>
          <w:szCs w:val="22"/>
        </w:rPr>
        <w:t>. Acciones u omisiones del interesado.</w:t>
      </w:r>
    </w:p>
    <w:p w14:paraId="52852DA4" w14:textId="77777777" w:rsidR="00F12C46" w:rsidRPr="00D53C65" w:rsidRDefault="00095DD5">
      <w:pPr>
        <w:numPr>
          <w:ilvl w:val="0"/>
          <w:numId w:val="4"/>
        </w:numPr>
        <w:tabs>
          <w:tab w:val="left" w:pos="993"/>
        </w:tabs>
        <w:spacing w:line="360" w:lineRule="auto"/>
        <w:ind w:left="567" w:right="900"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Conducta de la Autoridad:</w:t>
      </w:r>
      <w:r w:rsidRPr="00D53C65">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5A34BC4E" w14:textId="77777777" w:rsidR="00F12C46" w:rsidRPr="00D53C65" w:rsidRDefault="00095DD5">
      <w:pPr>
        <w:numPr>
          <w:ilvl w:val="0"/>
          <w:numId w:val="4"/>
        </w:numPr>
        <w:tabs>
          <w:tab w:val="left" w:pos="993"/>
        </w:tabs>
        <w:spacing w:line="360" w:lineRule="auto"/>
        <w:ind w:left="567" w:right="900"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La afectación generada en la situación jurídica de la persona involucrada en el proceso:</w:t>
      </w:r>
      <w:r w:rsidRPr="00D53C65">
        <w:rPr>
          <w:rFonts w:ascii="Palatino Linotype" w:eastAsia="Palatino Linotype" w:hAnsi="Palatino Linotype" w:cs="Palatino Linotype"/>
          <w:sz w:val="22"/>
          <w:szCs w:val="22"/>
        </w:rPr>
        <w:t xml:space="preserve"> Violación a sus derechos humanos.</w:t>
      </w:r>
    </w:p>
    <w:p w14:paraId="3428D102" w14:textId="77777777" w:rsidR="00F12C46" w:rsidRPr="00D53C65" w:rsidRDefault="00F12C46">
      <w:pPr>
        <w:tabs>
          <w:tab w:val="left" w:pos="993"/>
        </w:tabs>
        <w:spacing w:line="360" w:lineRule="auto"/>
        <w:ind w:left="567" w:right="900"/>
        <w:jc w:val="both"/>
        <w:rPr>
          <w:rFonts w:ascii="Palatino Linotype" w:eastAsia="Palatino Linotype" w:hAnsi="Palatino Linotype" w:cs="Palatino Linotype"/>
          <w:sz w:val="22"/>
          <w:szCs w:val="22"/>
        </w:rPr>
      </w:pPr>
    </w:p>
    <w:p w14:paraId="1CE6F6F2"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39C64C0"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01D1F47E"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D53C65">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D53C65">
        <w:rPr>
          <w:rFonts w:ascii="Palatino Linotype" w:eastAsia="Palatino Linotype" w:hAnsi="Palatino Linotype" w:cs="Palatino Linotype"/>
          <w:sz w:val="22"/>
          <w:szCs w:val="22"/>
        </w:rPr>
        <w:t>, visible en la Gaceta del Seminario Judicial de la Federación con el registro digital 205635.</w:t>
      </w:r>
    </w:p>
    <w:p w14:paraId="6E9D37F9" w14:textId="77777777" w:rsidR="00F12C46" w:rsidRPr="00D53C65" w:rsidRDefault="00F12C46">
      <w:pPr>
        <w:spacing w:line="360" w:lineRule="auto"/>
        <w:jc w:val="both"/>
        <w:rPr>
          <w:rFonts w:ascii="Palatino Linotype" w:eastAsia="Palatino Linotype" w:hAnsi="Palatino Linotype" w:cs="Palatino Linotype"/>
          <w:b/>
          <w:sz w:val="22"/>
          <w:szCs w:val="22"/>
        </w:rPr>
      </w:pPr>
    </w:p>
    <w:p w14:paraId="20794020"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669DCEFC"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4F1A7EB3"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467B7B1C"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0A2EB219" w14:textId="77777777" w:rsidR="00F12C46" w:rsidRPr="00D53C65" w:rsidRDefault="00095DD5">
      <w:pPr>
        <w:spacing w:line="360" w:lineRule="auto"/>
        <w:ind w:left="851" w:right="90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 </w:t>
      </w:r>
      <w:r w:rsidRPr="00D53C65">
        <w:rPr>
          <w:rFonts w:ascii="Palatino Linotype" w:eastAsia="Palatino Linotype" w:hAnsi="Palatino Linotype" w:cs="Palatino Linotype"/>
          <w:b/>
          <w:i/>
          <w:sz w:val="22"/>
          <w:szCs w:val="22"/>
        </w:rPr>
        <w:t>“PLAZO RAZONABLE PARA RESOLVER. DIMENSIÓN Y EFECTOS DE ESTE CONCEPTO CUANDO SE ADUCE EXCESIVA CARGA DE TRABAJO</w:t>
      </w:r>
      <w:r w:rsidRPr="00D53C65">
        <w:rPr>
          <w:rFonts w:ascii="Palatino Linotype" w:eastAsia="Palatino Linotype" w:hAnsi="Palatino Linotype" w:cs="Palatino Linotype"/>
          <w:i/>
          <w:sz w:val="22"/>
          <w:szCs w:val="22"/>
        </w:rPr>
        <w:t>.”</w:t>
      </w:r>
      <w:r w:rsidRPr="00D53C65">
        <w:rPr>
          <w:rFonts w:ascii="Palatino Linotype" w:eastAsia="Palatino Linotype" w:hAnsi="Palatino Linotype" w:cs="Palatino Linotype"/>
          <w:sz w:val="22"/>
          <w:szCs w:val="22"/>
        </w:rPr>
        <w:t xml:space="preserve"> consultable en el Seminario Judicial de la Federación y su gaceta, con el registro digital 2002351.</w:t>
      </w:r>
    </w:p>
    <w:p w14:paraId="3C732327" w14:textId="77777777" w:rsidR="00F12C46" w:rsidRPr="00D53C65" w:rsidRDefault="00095DD5">
      <w:pPr>
        <w:spacing w:line="360" w:lineRule="auto"/>
        <w:ind w:left="851" w:right="90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D53C65">
        <w:rPr>
          <w:rFonts w:ascii="Palatino Linotype" w:eastAsia="Palatino Linotype" w:hAnsi="Palatino Linotype" w:cs="Palatino Linotype"/>
          <w:sz w:val="22"/>
          <w:szCs w:val="22"/>
        </w:rPr>
        <w:t>, visible en el Seminario Judicial de la Federación y su gaceta, con el registro digital 2002350.</w:t>
      </w:r>
    </w:p>
    <w:p w14:paraId="2818603E" w14:textId="77777777" w:rsidR="00F12C46" w:rsidRPr="00D53C65" w:rsidRDefault="00F12C46">
      <w:pPr>
        <w:spacing w:line="360" w:lineRule="auto"/>
        <w:ind w:left="851" w:right="900"/>
        <w:jc w:val="both"/>
        <w:rPr>
          <w:rFonts w:ascii="Palatino Linotype" w:eastAsia="Palatino Linotype" w:hAnsi="Palatino Linotype" w:cs="Palatino Linotype"/>
          <w:sz w:val="22"/>
          <w:szCs w:val="22"/>
        </w:rPr>
      </w:pPr>
    </w:p>
    <w:p w14:paraId="4A30F287"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52D5143C" w14:textId="77777777" w:rsidR="00F12C46" w:rsidRPr="00D53C65" w:rsidRDefault="00F12C4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b/>
          <w:sz w:val="22"/>
          <w:szCs w:val="22"/>
        </w:rPr>
      </w:pPr>
    </w:p>
    <w:p w14:paraId="537630EA" w14:textId="028C1FCD" w:rsidR="00F12C46" w:rsidRPr="00D53C65" w:rsidRDefault="00095DD5">
      <w:pPr>
        <w:numPr>
          <w:ilvl w:val="0"/>
          <w:numId w:val="2"/>
        </w:numPr>
        <w:pBdr>
          <w:top w:val="nil"/>
          <w:left w:val="nil"/>
          <w:bottom w:val="nil"/>
          <w:right w:val="nil"/>
          <w:between w:val="nil"/>
        </w:pBdr>
        <w:tabs>
          <w:tab w:val="left" w:pos="142"/>
          <w:tab w:val="left" w:pos="284"/>
        </w:tabs>
        <w:spacing w:line="360" w:lineRule="auto"/>
        <w:ind w:left="0" w:right="49" w:firstLine="0"/>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Cierre de instrucción</w:t>
      </w:r>
      <w:r w:rsidRPr="00D53C65">
        <w:rPr>
          <w:rFonts w:ascii="Palatino Linotype" w:eastAsia="Palatino Linotype" w:hAnsi="Palatino Linotype" w:cs="Palatino Linotype"/>
          <w:sz w:val="22"/>
          <w:szCs w:val="22"/>
        </w:rPr>
        <w:t xml:space="preserve">. En fecha </w:t>
      </w:r>
      <w:r w:rsidR="000173A9" w:rsidRPr="00D53C65">
        <w:rPr>
          <w:rFonts w:ascii="Palatino Linotype" w:eastAsia="Palatino Linotype" w:hAnsi="Palatino Linotype" w:cs="Palatino Linotype"/>
          <w:b/>
          <w:sz w:val="22"/>
          <w:szCs w:val="22"/>
        </w:rPr>
        <w:t>tres</w:t>
      </w:r>
      <w:r w:rsidR="00CB7761" w:rsidRPr="00D53C65">
        <w:rPr>
          <w:rFonts w:ascii="Palatino Linotype" w:eastAsia="Palatino Linotype" w:hAnsi="Palatino Linotype" w:cs="Palatino Linotype"/>
          <w:b/>
          <w:sz w:val="22"/>
          <w:szCs w:val="22"/>
        </w:rPr>
        <w:t xml:space="preserve"> de marzo de dos mil veintiséis</w:t>
      </w:r>
      <w:r w:rsidRPr="00D53C65">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83F6928" w14:textId="77777777" w:rsidR="00F12C46" w:rsidRPr="00D53C65" w:rsidRDefault="00F12C4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33B20FCE" w14:textId="77777777" w:rsidR="00F12C46" w:rsidRPr="00D53C65" w:rsidRDefault="00095DD5">
      <w:pPr>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Debido a que fue debidamente sustanciado el expediente electrónico y no existe diligencia pendiente de desahogo, se emite la Resolución que conforme a Derecho proceda, de acuerdo con los siguientes: </w:t>
      </w:r>
    </w:p>
    <w:p w14:paraId="31314070" w14:textId="77777777" w:rsidR="00F12C46" w:rsidRPr="00D53C65" w:rsidRDefault="00095DD5">
      <w:pPr>
        <w:spacing w:line="360" w:lineRule="auto"/>
        <w:ind w:right="49"/>
        <w:jc w:val="center"/>
        <w:rPr>
          <w:rFonts w:ascii="Palatino Linotype" w:eastAsia="Palatino Linotype" w:hAnsi="Palatino Linotype" w:cs="Palatino Linotype"/>
          <w:b/>
          <w:sz w:val="22"/>
          <w:szCs w:val="22"/>
        </w:rPr>
      </w:pPr>
      <w:r w:rsidRPr="00D53C65">
        <w:rPr>
          <w:rFonts w:ascii="Palatino Linotype" w:eastAsia="Palatino Linotype" w:hAnsi="Palatino Linotype" w:cs="Palatino Linotype"/>
          <w:b/>
          <w:sz w:val="22"/>
          <w:szCs w:val="22"/>
        </w:rPr>
        <w:t>II.</w:t>
      </w:r>
      <w:r w:rsidRPr="00D53C65">
        <w:rPr>
          <w:rFonts w:ascii="Palatino Linotype" w:eastAsia="Palatino Linotype" w:hAnsi="Palatino Linotype" w:cs="Palatino Linotype"/>
          <w:b/>
          <w:sz w:val="22"/>
          <w:szCs w:val="22"/>
        </w:rPr>
        <w:tab/>
        <w:t>C O N S I D E R A N D O:</w:t>
      </w:r>
    </w:p>
    <w:p w14:paraId="4981E23A" w14:textId="77777777" w:rsidR="00F12C46" w:rsidRPr="00D53C65" w:rsidRDefault="00F12C46">
      <w:pPr>
        <w:spacing w:line="360" w:lineRule="auto"/>
        <w:ind w:right="49"/>
        <w:jc w:val="both"/>
        <w:rPr>
          <w:rFonts w:ascii="Palatino Linotype" w:eastAsia="Palatino Linotype" w:hAnsi="Palatino Linotype" w:cs="Palatino Linotype"/>
          <w:sz w:val="22"/>
          <w:szCs w:val="22"/>
        </w:rPr>
      </w:pPr>
    </w:p>
    <w:p w14:paraId="0EA6BCBC"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Primero. Competencia.</w:t>
      </w:r>
      <w:r w:rsidRPr="00D53C6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DA337C3"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p>
    <w:p w14:paraId="699F07E8"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Segundo. Oportunidad y Procedibilidad del Recurso de Revisión</w:t>
      </w:r>
      <w:r w:rsidRPr="00D53C65">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4FF47D8"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p>
    <w:p w14:paraId="2073E6EA" w14:textId="447B6F79" w:rsidR="00CB7761" w:rsidRPr="00D53C65" w:rsidRDefault="00CB7761" w:rsidP="00CB7761">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remitió la respuesta a la solicitud de información el</w:t>
      </w:r>
      <w:r w:rsidRPr="00D53C65">
        <w:t xml:space="preserve"> </w:t>
      </w:r>
      <w:r w:rsidRPr="00D53C65">
        <w:rPr>
          <w:rFonts w:ascii="Palatino Linotype" w:eastAsia="Palatino Linotype" w:hAnsi="Palatino Linotype" w:cs="Palatino Linotype"/>
          <w:b/>
          <w:sz w:val="22"/>
          <w:szCs w:val="22"/>
        </w:rPr>
        <w:t xml:space="preserve">ocho de agosto de dos mil veinticinco, </w:t>
      </w:r>
      <w:r w:rsidRPr="00D53C65">
        <w:rPr>
          <w:rFonts w:ascii="Palatino Linotype" w:eastAsia="Palatino Linotype" w:hAnsi="Palatino Linotype" w:cs="Palatino Linotype"/>
          <w:sz w:val="22"/>
          <w:szCs w:val="22"/>
        </w:rPr>
        <w:t xml:space="preserve">mientras que el recurso de revisión interpuesto por </w:t>
      </w:r>
      <w:r w:rsidRPr="00D53C65">
        <w:rPr>
          <w:rFonts w:ascii="Palatino Linotype" w:eastAsia="Palatino Linotype" w:hAnsi="Palatino Linotype" w:cs="Palatino Linotype"/>
          <w:b/>
          <w:sz w:val="22"/>
          <w:szCs w:val="22"/>
        </w:rPr>
        <w:t>la parte</w:t>
      </w:r>
      <w:r w:rsidRPr="00D53C65">
        <w:rPr>
          <w:rFonts w:ascii="Palatino Linotype" w:eastAsia="Palatino Linotype" w:hAnsi="Palatino Linotype" w:cs="Palatino Linotype"/>
          <w:sz w:val="22"/>
          <w:szCs w:val="22"/>
        </w:rPr>
        <w:t xml:space="preserve"> </w:t>
      </w:r>
      <w:r w:rsidRPr="00D53C65">
        <w:rPr>
          <w:rFonts w:ascii="Palatino Linotype" w:eastAsia="Palatino Linotype" w:hAnsi="Palatino Linotype" w:cs="Palatino Linotype"/>
          <w:b/>
          <w:sz w:val="22"/>
          <w:szCs w:val="22"/>
        </w:rPr>
        <w:t>Recurrente</w:t>
      </w:r>
      <w:r w:rsidRPr="00D53C65">
        <w:rPr>
          <w:rFonts w:ascii="Palatino Linotype" w:eastAsia="Palatino Linotype" w:hAnsi="Palatino Linotype" w:cs="Palatino Linotype"/>
          <w:sz w:val="22"/>
          <w:szCs w:val="22"/>
        </w:rPr>
        <w:t xml:space="preserve">, se tuvo por presentado el </w:t>
      </w:r>
      <w:r w:rsidRPr="00D53C65">
        <w:rPr>
          <w:rFonts w:ascii="Palatino Linotype" w:eastAsia="Palatino Linotype" w:hAnsi="Palatino Linotype" w:cs="Palatino Linotype"/>
          <w:b/>
          <w:sz w:val="22"/>
          <w:szCs w:val="22"/>
        </w:rPr>
        <w:t>veintisiete de agosto de dos mil veinticinco</w:t>
      </w:r>
      <w:r w:rsidRPr="00D53C65">
        <w:rPr>
          <w:rFonts w:ascii="Palatino Linotype" w:eastAsia="Palatino Linotype" w:hAnsi="Palatino Linotype" w:cs="Palatino Linotype"/>
          <w:sz w:val="22"/>
          <w:szCs w:val="22"/>
        </w:rPr>
        <w:t xml:space="preserve"> esto es, al </w:t>
      </w:r>
      <w:r w:rsidRPr="00D53C65">
        <w:rPr>
          <w:rFonts w:ascii="Palatino Linotype" w:eastAsia="Palatino Linotype" w:hAnsi="Palatino Linotype" w:cs="Palatino Linotype"/>
          <w:b/>
          <w:sz w:val="22"/>
          <w:szCs w:val="22"/>
          <w:u w:val="single"/>
        </w:rPr>
        <w:t>décimo tercer</w:t>
      </w:r>
      <w:r w:rsidRPr="00D53C65">
        <w:rPr>
          <w:rFonts w:ascii="Palatino Linotype" w:eastAsia="Palatino Linotype" w:hAnsi="Palatino Linotype" w:cs="Palatino Linotype"/>
          <w:sz w:val="22"/>
          <w:szCs w:val="22"/>
        </w:rPr>
        <w:t xml:space="preserve"> día hábil siguiente a aquel </w:t>
      </w:r>
      <w:r w:rsidRPr="00D53C65">
        <w:rPr>
          <w:rFonts w:ascii="Palatino Linotype" w:eastAsia="Palatino Linotype" w:hAnsi="Palatino Linotype" w:cs="Palatino Linotype"/>
          <w:b/>
          <w:sz w:val="22"/>
          <w:szCs w:val="22"/>
        </w:rPr>
        <w:t>en que se tuvo conocimiento de la respuesta impugnada</w:t>
      </w:r>
      <w:r w:rsidRPr="00D53C65">
        <w:rPr>
          <w:rFonts w:ascii="Palatino Linotype" w:eastAsia="Palatino Linotype" w:hAnsi="Palatino Linotype" w:cs="Palatino Linotype"/>
          <w:sz w:val="22"/>
          <w:szCs w:val="22"/>
        </w:rPr>
        <w:t xml:space="preserve">. </w:t>
      </w:r>
    </w:p>
    <w:p w14:paraId="196E5063"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p>
    <w:p w14:paraId="380EB457"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2729474C"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p>
    <w:p w14:paraId="56F670FE" w14:textId="77777777" w:rsidR="00CB7761" w:rsidRPr="00D53C65" w:rsidRDefault="00CB7761" w:rsidP="00CB7761">
      <w:pPr>
        <w:tabs>
          <w:tab w:val="left" w:pos="7938"/>
        </w:tabs>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Al mismo tiempo, por cuanto hace a la procedibilidad de los recursos de revisión, una vez realizado el análisis del formato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4759B5B0" w14:textId="77777777" w:rsidR="00CB7761" w:rsidRPr="00D53C65" w:rsidRDefault="00CB7761" w:rsidP="00CB7761">
      <w:pPr>
        <w:tabs>
          <w:tab w:val="left" w:pos="7938"/>
        </w:tabs>
        <w:spacing w:line="360" w:lineRule="auto"/>
        <w:jc w:val="both"/>
        <w:rPr>
          <w:rFonts w:ascii="Palatino Linotype" w:eastAsia="Palatino Linotype" w:hAnsi="Palatino Linotype" w:cs="Palatino Linotype"/>
          <w:sz w:val="22"/>
          <w:szCs w:val="22"/>
        </w:rPr>
      </w:pPr>
    </w:p>
    <w:p w14:paraId="579BF814" w14:textId="7B0F508A" w:rsidR="00CB7761" w:rsidRPr="00D53C65" w:rsidRDefault="00CB7761" w:rsidP="00CB7761">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Por otro lado, es de suma importancia mencionar que, si bien la parte</w:t>
      </w:r>
      <w:r w:rsidRPr="00D53C65">
        <w:rPr>
          <w:rFonts w:ascii="Palatino Linotype" w:eastAsia="Palatino Linotype" w:hAnsi="Palatino Linotype" w:cs="Palatino Linotype"/>
          <w:b/>
          <w:sz w:val="22"/>
          <w:szCs w:val="22"/>
        </w:rPr>
        <w:t xml:space="preserve"> Recurrente</w:t>
      </w:r>
      <w:r w:rsidRPr="00D53C65">
        <w:rPr>
          <w:rFonts w:ascii="Palatino Linotype" w:eastAsia="Palatino Linotype" w:hAnsi="Palatino Linotype" w:cs="Palatino Linotype"/>
          <w:sz w:val="22"/>
          <w:szCs w:val="22"/>
        </w:rPr>
        <w:t xml:space="preserve"> </w:t>
      </w:r>
      <w:r w:rsidRPr="00D53C65">
        <w:rPr>
          <w:rFonts w:ascii="Palatino Linotype" w:eastAsia="Palatino Linotype" w:hAnsi="Palatino Linotype" w:cs="Palatino Linotype"/>
          <w:b/>
          <w:sz w:val="22"/>
          <w:szCs w:val="22"/>
        </w:rPr>
        <w:t>no</w:t>
      </w:r>
      <w:r w:rsidRPr="00D53C65">
        <w:rPr>
          <w:rFonts w:ascii="Palatino Linotype" w:eastAsia="Palatino Linotype" w:hAnsi="Palatino Linotype" w:cs="Palatino Linotype"/>
          <w:sz w:val="22"/>
          <w:szCs w:val="22"/>
        </w:rPr>
        <w:t xml:space="preserve"> </w:t>
      </w:r>
      <w:r w:rsidRPr="00D53C65">
        <w:rPr>
          <w:rFonts w:ascii="Palatino Linotype" w:eastAsia="Palatino Linotype" w:hAnsi="Palatino Linotype" w:cs="Palatino Linotype"/>
          <w:b/>
          <w:sz w:val="22"/>
          <w:szCs w:val="22"/>
        </w:rPr>
        <w:t>proporcionó nombre completo,</w:t>
      </w:r>
      <w:r w:rsidRPr="00D53C65">
        <w:rPr>
          <w:rFonts w:ascii="Palatino Linotype" w:eastAsia="Palatino Linotype" w:hAnsi="Palatino Linotype" w:cs="Palatino Linotype"/>
          <w:sz w:val="22"/>
          <w:szCs w:val="22"/>
        </w:rPr>
        <w:t xml:space="preserve"> como se advierte en el detalle de seguimiento del SAIMEX; sin embargo, el no proporcionar un nombre completo no es motivo para archivar las solicitudes de acceso a la información pública como concluidas, conforme a lo previsto en el artículo 155, penúltimo párrafo de la Ley de Transparencia y Acceso a la Información Pública del Estado de México y Municipios que establece lo siguiente:</w:t>
      </w:r>
    </w:p>
    <w:p w14:paraId="1588FAA0" w14:textId="77777777" w:rsidR="00CB7761" w:rsidRPr="00D53C65" w:rsidRDefault="00CB7761" w:rsidP="00CB7761">
      <w:pPr>
        <w:spacing w:line="360" w:lineRule="auto"/>
        <w:jc w:val="both"/>
        <w:rPr>
          <w:rFonts w:ascii="Palatino Linotype" w:eastAsia="Palatino Linotype" w:hAnsi="Palatino Linotype" w:cs="Palatino Linotype"/>
          <w:sz w:val="22"/>
          <w:szCs w:val="22"/>
        </w:rPr>
      </w:pPr>
    </w:p>
    <w:p w14:paraId="43037A0E" w14:textId="77777777" w:rsidR="00CB7761" w:rsidRPr="00D53C65" w:rsidRDefault="00CB7761" w:rsidP="00CB7761">
      <w:pPr>
        <w:spacing w:line="276" w:lineRule="auto"/>
        <w:ind w:left="851" w:right="902"/>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i/>
          <w:sz w:val="22"/>
          <w:szCs w:val="22"/>
        </w:rPr>
        <w:t>"</w:t>
      </w:r>
      <w:r w:rsidRPr="00D53C65">
        <w:rPr>
          <w:rFonts w:ascii="Palatino Linotype" w:eastAsia="Palatino Linotype" w:hAnsi="Palatino Linotype" w:cs="Palatino Linotype"/>
          <w:b/>
          <w:i/>
          <w:sz w:val="22"/>
          <w:szCs w:val="22"/>
        </w:rPr>
        <w:t xml:space="preserve">Las solicitudes </w:t>
      </w:r>
      <w:r w:rsidRPr="00D53C65">
        <w:rPr>
          <w:rFonts w:ascii="Palatino Linotype" w:eastAsia="Palatino Linotype" w:hAnsi="Palatino Linotype" w:cs="Palatino Linotype"/>
          <w:i/>
          <w:sz w:val="22"/>
          <w:szCs w:val="22"/>
        </w:rPr>
        <w:t xml:space="preserve">anónimas, </w:t>
      </w:r>
      <w:r w:rsidRPr="00D53C65">
        <w:rPr>
          <w:rFonts w:ascii="Palatino Linotype" w:eastAsia="Palatino Linotype" w:hAnsi="Palatino Linotype" w:cs="Palatino Linotype"/>
          <w:b/>
          <w:i/>
          <w:sz w:val="22"/>
          <w:szCs w:val="22"/>
          <w:u w:val="single"/>
        </w:rPr>
        <w:t>con nombre incompleto</w:t>
      </w:r>
      <w:r w:rsidRPr="00D53C65">
        <w:rPr>
          <w:rFonts w:ascii="Palatino Linotype" w:eastAsia="Palatino Linotype" w:hAnsi="Palatino Linotype" w:cs="Palatino Linotype"/>
          <w:i/>
          <w:sz w:val="22"/>
          <w:szCs w:val="22"/>
        </w:rPr>
        <w:t xml:space="preserve"> o seudónimo </w:t>
      </w:r>
      <w:r w:rsidRPr="00D53C65">
        <w:rPr>
          <w:rFonts w:ascii="Palatino Linotype" w:eastAsia="Palatino Linotype" w:hAnsi="Palatino Linotype" w:cs="Palatino Linotype"/>
          <w:b/>
          <w:i/>
          <w:sz w:val="22"/>
          <w:szCs w:val="22"/>
        </w:rPr>
        <w:t>serán procedentes para su trámite por parte del sujeto obligado ante quien se presente</w:t>
      </w:r>
      <w:r w:rsidRPr="00D53C65">
        <w:rPr>
          <w:rFonts w:ascii="Palatino Linotype" w:eastAsia="Palatino Linotype" w:hAnsi="Palatino Linotype" w:cs="Palatino Linotype"/>
          <w:i/>
          <w:sz w:val="22"/>
          <w:szCs w:val="22"/>
        </w:rPr>
        <w:t>. No podrá requerirse información adicional con motivo del nombre proporcionado por el solicitante."</w:t>
      </w:r>
    </w:p>
    <w:p w14:paraId="306E7D02" w14:textId="77777777" w:rsidR="00CB7761" w:rsidRPr="00D53C65" w:rsidRDefault="00CB7761" w:rsidP="00CB7761">
      <w:pPr>
        <w:ind w:left="567" w:right="900"/>
        <w:jc w:val="right"/>
        <w:rPr>
          <w:rFonts w:ascii="Palatino Linotype" w:eastAsia="Palatino Linotype" w:hAnsi="Palatino Linotype" w:cs="Palatino Linotype"/>
          <w:b/>
          <w:i/>
          <w:sz w:val="22"/>
          <w:szCs w:val="22"/>
        </w:rPr>
      </w:pPr>
    </w:p>
    <w:p w14:paraId="0B81A494" w14:textId="038E7363" w:rsidR="00F44CBA" w:rsidRPr="00D53C65" w:rsidRDefault="00F44CBA" w:rsidP="00CB7761">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Finalmente, se procede al análisis de la interposición del recurso, de acuerdo al artículo 179, fracción del ordenamiento legal citado.</w:t>
      </w:r>
    </w:p>
    <w:p w14:paraId="1CB01050" w14:textId="77777777" w:rsidR="00F44CBA" w:rsidRPr="00D53C65" w:rsidRDefault="00F44CBA" w:rsidP="00CB7761">
      <w:pPr>
        <w:spacing w:line="360" w:lineRule="auto"/>
        <w:jc w:val="both"/>
        <w:rPr>
          <w:rFonts w:ascii="Palatino Linotype" w:eastAsia="Palatino Linotype" w:hAnsi="Palatino Linotype" w:cs="Palatino Linotype"/>
          <w:b/>
          <w:sz w:val="22"/>
        </w:rPr>
      </w:pPr>
    </w:p>
    <w:p w14:paraId="19BE8C32" w14:textId="77777777" w:rsidR="00CB7761" w:rsidRPr="00D53C65" w:rsidRDefault="00CB7761" w:rsidP="00CB7761">
      <w:pPr>
        <w:spacing w:line="360" w:lineRule="auto"/>
        <w:jc w:val="both"/>
        <w:rPr>
          <w:rFonts w:ascii="Palatino Linotype" w:eastAsia="Palatino Linotype" w:hAnsi="Palatino Linotype" w:cs="Palatino Linotype"/>
          <w:sz w:val="22"/>
        </w:rPr>
      </w:pPr>
      <w:r w:rsidRPr="00D53C65">
        <w:rPr>
          <w:rFonts w:ascii="Palatino Linotype" w:eastAsia="Palatino Linotype" w:hAnsi="Palatino Linotype" w:cs="Palatino Linotype"/>
          <w:b/>
          <w:sz w:val="22"/>
        </w:rPr>
        <w:t xml:space="preserve">Tercero. Análisis de las causales de sobreseimiento. </w:t>
      </w:r>
      <w:r w:rsidRPr="00D53C65">
        <w:rPr>
          <w:rFonts w:ascii="Palatino Linotype" w:eastAsia="Palatino Linotype" w:hAnsi="Palatino Linotype" w:cs="Palatino Linotype"/>
          <w:sz w:val="22"/>
        </w:rPr>
        <w:t>Es menester resaltar que en el procedimiento de acceso a la información pública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E15252B" w14:textId="77777777" w:rsidR="00CB7761" w:rsidRPr="00D53C65" w:rsidRDefault="00CB7761" w:rsidP="00CB7761">
      <w:pPr>
        <w:spacing w:line="360" w:lineRule="auto"/>
        <w:jc w:val="both"/>
        <w:rPr>
          <w:rFonts w:ascii="Palatino Linotype" w:eastAsia="Palatino Linotype" w:hAnsi="Palatino Linotype" w:cs="Palatino Linotype"/>
          <w:sz w:val="22"/>
        </w:rPr>
      </w:pPr>
    </w:p>
    <w:p w14:paraId="4C3FB5A4" w14:textId="77777777" w:rsidR="00CB7761" w:rsidRPr="00D53C65" w:rsidRDefault="00CB7761" w:rsidP="00CB7761">
      <w:pPr>
        <w:spacing w:line="360" w:lineRule="auto"/>
        <w:jc w:val="both"/>
        <w:rPr>
          <w:rFonts w:ascii="Palatino Linotype" w:eastAsia="Palatino Linotype" w:hAnsi="Palatino Linotype" w:cs="Palatino Linotype"/>
          <w:sz w:val="22"/>
        </w:rPr>
      </w:pPr>
      <w:r w:rsidRPr="00D53C65">
        <w:rPr>
          <w:rFonts w:ascii="Palatino Linotype" w:eastAsia="Palatino Linotype" w:hAnsi="Palatino Linotype" w:cs="Palatino Linotype"/>
          <w:sz w:val="22"/>
        </w:rPr>
        <w:t>Siendo una facultad legal entrar al estudio de las causas de improcedencia que hagan valer las partes o que se adviertan de oficio por este Instituto; presupuestos procesales de inicio o trámite de un proceso que dotan de seguridad jurídica las resoluciones emitidas por este organismo colegiado, máxime que se trata de una figura procesal adoptada en la ley de la materia, la cual permite dilucidar alguna causal que impida el estudio y resolución de un asunto en su fondo, cuando una vez admitido el recurso de revisión se advierta una causa de improcedencia que permita sobreseerlo. Estudio de causales de improcedencia que no son incompatibles con el derecho de acceso a la justicia, ya que éste no se coarta por regular causas de improcedencia y sobreseimiento con tales fines.</w:t>
      </w:r>
    </w:p>
    <w:p w14:paraId="4328384F" w14:textId="77777777" w:rsidR="00CB7761" w:rsidRPr="00D53C65" w:rsidRDefault="00CB7761" w:rsidP="00CB776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904FF78" w14:textId="77777777" w:rsidR="00CB7761" w:rsidRPr="00D53C65" w:rsidRDefault="00CB7761" w:rsidP="00CB776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6" w:name="_heading=h.1y810tw" w:colFirst="0" w:colLast="0"/>
      <w:bookmarkEnd w:id="6"/>
      <w:r w:rsidRPr="00D53C65">
        <w:rPr>
          <w:rFonts w:ascii="Palatino Linotype" w:eastAsia="Palatino Linotype" w:hAnsi="Palatino Linotype" w:cs="Palatino Linotype"/>
          <w:sz w:val="22"/>
          <w:szCs w:val="22"/>
        </w:rPr>
        <w:t xml:space="preserve">Conviene iniciar el presente estudio señalando que, del análisis a la solicitud de información se advierte que la persona solicitante requirió del </w:t>
      </w:r>
      <w:r w:rsidRPr="00D53C65">
        <w:rPr>
          <w:rFonts w:ascii="Palatino Linotype" w:eastAsia="Palatino Linotype" w:hAnsi="Palatino Linotype" w:cs="Palatino Linotype"/>
          <w:b/>
          <w:sz w:val="22"/>
          <w:szCs w:val="22"/>
        </w:rPr>
        <w:t xml:space="preserve">Sujeto Obligado, </w:t>
      </w:r>
      <w:r w:rsidRPr="00D53C65">
        <w:rPr>
          <w:rFonts w:ascii="Palatino Linotype" w:eastAsia="Palatino Linotype" w:hAnsi="Palatino Linotype" w:cs="Palatino Linotype"/>
          <w:sz w:val="22"/>
          <w:szCs w:val="22"/>
        </w:rPr>
        <w:t>medularmente lo siguiente:</w:t>
      </w:r>
    </w:p>
    <w:p w14:paraId="395DC967" w14:textId="77777777" w:rsidR="00F12C46" w:rsidRPr="00D53C65" w:rsidRDefault="00F12C46">
      <w:pPr>
        <w:spacing w:line="360" w:lineRule="auto"/>
        <w:ind w:right="51"/>
        <w:jc w:val="both"/>
        <w:rPr>
          <w:rFonts w:ascii="Palatino Linotype" w:eastAsia="Palatino Linotype" w:hAnsi="Palatino Linotype" w:cs="Palatino Linotype"/>
          <w:sz w:val="22"/>
          <w:szCs w:val="22"/>
        </w:rPr>
      </w:pPr>
    </w:p>
    <w:p w14:paraId="4B50F9EF" w14:textId="77777777" w:rsidR="00F44CBA" w:rsidRPr="00D53C65" w:rsidRDefault="00F44CBA" w:rsidP="00F44CBA">
      <w:pPr>
        <w:pStyle w:val="Prrafodelista"/>
        <w:numPr>
          <w:ilvl w:val="0"/>
          <w:numId w:val="6"/>
        </w:numPr>
        <w:pBdr>
          <w:top w:val="nil"/>
          <w:left w:val="nil"/>
          <w:bottom w:val="nil"/>
          <w:right w:val="nil"/>
          <w:between w:val="nil"/>
        </w:pBdr>
        <w:spacing w:line="276" w:lineRule="auto"/>
        <w:ind w:right="-150"/>
        <w:jc w:val="both"/>
        <w:rPr>
          <w:rFonts w:ascii="Palatino Linotype" w:eastAsia="Palatino Linotype" w:hAnsi="Palatino Linotype" w:cs="Palatino Linotype"/>
        </w:rPr>
      </w:pPr>
      <w:r w:rsidRPr="00D53C65">
        <w:rPr>
          <w:rFonts w:ascii="Palatino Linotype" w:eastAsia="Palatino Linotype" w:hAnsi="Palatino Linotype" w:cs="Palatino Linotype"/>
        </w:rPr>
        <w:t>Copia del permiso concedido al dueño del vehículo particular con las especificaciones señaladas en la solicitud de información, para estacionarse en la banqueta con ubicación referida en el requerimiento.</w:t>
      </w:r>
    </w:p>
    <w:p w14:paraId="4491F7F3" w14:textId="5DE035D6" w:rsidR="00F12C46" w:rsidRPr="00D53C65" w:rsidRDefault="00F44CBA" w:rsidP="00F44CBA">
      <w:pPr>
        <w:pStyle w:val="Prrafodelista"/>
        <w:numPr>
          <w:ilvl w:val="0"/>
          <w:numId w:val="6"/>
        </w:numPr>
        <w:pBdr>
          <w:top w:val="nil"/>
          <w:left w:val="nil"/>
          <w:bottom w:val="nil"/>
          <w:right w:val="nil"/>
          <w:between w:val="nil"/>
        </w:pBdr>
        <w:spacing w:line="276" w:lineRule="auto"/>
        <w:ind w:right="-150"/>
        <w:jc w:val="both"/>
        <w:rPr>
          <w:rFonts w:ascii="Palatino Linotype" w:eastAsia="Palatino Linotype" w:hAnsi="Palatino Linotype" w:cs="Palatino Linotype"/>
        </w:rPr>
      </w:pPr>
      <w:r w:rsidRPr="00D53C65">
        <w:rPr>
          <w:rFonts w:ascii="Palatino Linotype" w:eastAsia="Palatino Linotype" w:hAnsi="Palatino Linotype" w:cs="Palatino Linotype"/>
        </w:rPr>
        <w:t>En caso de no existir el permiso indicado en el punto anterior, se proporcione documento donde conste la instrucción escrita para permitir que el vehículo referido pueda incumplir la normatividad vigente sobre estacionarse sobre las aceras.</w:t>
      </w:r>
    </w:p>
    <w:p w14:paraId="7D7E375E" w14:textId="5F9E0062" w:rsidR="00F44CBA" w:rsidRPr="00D53C65" w:rsidRDefault="00F44CBA" w:rsidP="00F44CBA">
      <w:pPr>
        <w:pStyle w:val="Prrafodelista"/>
        <w:numPr>
          <w:ilvl w:val="0"/>
          <w:numId w:val="6"/>
        </w:numPr>
        <w:pBdr>
          <w:top w:val="nil"/>
          <w:left w:val="nil"/>
          <w:bottom w:val="nil"/>
          <w:right w:val="nil"/>
          <w:between w:val="nil"/>
        </w:pBdr>
        <w:spacing w:line="276" w:lineRule="auto"/>
        <w:ind w:right="-150"/>
        <w:jc w:val="both"/>
        <w:rPr>
          <w:rFonts w:ascii="Palatino Linotype" w:eastAsia="Palatino Linotype" w:hAnsi="Palatino Linotype" w:cs="Palatino Linotype"/>
        </w:rPr>
      </w:pPr>
      <w:r w:rsidRPr="00D53C65">
        <w:rPr>
          <w:rFonts w:ascii="Palatino Linotype" w:eastAsia="Palatino Linotype" w:hAnsi="Palatino Linotype" w:cs="Palatino Linotype"/>
        </w:rPr>
        <w:t>O, en caso de existir el permiso indicado en el primer punto, se explique el motivo del porqué las autoridades de tránsito del Gobierno del Estado de México no aplican la normatividad vigente.</w:t>
      </w:r>
    </w:p>
    <w:p w14:paraId="1704408A" w14:textId="77777777" w:rsidR="00FD5395" w:rsidRPr="00D53C65" w:rsidRDefault="00F44CBA" w:rsidP="00FD5395">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Sobre lo anterior, el </w:t>
      </w:r>
      <w:r w:rsidRPr="00D53C65">
        <w:rPr>
          <w:rFonts w:ascii="Palatino Linotype" w:eastAsia="Palatino Linotype" w:hAnsi="Palatino Linotype" w:cs="Palatino Linotype"/>
          <w:b/>
          <w:sz w:val="22"/>
          <w:szCs w:val="22"/>
        </w:rPr>
        <w:t xml:space="preserve">Sujeto Obligado </w:t>
      </w:r>
      <w:r w:rsidR="00A301E6" w:rsidRPr="00D53C65">
        <w:rPr>
          <w:rFonts w:ascii="Palatino Linotype" w:eastAsia="Palatino Linotype" w:hAnsi="Palatino Linotype" w:cs="Palatino Linotype"/>
          <w:sz w:val="22"/>
          <w:szCs w:val="22"/>
        </w:rPr>
        <w:t xml:space="preserve">el Encargado de Despacho de la Unidad de Información, Planeación, Programación y Evaluación y de la Unidad de Transparencia se declaró incompetente parcialmente para dar respuesta a la solicitud, </w:t>
      </w:r>
      <w:r w:rsidR="00A301E6" w:rsidRPr="00D53C65">
        <w:rPr>
          <w:rFonts w:ascii="Palatino Linotype" w:eastAsia="Palatino Linotype" w:hAnsi="Palatino Linotype" w:cs="Palatino Linotype"/>
          <w:b/>
          <w:sz w:val="22"/>
          <w:szCs w:val="22"/>
        </w:rPr>
        <w:t>ya que lo relativo al permiso para estacionar un vehículo particular en banquetas,</w:t>
      </w:r>
      <w:r w:rsidR="00A301E6" w:rsidRPr="00D53C65">
        <w:rPr>
          <w:rFonts w:ascii="Palatino Linotype" w:eastAsia="Palatino Linotype" w:hAnsi="Palatino Linotype" w:cs="Palatino Linotype"/>
          <w:sz w:val="22"/>
          <w:szCs w:val="22"/>
        </w:rPr>
        <w:t xml:space="preserve"> le compete conocer a la Secretaría de Movilidad del Estado de México, de conformidad con el artículo 167 de la Ley de Transparencia y Acceso a la Información Pública, orientando al particular a que dirija su solicitud a dicho sujeto obligado.</w:t>
      </w:r>
    </w:p>
    <w:p w14:paraId="631ACE7E" w14:textId="77777777" w:rsidR="00FD5395" w:rsidRPr="00D53C65" w:rsidRDefault="00FD5395" w:rsidP="00FD5395">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7A9FC558" w14:textId="192CB4A5" w:rsidR="00FD5395" w:rsidRPr="00D53C65" w:rsidRDefault="00FD5395" w:rsidP="00FD5395">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Por otro lado, e</w:t>
      </w:r>
      <w:r w:rsidR="00095DD5" w:rsidRPr="00D53C65">
        <w:rPr>
          <w:rFonts w:ascii="Palatino Linotype" w:eastAsia="Palatino Linotype" w:hAnsi="Palatino Linotype" w:cs="Palatino Linotype"/>
          <w:sz w:val="22"/>
          <w:szCs w:val="22"/>
        </w:rPr>
        <w:t xml:space="preserve">n respuesta, el </w:t>
      </w:r>
      <w:r w:rsidR="00095DD5" w:rsidRPr="00D53C65">
        <w:rPr>
          <w:rFonts w:ascii="Palatino Linotype" w:eastAsia="Palatino Linotype" w:hAnsi="Palatino Linotype" w:cs="Palatino Linotype"/>
          <w:b/>
          <w:sz w:val="22"/>
          <w:szCs w:val="22"/>
        </w:rPr>
        <w:t xml:space="preserve">Sujeto Obligado </w:t>
      </w:r>
      <w:r w:rsidR="00095DD5" w:rsidRPr="00D53C65">
        <w:rPr>
          <w:rFonts w:ascii="Palatino Linotype" w:eastAsia="Palatino Linotype" w:hAnsi="Palatino Linotype" w:cs="Palatino Linotype"/>
          <w:sz w:val="22"/>
          <w:szCs w:val="22"/>
        </w:rPr>
        <w:t xml:space="preserve">por conducto </w:t>
      </w:r>
      <w:r w:rsidRPr="00D53C65">
        <w:rPr>
          <w:rFonts w:ascii="Palatino Linotype" w:eastAsia="Palatino Linotype" w:hAnsi="Palatino Linotype" w:cs="Palatino Linotype"/>
          <w:sz w:val="22"/>
          <w:szCs w:val="22"/>
        </w:rPr>
        <w:t>el Encargado de Despacho de la Unidad de Información, Planeación, Programación y Evaluación y de la Unidad de Transparencia ratifica su incompetencia parcial, y con relación al requerimiento de la persona solicitante relativa a “…</w:t>
      </w:r>
      <w:r w:rsidRPr="00D53C65">
        <w:rPr>
          <w:rFonts w:ascii="Palatino Linotype" w:eastAsia="Palatino Linotype" w:hAnsi="Palatino Linotype" w:cs="Palatino Linotype"/>
          <w:b/>
          <w:i/>
          <w:sz w:val="22"/>
          <w:szCs w:val="22"/>
        </w:rPr>
        <w:t>el motivo porqué las autoridades de tránsito del Gobierno del Estado de México no aplican la normatividad vigente</w:t>
      </w:r>
      <w:r w:rsidRPr="00D53C65">
        <w:rPr>
          <w:rFonts w:ascii="Palatino Linotype" w:eastAsia="Palatino Linotype" w:hAnsi="Palatino Linotype" w:cs="Palatino Linotype"/>
          <w:sz w:val="22"/>
          <w:szCs w:val="22"/>
        </w:rPr>
        <w:t>...” refiere que la Dirección de Policía de Tránsito, dependiente de la Dirección General de Seguridad Publica y Transito, informó que realiza recomendaciones a los usuarios a respetar el Reglamento de Tránsito Vigente, documento que establece las normas y regulaciones para la circulación de vehículos y peatones en las vías públicas, con el objetivo de garantizar la seguridad vial, prevenir accidentes y mantener el orden en el flujo vehicular.</w:t>
      </w:r>
    </w:p>
    <w:p w14:paraId="2EE1F095" w14:textId="06AECA9E" w:rsidR="00F12C46" w:rsidRPr="00D53C65" w:rsidRDefault="00F12C46">
      <w:pPr>
        <w:spacing w:line="360" w:lineRule="auto"/>
        <w:jc w:val="both"/>
        <w:rPr>
          <w:rFonts w:ascii="Palatino Linotype" w:eastAsia="Palatino Linotype" w:hAnsi="Palatino Linotype" w:cs="Palatino Linotype"/>
          <w:sz w:val="22"/>
          <w:szCs w:val="22"/>
        </w:rPr>
      </w:pPr>
    </w:p>
    <w:p w14:paraId="2CD74CA9"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5AA4C2A3" w14:textId="7A3366D5"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Conocida la respuesta por la parte </w:t>
      </w:r>
      <w:r w:rsidRPr="00D53C65">
        <w:rPr>
          <w:rFonts w:ascii="Palatino Linotype" w:eastAsia="Palatino Linotype" w:hAnsi="Palatino Linotype" w:cs="Palatino Linotype"/>
          <w:b/>
          <w:sz w:val="22"/>
          <w:szCs w:val="22"/>
        </w:rPr>
        <w:t>Recurrente,</w:t>
      </w:r>
      <w:r w:rsidRPr="00D53C65">
        <w:rPr>
          <w:rFonts w:ascii="Palatino Linotype" w:eastAsia="Palatino Linotype" w:hAnsi="Palatino Linotype" w:cs="Palatino Linotype"/>
          <w:sz w:val="22"/>
          <w:szCs w:val="22"/>
        </w:rPr>
        <w:t xml:space="preserve"> al no estar conforme con los términos de la misma, presentó el recurso de revisión que nos ocupa, señalando como </w:t>
      </w:r>
      <w:r w:rsidRPr="00D53C65">
        <w:rPr>
          <w:rFonts w:ascii="Palatino Linotype" w:eastAsia="Palatino Linotype" w:hAnsi="Palatino Linotype" w:cs="Palatino Linotype"/>
          <w:b/>
          <w:sz w:val="22"/>
          <w:szCs w:val="22"/>
          <w:u w:val="single"/>
        </w:rPr>
        <w:t>acto impugnado</w:t>
      </w:r>
      <w:r w:rsidRPr="00D53C65">
        <w:rPr>
          <w:rFonts w:ascii="Palatino Linotype" w:eastAsia="Palatino Linotype" w:hAnsi="Palatino Linotype" w:cs="Palatino Linotype"/>
          <w:sz w:val="22"/>
          <w:szCs w:val="22"/>
        </w:rPr>
        <w:t xml:space="preserve"> </w:t>
      </w:r>
      <w:r w:rsidR="00FD5395" w:rsidRPr="00D53C65">
        <w:rPr>
          <w:rFonts w:ascii="Palatino Linotype" w:eastAsia="Palatino Linotype" w:hAnsi="Palatino Linotype" w:cs="Palatino Linotype"/>
          <w:sz w:val="22"/>
          <w:szCs w:val="22"/>
        </w:rPr>
        <w:t xml:space="preserve">y </w:t>
      </w:r>
      <w:r w:rsidR="00FD5395" w:rsidRPr="00D53C65">
        <w:rPr>
          <w:rFonts w:ascii="Palatino Linotype" w:eastAsia="Palatino Linotype" w:hAnsi="Palatino Linotype" w:cs="Palatino Linotype"/>
          <w:b/>
          <w:sz w:val="22"/>
          <w:szCs w:val="22"/>
          <w:u w:val="single"/>
        </w:rPr>
        <w:t xml:space="preserve">razones o motivos de inconformidad, </w:t>
      </w:r>
      <w:r w:rsidR="00FD5395" w:rsidRPr="00D53C65">
        <w:rPr>
          <w:rFonts w:ascii="Palatino Linotype" w:eastAsia="Palatino Linotype" w:hAnsi="Palatino Linotype" w:cs="Palatino Linotype"/>
          <w:sz w:val="22"/>
          <w:szCs w:val="22"/>
        </w:rPr>
        <w:t>lo siguiente:</w:t>
      </w:r>
    </w:p>
    <w:p w14:paraId="20FCEC65" w14:textId="77777777" w:rsidR="00FD5395" w:rsidRPr="00D53C65" w:rsidRDefault="00FD5395">
      <w:pPr>
        <w:spacing w:line="360" w:lineRule="auto"/>
        <w:jc w:val="both"/>
        <w:rPr>
          <w:rFonts w:ascii="Palatino Linotype" w:eastAsia="Palatino Linotype" w:hAnsi="Palatino Linotype" w:cs="Palatino Linotype"/>
          <w:sz w:val="22"/>
          <w:szCs w:val="22"/>
        </w:rPr>
      </w:pPr>
    </w:p>
    <w:p w14:paraId="2205B1A4" w14:textId="79B8C9B6" w:rsidR="00FD5395" w:rsidRPr="00D53C65" w:rsidRDefault="00FD5395" w:rsidP="00FD5395">
      <w:pPr>
        <w:spacing w:line="360" w:lineRule="auto"/>
        <w:jc w:val="center"/>
        <w:rPr>
          <w:rFonts w:ascii="Palatino Linotype" w:eastAsia="Palatino Linotype" w:hAnsi="Palatino Linotype" w:cs="Palatino Linotype"/>
          <w:sz w:val="22"/>
          <w:szCs w:val="22"/>
        </w:rPr>
      </w:pPr>
      <w:r w:rsidRPr="00D53C65">
        <w:rPr>
          <w:rFonts w:ascii="Palatino Linotype" w:eastAsia="Palatino Linotype" w:hAnsi="Palatino Linotype" w:cs="Palatino Linotype"/>
          <w:i/>
          <w:sz w:val="22"/>
          <w:szCs w:val="22"/>
        </w:rPr>
        <w:t>“Entonces, ¿por qué permiten que lo haga?” (Sic)</w:t>
      </w:r>
    </w:p>
    <w:p w14:paraId="62D47800" w14:textId="77777777" w:rsidR="00F12C46" w:rsidRPr="00D53C65" w:rsidRDefault="00F12C46">
      <w:pPr>
        <w:spacing w:line="360" w:lineRule="auto"/>
        <w:jc w:val="both"/>
        <w:rPr>
          <w:rFonts w:ascii="Palatino Linotype" w:eastAsia="Palatino Linotype" w:hAnsi="Palatino Linotype" w:cs="Palatino Linotype"/>
          <w:sz w:val="22"/>
          <w:szCs w:val="22"/>
        </w:rPr>
      </w:pPr>
    </w:p>
    <w:p w14:paraId="0C0C9416" w14:textId="77777777" w:rsidR="00F12C46" w:rsidRPr="00D53C65" w:rsidRDefault="00095DD5">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Admitido el presente recurso de revisión, en términos del artículo 185 fracción II</w:t>
      </w:r>
      <w:r w:rsidRPr="00D53C65">
        <w:rPr>
          <w:rFonts w:ascii="Palatino Linotype" w:eastAsia="Palatino Linotype" w:hAnsi="Palatino Linotype" w:cs="Palatino Linotype"/>
          <w:sz w:val="22"/>
          <w:szCs w:val="22"/>
          <w:vertAlign w:val="superscript"/>
        </w:rPr>
        <w:footnoteReference w:id="1"/>
      </w:r>
      <w:r w:rsidRPr="00D53C65">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5999BBAD" w14:textId="77777777" w:rsidR="00F12C46" w:rsidRPr="00D53C65" w:rsidRDefault="00F12C46">
      <w:pPr>
        <w:spacing w:line="360" w:lineRule="auto"/>
        <w:ind w:right="-7"/>
        <w:jc w:val="both"/>
        <w:rPr>
          <w:rFonts w:ascii="Palatino Linotype" w:eastAsia="Palatino Linotype" w:hAnsi="Palatino Linotype" w:cs="Palatino Linotype"/>
          <w:sz w:val="22"/>
          <w:szCs w:val="22"/>
        </w:rPr>
      </w:pPr>
    </w:p>
    <w:p w14:paraId="79C1B1B6" w14:textId="1317132F" w:rsidR="00F12C46" w:rsidRPr="00D53C65" w:rsidRDefault="00095DD5">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Cabe resaltar que durante la etapa de manifestaciones </w:t>
      </w:r>
      <w:r w:rsidR="00C916A4" w:rsidRPr="00D53C65">
        <w:rPr>
          <w:rFonts w:ascii="Palatino Linotype" w:eastAsia="Palatino Linotype" w:hAnsi="Palatino Linotype" w:cs="Palatino Linotype"/>
          <w:sz w:val="22"/>
          <w:szCs w:val="22"/>
        </w:rPr>
        <w:t>e</w:t>
      </w:r>
      <w:r w:rsidRPr="00D53C65">
        <w:rPr>
          <w:rFonts w:ascii="Palatino Linotype" w:eastAsia="Palatino Linotype" w:hAnsi="Palatino Linotype" w:cs="Palatino Linotype"/>
          <w:sz w:val="22"/>
          <w:szCs w:val="22"/>
        </w:rPr>
        <w:t xml:space="preserve">l </w:t>
      </w:r>
      <w:r w:rsidRPr="00D53C65">
        <w:rPr>
          <w:rFonts w:ascii="Palatino Linotype" w:eastAsia="Palatino Linotype" w:hAnsi="Palatino Linotype" w:cs="Palatino Linotype"/>
          <w:b/>
          <w:sz w:val="22"/>
          <w:szCs w:val="22"/>
        </w:rPr>
        <w:t>Sujeto Obligado</w:t>
      </w:r>
      <w:r w:rsidRPr="00D53C65">
        <w:rPr>
          <w:rFonts w:ascii="Palatino Linotype" w:eastAsia="Palatino Linotype" w:hAnsi="Palatino Linotype" w:cs="Palatino Linotype"/>
          <w:sz w:val="22"/>
          <w:szCs w:val="22"/>
        </w:rPr>
        <w:t xml:space="preserve"> rindió su informe justificado ratificando la respuesta inicial.</w:t>
      </w:r>
    </w:p>
    <w:p w14:paraId="7747A6BF" w14:textId="77777777" w:rsidR="00C916A4" w:rsidRPr="00D53C65" w:rsidRDefault="00C916A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2D4E1D4" w14:textId="7607B39A" w:rsidR="00C916A4" w:rsidRPr="00D53C65" w:rsidRDefault="00C916A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Por su lado, la parte </w:t>
      </w:r>
      <w:r w:rsidRPr="00D53C65">
        <w:rPr>
          <w:rFonts w:ascii="Palatino Linotype" w:eastAsia="Palatino Linotype" w:hAnsi="Palatino Linotype" w:cs="Palatino Linotype"/>
          <w:b/>
          <w:sz w:val="22"/>
          <w:szCs w:val="22"/>
        </w:rPr>
        <w:t xml:space="preserve">Recurrente </w:t>
      </w:r>
      <w:r w:rsidRPr="00D53C65">
        <w:rPr>
          <w:rFonts w:ascii="Palatino Linotype" w:eastAsia="Palatino Linotype" w:hAnsi="Palatino Linotype" w:cs="Palatino Linotype"/>
          <w:sz w:val="22"/>
          <w:szCs w:val="22"/>
        </w:rPr>
        <w:t>fue omisa en hacer valer manifestaciones o rendir alegatos que conforme a derecho resultaran procedentes.</w:t>
      </w:r>
    </w:p>
    <w:p w14:paraId="16CB9977" w14:textId="77777777" w:rsidR="00F12C46" w:rsidRPr="00D53C65" w:rsidRDefault="00F12C4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AD60882" w14:textId="14A39829" w:rsidR="00C916A4" w:rsidRPr="00D53C65" w:rsidRDefault="00095DD5" w:rsidP="00C916A4">
      <w:pPr>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Acotado lo anterior, del análisis al formato de interposición de recurso de revisión</w:t>
      </w:r>
      <w:r w:rsidR="00C916A4" w:rsidRPr="00D53C65">
        <w:rPr>
          <w:rFonts w:ascii="Palatino Linotype" w:eastAsia="Palatino Linotype" w:hAnsi="Palatino Linotype" w:cs="Palatino Linotype"/>
          <w:sz w:val="22"/>
          <w:szCs w:val="22"/>
        </w:rPr>
        <w:t xml:space="preserve"> se advierte</w:t>
      </w:r>
      <w:r w:rsidR="003B44CD" w:rsidRPr="00D53C65">
        <w:rPr>
          <w:rFonts w:ascii="Palatino Linotype" w:eastAsia="Palatino Linotype" w:hAnsi="Palatino Linotype" w:cs="Palatino Linotype"/>
          <w:sz w:val="22"/>
          <w:szCs w:val="22"/>
        </w:rPr>
        <w:t xml:space="preserve"> que el </w:t>
      </w:r>
      <w:r w:rsidR="00285925" w:rsidRPr="00D53C65">
        <w:rPr>
          <w:rFonts w:ascii="Palatino Linotype" w:eastAsia="Palatino Linotype" w:hAnsi="Palatino Linotype" w:cs="Palatino Linotype"/>
          <w:sz w:val="22"/>
          <w:szCs w:val="22"/>
        </w:rPr>
        <w:t>particular realiza</w:t>
      </w:r>
      <w:r w:rsidR="00C916A4" w:rsidRPr="00D53C65">
        <w:rPr>
          <w:rFonts w:ascii="Palatino Linotype" w:eastAsia="Palatino Linotype" w:hAnsi="Palatino Linotype" w:cs="Palatino Linotype"/>
          <w:sz w:val="22"/>
          <w:szCs w:val="22"/>
        </w:rPr>
        <w:t xml:space="preserve"> un cuestionamiento, que no es atendible mediante el derecho de acceso a la información pública.</w:t>
      </w:r>
    </w:p>
    <w:p w14:paraId="00116322" w14:textId="77777777" w:rsidR="00C916A4" w:rsidRPr="00D53C65" w:rsidRDefault="00C916A4" w:rsidP="00C916A4">
      <w:pPr>
        <w:spacing w:line="360" w:lineRule="auto"/>
        <w:ind w:right="49"/>
        <w:jc w:val="both"/>
        <w:rPr>
          <w:rFonts w:ascii="Palatino Linotype" w:eastAsia="Palatino Linotype" w:hAnsi="Palatino Linotype" w:cs="Palatino Linotype"/>
          <w:sz w:val="22"/>
          <w:szCs w:val="22"/>
        </w:rPr>
      </w:pPr>
    </w:p>
    <w:p w14:paraId="3614C53A" w14:textId="78CA4F59" w:rsidR="00C916A4" w:rsidRPr="00D53C65" w:rsidRDefault="00C916A4" w:rsidP="00C916A4">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Lo anterior, en razón de que la pretensión del ahora parte </w:t>
      </w:r>
      <w:r w:rsidRPr="00D53C65">
        <w:rPr>
          <w:rFonts w:ascii="Palatino Linotype" w:eastAsia="Palatino Linotype" w:hAnsi="Palatino Linotype" w:cs="Palatino Linotype"/>
          <w:b/>
          <w:sz w:val="22"/>
          <w:szCs w:val="22"/>
        </w:rPr>
        <w:t>Recurrente</w:t>
      </w:r>
      <w:r w:rsidRPr="00D53C65">
        <w:rPr>
          <w:rFonts w:ascii="Palatino Linotype" w:eastAsia="Palatino Linotype" w:hAnsi="Palatino Linotype" w:cs="Palatino Linotype"/>
          <w:sz w:val="22"/>
          <w:szCs w:val="22"/>
        </w:rPr>
        <w:t xml:space="preserve"> es obtener un pronunciamiento específico respecto a una situación en Particular, situación por la cual nos lleva a recordar que el artículo 12 de la Ley de Transparencia y Acceso a la Información Pública del Estado de México y Municipios, establece que los sujetos obligados únicamente están constreñidos a entregar los documentos que obren en sus archivos en el estado en que estos se encuentren, lo que no comprende entregar la información conforme al interés del solicitante.  </w:t>
      </w:r>
    </w:p>
    <w:p w14:paraId="55DF0C8D"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68F15377" w14:textId="4FDF7090" w:rsidR="00C916A4" w:rsidRPr="00D53C65" w:rsidRDefault="00C916A4" w:rsidP="00C916A4">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Robustece lo anterior, el Criterio orientador 03/17 emitido por el entonces Instituto Nacional de Transparencia, Acceso a la Información y Protección de Datos Personales, el cual establece lo siguiente: </w:t>
      </w:r>
    </w:p>
    <w:p w14:paraId="0D1BD8B2"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0054DDB0" w14:textId="77777777" w:rsidR="00C916A4" w:rsidRPr="00D53C65" w:rsidRDefault="00C916A4" w:rsidP="00C916A4">
      <w:pPr>
        <w:spacing w:line="276" w:lineRule="auto"/>
        <w:ind w:left="567" w:right="567"/>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b/>
          <w:i/>
          <w:sz w:val="22"/>
          <w:szCs w:val="22"/>
        </w:rPr>
        <w:t xml:space="preserve">No existe obligación de elaborar documentos ad hoc para atender las solicitudes de acceso a la información. </w:t>
      </w:r>
      <w:r w:rsidRPr="00D53C65">
        <w:rPr>
          <w:rFonts w:ascii="Palatino Linotype" w:eastAsia="Palatino Linotype" w:hAnsi="Palatino Linotype" w:cs="Palatino Linotype"/>
          <w:i/>
          <w:sz w:val="22"/>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52C9652E"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133B710E" w14:textId="639A5A8B" w:rsidR="00C916A4" w:rsidRPr="00D53C65" w:rsidRDefault="00534CE5" w:rsidP="00C916A4">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De esta manera, </w:t>
      </w:r>
      <w:r w:rsidR="00C916A4" w:rsidRPr="00D53C65">
        <w:rPr>
          <w:rFonts w:ascii="Palatino Linotype" w:eastAsia="Palatino Linotype" w:hAnsi="Palatino Linotype" w:cs="Palatino Linotype"/>
          <w:sz w:val="22"/>
          <w:szCs w:val="22"/>
        </w:rPr>
        <w:t>el requerimiento del Particular es tendiente a obligar a la autoridad a que actúe en el sentido de c</w:t>
      </w:r>
      <w:r w:rsidRPr="00D53C65">
        <w:rPr>
          <w:rFonts w:ascii="Palatino Linotype" w:eastAsia="Palatino Linotype" w:hAnsi="Palatino Linotype" w:cs="Palatino Linotype"/>
          <w:sz w:val="22"/>
          <w:szCs w:val="22"/>
        </w:rPr>
        <w:t xml:space="preserve">ontestar lo solicitado, lo cual, como se indicó, </w:t>
      </w:r>
      <w:r w:rsidR="00C916A4" w:rsidRPr="00D53C65">
        <w:rPr>
          <w:rFonts w:ascii="Palatino Linotype" w:eastAsia="Palatino Linotype" w:hAnsi="Palatino Linotype" w:cs="Palatino Linotype"/>
          <w:sz w:val="22"/>
          <w:szCs w:val="22"/>
        </w:rPr>
        <w:t xml:space="preserve">no es factible atenderse vía acceso a la información pública, toda vez, que la atención a dicho requerimiento no se pueden colmar con documentos que obren en los archivos del </w:t>
      </w:r>
      <w:r w:rsidR="00C916A4" w:rsidRPr="00D53C65">
        <w:rPr>
          <w:rFonts w:ascii="Palatino Linotype" w:eastAsia="Palatino Linotype" w:hAnsi="Palatino Linotype" w:cs="Palatino Linotype"/>
          <w:b/>
          <w:sz w:val="22"/>
          <w:szCs w:val="22"/>
        </w:rPr>
        <w:t>Sujeto Obligado</w:t>
      </w:r>
      <w:r w:rsidR="00C916A4" w:rsidRPr="00D53C65">
        <w:rPr>
          <w:rFonts w:ascii="Palatino Linotype" w:eastAsia="Palatino Linotype" w:hAnsi="Palatino Linotype" w:cs="Palatino Linotype"/>
          <w:sz w:val="22"/>
          <w:szCs w:val="22"/>
        </w:rPr>
        <w:t>, ya que no se encontró fuente obligacional que establezca que</w:t>
      </w:r>
      <w:r w:rsidR="003B44CD" w:rsidRPr="00D53C65">
        <w:rPr>
          <w:rFonts w:ascii="Palatino Linotype" w:eastAsia="Palatino Linotype" w:hAnsi="Palatino Linotype" w:cs="Palatino Linotype"/>
          <w:sz w:val="22"/>
          <w:szCs w:val="22"/>
        </w:rPr>
        <w:t xml:space="preserve"> </w:t>
      </w:r>
      <w:r w:rsidR="00C916A4" w:rsidRPr="00D53C65">
        <w:rPr>
          <w:rFonts w:ascii="Palatino Linotype" w:eastAsia="Palatino Linotype" w:hAnsi="Palatino Linotype" w:cs="Palatino Linotype"/>
          <w:sz w:val="22"/>
          <w:szCs w:val="22"/>
        </w:rPr>
        <w:t xml:space="preserve">deba generar, poseer o administrar un documento en el que conste el pronunciamiento solicitado por el particular. </w:t>
      </w:r>
    </w:p>
    <w:p w14:paraId="6A6CD1B1"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6BB56890" w14:textId="08DECF21" w:rsidR="00C916A4" w:rsidRPr="00D53C65" w:rsidRDefault="00C916A4" w:rsidP="00C916A4">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Es por lo anterior que </w:t>
      </w:r>
      <w:r w:rsidR="00534CE5" w:rsidRPr="00D53C65">
        <w:rPr>
          <w:rFonts w:ascii="Palatino Linotype" w:eastAsia="Palatino Linotype" w:hAnsi="Palatino Linotype" w:cs="Palatino Linotype"/>
          <w:sz w:val="22"/>
          <w:szCs w:val="22"/>
        </w:rPr>
        <w:t>lo indicado a manera de motivo de inconformidad</w:t>
      </w:r>
      <w:r w:rsidRPr="00D53C65">
        <w:rPr>
          <w:rFonts w:ascii="Palatino Linotype" w:eastAsia="Palatino Linotype" w:hAnsi="Palatino Linotype" w:cs="Palatino Linotype"/>
          <w:sz w:val="22"/>
          <w:szCs w:val="22"/>
        </w:rPr>
        <w:t xml:space="preserve"> no constituye un derecho de acceso a la información y por lo tanto, no es atendible mediante una solicitud de acceso a la información pública, ya que se tratan de una petición del Particular, situación que conlleva a afirmar que se está en presencia del ejercicio del derecho a la libre expresión y en todo caso a un derecho de petición. </w:t>
      </w:r>
    </w:p>
    <w:p w14:paraId="2979406B"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2BA91620" w14:textId="77777777" w:rsidR="00C916A4" w:rsidRPr="00D53C65" w:rsidRDefault="00C916A4" w:rsidP="00C916A4">
      <w:pPr>
        <w:spacing w:line="360" w:lineRule="auto"/>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sz w:val="22"/>
          <w:szCs w:val="22"/>
        </w:rPr>
        <w:t xml:space="preserve">A efecto de sustentar lo anterior, es preciso mencionar que David Cienfuegos Salgado, concibe al derecho de petición como </w:t>
      </w:r>
      <w:r w:rsidRPr="00D53C65">
        <w:rPr>
          <w:rFonts w:ascii="Palatino Linotype" w:eastAsia="Palatino Linotype" w:hAnsi="Palatino Linotype" w:cs="Palatino Linotype"/>
          <w:i/>
          <w:sz w:val="22"/>
          <w:szCs w:val="22"/>
        </w:rPr>
        <w:t>“</w:t>
      </w:r>
      <w:r w:rsidRPr="00D53C65">
        <w:rPr>
          <w:rFonts w:ascii="Palatino Linotype" w:eastAsia="Palatino Linotype" w:hAnsi="Palatino Linotype" w:cs="Palatino Linotype"/>
          <w:b/>
          <w:i/>
          <w:sz w:val="22"/>
          <w:szCs w:val="22"/>
          <w:u w:val="single"/>
        </w:rPr>
        <w:t>el derecho de toda persona a ser escuchado por quienes ejercen el poder públic</w:t>
      </w:r>
      <w:r w:rsidRPr="00D53C65">
        <w:rPr>
          <w:rFonts w:ascii="Palatino Linotype" w:eastAsia="Palatino Linotype" w:hAnsi="Palatino Linotype" w:cs="Palatino Linotype"/>
          <w:i/>
          <w:sz w:val="22"/>
          <w:szCs w:val="22"/>
        </w:rPr>
        <w:t>o.</w:t>
      </w:r>
      <w:r w:rsidRPr="00D53C65">
        <w:rPr>
          <w:rFonts w:ascii="Palatino Linotype" w:eastAsia="Palatino Linotype" w:hAnsi="Palatino Linotype" w:cs="Palatino Linotype"/>
          <w:i/>
          <w:sz w:val="22"/>
          <w:szCs w:val="22"/>
          <w:vertAlign w:val="superscript"/>
        </w:rPr>
        <w:t xml:space="preserve"> </w:t>
      </w:r>
      <w:r w:rsidRPr="00D53C65">
        <w:rPr>
          <w:rFonts w:ascii="Palatino Linotype" w:eastAsia="Palatino Linotype" w:hAnsi="Palatino Linotype" w:cs="Palatino Linotype"/>
          <w:i/>
          <w:sz w:val="22"/>
          <w:szCs w:val="22"/>
          <w:vertAlign w:val="superscript"/>
        </w:rPr>
        <w:footnoteReference w:id="2"/>
      </w:r>
      <w:r w:rsidRPr="00D53C65">
        <w:rPr>
          <w:rFonts w:ascii="Palatino Linotype" w:eastAsia="Palatino Linotype" w:hAnsi="Palatino Linotype" w:cs="Palatino Linotype"/>
          <w:i/>
          <w:sz w:val="22"/>
          <w:szCs w:val="22"/>
        </w:rPr>
        <w:t xml:space="preserve">”  </w:t>
      </w:r>
    </w:p>
    <w:p w14:paraId="10C28785" w14:textId="77777777" w:rsidR="00C916A4" w:rsidRPr="00D53C65" w:rsidRDefault="00C916A4" w:rsidP="00C916A4">
      <w:pPr>
        <w:spacing w:line="360" w:lineRule="auto"/>
        <w:jc w:val="both"/>
        <w:rPr>
          <w:rFonts w:ascii="Palatino Linotype" w:eastAsia="Palatino Linotype" w:hAnsi="Palatino Linotype" w:cs="Palatino Linotype"/>
          <w:i/>
          <w:sz w:val="22"/>
          <w:szCs w:val="22"/>
        </w:rPr>
      </w:pPr>
    </w:p>
    <w:p w14:paraId="11D5AE25"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De la misma manera, Miguel Carbonell en su libro “Los derechos fundamentales” refiere que el </w:t>
      </w:r>
      <w:r w:rsidRPr="00D53C65">
        <w:rPr>
          <w:rFonts w:ascii="Palatino Linotype" w:eastAsia="Palatino Linotype" w:hAnsi="Palatino Linotype" w:cs="Palatino Linotype"/>
          <w:sz w:val="22"/>
          <w:szCs w:val="22"/>
          <w:u w:val="single"/>
        </w:rPr>
        <w:t>derecho de petición se ha entendido de dos distintitas maneras</w:t>
      </w:r>
      <w:r w:rsidRPr="00D53C65">
        <w:rPr>
          <w:rFonts w:ascii="Palatino Linotype" w:eastAsia="Palatino Linotype" w:hAnsi="Palatino Linotype" w:cs="Palatino Linotype"/>
          <w:sz w:val="22"/>
          <w:szCs w:val="22"/>
        </w:rPr>
        <w:t xml:space="preserve">, a saber: como un derecho fundamental de participación política ya que </w:t>
      </w:r>
      <w:r w:rsidRPr="00D53C65">
        <w:rPr>
          <w:rFonts w:ascii="Palatino Linotype" w:eastAsia="Palatino Linotype" w:hAnsi="Palatino Linotype" w:cs="Palatino Linotype"/>
          <w:sz w:val="22"/>
          <w:szCs w:val="22"/>
          <w:u w:val="single"/>
        </w:rPr>
        <w:t xml:space="preserve">permite a los </w:t>
      </w:r>
      <w:r w:rsidRPr="00D53C65">
        <w:rPr>
          <w:rFonts w:ascii="Palatino Linotype" w:eastAsia="Palatino Linotype" w:hAnsi="Palatino Linotype" w:cs="Palatino Linotype"/>
          <w:sz w:val="22"/>
          <w:szCs w:val="22"/>
        </w:rPr>
        <w:t xml:space="preserve">particulares trasladar a las autoridades sus </w:t>
      </w:r>
      <w:r w:rsidRPr="00D53C65">
        <w:rPr>
          <w:rFonts w:ascii="Palatino Linotype" w:eastAsia="Palatino Linotype" w:hAnsi="Palatino Linotype" w:cs="Palatino Linotype"/>
          <w:b/>
          <w:sz w:val="22"/>
          <w:szCs w:val="22"/>
        </w:rPr>
        <w:t>inquietudes, quejas</w:t>
      </w:r>
      <w:r w:rsidRPr="00D53C65">
        <w:rPr>
          <w:rFonts w:ascii="Palatino Linotype" w:eastAsia="Palatino Linotype" w:hAnsi="Palatino Linotype" w:cs="Palatino Linotype"/>
          <w:sz w:val="22"/>
          <w:szCs w:val="22"/>
        </w:rPr>
        <w:t xml:space="preserve">, sugerencias y requerimientos en cualquier materia o asunto; y como una </w:t>
      </w:r>
      <w:r w:rsidRPr="00D53C65">
        <w:rPr>
          <w:rFonts w:ascii="Palatino Linotype" w:eastAsia="Palatino Linotype" w:hAnsi="Palatino Linotype" w:cs="Palatino Linotype"/>
          <w:b/>
          <w:sz w:val="22"/>
          <w:szCs w:val="22"/>
        </w:rPr>
        <w:t>forma específica de la libertad de expresión</w:t>
      </w:r>
      <w:r w:rsidRPr="00D53C65">
        <w:rPr>
          <w:rFonts w:ascii="Palatino Linotype" w:eastAsia="Palatino Linotype" w:hAnsi="Palatino Linotype" w:cs="Palatino Linotype"/>
          <w:sz w:val="22"/>
          <w:szCs w:val="22"/>
        </w:rPr>
        <w:t xml:space="preserve">, en tanto que permite expresarse frente a las autoridades. </w:t>
      </w:r>
    </w:p>
    <w:p w14:paraId="4D867717"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3A93894B"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sidRPr="00D53C65">
        <w:rPr>
          <w:rFonts w:ascii="Palatino Linotype" w:eastAsia="Palatino Linotype" w:hAnsi="Palatino Linotype" w:cs="Palatino Linotype"/>
          <w:sz w:val="22"/>
          <w:szCs w:val="22"/>
          <w:vertAlign w:val="superscript"/>
        </w:rPr>
        <w:footnoteReference w:id="3"/>
      </w:r>
    </w:p>
    <w:p w14:paraId="4906D737" w14:textId="77777777" w:rsidR="00C916A4" w:rsidRPr="00D53C65" w:rsidRDefault="00C916A4" w:rsidP="00C916A4">
      <w:pPr>
        <w:spacing w:line="360" w:lineRule="auto"/>
        <w:jc w:val="both"/>
        <w:rPr>
          <w:rFonts w:ascii="Palatino Linotype" w:eastAsia="Palatino Linotype" w:hAnsi="Palatino Linotype" w:cs="Palatino Linotype"/>
          <w:sz w:val="22"/>
          <w:szCs w:val="22"/>
        </w:rPr>
      </w:pPr>
    </w:p>
    <w:p w14:paraId="267B3212" w14:textId="77777777" w:rsidR="00C916A4" w:rsidRPr="00D53C65" w:rsidRDefault="00C916A4" w:rsidP="00C916A4">
      <w:pPr>
        <w:spacing w:line="360" w:lineRule="auto"/>
        <w:ind w:right="9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Por otro lado, el autor anteriormente citado, indica que el </w:t>
      </w:r>
      <w:r w:rsidRPr="00D53C65">
        <w:rPr>
          <w:rFonts w:ascii="Palatino Linotype" w:eastAsia="Palatino Linotype" w:hAnsi="Palatino Linotype" w:cs="Palatino Linotype"/>
          <w:b/>
          <w:sz w:val="22"/>
          <w:szCs w:val="22"/>
          <w:u w:val="single"/>
        </w:rPr>
        <w:t>derecho de acceso a la información pública</w:t>
      </w:r>
      <w:r w:rsidRPr="00D53C65">
        <w:rPr>
          <w:rFonts w:ascii="Palatino Linotype" w:eastAsia="Palatino Linotype" w:hAnsi="Palatino Linotype" w:cs="Palatino Linotype"/>
          <w:sz w:val="22"/>
          <w:szCs w:val="22"/>
        </w:rPr>
        <w:t xml:space="preserve"> es el derecho de conocer la </w:t>
      </w:r>
      <w:r w:rsidRPr="00D53C65">
        <w:rPr>
          <w:rFonts w:ascii="Palatino Linotype" w:eastAsia="Palatino Linotype" w:hAnsi="Palatino Linotype" w:cs="Palatino Linotype"/>
          <w:sz w:val="22"/>
          <w:szCs w:val="22"/>
          <w:u w:val="single"/>
        </w:rPr>
        <w:t>información de carácter público que se genera o está en posesión de los órganos del poder público</w:t>
      </w:r>
      <w:r w:rsidRPr="00D53C65">
        <w:rPr>
          <w:rFonts w:ascii="Palatino Linotype" w:eastAsia="Palatino Linotype" w:hAnsi="Palatino Linotype" w:cs="Palatino Linotype"/>
          <w:sz w:val="22"/>
          <w:szCs w:val="22"/>
        </w:rPr>
        <w:t xml:space="preserve"> o de los sujetos que utilizan o se benefician con recursos provenientes del Estado, es el derecho que tienen los ciudadanos para acceder a documentos y datos que obren en el poder del gobierno.</w:t>
      </w:r>
    </w:p>
    <w:p w14:paraId="5F3CB541" w14:textId="77777777" w:rsidR="00C916A4" w:rsidRPr="00D53C65" w:rsidRDefault="00C916A4" w:rsidP="00C916A4">
      <w:pPr>
        <w:spacing w:line="360" w:lineRule="auto"/>
        <w:ind w:right="99"/>
        <w:jc w:val="both"/>
        <w:rPr>
          <w:rFonts w:ascii="Palatino Linotype" w:eastAsia="Palatino Linotype" w:hAnsi="Palatino Linotype" w:cs="Palatino Linotype"/>
          <w:sz w:val="22"/>
          <w:szCs w:val="22"/>
        </w:rPr>
      </w:pPr>
    </w:p>
    <w:p w14:paraId="37025ADA" w14:textId="77777777" w:rsidR="00C916A4" w:rsidRPr="00D53C65" w:rsidRDefault="00C916A4" w:rsidP="00C916A4">
      <w:pPr>
        <w:spacing w:line="360" w:lineRule="auto"/>
        <w:ind w:right="9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Por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D53C65">
        <w:rPr>
          <w:rFonts w:ascii="Palatino Linotype" w:eastAsia="Palatino Linotype" w:hAnsi="Palatino Linotype" w:cs="Palatino Linotype"/>
          <w:sz w:val="22"/>
          <w:szCs w:val="22"/>
          <w:vertAlign w:val="superscript"/>
        </w:rPr>
        <w:footnoteReference w:id="4"/>
      </w:r>
    </w:p>
    <w:p w14:paraId="706427AC" w14:textId="77777777" w:rsidR="00C916A4" w:rsidRPr="00D53C65" w:rsidRDefault="00C916A4" w:rsidP="00C916A4">
      <w:pPr>
        <w:spacing w:line="360" w:lineRule="auto"/>
        <w:ind w:right="99"/>
        <w:jc w:val="both"/>
        <w:rPr>
          <w:rFonts w:ascii="Palatino Linotype" w:eastAsia="Palatino Linotype" w:hAnsi="Palatino Linotype" w:cs="Palatino Linotype"/>
          <w:sz w:val="22"/>
          <w:szCs w:val="22"/>
        </w:rPr>
      </w:pPr>
    </w:p>
    <w:p w14:paraId="4D52E074" w14:textId="77777777" w:rsidR="00C916A4" w:rsidRPr="00D53C65" w:rsidRDefault="00C916A4" w:rsidP="00C916A4">
      <w:pPr>
        <w:spacing w:line="360" w:lineRule="auto"/>
        <w:ind w:right="9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De lo anterior se puede concluir que la distinción entre el </w:t>
      </w:r>
      <w:r w:rsidRPr="00D53C65">
        <w:rPr>
          <w:rFonts w:ascii="Palatino Linotype" w:eastAsia="Palatino Linotype" w:hAnsi="Palatino Linotype" w:cs="Palatino Linotype"/>
          <w:b/>
          <w:sz w:val="22"/>
          <w:szCs w:val="22"/>
        </w:rPr>
        <w:t>derecho de petición</w:t>
      </w:r>
      <w:r w:rsidRPr="00D53C65">
        <w:rPr>
          <w:rFonts w:ascii="Palatino Linotype" w:eastAsia="Palatino Linotype" w:hAnsi="Palatino Linotype" w:cs="Palatino Linotype"/>
          <w:sz w:val="22"/>
          <w:szCs w:val="22"/>
        </w:rPr>
        <w:t xml:space="preserve"> y el derecho de acceso a la información descansa, principalmente, en que </w:t>
      </w:r>
      <w:r w:rsidRPr="00D53C65">
        <w:rPr>
          <w:rFonts w:ascii="Palatino Linotype" w:eastAsia="Palatino Linotype" w:hAnsi="Palatino Linotype" w:cs="Palatino Linotype"/>
          <w:sz w:val="22"/>
          <w:szCs w:val="22"/>
          <w:u w:val="single"/>
        </w:rPr>
        <w:t>la pretensión del peticionario consiste generalmente en obligar a la autoridad responsable a que actúe en el sentido de contestar lo solicitado</w:t>
      </w:r>
      <w:r w:rsidRPr="00D53C65">
        <w:rPr>
          <w:rFonts w:ascii="Palatino Linotype" w:eastAsia="Palatino Linotype" w:hAnsi="Palatino Linotype" w:cs="Palatino Linotype"/>
          <w:sz w:val="22"/>
          <w:szCs w:val="22"/>
        </w:rPr>
        <w:t>,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14:paraId="339063A2" w14:textId="48559ACC" w:rsidR="003B44CD" w:rsidRPr="00D53C65" w:rsidRDefault="00095DD5">
      <w:pPr>
        <w:spacing w:before="240" w:after="240"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Por </w:t>
      </w:r>
      <w:r w:rsidR="00534CE5" w:rsidRPr="00D53C65">
        <w:rPr>
          <w:rFonts w:ascii="Palatino Linotype" w:eastAsia="Palatino Linotype" w:hAnsi="Palatino Linotype" w:cs="Palatino Linotype"/>
          <w:sz w:val="22"/>
          <w:szCs w:val="22"/>
        </w:rPr>
        <w:t>las consideraciones expuestas</w:t>
      </w:r>
      <w:r w:rsidRPr="00D53C65">
        <w:rPr>
          <w:rFonts w:ascii="Palatino Linotype" w:eastAsia="Palatino Linotype" w:hAnsi="Palatino Linotype" w:cs="Palatino Linotype"/>
          <w:sz w:val="22"/>
          <w:szCs w:val="22"/>
        </w:rPr>
        <w:t>, este Instituto se encuentra impedido a entrar al estudio de fondo, en virtud de que</w:t>
      </w:r>
      <w:r w:rsidR="003B44CD" w:rsidRPr="00D53C65">
        <w:rPr>
          <w:rFonts w:ascii="Palatino Linotype" w:eastAsia="Palatino Linotype" w:hAnsi="Palatino Linotype" w:cs="Palatino Linotype"/>
          <w:sz w:val="22"/>
          <w:szCs w:val="22"/>
        </w:rPr>
        <w:t xml:space="preserve"> la pretensión del ahora parte </w:t>
      </w:r>
      <w:r w:rsidR="003B44CD" w:rsidRPr="00D53C65">
        <w:rPr>
          <w:rFonts w:ascii="Palatino Linotype" w:eastAsia="Palatino Linotype" w:hAnsi="Palatino Linotype" w:cs="Palatino Linotype"/>
          <w:b/>
          <w:sz w:val="22"/>
          <w:szCs w:val="22"/>
        </w:rPr>
        <w:t>Recurrente</w:t>
      </w:r>
      <w:r w:rsidR="003B44CD" w:rsidRPr="00D53C65">
        <w:rPr>
          <w:rFonts w:ascii="Palatino Linotype" w:eastAsia="Palatino Linotype" w:hAnsi="Palatino Linotype" w:cs="Palatino Linotype"/>
          <w:sz w:val="22"/>
          <w:szCs w:val="22"/>
        </w:rPr>
        <w:t xml:space="preserve"> es obtener un pronunciamiento específico respecto a una situación en Particular, lo cual no es atendible vía acceso a la información pública.</w:t>
      </w:r>
    </w:p>
    <w:p w14:paraId="6DC922A3" w14:textId="4CE8C6A3" w:rsidR="003B44CD" w:rsidRPr="00D53C65" w:rsidRDefault="003B44CD" w:rsidP="003B44CD">
      <w:pPr>
        <w:spacing w:line="360" w:lineRule="auto"/>
        <w:ind w:right="96"/>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En virtud de los argumentos expuestos con anterioridad así como del análisis realizado a las constancias que obran en el expediente electrónico del SAIMEX,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IV del artículo 191 del ordenamiento legal en cita, los que se transcriben a continuación, para un mejor entendimiento:</w:t>
      </w:r>
    </w:p>
    <w:p w14:paraId="5842BD73" w14:textId="77777777" w:rsidR="003B44CD" w:rsidRPr="00D53C65" w:rsidRDefault="003B44CD" w:rsidP="003B44CD">
      <w:pPr>
        <w:spacing w:line="360" w:lineRule="auto"/>
        <w:ind w:right="96"/>
        <w:jc w:val="both"/>
        <w:rPr>
          <w:rFonts w:ascii="Palatino Linotype" w:eastAsia="Palatino Linotype" w:hAnsi="Palatino Linotype" w:cs="Palatino Linotype"/>
          <w:sz w:val="22"/>
          <w:szCs w:val="22"/>
        </w:rPr>
      </w:pPr>
    </w:p>
    <w:p w14:paraId="136AD6E5"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w:t>
      </w:r>
      <w:r w:rsidRPr="00D53C65">
        <w:rPr>
          <w:rFonts w:ascii="Palatino Linotype" w:eastAsia="Palatino Linotype" w:hAnsi="Palatino Linotype" w:cs="Palatino Linotype"/>
          <w:b/>
          <w:i/>
          <w:sz w:val="22"/>
          <w:szCs w:val="22"/>
        </w:rPr>
        <w:t>Artículo 191</w:t>
      </w:r>
      <w:r w:rsidRPr="00D53C65">
        <w:rPr>
          <w:rFonts w:ascii="Palatino Linotype" w:eastAsia="Palatino Linotype" w:hAnsi="Palatino Linotype" w:cs="Palatino Linotype"/>
          <w:i/>
          <w:sz w:val="22"/>
          <w:szCs w:val="22"/>
        </w:rPr>
        <w:t xml:space="preserve">. </w:t>
      </w:r>
      <w:r w:rsidRPr="00D53C65">
        <w:rPr>
          <w:rFonts w:ascii="Palatino Linotype" w:eastAsia="Palatino Linotype" w:hAnsi="Palatino Linotype" w:cs="Palatino Linotype"/>
          <w:b/>
          <w:i/>
          <w:sz w:val="22"/>
          <w:szCs w:val="22"/>
        </w:rPr>
        <w:t>El recurso</w:t>
      </w:r>
      <w:r w:rsidRPr="00D53C65">
        <w:rPr>
          <w:rFonts w:ascii="Palatino Linotype" w:eastAsia="Palatino Linotype" w:hAnsi="Palatino Linotype" w:cs="Palatino Linotype"/>
          <w:i/>
          <w:sz w:val="22"/>
          <w:szCs w:val="22"/>
        </w:rPr>
        <w:t xml:space="preserve"> </w:t>
      </w:r>
      <w:r w:rsidRPr="00D53C65">
        <w:rPr>
          <w:rFonts w:ascii="Palatino Linotype" w:eastAsia="Palatino Linotype" w:hAnsi="Palatino Linotype" w:cs="Palatino Linotype"/>
          <w:b/>
          <w:i/>
          <w:sz w:val="22"/>
          <w:szCs w:val="22"/>
        </w:rPr>
        <w:t xml:space="preserve">será </w:t>
      </w:r>
      <w:r w:rsidRPr="00D53C65">
        <w:rPr>
          <w:rFonts w:ascii="Palatino Linotype" w:eastAsia="Palatino Linotype" w:hAnsi="Palatino Linotype" w:cs="Palatino Linotype"/>
          <w:i/>
          <w:sz w:val="22"/>
          <w:szCs w:val="22"/>
        </w:rPr>
        <w:t xml:space="preserve">desechado por </w:t>
      </w:r>
      <w:r w:rsidRPr="00D53C65">
        <w:rPr>
          <w:rFonts w:ascii="Palatino Linotype" w:eastAsia="Palatino Linotype" w:hAnsi="Palatino Linotype" w:cs="Palatino Linotype"/>
          <w:b/>
          <w:i/>
          <w:sz w:val="22"/>
          <w:szCs w:val="22"/>
        </w:rPr>
        <w:t>improcedente cuando</w:t>
      </w:r>
      <w:r w:rsidRPr="00D53C65">
        <w:rPr>
          <w:rFonts w:ascii="Palatino Linotype" w:eastAsia="Palatino Linotype" w:hAnsi="Palatino Linotype" w:cs="Palatino Linotype"/>
          <w:i/>
          <w:sz w:val="22"/>
          <w:szCs w:val="22"/>
        </w:rPr>
        <w:t>:</w:t>
      </w:r>
    </w:p>
    <w:p w14:paraId="04C2DB2C"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w:t>
      </w:r>
    </w:p>
    <w:p w14:paraId="425EE181"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b/>
          <w:i/>
          <w:sz w:val="22"/>
          <w:szCs w:val="22"/>
        </w:rPr>
      </w:pPr>
      <w:r w:rsidRPr="00D53C65">
        <w:rPr>
          <w:rFonts w:ascii="Palatino Linotype" w:eastAsia="Palatino Linotype" w:hAnsi="Palatino Linotype" w:cs="Palatino Linotype"/>
          <w:b/>
          <w:i/>
          <w:sz w:val="22"/>
          <w:szCs w:val="22"/>
        </w:rPr>
        <w:t>VI. Se trate de una consulta</w:t>
      </w:r>
      <w:r w:rsidRPr="00D53C65">
        <w:rPr>
          <w:rFonts w:ascii="Palatino Linotype" w:eastAsia="Palatino Linotype" w:hAnsi="Palatino Linotype" w:cs="Palatino Linotype"/>
          <w:i/>
          <w:sz w:val="22"/>
          <w:szCs w:val="22"/>
        </w:rPr>
        <w:t>, o trámite en específico</w:t>
      </w:r>
      <w:r w:rsidRPr="00D53C65">
        <w:rPr>
          <w:rFonts w:ascii="Palatino Linotype" w:eastAsia="Palatino Linotype" w:hAnsi="Palatino Linotype" w:cs="Palatino Linotype"/>
          <w:b/>
          <w:i/>
          <w:sz w:val="22"/>
          <w:szCs w:val="22"/>
        </w:rPr>
        <w:t xml:space="preserve">; </w:t>
      </w:r>
    </w:p>
    <w:p w14:paraId="4CFDE662"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w:t>
      </w:r>
    </w:p>
    <w:p w14:paraId="437C133F"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b/>
          <w:i/>
          <w:sz w:val="22"/>
          <w:szCs w:val="22"/>
        </w:rPr>
        <w:t>Artículo 192.</w:t>
      </w:r>
      <w:r w:rsidRPr="00D53C65">
        <w:rPr>
          <w:rFonts w:ascii="Palatino Linotype" w:eastAsia="Palatino Linotype" w:hAnsi="Palatino Linotype" w:cs="Palatino Linotype"/>
          <w:i/>
          <w:sz w:val="22"/>
          <w:szCs w:val="22"/>
        </w:rPr>
        <w:t xml:space="preserve"> El recurso será sobreseído, en todo o en parte, cuando una vez admitido, se actualicen alguno de los siguientes supuestos:</w:t>
      </w:r>
    </w:p>
    <w:p w14:paraId="09FB22F8"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w:t>
      </w:r>
    </w:p>
    <w:p w14:paraId="027937B9" w14:textId="77777777" w:rsidR="003B44CD" w:rsidRPr="00D53C65" w:rsidRDefault="003B44CD" w:rsidP="003B44CD">
      <w:pPr>
        <w:tabs>
          <w:tab w:val="left" w:pos="7938"/>
        </w:tabs>
        <w:spacing w:line="276" w:lineRule="auto"/>
        <w:ind w:left="567"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b/>
          <w:i/>
          <w:sz w:val="22"/>
          <w:szCs w:val="22"/>
        </w:rPr>
        <w:t>IV</w:t>
      </w:r>
      <w:r w:rsidRPr="00D53C65">
        <w:rPr>
          <w:rFonts w:ascii="Palatino Linotype" w:eastAsia="Palatino Linotype" w:hAnsi="Palatino Linotype" w:cs="Palatino Linotype"/>
          <w:i/>
          <w:sz w:val="22"/>
          <w:szCs w:val="22"/>
        </w:rPr>
        <w:t xml:space="preserve">. Admitido el recurso de revisión, </w:t>
      </w:r>
      <w:r w:rsidRPr="00D53C65">
        <w:rPr>
          <w:rFonts w:ascii="Palatino Linotype" w:eastAsia="Palatino Linotype" w:hAnsi="Palatino Linotype" w:cs="Palatino Linotype"/>
          <w:b/>
          <w:i/>
          <w:sz w:val="22"/>
          <w:szCs w:val="22"/>
        </w:rPr>
        <w:t>aparezca alguna causal de improcedencia</w:t>
      </w:r>
      <w:r w:rsidRPr="00D53C65">
        <w:rPr>
          <w:rFonts w:ascii="Palatino Linotype" w:eastAsia="Palatino Linotype" w:hAnsi="Palatino Linotype" w:cs="Palatino Linotype"/>
          <w:i/>
          <w:sz w:val="22"/>
          <w:szCs w:val="22"/>
        </w:rPr>
        <w:t xml:space="preserve"> en los términos de la presente Ley. “</w:t>
      </w:r>
    </w:p>
    <w:p w14:paraId="3D05C989" w14:textId="77777777" w:rsidR="00F12C46" w:rsidRPr="00D53C65" w:rsidRDefault="00095DD5">
      <w:pPr>
        <w:spacing w:before="240" w:after="240" w:line="360" w:lineRule="auto"/>
        <w:ind w:right="96"/>
        <w:jc w:val="both"/>
        <w:rPr>
          <w:rFonts w:ascii="Palatino Linotype" w:eastAsia="Palatino Linotype" w:hAnsi="Palatino Linotype" w:cs="Palatino Linotype"/>
          <w:b/>
          <w:i/>
          <w:sz w:val="22"/>
          <w:szCs w:val="22"/>
        </w:rPr>
      </w:pPr>
      <w:r w:rsidRPr="00D53C65">
        <w:rPr>
          <w:rFonts w:ascii="Palatino Linotype" w:eastAsia="Palatino Linotype" w:hAnsi="Palatino Linotype" w:cs="Palatino Linotype"/>
          <w:sz w:val="22"/>
          <w:szCs w:val="22"/>
        </w:rPr>
        <w:t xml:space="preserve">Siendo el </w:t>
      </w:r>
      <w:r w:rsidRPr="00D53C65">
        <w:rPr>
          <w:rFonts w:ascii="Palatino Linotype" w:eastAsia="Palatino Linotype" w:hAnsi="Palatino Linotype" w:cs="Palatino Linotype"/>
          <w:i/>
          <w:sz w:val="22"/>
          <w:szCs w:val="22"/>
        </w:rPr>
        <w:t>sobreseimiento</w:t>
      </w:r>
      <w:r w:rsidRPr="00D53C65">
        <w:rPr>
          <w:rFonts w:ascii="Palatino Linotype" w:eastAsia="Palatino Linotype" w:hAnsi="Palatino Linotype" w:cs="Palatino Linotype"/>
          <w:sz w:val="22"/>
          <w:szCs w:val="22"/>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22115EBE" w14:textId="77777777" w:rsidR="00F12C46" w:rsidRPr="00D53C65" w:rsidRDefault="00095DD5">
      <w:pPr>
        <w:spacing w:after="120" w:line="259" w:lineRule="auto"/>
        <w:ind w:left="851" w:right="902"/>
        <w:jc w:val="both"/>
        <w:rPr>
          <w:rFonts w:ascii="Palatino Linotype" w:eastAsia="Palatino Linotype" w:hAnsi="Palatino Linotype" w:cs="Palatino Linotype"/>
          <w:b/>
          <w:i/>
          <w:sz w:val="22"/>
          <w:szCs w:val="22"/>
        </w:rPr>
      </w:pPr>
      <w:r w:rsidRPr="00D53C65">
        <w:rPr>
          <w:rFonts w:ascii="Palatino Linotype" w:eastAsia="Palatino Linotype" w:hAnsi="Palatino Linotype" w:cs="Palatino Linotype"/>
          <w:i/>
          <w:sz w:val="22"/>
          <w:szCs w:val="22"/>
        </w:rPr>
        <w:t>“</w:t>
      </w:r>
      <w:r w:rsidRPr="00D53C65">
        <w:rPr>
          <w:rFonts w:ascii="Palatino Linotype" w:eastAsia="Palatino Linotype" w:hAnsi="Palatino Linotype" w:cs="Palatino Linotype"/>
          <w:b/>
          <w:i/>
          <w:sz w:val="22"/>
          <w:szCs w:val="22"/>
        </w:rPr>
        <w:t>SOBRESEIMIENTO, NO PERMITE ENTRAR AL ESTUDIO DE LAS CUESTIONES DE FONDO</w:t>
      </w:r>
    </w:p>
    <w:p w14:paraId="0F6C6DED" w14:textId="77777777" w:rsidR="00F12C46" w:rsidRPr="00D53C65" w:rsidRDefault="00095DD5">
      <w:pPr>
        <w:spacing w:before="120" w:after="120" w:line="259" w:lineRule="auto"/>
        <w:ind w:left="851"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Localización: 213609. II.2o.183 K. Tribunales Colegiados de Circuito. Octava Época. Semanario Judicial de la Federación. Tomo XIII, Febrero de 1994, Pág. 420</w:t>
      </w:r>
    </w:p>
    <w:p w14:paraId="4DC1DAD7" w14:textId="77777777" w:rsidR="00F12C46" w:rsidRPr="00D53C65" w:rsidRDefault="00095DD5">
      <w:pPr>
        <w:spacing w:before="120" w:after="120" w:line="259" w:lineRule="auto"/>
        <w:ind w:left="851"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20F5375C" w14:textId="77777777" w:rsidR="00F12C46" w:rsidRPr="00D53C65" w:rsidRDefault="00095DD5">
      <w:pPr>
        <w:spacing w:before="240" w:after="240"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7A59824F" w14:textId="77777777" w:rsidR="00F12C46" w:rsidRPr="00D53C65" w:rsidRDefault="00095DD5">
      <w:pPr>
        <w:spacing w:before="120" w:after="120" w:line="259" w:lineRule="auto"/>
        <w:ind w:left="851" w:right="902"/>
        <w:jc w:val="both"/>
        <w:rPr>
          <w:rFonts w:ascii="Palatino Linotype" w:eastAsia="Palatino Linotype" w:hAnsi="Palatino Linotype" w:cs="Palatino Linotype"/>
          <w:b/>
          <w:i/>
          <w:sz w:val="22"/>
          <w:szCs w:val="22"/>
        </w:rPr>
      </w:pPr>
      <w:r w:rsidRPr="00D53C65">
        <w:rPr>
          <w:rFonts w:ascii="Palatino Linotype" w:eastAsia="Palatino Linotype" w:hAnsi="Palatino Linotype" w:cs="Palatino Linotype"/>
          <w:b/>
          <w:i/>
          <w:sz w:val="22"/>
          <w:szCs w:val="22"/>
        </w:rPr>
        <w:t>“DESECHAMIENTO O SOBRESEIMIENTO EN EL JUICIO DE AMPARO. NO IMPLICA DENEGACIÓN DE JUSTICIA NI GENERA INSEGURIDAD JURÍDICA”</w:t>
      </w:r>
    </w:p>
    <w:p w14:paraId="56E91240" w14:textId="77777777" w:rsidR="00F12C46" w:rsidRPr="00D53C65" w:rsidRDefault="00095DD5">
      <w:pPr>
        <w:spacing w:before="120" w:after="120" w:line="259" w:lineRule="auto"/>
        <w:ind w:left="851" w:right="902"/>
        <w:jc w:val="both"/>
        <w:rPr>
          <w:rFonts w:ascii="Palatino Linotype" w:eastAsia="Palatino Linotype" w:hAnsi="Palatino Linotype" w:cs="Palatino Linotype"/>
          <w:i/>
          <w:sz w:val="22"/>
          <w:szCs w:val="22"/>
        </w:rPr>
      </w:pPr>
      <w:r w:rsidRPr="00D53C65">
        <w:rPr>
          <w:rFonts w:ascii="Palatino Linotype" w:eastAsia="Palatino Linotype" w:hAnsi="Palatino Linotype" w:cs="Palatino Linotype"/>
          <w:i/>
          <w:sz w:val="22"/>
          <w:szCs w:val="22"/>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(Sic)</w:t>
      </w:r>
      <w:r w:rsidRPr="00D53C65">
        <w:rPr>
          <w:rFonts w:ascii="Palatino Linotype" w:eastAsia="Palatino Linotype" w:hAnsi="Palatino Linotype" w:cs="Palatino Linotype"/>
          <w:sz w:val="22"/>
          <w:szCs w:val="22"/>
        </w:rPr>
        <w:tab/>
      </w:r>
    </w:p>
    <w:p w14:paraId="466DFD56" w14:textId="7140FDC9" w:rsidR="00F12C46" w:rsidRPr="00D53C65" w:rsidRDefault="00095DD5">
      <w:pPr>
        <w:spacing w:before="240" w:after="240" w:line="360" w:lineRule="auto"/>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Bajo ese tenor con fundamento en la segunda hipótesis de la fracción I del artículo 186, de la Ley de Transparencia y Acceso a la Información Pública del Estado de México y Municipios, se </w:t>
      </w:r>
      <w:r w:rsidRPr="00D53C65">
        <w:rPr>
          <w:rFonts w:ascii="Palatino Linotype" w:eastAsia="Palatino Linotype" w:hAnsi="Palatino Linotype" w:cs="Palatino Linotype"/>
          <w:b/>
          <w:sz w:val="22"/>
          <w:szCs w:val="22"/>
        </w:rPr>
        <w:t xml:space="preserve">Sobresee </w:t>
      </w:r>
      <w:r w:rsidRPr="00D53C65">
        <w:rPr>
          <w:rFonts w:ascii="Palatino Linotype" w:eastAsia="Palatino Linotype" w:hAnsi="Palatino Linotype" w:cs="Palatino Linotype"/>
          <w:sz w:val="22"/>
          <w:szCs w:val="22"/>
        </w:rPr>
        <w:t xml:space="preserve">el recurso de revisión </w:t>
      </w:r>
      <w:r w:rsidR="00534CE5" w:rsidRPr="00D53C65">
        <w:rPr>
          <w:rFonts w:ascii="Palatino Linotype" w:eastAsia="Palatino Linotype" w:hAnsi="Palatino Linotype" w:cs="Palatino Linotype"/>
          <w:b/>
          <w:sz w:val="22"/>
          <w:szCs w:val="22"/>
        </w:rPr>
        <w:t>10114</w:t>
      </w:r>
      <w:r w:rsidRPr="00D53C65">
        <w:rPr>
          <w:rFonts w:ascii="Palatino Linotype" w:eastAsia="Palatino Linotype" w:hAnsi="Palatino Linotype" w:cs="Palatino Linotype"/>
          <w:b/>
          <w:sz w:val="22"/>
          <w:szCs w:val="22"/>
        </w:rPr>
        <w:t>/INFOEM/IP/RR/2025</w:t>
      </w:r>
      <w:r w:rsidRPr="00D53C65">
        <w:rPr>
          <w:rFonts w:ascii="Palatino Linotype" w:eastAsia="Palatino Linotype" w:hAnsi="Palatino Linotype" w:cs="Palatino Linotype"/>
          <w:sz w:val="22"/>
          <w:szCs w:val="22"/>
        </w:rPr>
        <w:t>, que ha sido materia del presente fallo.</w:t>
      </w:r>
    </w:p>
    <w:p w14:paraId="568C673C" w14:textId="77777777" w:rsidR="00CB7761" w:rsidRPr="00D53C65" w:rsidRDefault="00CB7761" w:rsidP="00CB7761">
      <w:pPr>
        <w:spacing w:line="360" w:lineRule="auto"/>
        <w:ind w:right="49"/>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 de la Ley de Transparencia y Acceso a la Información Pública del Estado de México y Municipios, este Pleno:</w:t>
      </w:r>
    </w:p>
    <w:p w14:paraId="6361493A" w14:textId="77777777" w:rsidR="00CB7761" w:rsidRPr="00D53C65" w:rsidRDefault="00CB7761">
      <w:pPr>
        <w:spacing w:line="360" w:lineRule="auto"/>
        <w:ind w:right="-93"/>
        <w:jc w:val="center"/>
        <w:rPr>
          <w:rFonts w:ascii="Palatino Linotype" w:eastAsia="Palatino Linotype" w:hAnsi="Palatino Linotype" w:cs="Palatino Linotype"/>
          <w:b/>
          <w:sz w:val="22"/>
          <w:szCs w:val="22"/>
        </w:rPr>
      </w:pPr>
    </w:p>
    <w:p w14:paraId="5230247D" w14:textId="77777777" w:rsidR="00F12C46" w:rsidRPr="00D53C65" w:rsidRDefault="00095DD5">
      <w:pPr>
        <w:spacing w:line="360" w:lineRule="auto"/>
        <w:ind w:right="-93"/>
        <w:jc w:val="center"/>
        <w:rPr>
          <w:rFonts w:ascii="Palatino Linotype" w:eastAsia="Palatino Linotype" w:hAnsi="Palatino Linotype" w:cs="Palatino Linotype"/>
          <w:b/>
          <w:sz w:val="22"/>
          <w:szCs w:val="22"/>
        </w:rPr>
      </w:pPr>
      <w:r w:rsidRPr="00D53C65">
        <w:rPr>
          <w:rFonts w:ascii="Palatino Linotype" w:eastAsia="Palatino Linotype" w:hAnsi="Palatino Linotype" w:cs="Palatino Linotype"/>
          <w:b/>
          <w:sz w:val="22"/>
          <w:szCs w:val="22"/>
        </w:rPr>
        <w:t>R E S U E L V E:</w:t>
      </w:r>
    </w:p>
    <w:p w14:paraId="1BF4C221" w14:textId="52E00149" w:rsidR="00F12C46" w:rsidRPr="00D53C65" w:rsidRDefault="00095DD5">
      <w:pPr>
        <w:tabs>
          <w:tab w:val="left" w:pos="7936"/>
        </w:tabs>
        <w:spacing w:before="240" w:after="240" w:line="360" w:lineRule="auto"/>
        <w:jc w:val="both"/>
        <w:rPr>
          <w:rFonts w:ascii="Palatino Linotype" w:eastAsia="Palatino Linotype" w:hAnsi="Palatino Linotype" w:cs="Palatino Linotype"/>
          <w:sz w:val="22"/>
          <w:szCs w:val="22"/>
        </w:rPr>
      </w:pPr>
      <w:bookmarkStart w:id="7" w:name="_heading=h.3dy6vkm" w:colFirst="0" w:colLast="0"/>
      <w:bookmarkEnd w:id="7"/>
      <w:r w:rsidRPr="00D53C65">
        <w:rPr>
          <w:rFonts w:ascii="Palatino Linotype" w:eastAsia="Palatino Linotype" w:hAnsi="Palatino Linotype" w:cs="Palatino Linotype"/>
          <w:b/>
          <w:sz w:val="22"/>
          <w:szCs w:val="22"/>
        </w:rPr>
        <w:t xml:space="preserve">Primero. </w:t>
      </w:r>
      <w:r w:rsidRPr="00D53C65">
        <w:rPr>
          <w:rFonts w:ascii="Palatino Linotype" w:eastAsia="Palatino Linotype" w:hAnsi="Palatino Linotype" w:cs="Palatino Linotype"/>
          <w:sz w:val="22"/>
          <w:szCs w:val="22"/>
        </w:rPr>
        <w:t xml:space="preserve">Se </w:t>
      </w:r>
      <w:r w:rsidRPr="00D53C65">
        <w:rPr>
          <w:rFonts w:ascii="Palatino Linotype" w:eastAsia="Palatino Linotype" w:hAnsi="Palatino Linotype" w:cs="Palatino Linotype"/>
          <w:b/>
          <w:sz w:val="22"/>
          <w:szCs w:val="22"/>
        </w:rPr>
        <w:t>SOBRESEE</w:t>
      </w:r>
      <w:r w:rsidRPr="00D53C65">
        <w:rPr>
          <w:rFonts w:ascii="Palatino Linotype" w:eastAsia="Palatino Linotype" w:hAnsi="Palatino Linotype" w:cs="Palatino Linotype"/>
          <w:sz w:val="22"/>
          <w:szCs w:val="22"/>
        </w:rPr>
        <w:t xml:space="preserve"> el Recurso de Revisión </w:t>
      </w:r>
      <w:r w:rsidR="00534CE5" w:rsidRPr="00D53C65">
        <w:rPr>
          <w:rFonts w:ascii="Palatino Linotype" w:eastAsia="Palatino Linotype" w:hAnsi="Palatino Linotype" w:cs="Palatino Linotype"/>
          <w:b/>
          <w:sz w:val="22"/>
          <w:szCs w:val="22"/>
        </w:rPr>
        <w:t>10114</w:t>
      </w:r>
      <w:r w:rsidRPr="00D53C65">
        <w:rPr>
          <w:rFonts w:ascii="Palatino Linotype" w:eastAsia="Palatino Linotype" w:hAnsi="Palatino Linotype" w:cs="Palatino Linotype"/>
          <w:b/>
          <w:sz w:val="22"/>
          <w:szCs w:val="22"/>
        </w:rPr>
        <w:t>/INFOEM/IP/RR/2025</w:t>
      </w:r>
      <w:r w:rsidRPr="00D53C65">
        <w:rPr>
          <w:rFonts w:ascii="Palatino Linotype" w:eastAsia="Palatino Linotype" w:hAnsi="Palatino Linotype" w:cs="Palatino Linotype"/>
          <w:sz w:val="22"/>
          <w:szCs w:val="22"/>
        </w:rPr>
        <w:t>, por improcedente</w:t>
      </w:r>
      <w:r w:rsidRPr="00D53C65">
        <w:rPr>
          <w:rFonts w:ascii="Palatino Linotype" w:eastAsia="Palatino Linotype" w:hAnsi="Palatino Linotype" w:cs="Palatino Linotype"/>
          <w:b/>
          <w:sz w:val="22"/>
          <w:szCs w:val="22"/>
        </w:rPr>
        <w:t xml:space="preserve">, </w:t>
      </w:r>
      <w:r w:rsidRPr="00D53C65">
        <w:rPr>
          <w:rFonts w:ascii="Palatino Linotype" w:eastAsia="Palatino Linotype" w:hAnsi="Palatino Linotype" w:cs="Palatino Linotype"/>
          <w:sz w:val="22"/>
          <w:szCs w:val="22"/>
        </w:rPr>
        <w:t xml:space="preserve">por actualizarse la fracción IV del artículo 192, en relación con la </w:t>
      </w:r>
      <w:r w:rsidR="003B44CD" w:rsidRPr="00D53C65">
        <w:rPr>
          <w:rFonts w:ascii="Palatino Linotype" w:eastAsia="Palatino Linotype" w:hAnsi="Palatino Linotype" w:cs="Palatino Linotype"/>
          <w:sz w:val="22"/>
          <w:szCs w:val="22"/>
        </w:rPr>
        <w:t>fracción V</w:t>
      </w:r>
      <w:r w:rsidRPr="00D53C65">
        <w:rPr>
          <w:rFonts w:ascii="Palatino Linotype" w:eastAsia="Palatino Linotype" w:hAnsi="Palatino Linotype" w:cs="Palatino Linotype"/>
          <w:sz w:val="22"/>
          <w:szCs w:val="22"/>
        </w:rPr>
        <w:t xml:space="preserve">I del artículo 191, ambos, de la Ley de Transparencia y Acceso a la Información Pública del Estado de México y Municipios, en términos del </w:t>
      </w:r>
      <w:r w:rsidRPr="00D53C65">
        <w:rPr>
          <w:rFonts w:ascii="Palatino Linotype" w:eastAsia="Palatino Linotype" w:hAnsi="Palatino Linotype" w:cs="Palatino Linotype"/>
          <w:b/>
          <w:sz w:val="22"/>
          <w:szCs w:val="22"/>
        </w:rPr>
        <w:t>Considerando Tercero</w:t>
      </w:r>
      <w:r w:rsidRPr="00D53C65">
        <w:rPr>
          <w:rFonts w:ascii="Palatino Linotype" w:eastAsia="Palatino Linotype" w:hAnsi="Palatino Linotype" w:cs="Palatino Linotype"/>
          <w:sz w:val="22"/>
          <w:szCs w:val="22"/>
        </w:rPr>
        <w:t xml:space="preserve"> de la presente resolución.</w:t>
      </w:r>
    </w:p>
    <w:p w14:paraId="17C822FD" w14:textId="77777777" w:rsidR="00F12C46" w:rsidRPr="00D53C65" w:rsidRDefault="00095DD5">
      <w:pPr>
        <w:spacing w:line="360" w:lineRule="auto"/>
        <w:ind w:right="51"/>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Segundo. Notifíquese </w:t>
      </w:r>
      <w:r w:rsidRPr="00D53C65">
        <w:rPr>
          <w:rFonts w:ascii="Palatino Linotype" w:eastAsia="Palatino Linotype" w:hAnsi="Palatino Linotype" w:cs="Palatino Linotype"/>
          <w:sz w:val="22"/>
          <w:szCs w:val="22"/>
        </w:rPr>
        <w:t xml:space="preserve">vía SAIMEX la presente resolución al Titular de la Unidad de Transparencia del </w:t>
      </w:r>
      <w:r w:rsidRPr="00D53C65">
        <w:rPr>
          <w:rFonts w:ascii="Palatino Linotype" w:eastAsia="Palatino Linotype" w:hAnsi="Palatino Linotype" w:cs="Palatino Linotype"/>
          <w:b/>
          <w:sz w:val="22"/>
          <w:szCs w:val="22"/>
        </w:rPr>
        <w:t>Sujeto Obligado</w:t>
      </w:r>
      <w:r w:rsidRPr="00D53C65">
        <w:rPr>
          <w:rFonts w:ascii="Palatino Linotype" w:eastAsia="Palatino Linotype" w:hAnsi="Palatino Linotype" w:cs="Palatino Linotype"/>
          <w:sz w:val="22"/>
          <w:szCs w:val="22"/>
        </w:rPr>
        <w:t>, para su conocimiento.</w:t>
      </w:r>
    </w:p>
    <w:p w14:paraId="73F303D2" w14:textId="77777777" w:rsidR="00F12C46" w:rsidRPr="00D53C65" w:rsidRDefault="00F12C46">
      <w:pPr>
        <w:spacing w:line="360" w:lineRule="auto"/>
        <w:ind w:right="51"/>
        <w:jc w:val="both"/>
        <w:rPr>
          <w:rFonts w:ascii="Palatino Linotype" w:eastAsia="Palatino Linotype" w:hAnsi="Palatino Linotype" w:cs="Palatino Linotype"/>
          <w:sz w:val="22"/>
          <w:szCs w:val="22"/>
        </w:rPr>
      </w:pPr>
    </w:p>
    <w:p w14:paraId="4CE68D2B" w14:textId="51CC7E39" w:rsidR="00F12C46" w:rsidRPr="00D53C65" w:rsidRDefault="00095DD5">
      <w:pPr>
        <w:spacing w:line="360" w:lineRule="auto"/>
        <w:ind w:right="51"/>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b/>
          <w:sz w:val="22"/>
          <w:szCs w:val="22"/>
        </w:rPr>
        <w:t>Tercero. Notifíquese </w:t>
      </w:r>
      <w:r w:rsidRPr="00D53C65">
        <w:rPr>
          <w:rFonts w:ascii="Palatino Linotype" w:eastAsia="Palatino Linotype" w:hAnsi="Palatino Linotype" w:cs="Palatino Linotype"/>
          <w:sz w:val="22"/>
          <w:szCs w:val="22"/>
        </w:rPr>
        <w:t xml:space="preserve">vía SAIMEX </w:t>
      </w:r>
      <w:r w:rsidRPr="00D53C65">
        <w:rPr>
          <w:rFonts w:ascii="Palatino Linotype" w:eastAsia="Palatino Linotype" w:hAnsi="Palatino Linotype" w:cs="Palatino Linotype"/>
          <w:b/>
          <w:sz w:val="22"/>
          <w:szCs w:val="22"/>
        </w:rPr>
        <w:t>a la parte Recurrente</w:t>
      </w:r>
      <w:r w:rsidRPr="00D53C65">
        <w:rPr>
          <w:rFonts w:ascii="Palatino Linotype" w:eastAsia="Palatino Linotype" w:hAnsi="Palatino Linotype" w:cs="Palatino Linotype"/>
          <w:sz w:val="22"/>
          <w:szCs w:val="22"/>
        </w:rPr>
        <w:t>, la presente resolución, además que de conformidad con lo establecido en el artículo 196 de la Ley de Transparencia y Acceso a la Información Pública del Estado de México y Municipios, podrá impugnarla vía Juicio de Amparo en los términos de las leyes aplicables.</w:t>
      </w:r>
    </w:p>
    <w:p w14:paraId="2EBBB9C4" w14:textId="77777777" w:rsidR="00D53C65" w:rsidRPr="00D53C65" w:rsidRDefault="00D53C65">
      <w:pPr>
        <w:spacing w:line="360" w:lineRule="auto"/>
        <w:ind w:right="51"/>
        <w:jc w:val="both"/>
        <w:rPr>
          <w:rFonts w:ascii="Palatino Linotype" w:eastAsia="Palatino Linotype" w:hAnsi="Palatino Linotype" w:cs="Palatino Linotype"/>
          <w:sz w:val="22"/>
          <w:szCs w:val="22"/>
        </w:rPr>
      </w:pPr>
    </w:p>
    <w:p w14:paraId="43C28A74" w14:textId="77777777" w:rsidR="00F12C46" w:rsidRPr="00D53C65" w:rsidRDefault="00F12C4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9466A32" w14:textId="550C30A9" w:rsidR="00F12C46" w:rsidRPr="00D53C65" w:rsidRDefault="00095DD5">
      <w:pPr>
        <w:spacing w:line="360" w:lineRule="auto"/>
        <w:ind w:right="-93"/>
        <w:jc w:val="both"/>
        <w:rPr>
          <w:rFonts w:ascii="Palatino Linotype" w:eastAsia="Palatino Linotype" w:hAnsi="Palatino Linotype" w:cs="Palatino Linotype"/>
          <w:sz w:val="22"/>
          <w:szCs w:val="22"/>
        </w:rPr>
      </w:pPr>
      <w:r w:rsidRPr="00D53C65">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534CE5" w:rsidRPr="00D53C65">
        <w:rPr>
          <w:rFonts w:ascii="Palatino Linotype" w:eastAsia="Palatino Linotype" w:hAnsi="Palatino Linotype" w:cs="Palatino Linotype"/>
          <w:sz w:val="22"/>
          <w:szCs w:val="22"/>
        </w:rPr>
        <w:t>OCTAVA</w:t>
      </w:r>
      <w:r w:rsidRPr="00D53C65">
        <w:rPr>
          <w:rFonts w:ascii="Palatino Linotype" w:eastAsia="Palatino Linotype" w:hAnsi="Palatino Linotype" w:cs="Palatino Linotype"/>
          <w:sz w:val="22"/>
          <w:szCs w:val="22"/>
        </w:rPr>
        <w:t xml:space="preserve"> SESIÓN ORDINARIA CELEBRADA EL </w:t>
      </w:r>
      <w:r w:rsidR="00534CE5" w:rsidRPr="00D53C65">
        <w:rPr>
          <w:rFonts w:ascii="Palatino Linotype" w:eastAsia="Palatino Linotype" w:hAnsi="Palatino Linotype" w:cs="Palatino Linotype"/>
          <w:sz w:val="22"/>
          <w:szCs w:val="22"/>
        </w:rPr>
        <w:t>CINCO DE MARZO DE DOS MIL VEINTISEIS</w:t>
      </w:r>
      <w:r w:rsidRPr="00D53C65">
        <w:rPr>
          <w:rFonts w:ascii="Palatino Linotype" w:eastAsia="Palatino Linotype" w:hAnsi="Palatino Linotype" w:cs="Palatino Linotype"/>
          <w:sz w:val="22"/>
          <w:szCs w:val="22"/>
        </w:rPr>
        <w:t>, ANTE EL SECRETARIO TÉCNICO DEL PLENO ALEXIS TAPIA RAMÍREZ.</w:t>
      </w:r>
    </w:p>
    <w:p w14:paraId="3D64C2C7"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5D911220"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21713A8E"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0FE026C4"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253BE421"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05AB7EF0"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1F317277"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4700F853"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0B4371BB"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356EC3CA"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7559E057"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14006025"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6D752CB4"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4340D73F"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298E6E6B"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582ED33D"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176AB93C"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7450DFC0" w14:textId="77777777" w:rsidR="00F12C46" w:rsidRPr="00D53C65" w:rsidRDefault="00F12C46">
      <w:pPr>
        <w:spacing w:line="360" w:lineRule="auto"/>
        <w:ind w:right="-93"/>
        <w:jc w:val="both"/>
        <w:rPr>
          <w:rFonts w:ascii="Palatino Linotype" w:eastAsia="Palatino Linotype" w:hAnsi="Palatino Linotype" w:cs="Palatino Linotype"/>
          <w:sz w:val="22"/>
          <w:szCs w:val="22"/>
        </w:rPr>
      </w:pPr>
    </w:p>
    <w:p w14:paraId="6949FB46" w14:textId="77777777" w:rsidR="00D53C65" w:rsidRPr="00D53C65" w:rsidRDefault="00D53C65">
      <w:pPr>
        <w:spacing w:line="360" w:lineRule="auto"/>
        <w:ind w:right="-93"/>
        <w:jc w:val="both"/>
        <w:rPr>
          <w:rFonts w:ascii="Palatino Linotype" w:eastAsia="Palatino Linotype" w:hAnsi="Palatino Linotype" w:cs="Palatino Linotype"/>
          <w:sz w:val="22"/>
          <w:szCs w:val="22"/>
        </w:rPr>
      </w:pPr>
    </w:p>
    <w:p w14:paraId="56399DCC" w14:textId="77777777" w:rsidR="00D53C65" w:rsidRPr="00D53C65" w:rsidRDefault="00D53C65">
      <w:pPr>
        <w:spacing w:line="360" w:lineRule="auto"/>
        <w:ind w:right="-93"/>
        <w:jc w:val="both"/>
        <w:rPr>
          <w:rFonts w:ascii="Palatino Linotype" w:eastAsia="Palatino Linotype" w:hAnsi="Palatino Linotype" w:cs="Palatino Linotype"/>
          <w:sz w:val="22"/>
          <w:szCs w:val="22"/>
        </w:rPr>
      </w:pPr>
    </w:p>
    <w:p w14:paraId="7B676E20" w14:textId="77777777" w:rsidR="00D53C65" w:rsidRPr="00D53C65" w:rsidRDefault="00D53C65">
      <w:pPr>
        <w:spacing w:line="360" w:lineRule="auto"/>
        <w:ind w:right="-93"/>
        <w:jc w:val="both"/>
        <w:rPr>
          <w:rFonts w:ascii="Palatino Linotype" w:eastAsia="Palatino Linotype" w:hAnsi="Palatino Linotype" w:cs="Palatino Linotype"/>
          <w:sz w:val="22"/>
          <w:szCs w:val="22"/>
        </w:rPr>
      </w:pPr>
    </w:p>
    <w:p w14:paraId="49F8CBB8" w14:textId="77777777" w:rsidR="00D53C65" w:rsidRPr="00D53C65" w:rsidRDefault="00D53C65">
      <w:pPr>
        <w:spacing w:line="360" w:lineRule="auto"/>
        <w:ind w:right="-93"/>
        <w:jc w:val="both"/>
        <w:rPr>
          <w:rFonts w:ascii="Palatino Linotype" w:eastAsia="Palatino Linotype" w:hAnsi="Palatino Linotype" w:cs="Palatino Linotype"/>
          <w:sz w:val="22"/>
          <w:szCs w:val="22"/>
        </w:rPr>
      </w:pPr>
    </w:p>
    <w:p w14:paraId="68AC22B0" w14:textId="77777777" w:rsidR="00D53C65" w:rsidRPr="00D53C65" w:rsidRDefault="00D53C65">
      <w:pPr>
        <w:spacing w:line="360" w:lineRule="auto"/>
        <w:ind w:right="-93"/>
        <w:jc w:val="both"/>
        <w:rPr>
          <w:rFonts w:ascii="Palatino Linotype" w:eastAsia="Palatino Linotype" w:hAnsi="Palatino Linotype" w:cs="Palatino Linotype"/>
          <w:sz w:val="22"/>
          <w:szCs w:val="22"/>
        </w:rPr>
      </w:pPr>
    </w:p>
    <w:sectPr w:rsidR="00D53C65" w:rsidRPr="00D53C65">
      <w:headerReference w:type="default" r:id="rId8"/>
      <w:footerReference w:type="default" r:id="rId9"/>
      <w:headerReference w:type="first" r:id="rId10"/>
      <w:footerReference w:type="first" r:id="rId11"/>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830A3" w14:textId="77777777" w:rsidR="00E937CB" w:rsidRDefault="00E937CB">
      <w:r>
        <w:separator/>
      </w:r>
    </w:p>
  </w:endnote>
  <w:endnote w:type="continuationSeparator" w:id="0">
    <w:p w14:paraId="49F02ADC" w14:textId="77777777" w:rsidR="00E937CB" w:rsidRDefault="00E93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4D8F7" w14:textId="39CBDEB5" w:rsidR="00A301E6" w:rsidRDefault="00A301E6">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4B444B">
      <w:rPr>
        <w:b/>
        <w:noProof/>
        <w:color w:val="000000"/>
      </w:rPr>
      <w:t>19</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4B444B">
      <w:rPr>
        <w:b/>
        <w:noProof/>
        <w:color w:val="000000"/>
      </w:rPr>
      <w:t>20</w:t>
    </w:r>
    <w:r>
      <w:rPr>
        <w:b/>
        <w:color w:val="000000"/>
      </w:rPr>
      <w:fldChar w:fldCharType="end"/>
    </w:r>
  </w:p>
  <w:p w14:paraId="242453A0" w14:textId="77777777" w:rsidR="00A301E6" w:rsidRDefault="00A301E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0E0C3" w14:textId="1F01562A" w:rsidR="00A301E6" w:rsidRDefault="00A301E6">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4B444B">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4B444B">
      <w:rPr>
        <w:b/>
        <w:noProof/>
        <w:color w:val="000000"/>
      </w:rPr>
      <w:t>20</w:t>
    </w:r>
    <w:r>
      <w:rPr>
        <w:b/>
        <w:color w:val="000000"/>
      </w:rPr>
      <w:fldChar w:fldCharType="end"/>
    </w:r>
  </w:p>
  <w:p w14:paraId="45BB609F" w14:textId="77777777" w:rsidR="00A301E6" w:rsidRDefault="00A301E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FD616" w14:textId="77777777" w:rsidR="00E937CB" w:rsidRDefault="00E937CB">
      <w:r>
        <w:separator/>
      </w:r>
    </w:p>
  </w:footnote>
  <w:footnote w:type="continuationSeparator" w:id="0">
    <w:p w14:paraId="3398CC5D" w14:textId="77777777" w:rsidR="00E937CB" w:rsidRDefault="00E937CB">
      <w:r>
        <w:continuationSeparator/>
      </w:r>
    </w:p>
  </w:footnote>
  <w:footnote w:id="1">
    <w:p w14:paraId="220F6EA7" w14:textId="77777777" w:rsidR="00A301E6" w:rsidRDefault="00A301E6">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4514B04B" w14:textId="77777777" w:rsidR="00A301E6" w:rsidRDefault="00A301E6">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2">
    <w:p w14:paraId="7F799C6D" w14:textId="77777777" w:rsidR="00C916A4" w:rsidRDefault="00C916A4" w:rsidP="00C916A4">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14:paraId="7772FD14" w14:textId="77777777" w:rsidR="00C916A4" w:rsidRDefault="00C916A4" w:rsidP="00C916A4">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14:paraId="1163CF4C" w14:textId="77777777" w:rsidR="00C916A4" w:rsidRDefault="00C916A4" w:rsidP="00C916A4">
      <w:pPr>
        <w:spacing w:after="120" w:line="196" w:lineRule="auto"/>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VILLANUEVA VILLANUEVA Ernesto, Derecho de la Información, Ed, Porrúa S.A., México. 2006, pág.270.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0C13B" w14:textId="77777777" w:rsidR="00A301E6" w:rsidRDefault="00A301E6">
    <w:pPr>
      <w:widowControl w:val="0"/>
      <w:pBdr>
        <w:top w:val="nil"/>
        <w:left w:val="nil"/>
        <w:bottom w:val="nil"/>
        <w:right w:val="nil"/>
        <w:between w:val="nil"/>
      </w:pBdr>
      <w:spacing w:line="276" w:lineRule="auto"/>
      <w:rPr>
        <w:color w:val="000000"/>
      </w:rPr>
    </w:pPr>
    <w:r>
      <w:rPr>
        <w:noProof/>
      </w:rPr>
      <w:drawing>
        <wp:anchor distT="0" distB="0" distL="0" distR="0" simplePos="0" relativeHeight="251658240" behindDoc="1" locked="0" layoutInCell="1" hidden="0" allowOverlap="1" wp14:anchorId="6BD05323" wp14:editId="321257C2">
          <wp:simplePos x="0" y="0"/>
          <wp:positionH relativeFrom="column">
            <wp:posOffset>-746118</wp:posOffset>
          </wp:positionH>
          <wp:positionV relativeFrom="paragraph">
            <wp:posOffset>-448303</wp:posOffset>
          </wp:positionV>
          <wp:extent cx="7809876" cy="10165823"/>
          <wp:effectExtent l="0" t="0" r="0" b="0"/>
          <wp:wrapNone/>
          <wp:docPr id="21431081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d"/>
      <w:tblW w:w="5603" w:type="dxa"/>
      <w:tblInd w:w="3544" w:type="dxa"/>
      <w:tblLayout w:type="fixed"/>
      <w:tblLook w:val="0400" w:firstRow="0" w:lastRow="0" w:firstColumn="0" w:lastColumn="0" w:noHBand="0" w:noVBand="1"/>
    </w:tblPr>
    <w:tblGrid>
      <w:gridCol w:w="2551"/>
      <w:gridCol w:w="3052"/>
    </w:tblGrid>
    <w:tr w:rsidR="00A301E6" w14:paraId="1611FDC4" w14:textId="77777777">
      <w:tc>
        <w:tcPr>
          <w:tcW w:w="2551" w:type="dxa"/>
          <w:vAlign w:val="center"/>
        </w:tcPr>
        <w:p w14:paraId="2BE1D94A"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tc>
      <w:tc>
        <w:tcPr>
          <w:tcW w:w="3052" w:type="dxa"/>
          <w:vAlign w:val="center"/>
        </w:tcPr>
        <w:p w14:paraId="1259B218" w14:textId="1C024264"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10114/INFOEM/IP/RR/2025</w:t>
          </w:r>
        </w:p>
      </w:tc>
    </w:tr>
    <w:tr w:rsidR="00A301E6" w14:paraId="0BC163CA" w14:textId="77777777">
      <w:trPr>
        <w:trHeight w:val="228"/>
      </w:trPr>
      <w:tc>
        <w:tcPr>
          <w:tcW w:w="2551" w:type="dxa"/>
          <w:vAlign w:val="center"/>
        </w:tcPr>
        <w:p w14:paraId="4B4100C6"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p w14:paraId="17C78B17"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5D2FBF0E" w14:textId="3311D1B9" w:rsidR="00A301E6" w:rsidRDefault="00A301E6">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2"/>
              <w:szCs w:val="22"/>
            </w:rPr>
          </w:pPr>
          <w:r w:rsidRPr="00524364">
            <w:rPr>
              <w:rFonts w:ascii="Palatino Linotype" w:eastAsia="Palatino Linotype" w:hAnsi="Palatino Linotype" w:cs="Palatino Linotype"/>
              <w:b/>
              <w:bCs/>
              <w:color w:val="000000"/>
              <w:sz w:val="22"/>
              <w:szCs w:val="22"/>
            </w:rPr>
            <w:t>Secretaría de Seguridad</w:t>
          </w:r>
        </w:p>
      </w:tc>
    </w:tr>
    <w:tr w:rsidR="00A301E6" w14:paraId="6C9206BD" w14:textId="77777777">
      <w:tc>
        <w:tcPr>
          <w:tcW w:w="2551" w:type="dxa"/>
          <w:vAlign w:val="center"/>
        </w:tcPr>
        <w:p w14:paraId="151DFED9"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3AC682BB"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39197373" w14:textId="77777777" w:rsidR="00A301E6" w:rsidRDefault="00A301E6">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FC55A" w14:textId="77777777" w:rsidR="00A301E6" w:rsidRDefault="00A301E6">
    <w:pPr>
      <w:widowControl w:val="0"/>
      <w:pBdr>
        <w:top w:val="nil"/>
        <w:left w:val="nil"/>
        <w:bottom w:val="nil"/>
        <w:right w:val="nil"/>
        <w:between w:val="nil"/>
      </w:pBdr>
      <w:spacing w:line="276" w:lineRule="auto"/>
      <w:rPr>
        <w:rFonts w:ascii="Palatino Linotype" w:eastAsia="Palatino Linotype" w:hAnsi="Palatino Linotype" w:cs="Palatino Linotype"/>
      </w:rPr>
    </w:pPr>
    <w:r>
      <w:rPr>
        <w:noProof/>
      </w:rPr>
      <w:drawing>
        <wp:anchor distT="0" distB="0" distL="0" distR="0" simplePos="0" relativeHeight="251659264" behindDoc="1" locked="0" layoutInCell="1" hidden="0" allowOverlap="1" wp14:anchorId="04BD72A4" wp14:editId="72E3A3CA">
          <wp:simplePos x="0" y="0"/>
          <wp:positionH relativeFrom="column">
            <wp:posOffset>-988692</wp:posOffset>
          </wp:positionH>
          <wp:positionV relativeFrom="paragraph">
            <wp:posOffset>-363853</wp:posOffset>
          </wp:positionV>
          <wp:extent cx="7809876" cy="10165823"/>
          <wp:effectExtent l="0" t="0" r="0" b="0"/>
          <wp:wrapNone/>
          <wp:docPr id="21431081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7752D22D" w14:textId="77777777" w:rsidR="00A301E6" w:rsidRDefault="00A301E6">
    <w:pPr>
      <w:pBdr>
        <w:top w:val="nil"/>
        <w:left w:val="nil"/>
        <w:bottom w:val="nil"/>
        <w:right w:val="nil"/>
        <w:between w:val="nil"/>
      </w:pBdr>
      <w:tabs>
        <w:tab w:val="center" w:pos="4419"/>
        <w:tab w:val="right" w:pos="8838"/>
        <w:tab w:val="left" w:pos="3466"/>
      </w:tabs>
      <w:rPr>
        <w:color w:val="000000"/>
      </w:rPr>
    </w:pPr>
    <w:r>
      <w:rPr>
        <w:color w:val="000000"/>
      </w:rPr>
      <w:tab/>
    </w:r>
  </w:p>
  <w:tbl>
    <w:tblPr>
      <w:tblStyle w:val="ae"/>
      <w:tblW w:w="5603" w:type="dxa"/>
      <w:tblInd w:w="3544" w:type="dxa"/>
      <w:tblLayout w:type="fixed"/>
      <w:tblLook w:val="0400" w:firstRow="0" w:lastRow="0" w:firstColumn="0" w:lastColumn="0" w:noHBand="0" w:noVBand="1"/>
    </w:tblPr>
    <w:tblGrid>
      <w:gridCol w:w="2551"/>
      <w:gridCol w:w="3052"/>
    </w:tblGrid>
    <w:tr w:rsidR="00A301E6" w14:paraId="05A75F5D" w14:textId="77777777">
      <w:tc>
        <w:tcPr>
          <w:tcW w:w="2551" w:type="dxa"/>
          <w:vAlign w:val="center"/>
        </w:tcPr>
        <w:p w14:paraId="3F56094D"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tc>
      <w:tc>
        <w:tcPr>
          <w:tcW w:w="3052" w:type="dxa"/>
          <w:vAlign w:val="center"/>
        </w:tcPr>
        <w:p w14:paraId="62AF99AD" w14:textId="3CAB182F" w:rsidR="00A301E6" w:rsidRDefault="00A301E6" w:rsidP="00524364">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10114/INFOEM/IP/RR/2025</w:t>
          </w:r>
        </w:p>
      </w:tc>
    </w:tr>
    <w:tr w:rsidR="00A301E6" w14:paraId="25BEDFFA" w14:textId="77777777">
      <w:tc>
        <w:tcPr>
          <w:tcW w:w="2551" w:type="dxa"/>
          <w:vAlign w:val="center"/>
        </w:tcPr>
        <w:p w14:paraId="01021A47" w14:textId="77777777" w:rsidR="00A301E6" w:rsidRPr="001E3F80"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sidRPr="001E3F80">
            <w:rPr>
              <w:rFonts w:ascii="Palatino Linotype" w:eastAsia="Palatino Linotype" w:hAnsi="Palatino Linotype" w:cs="Palatino Linotype"/>
              <w:b/>
              <w:color w:val="000000" w:themeColor="text1"/>
              <w:sz w:val="22"/>
              <w:szCs w:val="22"/>
            </w:rPr>
            <w:t>Recurrente:</w:t>
          </w:r>
        </w:p>
      </w:tc>
      <w:tc>
        <w:tcPr>
          <w:tcW w:w="3052" w:type="dxa"/>
          <w:vAlign w:val="center"/>
        </w:tcPr>
        <w:p w14:paraId="48B6BEB4" w14:textId="2AC6F9BE" w:rsidR="00A301E6" w:rsidRDefault="004B444B" w:rsidP="004B444B">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XXXXXX XX X</w:t>
          </w:r>
        </w:p>
      </w:tc>
    </w:tr>
    <w:tr w:rsidR="00A301E6" w14:paraId="54920B19" w14:textId="77777777">
      <w:trPr>
        <w:trHeight w:val="228"/>
      </w:trPr>
      <w:tc>
        <w:tcPr>
          <w:tcW w:w="2551" w:type="dxa"/>
          <w:vAlign w:val="center"/>
        </w:tcPr>
        <w:p w14:paraId="26A33DEF"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p w14:paraId="5F8BB192"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p>
      </w:tc>
      <w:tc>
        <w:tcPr>
          <w:tcW w:w="3052" w:type="dxa"/>
          <w:vAlign w:val="center"/>
        </w:tcPr>
        <w:p w14:paraId="0D280D47" w14:textId="4A2AB6AC" w:rsidR="00A301E6" w:rsidRDefault="00A301E6">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color w:val="000000"/>
              <w:sz w:val="22"/>
              <w:szCs w:val="22"/>
            </w:rPr>
          </w:pPr>
          <w:r w:rsidRPr="00524364">
            <w:rPr>
              <w:rFonts w:ascii="Palatino Linotype" w:eastAsia="Palatino Linotype" w:hAnsi="Palatino Linotype" w:cs="Palatino Linotype"/>
              <w:b/>
              <w:bCs/>
              <w:color w:val="000000"/>
              <w:sz w:val="22"/>
              <w:szCs w:val="22"/>
            </w:rPr>
            <w:t>Secretaría de Seguridad</w:t>
          </w:r>
        </w:p>
      </w:tc>
    </w:tr>
    <w:tr w:rsidR="00A301E6" w14:paraId="5B0AD6F5" w14:textId="77777777">
      <w:tc>
        <w:tcPr>
          <w:tcW w:w="2551" w:type="dxa"/>
          <w:vAlign w:val="center"/>
        </w:tcPr>
        <w:p w14:paraId="01C0A1AA"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5606B998" w14:textId="77777777" w:rsidR="00A301E6" w:rsidRDefault="00A301E6">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49E56492" w14:textId="77777777" w:rsidR="00A301E6" w:rsidRDefault="00A301E6">
    <w:pPr>
      <w:pBdr>
        <w:top w:val="nil"/>
        <w:left w:val="nil"/>
        <w:bottom w:val="nil"/>
        <w:right w:val="nil"/>
        <w:between w:val="nil"/>
      </w:pBdr>
      <w:tabs>
        <w:tab w:val="center" w:pos="4419"/>
        <w:tab w:val="right" w:pos="8838"/>
        <w:tab w:val="left" w:pos="3466"/>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E0069"/>
    <w:multiLevelType w:val="multilevel"/>
    <w:tmpl w:val="CB448714"/>
    <w:lvl w:ilvl="0">
      <w:start w:val="1"/>
      <w:numFmt w:val="decimal"/>
      <w:pStyle w:val="Listaconvietas3"/>
      <w:lvlText w:val="%1."/>
      <w:lvlJc w:val="left"/>
      <w:pPr>
        <w:ind w:left="3479"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8147A9"/>
    <w:multiLevelType w:val="hybridMultilevel"/>
    <w:tmpl w:val="C62AB70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C146680"/>
    <w:multiLevelType w:val="hybridMultilevel"/>
    <w:tmpl w:val="FC500E1C"/>
    <w:lvl w:ilvl="0" w:tplc="9C8E68FC">
      <w:start w:val="7"/>
      <w:numFmt w:val="bullet"/>
      <w:lvlText w:val=""/>
      <w:lvlJc w:val="left"/>
      <w:pPr>
        <w:ind w:left="720" w:hanging="360"/>
      </w:pPr>
      <w:rPr>
        <w:rFonts w:ascii="Symbol" w:eastAsia="Palatino Linotype"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07A2794"/>
    <w:multiLevelType w:val="multilevel"/>
    <w:tmpl w:val="3DD2F3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6AD82FC2"/>
    <w:multiLevelType w:val="multilevel"/>
    <w:tmpl w:val="D3DEA9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AD74A33"/>
    <w:multiLevelType w:val="multilevel"/>
    <w:tmpl w:val="868E7720"/>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46"/>
    <w:rsid w:val="000173A9"/>
    <w:rsid w:val="00020691"/>
    <w:rsid w:val="00095DD5"/>
    <w:rsid w:val="00182C8F"/>
    <w:rsid w:val="001E3F80"/>
    <w:rsid w:val="00285925"/>
    <w:rsid w:val="003B44CD"/>
    <w:rsid w:val="003E21CB"/>
    <w:rsid w:val="004B444B"/>
    <w:rsid w:val="005155CC"/>
    <w:rsid w:val="00524364"/>
    <w:rsid w:val="00534CE5"/>
    <w:rsid w:val="006F1D1F"/>
    <w:rsid w:val="007A34A3"/>
    <w:rsid w:val="008662DE"/>
    <w:rsid w:val="009142B6"/>
    <w:rsid w:val="00A301E6"/>
    <w:rsid w:val="00C916A4"/>
    <w:rsid w:val="00CB7761"/>
    <w:rsid w:val="00D53C65"/>
    <w:rsid w:val="00D605AA"/>
    <w:rsid w:val="00E937CB"/>
    <w:rsid w:val="00EC1D93"/>
    <w:rsid w:val="00F12C46"/>
    <w:rsid w:val="00F32FED"/>
    <w:rsid w:val="00F44CBA"/>
    <w:rsid w:val="00FA7CB6"/>
    <w:rsid w:val="00FC24B4"/>
    <w:rsid w:val="00FD53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4934BA"/>
  <w15:docId w15:val="{6A5638F5-9AC6-400F-A512-260FC3D5E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line="259" w:lineRule="auto"/>
      <w:outlineLvl w:val="0"/>
    </w:pPr>
    <w:rPr>
      <w:rFonts w:ascii="Calibri" w:eastAsia="Calibri" w:hAnsi="Calibri" w:cs="Calibri"/>
      <w:b/>
      <w:sz w:val="48"/>
      <w:szCs w:val="48"/>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rPr>
      <w:rFonts w:ascii="Calibri" w:eastAsia="Calibri" w:hAnsi="Calibri" w:cs="Calibri"/>
      <w:sz w:val="22"/>
      <w:szCs w:val="22"/>
    </w:r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rPr>
      <w:rFonts w:ascii="Calibri" w:eastAsia="Calibri" w:hAnsi="Calibri" w:cs="Calibri"/>
      <w:sz w:val="22"/>
      <w:szCs w:val="22"/>
    </w:r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spacing w:after="160" w:line="259" w:lineRule="auto"/>
      <w:ind w:left="720"/>
      <w:contextualSpacing/>
    </w:pPr>
    <w:rPr>
      <w:rFonts w:ascii="Calibri" w:eastAsia="Calibri" w:hAnsi="Calibri" w:cs="Calibri"/>
      <w:sz w:val="22"/>
      <w:szCs w:val="22"/>
    </w:rPr>
  </w:style>
  <w:style w:type="character" w:styleId="Hipervnculo">
    <w:name w:val="Hyperlink"/>
    <w:basedOn w:val="Fuentedeprrafopredeter"/>
    <w:uiPriority w:val="99"/>
    <w:unhideWhenUsed/>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a">
    <w:basedOn w:val="TableNormal5"/>
    <w:tblPr>
      <w:tblStyleRowBandSize w:val="1"/>
      <w:tblStyleColBandSize w:val="1"/>
      <w:tblCellMar>
        <w:top w:w="15" w:type="dxa"/>
        <w:left w:w="15" w:type="dxa"/>
        <w:bottom w:w="15" w:type="dxa"/>
        <w:right w:w="15" w:type="dxa"/>
      </w:tblCellMar>
    </w:tblPr>
  </w:style>
  <w:style w:type="table" w:customStyle="1" w:styleId="a0">
    <w:basedOn w:val="TableNormal5"/>
    <w:tblPr>
      <w:tblStyleRowBandSize w:val="1"/>
      <w:tblStyleColBandSize w:val="1"/>
      <w:tblCellMar>
        <w:left w:w="115" w:type="dxa"/>
        <w:right w:w="115" w:type="dxa"/>
      </w:tblCellMar>
    </w:tblPr>
  </w:style>
  <w:style w:type="table" w:customStyle="1" w:styleId="a1">
    <w:basedOn w:val="TableNormal5"/>
    <w:tblPr>
      <w:tblStyleRowBandSize w:val="1"/>
      <w:tblStyleColBandSize w:val="1"/>
      <w:tblCellMar>
        <w:left w:w="115" w:type="dxa"/>
        <w:right w:w="115" w:type="dxa"/>
      </w:tblCellMar>
    </w:tblPr>
  </w:style>
  <w:style w:type="table" w:customStyle="1" w:styleId="a2">
    <w:basedOn w:val="TableNormal5"/>
    <w:tblPr>
      <w:tblStyleRowBandSize w:val="1"/>
      <w:tblStyleColBandSize w:val="1"/>
      <w:tblCellMar>
        <w:top w:w="15" w:type="dxa"/>
        <w:left w:w="115" w:type="dxa"/>
        <w:bottom w:w="15" w:type="dxa"/>
        <w:right w:w="115" w:type="dxa"/>
      </w:tblCellMar>
    </w:tblPr>
  </w:style>
  <w:style w:type="table" w:customStyle="1" w:styleId="a3">
    <w:basedOn w:val="TableNormal5"/>
    <w:tblPr>
      <w:tblStyleRowBandSize w:val="1"/>
      <w:tblStyleColBandSize w:val="1"/>
      <w:tblCellMar>
        <w:top w:w="15" w:type="dxa"/>
        <w:left w:w="115" w:type="dxa"/>
        <w:bottom w:w="15" w:type="dxa"/>
        <w:right w:w="115" w:type="dxa"/>
      </w:tblCellMar>
    </w:tblPr>
  </w:style>
  <w:style w:type="table" w:customStyle="1" w:styleId="a4">
    <w:basedOn w:val="TableNormal4"/>
    <w:tblPr>
      <w:tblStyleRowBandSize w:val="1"/>
      <w:tblStyleColBandSize w:val="1"/>
      <w:tblCellMar>
        <w:top w:w="15" w:type="dxa"/>
        <w:left w:w="115" w:type="dxa"/>
        <w:bottom w:w="15" w:type="dxa"/>
        <w:right w:w="115" w:type="dxa"/>
      </w:tblCellMar>
    </w:tblPr>
  </w:style>
  <w:style w:type="table" w:customStyle="1" w:styleId="a5">
    <w:basedOn w:val="TableNormal4"/>
    <w:tblPr>
      <w:tblStyleRowBandSize w:val="1"/>
      <w:tblStyleColBandSize w:val="1"/>
      <w:tblCellMar>
        <w:top w:w="15" w:type="dxa"/>
        <w:left w:w="115" w:type="dxa"/>
        <w:bottom w:w="15" w:type="dxa"/>
        <w:right w:w="115" w:type="dxa"/>
      </w:tblCellMar>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BD6BFB"/>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BD6BFB"/>
    <w:rPr>
      <w:rFonts w:asciiTheme="minorHAnsi" w:eastAsiaTheme="minorHAnsi" w:hAnsiTheme="minorHAnsi" w:cstheme="minorBidi"/>
      <w:sz w:val="20"/>
      <w:szCs w:val="20"/>
      <w:lang w:eastAsia="en-U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BD6BFB"/>
    <w:rPr>
      <w:vertAlign w:val="superscript"/>
    </w:rPr>
  </w:style>
  <w:style w:type="character" w:customStyle="1" w:styleId="Mencinsinresolver1">
    <w:name w:val="Mención sin resolver1"/>
    <w:basedOn w:val="Fuentedeprrafopredeter"/>
    <w:uiPriority w:val="99"/>
    <w:semiHidden/>
    <w:unhideWhenUsed/>
    <w:rsid w:val="00E64CB4"/>
    <w:rPr>
      <w:color w:val="605E5C"/>
      <w:shd w:val="clear" w:color="auto" w:fill="E1DFDD"/>
    </w:rPr>
  </w:style>
  <w:style w:type="paragraph" w:styleId="Cita">
    <w:name w:val="Quote"/>
    <w:basedOn w:val="Normal"/>
    <w:next w:val="Normal"/>
    <w:link w:val="CitaCar"/>
    <w:uiPriority w:val="29"/>
    <w:qFormat/>
    <w:rsid w:val="0084488A"/>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4488A"/>
    <w:rPr>
      <w:rFonts w:ascii="Times New Roman" w:eastAsia="Times New Roman" w:hAnsi="Times New Roman" w:cs="Times New Roman"/>
      <w:i/>
      <w:iCs/>
      <w:color w:val="404040" w:themeColor="text1" w:themeTint="BF"/>
      <w:sz w:val="24"/>
      <w:szCs w:val="24"/>
    </w:rPr>
  </w:style>
  <w:style w:type="paragraph" w:customStyle="1" w:styleId="j">
    <w:name w:val="j"/>
    <w:basedOn w:val="Normal"/>
    <w:rsid w:val="0058558E"/>
    <w:pPr>
      <w:spacing w:before="100" w:beforeAutospacing="1" w:after="100" w:afterAutospacing="1"/>
    </w:pPr>
  </w:style>
  <w:style w:type="character" w:customStyle="1" w:styleId="nacep">
    <w:name w:val="n_acep"/>
    <w:basedOn w:val="Fuentedeprrafopredeter"/>
    <w:rsid w:val="0058558E"/>
  </w:style>
  <w:style w:type="character" w:customStyle="1" w:styleId="Mencinsinresolver2">
    <w:name w:val="Mención sin resolver2"/>
    <w:basedOn w:val="Fuentedeprrafopredeter"/>
    <w:uiPriority w:val="99"/>
    <w:semiHidden/>
    <w:unhideWhenUsed/>
    <w:rsid w:val="00AD7527"/>
    <w:rPr>
      <w:color w:val="605E5C"/>
      <w:shd w:val="clear" w:color="auto" w:fill="E1DFDD"/>
    </w:rPr>
  </w:style>
  <w:style w:type="character" w:styleId="Hipervnculovisitado">
    <w:name w:val="FollowedHyperlink"/>
    <w:basedOn w:val="Fuentedeprrafopredeter"/>
    <w:uiPriority w:val="99"/>
    <w:semiHidden/>
    <w:unhideWhenUsed/>
    <w:rsid w:val="003F413F"/>
    <w:rPr>
      <w:color w:val="954F72" w:themeColor="followedHyperlink"/>
      <w:u w:val="single"/>
    </w:rPr>
  </w:style>
  <w:style w:type="table" w:customStyle="1" w:styleId="a6">
    <w:basedOn w:val="TableNormal3"/>
    <w:tblPr>
      <w:tblStyleRowBandSize w:val="1"/>
      <w:tblStyleColBandSize w:val="1"/>
      <w:tblCellMar>
        <w:left w:w="108" w:type="dxa"/>
        <w:right w:w="108" w:type="dxa"/>
      </w:tblCellMar>
    </w:tblPr>
  </w:style>
  <w:style w:type="table" w:customStyle="1" w:styleId="a7">
    <w:basedOn w:val="TableNormal3"/>
    <w:tblPr>
      <w:tblStyleRowBandSize w:val="1"/>
      <w:tblStyleColBandSize w:val="1"/>
      <w:tblCellMar>
        <w:top w:w="15" w:type="dxa"/>
        <w:left w:w="115" w:type="dxa"/>
        <w:bottom w:w="15" w:type="dxa"/>
        <w:right w:w="115" w:type="dxa"/>
      </w:tblCellMar>
    </w:tblPr>
  </w:style>
  <w:style w:type="table" w:customStyle="1" w:styleId="a8">
    <w:basedOn w:val="TableNormal3"/>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004A02"/>
    <w:rPr>
      <w:color w:val="605E5C"/>
      <w:shd w:val="clear" w:color="auto" w:fill="E1DFDD"/>
    </w:rPr>
  </w:style>
  <w:style w:type="table" w:customStyle="1" w:styleId="a9">
    <w:basedOn w:val="TableNormal2"/>
    <w:tblPr>
      <w:tblStyleRowBandSize w:val="1"/>
      <w:tblStyleColBandSize w:val="1"/>
      <w:tblCellMar>
        <w:top w:w="15" w:type="dxa"/>
        <w:left w:w="115" w:type="dxa"/>
        <w:bottom w:w="15" w:type="dxa"/>
        <w:right w:w="115" w:type="dxa"/>
      </w:tblCellMar>
    </w:tblPr>
  </w:style>
  <w:style w:type="table" w:customStyle="1" w:styleId="aa">
    <w:basedOn w:val="TableNormal2"/>
    <w:tblPr>
      <w:tblStyleRowBandSize w:val="1"/>
      <w:tblStyleColBandSize w:val="1"/>
      <w:tblCellMar>
        <w:top w:w="15" w:type="dxa"/>
        <w:left w:w="115" w:type="dxa"/>
        <w:bottom w:w="15" w:type="dxa"/>
        <w:right w:w="115" w:type="dxa"/>
      </w:tblCellMar>
    </w:tblPr>
  </w:style>
  <w:style w:type="paragraph" w:styleId="Listaconvietas3">
    <w:name w:val="List Bullet 3"/>
    <w:basedOn w:val="Normal"/>
    <w:uiPriority w:val="99"/>
    <w:unhideWhenUsed/>
    <w:rsid w:val="00C53246"/>
    <w:pPr>
      <w:numPr>
        <w:numId w:val="2"/>
      </w:numPr>
      <w:contextualSpacing/>
    </w:pPr>
    <w:rPr>
      <w:lang w:val="es-ES"/>
    </w:rPr>
  </w:style>
  <w:style w:type="table" w:customStyle="1" w:styleId="ab">
    <w:basedOn w:val="TableNormal1"/>
    <w:tblPr>
      <w:tblStyleRowBandSize w:val="1"/>
      <w:tblStyleColBandSize w:val="1"/>
      <w:tblCellMar>
        <w:top w:w="15" w:type="dxa"/>
        <w:left w:w="115" w:type="dxa"/>
        <w:bottom w:w="15" w:type="dxa"/>
        <w:right w:w="115" w:type="dxa"/>
      </w:tblCellMar>
    </w:tblPr>
  </w:style>
  <w:style w:type="table" w:customStyle="1" w:styleId="ac">
    <w:basedOn w:val="TableNormal1"/>
    <w:tblPr>
      <w:tblStyleRowBandSize w:val="1"/>
      <w:tblStyleColBandSize w:val="1"/>
      <w:tblCellMar>
        <w:top w:w="15" w:type="dxa"/>
        <w:left w:w="115" w:type="dxa"/>
        <w:bottom w:w="15" w:type="dxa"/>
        <w:right w:w="115" w:type="dxa"/>
      </w:tblCellMar>
    </w:tblPr>
  </w:style>
  <w:style w:type="paragraph" w:styleId="Subttulo">
    <w:name w:val="Subtitle"/>
    <w:basedOn w:val="Normal"/>
    <w:next w:val="Normal"/>
    <w:uiPriority w:val="11"/>
    <w:qFormat/>
    <w:pPr>
      <w:keepNext/>
      <w:keepLines/>
      <w:spacing w:before="360" w:after="80" w:line="259" w:lineRule="auto"/>
    </w:pPr>
    <w:rPr>
      <w:rFonts w:ascii="Georgia" w:eastAsia="Georgia" w:hAnsi="Georgia" w:cs="Georgia"/>
      <w:i/>
      <w:color w:val="666666"/>
      <w:sz w:val="48"/>
      <w:szCs w:val="48"/>
    </w:rPr>
  </w:style>
  <w:style w:type="table" w:customStyle="1" w:styleId="ad">
    <w:basedOn w:val="TableNormal0"/>
    <w:tblPr>
      <w:tblStyleRowBandSize w:val="1"/>
      <w:tblStyleColBandSize w:val="1"/>
      <w:tblCellMar>
        <w:top w:w="15" w:type="dxa"/>
        <w:left w:w="115" w:type="dxa"/>
        <w:bottom w:w="15" w:type="dxa"/>
        <w:right w:w="115" w:type="dxa"/>
      </w:tblCellMar>
    </w:tblPr>
  </w:style>
  <w:style w:type="table" w:customStyle="1" w:styleId="ae">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961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glj45ondsRYR9o282lU9ZuKTAQ==">CgMxLjAyCGguZ2pkZ3hzMgloLjJldDkycDAyCWguMWZvYjl0ZTIJaC4zMGowemxsMg5oLmZ4N3Zjcm4xbWNpYTIJaC4zem55c2g3MghoLnR5amN3dDIJaC4zZHk2dmttOAByITFMRmVpc0VvZ01iTU54ZTV2QjBhNVpXUl9OMXJGMVVEUA==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4763</Words>
  <Characters>26197</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2026-04-07T18:22:00Z</dcterms:created>
  <dcterms:modified xsi:type="dcterms:W3CDTF">2026-04-07T18:22:00Z</dcterms:modified>
</cp:coreProperties>
</file>