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7E6D0" w14:textId="77777777" w:rsidR="0088743D" w:rsidRDefault="0088743D" w:rsidP="002B080E">
      <w:pPr>
        <w:widowControl w:val="0"/>
        <w:pBdr>
          <w:top w:val="nil"/>
          <w:left w:val="nil"/>
          <w:bottom w:val="nil"/>
          <w:right w:val="nil"/>
          <w:between w:val="nil"/>
        </w:pBdr>
        <w:spacing w:line="360" w:lineRule="auto"/>
      </w:pPr>
    </w:p>
    <w:p w14:paraId="39AE9653" w14:textId="77777777" w:rsidR="0088743D" w:rsidRDefault="0088743D" w:rsidP="002B080E">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79C9C30B" w14:textId="77777777" w:rsidR="0088743D" w:rsidRPr="002B080E" w:rsidRDefault="00A42439" w:rsidP="002B080E">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RESOLUCIÓN DEL RECURSO DE REVISIÓN </w:t>
      </w:r>
      <w:r w:rsidRPr="002B080E">
        <w:rPr>
          <w:rFonts w:ascii="Palatino Linotype" w:eastAsia="Palatino Linotype" w:hAnsi="Palatino Linotype" w:cs="Palatino Linotype"/>
          <w:color w:val="000000"/>
          <w:sz w:val="22"/>
          <w:szCs w:val="22"/>
        </w:rPr>
        <w:t>08256/INFOEM/ICR-122/IP/RR/2025</w:t>
      </w:r>
    </w:p>
    <w:p w14:paraId="4C4C757B" w14:textId="77777777" w:rsidR="0088743D" w:rsidRDefault="0088743D" w:rsidP="002B080E">
      <w:pPr>
        <w:spacing w:line="360" w:lineRule="auto"/>
      </w:pPr>
    </w:p>
    <w:sdt>
      <w:sdtPr>
        <w:rPr>
          <w:lang w:val="es-ES"/>
        </w:rPr>
        <w:id w:val="959373002"/>
        <w:docPartObj>
          <w:docPartGallery w:val="Table of Contents"/>
          <w:docPartUnique/>
        </w:docPartObj>
      </w:sdtPr>
      <w:sdtEndPr>
        <w:rPr>
          <w:b/>
          <w:bCs/>
        </w:rPr>
      </w:sdtEndPr>
      <w:sdtContent>
        <w:p w14:paraId="7F8AAD8D" w14:textId="2B00D2CA" w:rsidR="002B1D65" w:rsidRDefault="002B1D65">
          <w:pPr>
            <w:pStyle w:val="TtulodeTDC"/>
          </w:pPr>
        </w:p>
        <w:p w14:paraId="0A6A41BE" w14:textId="5579A060" w:rsidR="00B558A4" w:rsidRPr="00B558A4" w:rsidRDefault="002B1D65">
          <w:pPr>
            <w:pStyle w:val="TDC1"/>
            <w:rPr>
              <w:rFonts w:asciiTheme="minorHAnsi" w:eastAsiaTheme="minorEastAsia" w:hAnsiTheme="minorHAnsi" w:cstheme="minorBidi"/>
              <w:noProof/>
              <w:kern w:val="2"/>
              <w:sz w:val="22"/>
              <w:szCs w:val="22"/>
              <w14:ligatures w14:val="standardContextual"/>
            </w:rPr>
          </w:pPr>
          <w:r>
            <w:rPr>
              <w:b/>
              <w:bCs/>
              <w:lang w:val="es-ES"/>
            </w:rPr>
            <w:fldChar w:fldCharType="begin"/>
          </w:r>
          <w:r>
            <w:rPr>
              <w:b/>
              <w:bCs/>
              <w:lang w:val="es-ES"/>
            </w:rPr>
            <w:instrText xml:space="preserve"> TOC \o "1-3" \h \z \u </w:instrText>
          </w:r>
          <w:r>
            <w:rPr>
              <w:b/>
              <w:bCs/>
              <w:lang w:val="es-ES"/>
            </w:rPr>
            <w:fldChar w:fldCharType="separate"/>
          </w:r>
          <w:hyperlink w:anchor="_Toc223017996" w:history="1">
            <w:r w:rsidR="00B558A4" w:rsidRPr="00B558A4">
              <w:rPr>
                <w:rStyle w:val="Hipervnculo"/>
                <w:noProof/>
                <w:sz w:val="22"/>
                <w:szCs w:val="22"/>
              </w:rPr>
              <w:t>A N T E C E D E N T E S</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_Toc223017996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2</w:t>
            </w:r>
            <w:r w:rsidR="00B558A4" w:rsidRPr="00B558A4">
              <w:rPr>
                <w:noProof/>
                <w:webHidden/>
                <w:sz w:val="22"/>
                <w:szCs w:val="22"/>
              </w:rPr>
              <w:fldChar w:fldCharType="end"/>
            </w:r>
          </w:hyperlink>
        </w:p>
        <w:p w14:paraId="2968D69D" w14:textId="763120DD"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7997" w:history="1">
            <w:r w:rsidR="00B558A4" w:rsidRPr="00B558A4">
              <w:rPr>
                <w:rStyle w:val="Hipervnculo"/>
                <w:noProof/>
                <w:sz w:val="22"/>
                <w:szCs w:val="22"/>
              </w:rPr>
              <w:t>I. Presentación de la solicitud de información</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_Toc223017997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2</w:t>
            </w:r>
            <w:r w:rsidR="00B558A4" w:rsidRPr="00B558A4">
              <w:rPr>
                <w:noProof/>
                <w:webHidden/>
                <w:sz w:val="22"/>
                <w:szCs w:val="22"/>
              </w:rPr>
              <w:fldChar w:fldCharType="end"/>
            </w:r>
          </w:hyperlink>
        </w:p>
        <w:p w14:paraId="35FE0E8A" w14:textId="0BDF3353"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7998" w:history="1">
            <w:r w:rsidR="00B558A4" w:rsidRPr="00B558A4">
              <w:rPr>
                <w:rStyle w:val="Hipervnculo"/>
                <w:noProof/>
                <w:sz w:val="22"/>
                <w:szCs w:val="22"/>
              </w:rPr>
              <w:t>II. Respuesta del Sujeto Obligado</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_Toc223017998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4</w:t>
            </w:r>
            <w:r w:rsidR="00B558A4" w:rsidRPr="00B558A4">
              <w:rPr>
                <w:noProof/>
                <w:webHidden/>
                <w:sz w:val="22"/>
                <w:szCs w:val="22"/>
              </w:rPr>
              <w:fldChar w:fldCharType="end"/>
            </w:r>
          </w:hyperlink>
        </w:p>
        <w:p w14:paraId="6E80A53D" w14:textId="0889B870"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7999" w:history="1">
            <w:r w:rsidR="00B558A4" w:rsidRPr="00B558A4">
              <w:rPr>
                <w:rStyle w:val="Hipervnculo"/>
                <w:noProof/>
                <w:sz w:val="22"/>
                <w:szCs w:val="22"/>
              </w:rPr>
              <w:t>III. Interposición del Recurso de Revisión</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_Toc223017999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4</w:t>
            </w:r>
            <w:r w:rsidR="00B558A4" w:rsidRPr="00B558A4">
              <w:rPr>
                <w:noProof/>
                <w:webHidden/>
                <w:sz w:val="22"/>
                <w:szCs w:val="22"/>
              </w:rPr>
              <w:fldChar w:fldCharType="end"/>
            </w:r>
          </w:hyperlink>
        </w:p>
        <w:p w14:paraId="584FFE95" w14:textId="1126C597"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00" w:history="1">
            <w:r w:rsidR="00B558A4" w:rsidRPr="00B558A4">
              <w:rPr>
                <w:rStyle w:val="Hipervnculo"/>
                <w:noProof/>
                <w:sz w:val="22"/>
                <w:szCs w:val="22"/>
              </w:rPr>
              <w:t>IV. Trámite del Recurso de Revisión ante el Instituto</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_Toc223018000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5</w:t>
            </w:r>
            <w:r w:rsidR="00B558A4" w:rsidRPr="00B558A4">
              <w:rPr>
                <w:noProof/>
                <w:webHidden/>
                <w:sz w:val="22"/>
                <w:szCs w:val="22"/>
              </w:rPr>
              <w:fldChar w:fldCharType="end"/>
            </w:r>
          </w:hyperlink>
        </w:p>
        <w:p w14:paraId="0FE689DA" w14:textId="07E9E93E"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01" w:history="1">
            <w:r w:rsidR="00B558A4" w:rsidRPr="00B558A4">
              <w:rPr>
                <w:rStyle w:val="Hipervnculo"/>
                <w:noProof/>
                <w:sz w:val="22"/>
                <w:szCs w:val="22"/>
              </w:rPr>
              <w:t>V. Entrega de la información en cumplimiento a la Resolución del Recurso de Revisión 08256/INFOEM/IP/RR/2025.</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_Toc223018001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7</w:t>
            </w:r>
            <w:r w:rsidR="00B558A4" w:rsidRPr="00B558A4">
              <w:rPr>
                <w:noProof/>
                <w:webHidden/>
                <w:sz w:val="22"/>
                <w:szCs w:val="22"/>
              </w:rPr>
              <w:fldChar w:fldCharType="end"/>
            </w:r>
          </w:hyperlink>
        </w:p>
        <w:p w14:paraId="1A431D01" w14:textId="2B9924F5"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02" w:history="1">
            <w:r w:rsidR="00B558A4" w:rsidRPr="00B558A4">
              <w:rPr>
                <w:rStyle w:val="Hipervnculo"/>
                <w:noProof/>
                <w:sz w:val="22"/>
                <w:szCs w:val="22"/>
              </w:rPr>
              <w:t>VI. Interposición del Recurso de Revisión 08256/INFOEM/ICR-122/IP/RR/2025</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_Toc223018002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8</w:t>
            </w:r>
            <w:r w:rsidR="00B558A4" w:rsidRPr="00B558A4">
              <w:rPr>
                <w:noProof/>
                <w:webHidden/>
                <w:sz w:val="22"/>
                <w:szCs w:val="22"/>
              </w:rPr>
              <w:fldChar w:fldCharType="end"/>
            </w:r>
          </w:hyperlink>
        </w:p>
        <w:p w14:paraId="1BBC7AAB" w14:textId="31EE7294"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03" w:history="1">
            <w:r w:rsidR="00B558A4" w:rsidRPr="00B558A4">
              <w:rPr>
                <w:rStyle w:val="Hipervnculo"/>
                <w:noProof/>
                <w:sz w:val="22"/>
                <w:szCs w:val="22"/>
              </w:rPr>
              <w:t>VIII. Trámite del Recurso de Revisión número 08256/INFOEM/ICR-122/IP/RR/2025</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_Toc223018003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8</w:t>
            </w:r>
            <w:r w:rsidR="00B558A4" w:rsidRPr="00B558A4">
              <w:rPr>
                <w:noProof/>
                <w:webHidden/>
                <w:sz w:val="22"/>
                <w:szCs w:val="22"/>
              </w:rPr>
              <w:fldChar w:fldCharType="end"/>
            </w:r>
          </w:hyperlink>
        </w:p>
        <w:p w14:paraId="28BABAA7" w14:textId="1D259C08" w:rsidR="00B558A4" w:rsidRPr="00B558A4" w:rsidRDefault="00D15967">
          <w:pPr>
            <w:pStyle w:val="TDC1"/>
            <w:rPr>
              <w:rFonts w:asciiTheme="minorHAnsi" w:eastAsiaTheme="minorEastAsia" w:hAnsiTheme="minorHAnsi" w:cstheme="minorBidi"/>
              <w:noProof/>
              <w:kern w:val="2"/>
              <w:sz w:val="22"/>
              <w:szCs w:val="22"/>
              <w14:ligatures w14:val="standardContextual"/>
            </w:rPr>
          </w:pPr>
          <w:hyperlink w:anchor="_Toc223018004" w:history="1">
            <w:r w:rsidR="00B558A4" w:rsidRPr="00B558A4">
              <w:rPr>
                <w:rStyle w:val="Hipervnculo"/>
                <w:noProof/>
                <w:sz w:val="22"/>
                <w:szCs w:val="22"/>
              </w:rPr>
              <w:t>C O N S I D E R A N D O S</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_Toc223018004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10</w:t>
            </w:r>
            <w:r w:rsidR="00B558A4" w:rsidRPr="00B558A4">
              <w:rPr>
                <w:noProof/>
                <w:webHidden/>
                <w:sz w:val="22"/>
                <w:szCs w:val="22"/>
              </w:rPr>
              <w:fldChar w:fldCharType="end"/>
            </w:r>
          </w:hyperlink>
        </w:p>
        <w:p w14:paraId="1E976BEA" w14:textId="77AD6604"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05" w:history="1">
            <w:r w:rsidR="00B558A4" w:rsidRPr="00B558A4">
              <w:rPr>
                <w:rStyle w:val="Hipervnculo"/>
                <w:noProof/>
                <w:sz w:val="22"/>
                <w:szCs w:val="22"/>
              </w:rPr>
              <w:t>PRIMERO. Competencia</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_Toc223018005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10</w:t>
            </w:r>
            <w:r w:rsidR="00B558A4" w:rsidRPr="00B558A4">
              <w:rPr>
                <w:noProof/>
                <w:webHidden/>
                <w:sz w:val="22"/>
                <w:szCs w:val="22"/>
              </w:rPr>
              <w:fldChar w:fldCharType="end"/>
            </w:r>
          </w:hyperlink>
        </w:p>
        <w:p w14:paraId="3213C248" w14:textId="7BD993AC"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06" w:history="1">
            <w:r w:rsidR="00B558A4" w:rsidRPr="00B558A4">
              <w:rPr>
                <w:rStyle w:val="Hipervnculo"/>
                <w:noProof/>
                <w:sz w:val="22"/>
                <w:szCs w:val="22"/>
              </w:rPr>
              <w:t>SEGUNDO. Causales de improcedencia y Sobreseimiento</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_Toc223018006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11</w:t>
            </w:r>
            <w:r w:rsidR="00B558A4" w:rsidRPr="00B558A4">
              <w:rPr>
                <w:noProof/>
                <w:webHidden/>
                <w:sz w:val="22"/>
                <w:szCs w:val="22"/>
              </w:rPr>
              <w:fldChar w:fldCharType="end"/>
            </w:r>
          </w:hyperlink>
        </w:p>
        <w:p w14:paraId="3B110891" w14:textId="0A542257"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07" w:history="1">
            <w:r w:rsidR="00B558A4" w:rsidRPr="00B558A4">
              <w:rPr>
                <w:rStyle w:val="Hipervnculo"/>
                <w:noProof/>
                <w:sz w:val="22"/>
                <w:szCs w:val="22"/>
              </w:rPr>
              <w:t>TERCERO. Determinación de la Controversia</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_Toc223018007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13</w:t>
            </w:r>
            <w:r w:rsidR="00B558A4" w:rsidRPr="00B558A4">
              <w:rPr>
                <w:noProof/>
                <w:webHidden/>
                <w:sz w:val="22"/>
                <w:szCs w:val="22"/>
              </w:rPr>
              <w:fldChar w:fldCharType="end"/>
            </w:r>
          </w:hyperlink>
        </w:p>
        <w:p w14:paraId="1782764C" w14:textId="4251985F"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08" w:history="1">
            <w:r w:rsidR="00B558A4" w:rsidRPr="00B558A4">
              <w:rPr>
                <w:rStyle w:val="Hipervnculo"/>
                <w:noProof/>
                <w:sz w:val="22"/>
                <w:szCs w:val="22"/>
              </w:rPr>
              <w:t>CUARTO. Marco normativo aplicable en materia de transparencia y acceso a la información pública</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_Toc223018008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15</w:t>
            </w:r>
            <w:r w:rsidR="00B558A4" w:rsidRPr="00B558A4">
              <w:rPr>
                <w:noProof/>
                <w:webHidden/>
                <w:sz w:val="22"/>
                <w:szCs w:val="22"/>
              </w:rPr>
              <w:fldChar w:fldCharType="end"/>
            </w:r>
          </w:hyperlink>
        </w:p>
        <w:p w14:paraId="0301105D" w14:textId="08DAED7D"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09" w:history="1">
            <w:r w:rsidR="00B558A4" w:rsidRPr="00B558A4">
              <w:rPr>
                <w:rStyle w:val="Hipervnculo"/>
                <w:noProof/>
                <w:sz w:val="22"/>
                <w:szCs w:val="22"/>
              </w:rPr>
              <w:t>QUINTO. Estudio de Fondo</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_Toc223018009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16</w:t>
            </w:r>
            <w:r w:rsidR="00B558A4" w:rsidRPr="00B558A4">
              <w:rPr>
                <w:noProof/>
                <w:webHidden/>
                <w:sz w:val="22"/>
                <w:szCs w:val="22"/>
              </w:rPr>
              <w:fldChar w:fldCharType="end"/>
            </w:r>
          </w:hyperlink>
        </w:p>
        <w:p w14:paraId="5ADD6F97" w14:textId="330259D1" w:rsidR="00B558A4" w:rsidRPr="00B558A4" w:rsidRDefault="00D15967">
          <w:pPr>
            <w:pStyle w:val="TDC2"/>
            <w:tabs>
              <w:tab w:val="right" w:leader="dot" w:pos="9034"/>
            </w:tabs>
            <w:rPr>
              <w:rFonts w:asciiTheme="minorHAnsi" w:eastAsiaTheme="minorEastAsia" w:hAnsiTheme="minorHAnsi" w:cstheme="minorBidi"/>
              <w:noProof/>
              <w:kern w:val="2"/>
              <w:sz w:val="22"/>
              <w:szCs w:val="22"/>
              <w14:ligatures w14:val="standardContextual"/>
            </w:rPr>
          </w:pPr>
          <w:hyperlink w:anchor="_Toc223018010" w:history="1">
            <w:r w:rsidR="00B558A4" w:rsidRPr="00B558A4">
              <w:rPr>
                <w:rStyle w:val="Hipervnculo"/>
                <w:noProof/>
                <w:sz w:val="22"/>
                <w:szCs w:val="22"/>
              </w:rPr>
              <w:t>SEXTO. Decisión</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_Toc223018010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42</w:t>
            </w:r>
            <w:r w:rsidR="00B558A4" w:rsidRPr="00B558A4">
              <w:rPr>
                <w:noProof/>
                <w:webHidden/>
                <w:sz w:val="22"/>
                <w:szCs w:val="22"/>
              </w:rPr>
              <w:fldChar w:fldCharType="end"/>
            </w:r>
          </w:hyperlink>
        </w:p>
        <w:p w14:paraId="7C0EC959" w14:textId="04D86561" w:rsidR="00B558A4" w:rsidRDefault="00D15967">
          <w:pPr>
            <w:pStyle w:val="TDC1"/>
            <w:rPr>
              <w:rFonts w:asciiTheme="minorHAnsi" w:eastAsiaTheme="minorEastAsia" w:hAnsiTheme="minorHAnsi" w:cstheme="minorBidi"/>
              <w:noProof/>
              <w:kern w:val="2"/>
              <w:sz w:val="22"/>
              <w:szCs w:val="22"/>
              <w14:ligatures w14:val="standardContextual"/>
            </w:rPr>
          </w:pPr>
          <w:hyperlink w:anchor="_Toc223018011" w:history="1">
            <w:r w:rsidR="00B558A4" w:rsidRPr="00B558A4">
              <w:rPr>
                <w:rStyle w:val="Hipervnculo"/>
                <w:noProof/>
                <w:sz w:val="22"/>
                <w:szCs w:val="22"/>
              </w:rPr>
              <w:t>R E S U E L V E</w:t>
            </w:r>
            <w:r w:rsidR="00B558A4" w:rsidRPr="00B558A4">
              <w:rPr>
                <w:noProof/>
                <w:webHidden/>
                <w:sz w:val="22"/>
                <w:szCs w:val="22"/>
              </w:rPr>
              <w:tab/>
            </w:r>
            <w:r w:rsidR="00B558A4" w:rsidRPr="00B558A4">
              <w:rPr>
                <w:noProof/>
                <w:webHidden/>
                <w:sz w:val="22"/>
                <w:szCs w:val="22"/>
              </w:rPr>
              <w:fldChar w:fldCharType="begin"/>
            </w:r>
            <w:r w:rsidR="00B558A4" w:rsidRPr="00B558A4">
              <w:rPr>
                <w:noProof/>
                <w:webHidden/>
                <w:sz w:val="22"/>
                <w:szCs w:val="22"/>
              </w:rPr>
              <w:instrText xml:space="preserve"> PAGEREF _Toc223018011 \h </w:instrText>
            </w:r>
            <w:r w:rsidR="00B558A4" w:rsidRPr="00B558A4">
              <w:rPr>
                <w:noProof/>
                <w:webHidden/>
                <w:sz w:val="22"/>
                <w:szCs w:val="22"/>
              </w:rPr>
            </w:r>
            <w:r w:rsidR="00B558A4" w:rsidRPr="00B558A4">
              <w:rPr>
                <w:noProof/>
                <w:webHidden/>
                <w:sz w:val="22"/>
                <w:szCs w:val="22"/>
              </w:rPr>
              <w:fldChar w:fldCharType="separate"/>
            </w:r>
            <w:r w:rsidR="00B558A4" w:rsidRPr="00B558A4">
              <w:rPr>
                <w:noProof/>
                <w:webHidden/>
                <w:sz w:val="22"/>
                <w:szCs w:val="22"/>
              </w:rPr>
              <w:t>43</w:t>
            </w:r>
            <w:r w:rsidR="00B558A4" w:rsidRPr="00B558A4">
              <w:rPr>
                <w:noProof/>
                <w:webHidden/>
                <w:sz w:val="22"/>
                <w:szCs w:val="22"/>
              </w:rPr>
              <w:fldChar w:fldCharType="end"/>
            </w:r>
          </w:hyperlink>
        </w:p>
        <w:p w14:paraId="06310076" w14:textId="5E4F55D7" w:rsidR="002B1D65" w:rsidRDefault="002B1D65">
          <w:r>
            <w:rPr>
              <w:b/>
              <w:bCs/>
              <w:lang w:val="es-ES"/>
            </w:rPr>
            <w:fldChar w:fldCharType="end"/>
          </w:r>
        </w:p>
      </w:sdtContent>
    </w:sdt>
    <w:p w14:paraId="25C9B029" w14:textId="77777777" w:rsidR="0088743D" w:rsidRDefault="00A42439" w:rsidP="002B080E">
      <w:pPr>
        <w:spacing w:line="360" w:lineRule="auto"/>
        <w:jc w:val="both"/>
        <w:rPr>
          <w:rFonts w:ascii="Palatino Linotype" w:eastAsia="Palatino Linotype" w:hAnsi="Palatino Linotype" w:cs="Palatino Linotype"/>
          <w:color w:val="000000"/>
          <w:sz w:val="22"/>
          <w:szCs w:val="22"/>
        </w:rPr>
      </w:pPr>
      <w:r>
        <w:br w:type="column"/>
      </w: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Protección de Datos Personales del Estado de México y Municipios, con domicilio en Metepec, Estado de México, de fecha veinticinco de febrero de dos mil veintiséis.</w:t>
      </w:r>
    </w:p>
    <w:p w14:paraId="4577DC00"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223FD44D" w14:textId="4B770811"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w:t>
      </w:r>
      <w:r w:rsidRPr="002B080E">
        <w:rPr>
          <w:rFonts w:ascii="Palatino Linotype" w:eastAsia="Palatino Linotype" w:hAnsi="Palatino Linotype" w:cs="Palatino Linotype"/>
          <w:color w:val="000000"/>
          <w:sz w:val="22"/>
          <w:szCs w:val="22"/>
        </w:rPr>
        <w:t xml:space="preserve">Revisión </w:t>
      </w:r>
      <w:r w:rsidRPr="00D72522">
        <w:rPr>
          <w:rFonts w:ascii="Palatino Linotype" w:eastAsia="Palatino Linotype" w:hAnsi="Palatino Linotype" w:cs="Palatino Linotype"/>
          <w:b/>
          <w:bCs/>
          <w:color w:val="000000"/>
          <w:sz w:val="22"/>
          <w:szCs w:val="22"/>
        </w:rPr>
        <w:t>08256/INFOEM/ICR-122/IP/RR/2025,</w:t>
      </w:r>
      <w:r w:rsidRPr="002B080E">
        <w:rPr>
          <w:rFonts w:ascii="Palatino Linotype" w:eastAsia="Palatino Linotype" w:hAnsi="Palatino Linotype" w:cs="Palatino Linotype"/>
          <w:color w:val="000000"/>
          <w:sz w:val="22"/>
          <w:szCs w:val="22"/>
        </w:rPr>
        <w:t xml:space="preserve"> interpuesto</w:t>
      </w:r>
      <w:r>
        <w:rPr>
          <w:rFonts w:ascii="Palatino Linotype" w:eastAsia="Palatino Linotype" w:hAnsi="Palatino Linotype" w:cs="Palatino Linotype"/>
          <w:color w:val="000000"/>
          <w:sz w:val="22"/>
          <w:szCs w:val="22"/>
        </w:rPr>
        <w:t xml:space="preserve"> por </w:t>
      </w:r>
      <w:r w:rsidR="00B321D0" w:rsidRPr="00B321D0">
        <w:rPr>
          <w:rFonts w:ascii="Palatino Linotype" w:eastAsia="Palatino Linotype" w:hAnsi="Palatino Linotype" w:cs="Palatino Linotype"/>
          <w:sz w:val="22"/>
          <w:szCs w:val="22"/>
          <w:highlight w:val="black"/>
        </w:rPr>
        <w:t>XXXXXXXXXXXXXXXXXXXX</w:t>
      </w:r>
      <w:r w:rsidRPr="00B321D0">
        <w:rPr>
          <w:rFonts w:ascii="Palatino Linotype" w:eastAsia="Palatino Linotype" w:hAnsi="Palatino Linotype" w:cs="Palatino Linotype"/>
          <w:color w:val="0D0D0D"/>
          <w:sz w:val="22"/>
          <w:szCs w:val="22"/>
          <w:highlight w:val="black"/>
        </w:rPr>
        <w:t>,</w:t>
      </w:r>
      <w:r>
        <w:rPr>
          <w:rFonts w:ascii="Palatino Linotype" w:eastAsia="Palatino Linotype" w:hAnsi="Palatino Linotype" w:cs="Palatino Linotype"/>
          <w:color w:val="0D0D0D"/>
          <w:sz w:val="22"/>
          <w:szCs w:val="22"/>
        </w:rPr>
        <w:t xml:space="preserve"> Recurrente o Particular</w:t>
      </w:r>
      <w:r>
        <w:rPr>
          <w:rFonts w:ascii="Palatino Linotype" w:eastAsia="Palatino Linotype" w:hAnsi="Palatino Linotype" w:cs="Palatino Linotype"/>
          <w:color w:val="000000"/>
          <w:sz w:val="22"/>
          <w:szCs w:val="22"/>
        </w:rPr>
        <w:t xml:space="preserve">, en contra de la falta de respuesta del Sujeto Obligado, </w:t>
      </w:r>
      <w:r w:rsidRPr="00D72522">
        <w:rPr>
          <w:rFonts w:ascii="Palatino Linotype" w:eastAsia="Palatino Linotype" w:hAnsi="Palatino Linotype" w:cs="Palatino Linotype"/>
          <w:b/>
          <w:bCs/>
          <w:sz w:val="22"/>
          <w:szCs w:val="22"/>
        </w:rPr>
        <w:t>Ayu</w:t>
      </w:r>
      <w:bookmarkStart w:id="0" w:name="_GoBack"/>
      <w:bookmarkEnd w:id="0"/>
      <w:r w:rsidRPr="00D72522">
        <w:rPr>
          <w:rFonts w:ascii="Palatino Linotype" w:eastAsia="Palatino Linotype" w:hAnsi="Palatino Linotype" w:cs="Palatino Linotype"/>
          <w:b/>
          <w:bCs/>
          <w:sz w:val="22"/>
          <w:szCs w:val="22"/>
        </w:rPr>
        <w:t>ntamiento de Ixtapaluca</w:t>
      </w:r>
      <w:r w:rsidRPr="002B080E">
        <w:rPr>
          <w:rFonts w:ascii="Palatino Linotype" w:eastAsia="Palatino Linotype" w:hAnsi="Palatino Linotype" w:cs="Palatino Linotype"/>
          <w:color w:val="000000"/>
          <w:sz w:val="22"/>
          <w:szCs w:val="22"/>
        </w:rPr>
        <w:t>, a</w:t>
      </w:r>
      <w:r>
        <w:rPr>
          <w:rFonts w:ascii="Palatino Linotype" w:eastAsia="Palatino Linotype" w:hAnsi="Palatino Linotype" w:cs="Palatino Linotype"/>
          <w:color w:val="000000"/>
          <w:sz w:val="22"/>
          <w:szCs w:val="22"/>
        </w:rPr>
        <w:t xml:space="preserve"> la solicitud de acceso a la información pública 00164/IXTAPALU/IP/2025, entregada en cumplimiento a la determinación del diverso con número 08256/INFOEM/IP/RR/2025, se emite la presente Resolución, con base en los Antecedentes y Considerandos que a continuación se exponen:</w:t>
      </w:r>
    </w:p>
    <w:p w14:paraId="40757295" w14:textId="77777777" w:rsidR="0088743D" w:rsidRDefault="0088743D" w:rsidP="002B080E">
      <w:pPr>
        <w:pStyle w:val="Subttulo"/>
        <w:spacing w:after="0" w:line="360" w:lineRule="auto"/>
      </w:pPr>
    </w:p>
    <w:p w14:paraId="74B987EE" w14:textId="77777777" w:rsidR="0088743D" w:rsidRDefault="00A42439" w:rsidP="002B080E">
      <w:pPr>
        <w:pStyle w:val="Ttulo1"/>
      </w:pPr>
      <w:bookmarkStart w:id="1" w:name="_heading=h.qdfrr282b2xm" w:colFirst="0" w:colLast="0"/>
      <w:bookmarkStart w:id="2" w:name="_Toc223017996"/>
      <w:bookmarkEnd w:id="1"/>
      <w:r>
        <w:t>A N T E C E D E N T E S</w:t>
      </w:r>
      <w:bookmarkEnd w:id="2"/>
    </w:p>
    <w:p w14:paraId="0CA0B272" w14:textId="77777777" w:rsidR="0088743D" w:rsidRDefault="0088743D" w:rsidP="002B080E">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0BEA71FF" w14:textId="77777777" w:rsidR="0088743D" w:rsidRDefault="00A42439" w:rsidP="002B080E">
      <w:pPr>
        <w:pStyle w:val="Ttulo2"/>
      </w:pPr>
      <w:bookmarkStart w:id="3" w:name="_heading=h.d5uk5jqps9bj" w:colFirst="0" w:colLast="0"/>
      <w:bookmarkStart w:id="4" w:name="_Toc223017997"/>
      <w:bookmarkEnd w:id="3"/>
      <w:r>
        <w:t>I. Presentación de la solicitud de información</w:t>
      </w:r>
      <w:bookmarkEnd w:id="4"/>
    </w:p>
    <w:p w14:paraId="3C23E80D" w14:textId="77777777" w:rsidR="0088743D" w:rsidRDefault="0088743D" w:rsidP="002B080E">
      <w:pPr>
        <w:tabs>
          <w:tab w:val="left" w:pos="567"/>
        </w:tabs>
        <w:spacing w:line="360" w:lineRule="auto"/>
        <w:jc w:val="both"/>
        <w:rPr>
          <w:rFonts w:ascii="Palatino Linotype" w:eastAsia="Palatino Linotype" w:hAnsi="Palatino Linotype" w:cs="Palatino Linotype"/>
          <w:sz w:val="22"/>
          <w:szCs w:val="22"/>
        </w:rPr>
      </w:pPr>
    </w:p>
    <w:p w14:paraId="488A1F34" w14:textId="1548372F"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dieciséis de junio de dos mil veinticinco, (</w:t>
      </w:r>
      <w:r w:rsidR="002B080E">
        <w:rPr>
          <w:rFonts w:ascii="Palatino Linotype" w:eastAsia="Palatino Linotype" w:hAnsi="Palatino Linotype" w:cs="Palatino Linotype"/>
          <w:color w:val="000000"/>
          <w:sz w:val="22"/>
          <w:szCs w:val="22"/>
        </w:rPr>
        <w:t>ya que,</w:t>
      </w:r>
      <w:r>
        <w:rPr>
          <w:rFonts w:ascii="Palatino Linotype" w:eastAsia="Palatino Linotype" w:hAnsi="Palatino Linotype" w:cs="Palatino Linotype"/>
          <w:color w:val="000000"/>
          <w:sz w:val="22"/>
          <w:szCs w:val="22"/>
        </w:rPr>
        <w:t xml:space="preserve"> si bien se tuvo por presentada el catorce de dicho mes y año, este fue inhábil por lo que se tuvo por presentada el día hábil subsecuente)</w:t>
      </w:r>
      <w:r>
        <w:rPr>
          <w:rFonts w:ascii="Palatino Linotype" w:eastAsia="Palatino Linotype" w:hAnsi="Palatino Linotype" w:cs="Palatino Linotype"/>
          <w:sz w:val="22"/>
          <w:szCs w:val="22"/>
        </w:rPr>
        <w:t>, el Particular presentó solicitud de acceso a la información pública, a través del Sistema de Acceso a la Información Mexiquense (SAIMEX), ante el Ayuntamiento de Ixtapaluca, en los siguientes términos:</w:t>
      </w:r>
    </w:p>
    <w:p w14:paraId="75DBD79E"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DEBBE6A" w14:textId="77777777" w:rsidR="0088743D" w:rsidRDefault="00A42439" w:rsidP="002B080E">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27F49F48" w14:textId="77777777" w:rsidR="0088743D" w:rsidRDefault="00A42439" w:rsidP="002B080E">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Solicito de manera atenta y conforme a lo establecido en la Ley General de Transparencia y Acceso a la Información Pública, así como en la Ley de Transparencia del Estado de México: El listado completo de todos los puestos ocupados en el Ayuntamiento de Ixtapaluca durante el año 2025, incluyendo: Nombre del puesto Unidad administrativa o área de adscripción Nivel jerárquico o categoría del puesto En caso de que la normatividad lo permita, se solicita también el nombre del servidor público que ocupa cada puesto. La remuneración mensual bruta y neta de cada uno de los puestos (desglosada en percepciones ordinarias y extraordinarias), así como: Bonos Compensaciones Vales Seguros u otros beneficios económicos o en especie Periodo solicitado: Del 1 de enero al 31 de diciembre de 2025 o hasta la fecha más actual disponible. Se solicita que la información sea entregada en formato digital abierto (preferentemente Excel o CSV), para facilitar su análisis y consulta.</w:t>
      </w:r>
      <w:r>
        <w:rPr>
          <w:rFonts w:ascii="Palatino Linotype" w:eastAsia="Palatino Linotype" w:hAnsi="Palatino Linotype" w:cs="Palatino Linotype"/>
          <w:i/>
          <w:iCs/>
        </w:rPr>
        <w:t>” (Sic.)</w:t>
      </w:r>
    </w:p>
    <w:p w14:paraId="6E8F5E87" w14:textId="77777777" w:rsidR="0088743D" w:rsidRDefault="0088743D" w:rsidP="002B080E">
      <w:pPr>
        <w:tabs>
          <w:tab w:val="left" w:pos="4667"/>
        </w:tabs>
        <w:spacing w:line="360" w:lineRule="auto"/>
        <w:ind w:left="567" w:right="567"/>
        <w:jc w:val="both"/>
        <w:rPr>
          <w:rFonts w:ascii="Palatino Linotype" w:eastAsia="Palatino Linotype" w:hAnsi="Palatino Linotype" w:cs="Palatino Linotype"/>
          <w:i/>
          <w:iCs/>
        </w:rPr>
      </w:pPr>
    </w:p>
    <w:p w14:paraId="0D2A44ED" w14:textId="77777777" w:rsidR="0088743D" w:rsidRDefault="00A42439" w:rsidP="002B080E">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14:paraId="29A2F085" w14:textId="77777777" w:rsidR="0088743D" w:rsidRDefault="00A42439" w:rsidP="002B080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14:paraId="6AF1EF89" w14:textId="77777777" w:rsidR="0088743D" w:rsidRDefault="0088743D" w:rsidP="002B080E">
      <w:pPr>
        <w:spacing w:line="360" w:lineRule="auto"/>
        <w:ind w:right="567"/>
        <w:jc w:val="both"/>
        <w:rPr>
          <w:rFonts w:ascii="Palatino Linotype" w:eastAsia="Palatino Linotype" w:hAnsi="Palatino Linotype" w:cs="Palatino Linotype"/>
          <w:i/>
          <w:iCs/>
        </w:rPr>
      </w:pPr>
    </w:p>
    <w:p w14:paraId="5E7F5713" w14:textId="612D156F" w:rsidR="0088743D" w:rsidRDefault="002B080E" w:rsidP="002B080E">
      <w:pPr>
        <w:spacing w:line="360" w:lineRule="auto"/>
        <w:ind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adjuntó el archivo </w:t>
      </w:r>
      <w:r>
        <w:rPr>
          <w:rFonts w:ascii="Palatino Linotype" w:eastAsia="Palatino Linotype" w:hAnsi="Palatino Linotype" w:cs="Palatino Linotype"/>
          <w:b/>
          <w:bCs/>
          <w:i/>
          <w:iCs/>
          <w:sz w:val="22"/>
          <w:szCs w:val="22"/>
        </w:rPr>
        <w:t xml:space="preserve">ASUNTO.docx </w:t>
      </w:r>
      <w:r>
        <w:rPr>
          <w:rFonts w:ascii="Palatino Linotype" w:eastAsia="Palatino Linotype" w:hAnsi="Palatino Linotype" w:cs="Palatino Linotype"/>
          <w:sz w:val="22"/>
          <w:szCs w:val="22"/>
        </w:rPr>
        <w:t>en el cual señaló lo siguiente:</w:t>
      </w:r>
    </w:p>
    <w:p w14:paraId="70AA728E" w14:textId="77777777" w:rsidR="002B080E" w:rsidRDefault="002B080E" w:rsidP="002B080E">
      <w:pPr>
        <w:spacing w:line="360" w:lineRule="auto"/>
        <w:ind w:right="567"/>
        <w:jc w:val="both"/>
        <w:rPr>
          <w:rFonts w:ascii="Palatino Linotype" w:eastAsia="Palatino Linotype" w:hAnsi="Palatino Linotype" w:cs="Palatino Linotype"/>
          <w:sz w:val="22"/>
          <w:szCs w:val="22"/>
        </w:rPr>
      </w:pPr>
    </w:p>
    <w:p w14:paraId="563C5AED" w14:textId="77777777" w:rsidR="0088743D" w:rsidRDefault="00A42439" w:rsidP="002B080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Por medio del presente y en ejercicio de mi derecho de acceso a la información pública, consagrado en el artículo 6° de la Constitución Política de los Estados Unidos Mexicanos, así como en la Ley General de Transparencia y Acceso a la Información Pública y su homóloga en el Estado de México, me permito solicitar la siguiente información correspondiente al ejercicio 2025:</w:t>
      </w:r>
    </w:p>
    <w:p w14:paraId="64792CEF" w14:textId="77777777" w:rsidR="0088743D" w:rsidRDefault="0088743D" w:rsidP="002B080E">
      <w:pPr>
        <w:spacing w:line="360" w:lineRule="auto"/>
        <w:ind w:left="567" w:right="567"/>
        <w:jc w:val="both"/>
        <w:rPr>
          <w:rFonts w:ascii="Palatino Linotype" w:eastAsia="Palatino Linotype" w:hAnsi="Palatino Linotype" w:cs="Palatino Linotype"/>
          <w:i/>
          <w:iCs/>
        </w:rPr>
      </w:pPr>
    </w:p>
    <w:p w14:paraId="17BDA9D0" w14:textId="77777777" w:rsidR="0088743D" w:rsidRDefault="00A42439" w:rsidP="002B080E">
      <w:pPr>
        <w:numPr>
          <w:ilvl w:val="0"/>
          <w:numId w:val="4"/>
        </w:numPr>
        <w:spacing w:line="360" w:lineRule="auto"/>
        <w:ind w:left="1134" w:right="567"/>
        <w:jc w:val="both"/>
        <w:rPr>
          <w:rFonts w:ascii="Palatino Linotype" w:eastAsia="Palatino Linotype" w:hAnsi="Palatino Linotype" w:cs="Palatino Linotype"/>
          <w:i/>
          <w:iCs/>
        </w:rPr>
      </w:pPr>
      <w:r>
        <w:rPr>
          <w:rFonts w:ascii="Palatino Linotype" w:eastAsia="Palatino Linotype" w:hAnsi="Palatino Linotype" w:cs="Palatino Linotype"/>
          <w:i/>
          <w:iCs/>
        </w:rPr>
        <w:t>Listado completo de todos los puestos ocupados en el Ayuntamiento de Ixtapaluca, incluyendo nombre del puesto, unidad administrativa a la que pertenece y nivel jerárquico.</w:t>
      </w:r>
    </w:p>
    <w:p w14:paraId="622853FF" w14:textId="77777777" w:rsidR="0088743D" w:rsidRDefault="0088743D" w:rsidP="002B080E">
      <w:pPr>
        <w:spacing w:line="360" w:lineRule="auto"/>
        <w:ind w:left="1134" w:right="567"/>
        <w:jc w:val="both"/>
        <w:rPr>
          <w:rFonts w:ascii="Palatino Linotype" w:eastAsia="Palatino Linotype" w:hAnsi="Palatino Linotype" w:cs="Palatino Linotype"/>
          <w:i/>
          <w:iCs/>
        </w:rPr>
      </w:pPr>
    </w:p>
    <w:p w14:paraId="402B49C2" w14:textId="77777777" w:rsidR="0088743D" w:rsidRDefault="00A42439" w:rsidP="002B080E">
      <w:pPr>
        <w:numPr>
          <w:ilvl w:val="0"/>
          <w:numId w:val="4"/>
        </w:numPr>
        <w:spacing w:line="360" w:lineRule="auto"/>
        <w:ind w:left="1134" w:right="567"/>
        <w:jc w:val="both"/>
        <w:rPr>
          <w:rFonts w:ascii="Palatino Linotype" w:eastAsia="Palatino Linotype" w:hAnsi="Palatino Linotype" w:cs="Palatino Linotype"/>
          <w:i/>
          <w:iCs/>
        </w:rPr>
      </w:pPr>
      <w:r>
        <w:rPr>
          <w:rFonts w:ascii="Palatino Linotype" w:eastAsia="Palatino Linotype" w:hAnsi="Palatino Linotype" w:cs="Palatino Linotype"/>
          <w:i/>
          <w:iCs/>
        </w:rPr>
        <w:t>Nombre del servidor público que ocupa cada puesto (si la normativa lo permite y no se considera información confidencial).</w:t>
      </w:r>
    </w:p>
    <w:p w14:paraId="57B9756F" w14:textId="77777777" w:rsidR="0088743D" w:rsidRDefault="0088743D" w:rsidP="002B080E">
      <w:pPr>
        <w:spacing w:line="360" w:lineRule="auto"/>
        <w:ind w:left="1134" w:right="567"/>
        <w:jc w:val="both"/>
        <w:rPr>
          <w:rFonts w:ascii="Palatino Linotype" w:eastAsia="Palatino Linotype" w:hAnsi="Palatino Linotype" w:cs="Palatino Linotype"/>
          <w:i/>
          <w:iCs/>
        </w:rPr>
      </w:pPr>
    </w:p>
    <w:p w14:paraId="00DB1AFD" w14:textId="77777777" w:rsidR="0088743D" w:rsidRDefault="00A42439" w:rsidP="002B080E">
      <w:pPr>
        <w:numPr>
          <w:ilvl w:val="0"/>
          <w:numId w:val="4"/>
        </w:numPr>
        <w:spacing w:line="360" w:lineRule="auto"/>
        <w:ind w:left="1134" w:right="567"/>
        <w:jc w:val="both"/>
        <w:rPr>
          <w:rFonts w:ascii="Palatino Linotype" w:eastAsia="Palatino Linotype" w:hAnsi="Palatino Linotype" w:cs="Palatino Linotype"/>
          <w:i/>
          <w:iCs/>
        </w:rPr>
      </w:pPr>
      <w:r>
        <w:rPr>
          <w:rFonts w:ascii="Palatino Linotype" w:eastAsia="Palatino Linotype" w:hAnsi="Palatino Linotype" w:cs="Palatino Linotype"/>
          <w:i/>
          <w:iCs/>
        </w:rPr>
        <w:t>Remuneración bruta y neta mensual correspondiente a cada puesto, desglosada en percepciones ordinarias y extraordinarias.</w:t>
      </w:r>
    </w:p>
    <w:p w14:paraId="70A71275" w14:textId="77777777" w:rsidR="0088743D" w:rsidRDefault="0088743D" w:rsidP="002B080E">
      <w:pPr>
        <w:spacing w:line="360" w:lineRule="auto"/>
        <w:ind w:left="1134" w:right="567"/>
        <w:jc w:val="both"/>
        <w:rPr>
          <w:rFonts w:ascii="Palatino Linotype" w:eastAsia="Palatino Linotype" w:hAnsi="Palatino Linotype" w:cs="Palatino Linotype"/>
          <w:i/>
          <w:iCs/>
        </w:rPr>
      </w:pPr>
    </w:p>
    <w:p w14:paraId="547BF556" w14:textId="77777777" w:rsidR="0088743D" w:rsidRDefault="00A42439" w:rsidP="002B080E">
      <w:pPr>
        <w:numPr>
          <w:ilvl w:val="0"/>
          <w:numId w:val="4"/>
        </w:numPr>
        <w:spacing w:line="360" w:lineRule="auto"/>
        <w:ind w:left="1134" w:right="567"/>
        <w:jc w:val="both"/>
        <w:rPr>
          <w:rFonts w:ascii="Palatino Linotype" w:eastAsia="Palatino Linotype" w:hAnsi="Palatino Linotype" w:cs="Palatino Linotype"/>
          <w:i/>
          <w:iCs/>
        </w:rPr>
      </w:pPr>
      <w:r>
        <w:rPr>
          <w:rFonts w:ascii="Palatino Linotype" w:eastAsia="Palatino Linotype" w:hAnsi="Palatino Linotype" w:cs="Palatino Linotype"/>
          <w:i/>
          <w:iCs/>
        </w:rPr>
        <w:t>Cualquier otro beneficio económico o en especie asociado a los puestos (bonos, compensaciones, vales, seguros, etc.).</w:t>
      </w:r>
    </w:p>
    <w:p w14:paraId="327FB9BD" w14:textId="77777777" w:rsidR="0088743D" w:rsidRDefault="0088743D" w:rsidP="002B080E">
      <w:pPr>
        <w:spacing w:line="360" w:lineRule="auto"/>
        <w:ind w:left="567" w:right="567"/>
        <w:jc w:val="both"/>
        <w:rPr>
          <w:rFonts w:ascii="Palatino Linotype" w:eastAsia="Palatino Linotype" w:hAnsi="Palatino Linotype" w:cs="Palatino Linotype"/>
          <w:i/>
          <w:iCs/>
        </w:rPr>
      </w:pPr>
    </w:p>
    <w:p w14:paraId="690544CD" w14:textId="77777777" w:rsidR="0088743D" w:rsidRDefault="00A42439" w:rsidP="002B080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Solicito que la información sea entregada en formato digital (PDF o Excel) y que incluya el periodo comprendido del 1 de enero al 31 de diciembre de 2025 o, en su defecto, hasta la fecha más actualizada disponible.</w:t>
      </w:r>
    </w:p>
    <w:p w14:paraId="0A2D4EB5" w14:textId="77777777" w:rsidR="0088743D" w:rsidRDefault="0088743D" w:rsidP="002B080E">
      <w:pPr>
        <w:pStyle w:val="Ttulo2"/>
      </w:pPr>
    </w:p>
    <w:p w14:paraId="07312E41" w14:textId="77777777" w:rsidR="0088743D" w:rsidRDefault="00A42439" w:rsidP="002B080E">
      <w:pPr>
        <w:pStyle w:val="Ttulo2"/>
      </w:pPr>
      <w:bookmarkStart w:id="5" w:name="_heading=h.cbcspefp1fvk" w:colFirst="0" w:colLast="0"/>
      <w:bookmarkStart w:id="6" w:name="_Toc223017998"/>
      <w:bookmarkEnd w:id="5"/>
      <w:r>
        <w:t>II. Respuesta del Sujeto Obligado</w:t>
      </w:r>
      <w:bookmarkEnd w:id="6"/>
    </w:p>
    <w:p w14:paraId="04C82572"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0D5131E0" w14:textId="77777777"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a</w:t>
      </w:r>
    </w:p>
    <w:p w14:paraId="7EF31F56" w14:textId="77777777"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bCs/>
          <w:sz w:val="22"/>
          <w:szCs w:val="22"/>
        </w:rPr>
        <w:t xml:space="preserve"> Ayuntamiento de Ixtapaluca</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bCs/>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50061296"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1403F783" w14:textId="77777777" w:rsidR="0088743D" w:rsidRDefault="00A42439" w:rsidP="002B080E">
      <w:pPr>
        <w:pStyle w:val="Ttulo2"/>
      </w:pPr>
      <w:bookmarkStart w:id="7" w:name="_heading=h.kpf9trla3646" w:colFirst="0" w:colLast="0"/>
      <w:bookmarkStart w:id="8" w:name="_Toc223017999"/>
      <w:bookmarkEnd w:id="7"/>
      <w:r>
        <w:t>III. Interposición del Recurso de Revisión</w:t>
      </w:r>
      <w:bookmarkEnd w:id="8"/>
    </w:p>
    <w:p w14:paraId="773B0918" w14:textId="77777777" w:rsidR="0088743D" w:rsidRDefault="0088743D" w:rsidP="002B080E">
      <w:pPr>
        <w:spacing w:line="360" w:lineRule="auto"/>
        <w:jc w:val="both"/>
        <w:rPr>
          <w:rFonts w:ascii="Palatino Linotype" w:eastAsia="Palatino Linotype" w:hAnsi="Palatino Linotype" w:cs="Palatino Linotype"/>
          <w:b/>
          <w:bCs/>
          <w:color w:val="000000"/>
          <w:sz w:val="22"/>
          <w:szCs w:val="22"/>
        </w:rPr>
      </w:pPr>
    </w:p>
    <w:p w14:paraId="2ED8D9E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ocho de julio de dos mil veinticinco, el Particular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502B3F77"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262E90F3" w14:textId="77777777" w:rsidR="0088743D" w:rsidRDefault="00A42439" w:rsidP="002B080E">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 IMPUGNADO</w:t>
      </w:r>
    </w:p>
    <w:p w14:paraId="637B7026" w14:textId="77777777" w:rsidR="0088743D" w:rsidRDefault="00A42439" w:rsidP="002B080E">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NEGATIVA A ENTREGAR LA INFORMACION SOLICITADA CON NUMERO DE FOLIO 00164/IXTAPALU/IP/2025” (Sic.)</w:t>
      </w:r>
    </w:p>
    <w:p w14:paraId="118A52A6" w14:textId="77777777" w:rsidR="0088743D" w:rsidRDefault="0088743D" w:rsidP="002B080E">
      <w:pPr>
        <w:spacing w:line="360" w:lineRule="auto"/>
        <w:ind w:left="567" w:right="567"/>
        <w:jc w:val="both"/>
        <w:rPr>
          <w:rFonts w:ascii="Palatino Linotype" w:eastAsia="Palatino Linotype" w:hAnsi="Palatino Linotype" w:cs="Palatino Linotype"/>
          <w:i/>
          <w:iCs/>
          <w:color w:val="000000"/>
        </w:rPr>
      </w:pPr>
    </w:p>
    <w:p w14:paraId="029172EA" w14:textId="77777777" w:rsidR="0088743D" w:rsidRDefault="00A42439" w:rsidP="002B080E">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20F22EDC" w14:textId="77777777" w:rsidR="0088743D" w:rsidRDefault="00A42439" w:rsidP="002B080E">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NO SE RECIBIO RESPUESTA A LA SOLICITUD DE INFORMACION DENTRO DEL PLAZO ESTABLECIDO” (Sic.)</w:t>
      </w:r>
    </w:p>
    <w:p w14:paraId="05FC7C14"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4230C0B1" w14:textId="77777777"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Particular adjuntó el Acuse de su solicitud de información.</w:t>
      </w:r>
    </w:p>
    <w:p w14:paraId="635D0D55"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03D55737" w14:textId="77777777" w:rsidR="0088743D" w:rsidRDefault="00A42439" w:rsidP="002B080E">
      <w:pPr>
        <w:pStyle w:val="Ttulo2"/>
      </w:pPr>
      <w:bookmarkStart w:id="9" w:name="_heading=h.wvruntthrzfq" w:colFirst="0" w:colLast="0"/>
      <w:bookmarkStart w:id="10" w:name="_Toc223018000"/>
      <w:bookmarkEnd w:id="9"/>
      <w:r>
        <w:t>IV. Trámite del Recurso de Revisión ante el Instituto</w:t>
      </w:r>
      <w:bookmarkEnd w:id="10"/>
    </w:p>
    <w:p w14:paraId="2A7F8A96" w14:textId="77777777" w:rsidR="0088743D" w:rsidRDefault="0088743D" w:rsidP="002B080E">
      <w:pPr>
        <w:spacing w:line="360" w:lineRule="auto"/>
        <w:jc w:val="both"/>
        <w:rPr>
          <w:rFonts w:ascii="Palatino Linotype" w:eastAsia="Palatino Linotype" w:hAnsi="Palatino Linotype" w:cs="Palatino Linotype"/>
          <w:b/>
          <w:bCs/>
          <w:color w:val="000000"/>
          <w:sz w:val="22"/>
          <w:szCs w:val="22"/>
        </w:rPr>
      </w:pPr>
    </w:p>
    <w:p w14:paraId="79F45968" w14:textId="77777777"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ocho de julio de dos mil veinticinco, el Sistema de Acceso a la Información Mexiquense (SAIMEX), asignó el número de expediente </w:t>
      </w:r>
      <w:r>
        <w:rPr>
          <w:rFonts w:ascii="Palatino Linotype" w:eastAsia="Palatino Linotype" w:hAnsi="Palatino Linotype" w:cs="Palatino Linotype"/>
          <w:b/>
          <w:bCs/>
          <w:color w:val="000000"/>
          <w:sz w:val="22"/>
          <w:szCs w:val="22"/>
        </w:rPr>
        <w:t>08256/INFOEM/IP/RR/2025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E16DE79" w14:textId="77777777" w:rsidR="0088743D" w:rsidRDefault="0088743D" w:rsidP="002B080E">
      <w:pPr>
        <w:spacing w:line="360" w:lineRule="auto"/>
        <w:jc w:val="both"/>
        <w:rPr>
          <w:rFonts w:ascii="Palatino Linotype" w:eastAsia="Palatino Linotype" w:hAnsi="Palatino Linotype" w:cs="Palatino Linotype"/>
          <w:b/>
          <w:bCs/>
          <w:color w:val="000000"/>
          <w:sz w:val="22"/>
          <w:szCs w:val="22"/>
        </w:rPr>
      </w:pPr>
    </w:p>
    <w:p w14:paraId="3E618CD1" w14:textId="77777777"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b) Admisión del Recurso de Revisión. </w:t>
      </w:r>
      <w:r>
        <w:rPr>
          <w:rFonts w:ascii="Palatino Linotype" w:eastAsia="Palatino Linotype" w:hAnsi="Palatino Linotype" w:cs="Palatino Linotype"/>
          <w:color w:val="000000"/>
          <w:sz w:val="22"/>
          <w:szCs w:val="22"/>
        </w:rPr>
        <w:t>El once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treinta del  mismo mes y año, a través del Sistema de Acceso a la Información Mexiquense (SAIMEX), en el que se les otorgó un plazo de siete días hábiles posteriores a la misma, para que manifestaran lo que a su derecho conviniera y formularan alegatos.</w:t>
      </w:r>
    </w:p>
    <w:p w14:paraId="3F6404FE"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7B2060A8"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sz w:val="22"/>
          <w:szCs w:val="22"/>
        </w:rPr>
        <w:t xml:space="preserve"> Informe Justificado. </w:t>
      </w:r>
      <w:r>
        <w:rPr>
          <w:rFonts w:ascii="Palatino Linotype" w:eastAsia="Palatino Linotype" w:hAnsi="Palatino Linotype" w:cs="Palatino Linotype"/>
          <w:sz w:val="22"/>
          <w:szCs w:val="22"/>
        </w:rPr>
        <w:t>El Sujeto Obligado fue omiso en realizar manifestación alguna.</w:t>
      </w:r>
    </w:p>
    <w:p w14:paraId="24290BD0"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5B6EAED"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d) Manifestaciones del Recurrente: </w:t>
      </w:r>
      <w:r>
        <w:rPr>
          <w:rFonts w:ascii="Palatino Linotype" w:eastAsia="Palatino Linotype" w:hAnsi="Palatino Linotype" w:cs="Palatino Linotype"/>
          <w:sz w:val="22"/>
          <w:szCs w:val="22"/>
        </w:rPr>
        <w:t>El doce de julio se recibió a través del SAIMEX las manifestaciones realizadas por el Particular en las que señaló lo siguiente:</w:t>
      </w:r>
    </w:p>
    <w:p w14:paraId="655F610F" w14:textId="77777777" w:rsidR="0088743D" w:rsidRDefault="0088743D" w:rsidP="002B080E">
      <w:pPr>
        <w:spacing w:line="360" w:lineRule="auto"/>
        <w:jc w:val="both"/>
        <w:rPr>
          <w:rFonts w:ascii="Palatino Linotype" w:eastAsia="Palatino Linotype" w:hAnsi="Palatino Linotype" w:cs="Palatino Linotype"/>
          <w:i/>
          <w:iCs/>
        </w:rPr>
      </w:pPr>
    </w:p>
    <w:p w14:paraId="171B69EC" w14:textId="77777777" w:rsidR="0088743D" w:rsidRDefault="00A42439" w:rsidP="002B080E">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El Sujeto Obligado incumplió con su deber legal de responder en tiempo y forma a la solicitud de acceso a la información que presenté a través del sistema SAIMEX, lo que motivó la presentación del presente recurso de inconformidad.</w:t>
      </w:r>
    </w:p>
    <w:p w14:paraId="11BB44AD" w14:textId="77777777" w:rsidR="0088743D" w:rsidRDefault="0088743D" w:rsidP="002B080E">
      <w:pPr>
        <w:spacing w:line="360" w:lineRule="auto"/>
        <w:ind w:left="567" w:right="539"/>
        <w:jc w:val="both"/>
        <w:rPr>
          <w:rFonts w:ascii="Palatino Linotype" w:eastAsia="Palatino Linotype" w:hAnsi="Palatino Linotype" w:cs="Palatino Linotype"/>
          <w:i/>
          <w:iCs/>
        </w:rPr>
      </w:pPr>
    </w:p>
    <w:p w14:paraId="58464E54" w14:textId="77777777" w:rsidR="0088743D" w:rsidRDefault="00A42439" w:rsidP="002B080E">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A la fecha, no he recibido respuesta alguna por parte del Ayuntamiento de Ixtapaluca, ni dentro del plazo legal establecido ni posteriormente.</w:t>
      </w:r>
    </w:p>
    <w:p w14:paraId="1C37D02C" w14:textId="77777777" w:rsidR="0088743D" w:rsidRDefault="0088743D" w:rsidP="002B080E">
      <w:pPr>
        <w:spacing w:line="360" w:lineRule="auto"/>
        <w:ind w:left="567" w:right="539"/>
        <w:jc w:val="both"/>
        <w:rPr>
          <w:rFonts w:ascii="Palatino Linotype" w:eastAsia="Palatino Linotype" w:hAnsi="Palatino Linotype" w:cs="Palatino Linotype"/>
          <w:i/>
          <w:iCs/>
        </w:rPr>
      </w:pPr>
    </w:p>
    <w:p w14:paraId="2439F1CA" w14:textId="77777777" w:rsidR="0088743D" w:rsidRDefault="00A42439" w:rsidP="002B080E">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Esta omisión constituye una violación al derecho humano de acceso a la información, previsto tanto en la Constitución Política de los Estados Unidos Mexicanos como en la legislación estatal en materia de transparencia.</w:t>
      </w:r>
    </w:p>
    <w:p w14:paraId="5DFDA900" w14:textId="77777777" w:rsidR="0088743D" w:rsidRDefault="0088743D" w:rsidP="002B080E">
      <w:pPr>
        <w:spacing w:line="360" w:lineRule="auto"/>
        <w:ind w:left="567" w:right="539"/>
        <w:jc w:val="both"/>
        <w:rPr>
          <w:rFonts w:ascii="Palatino Linotype" w:eastAsia="Palatino Linotype" w:hAnsi="Palatino Linotype" w:cs="Palatino Linotype"/>
          <w:i/>
          <w:iCs/>
        </w:rPr>
      </w:pPr>
    </w:p>
    <w:p w14:paraId="67493DF0" w14:textId="77777777" w:rsidR="0088743D" w:rsidRDefault="00A42439" w:rsidP="002B080E">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No cuento con pruebas adicionales más allá del propio expediente, siendo la principal evidencia la falta de respuesta registrada en el sistema SAIMEX.</w:t>
      </w:r>
    </w:p>
    <w:p w14:paraId="7FDA1153" w14:textId="77777777" w:rsidR="0088743D" w:rsidRDefault="0088743D" w:rsidP="002B080E">
      <w:pPr>
        <w:spacing w:line="360" w:lineRule="auto"/>
        <w:ind w:left="567" w:right="539"/>
        <w:jc w:val="both"/>
        <w:rPr>
          <w:rFonts w:ascii="Palatino Linotype" w:eastAsia="Palatino Linotype" w:hAnsi="Palatino Linotype" w:cs="Palatino Linotype"/>
          <w:i/>
          <w:iCs/>
        </w:rPr>
      </w:pPr>
    </w:p>
    <w:p w14:paraId="6BD7A7FE" w14:textId="77777777" w:rsidR="0088743D" w:rsidRDefault="00A42439" w:rsidP="002B080E">
      <w:pPr>
        <w:spacing w:line="360" w:lineRule="auto"/>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Por lo anterior, solicito se tenga por presentado este escrito como alegato dentro del recurso de inconformidad y se resuelva en consecuencia, ordenando al Sujeto Obligado emitir una respuesta clara, completa y conforme a derecho a mi solicitud de información.</w:t>
      </w:r>
    </w:p>
    <w:p w14:paraId="4B54AB71" w14:textId="77777777" w:rsidR="0088743D" w:rsidRDefault="0088743D" w:rsidP="002B080E">
      <w:pPr>
        <w:spacing w:line="360" w:lineRule="auto"/>
        <w:jc w:val="both"/>
        <w:rPr>
          <w:rFonts w:ascii="Palatino Linotype" w:eastAsia="Palatino Linotype" w:hAnsi="Palatino Linotype" w:cs="Palatino Linotype"/>
          <w:b/>
          <w:bCs/>
          <w:sz w:val="18"/>
          <w:szCs w:val="18"/>
        </w:rPr>
      </w:pPr>
    </w:p>
    <w:p w14:paraId="0A41E4BF" w14:textId="77777777" w:rsidR="0088743D" w:rsidRDefault="00A42439" w:rsidP="002B080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e) Cierre de instrucción. </w:t>
      </w:r>
      <w:r>
        <w:rPr>
          <w:rFonts w:ascii="Palatino Linotype" w:eastAsia="Palatino Linotype" w:hAnsi="Palatino Linotype" w:cs="Palatino Linotype"/>
          <w:sz w:val="22"/>
          <w:szCs w:val="22"/>
        </w:rPr>
        <w:t xml:space="preserve">El seis de agosto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1CF12CEF" w14:textId="77777777" w:rsidR="0088743D" w:rsidRDefault="0088743D" w:rsidP="002B080E">
      <w:pPr>
        <w:spacing w:line="360" w:lineRule="auto"/>
        <w:jc w:val="both"/>
        <w:rPr>
          <w:rFonts w:ascii="Palatino Linotype" w:eastAsia="Palatino Linotype" w:hAnsi="Palatino Linotype" w:cs="Palatino Linotype"/>
          <w:b/>
          <w:bCs/>
          <w:sz w:val="18"/>
          <w:szCs w:val="18"/>
        </w:rPr>
      </w:pPr>
    </w:p>
    <w:p w14:paraId="6B55937B" w14:textId="77777777" w:rsidR="0088743D" w:rsidRDefault="00A42439" w:rsidP="002B080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f) Resolución del Recurso de Revisión 08256/INFOEM/IP/RR/2025. </w:t>
      </w:r>
      <w:r>
        <w:rPr>
          <w:rFonts w:ascii="Palatino Linotype" w:eastAsia="Palatino Linotype" w:hAnsi="Palatino Linotype" w:cs="Palatino Linotype"/>
          <w:sz w:val="22"/>
          <w:szCs w:val="22"/>
        </w:rPr>
        <w:t>El trece de agosto de dos mil veinticinco, el Pleno del Instituto de Transparencia, Accesos la Información Pública y Protección de Datos Personales del Estado de México y Municipios, durante la Vigésima Octava Sesión Ordinaria, aprobó por Unanimidad de votos, la Resolución del Recurso de Revisión, en la cual se determinó lo siguiente:</w:t>
      </w:r>
    </w:p>
    <w:p w14:paraId="4D07BA89" w14:textId="77777777" w:rsidR="0088743D" w:rsidRDefault="0088743D" w:rsidP="002B080E">
      <w:pPr>
        <w:spacing w:line="360" w:lineRule="auto"/>
        <w:jc w:val="both"/>
        <w:rPr>
          <w:rFonts w:ascii="Palatino Linotype" w:eastAsia="Palatino Linotype" w:hAnsi="Palatino Linotype" w:cs="Palatino Linotype"/>
          <w:b/>
          <w:bCs/>
          <w:sz w:val="22"/>
          <w:szCs w:val="22"/>
        </w:rPr>
      </w:pPr>
    </w:p>
    <w:p w14:paraId="3C8C067E" w14:textId="77777777" w:rsidR="0088743D" w:rsidRDefault="00A42439" w:rsidP="002B080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62E1D8C0" w14:textId="77777777" w:rsidR="0088743D" w:rsidRDefault="00A42439" w:rsidP="002B080E">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PRIMERO. </w:t>
      </w:r>
      <w:r>
        <w:rPr>
          <w:rFonts w:ascii="Palatino Linotype" w:eastAsia="Palatino Linotype" w:hAnsi="Palatino Linotype" w:cs="Palatino Linotype"/>
          <w:i/>
          <w:iCs/>
        </w:rPr>
        <w:t xml:space="preserve">Resultan </w:t>
      </w:r>
      <w:r>
        <w:rPr>
          <w:rFonts w:ascii="Palatino Linotype" w:eastAsia="Palatino Linotype" w:hAnsi="Palatino Linotype" w:cs="Palatino Linotype"/>
          <w:b/>
          <w:bCs/>
          <w:i/>
          <w:iCs/>
        </w:rPr>
        <w:t>FUNDADAS</w:t>
      </w:r>
      <w:r>
        <w:rPr>
          <w:rFonts w:ascii="Palatino Linotype" w:eastAsia="Palatino Linotype" w:hAnsi="Palatino Linotype" w:cs="Palatino Linotype"/>
          <w:i/>
          <w:iCs/>
        </w:rPr>
        <w:t xml:space="preserve"> las razones o motivos de inconformidad hechos valer por el Particular en el Recurso de Revisión </w:t>
      </w:r>
      <w:r>
        <w:rPr>
          <w:rFonts w:ascii="Palatino Linotype" w:eastAsia="Palatino Linotype" w:hAnsi="Palatino Linotype" w:cs="Palatino Linotype"/>
          <w:b/>
          <w:bCs/>
          <w:i/>
          <w:iCs/>
        </w:rPr>
        <w:t>08256/INFOEM/IP/RR/2025</w:t>
      </w:r>
      <w:r>
        <w:rPr>
          <w:rFonts w:ascii="Palatino Linotype" w:eastAsia="Palatino Linotype" w:hAnsi="Palatino Linotype" w:cs="Palatino Linotype"/>
          <w:i/>
          <w:iCs/>
        </w:rPr>
        <w:t>, en términos de los considerandos QUINTO y SEXTO de la presente Resolución.</w:t>
      </w:r>
      <w:r>
        <w:rPr>
          <w:rFonts w:ascii="Palatino Linotype" w:eastAsia="Palatino Linotype" w:hAnsi="Palatino Linotype" w:cs="Palatino Linotype"/>
          <w:b/>
          <w:bCs/>
          <w:i/>
          <w:iCs/>
        </w:rPr>
        <w:t xml:space="preserve"> </w:t>
      </w:r>
    </w:p>
    <w:p w14:paraId="0D453ACF" w14:textId="77777777" w:rsidR="0088743D" w:rsidRDefault="0088743D" w:rsidP="002B080E">
      <w:pPr>
        <w:spacing w:line="360" w:lineRule="auto"/>
        <w:ind w:left="567" w:right="567"/>
        <w:jc w:val="both"/>
        <w:rPr>
          <w:rFonts w:ascii="Palatino Linotype" w:eastAsia="Palatino Linotype" w:hAnsi="Palatino Linotype" w:cs="Palatino Linotype"/>
          <w:b/>
          <w:bCs/>
          <w:i/>
          <w:iCs/>
        </w:rPr>
      </w:pPr>
    </w:p>
    <w:p w14:paraId="33EDD0BF" w14:textId="77777777" w:rsidR="0088743D" w:rsidRDefault="00A42439" w:rsidP="002B080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SEGUNDO. </w:t>
      </w:r>
      <w:r>
        <w:rPr>
          <w:rFonts w:ascii="Palatino Linotype" w:eastAsia="Palatino Linotype" w:hAnsi="Palatino Linotype" w:cs="Palatino Linotype"/>
          <w:i/>
          <w:iCs/>
        </w:rPr>
        <w:t xml:space="preserve">Se </w:t>
      </w:r>
      <w:r>
        <w:rPr>
          <w:rFonts w:ascii="Palatino Linotype" w:eastAsia="Palatino Linotype" w:hAnsi="Palatino Linotype" w:cs="Palatino Linotype"/>
          <w:b/>
          <w:bCs/>
          <w:i/>
          <w:iCs/>
        </w:rPr>
        <w:t>ORDENA</w:t>
      </w:r>
      <w:r>
        <w:rPr>
          <w:rFonts w:ascii="Palatino Linotype" w:eastAsia="Palatino Linotype" w:hAnsi="Palatino Linotype" w:cs="Palatino Linotype"/>
          <w:i/>
          <w:iCs/>
        </w:rPr>
        <w:t xml:space="preserve"> al Sujeto Obligado, a efecto de que dé atención a la solicitud de acceso a la información </w:t>
      </w:r>
      <w:r>
        <w:rPr>
          <w:rFonts w:ascii="Palatino Linotype" w:eastAsia="Palatino Linotype" w:hAnsi="Palatino Linotype" w:cs="Palatino Linotype"/>
          <w:b/>
          <w:bCs/>
          <w:i/>
          <w:iCs/>
        </w:rPr>
        <w:t xml:space="preserve">00164/IXTAPALU/IP/2025 </w:t>
      </w:r>
      <w:r>
        <w:rPr>
          <w:rFonts w:ascii="Palatino Linotype" w:eastAsia="Palatino Linotype" w:hAnsi="Palatino Linotype" w:cs="Palatino Linotype"/>
          <w:i/>
          <w:iCs/>
        </w:rPr>
        <w:t xml:space="preserve">y, a través del SAIMEX, dé la respuesta que conforme a derecho corresponda  </w:t>
      </w:r>
    </w:p>
    <w:p w14:paraId="456DF60B" w14:textId="77777777" w:rsidR="0088743D" w:rsidRDefault="00A42439" w:rsidP="002B080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2684E8DA" w14:textId="77777777" w:rsidR="0088743D" w:rsidRDefault="0088743D" w:rsidP="002B080E">
      <w:pPr>
        <w:spacing w:line="360" w:lineRule="auto"/>
        <w:ind w:left="567" w:right="567"/>
        <w:jc w:val="both"/>
        <w:rPr>
          <w:rFonts w:ascii="Palatino Linotype" w:eastAsia="Palatino Linotype" w:hAnsi="Palatino Linotype" w:cs="Palatino Linotype"/>
          <w:i/>
          <w:iCs/>
        </w:rPr>
      </w:pPr>
    </w:p>
    <w:p w14:paraId="53E5B967"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f) Notificación de la Resolución del Recurso de Revisión 08256/INFOEM/IP/RR/2025. </w:t>
      </w:r>
      <w:r>
        <w:rPr>
          <w:rFonts w:ascii="Palatino Linotype" w:eastAsia="Palatino Linotype" w:hAnsi="Palatino Linotype" w:cs="Palatino Linotype"/>
          <w:sz w:val="22"/>
          <w:szCs w:val="22"/>
        </w:rPr>
        <w:t>El dieciocho de agosto de dos mil veinticinco, se notificó por medio del SAIMEX, a las partes, la resolución del Medio de Impugnación previamente referido.</w:t>
      </w:r>
    </w:p>
    <w:p w14:paraId="2F0685D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848CE97" w14:textId="77777777" w:rsidR="0088743D" w:rsidRDefault="0088743D" w:rsidP="002B080E">
      <w:pPr>
        <w:spacing w:line="360" w:lineRule="auto"/>
        <w:jc w:val="both"/>
        <w:rPr>
          <w:rFonts w:ascii="Palatino Linotype" w:eastAsia="Palatino Linotype" w:hAnsi="Palatino Linotype" w:cs="Palatino Linotype"/>
          <w:b/>
          <w:bCs/>
          <w:sz w:val="18"/>
          <w:szCs w:val="18"/>
        </w:rPr>
      </w:pPr>
    </w:p>
    <w:p w14:paraId="0C2A2FA8" w14:textId="77777777" w:rsidR="0088743D" w:rsidRDefault="00A42439" w:rsidP="002B080E">
      <w:pPr>
        <w:pStyle w:val="Ttulo2"/>
        <w:jc w:val="both"/>
      </w:pPr>
      <w:bookmarkStart w:id="11" w:name="_heading=h.h57fri4xket8" w:colFirst="0" w:colLast="0"/>
      <w:bookmarkStart w:id="12" w:name="_Toc223018001"/>
      <w:bookmarkEnd w:id="11"/>
      <w:r>
        <w:t>V. Entrega de la información en cumplimiento a la Resolución del Recurso de Revisión 08256/INFOEM/IP/RR/2025.</w:t>
      </w:r>
      <w:bookmarkEnd w:id="12"/>
    </w:p>
    <w:p w14:paraId="4972E75E" w14:textId="77777777" w:rsidR="0088743D" w:rsidRDefault="0088743D" w:rsidP="002B080E">
      <w:pPr>
        <w:spacing w:line="360" w:lineRule="auto"/>
      </w:pPr>
    </w:p>
    <w:p w14:paraId="5822E8D9"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primero de septiembre de dos mil veinticinco, el Sujeto Obligado notificó a través del Sistema de Acceso a la Información Mexiquense (SAIMEX), la respuesta a la solicitud de información, para dar cumplimiento a la determinación del Recurso de Revisión 08256/INFOEM/IP/RR/2025, a través del siguiente documento:</w:t>
      </w:r>
    </w:p>
    <w:p w14:paraId="4E4BB5A8"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984CC4A"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número IXTA/INNGUB/UT/651/2025, del veintiocho de agosto de dos mil veinticinco, suscrito por la Titular de la Unidad de Transparencia, y dirigido al Pleno del Infoem, por medio del cual adjunta los oficios de turno a las áreas competentes a efecto de que brinden la información solicitada, sin que hubiera respuesta alguna.</w:t>
      </w:r>
    </w:p>
    <w:p w14:paraId="069E200F" w14:textId="77777777" w:rsidR="0088743D" w:rsidRDefault="0088743D" w:rsidP="002B080E">
      <w:pPr>
        <w:spacing w:line="360" w:lineRule="auto"/>
        <w:jc w:val="both"/>
        <w:rPr>
          <w:rFonts w:ascii="Palatino Linotype" w:eastAsia="Palatino Linotype" w:hAnsi="Palatino Linotype" w:cs="Palatino Linotype"/>
          <w:b/>
          <w:bCs/>
          <w:sz w:val="18"/>
          <w:szCs w:val="18"/>
        </w:rPr>
      </w:pPr>
    </w:p>
    <w:p w14:paraId="7B408582" w14:textId="383754B0" w:rsidR="0088743D" w:rsidRDefault="00A42439" w:rsidP="002B080E">
      <w:pPr>
        <w:pStyle w:val="Ttulo2"/>
      </w:pPr>
      <w:bookmarkStart w:id="13" w:name="_heading=h.2kq2ltmp53y2" w:colFirst="0" w:colLast="0"/>
      <w:bookmarkStart w:id="14" w:name="_Toc223018002"/>
      <w:bookmarkEnd w:id="13"/>
      <w:r>
        <w:t xml:space="preserve">VI. Interposición del Recurso de </w:t>
      </w:r>
      <w:r w:rsidRPr="002B1D65">
        <w:t xml:space="preserve">Revisión </w:t>
      </w:r>
      <w:r w:rsidR="00951AD1" w:rsidRPr="002B1D65">
        <w:t>08256/INFOEM/ICR-122/IP/RR/2025</w:t>
      </w:r>
      <w:bookmarkEnd w:id="14"/>
    </w:p>
    <w:p w14:paraId="2CE9E070" w14:textId="77777777" w:rsidR="002B080E" w:rsidRDefault="002B080E" w:rsidP="002B080E">
      <w:pPr>
        <w:widowControl w:val="0"/>
        <w:spacing w:line="360" w:lineRule="auto"/>
        <w:jc w:val="both"/>
        <w:rPr>
          <w:rFonts w:ascii="Palatino Linotype" w:eastAsia="Palatino Linotype" w:hAnsi="Palatino Linotype" w:cs="Palatino Linotype"/>
          <w:sz w:val="22"/>
          <w:szCs w:val="22"/>
        </w:rPr>
      </w:pPr>
    </w:p>
    <w:p w14:paraId="6C97D79A" w14:textId="6F3DB230" w:rsidR="0088743D" w:rsidRDefault="00A42439" w:rsidP="002B080E">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cuatro de septiembre de dos mil veinticinco, se recibió en este Instituto, a través del Sistema de Acceso a la Información Mexiquense (SAIMEX), el Recurso de Revisión interpuesto por la parte Recurrente, en contra de la respuesta del Sujeto Obligado, en cumplimiento a la Resolución referida en el Antecedente VI, en los siguientes términos:</w:t>
      </w:r>
    </w:p>
    <w:p w14:paraId="18370DE2" w14:textId="77777777" w:rsidR="0088743D" w:rsidRDefault="0088743D" w:rsidP="002B080E">
      <w:pPr>
        <w:widowControl w:val="0"/>
        <w:spacing w:line="360" w:lineRule="auto"/>
        <w:jc w:val="both"/>
        <w:rPr>
          <w:rFonts w:ascii="Palatino Linotype" w:eastAsia="Palatino Linotype" w:hAnsi="Palatino Linotype" w:cs="Palatino Linotype"/>
          <w:color w:val="FF0000"/>
          <w:sz w:val="22"/>
          <w:szCs w:val="22"/>
        </w:rPr>
      </w:pPr>
    </w:p>
    <w:p w14:paraId="131C4FFA" w14:textId="77777777" w:rsidR="0088743D" w:rsidRDefault="00A42439" w:rsidP="002B080E">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“ACTO IMPUGNADO</w:t>
      </w:r>
    </w:p>
    <w:p w14:paraId="4034D820" w14:textId="77777777" w:rsidR="0088743D" w:rsidRDefault="00A42439" w:rsidP="002B080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NEGATIVA DE ENTREGAR LA INFORMACION. “(Sic)</w:t>
      </w:r>
    </w:p>
    <w:p w14:paraId="46542734" w14:textId="77777777" w:rsidR="0088743D" w:rsidRDefault="0088743D" w:rsidP="002B080E">
      <w:pPr>
        <w:spacing w:line="360" w:lineRule="auto"/>
        <w:ind w:left="567" w:right="567"/>
        <w:jc w:val="both"/>
        <w:rPr>
          <w:rFonts w:ascii="Palatino Linotype" w:eastAsia="Palatino Linotype" w:hAnsi="Palatino Linotype" w:cs="Palatino Linotype"/>
          <w:i/>
          <w:iCs/>
        </w:rPr>
      </w:pPr>
    </w:p>
    <w:p w14:paraId="2570DF18" w14:textId="77777777" w:rsidR="0088743D" w:rsidRDefault="00A42439" w:rsidP="002B080E">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762B5017" w14:textId="77777777" w:rsidR="0088743D" w:rsidRDefault="00A42439" w:rsidP="002B080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NO SE ENTREGO LA INFORMACION POR PARTE DEL SUEJTO OBLIGADO. “(Sic)</w:t>
      </w:r>
    </w:p>
    <w:p w14:paraId="76AC8148" w14:textId="77777777" w:rsidR="0088743D" w:rsidRDefault="0088743D" w:rsidP="002B080E">
      <w:pPr>
        <w:spacing w:line="360" w:lineRule="auto"/>
        <w:ind w:left="567" w:right="567"/>
        <w:jc w:val="both"/>
        <w:rPr>
          <w:rFonts w:ascii="Palatino Linotype" w:eastAsia="Palatino Linotype" w:hAnsi="Palatino Linotype" w:cs="Palatino Linotype"/>
          <w:i/>
          <w:iCs/>
        </w:rPr>
      </w:pPr>
    </w:p>
    <w:p w14:paraId="52E89BF8" w14:textId="77777777" w:rsidR="0088743D" w:rsidRDefault="0088743D" w:rsidP="002B080E">
      <w:pPr>
        <w:spacing w:line="360" w:lineRule="auto"/>
        <w:jc w:val="both"/>
        <w:rPr>
          <w:rFonts w:ascii="Palatino Linotype" w:eastAsia="Palatino Linotype" w:hAnsi="Palatino Linotype" w:cs="Palatino Linotype"/>
          <w:b/>
          <w:bCs/>
          <w:sz w:val="18"/>
          <w:szCs w:val="18"/>
        </w:rPr>
      </w:pPr>
    </w:p>
    <w:p w14:paraId="40B459D4" w14:textId="1A2F4482" w:rsidR="0088743D" w:rsidRDefault="00A42439" w:rsidP="002B080E">
      <w:pPr>
        <w:pStyle w:val="Ttulo2"/>
        <w:jc w:val="both"/>
      </w:pPr>
      <w:bookmarkStart w:id="15" w:name="_heading=h.45il40j0y2mf" w:colFirst="0" w:colLast="0"/>
      <w:bookmarkStart w:id="16" w:name="_Toc223018003"/>
      <w:bookmarkEnd w:id="15"/>
      <w:r>
        <w:t xml:space="preserve">VIII. Trámite del Recurso de Revisión número </w:t>
      </w:r>
      <w:r w:rsidR="00951AD1" w:rsidRPr="002B1D65">
        <w:t>08256/INFOEM/ICR-122/IP/RR/2025</w:t>
      </w:r>
      <w:bookmarkEnd w:id="16"/>
    </w:p>
    <w:p w14:paraId="61E6E099" w14:textId="77777777" w:rsidR="0088743D" w:rsidRDefault="0088743D" w:rsidP="002B080E">
      <w:pPr>
        <w:spacing w:line="360" w:lineRule="auto"/>
        <w:jc w:val="both"/>
        <w:rPr>
          <w:rFonts w:ascii="Palatino Linotype" w:eastAsia="Palatino Linotype" w:hAnsi="Palatino Linotype" w:cs="Palatino Linotype"/>
          <w:b/>
          <w:bCs/>
          <w:color w:val="FF0000"/>
          <w:sz w:val="22"/>
          <w:szCs w:val="22"/>
        </w:rPr>
      </w:pPr>
    </w:p>
    <w:p w14:paraId="71432B77" w14:textId="77777777" w:rsidR="0088743D" w:rsidRDefault="00A42439" w:rsidP="002B080E">
      <w:pPr>
        <w:tabs>
          <w:tab w:val="center" w:pos="4560"/>
          <w:tab w:val="left" w:pos="8207"/>
        </w:tabs>
        <w:spacing w:line="360" w:lineRule="auto"/>
        <w:jc w:val="both"/>
        <w:rPr>
          <w:rFonts w:ascii="Palatino Linotype" w:eastAsia="Palatino Linotype" w:hAnsi="Palatino Linotype" w:cs="Palatino Linotype"/>
          <w:sz w:val="22"/>
          <w:szCs w:val="22"/>
        </w:rPr>
      </w:pPr>
      <w:bookmarkStart w:id="17" w:name="_heading=h.lkh69j9c4dxf" w:colFirst="0" w:colLast="0"/>
      <w:bookmarkEnd w:id="17"/>
      <w:r>
        <w:rPr>
          <w:rFonts w:ascii="Palatino Linotype" w:eastAsia="Palatino Linotype" w:hAnsi="Palatino Linotype" w:cs="Palatino Linotype"/>
          <w:b/>
          <w:bCs/>
          <w:sz w:val="22"/>
          <w:szCs w:val="22"/>
        </w:rPr>
        <w:t>a) Turno de los Recursos de Revisión.</w:t>
      </w:r>
      <w:r>
        <w:rPr>
          <w:rFonts w:ascii="Palatino Linotype" w:eastAsia="Palatino Linotype" w:hAnsi="Palatino Linotype" w:cs="Palatino Linotype"/>
          <w:sz w:val="22"/>
          <w:szCs w:val="22"/>
        </w:rPr>
        <w:t xml:space="preserve"> El cuatro de septiembre de dos mil veinticinco, el Sistema de Acceso a la Información Mexiquense (SAIMEX), asignó el número de expediente </w:t>
      </w:r>
      <w:r>
        <w:rPr>
          <w:rFonts w:ascii="Palatino Linotype" w:eastAsia="Palatino Linotype" w:hAnsi="Palatino Linotype" w:cs="Palatino Linotype"/>
          <w:b/>
          <w:bCs/>
          <w:sz w:val="22"/>
          <w:szCs w:val="22"/>
        </w:rPr>
        <w:t>08256/INFOEM/ICR-122/IP/RR/2025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los turnó al </w:t>
      </w:r>
      <w:r>
        <w:rPr>
          <w:rFonts w:ascii="Palatino Linotype" w:eastAsia="Palatino Linotype" w:hAnsi="Palatino Linotype" w:cs="Palatino Linotype"/>
          <w:b/>
          <w:bCs/>
          <w:sz w:val="22"/>
          <w:szCs w:val="22"/>
        </w:rPr>
        <w:t>Comisionado Ponente 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38E764EC" w14:textId="77777777" w:rsidR="0088743D" w:rsidRDefault="0088743D" w:rsidP="002B080E">
      <w:pPr>
        <w:spacing w:line="360" w:lineRule="auto"/>
        <w:jc w:val="both"/>
        <w:rPr>
          <w:rFonts w:ascii="Palatino Linotype" w:eastAsia="Palatino Linotype" w:hAnsi="Palatino Linotype" w:cs="Palatino Linotype"/>
          <w:color w:val="FF0000"/>
          <w:sz w:val="22"/>
          <w:szCs w:val="22"/>
        </w:rPr>
      </w:pPr>
    </w:p>
    <w:p w14:paraId="201792C5" w14:textId="77777777" w:rsidR="0088743D" w:rsidRDefault="00A42439" w:rsidP="002B080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 xml:space="preserve">El nueve de septiembre de dos mil veinticinco, se acordó la admisión del Recurso de Revisión número </w:t>
      </w:r>
      <w:r>
        <w:rPr>
          <w:rFonts w:ascii="Palatino Linotype" w:eastAsia="Palatino Linotype" w:hAnsi="Palatino Linotype" w:cs="Palatino Linotype"/>
          <w:b/>
          <w:bCs/>
          <w:sz w:val="22"/>
          <w:szCs w:val="22"/>
        </w:rPr>
        <w:t>08256/INFOEM/ICR-122/IP/RR/2025</w:t>
      </w:r>
      <w:r>
        <w:rPr>
          <w:rFonts w:ascii="Palatino Linotype" w:eastAsia="Palatino Linotype" w:hAnsi="Palatino Linotype" w:cs="Palatino Linotype"/>
          <w:sz w:val="22"/>
          <w:szCs w:val="22"/>
        </w:rPr>
        <w:t>, 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Pr>
          <w:rFonts w:ascii="Palatino Linotype" w:eastAsia="Palatino Linotype" w:hAnsi="Palatino Linotype" w:cs="Palatino Linotype"/>
          <w:b/>
          <w:bCs/>
          <w:sz w:val="22"/>
          <w:szCs w:val="22"/>
        </w:rPr>
        <w:t xml:space="preserve"> </w:t>
      </w:r>
    </w:p>
    <w:p w14:paraId="43664BA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6715FCC" w14:textId="5EB093E3"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Ampliación de Plazo para resolver. </w:t>
      </w:r>
      <w:r w:rsidR="002B1D65">
        <w:rPr>
          <w:rFonts w:ascii="Palatino Linotype" w:eastAsia="Palatino Linotype" w:hAnsi="Palatino Linotype" w:cs="Palatino Linotype"/>
          <w:sz w:val="22"/>
          <w:szCs w:val="22"/>
        </w:rPr>
        <w:t>El diecinueve</w:t>
      </w:r>
      <w:r>
        <w:rPr>
          <w:rFonts w:ascii="Palatino Linotype" w:eastAsia="Palatino Linotype" w:hAnsi="Palatino Linotype" w:cs="Palatino Linotype"/>
          <w:sz w:val="22"/>
          <w:szCs w:val="22"/>
        </w:rPr>
        <w:t xml:space="preserve">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0674E0F1"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CE62A2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d) Informe Justificado o manifestaciones. </w:t>
      </w:r>
      <w:r>
        <w:rPr>
          <w:rFonts w:ascii="Palatino Linotype" w:eastAsia="Palatino Linotype" w:hAnsi="Palatino Linotype" w:cs="Palatino Linotype"/>
          <w:sz w:val="22"/>
          <w:szCs w:val="22"/>
        </w:rPr>
        <w:t>Las partes fueron omisas en emitir manifestaciones o alegatos.</w:t>
      </w:r>
    </w:p>
    <w:p w14:paraId="34EB371D"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EAE286E"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e) Cierre de instrucción.</w:t>
      </w:r>
      <w:r>
        <w:rPr>
          <w:rFonts w:ascii="Palatino Linotype" w:eastAsia="Palatino Linotype" w:hAnsi="Palatino Linotype" w:cs="Palatino Linotype"/>
          <w:sz w:val="22"/>
          <w:szCs w:val="22"/>
        </w:rPr>
        <w:t xml:space="preserve"> El diecinueve de febrero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través del Sistema de Acceso a la Información Mexiquense (SAIMEX).</w:t>
      </w:r>
    </w:p>
    <w:p w14:paraId="3A51D615" w14:textId="77777777" w:rsidR="0088743D" w:rsidRDefault="0088743D" w:rsidP="002B080E">
      <w:pPr>
        <w:spacing w:line="360" w:lineRule="auto"/>
        <w:jc w:val="both"/>
        <w:rPr>
          <w:rFonts w:ascii="Palatino Linotype" w:eastAsia="Palatino Linotype" w:hAnsi="Palatino Linotype" w:cs="Palatino Linotype"/>
          <w:b/>
          <w:bCs/>
          <w:sz w:val="18"/>
          <w:szCs w:val="18"/>
        </w:rPr>
      </w:pPr>
    </w:p>
    <w:p w14:paraId="708EC076" w14:textId="77777777" w:rsidR="0088743D" w:rsidRDefault="0088743D" w:rsidP="002B080E">
      <w:pPr>
        <w:spacing w:line="360" w:lineRule="auto"/>
        <w:jc w:val="both"/>
        <w:rPr>
          <w:rFonts w:ascii="Palatino Linotype" w:eastAsia="Palatino Linotype" w:hAnsi="Palatino Linotype" w:cs="Palatino Linotype"/>
          <w:b/>
          <w:bCs/>
          <w:sz w:val="18"/>
          <w:szCs w:val="18"/>
        </w:rPr>
      </w:pPr>
    </w:p>
    <w:p w14:paraId="2F7A7118" w14:textId="77777777"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075173DF"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5AD6F6CB" w14:textId="77777777" w:rsidR="0088743D" w:rsidRDefault="00A42439" w:rsidP="002B080E">
      <w:pPr>
        <w:pStyle w:val="Ttulo1"/>
      </w:pPr>
      <w:bookmarkStart w:id="18" w:name="_heading=h.x3q05rcf9a8f" w:colFirst="0" w:colLast="0"/>
      <w:bookmarkStart w:id="19" w:name="_Toc223018004"/>
      <w:bookmarkEnd w:id="18"/>
      <w:r>
        <w:t>C O N S I D E R A N D O S</w:t>
      </w:r>
      <w:bookmarkEnd w:id="19"/>
    </w:p>
    <w:p w14:paraId="03C6C036" w14:textId="77777777" w:rsidR="0088743D" w:rsidRDefault="0088743D" w:rsidP="002B080E">
      <w:pPr>
        <w:spacing w:line="360" w:lineRule="auto"/>
        <w:jc w:val="both"/>
        <w:rPr>
          <w:rFonts w:ascii="Palatino Linotype" w:eastAsia="Palatino Linotype" w:hAnsi="Palatino Linotype" w:cs="Palatino Linotype"/>
          <w:b/>
          <w:bCs/>
          <w:sz w:val="22"/>
          <w:szCs w:val="22"/>
        </w:rPr>
      </w:pPr>
    </w:p>
    <w:p w14:paraId="7AC891C2" w14:textId="77777777" w:rsidR="0088743D" w:rsidRDefault="00A42439" w:rsidP="002B080E">
      <w:pPr>
        <w:pStyle w:val="Ttulo2"/>
      </w:pPr>
      <w:bookmarkStart w:id="20" w:name="_heading=h.vw3brwbvmnrh" w:colFirst="0" w:colLast="0"/>
      <w:bookmarkStart w:id="21" w:name="_Toc223018005"/>
      <w:bookmarkEnd w:id="20"/>
      <w:r>
        <w:t>PRIMERO. Competencia</w:t>
      </w:r>
      <w:bookmarkEnd w:id="21"/>
    </w:p>
    <w:p w14:paraId="56E872A6" w14:textId="77777777" w:rsidR="00B558A4" w:rsidRPr="00B558A4" w:rsidRDefault="00B558A4" w:rsidP="00B558A4"/>
    <w:p w14:paraId="7B8CBDE1" w14:textId="58E3C1E1" w:rsidR="0088743D" w:rsidRDefault="00B558A4" w:rsidP="002B080E">
      <w:pPr>
        <w:spacing w:line="360" w:lineRule="auto"/>
        <w:jc w:val="both"/>
        <w:rPr>
          <w:rFonts w:ascii="Palatino Linotype" w:eastAsia="Palatino Linotype" w:hAnsi="Palatino Linotype" w:cs="Palatino Linotype"/>
          <w:sz w:val="22"/>
          <w:szCs w:val="22"/>
        </w:rPr>
      </w:pPr>
      <w:r w:rsidRPr="00B558A4">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8958B08" w14:textId="77777777" w:rsidR="00B558A4" w:rsidRPr="00B558A4" w:rsidRDefault="00B558A4" w:rsidP="002B080E">
      <w:pPr>
        <w:spacing w:line="360" w:lineRule="auto"/>
        <w:jc w:val="both"/>
        <w:rPr>
          <w:rFonts w:ascii="Palatino Linotype" w:eastAsia="Palatino Linotype" w:hAnsi="Palatino Linotype" w:cs="Palatino Linotype"/>
          <w:sz w:val="22"/>
          <w:szCs w:val="22"/>
        </w:rPr>
      </w:pPr>
    </w:p>
    <w:p w14:paraId="7938AEE4" w14:textId="77777777" w:rsidR="0088743D" w:rsidRDefault="00A42439" w:rsidP="002B080E">
      <w:pPr>
        <w:pStyle w:val="Ttulo2"/>
      </w:pPr>
      <w:bookmarkStart w:id="22" w:name="_heading=h.jjgok2rc3s0w" w:colFirst="0" w:colLast="0"/>
      <w:bookmarkStart w:id="23" w:name="_heading=h.qbyfahbqd93s" w:colFirst="0" w:colLast="0"/>
      <w:bookmarkStart w:id="24" w:name="_Toc223018006"/>
      <w:bookmarkEnd w:id="22"/>
      <w:bookmarkEnd w:id="23"/>
      <w:r>
        <w:t>SEGUNDO. Causales de improcedencia y Sobreseimiento</w:t>
      </w:r>
      <w:bookmarkEnd w:id="24"/>
    </w:p>
    <w:p w14:paraId="0E9A56FE"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20812F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1ACD16AE"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8EBCF7A" w14:textId="77777777" w:rsidR="0088743D" w:rsidRDefault="00A42439" w:rsidP="002B080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14:paraId="198352FD"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E137B51"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C6EB03D"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D6BD786"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D37EE7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5C453AE"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el último párrafo, de dicho artículo, establece que procede un Medio de Impugnación, en contra de las respuestas otorgadas por los sujetos obligados, en cumplimiento a una resolución de otro diverso, en el cual, la controversia recaiga, en la falta de respuesta a una solicitud de información.</w:t>
      </w:r>
    </w:p>
    <w:p w14:paraId="57CAE4C5"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DB73A0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cabe referir que en el expediente con número de folio 08256/INFOEM/IP/RR/2025, se dictó Resolución, en la cual se determinó como causal de procedencia, la fracción VII, del artículo 179 de la Ley de Transparencia y Acceso a la Información Pública del Estado de México y Municipios, es decir, de la falta de respuesta; además, se concluyó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Ayuntamiento de Ixtapaluca, a emitir respuesta a la solicitud de información con número 00164/IXTAPALU/IP/2025, materia del presente Recurso de Revisión.</w:t>
      </w:r>
    </w:p>
    <w:p w14:paraId="1938E31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66C17E9"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mediante el Sistema de Acceso a la Información Mexiquense (SAIMEX), el Sujeto Obligado emitió respuesta al requerimiento de información previamente referido, en cumplimiento a la Resolución del Recurso de Revisión con número 08256/INFOEM/IP/RR/2025, en donde solamente entrego diversos oficios de turno a las áreas poseedoras de la información, a efector de contar con su respuesta lo cual no aconteció.</w:t>
      </w:r>
    </w:p>
    <w:p w14:paraId="6BDE0E7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0DE2713"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el ahora Recurrente se inconformó de dicha respuesta, al agraviarse de la negativa de la información, por lo cual, se concluye que actualiza el último párrafo del artículo 179 de la Ley de Transparencia y Acceso a la Información Pública del Estado de México y Municipios, toda vez que la controversia en el Recurso de Revisión 08256/INFOEM/IP/RR/2025, se fijó en la falta de respuesta al requerimiento informativo. Así, ante la contestación que recayó, derivada de dicha determinación, procede el presente Medio de Impugnación.</w:t>
      </w:r>
    </w:p>
    <w:p w14:paraId="258DEC21"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0A87ADD"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en el caso concreto, resulta aplicable el supuesto previsto en la fracción V de dicho artículo, dado que el Particular, se inconformó de la entrega de información incompleta; por lo que resulta procedente el presente Medio de Impugnación.</w:t>
      </w:r>
    </w:p>
    <w:p w14:paraId="6A7E580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C05273F" w14:textId="77777777" w:rsidR="0088743D" w:rsidRDefault="00A42439" w:rsidP="002B080E">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b/>
          <w:bCs/>
          <w:color w:val="0D0D0D"/>
          <w:sz w:val="22"/>
          <w:szCs w:val="22"/>
        </w:rPr>
        <w:t>Causales de sobreseimiento</w:t>
      </w:r>
    </w:p>
    <w:p w14:paraId="3CBF4FAA" w14:textId="77777777" w:rsidR="0088743D" w:rsidRDefault="0088743D" w:rsidP="002B080E">
      <w:pPr>
        <w:spacing w:line="360" w:lineRule="auto"/>
        <w:jc w:val="both"/>
        <w:rPr>
          <w:rFonts w:ascii="Palatino Linotype" w:eastAsia="Palatino Linotype" w:hAnsi="Palatino Linotype" w:cs="Palatino Linotype"/>
          <w:color w:val="0D0D0D"/>
          <w:sz w:val="22"/>
          <w:szCs w:val="22"/>
        </w:rPr>
      </w:pPr>
    </w:p>
    <w:p w14:paraId="125FF3F1" w14:textId="77777777" w:rsidR="0088743D" w:rsidRDefault="00A42439" w:rsidP="002B080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061E2D76" w14:textId="77777777" w:rsidR="0088743D" w:rsidRDefault="0088743D" w:rsidP="002B080E">
      <w:pPr>
        <w:spacing w:line="360" w:lineRule="auto"/>
        <w:jc w:val="both"/>
        <w:rPr>
          <w:rFonts w:ascii="Palatino Linotype" w:eastAsia="Palatino Linotype" w:hAnsi="Palatino Linotype" w:cs="Palatino Linotype"/>
          <w:color w:val="0D0D0D"/>
          <w:sz w:val="22"/>
          <w:szCs w:val="22"/>
        </w:rPr>
      </w:pPr>
    </w:p>
    <w:p w14:paraId="4EC2B13A"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E15E21A"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88FC5BA" w14:textId="77777777" w:rsidR="0088743D" w:rsidRDefault="00A42439" w:rsidP="002B080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4EA158F2" w14:textId="77777777" w:rsidR="0088743D" w:rsidRDefault="0088743D" w:rsidP="002B080E">
      <w:pPr>
        <w:spacing w:line="360" w:lineRule="auto"/>
        <w:jc w:val="both"/>
        <w:rPr>
          <w:rFonts w:ascii="Palatino Linotype" w:eastAsia="Palatino Linotype" w:hAnsi="Palatino Linotype" w:cs="Palatino Linotype"/>
          <w:color w:val="0D0D0D"/>
          <w:sz w:val="22"/>
          <w:szCs w:val="22"/>
        </w:rPr>
      </w:pPr>
    </w:p>
    <w:p w14:paraId="1EDE16BB" w14:textId="77777777" w:rsidR="0088743D" w:rsidRDefault="00A42439" w:rsidP="002B080E">
      <w:pPr>
        <w:pStyle w:val="Ttulo2"/>
      </w:pPr>
      <w:bookmarkStart w:id="25" w:name="_heading=h.ezmg2hjoyz0e" w:colFirst="0" w:colLast="0"/>
      <w:bookmarkStart w:id="26" w:name="_Toc223018007"/>
      <w:bookmarkEnd w:id="25"/>
      <w:r>
        <w:t>TERCERO. Determinación de la Controversia</w:t>
      </w:r>
      <w:bookmarkEnd w:id="26"/>
    </w:p>
    <w:p w14:paraId="491ABD1B"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21D57EFD" w14:textId="77777777" w:rsidR="0088743D" w:rsidRDefault="00A42439" w:rsidP="002B080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el Particular requirió, al Ayuntamiento de Ixtapaluca lo siguiente:</w:t>
      </w:r>
    </w:p>
    <w:p w14:paraId="16758302" w14:textId="77777777" w:rsidR="0088743D" w:rsidRDefault="0088743D" w:rsidP="002B080E">
      <w:pPr>
        <w:tabs>
          <w:tab w:val="left" w:pos="4962"/>
        </w:tabs>
        <w:spacing w:line="360" w:lineRule="auto"/>
        <w:jc w:val="both"/>
        <w:rPr>
          <w:rFonts w:ascii="Palatino Linotype" w:eastAsia="Palatino Linotype" w:hAnsi="Palatino Linotype" w:cs="Palatino Linotype"/>
          <w:color w:val="000000"/>
          <w:sz w:val="22"/>
          <w:szCs w:val="22"/>
        </w:rPr>
      </w:pPr>
    </w:p>
    <w:p w14:paraId="0C9AC678" w14:textId="2AB64268" w:rsidR="002B080E" w:rsidRDefault="00A42439" w:rsidP="002B080E">
      <w:pPr>
        <w:numPr>
          <w:ilvl w:val="0"/>
          <w:numId w:val="5"/>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Listado completo de todos los puestos ocupados en el Ayuntamiento de Ixtapaluca </w:t>
      </w:r>
      <w:r w:rsidR="002B080E">
        <w:rPr>
          <w:rFonts w:ascii="Palatino Linotype" w:eastAsia="Palatino Linotype" w:hAnsi="Palatino Linotype" w:cs="Palatino Linotype"/>
          <w:color w:val="000000"/>
          <w:sz w:val="22"/>
          <w:szCs w:val="22"/>
        </w:rPr>
        <w:t>que contenga el n</w:t>
      </w:r>
      <w:r>
        <w:rPr>
          <w:rFonts w:ascii="Palatino Linotype" w:eastAsia="Palatino Linotype" w:hAnsi="Palatino Linotype" w:cs="Palatino Linotype"/>
          <w:color w:val="000000"/>
          <w:sz w:val="22"/>
          <w:szCs w:val="22"/>
        </w:rPr>
        <w:t>ombre del puesto</w:t>
      </w:r>
      <w:r w:rsidR="002B080E">
        <w:rPr>
          <w:rFonts w:ascii="Palatino Linotype" w:eastAsia="Palatino Linotype" w:hAnsi="Palatino Linotype" w:cs="Palatino Linotype"/>
          <w:color w:val="000000"/>
          <w:sz w:val="22"/>
          <w:szCs w:val="22"/>
        </w:rPr>
        <w:t>, área de adscripción, nivel jerárquico y categoría del puesto.</w:t>
      </w:r>
    </w:p>
    <w:p w14:paraId="004F3A78" w14:textId="1635DF60" w:rsidR="0088743D" w:rsidRPr="002B080E" w:rsidRDefault="0088743D" w:rsidP="002B080E">
      <w:pPr>
        <w:pBdr>
          <w:top w:val="nil"/>
          <w:left w:val="nil"/>
          <w:bottom w:val="nil"/>
          <w:right w:val="nil"/>
          <w:between w:val="nil"/>
        </w:pBdr>
        <w:tabs>
          <w:tab w:val="left" w:pos="4962"/>
        </w:tabs>
        <w:spacing w:line="360" w:lineRule="auto"/>
        <w:ind w:left="720"/>
        <w:jc w:val="both"/>
        <w:rPr>
          <w:rFonts w:ascii="Palatino Linotype" w:eastAsia="Palatino Linotype" w:hAnsi="Palatino Linotype" w:cs="Palatino Linotype"/>
          <w:color w:val="000000"/>
          <w:sz w:val="22"/>
          <w:szCs w:val="22"/>
        </w:rPr>
      </w:pPr>
    </w:p>
    <w:p w14:paraId="7A82BA19" w14:textId="77777777" w:rsidR="0088743D" w:rsidRDefault="00A42439" w:rsidP="002B080E">
      <w:pPr>
        <w:numPr>
          <w:ilvl w:val="0"/>
          <w:numId w:val="5"/>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Nombre del servidor público que ocupa cada puesto. </w:t>
      </w:r>
    </w:p>
    <w:p w14:paraId="042A4D3E" w14:textId="77777777" w:rsidR="0088743D" w:rsidRDefault="0088743D" w:rsidP="002B080E">
      <w:pPr>
        <w:pBdr>
          <w:top w:val="nil"/>
          <w:left w:val="nil"/>
          <w:bottom w:val="nil"/>
          <w:right w:val="nil"/>
          <w:between w:val="nil"/>
        </w:pBdr>
        <w:tabs>
          <w:tab w:val="left" w:pos="4962"/>
        </w:tabs>
        <w:spacing w:line="360" w:lineRule="auto"/>
        <w:ind w:left="720"/>
        <w:jc w:val="both"/>
        <w:rPr>
          <w:rFonts w:ascii="Palatino Linotype" w:eastAsia="Palatino Linotype" w:hAnsi="Palatino Linotype" w:cs="Palatino Linotype"/>
          <w:color w:val="000000"/>
          <w:sz w:val="22"/>
          <w:szCs w:val="22"/>
        </w:rPr>
      </w:pPr>
    </w:p>
    <w:p w14:paraId="65E204A2" w14:textId="77777777" w:rsidR="0088743D" w:rsidRDefault="00A42439" w:rsidP="002B080E">
      <w:pPr>
        <w:numPr>
          <w:ilvl w:val="0"/>
          <w:numId w:val="5"/>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remuneración mensual bruta y neta de cada uno de los puestos (desglosada en percepciones ordinarias y extraordinarias), así como: Bonos Compensaciones Vales Seguros u otros beneficios económicos o en especie.</w:t>
      </w:r>
    </w:p>
    <w:p w14:paraId="2AD8B523" w14:textId="77777777" w:rsidR="0088743D" w:rsidRDefault="0088743D" w:rsidP="002B080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56A9C3F9" w14:textId="77777777" w:rsidR="0088743D" w:rsidRDefault="00A42439" w:rsidP="002B080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14:paraId="49D01381" w14:textId="77777777" w:rsidR="0088743D" w:rsidRDefault="0088743D" w:rsidP="002B080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4E8912DB" w14:textId="77777777" w:rsidR="0088743D" w:rsidRDefault="00A42439" w:rsidP="002B080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Mediante la Resolución del Recurso de Revisión 08256/INFOEM/IP/RR/2025, el Pleno de este Instituto, determinó como </w:t>
      </w:r>
      <w:r>
        <w:rPr>
          <w:rFonts w:ascii="Palatino Linotype" w:eastAsia="Palatino Linotype" w:hAnsi="Palatino Linotype" w:cs="Palatino Linotype"/>
          <w:b/>
          <w:bCs/>
          <w:color w:val="000000"/>
          <w:sz w:val="22"/>
          <w:szCs w:val="22"/>
        </w:rPr>
        <w:t>FUNDADO</w:t>
      </w:r>
      <w:r>
        <w:rPr>
          <w:rFonts w:ascii="Palatino Linotype" w:eastAsia="Palatino Linotype" w:hAnsi="Palatino Linotype" w:cs="Palatino Linotype"/>
          <w:color w:val="000000"/>
          <w:sz w:val="22"/>
          <w:szCs w:val="22"/>
        </w:rPr>
        <w:t xml:space="preserve"> el agravio del Particular y se estableció procedente </w:t>
      </w:r>
      <w:r>
        <w:rPr>
          <w:rFonts w:ascii="Palatino Linotype" w:eastAsia="Palatino Linotype" w:hAnsi="Palatino Linotype" w:cs="Palatino Linotype"/>
          <w:b/>
          <w:bCs/>
          <w:color w:val="000000"/>
          <w:sz w:val="22"/>
          <w:szCs w:val="22"/>
        </w:rPr>
        <w:t>ORDENAR</w:t>
      </w:r>
      <w:r>
        <w:rPr>
          <w:rFonts w:ascii="Palatino Linotype" w:eastAsia="Palatino Linotype" w:hAnsi="Palatino Linotype" w:cs="Palatino Linotype"/>
          <w:color w:val="000000"/>
          <w:sz w:val="22"/>
          <w:szCs w:val="22"/>
        </w:rPr>
        <w:t xml:space="preserve"> al Ayuntamiento de Ixtapaluca, a efecto de que proporcionara la documentación requerida.</w:t>
      </w:r>
    </w:p>
    <w:p w14:paraId="7BA530F9" w14:textId="77777777" w:rsidR="0088743D" w:rsidRDefault="0088743D" w:rsidP="002B080E">
      <w:pPr>
        <w:tabs>
          <w:tab w:val="left" w:pos="4962"/>
        </w:tabs>
        <w:spacing w:line="360" w:lineRule="auto"/>
        <w:jc w:val="both"/>
        <w:rPr>
          <w:rFonts w:ascii="Palatino Linotype" w:eastAsia="Palatino Linotype" w:hAnsi="Palatino Linotype" w:cs="Palatino Linotype"/>
          <w:color w:val="000000"/>
          <w:sz w:val="22"/>
          <w:szCs w:val="22"/>
        </w:rPr>
      </w:pPr>
    </w:p>
    <w:p w14:paraId="0B54C35C" w14:textId="77777777" w:rsidR="0088743D" w:rsidRDefault="00A42439" w:rsidP="002B080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cumplimiento a la determinación previamente señalada, el Sujeto Obligado proporcionó </w:t>
      </w:r>
      <w:r>
        <w:rPr>
          <w:rFonts w:ascii="Palatino Linotype" w:eastAsia="Palatino Linotype" w:hAnsi="Palatino Linotype" w:cs="Palatino Linotype"/>
          <w:sz w:val="22"/>
          <w:szCs w:val="22"/>
        </w:rPr>
        <w:t>diversos oficios de turno a las áreas poseedoras de la información, a efector de contar con su respuesta lo cual no aconteció</w:t>
      </w:r>
      <w:r>
        <w:rPr>
          <w:rFonts w:ascii="Palatino Linotype" w:eastAsia="Palatino Linotype" w:hAnsi="Palatino Linotype" w:cs="Palatino Linotype"/>
          <w:color w:val="000000"/>
          <w:sz w:val="22"/>
          <w:szCs w:val="22"/>
        </w:rPr>
        <w:t xml:space="preserve">; ante dicha circunstancia el particular se inconformó de la negativa de la información, al referir que no entregan información, lo cual se actualiza el supuesto previsto en el artículo 179, fracción I, de la Ley de Transparencia y Acceso a la Información Pública del Estado de México y Municipios. Así las cosas, una vez admitido y notificado el Recurso de Revisión a las partes, </w:t>
      </w:r>
      <w:r>
        <w:rPr>
          <w:rFonts w:ascii="Palatino Linotype" w:eastAsia="Palatino Linotype" w:hAnsi="Palatino Linotype" w:cs="Palatino Linotype"/>
          <w:sz w:val="22"/>
          <w:szCs w:val="22"/>
        </w:rPr>
        <w:t>estas fueron omisas en realizar manifestaciones o alegatos.</w:t>
      </w:r>
    </w:p>
    <w:p w14:paraId="4DD7607C" w14:textId="77777777" w:rsidR="0088743D" w:rsidRDefault="0088743D" w:rsidP="002B080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5A9D5A80" w14:textId="77777777" w:rsidR="0088743D" w:rsidRDefault="00A42439" w:rsidP="002B080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61A5B817" w14:textId="77777777" w:rsidR="0088743D" w:rsidRDefault="0088743D" w:rsidP="002B080E">
      <w:pPr>
        <w:tabs>
          <w:tab w:val="left" w:pos="4962"/>
        </w:tabs>
        <w:spacing w:line="360" w:lineRule="auto"/>
        <w:jc w:val="both"/>
        <w:rPr>
          <w:rFonts w:ascii="Palatino Linotype" w:eastAsia="Palatino Linotype" w:hAnsi="Palatino Linotype" w:cs="Palatino Linotype"/>
          <w:sz w:val="22"/>
          <w:szCs w:val="22"/>
        </w:rPr>
      </w:pPr>
    </w:p>
    <w:p w14:paraId="2D943129" w14:textId="77777777" w:rsidR="0088743D" w:rsidRDefault="00A42439" w:rsidP="002B080E">
      <w:pPr>
        <w:pStyle w:val="Ttulo2"/>
        <w:jc w:val="both"/>
      </w:pPr>
      <w:bookmarkStart w:id="27" w:name="_heading=h.g7o2sbkpn5wc" w:colFirst="0" w:colLast="0"/>
      <w:bookmarkStart w:id="28" w:name="_Toc223018008"/>
      <w:bookmarkEnd w:id="27"/>
      <w:r>
        <w:t>CUARTO. Marco normativo aplicable en materia de transparencia y acceso a la información pública</w:t>
      </w:r>
      <w:bookmarkEnd w:id="28"/>
    </w:p>
    <w:p w14:paraId="292EAD77"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EC17136"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E2133A7"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AC7846E"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33045FB"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DF975BE"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2626BF6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789DA44"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3E87223E"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1397F8F"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5DF856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B0D0B26"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E715EBC"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E4C3966" w14:textId="77777777" w:rsidR="0088743D" w:rsidRDefault="00A42439" w:rsidP="002B080E">
      <w:pPr>
        <w:pStyle w:val="Ttulo2"/>
      </w:pPr>
      <w:bookmarkStart w:id="29" w:name="_heading=h.alerevhikt0s" w:colFirst="0" w:colLast="0"/>
      <w:bookmarkStart w:id="30" w:name="_Toc223018009"/>
      <w:bookmarkEnd w:id="29"/>
      <w:r>
        <w:t>QUINTO. Estudio de Fondo</w:t>
      </w:r>
      <w:bookmarkEnd w:id="30"/>
    </w:p>
    <w:p w14:paraId="0D42D580"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805420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negativa de la información, para lo cual es necesario contextualizar la solicitud de información.</w:t>
      </w:r>
    </w:p>
    <w:p w14:paraId="5CC1E42C"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0A7A301" w14:textId="77777777" w:rsidR="0088743D" w:rsidRDefault="00A42439" w:rsidP="002B080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es necesario traer a colación la Guía Técnica 9 “La Administración del Personal Municipal”, que establece que son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14:paraId="0A2528D2" w14:textId="77777777" w:rsidR="0088743D" w:rsidRDefault="0088743D" w:rsidP="002B080E">
      <w:pPr>
        <w:tabs>
          <w:tab w:val="left" w:pos="4962"/>
        </w:tabs>
        <w:spacing w:line="360" w:lineRule="auto"/>
        <w:jc w:val="both"/>
        <w:rPr>
          <w:rFonts w:ascii="Palatino Linotype" w:eastAsia="Palatino Linotype" w:hAnsi="Palatino Linotype" w:cs="Palatino Linotype"/>
          <w:sz w:val="22"/>
          <w:szCs w:val="22"/>
        </w:rPr>
      </w:pPr>
    </w:p>
    <w:p w14:paraId="4E9BB064" w14:textId="77777777" w:rsidR="0088743D" w:rsidRDefault="00A42439" w:rsidP="002B080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45CADDB2" w14:textId="77777777" w:rsidR="0088743D" w:rsidRDefault="0088743D" w:rsidP="002B080E">
      <w:pPr>
        <w:tabs>
          <w:tab w:val="left" w:pos="4962"/>
        </w:tabs>
        <w:spacing w:line="360" w:lineRule="auto"/>
        <w:jc w:val="both"/>
        <w:rPr>
          <w:rFonts w:ascii="Palatino Linotype" w:eastAsia="Palatino Linotype" w:hAnsi="Palatino Linotype" w:cs="Palatino Linotype"/>
          <w:sz w:val="22"/>
          <w:szCs w:val="22"/>
        </w:rPr>
      </w:pPr>
    </w:p>
    <w:p w14:paraId="12A7C8B0" w14:textId="77777777" w:rsidR="0088743D" w:rsidRDefault="00A42439" w:rsidP="002B080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92, fracción VII y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además, el Directorio de servidores públicos, el cual debe incluir diversos datos, entre los cuales se encuentra el nombre, cargo y adscripción, fecha de alta en el cargo, de todos los servidores públicos.</w:t>
      </w:r>
    </w:p>
    <w:p w14:paraId="49CAC54E" w14:textId="77777777" w:rsidR="0088743D" w:rsidRDefault="0088743D" w:rsidP="002B080E">
      <w:pPr>
        <w:tabs>
          <w:tab w:val="left" w:pos="4962"/>
        </w:tabs>
        <w:spacing w:line="360" w:lineRule="auto"/>
        <w:jc w:val="both"/>
        <w:rPr>
          <w:rFonts w:ascii="Palatino Linotype" w:eastAsia="Palatino Linotype" w:hAnsi="Palatino Linotype" w:cs="Palatino Linotype"/>
          <w:sz w:val="22"/>
          <w:szCs w:val="22"/>
        </w:rPr>
      </w:pPr>
    </w:p>
    <w:p w14:paraId="0300121D" w14:textId="77777777" w:rsidR="0088743D" w:rsidRDefault="00A42439" w:rsidP="002B080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se localizó en el apartado de Datos Abiertos, de la página oficial del Gobierno de México, del cual se desprende que la plantilla de personal es el listado de todos los servidores públicos con los que cuenta una institución pública y que contiene diversos datos, tales como el nombre y puesto.</w:t>
      </w:r>
    </w:p>
    <w:p w14:paraId="34C38EAB" w14:textId="77777777" w:rsidR="0088743D" w:rsidRDefault="0088743D" w:rsidP="002B080E">
      <w:pPr>
        <w:tabs>
          <w:tab w:val="left" w:pos="4962"/>
        </w:tabs>
        <w:spacing w:line="360" w:lineRule="auto"/>
        <w:jc w:val="both"/>
        <w:rPr>
          <w:rFonts w:ascii="Palatino Linotype" w:eastAsia="Palatino Linotype" w:hAnsi="Palatino Linotype" w:cs="Palatino Linotype"/>
          <w:sz w:val="22"/>
          <w:szCs w:val="22"/>
        </w:rPr>
      </w:pPr>
    </w:p>
    <w:p w14:paraId="33E64616" w14:textId="77777777" w:rsidR="0088743D" w:rsidRDefault="00A42439" w:rsidP="002B080E">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color w:val="0D0D0D"/>
          <w:sz w:val="22"/>
          <w:szCs w:val="22"/>
        </w:rPr>
        <w:t xml:space="preserve">Derivado de lo anterior, como se observa el Particular quiere conocer remuneraciones de todos los servidores públicos, así como sus nombre y categoría, por ello es de señalar que 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w:t>
      </w:r>
      <w:r>
        <w:rPr>
          <w:rFonts w:ascii="Palatino Linotype" w:eastAsia="Palatino Linotype" w:hAnsi="Palatino Linotype" w:cs="Palatino Linotype"/>
          <w:b/>
          <w:bCs/>
          <w:color w:val="0D0D0D"/>
          <w:sz w:val="22"/>
          <w:szCs w:val="22"/>
        </w:rPr>
        <w:t>servidores públicos a todas las personas que desempeñen un empleo, cargo o comisión en los Municipios.</w:t>
      </w:r>
    </w:p>
    <w:p w14:paraId="241B867F" w14:textId="77777777" w:rsidR="0088743D" w:rsidRDefault="0088743D" w:rsidP="002B080E">
      <w:pPr>
        <w:spacing w:line="360" w:lineRule="auto"/>
        <w:jc w:val="both"/>
        <w:rPr>
          <w:rFonts w:ascii="Palatino Linotype" w:eastAsia="Palatino Linotype" w:hAnsi="Palatino Linotype" w:cs="Palatino Linotype"/>
          <w:b/>
          <w:bCs/>
          <w:color w:val="0D0D0D"/>
          <w:sz w:val="22"/>
          <w:szCs w:val="22"/>
        </w:rPr>
      </w:pPr>
    </w:p>
    <w:p w14:paraId="4F037B12" w14:textId="77777777" w:rsidR="0088743D" w:rsidRDefault="00A42439" w:rsidP="002B080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Además, el artículo 4°, fracción VI, de la Ley del Trabajo de los servidores públicos del Estado y Municipios, precisa que son </w:t>
      </w:r>
      <w:r>
        <w:rPr>
          <w:rFonts w:ascii="Palatino Linotype" w:eastAsia="Palatino Linotype" w:hAnsi="Palatino Linotype" w:cs="Palatino Linotype"/>
          <w:b/>
          <w:bCs/>
          <w:color w:val="0D0D0D"/>
          <w:sz w:val="22"/>
          <w:szCs w:val="22"/>
        </w:rPr>
        <w:t>servidores públicos,</w:t>
      </w:r>
      <w:r>
        <w:rPr>
          <w:rFonts w:ascii="Palatino Linotype" w:eastAsia="Palatino Linotype" w:hAnsi="Palatino Linotype" w:cs="Palatino Linotype"/>
          <w:color w:val="0D0D0D"/>
          <w:sz w:val="22"/>
          <w:szCs w:val="22"/>
        </w:rPr>
        <w:t xml:space="preserve"> todas las personas físicas que presten a una institución pública un trabajo personal subordinado, mediante el pago de un sueldo.</w:t>
      </w:r>
    </w:p>
    <w:p w14:paraId="53953F93" w14:textId="77777777" w:rsidR="0088743D" w:rsidRDefault="0088743D" w:rsidP="002B080E">
      <w:pPr>
        <w:spacing w:line="360" w:lineRule="auto"/>
        <w:jc w:val="both"/>
        <w:rPr>
          <w:rFonts w:ascii="Palatino Linotype" w:eastAsia="Palatino Linotype" w:hAnsi="Palatino Linotype" w:cs="Palatino Linotype"/>
          <w:color w:val="0D0D0D"/>
          <w:sz w:val="22"/>
          <w:szCs w:val="22"/>
        </w:rPr>
      </w:pPr>
    </w:p>
    <w:p w14:paraId="1FB4C2AC" w14:textId="77777777" w:rsidR="0088743D" w:rsidRDefault="00A42439" w:rsidP="002B080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En orden de ideas, el artículo 3°, fracción LXVIII,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49CF2E9" w14:textId="77777777" w:rsidR="0088743D" w:rsidRDefault="0088743D" w:rsidP="002B080E">
      <w:pPr>
        <w:spacing w:line="360" w:lineRule="auto"/>
        <w:jc w:val="both"/>
        <w:rPr>
          <w:rFonts w:ascii="Palatino Linotype" w:eastAsia="Palatino Linotype" w:hAnsi="Palatino Linotype" w:cs="Palatino Linotype"/>
          <w:color w:val="0D0D0D"/>
          <w:sz w:val="22"/>
          <w:szCs w:val="22"/>
        </w:rPr>
      </w:pPr>
    </w:p>
    <w:p w14:paraId="441FB7DA" w14:textId="77777777" w:rsidR="0088743D" w:rsidRDefault="00A42439" w:rsidP="002B080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En ese contexto, el artículo 92, fracción VIII, de la Ley de Transparencia y Acceso a la Información Pública del Estado de México y Municipios, establece que los Sujetos Obligados</w:t>
      </w:r>
    </w:p>
    <w:p w14:paraId="0FDCEC8E" w14:textId="77777777" w:rsidR="0088743D" w:rsidRDefault="00A42439" w:rsidP="002B080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296BCC91" w14:textId="77777777" w:rsidR="0088743D" w:rsidRDefault="0088743D" w:rsidP="002B080E">
      <w:pPr>
        <w:spacing w:line="360" w:lineRule="auto"/>
        <w:jc w:val="both"/>
        <w:rPr>
          <w:rFonts w:ascii="Palatino Linotype" w:eastAsia="Palatino Linotype" w:hAnsi="Palatino Linotype" w:cs="Palatino Linotype"/>
          <w:color w:val="0D0D0D"/>
          <w:sz w:val="22"/>
          <w:szCs w:val="22"/>
        </w:rPr>
      </w:pPr>
    </w:p>
    <w:p w14:paraId="2793AD5F" w14:textId="77777777" w:rsidR="0088743D" w:rsidRDefault="00A42439" w:rsidP="002B080E">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color w:val="0D0D0D"/>
          <w:sz w:val="22"/>
          <w:szCs w:val="22"/>
        </w:rPr>
        <w:t>Por otra parte, respecto al documento requerido, el Glosario localizado en la página de Transparencia Presupuestaria de la Secretaría de Hacienda y Crédito Público (</w:t>
      </w:r>
      <w:hyperlink r:id="rId9">
        <w:r>
          <w:rPr>
            <w:rFonts w:ascii="Palatino Linotype" w:eastAsia="Palatino Linotype" w:hAnsi="Palatino Linotype" w:cs="Palatino Linotype"/>
            <w:color w:val="0563C1"/>
            <w:sz w:val="22"/>
            <w:szCs w:val="22"/>
            <w:u w:val="single"/>
          </w:rPr>
          <w:t>http://www.transparenciapresupuestaria.gob.mx/es/PTP/Glosario</w:t>
        </w:r>
      </w:hyperlink>
      <w:r>
        <w:rPr>
          <w:rFonts w:ascii="Palatino Linotype" w:eastAsia="Palatino Linotype" w:hAnsi="Palatino Linotype" w:cs="Palatino Linotype"/>
          <w:color w:val="0D0D0D"/>
          <w:sz w:val="22"/>
          <w:szCs w:val="22"/>
        </w:rPr>
        <w:t xml:space="preserve">), establece que la </w:t>
      </w:r>
      <w:r>
        <w:rPr>
          <w:rFonts w:ascii="Palatino Linotype" w:eastAsia="Palatino Linotype" w:hAnsi="Palatino Linotype" w:cs="Palatino Linotype"/>
          <w:b/>
          <w:bCs/>
          <w:color w:val="0D0D0D"/>
          <w:sz w:val="22"/>
          <w:szCs w:val="22"/>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76ECF0E" w14:textId="77777777" w:rsidR="0088743D" w:rsidRDefault="0088743D" w:rsidP="002B080E">
      <w:pPr>
        <w:spacing w:line="360" w:lineRule="auto"/>
        <w:jc w:val="both"/>
        <w:rPr>
          <w:rFonts w:ascii="Palatino Linotype" w:eastAsia="Palatino Linotype" w:hAnsi="Palatino Linotype" w:cs="Palatino Linotype"/>
          <w:color w:val="0D0D0D"/>
          <w:sz w:val="22"/>
          <w:szCs w:val="22"/>
        </w:rPr>
      </w:pPr>
    </w:p>
    <w:p w14:paraId="210A391C" w14:textId="77777777" w:rsidR="0088743D" w:rsidRDefault="00A42439" w:rsidP="002B080E">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color w:val="0D0D0D"/>
          <w:sz w:val="22"/>
          <w:szCs w:val="22"/>
        </w:rPr>
        <w:t>De la misma manera, el Glosario de términos más usuales en la Administración Pública Federal, emitido por la Secretaría de Hacienda y Crédito Público (</w:t>
      </w:r>
      <w:hyperlink r:id="rId10">
        <w:r>
          <w:rPr>
            <w:rFonts w:ascii="Palatino Linotype" w:eastAsia="Palatino Linotype" w:hAnsi="Palatino Linotype" w:cs="Palatino Linotype"/>
            <w:color w:val="0563C1"/>
            <w:sz w:val="22"/>
            <w:szCs w:val="22"/>
            <w:u w:val="single"/>
          </w:rPr>
          <w:t>https://www.apartados.hacienda.gob.mx/contabilidad/documentos/informe_cuenta/1998/cuenta_publica/Glosario/n.htm</w:t>
        </w:r>
      </w:hyperlink>
      <w:r>
        <w:rPr>
          <w:rFonts w:ascii="Palatino Linotype" w:eastAsia="Palatino Linotype" w:hAnsi="Palatino Linotype" w:cs="Palatino Linotype"/>
          <w:color w:val="0D0D0D"/>
          <w:sz w:val="22"/>
          <w:szCs w:val="22"/>
        </w:rPr>
        <w:t xml:space="preserve">),  establece que la </w:t>
      </w:r>
      <w:r>
        <w:rPr>
          <w:rFonts w:ascii="Palatino Linotype" w:eastAsia="Palatino Linotype" w:hAnsi="Palatino Linotype" w:cs="Palatino Linotype"/>
          <w:b/>
          <w:bCs/>
          <w:color w:val="0D0D0D"/>
          <w:sz w:val="22"/>
          <w:szCs w:val="22"/>
          <w:u w:val="single"/>
        </w:rPr>
        <w:t>nómina es un listado general</w:t>
      </w:r>
      <w:r>
        <w:rPr>
          <w:rFonts w:ascii="Palatino Linotype" w:eastAsia="Palatino Linotype" w:hAnsi="Palatino Linotype" w:cs="Palatino Linotype"/>
          <w:b/>
          <w:bCs/>
          <w:color w:val="0D0D0D"/>
          <w:sz w:val="22"/>
          <w:szCs w:val="22"/>
        </w:rPr>
        <w:t xml:space="preserve"> de los trabajadores de una institución, en el cual se asientan las percepciones brutas, deducciones y alcance neto de las mismas.</w:t>
      </w:r>
    </w:p>
    <w:p w14:paraId="203DA5AA" w14:textId="77777777" w:rsidR="0088743D" w:rsidRDefault="0088743D" w:rsidP="002B080E">
      <w:pPr>
        <w:spacing w:line="360" w:lineRule="auto"/>
        <w:jc w:val="both"/>
        <w:rPr>
          <w:rFonts w:ascii="Palatino Linotype" w:eastAsia="Palatino Linotype" w:hAnsi="Palatino Linotype" w:cs="Palatino Linotype"/>
          <w:color w:val="0D0D0D"/>
          <w:sz w:val="22"/>
          <w:szCs w:val="22"/>
        </w:rPr>
      </w:pPr>
    </w:p>
    <w:p w14:paraId="780930F6" w14:textId="77777777" w:rsidR="0088743D" w:rsidRDefault="00A42439" w:rsidP="002B080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Conforme a lo anterior, se puede advertir que la nómina se puede referir a lo siguiente: </w:t>
      </w:r>
    </w:p>
    <w:p w14:paraId="13A85524" w14:textId="77777777" w:rsidR="0088743D" w:rsidRDefault="0088743D" w:rsidP="002B080E">
      <w:pPr>
        <w:spacing w:line="360" w:lineRule="auto"/>
        <w:jc w:val="both"/>
        <w:rPr>
          <w:rFonts w:ascii="Palatino Linotype" w:eastAsia="Palatino Linotype" w:hAnsi="Palatino Linotype" w:cs="Palatino Linotype"/>
          <w:color w:val="0D0D0D"/>
          <w:sz w:val="22"/>
          <w:szCs w:val="22"/>
        </w:rPr>
      </w:pPr>
    </w:p>
    <w:p w14:paraId="3BD6FEA6" w14:textId="77777777" w:rsidR="0088743D" w:rsidRDefault="00A42439" w:rsidP="002B080E">
      <w:pPr>
        <w:numPr>
          <w:ilvl w:val="0"/>
          <w:numId w:val="6"/>
        </w:num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Relación de trabajadores con las percepciones monetarias de cada uno.</w:t>
      </w:r>
    </w:p>
    <w:p w14:paraId="41F40577" w14:textId="77777777" w:rsidR="0088743D" w:rsidRDefault="00A42439" w:rsidP="002B080E">
      <w:pPr>
        <w:numPr>
          <w:ilvl w:val="0"/>
          <w:numId w:val="6"/>
        </w:num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Recibo individual que contiene las prestaciones y deducciones de un trabajador. </w:t>
      </w:r>
    </w:p>
    <w:p w14:paraId="498273EE" w14:textId="77777777" w:rsidR="0088743D" w:rsidRDefault="00A42439" w:rsidP="002B080E">
      <w:pPr>
        <w:numPr>
          <w:ilvl w:val="0"/>
          <w:numId w:val="6"/>
        </w:numPr>
        <w:spacing w:line="360" w:lineRule="auto"/>
        <w:jc w:val="both"/>
        <w:rPr>
          <w:rFonts w:ascii="Palatino Linotype" w:eastAsia="Palatino Linotype" w:hAnsi="Palatino Linotype" w:cs="Palatino Linotype"/>
          <w:b/>
          <w:bCs/>
          <w:color w:val="0D0D0D"/>
          <w:sz w:val="22"/>
          <w:szCs w:val="22"/>
          <w:u w:val="single"/>
        </w:rPr>
      </w:pPr>
      <w:r>
        <w:rPr>
          <w:rFonts w:ascii="Palatino Linotype" w:eastAsia="Palatino Linotype" w:hAnsi="Palatino Linotype" w:cs="Palatino Linotype"/>
          <w:b/>
          <w:bCs/>
          <w:color w:val="0D0D0D"/>
          <w:sz w:val="22"/>
          <w:szCs w:val="22"/>
          <w:u w:val="single"/>
        </w:rPr>
        <w:t>Listado general de los servidores públicos de una institución o dependencia, en el cual se asientan las percepciones brutas, deducciones y alcance neto de las mismas.</w:t>
      </w:r>
    </w:p>
    <w:p w14:paraId="141835D9" w14:textId="77777777" w:rsidR="002B080E" w:rsidRDefault="002B080E" w:rsidP="002B080E">
      <w:pPr>
        <w:spacing w:line="360" w:lineRule="auto"/>
        <w:jc w:val="both"/>
        <w:rPr>
          <w:rFonts w:ascii="Palatino Linotype" w:eastAsia="Palatino Linotype" w:hAnsi="Palatino Linotype" w:cs="Palatino Linotype"/>
          <w:sz w:val="22"/>
          <w:szCs w:val="22"/>
        </w:rPr>
      </w:pPr>
    </w:p>
    <w:p w14:paraId="2EDDD19E" w14:textId="2BC733BA"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Establecido lo anterior y en relación a la solicitud del Particular resulta conveniente traer a colación el Reglamento de la Dirección de Administración y Recursos Humanos de Ixtapaluca dos mil veinticinco, en su artículo 23 donde refiere que la Subdirección de Recursos Humanos, se encargara de llevar el registro del personal que labore en la administración pública centralizada y elaborar la nómina de pago correspondiente; así como mantener actualizada la lista del personal laboral activo.</w:t>
      </w:r>
    </w:p>
    <w:p w14:paraId="0EBF66D4"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9E3A843" w14:textId="44926FF3" w:rsidR="002B080E"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tales circunstancias se logra vislumbrar que la pretensión de la persona Recurrente es obtener, </w:t>
      </w:r>
      <w:r w:rsidR="002B080E">
        <w:rPr>
          <w:rFonts w:ascii="Palatino Linotype" w:eastAsia="Palatino Linotype" w:hAnsi="Palatino Linotype" w:cs="Palatino Linotype"/>
          <w:sz w:val="22"/>
          <w:szCs w:val="22"/>
        </w:rPr>
        <w:t>respecto a todos los servidores públicos adscritos al Ayuntamiento de Ixtapaluca, en funciones durante el primero de enero al dieciséis de junio de dos mil veinticinco, los documentos donde conste lo siguiente:</w:t>
      </w:r>
    </w:p>
    <w:p w14:paraId="1CD94DB7" w14:textId="77777777" w:rsidR="002B080E" w:rsidRDefault="002B080E" w:rsidP="002B080E">
      <w:pPr>
        <w:spacing w:line="360" w:lineRule="auto"/>
        <w:jc w:val="both"/>
        <w:rPr>
          <w:rFonts w:ascii="Palatino Linotype" w:eastAsia="Palatino Linotype" w:hAnsi="Palatino Linotype" w:cs="Palatino Linotype"/>
          <w:sz w:val="22"/>
          <w:szCs w:val="22"/>
        </w:rPr>
      </w:pPr>
    </w:p>
    <w:p w14:paraId="783F195C" w14:textId="4AEDDE92" w:rsidR="002B080E" w:rsidRPr="002B080E" w:rsidRDefault="002B080E" w:rsidP="002B080E">
      <w:pPr>
        <w:pStyle w:val="Prrafodelista"/>
        <w:numPr>
          <w:ilvl w:val="0"/>
          <w:numId w:val="8"/>
        </w:numPr>
        <w:spacing w:line="360" w:lineRule="auto"/>
        <w:jc w:val="both"/>
        <w:rPr>
          <w:rFonts w:ascii="Palatino Linotype" w:eastAsia="Palatino Linotype" w:hAnsi="Palatino Linotype" w:cs="Palatino Linotype"/>
          <w:szCs w:val="22"/>
        </w:rPr>
      </w:pPr>
      <w:r>
        <w:rPr>
          <w:rFonts w:ascii="Palatino Linotype" w:eastAsia="Palatino Linotype" w:hAnsi="Palatino Linotype" w:cs="Palatino Linotype"/>
          <w:szCs w:val="22"/>
        </w:rPr>
        <w:t>Nombre, cargo, área de adscripción, nivel jerárquico, categoría del puesto y la remuneración (sueldos, prestaciones ordinarias y extraordinarias) bruta y neta.</w:t>
      </w:r>
    </w:p>
    <w:p w14:paraId="5B6A3FB0" w14:textId="77777777" w:rsidR="002B080E" w:rsidRDefault="002B080E" w:rsidP="002B080E">
      <w:pPr>
        <w:spacing w:line="360" w:lineRule="auto"/>
        <w:jc w:val="both"/>
        <w:rPr>
          <w:rFonts w:ascii="Palatino Linotype" w:eastAsia="Palatino Linotype" w:hAnsi="Palatino Linotype" w:cs="Palatino Linotype"/>
          <w:sz w:val="22"/>
          <w:szCs w:val="22"/>
        </w:rPr>
      </w:pPr>
    </w:p>
    <w:p w14:paraId="0EA5148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Establecida dicha circunstancia, de las constancias que obran en el expediente electrónico, se advierte que el Sujeto Obligado turno la solicitud de información a la Unidad de Transparencia y Dirección de Administración y Recursos Humanos;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E102872"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CEC9539"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de conocer de la información solicitada</w:t>
      </w:r>
    </w:p>
    <w:p w14:paraId="1B2596A2"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C10802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en respuesta en cumplimiento a la Resolución del Recurso de Revisión 08256/INFOEM/IP/RR/2025, la Unidad de Transparencia, remitió varios oficios de turno por medio de los cuales solicitaba a las áreas competentes la información solicitada, tal como se muestra a continuación.</w:t>
      </w:r>
    </w:p>
    <w:p w14:paraId="700FF2BC"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EE00F75" w14:textId="77777777" w:rsidR="0088743D" w:rsidRDefault="00A42439" w:rsidP="002B080E">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76D8CEAC" wp14:editId="767D80BC">
            <wp:extent cx="3718798" cy="63815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70567"/>
                    <a:stretch>
                      <a:fillRect/>
                    </a:stretch>
                  </pic:blipFill>
                  <pic:spPr>
                    <a:xfrm>
                      <a:off x="0" y="0"/>
                      <a:ext cx="3718798" cy="638156"/>
                    </a:xfrm>
                    <a:prstGeom prst="rect">
                      <a:avLst/>
                    </a:prstGeom>
                    <a:ln/>
                  </pic:spPr>
                </pic:pic>
              </a:graphicData>
            </a:graphic>
          </wp:inline>
        </w:drawing>
      </w:r>
    </w:p>
    <w:p w14:paraId="64BDCA67" w14:textId="77777777" w:rsidR="0088743D" w:rsidRDefault="0088743D" w:rsidP="002B080E">
      <w:pPr>
        <w:spacing w:line="360" w:lineRule="auto"/>
        <w:jc w:val="center"/>
        <w:rPr>
          <w:rFonts w:ascii="Palatino Linotype" w:eastAsia="Palatino Linotype" w:hAnsi="Palatino Linotype" w:cs="Palatino Linotype"/>
          <w:sz w:val="22"/>
          <w:szCs w:val="22"/>
        </w:rPr>
      </w:pPr>
    </w:p>
    <w:p w14:paraId="600AB585" w14:textId="110C3F4A"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w:t>
      </w:r>
      <w:r w:rsidR="002B080E">
        <w:rPr>
          <w:rFonts w:ascii="Palatino Linotype" w:eastAsia="Palatino Linotype" w:hAnsi="Palatino Linotype" w:cs="Palatino Linotype"/>
          <w:sz w:val="22"/>
          <w:szCs w:val="22"/>
        </w:rPr>
        <w:t>tema, el</w:t>
      </w:r>
      <w:r>
        <w:rPr>
          <w:rFonts w:ascii="Palatino Linotype" w:eastAsia="Palatino Linotype" w:hAnsi="Palatino Linotype" w:cs="Palatino Linotype"/>
          <w:sz w:val="22"/>
          <w:szCs w:val="22"/>
        </w:rPr>
        <w:t xml:space="preserve"> artículo 1.8, fracción IX, del Código Administrativo del Estado de México, establece que para que un acto administrativo tenga validez, deberá guardar congruencia con lo solicitado. 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principio de congruencia, entendiendo por éste que exista concordancia entre el requerimiento formulado por el particular y la respuesta proporcionada por el sujeto obligado, lo cual en materia de transparencia y acceso a la información pública se traduce en que, las respuestas que emitan los sujetos obligados, deben guardar una relación lógica con lo solicitado, analizando y decidiendo –de manera íntegra- sobre todos los puntos requeridos, a fin de satisfacer la solicitud correspondiente;</w:t>
      </w:r>
    </w:p>
    <w:p w14:paraId="15E2A2E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29168B7" w14:textId="679C6272"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la Unidad de Transparencia, en respuesta, señaló </w:t>
      </w:r>
      <w:r w:rsidR="002B080E">
        <w:rPr>
          <w:rFonts w:ascii="Palatino Linotype" w:eastAsia="Palatino Linotype" w:hAnsi="Palatino Linotype" w:cs="Palatino Linotype"/>
          <w:sz w:val="22"/>
          <w:szCs w:val="22"/>
        </w:rPr>
        <w:t>que al</w:t>
      </w:r>
      <w:r>
        <w:rPr>
          <w:rFonts w:ascii="Palatino Linotype" w:eastAsia="Palatino Linotype" w:hAnsi="Palatino Linotype" w:cs="Palatino Linotype"/>
          <w:sz w:val="22"/>
          <w:szCs w:val="22"/>
        </w:rPr>
        <w:t xml:space="preserve"> no recibir información acerca de los requerimientos solicitados al área competente se veía imposibilitado de brindar la información, lo cual da como resultado que el agravio sea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pues como se refirió no dieron respuesta a la solicitud.</w:t>
      </w:r>
    </w:p>
    <w:p w14:paraId="0F6B0FAC"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944EF23" w14:textId="6654F64E"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para atender el requerimiento de información, la Dirección de Administración y Recursos Humanos, deberán realizar una búsqueda exhaustiva y razonable en los archivos de la presente administración, a efecto de que proporcione </w:t>
      </w:r>
      <w:r>
        <w:rPr>
          <w:rFonts w:ascii="Palatino Linotype" w:eastAsia="Palatino Linotype" w:hAnsi="Palatino Linotype" w:cs="Palatino Linotype"/>
          <w:color w:val="000000"/>
          <w:sz w:val="22"/>
          <w:szCs w:val="22"/>
        </w:rPr>
        <w:t xml:space="preserve">el listado completo </w:t>
      </w:r>
      <w:r w:rsidR="002B080E">
        <w:rPr>
          <w:rFonts w:ascii="Palatino Linotype" w:eastAsia="Palatino Linotype" w:hAnsi="Palatino Linotype" w:cs="Palatino Linotype"/>
          <w:color w:val="000000"/>
          <w:sz w:val="22"/>
          <w:szCs w:val="22"/>
        </w:rPr>
        <w:t>con los datos solicitados</w:t>
      </w:r>
      <w:r>
        <w:rPr>
          <w:rFonts w:ascii="Palatino Linotype" w:eastAsia="Palatino Linotype" w:hAnsi="Palatino Linotype" w:cs="Palatino Linotype"/>
          <w:sz w:val="22"/>
          <w:szCs w:val="22"/>
        </w:rPr>
        <w:t>;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496C74B"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76836DA"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640D2248"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6E9233C"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18F9910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93DD0C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no pasa desapercibido que los documentos que den cuenta de lo solicitado pudieran contener de manera enunciativa más no limitativa los siguientes datos:</w:t>
      </w:r>
    </w:p>
    <w:p w14:paraId="137E1E5C"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85F6345" w14:textId="77777777" w:rsidR="0088743D" w:rsidRDefault="00A42439" w:rsidP="002B080E">
      <w:pPr>
        <w:spacing w:line="360" w:lineRule="auto"/>
        <w:ind w:left="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Clave Única de Registro de Población (CURP);</w:t>
      </w:r>
    </w:p>
    <w:p w14:paraId="2E704295" w14:textId="77777777" w:rsidR="0088743D" w:rsidRDefault="00A42439" w:rsidP="002B080E">
      <w:pPr>
        <w:spacing w:line="360" w:lineRule="auto"/>
        <w:ind w:left="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Registro Federal de Contribuyentes del servidor público (RFC);</w:t>
      </w:r>
    </w:p>
    <w:p w14:paraId="23B712EA" w14:textId="77777777" w:rsidR="0088743D" w:rsidRDefault="00A42439" w:rsidP="002B080E">
      <w:pPr>
        <w:spacing w:line="360" w:lineRule="auto"/>
        <w:ind w:left="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Código QR;</w:t>
      </w:r>
    </w:p>
    <w:p w14:paraId="415D6B1B" w14:textId="77777777" w:rsidR="0088743D" w:rsidRDefault="00A42439" w:rsidP="002B080E">
      <w:pPr>
        <w:spacing w:line="360" w:lineRule="auto"/>
        <w:ind w:left="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Número de seguridad social del Instituto de Seguridad Social del Estado de México y Municipios;</w:t>
      </w:r>
    </w:p>
    <w:p w14:paraId="37E2CB51" w14:textId="77777777" w:rsidR="0088743D" w:rsidRDefault="00A42439" w:rsidP="002B080E">
      <w:pPr>
        <w:spacing w:line="360" w:lineRule="auto"/>
        <w:ind w:left="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Deducciones personales;</w:t>
      </w:r>
    </w:p>
    <w:p w14:paraId="129EBA78" w14:textId="77777777" w:rsidR="0088743D" w:rsidRDefault="00A42439" w:rsidP="002B080E">
      <w:pPr>
        <w:spacing w:line="360" w:lineRule="auto"/>
        <w:ind w:left="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Cuenta Bancaria, y</w:t>
      </w:r>
    </w:p>
    <w:p w14:paraId="6E64517A" w14:textId="77777777" w:rsidR="0088743D" w:rsidRDefault="00A42439" w:rsidP="002B080E">
      <w:pPr>
        <w:spacing w:line="360" w:lineRule="auto"/>
        <w:ind w:left="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Sellos digitales del emisor y del Servicio de Administración Tributaria y cadena original del complemento de certificación digital del órgano previamente señalado.</w:t>
      </w:r>
    </w:p>
    <w:p w14:paraId="1996A4E4"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3408423"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1D1A0D3B"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B7A5419"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6EF8F761"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0373C3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w:t>
      </w:r>
    </w:p>
    <w:p w14:paraId="420D4306"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1D1167F"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w:t>
      </w:r>
      <w:r>
        <w:rPr>
          <w:rFonts w:ascii="Palatino Linotype" w:eastAsia="Palatino Linotype" w:hAnsi="Palatino Linotype" w:cs="Palatino Linotype"/>
          <w:sz w:val="22"/>
          <w:szCs w:val="22"/>
        </w:rPr>
        <w:tab/>
        <w:t xml:space="preserve">Se trate de datos personales o información privada; esto es, información concerniente a una persona física o jurídica colectiva y que esta sea identificada o identificable. </w:t>
      </w:r>
    </w:p>
    <w:p w14:paraId="1D58CD65"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2CC6B9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w:t>
      </w:r>
      <w:r>
        <w:rPr>
          <w:rFonts w:ascii="Palatino Linotype" w:eastAsia="Palatino Linotype" w:hAnsi="Palatino Linotype" w:cs="Palatino Linotype"/>
          <w:sz w:val="22"/>
          <w:szCs w:val="22"/>
        </w:rPr>
        <w:tab/>
        <w:t xml:space="preserve">Para la difusión de los datos, se requiere el consentimiento del titular. </w:t>
      </w:r>
    </w:p>
    <w:p w14:paraId="27476548"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9053945"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872FC28"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E40808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1B90318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5CA055B" w14:textId="77777777" w:rsidR="0088743D" w:rsidRDefault="00A42439" w:rsidP="002B080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sz w:val="22"/>
          <w:szCs w:val="22"/>
        </w:rPr>
        <w:tab/>
        <w:t>Clave Única de Registro de Población (CURP)</w:t>
      </w:r>
    </w:p>
    <w:p w14:paraId="323C35B2"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AE4CC0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672E9C7"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17F3F99"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9B7B54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7B29028"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la Secretaría de Gobernación en las direcciones https://consultas.curp.gob.mx/CurpSP/html/informacionecurpPS.html y https://www.gob.mx/segob/renapo/acciones-y-programas/clave-unica-de-registro-de-poblacion-curp-142226,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085111D2"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9255D1D" w14:textId="77777777" w:rsidR="0088743D" w:rsidRDefault="00A42439" w:rsidP="002B080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primero y segundo apellidos, así como al nombre de pila;</w:t>
      </w:r>
    </w:p>
    <w:p w14:paraId="1971E160" w14:textId="77777777" w:rsidR="0088743D" w:rsidRDefault="00A42439" w:rsidP="002B080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fecha de nacimiento;</w:t>
      </w:r>
    </w:p>
    <w:p w14:paraId="40DFF06C" w14:textId="77777777" w:rsidR="0088743D" w:rsidRDefault="00A42439" w:rsidP="002B080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sexo, y</w:t>
      </w:r>
    </w:p>
    <w:p w14:paraId="6A174330" w14:textId="77777777" w:rsidR="0088743D" w:rsidRDefault="00A42439" w:rsidP="002B080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entidad federativa de nacimiento.</w:t>
      </w:r>
    </w:p>
    <w:p w14:paraId="19796E1E"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2823B08"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dos últimos elementos de la Clave Única de Registro de Población evitan la duplicidad de la Clave y garantizan su correcta integración.</w:t>
      </w:r>
    </w:p>
    <w:p w14:paraId="391F7C58"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7F21F07"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E9D07F6"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9475FF5"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6238E995"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C65E015"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B524F2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FB2AC76"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548EEDED"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A4A8CBF"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bCs/>
          <w:sz w:val="22"/>
          <w:szCs w:val="22"/>
        </w:rPr>
        <w:tab/>
        <w:t>Registro Federal de Contribuyentes (RFC)</w:t>
      </w:r>
    </w:p>
    <w:p w14:paraId="6906213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B357D7F"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E1C394B"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BCEC903"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27025EF8"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10212A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7918FB7"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6434887"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el Registro Federal de Contribuyentes, es un dato personal, ya que hace a las personas físicas identificadas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E425635"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1F21011"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3E5F035D"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E10E08D"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14:paraId="488362EE"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37718E7"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B034AF5"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85F685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bCs/>
          <w:sz w:val="22"/>
          <w:szCs w:val="22"/>
        </w:rPr>
        <w:tab/>
        <w:t>Código bidimensional o Qr</w:t>
      </w:r>
    </w:p>
    <w:p w14:paraId="4F332C3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93547C6"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Incluso con la captura de dicho código, a través de la aplicación móvil del Servicio de Administración Tributaria, permite el acceso al Registro Federal de Contribuyentes, como del Sujeto Obligado, como de los servidores públicos.</w:t>
      </w:r>
    </w:p>
    <w:p w14:paraId="0C0F5D6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480316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04F3501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553A9B8"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bCs/>
          <w:sz w:val="22"/>
          <w:szCs w:val="22"/>
        </w:rPr>
        <w:tab/>
        <w:t>Número de seguridad social del Instituto de Seguridad Social del Estado de México y Municipios</w:t>
      </w:r>
    </w:p>
    <w:p w14:paraId="75A2AFE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D42929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DFDD5A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DFAA085"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2ECC5FC"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074532D"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79A7BE22"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33627EC"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3FA64F18"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A3514B2" w14:textId="77777777" w:rsidR="0088743D" w:rsidRDefault="00A42439" w:rsidP="002B080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sz w:val="22"/>
          <w:szCs w:val="22"/>
        </w:rPr>
        <w:tab/>
        <w:t>Deducciones personales</w:t>
      </w:r>
    </w:p>
    <w:p w14:paraId="1167EDB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B178BC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315931C6"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5D7376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hay otras que se generan con motivo de una sentencia judicial, como es la pensión alimenticia que periódicamente se retira de la cuenta de un empleado, a efecto de que sea entregado a un tercero.  </w:t>
      </w:r>
    </w:p>
    <w:p w14:paraId="6C75F071"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3960076"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2C9C6771"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73912DA"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3394DC89"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0DD351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r>
      <w:r>
        <w:rPr>
          <w:rFonts w:ascii="Palatino Linotype" w:eastAsia="Palatino Linotype" w:hAnsi="Palatino Linotype" w:cs="Palatino Linotype"/>
          <w:b/>
          <w:bCs/>
          <w:sz w:val="22"/>
          <w:szCs w:val="22"/>
        </w:rPr>
        <w:t>Cuenta bancaria de servidores públicos</w:t>
      </w:r>
    </w:p>
    <w:p w14:paraId="714B35A1"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D55662F"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003E0D4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7909F3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mayor abundamiento, resulta necesario traer a colación el Criterio Orientador SO/010/2017, emitido por el entonces Instituto Nacional de Transparencia, Acceso a la Información y Protección de Datos Personales, vigente a la fecha de la solicitud, mismo que establece lo siguiente:</w:t>
      </w:r>
    </w:p>
    <w:p w14:paraId="323981FD"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33C89D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“Cuentas bancarias y/o CLABE interbancaria de personas físicas y morales privadas.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4801EF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231F114"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30FA814E"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53F5C8A" w14:textId="77777777" w:rsidR="0088743D" w:rsidRDefault="00A42439" w:rsidP="002B080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sz w:val="22"/>
          <w:szCs w:val="22"/>
        </w:rPr>
        <w:tab/>
        <w:t>Sellos digitales del emisor y del Servicio de Administración Tributaria y cadena original del complemento de certificación digital del órgano previamente señalado</w:t>
      </w:r>
    </w:p>
    <w:p w14:paraId="3ACDCD62"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44D0BBC"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1AC7EAB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2832F0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cadenas originales y sellos que se agregan a las facturas,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7DB068F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3B715B5" w14:textId="77777777" w:rsidR="0088743D" w:rsidRDefault="00A42439" w:rsidP="002B080E">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14:paraId="51C8B305" w14:textId="77777777" w:rsidR="0088743D" w:rsidRDefault="00A42439" w:rsidP="002B080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Elementos utilizados en la generación de Sellos Digitales:</w:t>
      </w:r>
    </w:p>
    <w:p w14:paraId="1B88A0CF" w14:textId="77777777" w:rsidR="0088743D" w:rsidRDefault="00A42439" w:rsidP="002B080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Cadena Original, el elemento a sellar, en este caso de un comprobante fiscal digital a través de Internet.</w:t>
      </w:r>
    </w:p>
    <w:p w14:paraId="638DDE71" w14:textId="77777777" w:rsidR="0088743D" w:rsidRDefault="00A42439" w:rsidP="002B080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Certificado de Sello Digital y su correspondiente clave privada.</w:t>
      </w:r>
    </w:p>
    <w:p w14:paraId="549B8C8F" w14:textId="77777777" w:rsidR="0088743D" w:rsidRDefault="00A42439" w:rsidP="002B080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Algoritmos de criptografía de clave pública para firma electrónica avanzada.</w:t>
      </w:r>
    </w:p>
    <w:p w14:paraId="6E6C3F49" w14:textId="77777777" w:rsidR="0088743D" w:rsidRDefault="00A42439" w:rsidP="002B080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Especificaciones de conversión de la firma electrónica avanzada a Base 64</w:t>
      </w:r>
      <w:r>
        <w:rPr>
          <w:rFonts w:ascii="Palatino Linotype" w:eastAsia="Palatino Linotype" w:hAnsi="Palatino Linotype" w:cs="Palatino Linotype"/>
          <w:color w:val="000000"/>
          <w:sz w:val="22"/>
          <w:szCs w:val="22"/>
        </w:rPr>
        <w:t>.</w:t>
      </w:r>
    </w:p>
    <w:p w14:paraId="49C4BE97" w14:textId="77777777" w:rsidR="0088743D" w:rsidRDefault="0088743D" w:rsidP="002B080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1BD0966D"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la generación de sellos digitales se utiliza criptografía de clave pública aplicada a una cadena original.</w:t>
      </w:r>
    </w:p>
    <w:p w14:paraId="2C2798D5"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Criptografía de la Clave Pública</w:t>
      </w:r>
    </w:p>
    <w:p w14:paraId="061EF6EE"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6CF3A9E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5AC8F707"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AB99CBC"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 </w:t>
      </w:r>
    </w:p>
    <w:p w14:paraId="6DBEC64A"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AC9F799"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Cabe precisar que existen ocasiones que los datos en análisis se conforman de datos personales, como el CURP, RFC, número de seguridad social, entre otros, por lo que, únicamente podrá clasificar las cadenas y sellos digitales, en el caso que se conformen de datos personales confidenciales, en términos del artículo 143, fracción I, de la Ley de Transparencia y Acceso a la Información Pública del Estado de México y Municipios.</w:t>
      </w:r>
    </w:p>
    <w:p w14:paraId="412C8605"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41E34B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circunstancia, el Sujeto Obligado al entregar la información, deberá tomar en cuenta lo establecido en párrafos anteriores, para que únicamente clasifique aquellos datos que sean confidenciales.</w:t>
      </w:r>
    </w:p>
    <w:p w14:paraId="75D88A6B"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F43317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respecto a la información de la Dirección de Seguridad Pública el Sujeto Obligado se deberá atender lo siguiente:</w:t>
      </w:r>
    </w:p>
    <w:p w14:paraId="1FCC9E95"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7EC8E8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de nombre de las personas servidores públicos la Dirección de Seguridad Pública, 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19238C36"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3C6A094" w14:textId="77777777" w:rsidR="0088743D" w:rsidRPr="002B080E" w:rsidRDefault="00A42439" w:rsidP="002B080E">
      <w:pPr>
        <w:spacing w:line="360" w:lineRule="auto"/>
        <w:ind w:left="567" w:right="567"/>
        <w:jc w:val="both"/>
        <w:rPr>
          <w:rFonts w:ascii="Palatino Linotype" w:eastAsia="Palatino Linotype" w:hAnsi="Palatino Linotype" w:cs="Palatino Linotype"/>
          <w:i/>
          <w:iCs/>
        </w:rPr>
      </w:pPr>
      <w:r w:rsidRPr="002B080E">
        <w:rPr>
          <w:rFonts w:ascii="Palatino Linotype" w:eastAsia="Palatino Linotype" w:hAnsi="Palatino Linotype" w:cs="Palatino Linotype"/>
          <w:b/>
          <w:bCs/>
          <w:i/>
          <w:iCs/>
        </w:rPr>
        <w:t xml:space="preserve"> “Artículo 140. </w:t>
      </w:r>
      <w:r w:rsidRPr="002B080E">
        <w:rPr>
          <w:rFonts w:ascii="Palatino Linotype" w:eastAsia="Palatino Linotype" w:hAnsi="Palatino Linotype" w:cs="Palatino Linotype"/>
          <w:i/>
          <w:iCs/>
        </w:rPr>
        <w:t xml:space="preserve">El acceso a la información pública será restringido excepcionalmente, cuando por razones de interés público, ésta sea clasificada como reservada, conforme a los criterios siguientes: </w:t>
      </w:r>
    </w:p>
    <w:p w14:paraId="760B00A4" w14:textId="77777777" w:rsidR="0088743D" w:rsidRPr="002B080E" w:rsidRDefault="00A42439" w:rsidP="002B080E">
      <w:pPr>
        <w:spacing w:line="360" w:lineRule="auto"/>
        <w:ind w:left="567" w:right="567"/>
        <w:jc w:val="both"/>
        <w:rPr>
          <w:rFonts w:ascii="Palatino Linotype" w:eastAsia="Palatino Linotype" w:hAnsi="Palatino Linotype" w:cs="Palatino Linotype"/>
          <w:i/>
          <w:iCs/>
        </w:rPr>
      </w:pPr>
      <w:r w:rsidRPr="002B080E">
        <w:rPr>
          <w:rFonts w:ascii="Palatino Linotype" w:eastAsia="Palatino Linotype" w:hAnsi="Palatino Linotype" w:cs="Palatino Linotype"/>
          <w:i/>
          <w:iCs/>
        </w:rPr>
        <w:t>…</w:t>
      </w:r>
    </w:p>
    <w:p w14:paraId="1F247A3B" w14:textId="77777777" w:rsidR="0088743D" w:rsidRPr="002B080E" w:rsidRDefault="00A42439" w:rsidP="002B080E">
      <w:pPr>
        <w:spacing w:line="360" w:lineRule="auto"/>
        <w:ind w:left="567" w:right="567"/>
        <w:jc w:val="both"/>
        <w:rPr>
          <w:rFonts w:ascii="Palatino Linotype" w:eastAsia="Palatino Linotype" w:hAnsi="Palatino Linotype" w:cs="Palatino Linotype"/>
          <w:i/>
          <w:iCs/>
        </w:rPr>
      </w:pPr>
      <w:r w:rsidRPr="002B080E">
        <w:rPr>
          <w:rFonts w:ascii="Palatino Linotype" w:eastAsia="Palatino Linotype" w:hAnsi="Palatino Linotype" w:cs="Palatino Linotype"/>
          <w:i/>
          <w:iCs/>
        </w:rPr>
        <w:t>IV. Ponga en riesgo la vida, la seguridad o la salud de una persona física;</w:t>
      </w:r>
    </w:p>
    <w:p w14:paraId="5571FD94" w14:textId="77777777" w:rsidR="0088743D" w:rsidRPr="002B080E" w:rsidRDefault="00A42439" w:rsidP="002B080E">
      <w:pPr>
        <w:spacing w:line="360" w:lineRule="auto"/>
        <w:ind w:left="567" w:right="567"/>
        <w:jc w:val="both"/>
        <w:rPr>
          <w:rFonts w:ascii="Palatino Linotype" w:eastAsia="Palatino Linotype" w:hAnsi="Palatino Linotype" w:cs="Palatino Linotype"/>
          <w:b/>
          <w:bCs/>
          <w:i/>
          <w:iCs/>
        </w:rPr>
      </w:pPr>
      <w:r w:rsidRPr="002B080E">
        <w:rPr>
          <w:rFonts w:ascii="Palatino Linotype" w:eastAsia="Palatino Linotype" w:hAnsi="Palatino Linotype" w:cs="Palatino Linotype"/>
          <w:i/>
          <w:iCs/>
        </w:rPr>
        <w:t>…”</w:t>
      </w:r>
      <w:r w:rsidRPr="002B080E">
        <w:rPr>
          <w:rFonts w:ascii="Palatino Linotype" w:eastAsia="Palatino Linotype" w:hAnsi="Palatino Linotype" w:cs="Palatino Linotype"/>
          <w:b/>
          <w:bCs/>
          <w:i/>
          <w:iCs/>
        </w:rPr>
        <w:t xml:space="preserve"> </w:t>
      </w:r>
    </w:p>
    <w:p w14:paraId="1119EFE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B165D25"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14002C8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5BA34CD"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“Vigésimo tercero. 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338887EC"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7D32E58"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1BA5B5F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F43AAD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artículo 81, fracción III, de la Ley de Seguridad del Estado de México, establece lo siguiente:</w:t>
      </w:r>
    </w:p>
    <w:p w14:paraId="21FCC9BA"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9D3A814" w14:textId="77777777" w:rsidR="0088743D" w:rsidRPr="002B080E" w:rsidRDefault="00A42439" w:rsidP="002B080E">
      <w:pPr>
        <w:spacing w:line="360" w:lineRule="auto"/>
        <w:ind w:left="567" w:right="567"/>
        <w:jc w:val="both"/>
        <w:rPr>
          <w:rFonts w:ascii="Palatino Linotype" w:eastAsia="Palatino Linotype" w:hAnsi="Palatino Linotype" w:cs="Palatino Linotype"/>
          <w:i/>
          <w:iCs/>
        </w:rPr>
      </w:pPr>
      <w:r w:rsidRPr="002B080E">
        <w:rPr>
          <w:rFonts w:ascii="Palatino Linotype" w:eastAsia="Palatino Linotype" w:hAnsi="Palatino Linotype" w:cs="Palatino Linotype"/>
          <w:b/>
          <w:bCs/>
          <w:i/>
          <w:iCs/>
        </w:rPr>
        <w:t>“Artículo 81.-</w:t>
      </w:r>
      <w:r w:rsidRPr="002B080E">
        <w:rPr>
          <w:rFonts w:ascii="Palatino Linotype" w:eastAsia="Palatino Linotype" w:hAnsi="Palatino Linotype" w:cs="Palatino Linotype"/>
          <w:i/>
          <w:iC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7E3FA5B" w14:textId="77777777" w:rsidR="0088743D" w:rsidRPr="002B080E" w:rsidRDefault="00A42439" w:rsidP="002B080E">
      <w:pPr>
        <w:spacing w:line="360" w:lineRule="auto"/>
        <w:ind w:left="567" w:right="567"/>
        <w:jc w:val="both"/>
        <w:rPr>
          <w:rFonts w:ascii="Palatino Linotype" w:eastAsia="Palatino Linotype" w:hAnsi="Palatino Linotype" w:cs="Palatino Linotype"/>
          <w:i/>
          <w:iCs/>
        </w:rPr>
      </w:pPr>
      <w:r w:rsidRPr="002B080E">
        <w:rPr>
          <w:rFonts w:ascii="Palatino Linotype" w:eastAsia="Palatino Linotype" w:hAnsi="Palatino Linotype" w:cs="Palatino Linotype"/>
          <w:i/>
          <w:iCs/>
        </w:rPr>
        <w:t>…</w:t>
      </w:r>
    </w:p>
    <w:p w14:paraId="10084EE7" w14:textId="77777777" w:rsidR="0088743D" w:rsidRPr="002B080E" w:rsidRDefault="00A42439" w:rsidP="002B080E">
      <w:pPr>
        <w:spacing w:line="360" w:lineRule="auto"/>
        <w:ind w:left="567" w:right="567"/>
        <w:jc w:val="both"/>
        <w:rPr>
          <w:rFonts w:ascii="Palatino Linotype" w:eastAsia="Palatino Linotype" w:hAnsi="Palatino Linotype" w:cs="Palatino Linotype"/>
          <w:i/>
          <w:iCs/>
        </w:rPr>
      </w:pPr>
      <w:r w:rsidRPr="002B080E">
        <w:rPr>
          <w:rFonts w:ascii="Palatino Linotype" w:eastAsia="Palatino Linotype" w:hAnsi="Palatino Linotype" w:cs="Palatino Linotype"/>
          <w:i/>
          <w:iCs/>
        </w:rPr>
        <w:t>III. La relativa a los servidores públicos integrantes de las instituciones de seguridad pública, cuya revelación pueda poner en riesgo su vida e integridad física con motivo de sus funciones;</w:t>
      </w:r>
    </w:p>
    <w:p w14:paraId="29C79F3A" w14:textId="77777777" w:rsidR="0088743D" w:rsidRPr="002B080E" w:rsidRDefault="00A42439" w:rsidP="002B080E">
      <w:pPr>
        <w:spacing w:line="360" w:lineRule="auto"/>
        <w:ind w:left="567" w:right="567"/>
        <w:jc w:val="both"/>
        <w:rPr>
          <w:rFonts w:ascii="Palatino Linotype" w:eastAsia="Palatino Linotype" w:hAnsi="Palatino Linotype" w:cs="Palatino Linotype"/>
          <w:i/>
          <w:iCs/>
        </w:rPr>
      </w:pPr>
      <w:r w:rsidRPr="002B080E">
        <w:rPr>
          <w:rFonts w:ascii="Palatino Linotype" w:eastAsia="Palatino Linotype" w:hAnsi="Palatino Linotype" w:cs="Palatino Linotype"/>
          <w:i/>
          <w:iCs/>
        </w:rPr>
        <w:t>…”</w:t>
      </w:r>
    </w:p>
    <w:p w14:paraId="6A344D75"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38C7617"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6E9B4278"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551E80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423E7CA7"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240EA08"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resulta necesario traer a colación por analogía, el Criterio Orientador, con número de registro SO/006/2009, de la Primera Época, emitido por el entonces Instituto Federal de Acceso a la Información y Protección de Datos ahora Instituto Nacional de Transparencia, Acceso a la Información y Protección de Datos Personales, vigente a la fecha de la solicitud, que establece lo siguiente:</w:t>
      </w:r>
    </w:p>
    <w:p w14:paraId="3F5F2D2B"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15492A1" w14:textId="77777777" w:rsidR="0088743D" w:rsidRPr="002B080E" w:rsidRDefault="00A42439" w:rsidP="002B080E">
      <w:pPr>
        <w:spacing w:line="360" w:lineRule="auto"/>
        <w:ind w:left="567" w:right="567"/>
        <w:jc w:val="both"/>
        <w:rPr>
          <w:rFonts w:ascii="Palatino Linotype" w:eastAsia="Palatino Linotype" w:hAnsi="Palatino Linotype" w:cs="Palatino Linotype"/>
          <w:i/>
          <w:iCs/>
        </w:rPr>
      </w:pPr>
      <w:r w:rsidRPr="002B080E">
        <w:rPr>
          <w:rFonts w:ascii="Palatino Linotype" w:eastAsia="Palatino Linotype" w:hAnsi="Palatino Linotype" w:cs="Palatino Linotype"/>
          <w:b/>
          <w:bCs/>
          <w:i/>
          <w:iCs/>
        </w:rPr>
        <w:t>“Nombres de servidores públicos dedicados a actividades en materia de seguridad, por excepción pueden considerarse información reservada.</w:t>
      </w:r>
      <w:r w:rsidRPr="002B080E">
        <w:rPr>
          <w:rFonts w:ascii="Palatino Linotype" w:eastAsia="Palatino Linotype" w:hAnsi="Palatino Linotype" w:cs="Palatino Linotype"/>
          <w:i/>
          <w:iC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489F351"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B48598C"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41A011A6"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4D1D337"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70A0AA8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EBA530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2D0F5177" w14:textId="77777777" w:rsidR="0088743D" w:rsidRDefault="0088743D" w:rsidP="002B080E">
      <w:pPr>
        <w:spacing w:line="360" w:lineRule="auto"/>
        <w:jc w:val="both"/>
        <w:rPr>
          <w:rFonts w:ascii="Palatino Linotype" w:eastAsia="Palatino Linotype" w:hAnsi="Palatino Linotype" w:cs="Palatino Linotype"/>
          <w:sz w:val="22"/>
          <w:szCs w:val="22"/>
        </w:rPr>
      </w:pPr>
    </w:p>
    <w:p w14:paraId="3FB4FE9F"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D99030A"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21651F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6°, fracciones XI y XII de dicho ordenamiento jurídico, establece los siguientes conceptos:</w:t>
      </w:r>
    </w:p>
    <w:p w14:paraId="7D53B84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FD0D762" w14:textId="77777777" w:rsidR="0088743D" w:rsidRDefault="00A42439" w:rsidP="002B080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bCs/>
          <w:color w:val="000000"/>
          <w:sz w:val="22"/>
          <w:szCs w:val="22"/>
        </w:rPr>
        <w:tab/>
        <w:t>Instituciones Policiales:</w:t>
      </w:r>
      <w:r>
        <w:rPr>
          <w:rFonts w:ascii="Palatino Linotype" w:eastAsia="Palatino Linotype" w:hAnsi="Palatino Linotype" w:cs="Palatino Linotype"/>
          <w:color w:val="000000"/>
          <w:sz w:val="22"/>
          <w:szCs w:val="22"/>
        </w:rPr>
        <w:t xml:space="preserve">  Son los cuerpos de policía, de vigilancia y custodia de los establecimientos penitenciarios, detención preventiva, centros de arraigo y en general, todas las dependencias encargadas de la seguridad pública a nivel estatal y municipal.</w:t>
      </w:r>
    </w:p>
    <w:p w14:paraId="59E37396"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5D6290C" w14:textId="77777777" w:rsidR="0088743D" w:rsidRDefault="00A42439" w:rsidP="002B080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color w:val="000000"/>
          <w:sz w:val="22"/>
          <w:szCs w:val="22"/>
        </w:rPr>
        <w:tab/>
      </w:r>
      <w:r>
        <w:rPr>
          <w:rFonts w:ascii="Palatino Linotype" w:eastAsia="Palatino Linotype" w:hAnsi="Palatino Linotype" w:cs="Palatino Linotype"/>
          <w:b/>
          <w:bCs/>
          <w:color w:val="000000"/>
          <w:sz w:val="22"/>
          <w:szCs w:val="22"/>
        </w:rPr>
        <w:t>Instituciones de Seguridad Pública:</w:t>
      </w:r>
      <w:r>
        <w:rPr>
          <w:rFonts w:ascii="Palatino Linotype" w:eastAsia="Palatino Linotype" w:hAnsi="Palatino Linotype" w:cs="Palatino Linotype"/>
          <w:color w:val="000000"/>
          <w:sz w:val="22"/>
          <w:szCs w:val="22"/>
        </w:rPr>
        <w:t xml:space="preserve"> Instituciones Policiales, Procuración de Justicia, Sistema Penitenciario y dependencias encargadas de la seguridad pública a nivel estatal y municipal.</w:t>
      </w:r>
    </w:p>
    <w:p w14:paraId="03F165E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EDE759A"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puede deducir que la Dirección de Seguridad Pública, es una institución de seguridad pública, pues tiene como atribución principal, la prevención de delitos y proteger a las personas, sus propiedades, posesiones y derechos.</w:t>
      </w:r>
    </w:p>
    <w:p w14:paraId="1752815F"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339C69E"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Instructivo de llenado del Formato “Personal de Seguridad Pública”, del Secretariado Ejecutivo del Sistema Nacional de Seguridad Pública, establece que los elementos operativos de seguridad pública, son aquellos que desempeñan funciones de campo (policiales, especializadas o equivalentes y que no desempeña funciones de mando), entre los cuales, se encuentra la Policía Municipal.</w:t>
      </w:r>
    </w:p>
    <w:p w14:paraId="6A85829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EEF1FD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advierte que las Instituciones Policiales, se conforman del personal administrativo, que son los trabajadores de apoyo (chofer, personal de mantenimiento, servicios generales y área secretaría); así como, el personal de mando (alto, medio y superior), que es aquel que realiza funciones de dirección, coordinación y supervisión, por lo cual, corresponde a aquel que tenga trabajadores a su cargo.</w:t>
      </w:r>
    </w:p>
    <w:p w14:paraId="56A4434E"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6B6F1E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092CFE7"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Sin embargo, por lo que hace al personal administrativo y los mandos medios y superiores,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1B3E8692"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8BD449D"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1FFE1B82" w14:textId="77777777" w:rsidR="0088743D" w:rsidRDefault="0088743D" w:rsidP="002B080E">
      <w:pPr>
        <w:spacing w:line="360" w:lineRule="auto"/>
        <w:jc w:val="both"/>
        <w:rPr>
          <w:rFonts w:ascii="Palatino Linotype" w:eastAsia="Palatino Linotype" w:hAnsi="Palatino Linotype" w:cs="Palatino Linotype"/>
          <w:sz w:val="22"/>
          <w:szCs w:val="22"/>
        </w:rPr>
      </w:pPr>
    </w:p>
    <w:p w14:paraId="72720B9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1C327C24"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7D1290C"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tales consideraciones, resulta procedente la reserva del nombre de los elementos operativos adscritos a la Dirección de Seguridad Pública, en términos del artículo 140, fracción IV, de la Ley de Transparencia y Acceso a la Información Pública del Estado de México y Municipios. No obstante, no podrá clasificar al personal administrativo, ni los mandos medios o superiores de dicha área.</w:t>
      </w:r>
    </w:p>
    <w:p w14:paraId="0E20A580"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579E7CF"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00BEAE8B"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E3AC2C5"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w:t>
      </w:r>
      <w:r>
        <w:rPr>
          <w:rFonts w:ascii="Palatino Linotype" w:eastAsia="Palatino Linotype" w:hAnsi="Palatino Linotype" w:cs="Palatino Linotype"/>
          <w:sz w:val="22"/>
          <w:szCs w:val="22"/>
        </w:rPr>
        <w:tab/>
        <w:t>La divulgación de la información representa un riesgo real, demostrable e identificable de perjuicio significativo al interés público o a la seguridad nacional.</w:t>
      </w:r>
    </w:p>
    <w:p w14:paraId="1F4EC2DB"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B960EE2"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w:t>
      </w:r>
      <w:r>
        <w:rPr>
          <w:rFonts w:ascii="Palatino Linotype" w:eastAsia="Palatino Linotype" w:hAnsi="Palatino Linotype" w:cs="Palatino Linotype"/>
          <w:sz w:val="22"/>
          <w:szCs w:val="22"/>
        </w:rPr>
        <w:tab/>
        <w:t>El riesgo de perjuicio supera el interés público general de que se difunda.</w:t>
      </w:r>
    </w:p>
    <w:p w14:paraId="36C5C297" w14:textId="77777777" w:rsidR="0088743D" w:rsidRDefault="0088743D" w:rsidP="002B080E">
      <w:pPr>
        <w:spacing w:line="360" w:lineRule="auto"/>
        <w:jc w:val="both"/>
        <w:rPr>
          <w:rFonts w:ascii="Palatino Linotype" w:eastAsia="Palatino Linotype" w:hAnsi="Palatino Linotype" w:cs="Palatino Linotype"/>
          <w:sz w:val="22"/>
          <w:szCs w:val="22"/>
        </w:rPr>
      </w:pPr>
    </w:p>
    <w:p w14:paraId="5BC6EBD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III.</w:t>
      </w:r>
      <w:r>
        <w:rPr>
          <w:rFonts w:ascii="Palatino Linotype" w:eastAsia="Palatino Linotype" w:hAnsi="Palatino Linotype" w:cs="Palatino Linotype"/>
          <w:sz w:val="22"/>
          <w:szCs w:val="22"/>
        </w:rPr>
        <w:tab/>
        <w:t>Que la limitación se adecua al principio de proporcionalidad y representa el medio menos restrictivo disponible para evitar el perjuicio.</w:t>
      </w:r>
    </w:p>
    <w:p w14:paraId="795181B2"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6E98286"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07412813"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9AB08C3"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 Dirección de Seguridad Pública, de manera fundada y motivada, mediante la respectiva prueba de daño, y deberá proporcionar la información del personal administrativo y mandos medios y superiores de dicha área.</w:t>
      </w:r>
    </w:p>
    <w:p w14:paraId="617C12F4" w14:textId="77777777" w:rsidR="0088743D" w:rsidRDefault="0088743D" w:rsidP="002B080E">
      <w:pPr>
        <w:spacing w:line="360" w:lineRule="auto"/>
        <w:jc w:val="both"/>
        <w:rPr>
          <w:rFonts w:ascii="Palatino Linotype" w:eastAsia="Palatino Linotype" w:hAnsi="Palatino Linotype" w:cs="Palatino Linotype"/>
          <w:sz w:val="22"/>
          <w:szCs w:val="22"/>
        </w:rPr>
      </w:pPr>
    </w:p>
    <w:p w14:paraId="6FF00CF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para atender el requerimiento deberá proporcionar los documentos solicitados en versión pública; 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672EDA10" w14:textId="77777777" w:rsidR="0088743D" w:rsidRDefault="0088743D" w:rsidP="002B080E">
      <w:pPr>
        <w:spacing w:line="360" w:lineRule="auto"/>
        <w:jc w:val="both"/>
        <w:rPr>
          <w:rFonts w:ascii="Palatino Linotype" w:eastAsia="Palatino Linotype" w:hAnsi="Palatino Linotype" w:cs="Palatino Linotype"/>
          <w:sz w:val="22"/>
          <w:szCs w:val="22"/>
        </w:rPr>
      </w:pPr>
    </w:p>
    <w:p w14:paraId="0B7092C6" w14:textId="77777777" w:rsidR="0088743D" w:rsidRDefault="00A42439" w:rsidP="002B080E">
      <w:pPr>
        <w:pStyle w:val="Ttulo2"/>
      </w:pPr>
      <w:bookmarkStart w:id="31" w:name="_heading=h.z8dcmitughtj" w:colFirst="0" w:colLast="0"/>
      <w:bookmarkStart w:id="32" w:name="_Toc223018010"/>
      <w:bookmarkEnd w:id="31"/>
      <w:r>
        <w:t>SEXTO. Decisión</w:t>
      </w:r>
      <w:bookmarkEnd w:id="32"/>
    </w:p>
    <w:p w14:paraId="78BB6C2D"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931E7AB"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fundamento en el artículo 186, fracción III, de la Ley de Transparencia y Acceso a la Información Pública del Estado de México y Municipios, este Instituto considera procedente</w:t>
      </w:r>
    </w:p>
    <w:p w14:paraId="1A916590"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REVOCAR</w:t>
      </w:r>
      <w:r>
        <w:rPr>
          <w:rFonts w:ascii="Palatino Linotype" w:eastAsia="Palatino Linotype" w:hAnsi="Palatino Linotype" w:cs="Palatino Linotype"/>
          <w:sz w:val="22"/>
          <w:szCs w:val="22"/>
        </w:rPr>
        <w:t xml:space="preserve"> la respuesta otorgada por el Sujeto Obligado a la solicitud de información a efecto de que, entregue la información solicitada.</w:t>
      </w:r>
    </w:p>
    <w:p w14:paraId="56F20201" w14:textId="77777777" w:rsidR="0088743D" w:rsidRDefault="0088743D" w:rsidP="002B080E">
      <w:pPr>
        <w:spacing w:line="360" w:lineRule="auto"/>
        <w:jc w:val="both"/>
        <w:rPr>
          <w:rFonts w:ascii="Palatino Linotype" w:eastAsia="Palatino Linotype" w:hAnsi="Palatino Linotype" w:cs="Palatino Linotype"/>
          <w:sz w:val="22"/>
          <w:szCs w:val="22"/>
        </w:rPr>
      </w:pPr>
    </w:p>
    <w:p w14:paraId="1D43BF26" w14:textId="77777777" w:rsidR="0088743D" w:rsidRDefault="00A42439" w:rsidP="002B080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4B08E607" w14:textId="77777777" w:rsidR="0088743D" w:rsidRDefault="0088743D" w:rsidP="002B080E">
      <w:pPr>
        <w:spacing w:line="360" w:lineRule="auto"/>
        <w:jc w:val="both"/>
        <w:rPr>
          <w:rFonts w:ascii="Palatino Linotype" w:eastAsia="Palatino Linotype" w:hAnsi="Palatino Linotype" w:cs="Palatino Linotype"/>
          <w:b/>
          <w:bCs/>
          <w:sz w:val="22"/>
          <w:szCs w:val="22"/>
        </w:rPr>
      </w:pPr>
    </w:p>
    <w:p w14:paraId="3A81C581" w14:textId="04F99A76"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 búsqueda exhaustiva y razonable en sus archivos, y en su caso, entregarle la documentación que corresponda. </w:t>
      </w:r>
      <w:r>
        <w:rPr>
          <w:rFonts w:ascii="Palatino Linotype" w:eastAsia="Palatino Linotype" w:hAnsi="Palatino Linotype" w:cs="Palatino Linotype"/>
          <w:color w:val="000000"/>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1F82C6F9"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77180184"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6EFF1498" w14:textId="77777777" w:rsidR="0088743D" w:rsidRDefault="0088743D" w:rsidP="002B080E">
      <w:pPr>
        <w:spacing w:line="360" w:lineRule="auto"/>
        <w:jc w:val="both"/>
        <w:rPr>
          <w:rFonts w:ascii="Palatino Linotype" w:eastAsia="Palatino Linotype" w:hAnsi="Palatino Linotype" w:cs="Palatino Linotype"/>
          <w:sz w:val="22"/>
          <w:szCs w:val="22"/>
        </w:rPr>
      </w:pPr>
    </w:p>
    <w:p w14:paraId="4AC5FDEF" w14:textId="77777777" w:rsidR="0088743D" w:rsidRDefault="00A42439" w:rsidP="002B080E">
      <w:pPr>
        <w:pStyle w:val="Ttulo1"/>
      </w:pPr>
      <w:bookmarkStart w:id="33" w:name="_heading=h.vco11kxvbwhj" w:colFirst="0" w:colLast="0"/>
      <w:bookmarkStart w:id="34" w:name="_Toc223018011"/>
      <w:bookmarkEnd w:id="33"/>
      <w:r>
        <w:t>R E S U E L V E</w:t>
      </w:r>
      <w:bookmarkEnd w:id="34"/>
    </w:p>
    <w:p w14:paraId="28AB9743" w14:textId="77777777" w:rsidR="0088743D" w:rsidRDefault="0088743D" w:rsidP="002B080E">
      <w:pPr>
        <w:spacing w:line="360" w:lineRule="auto"/>
        <w:jc w:val="both"/>
        <w:rPr>
          <w:rFonts w:ascii="Palatino Linotype" w:eastAsia="Palatino Linotype" w:hAnsi="Palatino Linotype" w:cs="Palatino Linotype"/>
          <w:b/>
          <w:bCs/>
          <w:sz w:val="22"/>
          <w:szCs w:val="22"/>
        </w:rPr>
      </w:pPr>
    </w:p>
    <w:p w14:paraId="59D6AC39" w14:textId="77777777"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bCs/>
          <w:color w:val="000000"/>
          <w:sz w:val="22"/>
          <w:szCs w:val="22"/>
        </w:rPr>
        <w:t xml:space="preserve">REVOCA </w:t>
      </w:r>
      <w:r>
        <w:rPr>
          <w:rFonts w:ascii="Palatino Linotype" w:eastAsia="Palatino Linotype" w:hAnsi="Palatino Linotype" w:cs="Palatino Linotype"/>
          <w:color w:val="000000"/>
          <w:sz w:val="22"/>
          <w:szCs w:val="22"/>
        </w:rPr>
        <w:t xml:space="preserve">la respuesta entregada por el Ayuntamiento de Ixtapaluca, en cumplimiento a la Resolución del Recurso de Revisión </w:t>
      </w:r>
      <w:r>
        <w:rPr>
          <w:rFonts w:ascii="Palatino Linotype" w:eastAsia="Palatino Linotype" w:hAnsi="Palatino Linotype" w:cs="Palatino Linotype"/>
          <w:sz w:val="22"/>
          <w:szCs w:val="22"/>
        </w:rPr>
        <w:t>8526/INFOEM/IP/RR/2025</w:t>
      </w:r>
      <w:r>
        <w:rPr>
          <w:rFonts w:ascii="Palatino Linotype" w:eastAsia="Palatino Linotype" w:hAnsi="Palatino Linotype" w:cs="Palatino Linotype"/>
          <w:color w:val="000000"/>
          <w:sz w:val="22"/>
          <w:szCs w:val="22"/>
        </w:rPr>
        <w:t xml:space="preserve">, por resultar </w:t>
      </w:r>
      <w:r>
        <w:rPr>
          <w:rFonts w:ascii="Palatino Linotype" w:eastAsia="Palatino Linotype" w:hAnsi="Palatino Linotype" w:cs="Palatino Linotype"/>
          <w:b/>
          <w:bCs/>
          <w:color w:val="000000"/>
          <w:sz w:val="22"/>
          <w:szCs w:val="22"/>
        </w:rPr>
        <w:t xml:space="preserve">FUNDADAS </w:t>
      </w:r>
      <w:r>
        <w:rPr>
          <w:rFonts w:ascii="Palatino Linotype" w:eastAsia="Palatino Linotype" w:hAnsi="Palatino Linotype" w:cs="Palatino Linotype"/>
          <w:color w:val="000000"/>
          <w:sz w:val="22"/>
          <w:szCs w:val="22"/>
        </w:rPr>
        <w:t>las razones o motivos de inconformidad hechos valer por el Recurrente, en términos de los considerandos QUINTO y SEXTO de la presente Resolución</w:t>
      </w:r>
    </w:p>
    <w:p w14:paraId="1B99DA1B" w14:textId="77777777" w:rsidR="0088743D" w:rsidRDefault="0088743D" w:rsidP="002B080E">
      <w:pPr>
        <w:spacing w:line="360" w:lineRule="auto"/>
        <w:jc w:val="both"/>
        <w:rPr>
          <w:rFonts w:ascii="Palatino Linotype" w:eastAsia="Palatino Linotype" w:hAnsi="Palatino Linotype" w:cs="Palatino Linotype"/>
          <w:sz w:val="22"/>
          <w:szCs w:val="22"/>
        </w:rPr>
      </w:pPr>
    </w:p>
    <w:p w14:paraId="2460824E" w14:textId="4AFFA3DC" w:rsidR="002B080E"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 xml:space="preserve">al Sujeto Obligado, a efecto de que previa búsqueda exhaustiva y razonable en los archivos de las unidades administrativas competentes, entregue a través del Sistema de Acceso a la Información Mexiquense (SAIMEX), en su caso en versión pública, </w:t>
      </w:r>
      <w:r w:rsidR="00DD0169">
        <w:rPr>
          <w:rFonts w:ascii="Palatino Linotype" w:eastAsia="Palatino Linotype" w:hAnsi="Palatino Linotype" w:cs="Palatino Linotype"/>
          <w:sz w:val="22"/>
          <w:szCs w:val="22"/>
        </w:rPr>
        <w:t>los documentos en formato “</w:t>
      </w:r>
      <w:r w:rsidR="00DD0169" w:rsidRPr="00DD0169">
        <w:rPr>
          <w:rFonts w:ascii="Palatino Linotype" w:eastAsia="Palatino Linotype" w:hAnsi="Palatino Linotype" w:cs="Palatino Linotype"/>
          <w:sz w:val="22"/>
          <w:szCs w:val="22"/>
        </w:rPr>
        <w:t>.xlsx</w:t>
      </w:r>
      <w:r w:rsidR="00DD0169">
        <w:rPr>
          <w:rFonts w:ascii="Palatino Linotype" w:eastAsia="Palatino Linotype" w:hAnsi="Palatino Linotype" w:cs="Palatino Linotype"/>
          <w:sz w:val="22"/>
          <w:szCs w:val="22"/>
        </w:rPr>
        <w:t xml:space="preserve">”, “.csv” o en aquel en que se haya generado, </w:t>
      </w:r>
      <w:r w:rsidR="002B080E">
        <w:rPr>
          <w:rFonts w:ascii="Palatino Linotype" w:eastAsia="Palatino Linotype" w:hAnsi="Palatino Linotype" w:cs="Palatino Linotype"/>
          <w:sz w:val="22"/>
          <w:szCs w:val="22"/>
        </w:rPr>
        <w:t>respecto a todos los servidores públicos adscritos al Ayuntamiento de Ixtapaluca, en funciones durante el primero de enero al dieciséis de junio de dos mil veinticinco, donde conste lo siguiente:</w:t>
      </w:r>
    </w:p>
    <w:p w14:paraId="2573B7E3" w14:textId="77777777" w:rsidR="002B080E" w:rsidRDefault="002B080E" w:rsidP="002B080E">
      <w:pPr>
        <w:spacing w:line="360" w:lineRule="auto"/>
        <w:jc w:val="both"/>
        <w:rPr>
          <w:rFonts w:ascii="Palatino Linotype" w:eastAsia="Palatino Linotype" w:hAnsi="Palatino Linotype" w:cs="Palatino Linotype"/>
          <w:sz w:val="22"/>
          <w:szCs w:val="22"/>
        </w:rPr>
      </w:pPr>
    </w:p>
    <w:p w14:paraId="6362593A" w14:textId="77777777" w:rsidR="002B080E" w:rsidRPr="002B080E" w:rsidRDefault="002B080E" w:rsidP="002B080E">
      <w:pPr>
        <w:pStyle w:val="Prrafodelista"/>
        <w:numPr>
          <w:ilvl w:val="0"/>
          <w:numId w:val="8"/>
        </w:numPr>
        <w:spacing w:line="360" w:lineRule="auto"/>
        <w:jc w:val="both"/>
        <w:rPr>
          <w:rFonts w:ascii="Palatino Linotype" w:eastAsia="Palatino Linotype" w:hAnsi="Palatino Linotype" w:cs="Palatino Linotype"/>
          <w:szCs w:val="22"/>
        </w:rPr>
      </w:pPr>
      <w:r>
        <w:rPr>
          <w:rFonts w:ascii="Palatino Linotype" w:eastAsia="Palatino Linotype" w:hAnsi="Palatino Linotype" w:cs="Palatino Linotype"/>
          <w:szCs w:val="22"/>
        </w:rPr>
        <w:t>Nombre, cargo, área de adscripción, nivel jerárquico, categoría del puesto y la remuneración (sueldos, prestaciones ordinarias y extraordinarias) bruta y neta.</w:t>
      </w:r>
    </w:p>
    <w:p w14:paraId="5D8E6FAE" w14:textId="77777777" w:rsidR="00DD0169" w:rsidRDefault="00DD0169" w:rsidP="002B080E">
      <w:pPr>
        <w:spacing w:line="360" w:lineRule="auto"/>
        <w:jc w:val="both"/>
        <w:rPr>
          <w:rFonts w:ascii="Palatino Linotype" w:eastAsia="Palatino Linotype" w:hAnsi="Palatino Linotype" w:cs="Palatino Linotype"/>
          <w:sz w:val="22"/>
          <w:szCs w:val="22"/>
        </w:rPr>
      </w:pPr>
    </w:p>
    <w:p w14:paraId="19A0001A" w14:textId="1EF2A41B"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 ser necesario, deberá proporcionar el Acuerdo de Clasificación donde el Comité de Transparencia, confirme la eliminación de los datos o información, en la versión pública, en términos del Considerando QUINTO, de conformidad con los artículos 49, fracciones II y VIII y 132, fracción II de la Ley de Transparencia y Acceso a la Información Pública del Estado de México y Municipios.</w:t>
      </w:r>
    </w:p>
    <w:p w14:paraId="259E04F3" w14:textId="77777777" w:rsidR="0088743D" w:rsidRDefault="0088743D" w:rsidP="002B080E">
      <w:pPr>
        <w:spacing w:line="360" w:lineRule="auto"/>
        <w:ind w:left="360"/>
        <w:jc w:val="both"/>
        <w:rPr>
          <w:rFonts w:ascii="Palatino Linotype" w:eastAsia="Palatino Linotype" w:hAnsi="Palatino Linotype" w:cs="Palatino Linotype"/>
          <w:sz w:val="22"/>
          <w:szCs w:val="22"/>
        </w:rPr>
      </w:pPr>
    </w:p>
    <w:p w14:paraId="3A30B618" w14:textId="77777777" w:rsidR="0088743D" w:rsidRDefault="00A42439" w:rsidP="002B080E">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TERCERO. NOTIFÍQUESE POR SAIMEX </w:t>
      </w:r>
      <w:r>
        <w:rPr>
          <w:rFonts w:ascii="Palatino Linotype" w:eastAsia="Palatino Linotype" w:hAnsi="Palatino Linotype" w:cs="Palatino Linotype"/>
          <w:color w:val="000000"/>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79C68C0F" w14:textId="77777777" w:rsidR="0088743D" w:rsidRDefault="0088743D" w:rsidP="002B080E">
      <w:pPr>
        <w:spacing w:line="360" w:lineRule="auto"/>
        <w:ind w:left="360" w:right="-28"/>
        <w:jc w:val="both"/>
        <w:rPr>
          <w:rFonts w:ascii="Palatino Linotype" w:eastAsia="Palatino Linotype" w:hAnsi="Palatino Linotype" w:cs="Palatino Linotype"/>
          <w:color w:val="000000"/>
          <w:sz w:val="22"/>
          <w:szCs w:val="22"/>
        </w:rPr>
      </w:pPr>
    </w:p>
    <w:p w14:paraId="58A5CEDC" w14:textId="77777777" w:rsidR="0088743D" w:rsidRDefault="00A42439" w:rsidP="002B080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CUARTO. NOTIFÍQUESE POR SAIMEX</w:t>
      </w:r>
      <w:r>
        <w:rPr>
          <w:rFonts w:ascii="Palatino Linotype" w:eastAsia="Palatino Linotype" w:hAnsi="Palatino Linotype" w:cs="Palatino Linotype"/>
          <w:color w:val="000000"/>
          <w:sz w:val="22"/>
          <w:szCs w:val="22"/>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BFDB9F7" w14:textId="77777777" w:rsidR="0088743D" w:rsidRDefault="0088743D" w:rsidP="002B080E">
      <w:pPr>
        <w:spacing w:line="360" w:lineRule="auto"/>
        <w:jc w:val="both"/>
        <w:rPr>
          <w:rFonts w:ascii="Palatino Linotype" w:eastAsia="Palatino Linotype" w:hAnsi="Palatino Linotype" w:cs="Palatino Linotype"/>
          <w:b/>
          <w:bCs/>
          <w:sz w:val="22"/>
          <w:szCs w:val="22"/>
        </w:rPr>
      </w:pPr>
    </w:p>
    <w:p w14:paraId="7FD43615" w14:textId="463BA459" w:rsidR="0088743D" w:rsidRDefault="00A42439" w:rsidP="002B080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A5D34">
        <w:rPr>
          <w:rFonts w:ascii="Palatino Linotype" w:eastAsia="Palatino Linotype" w:hAnsi="Palatino Linotype" w:cs="Palatino Linotype"/>
          <w:sz w:val="22"/>
          <w:szCs w:val="22"/>
        </w:rPr>
        <w:t xml:space="preserve"> CON VOTO PARTICULAR</w:t>
      </w:r>
      <w:r w:rsidR="00D72522">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Y GUADALUPE RAMÍREZ PEÑA</w:t>
      </w:r>
      <w:r w:rsidR="006A5D34">
        <w:rPr>
          <w:rFonts w:ascii="Palatino Linotype" w:eastAsia="Palatino Linotype" w:hAnsi="Palatino Linotype" w:cs="Palatino Linotype"/>
          <w:sz w:val="22"/>
          <w:szCs w:val="22"/>
        </w:rPr>
        <w:t xml:space="preserve"> CON VOTO PARTICULAR</w:t>
      </w:r>
      <w:r>
        <w:rPr>
          <w:rFonts w:ascii="Palatino Linotype" w:eastAsia="Palatino Linotype" w:hAnsi="Palatino Linotype" w:cs="Palatino Linotype"/>
          <w:sz w:val="22"/>
          <w:szCs w:val="22"/>
        </w:rPr>
        <w:t>, EN LA SÉPTIMA SESIÓN ORDINARIA, CELEBRADA EL VEINTICINCO DE FEBRERO DE DOS MIL VEINTISÉIS, ANTE EL SECRETARIO TÉCNICO DEL PLENO, ALEXIS TAPIA RAMÍREZ.</w:t>
      </w:r>
    </w:p>
    <w:p w14:paraId="0B2BBF7D" w14:textId="77777777" w:rsidR="0088743D" w:rsidRDefault="0088743D" w:rsidP="002B080E">
      <w:pPr>
        <w:spacing w:line="360" w:lineRule="auto"/>
      </w:pPr>
    </w:p>
    <w:p w14:paraId="285DDBA1" w14:textId="77777777" w:rsidR="0088743D" w:rsidRDefault="0088743D" w:rsidP="002B080E">
      <w:pPr>
        <w:spacing w:line="360" w:lineRule="auto"/>
      </w:pPr>
    </w:p>
    <w:p w14:paraId="33BF7253"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5291B4E4"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3AD56765"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27EC5BFE"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3191F1FF"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46FD8B7E"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07DD4209"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4E3AFDE7"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482B6E52"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45340CBE"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78D99D67"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4F786417"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58A4A0F1"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3EBF2E8B"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4769610A"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30BC8E9B"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4CB79F35"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3B63985C" w14:textId="77777777" w:rsidR="0088743D" w:rsidRDefault="0088743D" w:rsidP="002B080E">
      <w:pPr>
        <w:spacing w:line="360" w:lineRule="auto"/>
        <w:jc w:val="both"/>
        <w:rPr>
          <w:rFonts w:ascii="Palatino Linotype" w:eastAsia="Palatino Linotype" w:hAnsi="Palatino Linotype" w:cs="Palatino Linotype"/>
          <w:color w:val="000000"/>
          <w:sz w:val="22"/>
          <w:szCs w:val="22"/>
        </w:rPr>
      </w:pPr>
    </w:p>
    <w:p w14:paraId="5FA1E5C8" w14:textId="77777777" w:rsidR="00B558A4" w:rsidRDefault="00B558A4" w:rsidP="002B080E">
      <w:pPr>
        <w:spacing w:line="360" w:lineRule="auto"/>
        <w:jc w:val="both"/>
        <w:rPr>
          <w:rFonts w:ascii="Palatino Linotype" w:eastAsia="Palatino Linotype" w:hAnsi="Palatino Linotype" w:cs="Palatino Linotype"/>
          <w:color w:val="000000"/>
          <w:sz w:val="22"/>
          <w:szCs w:val="22"/>
        </w:rPr>
      </w:pPr>
    </w:p>
    <w:p w14:paraId="4C80AB60" w14:textId="77777777" w:rsidR="00B558A4" w:rsidRDefault="00B558A4" w:rsidP="002B080E">
      <w:pPr>
        <w:spacing w:line="360" w:lineRule="auto"/>
        <w:jc w:val="both"/>
        <w:rPr>
          <w:rFonts w:ascii="Palatino Linotype" w:eastAsia="Palatino Linotype" w:hAnsi="Palatino Linotype" w:cs="Palatino Linotype"/>
          <w:color w:val="000000"/>
          <w:sz w:val="22"/>
          <w:szCs w:val="22"/>
        </w:rPr>
      </w:pPr>
    </w:p>
    <w:p w14:paraId="25F7AD99" w14:textId="77777777" w:rsidR="00B558A4" w:rsidRDefault="00B558A4" w:rsidP="002B080E">
      <w:pPr>
        <w:spacing w:line="360" w:lineRule="auto"/>
        <w:jc w:val="both"/>
        <w:rPr>
          <w:rFonts w:ascii="Palatino Linotype" w:eastAsia="Palatino Linotype" w:hAnsi="Palatino Linotype" w:cs="Palatino Linotype"/>
          <w:color w:val="000000"/>
          <w:sz w:val="22"/>
          <w:szCs w:val="22"/>
        </w:rPr>
      </w:pPr>
    </w:p>
    <w:p w14:paraId="02942F65" w14:textId="77777777" w:rsidR="00B558A4" w:rsidRDefault="00B558A4" w:rsidP="002B080E">
      <w:pPr>
        <w:spacing w:line="360" w:lineRule="auto"/>
        <w:jc w:val="both"/>
        <w:rPr>
          <w:rFonts w:ascii="Palatino Linotype" w:eastAsia="Palatino Linotype" w:hAnsi="Palatino Linotype" w:cs="Palatino Linotype"/>
          <w:color w:val="000000"/>
          <w:sz w:val="22"/>
          <w:szCs w:val="22"/>
        </w:rPr>
      </w:pPr>
    </w:p>
    <w:p w14:paraId="141CA701" w14:textId="77777777" w:rsidR="00B558A4" w:rsidRDefault="00B558A4" w:rsidP="002B080E">
      <w:pPr>
        <w:spacing w:line="360" w:lineRule="auto"/>
        <w:jc w:val="both"/>
        <w:rPr>
          <w:rFonts w:ascii="Palatino Linotype" w:eastAsia="Palatino Linotype" w:hAnsi="Palatino Linotype" w:cs="Palatino Linotype"/>
          <w:color w:val="000000"/>
          <w:sz w:val="22"/>
          <w:szCs w:val="22"/>
        </w:rPr>
      </w:pPr>
    </w:p>
    <w:sectPr w:rsidR="00B558A4">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D3A1C" w14:textId="77777777" w:rsidR="00D15967" w:rsidRDefault="00D15967">
      <w:r>
        <w:separator/>
      </w:r>
    </w:p>
  </w:endnote>
  <w:endnote w:type="continuationSeparator" w:id="0">
    <w:p w14:paraId="1D8A170D" w14:textId="77777777" w:rsidR="00D15967" w:rsidRDefault="00D15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CCF36B23-ECD3-4172-8455-A014A139EF22}"/>
    <w:embedBold r:id="rId2" w:fontKey="{13CD863E-285F-48F2-BB0C-D2534322C03A}"/>
    <w:embedItalic r:id="rId3" w:fontKey="{ADE53E2F-ED79-44D8-9786-836DBB46290E}"/>
    <w:embedBoldItalic r:id="rId4" w:fontKey="{5585D438-EDDE-4751-B037-E5CFBF2FA7B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179411CA-5521-4D3F-8B06-F0043D523CC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957C8C25-F30E-4CAF-AC41-F2E88FBCF3E4}"/>
    <w:embedBold r:id="rId7" w:fontKey="{A733A6FE-9B04-4DA7-8643-5E6E3D35F2A0}"/>
  </w:font>
  <w:font w:name="Century Gothic">
    <w:panose1 w:val="020B0502020202020204"/>
    <w:charset w:val="00"/>
    <w:family w:val="swiss"/>
    <w:pitch w:val="variable"/>
    <w:sig w:usb0="00000287" w:usb1="00000000" w:usb2="00000000" w:usb3="00000000" w:csb0="0000009F" w:csb1="00000000"/>
    <w:embedRegular r:id="rId8" w:fontKey="{DF51FB54-CB51-4268-B82B-82692405852A}"/>
  </w:font>
  <w:font w:name="Segoe UI">
    <w:panose1 w:val="020B0502040204020203"/>
    <w:charset w:val="00"/>
    <w:family w:val="swiss"/>
    <w:pitch w:val="variable"/>
    <w:sig w:usb0="E4002EFF" w:usb1="C000E47F" w:usb2="00000009" w:usb3="00000000" w:csb0="000001FF" w:csb1="00000000"/>
    <w:embedRegular r:id="rId9" w:fontKey="{817AA2EA-F2F2-45BD-9ED7-A2F58928674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DBEE801B-E10A-473D-8976-C4356BAE58A9}"/>
  </w:font>
  <w:font w:name="Tahoma">
    <w:panose1 w:val="020B0604030504040204"/>
    <w:charset w:val="00"/>
    <w:family w:val="swiss"/>
    <w:pitch w:val="variable"/>
    <w:sig w:usb0="E1002EFF" w:usb1="C000605B" w:usb2="00000029" w:usb3="00000000" w:csb0="000101FF" w:csb1="00000000"/>
    <w:embedBold r:id="rId11" w:fontKey="{1E32647E-83B1-4DA1-B4E8-D12581CC1366}"/>
  </w:font>
  <w:font w:name="Garamond">
    <w:panose1 w:val="02020404030301010803"/>
    <w:charset w:val="00"/>
    <w:family w:val="roman"/>
    <w:pitch w:val="variable"/>
    <w:sig w:usb0="00000287" w:usb1="00000000" w:usb2="00000000" w:usb3="00000000" w:csb0="0000009F" w:csb1="00000000"/>
    <w:embedRegular r:id="rId12" w:fontKey="{EF60D796-61F5-460D-A60D-6026110E1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AF3D4" w14:textId="77777777" w:rsidR="0088743D" w:rsidRDefault="0088743D">
    <w:pPr>
      <w:pBdr>
        <w:top w:val="nil"/>
        <w:left w:val="nil"/>
        <w:bottom w:val="nil"/>
        <w:right w:val="nil"/>
        <w:between w:val="nil"/>
      </w:pBdr>
      <w:tabs>
        <w:tab w:val="center" w:pos="4419"/>
        <w:tab w:val="right" w:pos="8838"/>
      </w:tabs>
      <w:jc w:val="right"/>
      <w:rPr>
        <w:color w:val="000000"/>
        <w:sz w:val="26"/>
        <w:szCs w:val="26"/>
      </w:rPr>
    </w:pPr>
  </w:p>
  <w:p w14:paraId="03F8D0BB" w14:textId="77777777" w:rsidR="0088743D" w:rsidRDefault="00A42439">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321D0">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321D0">
      <w:rPr>
        <w:b/>
        <w:bCs/>
        <w:noProof/>
        <w:color w:val="000000"/>
        <w:sz w:val="24"/>
        <w:szCs w:val="24"/>
      </w:rPr>
      <w:t>46</w:t>
    </w:r>
    <w:r>
      <w:rPr>
        <w:b/>
        <w:bCs/>
        <w:color w:val="000000"/>
        <w:sz w:val="24"/>
        <w:szCs w:val="24"/>
      </w:rPr>
      <w:fldChar w:fldCharType="end"/>
    </w:r>
  </w:p>
  <w:p w14:paraId="7B6C38B2" w14:textId="77777777" w:rsidR="0088743D" w:rsidRDefault="0088743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230FA" w14:textId="77777777" w:rsidR="0088743D" w:rsidRDefault="0088743D">
    <w:pPr>
      <w:pBdr>
        <w:top w:val="nil"/>
        <w:left w:val="nil"/>
        <w:bottom w:val="nil"/>
        <w:right w:val="nil"/>
        <w:between w:val="nil"/>
      </w:pBdr>
      <w:tabs>
        <w:tab w:val="center" w:pos="4419"/>
        <w:tab w:val="right" w:pos="8838"/>
      </w:tabs>
      <w:jc w:val="right"/>
      <w:rPr>
        <w:color w:val="000000"/>
      </w:rPr>
    </w:pPr>
  </w:p>
  <w:p w14:paraId="424D8EFB" w14:textId="77777777" w:rsidR="0088743D" w:rsidRDefault="00A42439">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1596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15967">
      <w:rPr>
        <w:b/>
        <w:bCs/>
        <w:noProof/>
        <w:color w:val="000000"/>
        <w:sz w:val="24"/>
        <w:szCs w:val="24"/>
      </w:rPr>
      <w:t>1</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9DD5F" w14:textId="77777777" w:rsidR="00D15967" w:rsidRDefault="00D15967">
      <w:r>
        <w:separator/>
      </w:r>
    </w:p>
  </w:footnote>
  <w:footnote w:type="continuationSeparator" w:id="0">
    <w:p w14:paraId="0C4A5913" w14:textId="77777777" w:rsidR="00D15967" w:rsidRDefault="00D159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76E7B" w14:textId="77777777" w:rsidR="0088743D" w:rsidRDefault="0088743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88743D" w14:paraId="6E78EA61" w14:textId="77777777">
      <w:trPr>
        <w:trHeight w:val="1412"/>
      </w:trPr>
      <w:tc>
        <w:tcPr>
          <w:tcW w:w="8222" w:type="dxa"/>
        </w:tcPr>
        <w:tbl>
          <w:tblPr>
            <w:tblStyle w:val="a0"/>
            <w:tblW w:w="6700" w:type="dxa"/>
            <w:tblInd w:w="165"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88743D" w14:paraId="5D333883" w14:textId="77777777" w:rsidTr="002B080E">
            <w:trPr>
              <w:trHeight w:val="144"/>
            </w:trPr>
            <w:tc>
              <w:tcPr>
                <w:tcW w:w="2552" w:type="dxa"/>
              </w:tcPr>
              <w:p w14:paraId="79DBF533" w14:textId="77777777" w:rsidR="0088743D" w:rsidRDefault="00A42439">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8" w:type="dxa"/>
              </w:tcPr>
              <w:p w14:paraId="065A9C84" w14:textId="77777777" w:rsidR="0088743D" w:rsidRDefault="00A42439">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08256/INFOEM/ICR-122/IP/RR/2025</w:t>
                </w:r>
              </w:p>
            </w:tc>
          </w:tr>
          <w:tr w:rsidR="0088743D" w14:paraId="369C5EFB" w14:textId="77777777" w:rsidTr="002B080E">
            <w:trPr>
              <w:trHeight w:val="144"/>
            </w:trPr>
            <w:tc>
              <w:tcPr>
                <w:tcW w:w="2552" w:type="dxa"/>
              </w:tcPr>
              <w:p w14:paraId="110BDB26" w14:textId="77777777" w:rsidR="0088743D" w:rsidRDefault="00A42439">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8" w:type="dxa"/>
              </w:tcPr>
              <w:p w14:paraId="0EE30751" w14:textId="77777777" w:rsidR="0088743D" w:rsidRDefault="00A42439">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Ixtapaluca</w:t>
                </w:r>
              </w:p>
            </w:tc>
          </w:tr>
          <w:tr w:rsidR="0088743D" w14:paraId="187C6535" w14:textId="77777777" w:rsidTr="002B080E">
            <w:trPr>
              <w:trHeight w:val="138"/>
            </w:trPr>
            <w:tc>
              <w:tcPr>
                <w:tcW w:w="2552" w:type="dxa"/>
              </w:tcPr>
              <w:p w14:paraId="27F491A3" w14:textId="77777777" w:rsidR="0088743D" w:rsidRDefault="00A42439">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8" w:type="dxa"/>
              </w:tcPr>
              <w:p w14:paraId="6C83D482" w14:textId="77777777" w:rsidR="0088743D" w:rsidRDefault="00A42439">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77435DF8" w14:textId="77777777" w:rsidR="0088743D" w:rsidRDefault="0088743D">
          <w:pPr>
            <w:tabs>
              <w:tab w:val="right" w:pos="8838"/>
            </w:tabs>
            <w:ind w:left="-28"/>
            <w:jc w:val="both"/>
            <w:rPr>
              <w:rFonts w:ascii="Arial" w:eastAsia="Arial" w:hAnsi="Arial" w:cs="Arial"/>
              <w:b/>
              <w:bCs/>
              <w:sz w:val="22"/>
              <w:szCs w:val="22"/>
            </w:rPr>
          </w:pPr>
        </w:p>
      </w:tc>
    </w:tr>
  </w:tbl>
  <w:p w14:paraId="2FC46BAC" w14:textId="77777777" w:rsidR="0088743D" w:rsidRDefault="00D15967">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0CDD5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D77C5" w14:textId="77777777" w:rsidR="0088743D" w:rsidRDefault="00D15967">
    <w:r>
      <w:rPr>
        <w:rFonts w:ascii="Palatino Linotype" w:eastAsia="Palatino Linotype" w:hAnsi="Palatino Linotype" w:cs="Palatino Linotype"/>
        <w:b/>
        <w:bCs/>
        <w:sz w:val="22"/>
        <w:szCs w:val="22"/>
      </w:rPr>
      <w:pict w14:anchorId="2164D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3"/>
          <w10:wrap anchorx="margin" anchory="margin"/>
        </v:shape>
      </w:pict>
    </w:r>
  </w:p>
  <w:tbl>
    <w:tblPr>
      <w:tblStyle w:val="a1"/>
      <w:tblpPr w:leftFromText="141" w:rightFromText="141" w:vertAnchor="page" w:horzAnchor="margin" w:tblpY="556"/>
      <w:tblW w:w="97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19"/>
      <w:gridCol w:w="2405"/>
      <w:gridCol w:w="4257"/>
    </w:tblGrid>
    <w:tr w:rsidR="0088743D" w14:paraId="00DD5EC1" w14:textId="77777777" w:rsidTr="002B080E">
      <w:trPr>
        <w:trHeight w:val="466"/>
      </w:trPr>
      <w:tc>
        <w:tcPr>
          <w:tcW w:w="3119" w:type="dxa"/>
          <w:vAlign w:val="bottom"/>
        </w:tcPr>
        <w:p w14:paraId="66B8B54E" w14:textId="77777777" w:rsidR="0088743D" w:rsidRDefault="0088743D">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5710621A" w14:textId="77777777" w:rsidR="0088743D" w:rsidRDefault="00A42439" w:rsidP="002B080E">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2A906773" w14:textId="77777777" w:rsidR="0088743D" w:rsidRDefault="00A42439" w:rsidP="002B080E">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08256/INFOEM/ICR-122/IP/RR/2025</w:t>
          </w:r>
        </w:p>
      </w:tc>
    </w:tr>
    <w:tr w:rsidR="0088743D" w14:paraId="74656B1D" w14:textId="77777777" w:rsidTr="002B080E">
      <w:trPr>
        <w:trHeight w:val="119"/>
      </w:trPr>
      <w:tc>
        <w:tcPr>
          <w:tcW w:w="3119" w:type="dxa"/>
        </w:tcPr>
        <w:p w14:paraId="4788B987" w14:textId="77777777" w:rsidR="0088743D" w:rsidRDefault="0088743D">
          <w:pPr>
            <w:tabs>
              <w:tab w:val="right" w:pos="8838"/>
            </w:tabs>
            <w:ind w:right="-105"/>
            <w:rPr>
              <w:rFonts w:ascii="Palatino Linotype" w:eastAsia="Palatino Linotype" w:hAnsi="Palatino Linotype" w:cs="Palatino Linotype"/>
              <w:b/>
              <w:bCs/>
              <w:sz w:val="22"/>
              <w:szCs w:val="22"/>
            </w:rPr>
          </w:pPr>
        </w:p>
      </w:tc>
      <w:tc>
        <w:tcPr>
          <w:tcW w:w="2405" w:type="dxa"/>
        </w:tcPr>
        <w:p w14:paraId="63423859" w14:textId="77777777" w:rsidR="0088743D" w:rsidRDefault="00A42439" w:rsidP="002B080E">
          <w:pPr>
            <w:tabs>
              <w:tab w:val="right" w:pos="8838"/>
            </w:tabs>
            <w:spacing w:line="276" w:lineRule="auto"/>
            <w:ind w:left="-2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7E789E7F" w14:textId="19FF6D20" w:rsidR="0088743D" w:rsidRDefault="00B321D0" w:rsidP="002B080E">
          <w:pPr>
            <w:tabs>
              <w:tab w:val="right" w:pos="8838"/>
            </w:tabs>
            <w:spacing w:line="276" w:lineRule="auto"/>
            <w:ind w:left="-28" w:right="-246"/>
            <w:jc w:val="both"/>
            <w:rPr>
              <w:rFonts w:ascii="Palatino Linotype" w:eastAsia="Palatino Linotype" w:hAnsi="Palatino Linotype" w:cs="Palatino Linotype"/>
              <w:sz w:val="22"/>
              <w:szCs w:val="22"/>
            </w:rPr>
          </w:pPr>
          <w:r w:rsidRPr="00B321D0">
            <w:rPr>
              <w:rFonts w:ascii="Palatino Linotype" w:eastAsia="Palatino Linotype" w:hAnsi="Palatino Linotype" w:cs="Palatino Linotype"/>
              <w:sz w:val="22"/>
              <w:szCs w:val="22"/>
              <w:highlight w:val="black"/>
            </w:rPr>
            <w:t>XXXXXXXXXXXXXXXXXXXXX</w:t>
          </w:r>
        </w:p>
      </w:tc>
    </w:tr>
    <w:tr w:rsidR="0088743D" w14:paraId="662D819E" w14:textId="77777777" w:rsidTr="002B080E">
      <w:trPr>
        <w:trHeight w:val="234"/>
      </w:trPr>
      <w:tc>
        <w:tcPr>
          <w:tcW w:w="3119" w:type="dxa"/>
        </w:tcPr>
        <w:p w14:paraId="71CB36D6" w14:textId="77777777" w:rsidR="0088743D" w:rsidRDefault="0088743D">
          <w:pPr>
            <w:tabs>
              <w:tab w:val="right" w:pos="8838"/>
            </w:tabs>
            <w:ind w:right="-105"/>
            <w:rPr>
              <w:rFonts w:ascii="Palatino Linotype" w:eastAsia="Palatino Linotype" w:hAnsi="Palatino Linotype" w:cs="Palatino Linotype"/>
              <w:b/>
              <w:bCs/>
              <w:sz w:val="22"/>
              <w:szCs w:val="22"/>
            </w:rPr>
          </w:pPr>
        </w:p>
      </w:tc>
      <w:tc>
        <w:tcPr>
          <w:tcW w:w="2405" w:type="dxa"/>
        </w:tcPr>
        <w:p w14:paraId="1C03A0F6" w14:textId="77777777" w:rsidR="0088743D" w:rsidRDefault="00A42439" w:rsidP="002B080E">
          <w:pPr>
            <w:tabs>
              <w:tab w:val="right" w:pos="8838"/>
            </w:tabs>
            <w:spacing w:line="276" w:lineRule="auto"/>
            <w:ind w:left="-28"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5242C286" w14:textId="77777777" w:rsidR="0088743D" w:rsidRDefault="00A42439" w:rsidP="002B080E">
          <w:pPr>
            <w:tabs>
              <w:tab w:val="right" w:pos="8838"/>
            </w:tabs>
            <w:spacing w:line="276" w:lineRule="auto"/>
            <w:ind w:left="-28"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Ixtapaluca</w:t>
          </w:r>
        </w:p>
      </w:tc>
    </w:tr>
    <w:tr w:rsidR="0088743D" w14:paraId="480DFAF8" w14:textId="77777777" w:rsidTr="002B080E">
      <w:trPr>
        <w:trHeight w:val="234"/>
      </w:trPr>
      <w:tc>
        <w:tcPr>
          <w:tcW w:w="3119" w:type="dxa"/>
        </w:tcPr>
        <w:p w14:paraId="7AD27CA9" w14:textId="77777777" w:rsidR="0088743D" w:rsidRDefault="0088743D">
          <w:pPr>
            <w:tabs>
              <w:tab w:val="right" w:pos="8838"/>
            </w:tabs>
            <w:ind w:right="-105"/>
            <w:rPr>
              <w:rFonts w:ascii="Palatino Linotype" w:eastAsia="Palatino Linotype" w:hAnsi="Palatino Linotype" w:cs="Palatino Linotype"/>
              <w:b/>
              <w:bCs/>
              <w:sz w:val="22"/>
              <w:szCs w:val="22"/>
            </w:rPr>
          </w:pPr>
        </w:p>
      </w:tc>
      <w:tc>
        <w:tcPr>
          <w:tcW w:w="2405" w:type="dxa"/>
        </w:tcPr>
        <w:p w14:paraId="78055FAB" w14:textId="77777777" w:rsidR="0088743D" w:rsidRDefault="00A42439" w:rsidP="002B080E">
          <w:pPr>
            <w:tabs>
              <w:tab w:val="right" w:pos="8838"/>
            </w:tabs>
            <w:spacing w:line="276" w:lineRule="auto"/>
            <w:ind w:left="-28"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01342221" w14:textId="77777777" w:rsidR="0088743D" w:rsidRDefault="00A42439" w:rsidP="002B080E">
          <w:pPr>
            <w:tabs>
              <w:tab w:val="right" w:pos="8838"/>
            </w:tabs>
            <w:spacing w:line="276" w:lineRule="auto"/>
            <w:ind w:left="-2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B61D1A9" w14:textId="77777777" w:rsidR="0088743D" w:rsidRDefault="0088743D">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D64D9A"/>
    <w:multiLevelType w:val="multilevel"/>
    <w:tmpl w:val="BB1A8A40"/>
    <w:lvl w:ilvl="0">
      <w:numFmt w:val="bullet"/>
      <w:pStyle w:val="Listaconvietas2"/>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FD288B"/>
    <w:multiLevelType w:val="multilevel"/>
    <w:tmpl w:val="526C4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E257A0"/>
    <w:multiLevelType w:val="multilevel"/>
    <w:tmpl w:val="C88A1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7B5145"/>
    <w:multiLevelType w:val="hybridMultilevel"/>
    <w:tmpl w:val="F634D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E082E6D"/>
    <w:multiLevelType w:val="multilevel"/>
    <w:tmpl w:val="7BC4A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466F4B"/>
    <w:multiLevelType w:val="multilevel"/>
    <w:tmpl w:val="BBDEBBA0"/>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E6019D4"/>
    <w:multiLevelType w:val="multilevel"/>
    <w:tmpl w:val="3C7CF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C359F7"/>
    <w:multiLevelType w:val="multilevel"/>
    <w:tmpl w:val="5B1A6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7"/>
  </w:num>
  <w:num w:numId="3">
    <w:abstractNumId w:val="1"/>
  </w:num>
  <w:num w:numId="4">
    <w:abstractNumId w:val="2"/>
  </w:num>
  <w:num w:numId="5">
    <w:abstractNumId w:val="4"/>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43D"/>
    <w:rsid w:val="002B080E"/>
    <w:rsid w:val="002B1D65"/>
    <w:rsid w:val="003A7284"/>
    <w:rsid w:val="004D07AC"/>
    <w:rsid w:val="005B4475"/>
    <w:rsid w:val="00697F04"/>
    <w:rsid w:val="006A5D34"/>
    <w:rsid w:val="007438C8"/>
    <w:rsid w:val="0088743D"/>
    <w:rsid w:val="00951AD1"/>
    <w:rsid w:val="009770C2"/>
    <w:rsid w:val="00A42439"/>
    <w:rsid w:val="00B321D0"/>
    <w:rsid w:val="00B558A4"/>
    <w:rsid w:val="00B72E59"/>
    <w:rsid w:val="00D15967"/>
    <w:rsid w:val="00D72522"/>
    <w:rsid w:val="00DD0169"/>
    <w:rsid w:val="00E10774"/>
    <w:rsid w:val="00F20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3038258"/>
  <w15:docId w15:val="{96A80488-548D-453E-83E5-B367B54A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apartados.hacienda.gob.mx/contabilidad/documentos/informe_cuenta/1998/cuenta_publica/Glosario/n.htm" TargetMode="External"/><Relationship Id="rId4" Type="http://schemas.openxmlformats.org/officeDocument/2006/relationships/styles" Target="styles.xml"/><Relationship Id="rId9" Type="http://schemas.openxmlformats.org/officeDocument/2006/relationships/hyperlink" Target="http://www.transparenciapresupuestaria.gob.mx/es/PTP/Glosari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s8JCbYz+OAbk2J0XI82ufBhmVA==">CgMxLjAyDmgucWRmcnIyODJiMnhtMg5oLmQ1dWs1anFwczliajIOaC5jYmNzcGVmcDFmdmsyDmgua3BmOXRybGEzNjQ2Mg5oLnd2cnVudHRocnpmcTIOaC5oNTdmcmk0eGtldDgyDmguMmtxMmx0bXA1M3kyMg5oLjQ1aWw0MGoweTJtZjIOaC5sa2g2OWo5YzRkeGYyDmgueDNxMDVyY2Y5YThmMg5oLnZ3M2Jyd2J2bW5yaDIOaC5qamdvazJyYzNzMHcyDmgucWJ5ZmFoYnFkOTNzMg5oLmV6bWcyaGpveXowZTIOaC5nN28yc2JrcG41d2MyDmguYWxlcmV2aGlrdDBzMg5oLno4ZGNtaXR1Z2h0ajIOaC52Y28xMWt4dmJ3aGoyDmguczc5NTh6a2Ztc2doOAByITFUTndyZlFxUm9UaFVkcGtwVW5qT1NoSUljMGFBQ1Z3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9601A0-B4F2-4019-B551-3F50ABAE7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11294</Words>
  <Characters>62119</Characters>
  <Application>Microsoft Office Word</Application>
  <DocSecurity>0</DocSecurity>
  <Lines>517</Lines>
  <Paragraphs>146</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A N T E C E D E N T E S</vt:lpstr>
      <vt:lpstr>    I. Presentación de la solicitud de información</vt:lpstr>
      <vt:lpstr>    </vt:lpstr>
      <vt:lpstr>    II. Respuesta del Sujeto Obligado</vt:lpstr>
      <vt:lpstr>    III. Interposición del Recurso de Revisión</vt:lpstr>
      <vt:lpstr>    IV. Trámite del Recurso de Revisión ante el Instituto</vt:lpstr>
      <vt:lpstr>    V. Entrega de la información en cumplimiento a la Resolución del Recurso de Revi</vt:lpstr>
      <vt:lpstr>    VI. Interposición del Recurso de Revisión 08256/INFOEM/ICR-122/IP/RR/2025</vt:lpstr>
      <vt:lpstr>    VIII. Trámite del Recurso de Revisión número 08256/INFOEM/ICR-122/IP/RR/2025</vt:lpstr>
      <vt:lpstr>C O N S I D E R A N D O S</vt:lpstr>
      <vt:lpstr>    PRIMERO. Competencia</vt:lpstr>
      <vt:lpstr>    SEGUNDO. Causales de improcedencia y Sobreseimiento</vt:lpstr>
      <vt:lpstr>    TERCERO. Determinación de la Controversia</vt:lpstr>
      <vt:lpstr>    CUARTO. Marco normativo aplicable en materia de transparencia y acceso a la info</vt:lpstr>
      <vt:lpstr>    QUINTO. Estudio de Fondo</vt:lpstr>
      <vt:lpstr>    SEXTO. Decisión</vt:lpstr>
      <vt:lpstr>R E S U E L V E</vt:lpstr>
    </vt:vector>
  </TitlesOfParts>
  <Company/>
  <LinksUpToDate>false</LinksUpToDate>
  <CharactersWithSpaces>73267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3</cp:revision>
  <dcterms:created xsi:type="dcterms:W3CDTF">2026-02-27T04:34:00Z</dcterms:created>
  <dcterms:modified xsi:type="dcterms:W3CDTF">2026-04-09T22:44:00Z</dcterms:modified>
</cp:coreProperties>
</file>