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6057B" w14:textId="77777777" w:rsidR="00BB2887" w:rsidRDefault="00BB2887">
      <w:pPr>
        <w:widowControl w:val="0"/>
        <w:pBdr>
          <w:top w:val="nil"/>
          <w:left w:val="nil"/>
          <w:bottom w:val="nil"/>
          <w:right w:val="nil"/>
          <w:between w:val="nil"/>
        </w:pBdr>
        <w:spacing w:after="0" w:line="276" w:lineRule="auto"/>
        <w:jc w:val="left"/>
      </w:pPr>
    </w:p>
    <w:p w14:paraId="2D2D297C" w14:textId="77777777" w:rsidR="00BB2887" w:rsidRDefault="00BB2887">
      <w:pPr>
        <w:tabs>
          <w:tab w:val="left" w:pos="8931"/>
        </w:tabs>
        <w:spacing w:after="0" w:line="360" w:lineRule="auto"/>
        <w:rPr>
          <w:color w:val="000000"/>
        </w:rPr>
      </w:pPr>
    </w:p>
    <w:p w14:paraId="389D3FCE" w14:textId="0A797F7A" w:rsidR="00BB2887" w:rsidRDefault="00B27581">
      <w:pPr>
        <w:keepNext/>
        <w:keepLines/>
        <w:pBdr>
          <w:top w:val="nil"/>
          <w:left w:val="nil"/>
          <w:bottom w:val="nil"/>
          <w:right w:val="nil"/>
          <w:between w:val="nil"/>
        </w:pBdr>
        <w:spacing w:after="0" w:line="360" w:lineRule="auto"/>
        <w:jc w:val="center"/>
        <w:rPr>
          <w:color w:val="000000"/>
        </w:rPr>
      </w:pPr>
      <w:r>
        <w:rPr>
          <w:color w:val="000000"/>
        </w:rPr>
        <w:t xml:space="preserve">RESOLUCIÓN DEL RECURSO DE REVISIÓN </w:t>
      </w:r>
      <w:r w:rsidR="006B6109">
        <w:rPr>
          <w:color w:val="000000"/>
        </w:rPr>
        <w:t>06701</w:t>
      </w:r>
      <w:r>
        <w:rPr>
          <w:color w:val="000000"/>
        </w:rPr>
        <w:t>/INFOEM/IP/RR/202</w:t>
      </w:r>
      <w:r w:rsidR="00662EDC">
        <w:rPr>
          <w:color w:val="000000"/>
        </w:rPr>
        <w:t>6</w:t>
      </w:r>
    </w:p>
    <w:p w14:paraId="03A59FCD" w14:textId="77777777" w:rsidR="00BB2887" w:rsidRDefault="00BB2887">
      <w:pPr>
        <w:spacing w:after="0" w:line="360" w:lineRule="auto"/>
        <w:rPr>
          <w:color w:val="000000"/>
        </w:rPr>
      </w:pPr>
    </w:p>
    <w:sdt>
      <w:sdtPr>
        <w:rPr>
          <w:lang w:val="es-ES"/>
        </w:rPr>
        <w:id w:val="-826586054"/>
        <w:docPartObj>
          <w:docPartGallery w:val="Table of Contents"/>
          <w:docPartUnique/>
        </w:docPartObj>
      </w:sdtPr>
      <w:sdtContent>
        <w:p w14:paraId="5788755E" w14:textId="566E089B" w:rsidR="008A222D" w:rsidRPr="008A222D" w:rsidRDefault="007D548E">
          <w:pPr>
            <w:pStyle w:val="TDC1"/>
            <w:tabs>
              <w:tab w:val="right" w:leader="dot" w:pos="8921"/>
            </w:tabs>
            <w:rPr>
              <w:rFonts w:asciiTheme="minorHAnsi" w:eastAsiaTheme="minorEastAsia" w:hAnsiTheme="minorHAnsi" w:cstheme="minorBidi"/>
              <w:noProof/>
              <w:kern w:val="2"/>
              <w14:ligatures w14:val="standardContextual"/>
            </w:rPr>
          </w:pPr>
          <w:r w:rsidRPr="008A222D">
            <w:fldChar w:fldCharType="begin"/>
          </w:r>
          <w:r w:rsidRPr="008A222D">
            <w:instrText xml:space="preserve"> TOC \o "1-3" \h \z \u </w:instrText>
          </w:r>
          <w:r w:rsidRPr="008A222D">
            <w:fldChar w:fldCharType="separate"/>
          </w:r>
          <w:hyperlink w:anchor="_Toc235114055" w:history="1">
            <w:r w:rsidR="008A222D" w:rsidRPr="008A222D">
              <w:rPr>
                <w:rStyle w:val="Hipervnculo"/>
                <w:noProof/>
              </w:rPr>
              <w:t>A N T E C E D E N T E S</w:t>
            </w:r>
            <w:r w:rsidR="008A222D" w:rsidRPr="008A222D">
              <w:rPr>
                <w:noProof/>
                <w:webHidden/>
              </w:rPr>
              <w:tab/>
            </w:r>
            <w:r w:rsidR="008A222D" w:rsidRPr="008A222D">
              <w:rPr>
                <w:noProof/>
                <w:webHidden/>
              </w:rPr>
              <w:fldChar w:fldCharType="begin"/>
            </w:r>
            <w:r w:rsidR="008A222D" w:rsidRPr="008A222D">
              <w:rPr>
                <w:noProof/>
                <w:webHidden/>
              </w:rPr>
              <w:instrText xml:space="preserve"> PAGEREF _Toc235114055 \h </w:instrText>
            </w:r>
            <w:r w:rsidR="008A222D" w:rsidRPr="008A222D">
              <w:rPr>
                <w:noProof/>
                <w:webHidden/>
              </w:rPr>
            </w:r>
            <w:r w:rsidR="008A222D" w:rsidRPr="008A222D">
              <w:rPr>
                <w:noProof/>
                <w:webHidden/>
              </w:rPr>
              <w:fldChar w:fldCharType="separate"/>
            </w:r>
            <w:r w:rsidR="00DF7FB8">
              <w:rPr>
                <w:noProof/>
                <w:webHidden/>
              </w:rPr>
              <w:t>2</w:t>
            </w:r>
            <w:r w:rsidR="008A222D" w:rsidRPr="008A222D">
              <w:rPr>
                <w:noProof/>
                <w:webHidden/>
              </w:rPr>
              <w:fldChar w:fldCharType="end"/>
            </w:r>
          </w:hyperlink>
        </w:p>
        <w:p w14:paraId="290B7C3A" w14:textId="01B71CD4" w:rsidR="008A222D" w:rsidRPr="008A222D" w:rsidRDefault="00000000">
          <w:pPr>
            <w:pStyle w:val="TDC2"/>
            <w:tabs>
              <w:tab w:val="right" w:leader="dot" w:pos="8921"/>
            </w:tabs>
            <w:rPr>
              <w:rFonts w:asciiTheme="minorHAnsi" w:eastAsiaTheme="minorEastAsia" w:hAnsiTheme="minorHAnsi" w:cstheme="minorBidi"/>
              <w:noProof/>
              <w:kern w:val="2"/>
              <w14:ligatures w14:val="standardContextual"/>
            </w:rPr>
          </w:pPr>
          <w:hyperlink w:anchor="_Toc235114056" w:history="1">
            <w:r w:rsidR="008A222D" w:rsidRPr="008A222D">
              <w:rPr>
                <w:rStyle w:val="Hipervnculo"/>
                <w:noProof/>
              </w:rPr>
              <w:t>I. Presentación de la solicitud de información</w:t>
            </w:r>
            <w:r w:rsidR="008A222D" w:rsidRPr="008A222D">
              <w:rPr>
                <w:noProof/>
                <w:webHidden/>
              </w:rPr>
              <w:tab/>
            </w:r>
            <w:r w:rsidR="008A222D" w:rsidRPr="008A222D">
              <w:rPr>
                <w:noProof/>
                <w:webHidden/>
              </w:rPr>
              <w:fldChar w:fldCharType="begin"/>
            </w:r>
            <w:r w:rsidR="008A222D" w:rsidRPr="008A222D">
              <w:rPr>
                <w:noProof/>
                <w:webHidden/>
              </w:rPr>
              <w:instrText xml:space="preserve"> PAGEREF _Toc235114056 \h </w:instrText>
            </w:r>
            <w:r w:rsidR="008A222D" w:rsidRPr="008A222D">
              <w:rPr>
                <w:noProof/>
                <w:webHidden/>
              </w:rPr>
            </w:r>
            <w:r w:rsidR="008A222D" w:rsidRPr="008A222D">
              <w:rPr>
                <w:noProof/>
                <w:webHidden/>
              </w:rPr>
              <w:fldChar w:fldCharType="separate"/>
            </w:r>
            <w:r w:rsidR="00DF7FB8">
              <w:rPr>
                <w:noProof/>
                <w:webHidden/>
              </w:rPr>
              <w:t>2</w:t>
            </w:r>
            <w:r w:rsidR="008A222D" w:rsidRPr="008A222D">
              <w:rPr>
                <w:noProof/>
                <w:webHidden/>
              </w:rPr>
              <w:fldChar w:fldCharType="end"/>
            </w:r>
          </w:hyperlink>
        </w:p>
        <w:p w14:paraId="38A9982F" w14:textId="3E5C944E" w:rsidR="008A222D" w:rsidRPr="008A222D" w:rsidRDefault="00000000">
          <w:pPr>
            <w:pStyle w:val="TDC2"/>
            <w:tabs>
              <w:tab w:val="right" w:leader="dot" w:pos="8921"/>
            </w:tabs>
            <w:rPr>
              <w:rFonts w:asciiTheme="minorHAnsi" w:eastAsiaTheme="minorEastAsia" w:hAnsiTheme="minorHAnsi" w:cstheme="minorBidi"/>
              <w:noProof/>
              <w:kern w:val="2"/>
              <w14:ligatures w14:val="standardContextual"/>
            </w:rPr>
          </w:pPr>
          <w:hyperlink w:anchor="_Toc235114057" w:history="1">
            <w:r w:rsidR="008A222D" w:rsidRPr="008A222D">
              <w:rPr>
                <w:rStyle w:val="Hipervnculo"/>
                <w:rFonts w:eastAsia="Calibri" w:cs="Times New Roman"/>
                <w:noProof/>
                <w:lang w:eastAsia="en-US"/>
              </w:rPr>
              <w:t xml:space="preserve">II. </w:t>
            </w:r>
            <w:r w:rsidR="008A222D" w:rsidRPr="008A222D">
              <w:rPr>
                <w:rStyle w:val="Hipervnculo"/>
                <w:noProof/>
              </w:rPr>
              <w:t>Respuesta del Sujeto Obligado</w:t>
            </w:r>
            <w:r w:rsidR="008A222D" w:rsidRPr="008A222D">
              <w:rPr>
                <w:noProof/>
                <w:webHidden/>
              </w:rPr>
              <w:tab/>
            </w:r>
            <w:r w:rsidR="008A222D" w:rsidRPr="008A222D">
              <w:rPr>
                <w:noProof/>
                <w:webHidden/>
              </w:rPr>
              <w:fldChar w:fldCharType="begin"/>
            </w:r>
            <w:r w:rsidR="008A222D" w:rsidRPr="008A222D">
              <w:rPr>
                <w:noProof/>
                <w:webHidden/>
              </w:rPr>
              <w:instrText xml:space="preserve"> PAGEREF _Toc235114057 \h </w:instrText>
            </w:r>
            <w:r w:rsidR="008A222D" w:rsidRPr="008A222D">
              <w:rPr>
                <w:noProof/>
                <w:webHidden/>
              </w:rPr>
            </w:r>
            <w:r w:rsidR="008A222D" w:rsidRPr="008A222D">
              <w:rPr>
                <w:noProof/>
                <w:webHidden/>
              </w:rPr>
              <w:fldChar w:fldCharType="separate"/>
            </w:r>
            <w:r w:rsidR="00DF7FB8">
              <w:rPr>
                <w:noProof/>
                <w:webHidden/>
              </w:rPr>
              <w:t>3</w:t>
            </w:r>
            <w:r w:rsidR="008A222D" w:rsidRPr="008A222D">
              <w:rPr>
                <w:noProof/>
                <w:webHidden/>
              </w:rPr>
              <w:fldChar w:fldCharType="end"/>
            </w:r>
          </w:hyperlink>
        </w:p>
        <w:p w14:paraId="5D40181E" w14:textId="792D7E10" w:rsidR="008A222D" w:rsidRPr="008A222D" w:rsidRDefault="00000000">
          <w:pPr>
            <w:pStyle w:val="TDC2"/>
            <w:tabs>
              <w:tab w:val="right" w:leader="dot" w:pos="8921"/>
            </w:tabs>
            <w:rPr>
              <w:rFonts w:asciiTheme="minorHAnsi" w:eastAsiaTheme="minorEastAsia" w:hAnsiTheme="minorHAnsi" w:cstheme="minorBidi"/>
              <w:noProof/>
              <w:kern w:val="2"/>
              <w14:ligatures w14:val="standardContextual"/>
            </w:rPr>
          </w:pPr>
          <w:hyperlink w:anchor="_Toc235114058" w:history="1">
            <w:r w:rsidR="008A222D" w:rsidRPr="008A222D">
              <w:rPr>
                <w:rStyle w:val="Hipervnculo"/>
                <w:noProof/>
              </w:rPr>
              <w:t>III. Interposición del Recurso de Revisión</w:t>
            </w:r>
            <w:r w:rsidR="008A222D" w:rsidRPr="008A222D">
              <w:rPr>
                <w:noProof/>
                <w:webHidden/>
              </w:rPr>
              <w:tab/>
            </w:r>
            <w:r w:rsidR="008A222D" w:rsidRPr="008A222D">
              <w:rPr>
                <w:noProof/>
                <w:webHidden/>
              </w:rPr>
              <w:fldChar w:fldCharType="begin"/>
            </w:r>
            <w:r w:rsidR="008A222D" w:rsidRPr="008A222D">
              <w:rPr>
                <w:noProof/>
                <w:webHidden/>
              </w:rPr>
              <w:instrText xml:space="preserve"> PAGEREF _Toc235114058 \h </w:instrText>
            </w:r>
            <w:r w:rsidR="008A222D" w:rsidRPr="008A222D">
              <w:rPr>
                <w:noProof/>
                <w:webHidden/>
              </w:rPr>
            </w:r>
            <w:r w:rsidR="008A222D" w:rsidRPr="008A222D">
              <w:rPr>
                <w:noProof/>
                <w:webHidden/>
              </w:rPr>
              <w:fldChar w:fldCharType="separate"/>
            </w:r>
            <w:r w:rsidR="00DF7FB8">
              <w:rPr>
                <w:noProof/>
                <w:webHidden/>
              </w:rPr>
              <w:t>3</w:t>
            </w:r>
            <w:r w:rsidR="008A222D" w:rsidRPr="008A222D">
              <w:rPr>
                <w:noProof/>
                <w:webHidden/>
              </w:rPr>
              <w:fldChar w:fldCharType="end"/>
            </w:r>
          </w:hyperlink>
        </w:p>
        <w:p w14:paraId="7EEA16F4" w14:textId="6282ED8B" w:rsidR="008A222D" w:rsidRPr="008A222D" w:rsidRDefault="00000000">
          <w:pPr>
            <w:pStyle w:val="TDC2"/>
            <w:tabs>
              <w:tab w:val="right" w:leader="dot" w:pos="8921"/>
            </w:tabs>
            <w:rPr>
              <w:rFonts w:asciiTheme="minorHAnsi" w:eastAsiaTheme="minorEastAsia" w:hAnsiTheme="minorHAnsi" w:cstheme="minorBidi"/>
              <w:noProof/>
              <w:kern w:val="2"/>
              <w14:ligatures w14:val="standardContextual"/>
            </w:rPr>
          </w:pPr>
          <w:hyperlink w:anchor="_Toc235114059" w:history="1">
            <w:r w:rsidR="008A222D" w:rsidRPr="008A222D">
              <w:rPr>
                <w:rStyle w:val="Hipervnculo"/>
                <w:noProof/>
              </w:rPr>
              <w:t>IV. Trámite del Recurso de Revisión ante este Instituto</w:t>
            </w:r>
            <w:r w:rsidR="008A222D" w:rsidRPr="008A222D">
              <w:rPr>
                <w:noProof/>
                <w:webHidden/>
              </w:rPr>
              <w:tab/>
            </w:r>
            <w:r w:rsidR="008A222D" w:rsidRPr="008A222D">
              <w:rPr>
                <w:noProof/>
                <w:webHidden/>
              </w:rPr>
              <w:fldChar w:fldCharType="begin"/>
            </w:r>
            <w:r w:rsidR="008A222D" w:rsidRPr="008A222D">
              <w:rPr>
                <w:noProof/>
                <w:webHidden/>
              </w:rPr>
              <w:instrText xml:space="preserve"> PAGEREF _Toc235114059 \h </w:instrText>
            </w:r>
            <w:r w:rsidR="008A222D" w:rsidRPr="008A222D">
              <w:rPr>
                <w:noProof/>
                <w:webHidden/>
              </w:rPr>
            </w:r>
            <w:r w:rsidR="008A222D" w:rsidRPr="008A222D">
              <w:rPr>
                <w:noProof/>
                <w:webHidden/>
              </w:rPr>
              <w:fldChar w:fldCharType="separate"/>
            </w:r>
            <w:r w:rsidR="00DF7FB8">
              <w:rPr>
                <w:noProof/>
                <w:webHidden/>
              </w:rPr>
              <w:t>4</w:t>
            </w:r>
            <w:r w:rsidR="008A222D" w:rsidRPr="008A222D">
              <w:rPr>
                <w:noProof/>
                <w:webHidden/>
              </w:rPr>
              <w:fldChar w:fldCharType="end"/>
            </w:r>
          </w:hyperlink>
        </w:p>
        <w:p w14:paraId="757F8998" w14:textId="43DDA4A7" w:rsidR="008A222D" w:rsidRPr="008A222D" w:rsidRDefault="00000000">
          <w:pPr>
            <w:pStyle w:val="TDC1"/>
            <w:tabs>
              <w:tab w:val="right" w:leader="dot" w:pos="8921"/>
            </w:tabs>
            <w:rPr>
              <w:rFonts w:asciiTheme="minorHAnsi" w:eastAsiaTheme="minorEastAsia" w:hAnsiTheme="minorHAnsi" w:cstheme="minorBidi"/>
              <w:noProof/>
              <w:kern w:val="2"/>
              <w14:ligatures w14:val="standardContextual"/>
            </w:rPr>
          </w:pPr>
          <w:hyperlink w:anchor="_Toc235114060" w:history="1">
            <w:r w:rsidR="008A222D" w:rsidRPr="008A222D">
              <w:rPr>
                <w:rStyle w:val="Hipervnculo"/>
                <w:noProof/>
              </w:rPr>
              <w:t>C O N S I D E R A N D O S</w:t>
            </w:r>
            <w:r w:rsidR="008A222D" w:rsidRPr="008A222D">
              <w:rPr>
                <w:noProof/>
                <w:webHidden/>
              </w:rPr>
              <w:tab/>
            </w:r>
            <w:r w:rsidR="008A222D" w:rsidRPr="008A222D">
              <w:rPr>
                <w:noProof/>
                <w:webHidden/>
              </w:rPr>
              <w:fldChar w:fldCharType="begin"/>
            </w:r>
            <w:r w:rsidR="008A222D" w:rsidRPr="008A222D">
              <w:rPr>
                <w:noProof/>
                <w:webHidden/>
              </w:rPr>
              <w:instrText xml:space="preserve"> PAGEREF _Toc235114060 \h </w:instrText>
            </w:r>
            <w:r w:rsidR="008A222D" w:rsidRPr="008A222D">
              <w:rPr>
                <w:noProof/>
                <w:webHidden/>
              </w:rPr>
            </w:r>
            <w:r w:rsidR="008A222D" w:rsidRPr="008A222D">
              <w:rPr>
                <w:noProof/>
                <w:webHidden/>
              </w:rPr>
              <w:fldChar w:fldCharType="separate"/>
            </w:r>
            <w:r w:rsidR="00DF7FB8">
              <w:rPr>
                <w:noProof/>
                <w:webHidden/>
              </w:rPr>
              <w:t>5</w:t>
            </w:r>
            <w:r w:rsidR="008A222D" w:rsidRPr="008A222D">
              <w:rPr>
                <w:noProof/>
                <w:webHidden/>
              </w:rPr>
              <w:fldChar w:fldCharType="end"/>
            </w:r>
          </w:hyperlink>
        </w:p>
        <w:p w14:paraId="38CE8F45" w14:textId="4C539023" w:rsidR="008A222D" w:rsidRPr="008A222D" w:rsidRDefault="00000000">
          <w:pPr>
            <w:pStyle w:val="TDC2"/>
            <w:tabs>
              <w:tab w:val="right" w:leader="dot" w:pos="8921"/>
            </w:tabs>
            <w:rPr>
              <w:rFonts w:asciiTheme="minorHAnsi" w:eastAsiaTheme="minorEastAsia" w:hAnsiTheme="minorHAnsi" w:cstheme="minorBidi"/>
              <w:noProof/>
              <w:kern w:val="2"/>
              <w14:ligatures w14:val="standardContextual"/>
            </w:rPr>
          </w:pPr>
          <w:hyperlink w:anchor="_Toc235114061" w:history="1">
            <w:r w:rsidR="008A222D" w:rsidRPr="008A222D">
              <w:rPr>
                <w:rStyle w:val="Hipervnculo"/>
                <w:noProof/>
              </w:rPr>
              <w:t>PRIMERO. Competencia</w:t>
            </w:r>
            <w:r w:rsidR="008A222D" w:rsidRPr="008A222D">
              <w:rPr>
                <w:noProof/>
                <w:webHidden/>
              </w:rPr>
              <w:tab/>
            </w:r>
            <w:r w:rsidR="008A222D" w:rsidRPr="008A222D">
              <w:rPr>
                <w:noProof/>
                <w:webHidden/>
              </w:rPr>
              <w:fldChar w:fldCharType="begin"/>
            </w:r>
            <w:r w:rsidR="008A222D" w:rsidRPr="008A222D">
              <w:rPr>
                <w:noProof/>
                <w:webHidden/>
              </w:rPr>
              <w:instrText xml:space="preserve"> PAGEREF _Toc235114061 \h </w:instrText>
            </w:r>
            <w:r w:rsidR="008A222D" w:rsidRPr="008A222D">
              <w:rPr>
                <w:noProof/>
                <w:webHidden/>
              </w:rPr>
            </w:r>
            <w:r w:rsidR="008A222D" w:rsidRPr="008A222D">
              <w:rPr>
                <w:noProof/>
                <w:webHidden/>
              </w:rPr>
              <w:fldChar w:fldCharType="separate"/>
            </w:r>
            <w:r w:rsidR="00DF7FB8">
              <w:rPr>
                <w:noProof/>
                <w:webHidden/>
              </w:rPr>
              <w:t>5</w:t>
            </w:r>
            <w:r w:rsidR="008A222D" w:rsidRPr="008A222D">
              <w:rPr>
                <w:noProof/>
                <w:webHidden/>
              </w:rPr>
              <w:fldChar w:fldCharType="end"/>
            </w:r>
          </w:hyperlink>
        </w:p>
        <w:p w14:paraId="675B1811" w14:textId="51E58156" w:rsidR="008A222D" w:rsidRPr="008A222D" w:rsidRDefault="00000000">
          <w:pPr>
            <w:pStyle w:val="TDC2"/>
            <w:tabs>
              <w:tab w:val="right" w:leader="dot" w:pos="8921"/>
            </w:tabs>
            <w:rPr>
              <w:rFonts w:asciiTheme="minorHAnsi" w:eastAsiaTheme="minorEastAsia" w:hAnsiTheme="minorHAnsi" w:cstheme="minorBidi"/>
              <w:noProof/>
              <w:kern w:val="2"/>
              <w14:ligatures w14:val="standardContextual"/>
            </w:rPr>
          </w:pPr>
          <w:hyperlink w:anchor="_Toc235114062" w:history="1">
            <w:r w:rsidR="008A222D" w:rsidRPr="008A222D">
              <w:rPr>
                <w:rStyle w:val="Hipervnculo"/>
                <w:noProof/>
              </w:rPr>
              <w:t>SEGUNDO. Causales de improcedencia y sobreseimiento</w:t>
            </w:r>
            <w:r w:rsidR="008A222D" w:rsidRPr="008A222D">
              <w:rPr>
                <w:noProof/>
                <w:webHidden/>
              </w:rPr>
              <w:tab/>
            </w:r>
            <w:r w:rsidR="008A222D" w:rsidRPr="008A222D">
              <w:rPr>
                <w:noProof/>
                <w:webHidden/>
              </w:rPr>
              <w:fldChar w:fldCharType="begin"/>
            </w:r>
            <w:r w:rsidR="008A222D" w:rsidRPr="008A222D">
              <w:rPr>
                <w:noProof/>
                <w:webHidden/>
              </w:rPr>
              <w:instrText xml:space="preserve"> PAGEREF _Toc235114062 \h </w:instrText>
            </w:r>
            <w:r w:rsidR="008A222D" w:rsidRPr="008A222D">
              <w:rPr>
                <w:noProof/>
                <w:webHidden/>
              </w:rPr>
            </w:r>
            <w:r w:rsidR="008A222D" w:rsidRPr="008A222D">
              <w:rPr>
                <w:noProof/>
                <w:webHidden/>
              </w:rPr>
              <w:fldChar w:fldCharType="separate"/>
            </w:r>
            <w:r w:rsidR="00DF7FB8">
              <w:rPr>
                <w:noProof/>
                <w:webHidden/>
              </w:rPr>
              <w:t>6</w:t>
            </w:r>
            <w:r w:rsidR="008A222D" w:rsidRPr="008A222D">
              <w:rPr>
                <w:noProof/>
                <w:webHidden/>
              </w:rPr>
              <w:fldChar w:fldCharType="end"/>
            </w:r>
          </w:hyperlink>
        </w:p>
        <w:p w14:paraId="2CB72163" w14:textId="21320E3D" w:rsidR="008A222D" w:rsidRPr="008A222D" w:rsidRDefault="00000000">
          <w:pPr>
            <w:pStyle w:val="TDC2"/>
            <w:tabs>
              <w:tab w:val="right" w:leader="dot" w:pos="8921"/>
            </w:tabs>
            <w:rPr>
              <w:rFonts w:asciiTheme="minorHAnsi" w:eastAsiaTheme="minorEastAsia" w:hAnsiTheme="minorHAnsi" w:cstheme="minorBidi"/>
              <w:noProof/>
              <w:kern w:val="2"/>
              <w14:ligatures w14:val="standardContextual"/>
            </w:rPr>
          </w:pPr>
          <w:hyperlink w:anchor="_Toc235114063" w:history="1">
            <w:r w:rsidR="008A222D" w:rsidRPr="008A222D">
              <w:rPr>
                <w:rStyle w:val="Hipervnculo"/>
                <w:noProof/>
              </w:rPr>
              <w:t>TERCERO. Determinación de la Controversia</w:t>
            </w:r>
            <w:r w:rsidR="008A222D" w:rsidRPr="008A222D">
              <w:rPr>
                <w:noProof/>
                <w:webHidden/>
              </w:rPr>
              <w:tab/>
            </w:r>
            <w:r w:rsidR="008A222D" w:rsidRPr="008A222D">
              <w:rPr>
                <w:noProof/>
                <w:webHidden/>
              </w:rPr>
              <w:fldChar w:fldCharType="begin"/>
            </w:r>
            <w:r w:rsidR="008A222D" w:rsidRPr="008A222D">
              <w:rPr>
                <w:noProof/>
                <w:webHidden/>
              </w:rPr>
              <w:instrText xml:space="preserve"> PAGEREF _Toc235114063 \h </w:instrText>
            </w:r>
            <w:r w:rsidR="008A222D" w:rsidRPr="008A222D">
              <w:rPr>
                <w:noProof/>
                <w:webHidden/>
              </w:rPr>
            </w:r>
            <w:r w:rsidR="008A222D" w:rsidRPr="008A222D">
              <w:rPr>
                <w:noProof/>
                <w:webHidden/>
              </w:rPr>
              <w:fldChar w:fldCharType="separate"/>
            </w:r>
            <w:r w:rsidR="00DF7FB8">
              <w:rPr>
                <w:noProof/>
                <w:webHidden/>
              </w:rPr>
              <w:t>7</w:t>
            </w:r>
            <w:r w:rsidR="008A222D" w:rsidRPr="008A222D">
              <w:rPr>
                <w:noProof/>
                <w:webHidden/>
              </w:rPr>
              <w:fldChar w:fldCharType="end"/>
            </w:r>
          </w:hyperlink>
        </w:p>
        <w:p w14:paraId="0888AB4F" w14:textId="6ACCF0A1" w:rsidR="008A222D" w:rsidRPr="008A222D" w:rsidRDefault="00000000">
          <w:pPr>
            <w:pStyle w:val="TDC2"/>
            <w:tabs>
              <w:tab w:val="right" w:leader="dot" w:pos="8921"/>
            </w:tabs>
            <w:rPr>
              <w:rFonts w:asciiTheme="minorHAnsi" w:eastAsiaTheme="minorEastAsia" w:hAnsiTheme="minorHAnsi" w:cstheme="minorBidi"/>
              <w:noProof/>
              <w:kern w:val="2"/>
              <w14:ligatures w14:val="standardContextual"/>
            </w:rPr>
          </w:pPr>
          <w:hyperlink w:anchor="_Toc235114064" w:history="1">
            <w:r w:rsidR="008A222D" w:rsidRPr="008A222D">
              <w:rPr>
                <w:rStyle w:val="Hipervnculo"/>
                <w:noProof/>
              </w:rPr>
              <w:t>CUARTO. Marco normativo aplicable en materia de transparencia y acceso a la información pública</w:t>
            </w:r>
            <w:r w:rsidR="008A222D" w:rsidRPr="008A222D">
              <w:rPr>
                <w:noProof/>
                <w:webHidden/>
              </w:rPr>
              <w:tab/>
            </w:r>
            <w:r w:rsidR="008A222D" w:rsidRPr="008A222D">
              <w:rPr>
                <w:noProof/>
                <w:webHidden/>
              </w:rPr>
              <w:fldChar w:fldCharType="begin"/>
            </w:r>
            <w:r w:rsidR="008A222D" w:rsidRPr="008A222D">
              <w:rPr>
                <w:noProof/>
                <w:webHidden/>
              </w:rPr>
              <w:instrText xml:space="preserve"> PAGEREF _Toc235114064 \h </w:instrText>
            </w:r>
            <w:r w:rsidR="008A222D" w:rsidRPr="008A222D">
              <w:rPr>
                <w:noProof/>
                <w:webHidden/>
              </w:rPr>
            </w:r>
            <w:r w:rsidR="008A222D" w:rsidRPr="008A222D">
              <w:rPr>
                <w:noProof/>
                <w:webHidden/>
              </w:rPr>
              <w:fldChar w:fldCharType="separate"/>
            </w:r>
            <w:r w:rsidR="00DF7FB8">
              <w:rPr>
                <w:noProof/>
                <w:webHidden/>
              </w:rPr>
              <w:t>8</w:t>
            </w:r>
            <w:r w:rsidR="008A222D" w:rsidRPr="008A222D">
              <w:rPr>
                <w:noProof/>
                <w:webHidden/>
              </w:rPr>
              <w:fldChar w:fldCharType="end"/>
            </w:r>
          </w:hyperlink>
        </w:p>
        <w:p w14:paraId="7E20AF17" w14:textId="2308567F" w:rsidR="008A222D" w:rsidRPr="008A222D" w:rsidRDefault="00000000">
          <w:pPr>
            <w:pStyle w:val="TDC2"/>
            <w:tabs>
              <w:tab w:val="right" w:leader="dot" w:pos="8921"/>
            </w:tabs>
            <w:rPr>
              <w:rFonts w:asciiTheme="minorHAnsi" w:eastAsiaTheme="minorEastAsia" w:hAnsiTheme="minorHAnsi" w:cstheme="minorBidi"/>
              <w:noProof/>
              <w:kern w:val="2"/>
              <w14:ligatures w14:val="standardContextual"/>
            </w:rPr>
          </w:pPr>
          <w:hyperlink w:anchor="_Toc235114065" w:history="1">
            <w:r w:rsidR="008A222D" w:rsidRPr="008A222D">
              <w:rPr>
                <w:rStyle w:val="Hipervnculo"/>
                <w:noProof/>
              </w:rPr>
              <w:t>QUINTO. Estudio de Fondo</w:t>
            </w:r>
            <w:r w:rsidR="008A222D" w:rsidRPr="008A222D">
              <w:rPr>
                <w:noProof/>
                <w:webHidden/>
              </w:rPr>
              <w:tab/>
            </w:r>
            <w:r w:rsidR="008A222D" w:rsidRPr="008A222D">
              <w:rPr>
                <w:noProof/>
                <w:webHidden/>
              </w:rPr>
              <w:fldChar w:fldCharType="begin"/>
            </w:r>
            <w:r w:rsidR="008A222D" w:rsidRPr="008A222D">
              <w:rPr>
                <w:noProof/>
                <w:webHidden/>
              </w:rPr>
              <w:instrText xml:space="preserve"> PAGEREF _Toc235114065 \h </w:instrText>
            </w:r>
            <w:r w:rsidR="008A222D" w:rsidRPr="008A222D">
              <w:rPr>
                <w:noProof/>
                <w:webHidden/>
              </w:rPr>
            </w:r>
            <w:r w:rsidR="008A222D" w:rsidRPr="008A222D">
              <w:rPr>
                <w:noProof/>
                <w:webHidden/>
              </w:rPr>
              <w:fldChar w:fldCharType="separate"/>
            </w:r>
            <w:r w:rsidR="00DF7FB8">
              <w:rPr>
                <w:noProof/>
                <w:webHidden/>
              </w:rPr>
              <w:t>9</w:t>
            </w:r>
            <w:r w:rsidR="008A222D" w:rsidRPr="008A222D">
              <w:rPr>
                <w:noProof/>
                <w:webHidden/>
              </w:rPr>
              <w:fldChar w:fldCharType="end"/>
            </w:r>
          </w:hyperlink>
        </w:p>
        <w:p w14:paraId="46EA0ACD" w14:textId="715A8E06" w:rsidR="008A222D" w:rsidRPr="008A222D" w:rsidRDefault="00000000">
          <w:pPr>
            <w:pStyle w:val="TDC2"/>
            <w:tabs>
              <w:tab w:val="right" w:leader="dot" w:pos="8921"/>
            </w:tabs>
            <w:rPr>
              <w:rFonts w:asciiTheme="minorHAnsi" w:eastAsiaTheme="minorEastAsia" w:hAnsiTheme="minorHAnsi" w:cstheme="minorBidi"/>
              <w:noProof/>
              <w:kern w:val="2"/>
              <w14:ligatures w14:val="standardContextual"/>
            </w:rPr>
          </w:pPr>
          <w:hyperlink w:anchor="_Toc235114066" w:history="1">
            <w:r w:rsidR="008A222D" w:rsidRPr="008A222D">
              <w:rPr>
                <w:rStyle w:val="Hipervnculo"/>
                <w:noProof/>
              </w:rPr>
              <w:t>SEXTO. Decisión</w:t>
            </w:r>
            <w:r w:rsidR="008A222D" w:rsidRPr="008A222D">
              <w:rPr>
                <w:noProof/>
                <w:webHidden/>
              </w:rPr>
              <w:tab/>
            </w:r>
            <w:r w:rsidR="008A222D" w:rsidRPr="008A222D">
              <w:rPr>
                <w:noProof/>
                <w:webHidden/>
              </w:rPr>
              <w:fldChar w:fldCharType="begin"/>
            </w:r>
            <w:r w:rsidR="008A222D" w:rsidRPr="008A222D">
              <w:rPr>
                <w:noProof/>
                <w:webHidden/>
              </w:rPr>
              <w:instrText xml:space="preserve"> PAGEREF _Toc235114066 \h </w:instrText>
            </w:r>
            <w:r w:rsidR="008A222D" w:rsidRPr="008A222D">
              <w:rPr>
                <w:noProof/>
                <w:webHidden/>
              </w:rPr>
            </w:r>
            <w:r w:rsidR="008A222D" w:rsidRPr="008A222D">
              <w:rPr>
                <w:noProof/>
                <w:webHidden/>
              </w:rPr>
              <w:fldChar w:fldCharType="separate"/>
            </w:r>
            <w:r w:rsidR="00DF7FB8">
              <w:rPr>
                <w:noProof/>
                <w:webHidden/>
              </w:rPr>
              <w:t>21</w:t>
            </w:r>
            <w:r w:rsidR="008A222D" w:rsidRPr="008A222D">
              <w:rPr>
                <w:noProof/>
                <w:webHidden/>
              </w:rPr>
              <w:fldChar w:fldCharType="end"/>
            </w:r>
          </w:hyperlink>
        </w:p>
        <w:p w14:paraId="1BAD47A5" w14:textId="14251A39" w:rsidR="008A222D" w:rsidRPr="008A222D" w:rsidRDefault="00000000">
          <w:pPr>
            <w:pStyle w:val="TDC1"/>
            <w:tabs>
              <w:tab w:val="right" w:leader="dot" w:pos="8921"/>
            </w:tabs>
            <w:rPr>
              <w:rFonts w:asciiTheme="minorHAnsi" w:eastAsiaTheme="minorEastAsia" w:hAnsiTheme="minorHAnsi" w:cstheme="minorBidi"/>
              <w:noProof/>
              <w:kern w:val="2"/>
              <w14:ligatures w14:val="standardContextual"/>
            </w:rPr>
          </w:pPr>
          <w:hyperlink w:anchor="_Toc235114067" w:history="1">
            <w:r w:rsidR="008A222D" w:rsidRPr="008A222D">
              <w:rPr>
                <w:rStyle w:val="Hipervnculo"/>
                <w:noProof/>
              </w:rPr>
              <w:t>R E S U E L V E</w:t>
            </w:r>
            <w:r w:rsidR="008A222D" w:rsidRPr="008A222D">
              <w:rPr>
                <w:noProof/>
                <w:webHidden/>
              </w:rPr>
              <w:tab/>
            </w:r>
            <w:r w:rsidR="008A222D" w:rsidRPr="008A222D">
              <w:rPr>
                <w:noProof/>
                <w:webHidden/>
              </w:rPr>
              <w:fldChar w:fldCharType="begin"/>
            </w:r>
            <w:r w:rsidR="008A222D" w:rsidRPr="008A222D">
              <w:rPr>
                <w:noProof/>
                <w:webHidden/>
              </w:rPr>
              <w:instrText xml:space="preserve"> PAGEREF _Toc235114067 \h </w:instrText>
            </w:r>
            <w:r w:rsidR="008A222D" w:rsidRPr="008A222D">
              <w:rPr>
                <w:noProof/>
                <w:webHidden/>
              </w:rPr>
            </w:r>
            <w:r w:rsidR="008A222D" w:rsidRPr="008A222D">
              <w:rPr>
                <w:noProof/>
                <w:webHidden/>
              </w:rPr>
              <w:fldChar w:fldCharType="separate"/>
            </w:r>
            <w:r w:rsidR="00DF7FB8">
              <w:rPr>
                <w:noProof/>
                <w:webHidden/>
              </w:rPr>
              <w:t>21</w:t>
            </w:r>
            <w:r w:rsidR="008A222D" w:rsidRPr="008A222D">
              <w:rPr>
                <w:noProof/>
                <w:webHidden/>
              </w:rPr>
              <w:fldChar w:fldCharType="end"/>
            </w:r>
          </w:hyperlink>
        </w:p>
        <w:p w14:paraId="2B8CF81E" w14:textId="61A2515E" w:rsidR="007D548E" w:rsidRPr="008A222D" w:rsidRDefault="007D548E">
          <w:r w:rsidRPr="008A222D">
            <w:rPr>
              <w:lang w:val="es-ES"/>
            </w:rPr>
            <w:fldChar w:fldCharType="end"/>
          </w:r>
        </w:p>
      </w:sdtContent>
    </w:sdt>
    <w:p w14:paraId="5A17663F" w14:textId="77777777" w:rsidR="007D548E" w:rsidRDefault="007D548E">
      <w:pPr>
        <w:rPr>
          <w:color w:val="000000"/>
        </w:rPr>
      </w:pPr>
      <w:r>
        <w:rPr>
          <w:color w:val="000000"/>
        </w:rPr>
        <w:br w:type="page"/>
      </w:r>
    </w:p>
    <w:p w14:paraId="4EBA6670" w14:textId="226220DD" w:rsidR="00BB2887" w:rsidRDefault="00B27581">
      <w:pPr>
        <w:tabs>
          <w:tab w:val="left" w:pos="8931"/>
        </w:tabs>
        <w:spacing w:after="0" w:line="360" w:lineRule="auto"/>
        <w:rPr>
          <w:color w:val="000000"/>
        </w:rPr>
      </w:pPr>
      <w:r>
        <w:rPr>
          <w:color w:val="000000"/>
        </w:rPr>
        <w:lastRenderedPageBreak/>
        <w:t xml:space="preserve">Resolución del Pleno del Instituto de Transparencia, Acceso a la Información Pública y Protección de Datos Personales del Estado de México y Municipios, con domicilio en Metepec, Estado de México, de fecha </w:t>
      </w:r>
      <w:r w:rsidR="006B6109">
        <w:rPr>
          <w:color w:val="000000"/>
        </w:rPr>
        <w:t>quince</w:t>
      </w:r>
      <w:r w:rsidR="001B1B01">
        <w:rPr>
          <w:color w:val="000000"/>
        </w:rPr>
        <w:t xml:space="preserve"> de julio</w:t>
      </w:r>
      <w:r>
        <w:rPr>
          <w:color w:val="000000"/>
        </w:rPr>
        <w:t xml:space="preserve"> de dos mil veintiséis.</w:t>
      </w:r>
    </w:p>
    <w:p w14:paraId="5FF8B193" w14:textId="77777777" w:rsidR="00BB2887" w:rsidRDefault="00BB2887">
      <w:pPr>
        <w:spacing w:after="0" w:line="360" w:lineRule="auto"/>
        <w:rPr>
          <w:b/>
          <w:bCs/>
          <w:color w:val="000000"/>
        </w:rPr>
      </w:pPr>
    </w:p>
    <w:p w14:paraId="62C13AE7" w14:textId="191EF5BD" w:rsidR="00BB2887" w:rsidRDefault="00B27581" w:rsidP="007D548E">
      <w:pPr>
        <w:spacing w:after="0" w:line="360" w:lineRule="auto"/>
        <w:contextualSpacing/>
        <w:rPr>
          <w:color w:val="000000"/>
        </w:rPr>
      </w:pPr>
      <w:r w:rsidRPr="0026475A">
        <w:rPr>
          <w:b/>
          <w:color w:val="000000"/>
        </w:rPr>
        <w:t>VISTO</w:t>
      </w:r>
      <w:r>
        <w:rPr>
          <w:color w:val="000000"/>
        </w:rPr>
        <w:t xml:space="preserve"> el expediente electrónico conformado con motivo del Recurso de Revisión </w:t>
      </w:r>
      <w:r w:rsidR="006B6109" w:rsidRPr="004B5EE2">
        <w:rPr>
          <w:b/>
          <w:bCs/>
          <w:color w:val="000000"/>
        </w:rPr>
        <w:t>06701</w:t>
      </w:r>
      <w:r w:rsidRPr="004B5EE2">
        <w:rPr>
          <w:b/>
          <w:bCs/>
          <w:color w:val="000000"/>
        </w:rPr>
        <w:t>/INFOEM/IP/RR/202</w:t>
      </w:r>
      <w:r w:rsidR="00565BF1" w:rsidRPr="004B5EE2">
        <w:rPr>
          <w:b/>
          <w:bCs/>
          <w:color w:val="000000"/>
        </w:rPr>
        <w:t>6</w:t>
      </w:r>
      <w:r w:rsidRPr="00305ABD">
        <w:rPr>
          <w:bCs/>
          <w:color w:val="000000"/>
        </w:rPr>
        <w:t xml:space="preserve">, interpuesto por un Recurrente o Particular, en contra de la respuesta del Sujeto Obligado, </w:t>
      </w:r>
      <w:r w:rsidR="006B6109" w:rsidRPr="004B5EE2">
        <w:rPr>
          <w:b/>
          <w:bCs/>
          <w:color w:val="000000"/>
        </w:rPr>
        <w:t>Ayuntamiento de Tecámac</w:t>
      </w:r>
      <w:r w:rsidRPr="004B5EE2">
        <w:rPr>
          <w:b/>
          <w:bCs/>
          <w:color w:val="000000"/>
        </w:rPr>
        <w:t>,</w:t>
      </w:r>
      <w:r w:rsidRPr="004B5EE2">
        <w:rPr>
          <w:b/>
          <w:color w:val="000000"/>
        </w:rPr>
        <w:t xml:space="preserve"> </w:t>
      </w:r>
      <w:r>
        <w:rPr>
          <w:color w:val="000000"/>
        </w:rPr>
        <w:t xml:space="preserve">a la solicitud de acceso a la información pública </w:t>
      </w:r>
      <w:r w:rsidR="006B6109" w:rsidRPr="006B6109">
        <w:rPr>
          <w:color w:val="000000"/>
        </w:rPr>
        <w:t>00425/TECAMAC/IP/2026</w:t>
      </w:r>
      <w:r>
        <w:rPr>
          <w:color w:val="000000"/>
        </w:rPr>
        <w:t>, se emite la presente Resolución, con base en los Antecedentes y Considerandos que se exponen a continuación:</w:t>
      </w:r>
    </w:p>
    <w:p w14:paraId="29FD9C57" w14:textId="77777777" w:rsidR="00BB2887" w:rsidRDefault="00BB2887" w:rsidP="007D548E">
      <w:pPr>
        <w:spacing w:after="0" w:line="360" w:lineRule="auto"/>
        <w:contextualSpacing/>
        <w:rPr>
          <w:b/>
          <w:bCs/>
          <w:color w:val="000000"/>
        </w:rPr>
      </w:pPr>
    </w:p>
    <w:p w14:paraId="01638914" w14:textId="77777777" w:rsidR="00BB2887" w:rsidRPr="007D548E" w:rsidRDefault="00B27581" w:rsidP="007D548E">
      <w:pPr>
        <w:pStyle w:val="Ttulo1"/>
        <w:spacing w:line="360" w:lineRule="auto"/>
        <w:contextualSpacing/>
        <w:jc w:val="center"/>
        <w:rPr>
          <w:sz w:val="22"/>
          <w:szCs w:val="22"/>
        </w:rPr>
      </w:pPr>
      <w:bookmarkStart w:id="0" w:name="_Toc235114055"/>
      <w:r w:rsidRPr="007D548E">
        <w:rPr>
          <w:sz w:val="22"/>
          <w:szCs w:val="22"/>
        </w:rPr>
        <w:t>A N T E C E D E N T E S</w:t>
      </w:r>
      <w:bookmarkEnd w:id="0"/>
    </w:p>
    <w:p w14:paraId="628E8514" w14:textId="77777777" w:rsidR="00BB2887" w:rsidRDefault="00BB2887" w:rsidP="007D548E">
      <w:pPr>
        <w:spacing w:after="0" w:line="360" w:lineRule="auto"/>
        <w:contextualSpacing/>
        <w:jc w:val="center"/>
        <w:rPr>
          <w:b/>
          <w:bCs/>
          <w:color w:val="000000"/>
        </w:rPr>
      </w:pPr>
    </w:p>
    <w:p w14:paraId="10942EAE" w14:textId="77777777" w:rsidR="00BB2887" w:rsidRDefault="00B27581" w:rsidP="007D548E">
      <w:pPr>
        <w:pStyle w:val="Ttulo2"/>
        <w:spacing w:before="0" w:after="0" w:line="360" w:lineRule="auto"/>
        <w:contextualSpacing/>
        <w:rPr>
          <w:color w:val="000000"/>
          <w:sz w:val="22"/>
          <w:szCs w:val="22"/>
        </w:rPr>
      </w:pPr>
      <w:bookmarkStart w:id="1" w:name="_Toc235114056"/>
      <w:r>
        <w:rPr>
          <w:color w:val="000000"/>
          <w:sz w:val="22"/>
          <w:szCs w:val="22"/>
        </w:rPr>
        <w:t>I. Presentación de la solicitud de información</w:t>
      </w:r>
      <w:bookmarkEnd w:id="1"/>
    </w:p>
    <w:p w14:paraId="1FCF830F" w14:textId="77777777" w:rsidR="00BB2887" w:rsidRDefault="00BB2887">
      <w:pPr>
        <w:tabs>
          <w:tab w:val="left" w:pos="567"/>
        </w:tabs>
        <w:spacing w:after="0" w:line="360" w:lineRule="auto"/>
        <w:rPr>
          <w:color w:val="000000"/>
        </w:rPr>
      </w:pPr>
    </w:p>
    <w:p w14:paraId="76E3929D" w14:textId="67B4795D" w:rsidR="00BB2887" w:rsidRDefault="00B27581">
      <w:pPr>
        <w:spacing w:after="0" w:line="360" w:lineRule="auto"/>
        <w:rPr>
          <w:color w:val="000000"/>
        </w:rPr>
      </w:pPr>
      <w:r>
        <w:rPr>
          <w:color w:val="000000"/>
        </w:rPr>
        <w:t xml:space="preserve">El </w:t>
      </w:r>
      <w:r w:rsidR="006B6109">
        <w:rPr>
          <w:color w:val="000000"/>
        </w:rPr>
        <w:t>veinti</w:t>
      </w:r>
      <w:r w:rsidR="001B1B01">
        <w:rPr>
          <w:color w:val="000000"/>
        </w:rPr>
        <w:t>siete de mayo</w:t>
      </w:r>
      <w:r>
        <w:rPr>
          <w:color w:val="000000"/>
        </w:rPr>
        <w:t xml:space="preserve"> de dos mil </w:t>
      </w:r>
      <w:r w:rsidR="00565BF1">
        <w:rPr>
          <w:color w:val="000000"/>
        </w:rPr>
        <w:t>veintiséis</w:t>
      </w:r>
      <w:r>
        <w:rPr>
          <w:color w:val="000000"/>
        </w:rPr>
        <w:t xml:space="preserve">, el Particular presentó una solicitud de acceso a la información pública, a través del Sistema de Acceso a la Información Mexiquense (SAIMEX), ante el </w:t>
      </w:r>
      <w:r w:rsidR="006B6109">
        <w:rPr>
          <w:color w:val="000000"/>
        </w:rPr>
        <w:t>Ayuntamiento de Tecámac</w:t>
      </w:r>
      <w:r>
        <w:rPr>
          <w:color w:val="000000"/>
        </w:rPr>
        <w:t xml:space="preserve">, en los siguientes términos: </w:t>
      </w:r>
    </w:p>
    <w:p w14:paraId="137C8BC5" w14:textId="77777777" w:rsidR="00BB2887" w:rsidRDefault="00BB2887">
      <w:pPr>
        <w:spacing w:after="0" w:line="360" w:lineRule="auto"/>
        <w:rPr>
          <w:color w:val="000000"/>
        </w:rPr>
      </w:pPr>
    </w:p>
    <w:p w14:paraId="2C0ACC6D" w14:textId="77777777" w:rsidR="00BB2887" w:rsidRDefault="00B27581">
      <w:pPr>
        <w:tabs>
          <w:tab w:val="left" w:pos="4667"/>
        </w:tabs>
        <w:spacing w:after="0" w:line="360" w:lineRule="auto"/>
        <w:ind w:left="567" w:right="567"/>
        <w:rPr>
          <w:b/>
          <w:bCs/>
          <w:i/>
          <w:iCs/>
          <w:color w:val="000000"/>
          <w:sz w:val="20"/>
          <w:szCs w:val="20"/>
        </w:rPr>
      </w:pPr>
      <w:r>
        <w:rPr>
          <w:b/>
          <w:bCs/>
          <w:i/>
          <w:iCs/>
          <w:color w:val="000000"/>
          <w:sz w:val="20"/>
          <w:szCs w:val="20"/>
        </w:rPr>
        <w:t>“DESCRIPCIÓN CLARA Y PRECISA DE LA INFORMACIÓN SOLICITADA</w:t>
      </w:r>
    </w:p>
    <w:p w14:paraId="35512C7E" w14:textId="76A91657" w:rsidR="00BB2887" w:rsidRDefault="006B6109" w:rsidP="00F84014">
      <w:pPr>
        <w:spacing w:line="360" w:lineRule="auto"/>
        <w:ind w:left="567" w:right="425"/>
        <w:rPr>
          <w:i/>
          <w:iCs/>
          <w:color w:val="000000"/>
          <w:sz w:val="20"/>
          <w:szCs w:val="20"/>
        </w:rPr>
      </w:pPr>
      <w:r w:rsidRPr="006B6109">
        <w:rPr>
          <w:i/>
          <w:iCs/>
          <w:color w:val="000000"/>
          <w:sz w:val="20"/>
          <w:szCs w:val="20"/>
        </w:rPr>
        <w:t xml:space="preserve">solicito copia simple digitalizada a través del sistema electrónico </w:t>
      </w:r>
      <w:proofErr w:type="spellStart"/>
      <w:r w:rsidRPr="006B6109">
        <w:rPr>
          <w:i/>
          <w:iCs/>
          <w:color w:val="000000"/>
          <w:sz w:val="20"/>
          <w:szCs w:val="20"/>
        </w:rPr>
        <w:t>saimex</w:t>
      </w:r>
      <w:proofErr w:type="spellEnd"/>
      <w:r w:rsidRPr="006B6109">
        <w:rPr>
          <w:i/>
          <w:iCs/>
          <w:color w:val="000000"/>
          <w:sz w:val="20"/>
          <w:szCs w:val="20"/>
        </w:rPr>
        <w:t xml:space="preserve"> de todos los </w:t>
      </w:r>
      <w:proofErr w:type="spellStart"/>
      <w:r w:rsidRPr="006B6109">
        <w:rPr>
          <w:i/>
          <w:iCs/>
          <w:color w:val="000000"/>
          <w:sz w:val="20"/>
          <w:szCs w:val="20"/>
        </w:rPr>
        <w:t>los</w:t>
      </w:r>
      <w:proofErr w:type="spellEnd"/>
      <w:r w:rsidRPr="006B6109">
        <w:rPr>
          <w:i/>
          <w:iCs/>
          <w:color w:val="000000"/>
          <w:sz w:val="20"/>
          <w:szCs w:val="20"/>
        </w:rPr>
        <w:t xml:space="preserve"> comprobantes de pago realizados entre el 1 de enero y el 31 de diciembre de 2025 por la </w:t>
      </w:r>
      <w:proofErr w:type="spellStart"/>
      <w:r w:rsidRPr="006B6109">
        <w:rPr>
          <w:i/>
          <w:iCs/>
          <w:color w:val="000000"/>
          <w:sz w:val="20"/>
          <w:szCs w:val="20"/>
        </w:rPr>
        <w:t>tesoreria</w:t>
      </w:r>
      <w:proofErr w:type="spellEnd"/>
      <w:r w:rsidRPr="006B6109">
        <w:rPr>
          <w:i/>
          <w:iCs/>
          <w:color w:val="000000"/>
          <w:sz w:val="20"/>
          <w:szCs w:val="20"/>
        </w:rPr>
        <w:t xml:space="preserve"> municipal correspondientes a las partidas presupuestales: 3611 3612 3621 3651 3661</w:t>
      </w:r>
      <w:r w:rsidR="00B27581">
        <w:rPr>
          <w:i/>
          <w:iCs/>
          <w:color w:val="000000"/>
          <w:sz w:val="20"/>
          <w:szCs w:val="20"/>
        </w:rPr>
        <w:t>” (Sic)</w:t>
      </w:r>
    </w:p>
    <w:p w14:paraId="0624AEC6" w14:textId="77777777" w:rsidR="00BB2887" w:rsidRDefault="00BB2887">
      <w:pPr>
        <w:tabs>
          <w:tab w:val="left" w:pos="4667"/>
        </w:tabs>
        <w:spacing w:after="0" w:line="360" w:lineRule="auto"/>
        <w:ind w:left="567" w:right="567"/>
        <w:rPr>
          <w:b/>
          <w:bCs/>
          <w:i/>
          <w:iCs/>
          <w:color w:val="000000"/>
          <w:sz w:val="20"/>
          <w:szCs w:val="20"/>
        </w:rPr>
      </w:pPr>
    </w:p>
    <w:p w14:paraId="4851A2F8" w14:textId="77777777" w:rsidR="00BB2887" w:rsidRDefault="00B27581">
      <w:pPr>
        <w:tabs>
          <w:tab w:val="left" w:pos="4667"/>
        </w:tabs>
        <w:spacing w:after="0" w:line="360" w:lineRule="auto"/>
        <w:ind w:left="567" w:right="567"/>
        <w:rPr>
          <w:b/>
          <w:bCs/>
          <w:i/>
          <w:iCs/>
          <w:color w:val="000000"/>
          <w:sz w:val="20"/>
          <w:szCs w:val="20"/>
        </w:rPr>
      </w:pPr>
      <w:r>
        <w:rPr>
          <w:b/>
          <w:bCs/>
          <w:i/>
          <w:iCs/>
          <w:color w:val="000000"/>
          <w:sz w:val="20"/>
          <w:szCs w:val="20"/>
        </w:rPr>
        <w:t>“MODALIDAD DE ENTREGA</w:t>
      </w:r>
    </w:p>
    <w:p w14:paraId="7EE5D10B" w14:textId="77777777" w:rsidR="00BB2887" w:rsidRDefault="00B27581">
      <w:pPr>
        <w:spacing w:after="0" w:line="360" w:lineRule="auto"/>
        <w:ind w:left="567" w:right="567"/>
        <w:rPr>
          <w:i/>
          <w:iCs/>
          <w:color w:val="000000"/>
          <w:sz w:val="20"/>
          <w:szCs w:val="20"/>
        </w:rPr>
      </w:pPr>
      <w:r>
        <w:rPr>
          <w:i/>
          <w:iCs/>
          <w:color w:val="000000"/>
          <w:sz w:val="20"/>
          <w:szCs w:val="20"/>
        </w:rPr>
        <w:t>A través del SAIMEX”</w:t>
      </w:r>
    </w:p>
    <w:p w14:paraId="519181BD" w14:textId="77777777" w:rsidR="00BB2887" w:rsidRDefault="00BB2887">
      <w:pPr>
        <w:spacing w:after="0" w:line="360" w:lineRule="auto"/>
        <w:ind w:left="567" w:right="567"/>
        <w:rPr>
          <w:i/>
          <w:iCs/>
          <w:color w:val="000000"/>
          <w:sz w:val="20"/>
          <w:szCs w:val="20"/>
        </w:rPr>
      </w:pPr>
    </w:p>
    <w:p w14:paraId="562B1B7B" w14:textId="77777777" w:rsidR="00BB2887" w:rsidRPr="00305ABD" w:rsidRDefault="00E753EA" w:rsidP="001B1B01">
      <w:pPr>
        <w:keepNext/>
        <w:keepLines/>
        <w:spacing w:after="0" w:line="360" w:lineRule="auto"/>
        <w:outlineLvl w:val="1"/>
        <w:rPr>
          <w:b/>
          <w:bCs/>
          <w:color w:val="000000"/>
        </w:rPr>
      </w:pPr>
      <w:bookmarkStart w:id="2" w:name="_Toc189042481"/>
      <w:bookmarkStart w:id="3" w:name="_Toc210306184"/>
      <w:bookmarkStart w:id="4" w:name="_Toc221122390"/>
      <w:bookmarkStart w:id="5" w:name="_Toc235114057"/>
      <w:r w:rsidRPr="00305ABD">
        <w:rPr>
          <w:rFonts w:eastAsia="Calibri" w:cs="Times New Roman"/>
          <w:b/>
          <w:bCs/>
          <w:lang w:eastAsia="en-US"/>
        </w:rPr>
        <w:lastRenderedPageBreak/>
        <w:t xml:space="preserve">II. </w:t>
      </w:r>
      <w:bookmarkEnd w:id="2"/>
      <w:bookmarkEnd w:id="3"/>
      <w:bookmarkEnd w:id="4"/>
      <w:r w:rsidR="00B27581" w:rsidRPr="00305ABD">
        <w:rPr>
          <w:b/>
          <w:bCs/>
          <w:color w:val="000000"/>
        </w:rPr>
        <w:t>Respuesta del Sujeto Obligado</w:t>
      </w:r>
      <w:bookmarkEnd w:id="5"/>
    </w:p>
    <w:p w14:paraId="4ECA2622" w14:textId="77777777" w:rsidR="00BB2887" w:rsidRDefault="00BB2887">
      <w:pPr>
        <w:spacing w:after="0" w:line="360" w:lineRule="auto"/>
        <w:rPr>
          <w:b/>
          <w:bCs/>
          <w:color w:val="000000"/>
        </w:rPr>
      </w:pPr>
    </w:p>
    <w:p w14:paraId="0FF3F0BD" w14:textId="77777777" w:rsidR="006B6109" w:rsidRDefault="00B27581" w:rsidP="001B1B01">
      <w:pPr>
        <w:spacing w:after="0" w:line="360" w:lineRule="auto"/>
        <w:rPr>
          <w:color w:val="000000"/>
        </w:rPr>
      </w:pPr>
      <w:r>
        <w:rPr>
          <w:color w:val="000000"/>
        </w:rPr>
        <w:t xml:space="preserve">El </w:t>
      </w:r>
      <w:r w:rsidR="006B6109">
        <w:rPr>
          <w:color w:val="000000"/>
        </w:rPr>
        <w:t>diecisiete de junio</w:t>
      </w:r>
      <w:r w:rsidR="001B1B01">
        <w:rPr>
          <w:color w:val="000000"/>
        </w:rPr>
        <w:t xml:space="preserve"> </w:t>
      </w:r>
      <w:r w:rsidR="00E753EA">
        <w:rPr>
          <w:color w:val="000000"/>
        </w:rPr>
        <w:t>de dos mil veintiséis</w:t>
      </w:r>
      <w:r>
        <w:rPr>
          <w:color w:val="000000"/>
        </w:rPr>
        <w:t>, el Sujeto Obligado notificó, a través del Sistema de Acceso a la Información Mexiquense (SAIMEX), la respuesta a la solicitud de acceso a la información pública, en la qu</w:t>
      </w:r>
      <w:bookmarkStart w:id="6" w:name="_Hlk233885341"/>
      <w:r w:rsidR="006B6109">
        <w:rPr>
          <w:color w:val="000000"/>
        </w:rPr>
        <w:t>e la Tesorera Municipal</w:t>
      </w:r>
      <w:r w:rsidR="001B1B01">
        <w:rPr>
          <w:color w:val="000000"/>
        </w:rPr>
        <w:t xml:space="preserve"> </w:t>
      </w:r>
      <w:bookmarkEnd w:id="6"/>
      <w:r w:rsidR="006B6109">
        <w:rPr>
          <w:color w:val="000000"/>
        </w:rPr>
        <w:t>señaló lo siguiente:</w:t>
      </w:r>
    </w:p>
    <w:p w14:paraId="66CCA3B0" w14:textId="77777777" w:rsidR="006B6109" w:rsidRDefault="006B6109" w:rsidP="001B1B01">
      <w:pPr>
        <w:spacing w:after="0" w:line="360" w:lineRule="auto"/>
        <w:rPr>
          <w:color w:val="000000"/>
        </w:rPr>
      </w:pPr>
    </w:p>
    <w:p w14:paraId="3DCB7771" w14:textId="07622731" w:rsidR="006B6109" w:rsidRPr="006B6109" w:rsidRDefault="006B6109" w:rsidP="006B6109">
      <w:pPr>
        <w:spacing w:after="0" w:line="360" w:lineRule="auto"/>
        <w:ind w:left="567" w:right="426"/>
        <w:rPr>
          <w:i/>
          <w:iCs/>
          <w:color w:val="000000"/>
          <w:sz w:val="20"/>
          <w:szCs w:val="20"/>
        </w:rPr>
      </w:pPr>
      <w:r w:rsidRPr="006B6109">
        <w:rPr>
          <w:i/>
          <w:iCs/>
          <w:color w:val="000000"/>
          <w:sz w:val="20"/>
          <w:szCs w:val="20"/>
        </w:rPr>
        <w:t xml:space="preserve">“…que la Tesorería Municipal, se encuentra en proceso de Auditoría aplicada por Auditores del Órgano Superior de Fiscalización del Estado de México (OSFEM), correspondiente al Programa Anual de Auditorías, Ejercicio Fiscal 2025 y revisión del ejercicio 2026; cabe hacer mención, que la información financiera y administrativa se encuentra bajo resguardo de los auditores; sin embargo, esta Tesorería Municipal, con la finalidad y propósito de dar atención al SOLICITANTE; pone a la vista y disposición para consultar a través de la </w:t>
      </w:r>
      <w:proofErr w:type="spellStart"/>
      <w:r w:rsidRPr="006B6109">
        <w:rPr>
          <w:i/>
          <w:iCs/>
          <w:color w:val="000000"/>
          <w:sz w:val="20"/>
          <w:szCs w:val="20"/>
        </w:rPr>
        <w:t>Subtesorería</w:t>
      </w:r>
      <w:proofErr w:type="spellEnd"/>
      <w:r w:rsidRPr="006B6109">
        <w:rPr>
          <w:i/>
          <w:iCs/>
          <w:color w:val="000000"/>
          <w:sz w:val="20"/>
          <w:szCs w:val="20"/>
        </w:rPr>
        <w:t xml:space="preserve"> de Egresos; le otorguen la autorización para visualizar y consultar la información que solicita; derivado de que el archivo físico y digital, contiene información excesiva y diversa contenida en diferentes carpetas. Asimismo, el solicitante deberá identificarse con documento oficial que lo acredite.</w:t>
      </w:r>
    </w:p>
    <w:p w14:paraId="45F9FDAE" w14:textId="575CC3A8" w:rsidR="006B6109" w:rsidRPr="006B6109" w:rsidRDefault="006B6109" w:rsidP="006B6109">
      <w:pPr>
        <w:spacing w:after="0" w:line="360" w:lineRule="auto"/>
        <w:ind w:left="567" w:right="426"/>
        <w:rPr>
          <w:i/>
          <w:iCs/>
          <w:color w:val="000000"/>
          <w:sz w:val="20"/>
          <w:szCs w:val="20"/>
        </w:rPr>
      </w:pPr>
      <w:r w:rsidRPr="006B6109">
        <w:rPr>
          <w:i/>
          <w:iCs/>
          <w:color w:val="000000"/>
          <w:sz w:val="20"/>
          <w:szCs w:val="20"/>
        </w:rPr>
        <w:t>…”</w:t>
      </w:r>
    </w:p>
    <w:p w14:paraId="6277B417" w14:textId="77777777" w:rsidR="006B6109" w:rsidRDefault="006B6109" w:rsidP="001B1B01">
      <w:pPr>
        <w:spacing w:after="0" w:line="360" w:lineRule="auto"/>
        <w:rPr>
          <w:color w:val="000000"/>
        </w:rPr>
      </w:pPr>
    </w:p>
    <w:p w14:paraId="711378C1" w14:textId="77777777" w:rsidR="00BB2887" w:rsidRDefault="00B27581">
      <w:pPr>
        <w:pStyle w:val="Ttulo2"/>
        <w:spacing w:before="0" w:after="0" w:line="360" w:lineRule="auto"/>
        <w:rPr>
          <w:color w:val="000000"/>
          <w:sz w:val="22"/>
          <w:szCs w:val="22"/>
        </w:rPr>
      </w:pPr>
      <w:bookmarkStart w:id="7" w:name="_Toc235114058"/>
      <w:r>
        <w:rPr>
          <w:color w:val="000000"/>
          <w:sz w:val="22"/>
          <w:szCs w:val="22"/>
        </w:rPr>
        <w:t>I</w:t>
      </w:r>
      <w:r w:rsidR="001B1B01">
        <w:rPr>
          <w:color w:val="000000"/>
          <w:sz w:val="22"/>
          <w:szCs w:val="22"/>
        </w:rPr>
        <w:t>II</w:t>
      </w:r>
      <w:r>
        <w:rPr>
          <w:color w:val="000000"/>
          <w:sz w:val="22"/>
          <w:szCs w:val="22"/>
        </w:rPr>
        <w:t>. Interposición del Recurso de Revisión</w:t>
      </w:r>
      <w:bookmarkEnd w:id="7"/>
    </w:p>
    <w:p w14:paraId="130C7A0E" w14:textId="77777777" w:rsidR="00BB2887" w:rsidRDefault="00BB2887">
      <w:pPr>
        <w:spacing w:after="0" w:line="360" w:lineRule="auto"/>
        <w:rPr>
          <w:b/>
          <w:bCs/>
          <w:color w:val="000000"/>
        </w:rPr>
      </w:pPr>
    </w:p>
    <w:p w14:paraId="60B31AF7" w14:textId="4A54A1D6" w:rsidR="00BB2887" w:rsidRDefault="00B27581">
      <w:pPr>
        <w:spacing w:after="0" w:line="360" w:lineRule="auto"/>
        <w:rPr>
          <w:color w:val="000000"/>
        </w:rPr>
      </w:pPr>
      <w:r>
        <w:rPr>
          <w:color w:val="000000"/>
        </w:rPr>
        <w:t xml:space="preserve">El </w:t>
      </w:r>
      <w:r w:rsidR="005877CF">
        <w:rPr>
          <w:color w:val="000000"/>
        </w:rPr>
        <w:t>veinticuatro de junio</w:t>
      </w:r>
      <w:r w:rsidR="00E753EA">
        <w:rPr>
          <w:color w:val="000000"/>
        </w:rPr>
        <w:t xml:space="preserve"> de dos mil veintiséis</w:t>
      </w:r>
      <w:r>
        <w:rPr>
          <w:color w:val="000000"/>
        </w:rPr>
        <w:t>, se recibió en este Instituto, a través del Sistema de Acceso a la Información Mexiquense (SAIMEX), el Recurso de Revisión interpuesto por la persona Recurrente, en contra de la respuesta por el Sujeto Obligado, a la solicitud de información, en los siguientes términos:</w:t>
      </w:r>
    </w:p>
    <w:p w14:paraId="521E5231" w14:textId="77777777" w:rsidR="00BB2887" w:rsidRDefault="00BB2887">
      <w:pPr>
        <w:spacing w:after="0" w:line="360" w:lineRule="auto"/>
        <w:ind w:left="567" w:right="567"/>
        <w:rPr>
          <w:b/>
          <w:bCs/>
          <w:i/>
          <w:iCs/>
          <w:color w:val="000000"/>
          <w:sz w:val="20"/>
          <w:szCs w:val="20"/>
        </w:rPr>
      </w:pPr>
    </w:p>
    <w:p w14:paraId="7044012F" w14:textId="77777777" w:rsidR="00BB2887" w:rsidRDefault="00B27581">
      <w:pPr>
        <w:spacing w:after="0" w:line="360" w:lineRule="auto"/>
        <w:ind w:left="567" w:right="567"/>
        <w:rPr>
          <w:b/>
          <w:bCs/>
          <w:i/>
          <w:iCs/>
          <w:color w:val="000000"/>
          <w:sz w:val="20"/>
          <w:szCs w:val="20"/>
        </w:rPr>
      </w:pPr>
      <w:r>
        <w:rPr>
          <w:b/>
          <w:bCs/>
          <w:i/>
          <w:iCs/>
          <w:color w:val="000000"/>
          <w:sz w:val="20"/>
          <w:szCs w:val="20"/>
        </w:rPr>
        <w:t>‘’ACTO IMPUGNADO</w:t>
      </w:r>
    </w:p>
    <w:p w14:paraId="7FB3D08C" w14:textId="7D43F287" w:rsidR="00E753EA" w:rsidRDefault="005877CF">
      <w:pPr>
        <w:spacing w:after="0" w:line="360" w:lineRule="auto"/>
        <w:ind w:left="567" w:right="567"/>
        <w:rPr>
          <w:i/>
          <w:iCs/>
          <w:color w:val="000000"/>
          <w:sz w:val="20"/>
          <w:szCs w:val="20"/>
        </w:rPr>
      </w:pPr>
      <w:r w:rsidRPr="005877CF">
        <w:rPr>
          <w:i/>
          <w:iCs/>
          <w:color w:val="000000"/>
          <w:sz w:val="20"/>
          <w:szCs w:val="20"/>
        </w:rPr>
        <w:t>RESPUESTA A LA SOLICITUD 00425/TECAMAC/IP/2026</w:t>
      </w:r>
    </w:p>
    <w:p w14:paraId="758383ED" w14:textId="77777777" w:rsidR="005877CF" w:rsidRDefault="005877CF">
      <w:pPr>
        <w:spacing w:after="0" w:line="360" w:lineRule="auto"/>
        <w:ind w:left="567" w:right="567"/>
        <w:rPr>
          <w:i/>
          <w:iCs/>
          <w:color w:val="000000"/>
          <w:sz w:val="20"/>
          <w:szCs w:val="20"/>
        </w:rPr>
      </w:pPr>
    </w:p>
    <w:p w14:paraId="54CCAC62" w14:textId="77777777" w:rsidR="007C2910" w:rsidRDefault="007C2910">
      <w:pPr>
        <w:spacing w:after="0" w:line="360" w:lineRule="auto"/>
        <w:ind w:left="567" w:right="567"/>
        <w:rPr>
          <w:i/>
          <w:iCs/>
          <w:color w:val="000000"/>
          <w:sz w:val="20"/>
          <w:szCs w:val="20"/>
        </w:rPr>
      </w:pPr>
    </w:p>
    <w:p w14:paraId="305474E2" w14:textId="77777777" w:rsidR="00BB2887" w:rsidRDefault="00B27581">
      <w:pPr>
        <w:spacing w:after="0" w:line="360" w:lineRule="auto"/>
        <w:ind w:left="567" w:right="567"/>
        <w:rPr>
          <w:b/>
          <w:bCs/>
          <w:i/>
          <w:iCs/>
          <w:color w:val="000000"/>
          <w:sz w:val="20"/>
          <w:szCs w:val="20"/>
        </w:rPr>
      </w:pPr>
      <w:r>
        <w:rPr>
          <w:b/>
          <w:bCs/>
          <w:i/>
          <w:iCs/>
          <w:color w:val="000000"/>
          <w:sz w:val="20"/>
          <w:szCs w:val="20"/>
        </w:rPr>
        <w:lastRenderedPageBreak/>
        <w:t>‘’RAZONES O MOTIVOS DE LA INCONFORMIDAD</w:t>
      </w:r>
    </w:p>
    <w:p w14:paraId="3314DCD7" w14:textId="652345D9" w:rsidR="00BB2887" w:rsidRDefault="005877CF">
      <w:pPr>
        <w:pBdr>
          <w:top w:val="nil"/>
          <w:left w:val="nil"/>
          <w:bottom w:val="nil"/>
          <w:right w:val="nil"/>
          <w:between w:val="nil"/>
        </w:pBdr>
        <w:spacing w:after="0" w:line="360" w:lineRule="auto"/>
        <w:ind w:left="567" w:right="567"/>
        <w:rPr>
          <w:i/>
          <w:iCs/>
          <w:color w:val="000000"/>
          <w:sz w:val="20"/>
          <w:szCs w:val="20"/>
        </w:rPr>
      </w:pPr>
      <w:r w:rsidRPr="005877CF">
        <w:rPr>
          <w:i/>
          <w:iCs/>
          <w:color w:val="000000"/>
          <w:sz w:val="20"/>
          <w:szCs w:val="20"/>
        </w:rPr>
        <w:t>EL SUJETO OBLIGADO ES OMISO A ENTREGAR LA INFORMACION SOLICITADA A TRAVÉS DEL SISTEMA ELECTRONICO SAIMEX, EN TANTO QUE SUS ARGUMENTOS NO JUSTIFICAN EL CAMBIO EN LA MODALIDAD DE ENTREGA IMPUESTA DE MANERA ARBITRARIA. POR LO ANTERIOR, SOLICITO SE REVOQUE LA RESPUESTA DEL SUJETO OBLIGADO Y SE ORDENE LA ENTREGA DE LA INFORMACION SOLICITADA A TRAVÉS DE ESTE SISTEMA ELECTRÓNICO SAIMEX.</w:t>
      </w:r>
      <w:r w:rsidR="00B27581">
        <w:rPr>
          <w:i/>
          <w:iCs/>
          <w:color w:val="000000"/>
          <w:sz w:val="20"/>
          <w:szCs w:val="20"/>
        </w:rPr>
        <w:t>”</w:t>
      </w:r>
    </w:p>
    <w:p w14:paraId="4268FCAC" w14:textId="77777777" w:rsidR="00BB2887" w:rsidRDefault="00BB2887">
      <w:pPr>
        <w:pBdr>
          <w:top w:val="nil"/>
          <w:left w:val="nil"/>
          <w:bottom w:val="nil"/>
          <w:right w:val="nil"/>
          <w:between w:val="nil"/>
        </w:pBdr>
        <w:spacing w:after="0" w:line="360" w:lineRule="auto"/>
        <w:ind w:left="567" w:right="567"/>
        <w:rPr>
          <w:i/>
          <w:iCs/>
          <w:color w:val="000000"/>
          <w:sz w:val="20"/>
          <w:szCs w:val="20"/>
        </w:rPr>
      </w:pPr>
    </w:p>
    <w:p w14:paraId="50B220C9" w14:textId="77777777" w:rsidR="00BB2887" w:rsidRDefault="001B1B01">
      <w:pPr>
        <w:pStyle w:val="Ttulo2"/>
        <w:spacing w:before="0" w:after="0" w:line="360" w:lineRule="auto"/>
        <w:rPr>
          <w:color w:val="000000"/>
          <w:sz w:val="22"/>
          <w:szCs w:val="22"/>
        </w:rPr>
      </w:pPr>
      <w:bookmarkStart w:id="8" w:name="_Toc235114059"/>
      <w:r>
        <w:rPr>
          <w:color w:val="000000"/>
          <w:sz w:val="22"/>
          <w:szCs w:val="22"/>
        </w:rPr>
        <w:t>I</w:t>
      </w:r>
      <w:r w:rsidR="00B27581">
        <w:rPr>
          <w:color w:val="000000"/>
          <w:sz w:val="22"/>
          <w:szCs w:val="22"/>
        </w:rPr>
        <w:t>V. Trámite del Recurso de Revisión ante este Instituto</w:t>
      </w:r>
      <w:bookmarkEnd w:id="8"/>
    </w:p>
    <w:p w14:paraId="5CA091BD" w14:textId="77777777" w:rsidR="00BB2887" w:rsidRDefault="00BB2887">
      <w:pPr>
        <w:spacing w:after="0" w:line="360" w:lineRule="auto"/>
        <w:rPr>
          <w:b/>
          <w:bCs/>
          <w:color w:val="000000"/>
        </w:rPr>
      </w:pPr>
    </w:p>
    <w:p w14:paraId="1703EDE2" w14:textId="6E8AE322" w:rsidR="00BB2887" w:rsidRDefault="00B27581">
      <w:pPr>
        <w:spacing w:after="0" w:line="360" w:lineRule="auto"/>
        <w:rPr>
          <w:color w:val="000000"/>
        </w:rPr>
      </w:pPr>
      <w:r>
        <w:rPr>
          <w:b/>
          <w:bCs/>
          <w:color w:val="000000"/>
        </w:rPr>
        <w:t>a) Turno del Medio de Impugnación.</w:t>
      </w:r>
      <w:r>
        <w:rPr>
          <w:color w:val="000000"/>
        </w:rPr>
        <w:t xml:space="preserve"> El </w:t>
      </w:r>
      <w:r w:rsidR="005877CF">
        <w:rPr>
          <w:color w:val="000000"/>
        </w:rPr>
        <w:t xml:space="preserve">veinticuatro de junio </w:t>
      </w:r>
      <w:r w:rsidR="00E753EA">
        <w:rPr>
          <w:color w:val="000000"/>
        </w:rPr>
        <w:t>de dos mil veintiséis</w:t>
      </w:r>
      <w:r>
        <w:rPr>
          <w:color w:val="000000"/>
        </w:rPr>
        <w:t xml:space="preserve">, el Sistema de Acceso a la Información Mexiquense (SAIMEX), asignó el número de expediente </w:t>
      </w:r>
      <w:r w:rsidR="005877CF">
        <w:rPr>
          <w:b/>
          <w:bCs/>
          <w:color w:val="000000"/>
        </w:rPr>
        <w:t>06701</w:t>
      </w:r>
      <w:r>
        <w:rPr>
          <w:b/>
          <w:bCs/>
          <w:color w:val="000000"/>
        </w:rPr>
        <w:t>/INFOEM/IP/RR/202</w:t>
      </w:r>
      <w:r w:rsidR="00E753EA">
        <w:rPr>
          <w:b/>
          <w:bCs/>
          <w:color w:val="000000"/>
        </w:rPr>
        <w:t>6</w:t>
      </w:r>
      <w:r>
        <w:rPr>
          <w:color w:val="000000"/>
        </w:rPr>
        <w:t>, al medio de impugnación que nos ocupa, con base en el sistema aprobado por el Pleno de este Organismo Garante y lo turnó al Comisionado Ponente Luis Gustavo Parra Noriega, para los efectos del artículo 185, fracción I de la Ley de Transparencia y Acceso a la Información Pública del Estado de México y Municipios.</w:t>
      </w:r>
    </w:p>
    <w:p w14:paraId="0CC9B200" w14:textId="77777777" w:rsidR="00BB2887" w:rsidRDefault="00BB2887">
      <w:pPr>
        <w:spacing w:after="0" w:line="360" w:lineRule="auto"/>
        <w:rPr>
          <w:b/>
          <w:bCs/>
          <w:color w:val="000000"/>
        </w:rPr>
      </w:pPr>
    </w:p>
    <w:p w14:paraId="30BE54A3" w14:textId="3D5CF879" w:rsidR="00BB2887" w:rsidRDefault="00B27581">
      <w:pPr>
        <w:spacing w:after="0" w:line="360" w:lineRule="auto"/>
        <w:rPr>
          <w:color w:val="000000"/>
        </w:rPr>
      </w:pPr>
      <w:r>
        <w:rPr>
          <w:b/>
          <w:bCs/>
          <w:color w:val="000000"/>
        </w:rPr>
        <w:t xml:space="preserve">b) Admisión del Recurso de Revisión. </w:t>
      </w:r>
      <w:r>
        <w:rPr>
          <w:color w:val="000000"/>
        </w:rPr>
        <w:t xml:space="preserve">El </w:t>
      </w:r>
      <w:r w:rsidR="005877CF">
        <w:rPr>
          <w:color w:val="000000"/>
        </w:rPr>
        <w:t>veintinueve</w:t>
      </w:r>
      <w:r w:rsidR="00711CF1">
        <w:rPr>
          <w:color w:val="000000"/>
        </w:rPr>
        <w:t xml:space="preserve"> de junio</w:t>
      </w:r>
      <w:r w:rsidR="00E753EA">
        <w:rPr>
          <w:color w:val="000000"/>
        </w:rPr>
        <w:t xml:space="preserve"> de dos mil veintiséis</w:t>
      </w:r>
      <w:r>
        <w:rPr>
          <w:color w:val="000000"/>
        </w:rPr>
        <w:t>, se acordó la admisión del Recurso de Revisión interpuesto por la persona Recurrente en contra del Sujeto Obligado, en términos del artículo 185, fracciones I y II de la Ley de Transparencia y 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w:t>
      </w:r>
    </w:p>
    <w:p w14:paraId="10C1B241" w14:textId="77777777" w:rsidR="00BB2887" w:rsidRDefault="00BB2887">
      <w:pPr>
        <w:spacing w:after="0" w:line="360" w:lineRule="auto"/>
        <w:rPr>
          <w:color w:val="000000"/>
        </w:rPr>
      </w:pPr>
    </w:p>
    <w:p w14:paraId="1BFF1263" w14:textId="22BB06A9" w:rsidR="00716CCB" w:rsidRDefault="00716CCB" w:rsidP="00716CCB">
      <w:pPr>
        <w:spacing w:line="360" w:lineRule="auto"/>
        <w:contextualSpacing/>
      </w:pPr>
      <w:r>
        <w:rPr>
          <w:b/>
          <w:bCs/>
        </w:rPr>
        <w:lastRenderedPageBreak/>
        <w:t xml:space="preserve">c) Informe Justificado. </w:t>
      </w:r>
      <w:r>
        <w:t>El ocho de julio de dos mil veintiséis, a través del Sistema de Acceso a la Información Mexiquense (SAIMEX), se recibió en este Instituto el informe justificado por parte del Sujeto Obligado, por medio del cual ratifico su respuesta.</w:t>
      </w:r>
    </w:p>
    <w:p w14:paraId="2371255A" w14:textId="77777777" w:rsidR="00716CCB" w:rsidRDefault="00716CCB" w:rsidP="00716CCB">
      <w:pPr>
        <w:pBdr>
          <w:top w:val="nil"/>
          <w:left w:val="nil"/>
          <w:bottom w:val="nil"/>
          <w:right w:val="nil"/>
          <w:between w:val="nil"/>
        </w:pBdr>
        <w:spacing w:after="0" w:line="360" w:lineRule="auto"/>
        <w:contextualSpacing/>
        <w:rPr>
          <w:color w:val="000000"/>
        </w:rPr>
      </w:pPr>
    </w:p>
    <w:p w14:paraId="46B2A8D0" w14:textId="46BA793B" w:rsidR="00716CCB" w:rsidRPr="006F7A99" w:rsidRDefault="00716CCB" w:rsidP="00716CCB">
      <w:pPr>
        <w:spacing w:line="360" w:lineRule="auto"/>
        <w:contextualSpacing/>
        <w:rPr>
          <w:b/>
          <w:color w:val="000000"/>
        </w:rPr>
      </w:pPr>
      <w:r>
        <w:rPr>
          <w:b/>
          <w:bCs/>
          <w:color w:val="000000"/>
        </w:rPr>
        <w:t xml:space="preserve">d) Vista de Informe Justificado. </w:t>
      </w:r>
      <w:r>
        <w:rPr>
          <w:color w:val="000000"/>
        </w:rPr>
        <w:t xml:space="preserve">El </w:t>
      </w:r>
      <w:r>
        <w:t>nueve de julio de dos mil veintiséis</w:t>
      </w:r>
      <w:r>
        <w:rPr>
          <w:color w:val="000000"/>
        </w:rPr>
        <w:t xml:space="preserve">, se notificó a través del SAIMEX, el acuerdo mediante el cual se puso a la vista de la parte Recurrente el Informe Justificado, proveído por el cual se le otorgó a este último, un término de tres días hábiles contados a partir del día siguiente a la notificación, para que emitiera las manifestaciones que conforme a sus intereses convenga. </w:t>
      </w:r>
    </w:p>
    <w:p w14:paraId="414D670F" w14:textId="77777777" w:rsidR="00E753EA" w:rsidRDefault="00E753EA">
      <w:pPr>
        <w:spacing w:after="0" w:line="360" w:lineRule="auto"/>
        <w:rPr>
          <w:b/>
          <w:bCs/>
          <w:color w:val="000000"/>
        </w:rPr>
      </w:pPr>
    </w:p>
    <w:p w14:paraId="51776FE8" w14:textId="11E1EB56" w:rsidR="00BB2887" w:rsidRDefault="00716CCB">
      <w:pPr>
        <w:spacing w:after="0" w:line="360" w:lineRule="auto"/>
        <w:rPr>
          <w:color w:val="000000"/>
        </w:rPr>
      </w:pPr>
      <w:r>
        <w:rPr>
          <w:b/>
          <w:bCs/>
          <w:color w:val="000000"/>
        </w:rPr>
        <w:t>e</w:t>
      </w:r>
      <w:r w:rsidR="00B27581">
        <w:rPr>
          <w:b/>
          <w:bCs/>
          <w:color w:val="000000"/>
        </w:rPr>
        <w:t>) Cierre de instrucción.</w:t>
      </w:r>
      <w:r w:rsidR="00B27581">
        <w:rPr>
          <w:color w:val="000000"/>
        </w:rPr>
        <w:t xml:space="preserve"> El </w:t>
      </w:r>
      <w:r w:rsidR="00AE3AEC">
        <w:rPr>
          <w:color w:val="000000"/>
        </w:rPr>
        <w:t>quince</w:t>
      </w:r>
      <w:r w:rsidR="00711CF1">
        <w:rPr>
          <w:color w:val="000000"/>
        </w:rPr>
        <w:t xml:space="preserve"> de julio </w:t>
      </w:r>
      <w:r w:rsidR="00B27581">
        <w:rPr>
          <w:color w:val="000000"/>
        </w:rPr>
        <w:t>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Sistema de Acceso a la Información Mexiquense (SAIMEX), el mismo día.</w:t>
      </w:r>
    </w:p>
    <w:p w14:paraId="6E0CFFBB" w14:textId="77777777" w:rsidR="00BB2887" w:rsidRDefault="00BB2887">
      <w:pPr>
        <w:spacing w:after="0" w:line="360" w:lineRule="auto"/>
        <w:rPr>
          <w:b/>
          <w:bCs/>
          <w:color w:val="000000"/>
        </w:rPr>
      </w:pPr>
    </w:p>
    <w:p w14:paraId="03BB8AB8" w14:textId="77777777" w:rsidR="00BB2887" w:rsidRDefault="00B27581">
      <w:pPr>
        <w:spacing w:after="0" w:line="360" w:lineRule="auto"/>
        <w:rPr>
          <w:color w:val="000000"/>
        </w:rPr>
      </w:pPr>
      <w:r>
        <w:rPr>
          <w:color w:val="000000"/>
        </w:rPr>
        <w:t>En razón de que fue debidamente sustanciado e integrado el expediente electrónico y no existe diligencia pendiente de desahogo, se emite la resolución que conforme a Derecho proceda, de acuerdo a los siguientes:</w:t>
      </w:r>
    </w:p>
    <w:p w14:paraId="4CC569F8" w14:textId="77777777" w:rsidR="00BB2887" w:rsidRDefault="00BB2887">
      <w:pPr>
        <w:spacing w:after="0" w:line="360" w:lineRule="auto"/>
        <w:rPr>
          <w:color w:val="000000"/>
        </w:rPr>
      </w:pPr>
    </w:p>
    <w:p w14:paraId="441318DA" w14:textId="77777777" w:rsidR="00BB2887" w:rsidRDefault="00B27581">
      <w:pPr>
        <w:pStyle w:val="Ttulo1"/>
        <w:spacing w:before="0" w:after="0" w:line="360" w:lineRule="auto"/>
        <w:jc w:val="center"/>
        <w:rPr>
          <w:color w:val="000000"/>
          <w:sz w:val="22"/>
          <w:szCs w:val="22"/>
        </w:rPr>
      </w:pPr>
      <w:bookmarkStart w:id="9" w:name="_Toc235114060"/>
      <w:r>
        <w:rPr>
          <w:color w:val="000000"/>
          <w:sz w:val="22"/>
          <w:szCs w:val="22"/>
        </w:rPr>
        <w:t>C O N S I D E R A N D O S</w:t>
      </w:r>
      <w:bookmarkEnd w:id="9"/>
    </w:p>
    <w:p w14:paraId="2BAD39AA" w14:textId="77777777" w:rsidR="00BB2887" w:rsidRDefault="00BB2887">
      <w:pPr>
        <w:spacing w:after="0" w:line="360" w:lineRule="auto"/>
        <w:rPr>
          <w:b/>
          <w:bCs/>
          <w:color w:val="000000"/>
        </w:rPr>
      </w:pPr>
    </w:p>
    <w:p w14:paraId="2F89F9C3" w14:textId="77777777" w:rsidR="00BB2887" w:rsidRDefault="00B27581">
      <w:pPr>
        <w:pStyle w:val="Ttulo2"/>
        <w:spacing w:before="0" w:after="0" w:line="360" w:lineRule="auto"/>
        <w:rPr>
          <w:color w:val="000000"/>
          <w:sz w:val="22"/>
          <w:szCs w:val="22"/>
        </w:rPr>
      </w:pPr>
      <w:bookmarkStart w:id="10" w:name="_Toc235114061"/>
      <w:r>
        <w:rPr>
          <w:color w:val="000000"/>
          <w:sz w:val="22"/>
          <w:szCs w:val="22"/>
        </w:rPr>
        <w:t>PRIMERO. Competencia</w:t>
      </w:r>
      <w:bookmarkEnd w:id="10"/>
    </w:p>
    <w:p w14:paraId="5B3F80DC" w14:textId="77777777" w:rsidR="00BB2887" w:rsidRDefault="00BB2887">
      <w:pPr>
        <w:spacing w:after="0" w:line="360" w:lineRule="auto"/>
        <w:rPr>
          <w:b/>
          <w:bCs/>
          <w:color w:val="000000"/>
        </w:rPr>
      </w:pPr>
    </w:p>
    <w:p w14:paraId="2E3F5BA7" w14:textId="77777777" w:rsidR="00BB2887" w:rsidRDefault="00B27581">
      <w:pPr>
        <w:spacing w:after="0" w:line="360" w:lineRule="auto"/>
        <w:rPr>
          <w:color w:val="000000"/>
        </w:rPr>
      </w:pPr>
      <w:bookmarkStart w:id="11" w:name="_heading=h.30j0zll" w:colFirst="0" w:colLast="0"/>
      <w:bookmarkEnd w:id="11"/>
      <w:r>
        <w:rPr>
          <w:color w:val="000000"/>
        </w:rPr>
        <w:t xml:space="preserve">El Instituto de Transparencia, Acceso a la Información Pública y Protección de Datos Personales del Estado de México y Municipios, es competente para conocer y resolver el </w:t>
      </w:r>
      <w:r>
        <w:rPr>
          <w:color w:val="000000"/>
        </w:rPr>
        <w:lastRenderedPageBreak/>
        <w:t>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4FABE671" w14:textId="77777777" w:rsidR="00BB2887" w:rsidRDefault="00BB2887">
      <w:pPr>
        <w:spacing w:after="0" w:line="360" w:lineRule="auto"/>
        <w:rPr>
          <w:color w:val="000000"/>
        </w:rPr>
      </w:pPr>
    </w:p>
    <w:p w14:paraId="10B44F8D" w14:textId="77777777" w:rsidR="00BB2887" w:rsidRDefault="00B27581">
      <w:pPr>
        <w:pStyle w:val="Ttulo2"/>
        <w:spacing w:before="0" w:after="0" w:line="360" w:lineRule="auto"/>
        <w:rPr>
          <w:color w:val="000000"/>
          <w:sz w:val="22"/>
          <w:szCs w:val="22"/>
        </w:rPr>
      </w:pPr>
      <w:bookmarkStart w:id="12" w:name="_Toc235114062"/>
      <w:r>
        <w:rPr>
          <w:color w:val="000000"/>
          <w:sz w:val="22"/>
          <w:szCs w:val="22"/>
        </w:rPr>
        <w:t>SEGUNDO. Causales de improcedencia y sobreseimiento</w:t>
      </w:r>
      <w:bookmarkEnd w:id="12"/>
    </w:p>
    <w:p w14:paraId="705C872C" w14:textId="77777777" w:rsidR="00BB2887" w:rsidRDefault="00BB2887">
      <w:pPr>
        <w:spacing w:after="0" w:line="360" w:lineRule="auto"/>
        <w:rPr>
          <w:color w:val="000000"/>
        </w:rPr>
      </w:pPr>
    </w:p>
    <w:p w14:paraId="28BA909B" w14:textId="77777777" w:rsidR="00BB2887" w:rsidRDefault="00B27581">
      <w:pPr>
        <w:spacing w:after="0" w:line="360" w:lineRule="auto"/>
        <w:rPr>
          <w:color w:val="000000"/>
        </w:rPr>
      </w:pPr>
      <w:r>
        <w:rPr>
          <w:color w:val="000000"/>
        </w:rPr>
        <w:t xml:space="preserve">De las constancias que forma parte del Recurso de Revisión que se analiza, se advierte que previo al estudio del fondo de la </w:t>
      </w:r>
      <w:r>
        <w:rPr>
          <w:i/>
          <w:iCs/>
          <w:color w:val="000000"/>
        </w:rPr>
        <w:t>litis</w:t>
      </w:r>
      <w:r>
        <w:rPr>
          <w:color w:val="000000"/>
        </w:rPr>
        <w:t>, es necesario estudiar las causales de improcedencia y sobreseimiento que se adviertan, para determinar lo que en Derecho proceda.</w:t>
      </w:r>
    </w:p>
    <w:p w14:paraId="184A5A43" w14:textId="77777777" w:rsidR="00BB2887" w:rsidRDefault="00BB2887">
      <w:pPr>
        <w:spacing w:after="0" w:line="360" w:lineRule="auto"/>
        <w:rPr>
          <w:color w:val="000000"/>
        </w:rPr>
      </w:pPr>
    </w:p>
    <w:p w14:paraId="7775688B" w14:textId="77777777" w:rsidR="00BB2887" w:rsidRDefault="00B27581">
      <w:pPr>
        <w:spacing w:after="0" w:line="360" w:lineRule="auto"/>
        <w:rPr>
          <w:b/>
          <w:bCs/>
          <w:color w:val="000000"/>
        </w:rPr>
      </w:pPr>
      <w:r>
        <w:rPr>
          <w:b/>
          <w:bCs/>
          <w:color w:val="000000"/>
        </w:rPr>
        <w:t>Causales de improcedencia</w:t>
      </w:r>
    </w:p>
    <w:p w14:paraId="6E38A324" w14:textId="77777777" w:rsidR="00BB2887" w:rsidRDefault="00BB2887">
      <w:pPr>
        <w:spacing w:after="0" w:line="360" w:lineRule="auto"/>
        <w:rPr>
          <w:color w:val="000000"/>
        </w:rPr>
      </w:pPr>
    </w:p>
    <w:p w14:paraId="0DD785A8" w14:textId="77777777" w:rsidR="00BB2887" w:rsidRDefault="00B27581">
      <w:pPr>
        <w:spacing w:after="0" w:line="360" w:lineRule="auto"/>
        <w:rPr>
          <w:color w:val="000000"/>
        </w:rPr>
      </w:pPr>
      <w:r>
        <w:rPr>
          <w:color w:val="000000"/>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202F2EF6" w14:textId="77777777" w:rsidR="00BB2887" w:rsidRDefault="00BB2887">
      <w:pPr>
        <w:spacing w:after="0" w:line="360" w:lineRule="auto"/>
        <w:rPr>
          <w:color w:val="000000"/>
        </w:rPr>
      </w:pPr>
    </w:p>
    <w:p w14:paraId="4D295E4C" w14:textId="77777777" w:rsidR="00BB2887" w:rsidRDefault="00B27581">
      <w:pPr>
        <w:spacing w:after="0" w:line="360" w:lineRule="auto"/>
        <w:rPr>
          <w:color w:val="000000"/>
        </w:rPr>
      </w:pPr>
      <w:r>
        <w:rPr>
          <w:color w:val="000000"/>
        </w:rPr>
        <w:lastRenderedPageBreak/>
        <w:t>En el presente caso, </w:t>
      </w:r>
      <w:r>
        <w:rPr>
          <w:b/>
          <w:bCs/>
          <w:color w:val="000000"/>
        </w:rPr>
        <w:t>no se actualiza ninguna de las causales de improcedencia</w:t>
      </w:r>
      <w:r>
        <w:rPr>
          <w:color w:val="000000"/>
        </w:rPr>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471355A9" w14:textId="77777777" w:rsidR="00C57A3F" w:rsidRDefault="00C57A3F">
      <w:pPr>
        <w:spacing w:after="0" w:line="360" w:lineRule="auto"/>
        <w:rPr>
          <w:color w:val="000000"/>
        </w:rPr>
      </w:pPr>
    </w:p>
    <w:p w14:paraId="4BCA1C3F" w14:textId="77777777" w:rsidR="00BB2887" w:rsidRDefault="00B27581">
      <w:pPr>
        <w:spacing w:after="0" w:line="360" w:lineRule="auto"/>
        <w:rPr>
          <w:color w:val="000000"/>
        </w:rPr>
      </w:pPr>
      <w:r>
        <w:rPr>
          <w:b/>
          <w:bCs/>
          <w:color w:val="000000"/>
        </w:rPr>
        <w:t>Causales de sobreseimiento</w:t>
      </w:r>
    </w:p>
    <w:p w14:paraId="23AA6D49" w14:textId="77777777" w:rsidR="00BB2887" w:rsidRDefault="00BB2887">
      <w:pPr>
        <w:spacing w:after="0" w:line="360" w:lineRule="auto"/>
        <w:rPr>
          <w:color w:val="000000"/>
        </w:rPr>
      </w:pPr>
    </w:p>
    <w:p w14:paraId="5C2F5F89" w14:textId="77777777" w:rsidR="00BB2887" w:rsidRDefault="00B27581">
      <w:pPr>
        <w:spacing w:after="0" w:line="360" w:lineRule="auto"/>
        <w:rPr>
          <w:color w:val="000000"/>
        </w:rPr>
      </w:pPr>
      <w:r>
        <w:rPr>
          <w:color w:val="000000"/>
        </w:rPr>
        <w:t>Por ser de previo y especial pronunciamiento, este Instituto analiza si se actualiza alguna causal de sobreseimiento.</w:t>
      </w:r>
    </w:p>
    <w:p w14:paraId="2070F8B1" w14:textId="77777777" w:rsidR="00BB2887" w:rsidRDefault="00BB2887">
      <w:pPr>
        <w:spacing w:after="0" w:line="360" w:lineRule="auto"/>
        <w:rPr>
          <w:color w:val="000000"/>
        </w:rPr>
      </w:pPr>
    </w:p>
    <w:p w14:paraId="290163B0" w14:textId="77777777" w:rsidR="00BB2887" w:rsidRDefault="00B27581">
      <w:pPr>
        <w:spacing w:after="0" w:line="360" w:lineRule="auto"/>
        <w:rPr>
          <w:color w:val="000000"/>
        </w:rPr>
      </w:pPr>
      <w:r>
        <w:rPr>
          <w:color w:val="000000"/>
        </w:rPr>
        <w:t>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355A120F" w14:textId="77777777" w:rsidR="00BB2887" w:rsidRDefault="00BB2887">
      <w:pPr>
        <w:spacing w:after="0" w:line="360" w:lineRule="auto"/>
        <w:rPr>
          <w:color w:val="000000"/>
        </w:rPr>
      </w:pPr>
    </w:p>
    <w:p w14:paraId="5B7388FD" w14:textId="77777777" w:rsidR="00BB2887" w:rsidRDefault="00B27581">
      <w:pPr>
        <w:spacing w:after="0" w:line="360" w:lineRule="auto"/>
        <w:rPr>
          <w:color w:val="000000"/>
        </w:rPr>
      </w:pPr>
      <w:r>
        <w:rPr>
          <w:color w:val="000000"/>
        </w:rPr>
        <w:t xml:space="preserve">Por tales motivos, se considera procedente entrar al fondo del presente asunto. </w:t>
      </w:r>
    </w:p>
    <w:p w14:paraId="7A5B2CF2" w14:textId="77777777" w:rsidR="00BB2887" w:rsidRDefault="00BB2887">
      <w:pPr>
        <w:spacing w:after="0" w:line="360" w:lineRule="auto"/>
        <w:rPr>
          <w:b/>
          <w:bCs/>
          <w:color w:val="000000"/>
        </w:rPr>
      </w:pPr>
    </w:p>
    <w:p w14:paraId="16D8345B" w14:textId="77777777" w:rsidR="00BB2887" w:rsidRDefault="00B27581">
      <w:pPr>
        <w:pStyle w:val="Ttulo2"/>
        <w:spacing w:before="0" w:after="0" w:line="360" w:lineRule="auto"/>
        <w:rPr>
          <w:color w:val="000000"/>
          <w:sz w:val="22"/>
          <w:szCs w:val="22"/>
        </w:rPr>
      </w:pPr>
      <w:bookmarkStart w:id="13" w:name="_Toc235114063"/>
      <w:r>
        <w:rPr>
          <w:color w:val="000000"/>
          <w:sz w:val="22"/>
          <w:szCs w:val="22"/>
        </w:rPr>
        <w:t>TERCERO. Determinación de la Controversia</w:t>
      </w:r>
      <w:bookmarkEnd w:id="13"/>
    </w:p>
    <w:p w14:paraId="7F5D4505" w14:textId="77777777" w:rsidR="00BB2887" w:rsidRDefault="00BB2887">
      <w:pPr>
        <w:spacing w:after="0" w:line="360" w:lineRule="auto"/>
        <w:rPr>
          <w:b/>
          <w:bCs/>
          <w:color w:val="000000"/>
        </w:rPr>
      </w:pPr>
    </w:p>
    <w:p w14:paraId="382DD956" w14:textId="3DCDEBC2" w:rsidR="00330C13" w:rsidRDefault="00B27581">
      <w:pPr>
        <w:spacing w:after="0" w:line="360" w:lineRule="auto"/>
        <w:rPr>
          <w:color w:val="000000"/>
        </w:rPr>
      </w:pPr>
      <w:r>
        <w:rPr>
          <w:color w:val="000000"/>
        </w:rPr>
        <w:t xml:space="preserve">Con el objetivo de ilustrar la controversia planteada, resulta conveniente precisar, que una vez realizado el estudio de las constancias que integran el expediente en el que se actúa, se </w:t>
      </w:r>
      <w:r>
        <w:rPr>
          <w:color w:val="000000"/>
        </w:rPr>
        <w:lastRenderedPageBreak/>
        <w:t>desprende que el Particular requirió</w:t>
      </w:r>
      <w:r w:rsidR="00913ABA">
        <w:rPr>
          <w:color w:val="000000"/>
        </w:rPr>
        <w:t xml:space="preserve"> </w:t>
      </w:r>
      <w:r w:rsidR="00F84014" w:rsidRPr="00330C13">
        <w:rPr>
          <w:color w:val="000000"/>
        </w:rPr>
        <w:t xml:space="preserve">los </w:t>
      </w:r>
      <w:r w:rsidR="005877CF" w:rsidRPr="005877CF">
        <w:rPr>
          <w:color w:val="000000"/>
        </w:rPr>
        <w:t>comprobantes de pago realizados entre el 1 de enero y el 31 de diciembre de 2025 por la tesorería municipal correspondientes a las partidas presupuestales: 3611 3612 3621 3651 3661</w:t>
      </w:r>
      <w:r w:rsidR="00F84014">
        <w:rPr>
          <w:color w:val="000000"/>
        </w:rPr>
        <w:t>.</w:t>
      </w:r>
    </w:p>
    <w:p w14:paraId="51F79048" w14:textId="77777777" w:rsidR="00BB2887" w:rsidRDefault="00BB2887">
      <w:pPr>
        <w:spacing w:after="0" w:line="360" w:lineRule="auto"/>
        <w:rPr>
          <w:color w:val="000000"/>
        </w:rPr>
      </w:pPr>
    </w:p>
    <w:p w14:paraId="21670468" w14:textId="77777777" w:rsidR="00BB2887" w:rsidRDefault="00B27581">
      <w:pPr>
        <w:spacing w:after="0" w:line="360" w:lineRule="auto"/>
        <w:rPr>
          <w:color w:val="000000"/>
        </w:rPr>
      </w:pPr>
      <w:r>
        <w:rPr>
          <w:color w:val="000000"/>
        </w:rPr>
        <w:t>En respuesta, el Sujeto Obligado,</w:t>
      </w:r>
      <w:r w:rsidR="00913ABA">
        <w:rPr>
          <w:color w:val="000000"/>
        </w:rPr>
        <w:t xml:space="preserve"> puso en consulta directa la entrega de la información</w:t>
      </w:r>
      <w:r>
        <w:rPr>
          <w:color w:val="000000"/>
        </w:rPr>
        <w:t>; ante dicha circunstancia, el Particular se inconformó, causal prevista en la fracción V</w:t>
      </w:r>
      <w:r w:rsidR="00913ABA">
        <w:rPr>
          <w:color w:val="000000"/>
        </w:rPr>
        <w:t>II</w:t>
      </w:r>
      <w:r>
        <w:rPr>
          <w:color w:val="000000"/>
        </w:rPr>
        <w:t xml:space="preserve">I, del artículo 179 de la Ley de Transparencia y Acceso a la Información Pública del Estado de México y Municipios. </w:t>
      </w:r>
    </w:p>
    <w:p w14:paraId="0820D2FD" w14:textId="77777777" w:rsidR="00BB2887" w:rsidRDefault="00BB2887">
      <w:pPr>
        <w:spacing w:after="0" w:line="360" w:lineRule="auto"/>
        <w:rPr>
          <w:color w:val="000000"/>
        </w:rPr>
      </w:pPr>
    </w:p>
    <w:p w14:paraId="6E4AF924" w14:textId="77777777" w:rsidR="00BB2887" w:rsidRDefault="00B27581">
      <w:pPr>
        <w:tabs>
          <w:tab w:val="left" w:pos="4962"/>
        </w:tabs>
        <w:spacing w:after="0" w:line="360" w:lineRule="auto"/>
        <w:rPr>
          <w:color w:val="000000"/>
        </w:rPr>
      </w:pPr>
      <w:r>
        <w:rPr>
          <w:color w:val="000000"/>
        </w:rPr>
        <w:t>Lo anterior, se desprende de las documentales que obran en el expediente de referencia, materia de la presente resolución, consistente en: la solicitud de acceso a la información y el escrito recursal; instrumentales que se toman en cuenta a efecto de resolver el presente medio de impugnación, conforme a lo dispuesto por el artículo 185, fracción IV, de la Ley de Transparencia y Acceso a la Información Pública del Estado de México y Municipios.</w:t>
      </w:r>
    </w:p>
    <w:p w14:paraId="4D44D3FC" w14:textId="77777777" w:rsidR="00BB2887" w:rsidRDefault="00BB2887">
      <w:pPr>
        <w:spacing w:after="0" w:line="360" w:lineRule="auto"/>
        <w:rPr>
          <w:b/>
          <w:bCs/>
          <w:color w:val="000000"/>
        </w:rPr>
      </w:pPr>
    </w:p>
    <w:p w14:paraId="648558C4" w14:textId="77777777" w:rsidR="00BB2887" w:rsidRDefault="00B27581">
      <w:pPr>
        <w:pStyle w:val="Ttulo2"/>
        <w:spacing w:before="0" w:after="0" w:line="360" w:lineRule="auto"/>
        <w:rPr>
          <w:color w:val="000000"/>
          <w:sz w:val="22"/>
          <w:szCs w:val="22"/>
        </w:rPr>
      </w:pPr>
      <w:bookmarkStart w:id="14" w:name="_Toc235114064"/>
      <w:r>
        <w:rPr>
          <w:color w:val="000000"/>
          <w:sz w:val="22"/>
          <w:szCs w:val="22"/>
        </w:rPr>
        <w:t>CUARTO. Marco normativo aplicable en materia de transparencia y acceso a la información pública</w:t>
      </w:r>
      <w:bookmarkEnd w:id="14"/>
    </w:p>
    <w:p w14:paraId="6AAB3875" w14:textId="77777777" w:rsidR="00BB2887" w:rsidRDefault="00BB2887">
      <w:pPr>
        <w:spacing w:after="0" w:line="360" w:lineRule="auto"/>
        <w:rPr>
          <w:color w:val="000000"/>
        </w:rPr>
      </w:pPr>
    </w:p>
    <w:p w14:paraId="45A1D7DD" w14:textId="77777777" w:rsidR="00BB2887" w:rsidRDefault="00B27581">
      <w:pPr>
        <w:spacing w:after="0" w:line="360" w:lineRule="auto"/>
        <w:rPr>
          <w:color w:val="000000"/>
        </w:rPr>
      </w:pPr>
      <w:r>
        <w:rPr>
          <w:color w:val="000000"/>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6CE320AF" w14:textId="77777777" w:rsidR="00BB2887" w:rsidRDefault="00BB2887">
      <w:pPr>
        <w:spacing w:after="0" w:line="360" w:lineRule="auto"/>
        <w:rPr>
          <w:color w:val="000000"/>
        </w:rPr>
      </w:pPr>
    </w:p>
    <w:p w14:paraId="6069CCE3" w14:textId="77777777" w:rsidR="00BB2887" w:rsidRDefault="00B27581">
      <w:pPr>
        <w:spacing w:after="0" w:line="360" w:lineRule="auto"/>
        <w:rPr>
          <w:color w:val="000000"/>
        </w:rPr>
      </w:pPr>
      <w:r>
        <w:rPr>
          <w:color w:val="000000"/>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55E60F48" w14:textId="77777777" w:rsidR="00BB2887" w:rsidRDefault="00BB2887">
      <w:pPr>
        <w:spacing w:after="0" w:line="360" w:lineRule="auto"/>
        <w:rPr>
          <w:color w:val="000000"/>
        </w:rPr>
      </w:pPr>
    </w:p>
    <w:p w14:paraId="75E52FCB" w14:textId="77777777" w:rsidR="00BB2887" w:rsidRDefault="00B27581">
      <w:pPr>
        <w:spacing w:after="0" w:line="360" w:lineRule="auto"/>
        <w:rPr>
          <w:color w:val="000000"/>
        </w:rPr>
      </w:pPr>
      <w:r>
        <w:rPr>
          <w:color w:val="000000"/>
        </w:rPr>
        <w:t>Por su parte, la Ley de Transparencia y Acceso a la Información Pública del Estado de México y Municipios (Reglamentaria del artículo 5° de la Constitución Local), establece lo siguiente:</w:t>
      </w:r>
    </w:p>
    <w:p w14:paraId="74677B80" w14:textId="77777777" w:rsidR="00BB2887" w:rsidRDefault="00BB2887">
      <w:pPr>
        <w:spacing w:after="0" w:line="360" w:lineRule="auto"/>
        <w:rPr>
          <w:color w:val="000000"/>
        </w:rPr>
      </w:pPr>
    </w:p>
    <w:p w14:paraId="40F9C7F9" w14:textId="77777777" w:rsidR="00BB2887" w:rsidRDefault="00B27581">
      <w:pPr>
        <w:spacing w:after="0" w:line="360" w:lineRule="auto"/>
        <w:rPr>
          <w:color w:val="000000"/>
        </w:rPr>
      </w:pPr>
      <w:r>
        <w:rPr>
          <w:color w:val="000000"/>
        </w:rPr>
        <w:t>El artículo 12, que, quienes generen, recopilen, administren, manejen, procesen, archiven o conserven información pública serán responsables de la misma.</w:t>
      </w:r>
    </w:p>
    <w:p w14:paraId="497979A4" w14:textId="77777777" w:rsidR="00BB2887" w:rsidRDefault="00BB2887">
      <w:pPr>
        <w:spacing w:after="0" w:line="360" w:lineRule="auto"/>
        <w:rPr>
          <w:color w:val="000000"/>
        </w:rPr>
      </w:pPr>
    </w:p>
    <w:p w14:paraId="543C6EC8" w14:textId="77777777" w:rsidR="00BB2887" w:rsidRDefault="00B27581">
      <w:pPr>
        <w:widowControl w:val="0"/>
        <w:spacing w:after="0" w:line="360" w:lineRule="auto"/>
        <w:rPr>
          <w:color w:val="000000"/>
        </w:rPr>
      </w:pPr>
      <w:r>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14:paraId="2D72BF35" w14:textId="77777777" w:rsidR="00BB2887" w:rsidRDefault="00BB2887">
      <w:pPr>
        <w:widowControl w:val="0"/>
        <w:spacing w:after="0" w:line="360" w:lineRule="auto"/>
        <w:rPr>
          <w:color w:val="000000"/>
        </w:rPr>
      </w:pPr>
    </w:p>
    <w:p w14:paraId="261E11D9" w14:textId="77777777" w:rsidR="00BB2887" w:rsidRDefault="00B27581">
      <w:pPr>
        <w:spacing w:after="0" w:line="360" w:lineRule="auto"/>
        <w:rPr>
          <w:color w:val="000000"/>
        </w:rPr>
      </w:pPr>
      <w:r>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6A9F7125" w14:textId="77777777" w:rsidR="00BB2887" w:rsidRDefault="00BB2887">
      <w:pPr>
        <w:spacing w:after="0" w:line="360" w:lineRule="auto"/>
        <w:rPr>
          <w:color w:val="000000"/>
        </w:rPr>
      </w:pPr>
    </w:p>
    <w:p w14:paraId="01C484F1" w14:textId="77777777" w:rsidR="00BB2887" w:rsidRDefault="00B27581">
      <w:pPr>
        <w:pStyle w:val="Ttulo2"/>
        <w:spacing w:before="0" w:after="0" w:line="360" w:lineRule="auto"/>
        <w:rPr>
          <w:color w:val="000000"/>
          <w:sz w:val="22"/>
          <w:szCs w:val="22"/>
        </w:rPr>
      </w:pPr>
      <w:bookmarkStart w:id="15" w:name="_Toc235114065"/>
      <w:r>
        <w:rPr>
          <w:color w:val="000000"/>
          <w:sz w:val="22"/>
          <w:szCs w:val="22"/>
        </w:rPr>
        <w:t>QUINTO. Estudio de Fondo</w:t>
      </w:r>
      <w:bookmarkEnd w:id="15"/>
    </w:p>
    <w:p w14:paraId="6B2CC5A0" w14:textId="77777777" w:rsidR="00BB2887" w:rsidRDefault="00BB2887">
      <w:pPr>
        <w:spacing w:after="0" w:line="360" w:lineRule="auto"/>
        <w:rPr>
          <w:b/>
          <w:bCs/>
          <w:color w:val="000000"/>
        </w:rPr>
      </w:pPr>
    </w:p>
    <w:p w14:paraId="2FA66E2F" w14:textId="77777777" w:rsidR="00BB2887" w:rsidRDefault="00B27581">
      <w:pPr>
        <w:spacing w:after="0" w:line="360" w:lineRule="auto"/>
        <w:rPr>
          <w:color w:val="000000"/>
        </w:rPr>
      </w:pPr>
      <w:r>
        <w:rPr>
          <w:color w:val="000000"/>
        </w:rPr>
        <w:t xml:space="preserve">Expuestas las posturas de las partes, se procede al análisis de los agravios hechos valer por la persona Recurrente, por lo que, en principio es necesario contextualizar la solicitud de </w:t>
      </w:r>
      <w:r w:rsidRPr="00F82AE5">
        <w:rPr>
          <w:color w:val="000000"/>
        </w:rPr>
        <w:t>información.</w:t>
      </w:r>
    </w:p>
    <w:p w14:paraId="1EDDD093" w14:textId="77777777" w:rsidR="00BB2887" w:rsidRDefault="00BB2887">
      <w:pPr>
        <w:spacing w:after="0" w:line="360" w:lineRule="auto"/>
        <w:rPr>
          <w:color w:val="000000"/>
        </w:rPr>
      </w:pPr>
    </w:p>
    <w:p w14:paraId="3E976687" w14:textId="77777777" w:rsidR="00F82AE5" w:rsidRPr="00F82AE5" w:rsidRDefault="00F82AE5" w:rsidP="00F82AE5">
      <w:pPr>
        <w:spacing w:after="0" w:line="360" w:lineRule="auto"/>
        <w:rPr>
          <w:b/>
          <w:iCs/>
          <w:color w:val="000000"/>
        </w:rPr>
      </w:pPr>
      <w:r w:rsidRPr="00F82AE5">
        <w:rPr>
          <w:bCs/>
          <w:iCs/>
          <w:color w:val="000000"/>
          <w:lang w:val="es-ES"/>
        </w:rPr>
        <w:t xml:space="preserve">Sobre el tema, cabe precisar que de conformidad con los artículos 5° de la Constitución Política del Estado Libre y Soberano de México, </w:t>
      </w:r>
      <w:r w:rsidRPr="00F82AE5">
        <w:rPr>
          <w:bCs/>
          <w:iCs/>
          <w:color w:val="000000"/>
        </w:rPr>
        <w:t xml:space="preserve">4° de la Ley General de Transparencia y Acceso a la Información Pública y 4° de la </w:t>
      </w:r>
      <w:r w:rsidRPr="00F82AE5">
        <w:rPr>
          <w:iCs/>
          <w:color w:val="000000"/>
        </w:rPr>
        <w:t xml:space="preserve">Ley </w:t>
      </w:r>
      <w:r w:rsidRPr="00F82AE5">
        <w:rPr>
          <w:bCs/>
          <w:iCs/>
          <w:color w:val="000000"/>
        </w:rPr>
        <w:t xml:space="preserve">de Transparencia y Acceso a la Información Pública del Estado de México y Municipios, </w:t>
      </w:r>
      <w:r w:rsidRPr="00F82AE5">
        <w:rPr>
          <w:b/>
          <w:iCs/>
          <w:color w:val="000000"/>
        </w:rPr>
        <w:t xml:space="preserve">toda la información generada, obtenida, </w:t>
      </w:r>
      <w:r w:rsidRPr="00F82AE5">
        <w:rPr>
          <w:b/>
          <w:iCs/>
          <w:color w:val="000000"/>
        </w:rPr>
        <w:lastRenderedPageBreak/>
        <w:t>adquirida, transformada o en posesión de los sujetos obligados es pública y accesible a cualquier persona.</w:t>
      </w:r>
    </w:p>
    <w:p w14:paraId="51451BB0" w14:textId="77777777" w:rsidR="00F82AE5" w:rsidRPr="00F82AE5" w:rsidRDefault="00F82AE5" w:rsidP="00F82AE5">
      <w:pPr>
        <w:spacing w:after="0" w:line="360" w:lineRule="auto"/>
        <w:rPr>
          <w:bCs/>
          <w:iCs/>
          <w:color w:val="000000"/>
        </w:rPr>
      </w:pPr>
    </w:p>
    <w:p w14:paraId="63441630" w14:textId="77777777" w:rsidR="00F82AE5" w:rsidRPr="00F82AE5" w:rsidRDefault="00F82AE5" w:rsidP="00F82AE5">
      <w:pPr>
        <w:spacing w:after="0" w:line="360" w:lineRule="auto"/>
        <w:rPr>
          <w:iCs/>
          <w:color w:val="000000"/>
          <w:lang w:val="es-ES"/>
        </w:rPr>
      </w:pPr>
      <w:r w:rsidRPr="00F82AE5">
        <w:rPr>
          <w:iCs/>
          <w:color w:val="000000"/>
        </w:rPr>
        <w:t xml:space="preserve">Ahora bien, </w:t>
      </w:r>
      <w:r w:rsidRPr="00F82AE5">
        <w:rPr>
          <w:iCs/>
          <w:color w:val="000000"/>
          <w:lang w:val="es-ES"/>
        </w:rPr>
        <w:t>el artículo 18 de la Ley de Transparencia y Acceso a la Información Pública del Estado de México y Municipios, contempla que los sujetos obligados deberán documentar todo acto que derive del ejercicio de sus facultades, competencias o funciones.</w:t>
      </w:r>
    </w:p>
    <w:p w14:paraId="461414D1" w14:textId="77777777" w:rsidR="00F82AE5" w:rsidRPr="00F82AE5" w:rsidRDefault="00F82AE5" w:rsidP="00F82AE5">
      <w:pPr>
        <w:spacing w:after="0" w:line="360" w:lineRule="auto"/>
        <w:rPr>
          <w:iCs/>
          <w:color w:val="000000"/>
          <w:lang w:val="es-ES"/>
        </w:rPr>
      </w:pPr>
    </w:p>
    <w:p w14:paraId="0B6F668D" w14:textId="77777777" w:rsidR="00F82AE5" w:rsidRPr="00F82AE5" w:rsidRDefault="00F82AE5" w:rsidP="00F82AE5">
      <w:pPr>
        <w:spacing w:after="0" w:line="360" w:lineRule="auto"/>
        <w:rPr>
          <w:bCs/>
          <w:iCs/>
          <w:color w:val="000000"/>
          <w:lang w:val="es-ES"/>
        </w:rPr>
      </w:pPr>
      <w:r w:rsidRPr="00F82AE5">
        <w:rPr>
          <w:bCs/>
          <w:iCs/>
          <w:color w:val="000000"/>
          <w:lang w:val="es-ES"/>
        </w:rPr>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4BBDF3C8" w14:textId="77777777" w:rsidR="00F82AE5" w:rsidRPr="00F82AE5" w:rsidRDefault="00F82AE5" w:rsidP="00F82AE5">
      <w:pPr>
        <w:spacing w:after="0" w:line="360" w:lineRule="auto"/>
        <w:rPr>
          <w:bCs/>
          <w:iCs/>
          <w:color w:val="000000"/>
          <w:lang w:val="es-ES"/>
        </w:rPr>
      </w:pPr>
    </w:p>
    <w:p w14:paraId="513E2136" w14:textId="77777777" w:rsidR="00F82AE5" w:rsidRPr="00F82AE5" w:rsidRDefault="00F82AE5" w:rsidP="00F82AE5">
      <w:pPr>
        <w:spacing w:after="0" w:line="360" w:lineRule="auto"/>
        <w:rPr>
          <w:bCs/>
          <w:iCs/>
          <w:color w:val="000000"/>
          <w:lang w:val="es-ES"/>
        </w:rPr>
      </w:pPr>
      <w:r w:rsidRPr="00F82AE5">
        <w:rPr>
          <w:bCs/>
          <w:iCs/>
          <w:color w:val="000000"/>
          <w:lang w:val="es-ES"/>
        </w:rPr>
        <w:t>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w:t>
      </w:r>
    </w:p>
    <w:p w14:paraId="578D017D" w14:textId="77777777" w:rsidR="00F82AE5" w:rsidRDefault="00F82AE5" w:rsidP="00F82AE5">
      <w:pPr>
        <w:spacing w:after="0" w:line="360" w:lineRule="auto"/>
        <w:rPr>
          <w:bCs/>
          <w:iCs/>
          <w:color w:val="000000"/>
          <w:lang w:val="es-ES"/>
        </w:rPr>
      </w:pPr>
    </w:p>
    <w:p w14:paraId="17BA6C7E" w14:textId="77777777" w:rsidR="005877CF" w:rsidRPr="003067FB" w:rsidRDefault="00880670" w:rsidP="005877CF">
      <w:pPr>
        <w:spacing w:after="0" w:line="360" w:lineRule="auto"/>
      </w:pPr>
      <w:r w:rsidRPr="00E42374">
        <w:t xml:space="preserve">Aunado a lo anterior, </w:t>
      </w:r>
      <w:r w:rsidR="005877CF" w:rsidRPr="003067FB">
        <w:t xml:space="preserve">el artículo 4°, fracción XVIII, de la Ley General de Contabilidad Gubernamental, establece que </w:t>
      </w:r>
      <w:r w:rsidR="005877CF" w:rsidRPr="003067FB">
        <w:rPr>
          <w:b/>
          <w:bCs/>
        </w:rPr>
        <w:t>la información financiera consiste en información presupuestaria y contable que se expresa en unidades monetarias las transacciones que realiza un ente público y los eventos económicos identificables y cuantificable</w:t>
      </w:r>
      <w:r w:rsidR="005877CF" w:rsidRPr="003067FB">
        <w:t xml:space="preserve"> la cual puede representarse por reportes, informes, estados y notas que expresan su situación financiera, los resultados de su operación y los cambios en su patrimonio.</w:t>
      </w:r>
    </w:p>
    <w:p w14:paraId="65E0CB67" w14:textId="77777777" w:rsidR="005877CF" w:rsidRPr="003067FB" w:rsidRDefault="005877CF" w:rsidP="005877CF">
      <w:pPr>
        <w:spacing w:after="0" w:line="360" w:lineRule="auto"/>
      </w:pPr>
    </w:p>
    <w:p w14:paraId="7BE82002" w14:textId="77777777" w:rsidR="005877CF" w:rsidRPr="003067FB" w:rsidRDefault="005877CF" w:rsidP="005877CF">
      <w:pPr>
        <w:spacing w:after="0" w:line="360" w:lineRule="auto"/>
      </w:pPr>
      <w:r w:rsidRPr="003067FB">
        <w:lastRenderedPageBreak/>
        <w:t>Además, el artículo 1º, de la Ley de Fiscalización Superior del Estado de México, el cual establece que el órgano Superior de Fiscalización del Estado de México contará con atribuciones en materia de revisión y fiscalización de los fondos y fideicomisos públicos, cuentas públicas, deuda pública, y de los actos relativos al ejercicio y aplicación de los recursos públicos de las entidades fiscalizables del estado de México.</w:t>
      </w:r>
    </w:p>
    <w:p w14:paraId="1320D4A8" w14:textId="77777777" w:rsidR="005877CF" w:rsidRPr="003067FB" w:rsidRDefault="005877CF" w:rsidP="005877CF">
      <w:pPr>
        <w:spacing w:after="0" w:line="360" w:lineRule="auto"/>
      </w:pPr>
    </w:p>
    <w:p w14:paraId="6D8AE21B" w14:textId="77777777" w:rsidR="005877CF" w:rsidRPr="003067FB" w:rsidRDefault="005877CF" w:rsidP="005877CF">
      <w:pPr>
        <w:spacing w:after="0" w:line="360" w:lineRule="auto"/>
        <w:rPr>
          <w:rFonts w:eastAsia="Calibri" w:cs="Times New Roman"/>
        </w:rPr>
      </w:pPr>
      <w:r w:rsidRPr="003067FB">
        <w:rPr>
          <w:rFonts w:eastAsia="Calibri" w:cs="Times New Roman"/>
        </w:rPr>
        <w:t xml:space="preserve">Por otra parte, los artículos 1°, fracción III, y 4°de la Ley de la de Contratación Pública del Estado de México y Municipios, especifica que los Ayuntamientos, serán los encargados de realizar los actos relativos a la planeación, programación, presupuestación, ejecución y control de la adquisición (bienes muebles e inmuebles), arrendamiento (bienes muebles e inmuebles), y la contratación de servicios de cualquier naturaleza, que realicen los Ayuntamientos de los Municipios. </w:t>
      </w:r>
    </w:p>
    <w:p w14:paraId="0411250A" w14:textId="77777777" w:rsidR="005877CF" w:rsidRPr="003067FB" w:rsidRDefault="005877CF" w:rsidP="005877CF">
      <w:pPr>
        <w:spacing w:after="0" w:line="360" w:lineRule="auto"/>
      </w:pPr>
    </w:p>
    <w:p w14:paraId="20C6B498" w14:textId="77777777" w:rsidR="005877CF" w:rsidRPr="003067FB" w:rsidRDefault="005877CF" w:rsidP="005877CF">
      <w:pPr>
        <w:spacing w:after="0" w:line="360" w:lineRule="auto"/>
      </w:pPr>
      <w:r w:rsidRPr="003067FB">
        <w:t xml:space="preserve">Ahora bien, respecto al </w:t>
      </w:r>
      <w:r w:rsidRPr="003067FB">
        <w:rPr>
          <w:b/>
          <w:u w:val="single"/>
        </w:rPr>
        <w:t>documento que acredite el pago,</w:t>
      </w:r>
      <w:r w:rsidRPr="003067FB">
        <w:t xml:space="preserve"> resulta necesario traer a colación, la Resolución Miscelánea Fiscal, establece que </w:t>
      </w:r>
      <w:r w:rsidRPr="003067FB">
        <w:rPr>
          <w:b/>
          <w:u w:val="single"/>
        </w:rPr>
        <w:t>la factura</w:t>
      </w:r>
      <w:r w:rsidRPr="003067FB">
        <w:t xml:space="preserve"> es lo mismo, que un Comprobante Fiscal Digital por Internet, por lo que, se puede considerar como el documento que comprueba la realización de una </w:t>
      </w:r>
      <w:r w:rsidRPr="003067FB">
        <w:rPr>
          <w:b/>
        </w:rPr>
        <w:t xml:space="preserve">transacción </w:t>
      </w:r>
      <w:r w:rsidRPr="003067FB">
        <w:t>comercial, entre un comprador y un vendedor, mediante el cual, el primero queda obligado a realizar un pago, mientras que el segundo, a entregar o brindar un producto o servicio.</w:t>
      </w:r>
    </w:p>
    <w:p w14:paraId="020AFB65" w14:textId="77777777" w:rsidR="005877CF" w:rsidRPr="003067FB" w:rsidRDefault="005877CF" w:rsidP="005877CF">
      <w:pPr>
        <w:spacing w:after="0" w:line="360" w:lineRule="auto"/>
      </w:pPr>
    </w:p>
    <w:p w14:paraId="7A5B12CD" w14:textId="77777777" w:rsidR="005877CF" w:rsidRPr="003067FB" w:rsidRDefault="005877CF" w:rsidP="005877CF">
      <w:pPr>
        <w:spacing w:after="0" w:line="360" w:lineRule="auto"/>
      </w:pPr>
      <w:r w:rsidRPr="003067FB">
        <w:t>En ese sentido se tiene que los entes fiscalizables, tienen como obligación la de integrar y proporcionar los informes trimestrales, los cuales deberán atender los criterios generales que regirán la contabilidad gubernamental y la emisión de información financiera de los entes públicos, cabe mencionar que estos deberán presentarse dentro de los veinte días hábiles posteriores al término del trimestre que corresponda.</w:t>
      </w:r>
    </w:p>
    <w:p w14:paraId="12ED3CC3" w14:textId="77777777" w:rsidR="005877CF" w:rsidRPr="003067FB" w:rsidRDefault="005877CF" w:rsidP="005877CF">
      <w:pPr>
        <w:spacing w:after="0" w:line="360" w:lineRule="auto"/>
      </w:pPr>
    </w:p>
    <w:p w14:paraId="3240B9D1" w14:textId="77777777" w:rsidR="005877CF" w:rsidRPr="003067FB" w:rsidRDefault="005877CF" w:rsidP="005877CF">
      <w:pPr>
        <w:spacing w:after="0" w:line="360" w:lineRule="auto"/>
      </w:pPr>
      <w:r w:rsidRPr="003067FB">
        <w:lastRenderedPageBreak/>
        <w:t xml:space="preserve">En ese contexto, los Sujetos Obligados deben generar pólizas contables que corresponden a un documento en el que se asientan las operaciones desarrolladas, por el municipio y toda la información necesaria para su identificación, de esta manera se trae por analogía la Guía Técnica 8 “La Contabilidad y la Cuenta Pública Municipal”; además, dichas pólizas se dividen en las siguientes: </w:t>
      </w:r>
    </w:p>
    <w:p w14:paraId="78254A82" w14:textId="77777777" w:rsidR="005877CF" w:rsidRPr="003067FB" w:rsidRDefault="005877CF" w:rsidP="005877CF">
      <w:pPr>
        <w:spacing w:after="0" w:line="360" w:lineRule="auto"/>
      </w:pPr>
    </w:p>
    <w:p w14:paraId="00871315" w14:textId="77777777" w:rsidR="005877CF" w:rsidRPr="003067FB" w:rsidRDefault="005877CF" w:rsidP="005877CF">
      <w:pPr>
        <w:pStyle w:val="Prrafodelista"/>
        <w:numPr>
          <w:ilvl w:val="0"/>
          <w:numId w:val="12"/>
        </w:numPr>
        <w:spacing w:line="360" w:lineRule="auto"/>
      </w:pPr>
      <w:r w:rsidRPr="003067FB">
        <w:rPr>
          <w:b/>
          <w:bCs/>
        </w:rPr>
        <w:t>Póliza de Egresos:</w:t>
      </w:r>
      <w:r w:rsidRPr="003067FB">
        <w:t xml:space="preserve"> Corresponde a aquella donde se anotan las operaciones que implique egresos, es decir, la salida de dinero, en efectivo o transferencia, para el municipio.</w:t>
      </w:r>
    </w:p>
    <w:p w14:paraId="58F3B803" w14:textId="77777777" w:rsidR="005877CF" w:rsidRPr="003067FB" w:rsidRDefault="005877CF" w:rsidP="005877CF">
      <w:pPr>
        <w:pStyle w:val="Prrafodelista"/>
        <w:spacing w:line="360" w:lineRule="auto"/>
      </w:pPr>
    </w:p>
    <w:p w14:paraId="18E72B74" w14:textId="77777777" w:rsidR="005877CF" w:rsidRPr="003067FB" w:rsidRDefault="005877CF" w:rsidP="005877CF">
      <w:pPr>
        <w:pStyle w:val="Prrafodelista"/>
        <w:numPr>
          <w:ilvl w:val="0"/>
          <w:numId w:val="12"/>
        </w:numPr>
        <w:spacing w:line="360" w:lineRule="auto"/>
      </w:pPr>
      <w:r w:rsidRPr="003067FB">
        <w:rPr>
          <w:b/>
        </w:rPr>
        <w:t>Póliza Cheque:</w:t>
      </w:r>
      <w:r w:rsidRPr="003067FB">
        <w:t xml:space="preserve"> Es la que se elabora cuando la operación implique una salida de dinero del municipio, a través de un cheque.</w:t>
      </w:r>
    </w:p>
    <w:p w14:paraId="777AB058" w14:textId="77777777" w:rsidR="005877CF" w:rsidRPr="003067FB" w:rsidRDefault="005877CF" w:rsidP="005877CF">
      <w:pPr>
        <w:pStyle w:val="Prrafodelista"/>
        <w:spacing w:line="360" w:lineRule="auto"/>
      </w:pPr>
    </w:p>
    <w:p w14:paraId="12ED3701" w14:textId="00C45123" w:rsidR="005877CF" w:rsidRPr="003067FB" w:rsidRDefault="005877CF" w:rsidP="005877CF">
      <w:pPr>
        <w:spacing w:after="0" w:line="360" w:lineRule="auto"/>
        <w:contextualSpacing/>
        <w:rPr>
          <w:rFonts w:eastAsia="Calibri" w:cs="Tahoma"/>
          <w:bCs/>
        </w:rPr>
      </w:pPr>
      <w:r w:rsidRPr="003067FB">
        <w:rPr>
          <w:rFonts w:eastAsia="Calibri" w:cs="Tahoma"/>
          <w:bCs/>
        </w:rPr>
        <w:t>En ese orden de ideas, este Instituto revisó los Lineamientos para la Integración, Presentación y Envío de los Informes Trimestrales Municipales del Ejercicio Fiscal 202</w:t>
      </w:r>
      <w:r>
        <w:rPr>
          <w:rFonts w:eastAsia="Calibri" w:cs="Tahoma"/>
          <w:bCs/>
        </w:rPr>
        <w:t>5</w:t>
      </w:r>
      <w:r w:rsidRPr="003067FB">
        <w:rPr>
          <w:rFonts w:eastAsia="Calibri" w:cs="Tahoma"/>
          <w:bCs/>
        </w:rPr>
        <w:t xml:space="preserve">, de los cuales se logra advertir que el Municipio debe entregar al Órgano Superior de Fiscalización, en el Módulo 1, entre otros documentos el Diario General de Pólizas, mismo que debe ser generado en formato “PDF” y “XLSX”; además, conforme al Instructivo de llenado de dicho formato, este tiene como finalidad concentrar </w:t>
      </w:r>
      <w:r w:rsidRPr="003067FB">
        <w:rPr>
          <w:rFonts w:eastAsia="Calibri" w:cs="Tahoma"/>
          <w:b/>
          <w:bCs/>
          <w:u w:val="single"/>
        </w:rPr>
        <w:t>el total de pólizas</w:t>
      </w:r>
      <w:r w:rsidRPr="003067FB">
        <w:rPr>
          <w:rFonts w:eastAsia="Calibri" w:cs="Tahoma"/>
          <w:bCs/>
        </w:rPr>
        <w:t xml:space="preserve"> que la enditad realizó en un determinado periodo.</w:t>
      </w:r>
    </w:p>
    <w:p w14:paraId="3163CB8D" w14:textId="77777777" w:rsidR="005877CF" w:rsidRPr="003067FB" w:rsidRDefault="005877CF" w:rsidP="005877CF">
      <w:pPr>
        <w:spacing w:after="0" w:line="360" w:lineRule="auto"/>
        <w:rPr>
          <w:rFonts w:eastAsia="Times New Roman" w:cs="Tahoma"/>
          <w:bCs/>
          <w:iCs/>
          <w:lang w:eastAsia="es-ES"/>
        </w:rPr>
      </w:pPr>
    </w:p>
    <w:p w14:paraId="131E0465" w14:textId="2BB5B1C1" w:rsidR="005877CF" w:rsidRDefault="005877CF" w:rsidP="00880670">
      <w:pPr>
        <w:spacing w:after="0" w:line="360" w:lineRule="auto"/>
      </w:pPr>
      <w:r w:rsidRPr="005877CF">
        <w:t xml:space="preserve">De tales circunstancias, se logra vislumbrar que la pretensión de la persona Recurrente, son los comprobantes de pago del primero al treinta de junio y de </w:t>
      </w:r>
      <w:r w:rsidR="007C2910" w:rsidRPr="005877CF">
        <w:t>las partidas</w:t>
      </w:r>
      <w:r w:rsidRPr="005877CF">
        <w:t xml:space="preserve"> 3611</w:t>
      </w:r>
      <w:r w:rsidR="007C2910">
        <w:t>,</w:t>
      </w:r>
      <w:r w:rsidRPr="005877CF">
        <w:t xml:space="preserve"> 3612</w:t>
      </w:r>
      <w:r w:rsidR="007C2910">
        <w:t>,</w:t>
      </w:r>
      <w:r w:rsidRPr="005877CF">
        <w:t xml:space="preserve"> 3621</w:t>
      </w:r>
      <w:r w:rsidR="007C2910">
        <w:t>,</w:t>
      </w:r>
      <w:r w:rsidRPr="005877CF">
        <w:t xml:space="preserve"> 3651</w:t>
      </w:r>
      <w:r w:rsidR="007C2910">
        <w:t>,</w:t>
      </w:r>
      <w:r w:rsidRPr="005877CF">
        <w:t xml:space="preserve"> 3661</w:t>
      </w:r>
      <w:r w:rsidR="007C2910">
        <w:t>,</w:t>
      </w:r>
      <w:r>
        <w:t xml:space="preserve"> </w:t>
      </w:r>
      <w:r w:rsidRPr="005877CF">
        <w:t xml:space="preserve">del primero de enero al treinta </w:t>
      </w:r>
      <w:r>
        <w:t>y uno de diciembre de dos mil veinticinco.</w:t>
      </w:r>
    </w:p>
    <w:p w14:paraId="407B82A2" w14:textId="77777777" w:rsidR="005877CF" w:rsidRDefault="005877CF" w:rsidP="00880670">
      <w:pPr>
        <w:spacing w:after="0" w:line="360" w:lineRule="auto"/>
      </w:pPr>
    </w:p>
    <w:p w14:paraId="5A03D3CC" w14:textId="5FBDF0B1" w:rsidR="00F82AE5" w:rsidRPr="00F82AE5" w:rsidRDefault="00F82AE5" w:rsidP="00880670">
      <w:pPr>
        <w:spacing w:after="0" w:line="360" w:lineRule="auto"/>
        <w:rPr>
          <w:iCs/>
          <w:color w:val="000000"/>
        </w:rPr>
      </w:pPr>
      <w:r w:rsidRPr="00F82AE5">
        <w:rPr>
          <w:bCs/>
          <w:iCs/>
          <w:color w:val="000000"/>
          <w:lang w:val="es-ES"/>
        </w:rPr>
        <w:t xml:space="preserve">Ahora bien, es de recordar que en </w:t>
      </w:r>
      <w:r w:rsidR="00880670">
        <w:rPr>
          <w:bCs/>
          <w:iCs/>
          <w:color w:val="000000"/>
          <w:lang w:val="es-ES"/>
        </w:rPr>
        <w:t xml:space="preserve">respuesta se pronunció la </w:t>
      </w:r>
      <w:r w:rsidR="005877CF">
        <w:rPr>
          <w:bCs/>
          <w:iCs/>
          <w:color w:val="000000"/>
          <w:lang w:val="es-ES"/>
        </w:rPr>
        <w:t>Tesorería Municipal</w:t>
      </w:r>
      <w:r w:rsidRPr="00F82AE5">
        <w:rPr>
          <w:iCs/>
          <w:color w:val="000000"/>
        </w:rPr>
        <w:t xml:space="preserve">; por lo que, es oportuno hacer referencia al </w:t>
      </w:r>
      <w:r w:rsidRPr="00F82AE5">
        <w:rPr>
          <w:b/>
          <w:iCs/>
          <w:color w:val="000000"/>
        </w:rPr>
        <w:t xml:space="preserve">procedimiento de búsqueda que deben de seguir los Sujetos </w:t>
      </w:r>
      <w:r w:rsidRPr="00F82AE5">
        <w:rPr>
          <w:b/>
          <w:iCs/>
          <w:color w:val="000000"/>
        </w:rPr>
        <w:lastRenderedPageBreak/>
        <w:t>Obligados para localizar la información</w:t>
      </w:r>
      <w:r w:rsidRPr="00F82AE5">
        <w:rPr>
          <w:iCs/>
          <w:color w:val="000000"/>
        </w:rPr>
        <w:t>,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5FE1242E" w14:textId="77777777" w:rsidR="00F82AE5" w:rsidRPr="00F82AE5" w:rsidRDefault="00F82AE5" w:rsidP="00F82AE5">
      <w:pPr>
        <w:spacing w:after="0" w:line="360" w:lineRule="auto"/>
        <w:rPr>
          <w:iCs/>
          <w:color w:val="000000"/>
        </w:rPr>
      </w:pPr>
    </w:p>
    <w:p w14:paraId="5B35E834" w14:textId="77777777" w:rsidR="00F82AE5" w:rsidRPr="00F82AE5" w:rsidRDefault="00F82AE5" w:rsidP="00F82AE5">
      <w:pPr>
        <w:spacing w:after="0" w:line="360" w:lineRule="auto"/>
        <w:rPr>
          <w:iCs/>
          <w:color w:val="000000"/>
        </w:rPr>
      </w:pPr>
      <w:r w:rsidRPr="00F82AE5">
        <w:rPr>
          <w:iCs/>
          <w:color w:val="000000"/>
        </w:rPr>
        <w:t>Así y de lo plasmado en párrafos anteriores, se logra colegir que el Sujeto Obligado cumplió con el procedimiento de búsqueda establecido en el artículo 162 de la Ley de Transparencia y Acceso a la Información Pública del Estado de México y Municipios, toda vez, que gestionó el requerimiento de información con el área competente de conocer la información.</w:t>
      </w:r>
    </w:p>
    <w:p w14:paraId="3E19F785" w14:textId="77777777" w:rsidR="00F82AE5" w:rsidRPr="00F82AE5" w:rsidRDefault="00F82AE5" w:rsidP="00F82AE5">
      <w:pPr>
        <w:spacing w:after="0" w:line="360" w:lineRule="auto"/>
        <w:rPr>
          <w:iCs/>
          <w:color w:val="000000"/>
        </w:rPr>
      </w:pPr>
    </w:p>
    <w:p w14:paraId="053980FD" w14:textId="419F8F5E" w:rsidR="00BB2887" w:rsidRDefault="00662EDC">
      <w:pPr>
        <w:spacing w:after="0" w:line="360" w:lineRule="auto"/>
        <w:rPr>
          <w:color w:val="000000"/>
        </w:rPr>
      </w:pPr>
      <w:r>
        <w:rPr>
          <w:color w:val="000000"/>
        </w:rPr>
        <w:t>Establecido lo anterior, es de recordar que en respuesta</w:t>
      </w:r>
      <w:r w:rsidR="00B27581">
        <w:rPr>
          <w:color w:val="000000"/>
        </w:rPr>
        <w:t>, cambió la modalidad a consulta directa, derivado que la</w:t>
      </w:r>
      <w:r>
        <w:rPr>
          <w:color w:val="000000"/>
        </w:rPr>
        <w:t xml:space="preserve"> información</w:t>
      </w:r>
      <w:r w:rsidR="00C6515F">
        <w:rPr>
          <w:color w:val="000000"/>
        </w:rPr>
        <w:t xml:space="preserve"> era excesiva y diversa</w:t>
      </w:r>
      <w:r w:rsidR="00B27581">
        <w:rPr>
          <w:color w:val="000000"/>
        </w:rPr>
        <w:t>; al respecto, cabe recordar que se requirió la información, a través del Sistema de Acceso a Información Mexiquense.</w:t>
      </w:r>
    </w:p>
    <w:p w14:paraId="0A160AF5" w14:textId="77777777" w:rsidR="00BB2887" w:rsidRDefault="00BB2887">
      <w:pPr>
        <w:spacing w:after="0" w:line="360" w:lineRule="auto"/>
        <w:rPr>
          <w:color w:val="000000"/>
        </w:rPr>
      </w:pPr>
    </w:p>
    <w:p w14:paraId="0AAF1074" w14:textId="77777777" w:rsidR="00BB2887" w:rsidRDefault="00B27581">
      <w:pPr>
        <w:spacing w:after="0" w:line="360" w:lineRule="auto"/>
        <w:rPr>
          <w:color w:val="000000"/>
        </w:rPr>
      </w:pPr>
      <w:r>
        <w:rPr>
          <w:color w:val="000000"/>
        </w:rPr>
        <w:t xml:space="preserve">En ese sentido, el artículo 155, fracción V, de la Ley de Transparencia y Acceso a la Información Pública del Estado de México y Municipios, precisa que para presentar una solicitud, el particular podrá señalar </w:t>
      </w:r>
      <w:r>
        <w:rPr>
          <w:b/>
          <w:bCs/>
          <w:color w:val="000000"/>
        </w:rPr>
        <w:t>la modalidad en la que prefiere se otorgue el acceso a la información</w:t>
      </w:r>
      <w:r>
        <w:rPr>
          <w:color w:val="000000"/>
        </w:rPr>
        <w:t>, la cual podrá ser verbal, siempre y cuando sea para fines de orientación, mediante consulta directa, mediante la expedición de copias simples o certificadas o la reproducción en cualquier otro medio, incluidos los electrónicos.</w:t>
      </w:r>
    </w:p>
    <w:p w14:paraId="7916F57F" w14:textId="77777777" w:rsidR="00BB2887" w:rsidRDefault="00BB2887">
      <w:pPr>
        <w:spacing w:after="0" w:line="360" w:lineRule="auto"/>
        <w:rPr>
          <w:color w:val="000000"/>
        </w:rPr>
      </w:pPr>
    </w:p>
    <w:p w14:paraId="00D514A8" w14:textId="77777777" w:rsidR="00BB2887" w:rsidRDefault="00B27581">
      <w:pPr>
        <w:spacing w:after="0" w:line="360" w:lineRule="auto"/>
        <w:rPr>
          <w:b/>
          <w:bCs/>
          <w:color w:val="000000"/>
        </w:rPr>
      </w:pPr>
      <w:r>
        <w:rPr>
          <w:color w:val="000000"/>
        </w:rPr>
        <w:t xml:space="preserve">El artículo 158, dispone que, de manera excepcional, cuando de manera fundada y motivada lo determine el Sujeto Obligado, </w:t>
      </w:r>
      <w:r>
        <w:rPr>
          <w:b/>
          <w:bCs/>
          <w:color w:val="000000"/>
        </w:rPr>
        <w:t xml:space="preserve">en los casos en que la entrega de la información que se encuentre a su disposición, sobrepase las capacidades técnicas, administrativas y humanas </w:t>
      </w:r>
      <w:r>
        <w:rPr>
          <w:b/>
          <w:bCs/>
          <w:color w:val="000000"/>
        </w:rPr>
        <w:lastRenderedPageBreak/>
        <w:t>del Sujeto Obligado para cumplir con la solicitud, se podrá poner a disposición del solicitante la información en consulta directa.</w:t>
      </w:r>
    </w:p>
    <w:p w14:paraId="09862CE7" w14:textId="77777777" w:rsidR="00BB2887" w:rsidRDefault="00BB2887">
      <w:pPr>
        <w:spacing w:after="0" w:line="360" w:lineRule="auto"/>
        <w:rPr>
          <w:b/>
          <w:bCs/>
          <w:color w:val="000000"/>
        </w:rPr>
      </w:pPr>
    </w:p>
    <w:p w14:paraId="7B755269" w14:textId="77777777" w:rsidR="00BB2887" w:rsidRDefault="00B27581">
      <w:pPr>
        <w:spacing w:after="0" w:line="360" w:lineRule="auto"/>
        <w:rPr>
          <w:color w:val="000000"/>
        </w:rPr>
      </w:pPr>
      <w:r>
        <w:rPr>
          <w:color w:val="000000"/>
        </w:rPr>
        <w:t xml:space="preserve">En ese orden de ideas, el artículo 164 de dicho ordenamiento jurídico, prevé que el acceso se dará en la modalidad de entrega y, en su caso, de envío elegidos por al solicitante. </w:t>
      </w:r>
      <w:r>
        <w:rPr>
          <w:b/>
          <w:bCs/>
          <w:color w:val="000000"/>
        </w:rPr>
        <w:t>Cuando la información no pueda entregarse o enviarse en la modalidad elegida, el sujeto obligado deberá ofrecer otra u otras modalidades de entrega.</w:t>
      </w:r>
      <w:r>
        <w:rPr>
          <w:color w:val="000000"/>
        </w:rPr>
        <w:t xml:space="preserve"> En cualquier caso, </w:t>
      </w:r>
      <w:r>
        <w:rPr>
          <w:b/>
          <w:bCs/>
          <w:color w:val="000000"/>
        </w:rPr>
        <w:t>se deberá fundar y motivar</w:t>
      </w:r>
      <w:r>
        <w:rPr>
          <w:color w:val="000000"/>
        </w:rPr>
        <w:t xml:space="preserve"> la necesidad de ofrecer otras modalidades.</w:t>
      </w:r>
    </w:p>
    <w:p w14:paraId="5EE79033" w14:textId="77777777" w:rsidR="00BB2887" w:rsidRDefault="00BB2887">
      <w:pPr>
        <w:spacing w:after="0" w:line="360" w:lineRule="auto"/>
        <w:rPr>
          <w:color w:val="000000"/>
        </w:rPr>
      </w:pPr>
    </w:p>
    <w:p w14:paraId="7493D51B" w14:textId="77777777" w:rsidR="00BB2887" w:rsidRDefault="00B27581">
      <w:pPr>
        <w:spacing w:after="0" w:line="360" w:lineRule="auto"/>
        <w:rPr>
          <w:color w:val="000000"/>
        </w:rPr>
      </w:pPr>
      <w:r>
        <w:rPr>
          <w:color w:val="000000"/>
        </w:rPr>
        <w:t xml:space="preserve">Para lo cual, conforme al artículo 174 de la Ley de la materia, indica que los costos de reproducción y, en su caso, de envío para la obtención de la información deberán ser cubiertos por el solicitante de manera previa a la entrega por parte del Sujeto Obligado. En tales consideraciones, la entrega deberá hacerse, </w:t>
      </w:r>
      <w:r>
        <w:rPr>
          <w:b/>
          <w:bCs/>
          <w:color w:val="000000"/>
        </w:rPr>
        <w:t>en la medida de lo posible, en la forma solicitada por el interesado, salvo que exista un impedimento justificado para atenderla</w:t>
      </w:r>
      <w:r>
        <w:rPr>
          <w:color w:val="000000"/>
        </w:rPr>
        <w:t xml:space="preserve">, en cuyo caso, deberán exponerse las razones por las cuales no es posible utilizar el medio de reproducción solicitado; en este sentido, la entrega de la información en una modalidad distinta a la elegida por la particular </w:t>
      </w:r>
      <w:r>
        <w:rPr>
          <w:b/>
          <w:bCs/>
          <w:color w:val="000000"/>
        </w:rPr>
        <w:t>sólo procede, en caso de que se acredite la imposibilidad de atenderla.</w:t>
      </w:r>
      <w:r>
        <w:rPr>
          <w:color w:val="000000"/>
        </w:rPr>
        <w:t xml:space="preserve"> </w:t>
      </w:r>
    </w:p>
    <w:p w14:paraId="6663722E" w14:textId="77777777" w:rsidR="00BB2887" w:rsidRDefault="00BB2887">
      <w:pPr>
        <w:spacing w:after="0" w:line="360" w:lineRule="auto"/>
        <w:rPr>
          <w:color w:val="000000"/>
        </w:rPr>
      </w:pPr>
    </w:p>
    <w:p w14:paraId="102034D7" w14:textId="77777777" w:rsidR="00BB2887" w:rsidRDefault="00B27581">
      <w:pPr>
        <w:spacing w:after="0" w:line="360" w:lineRule="auto"/>
        <w:rPr>
          <w:b/>
          <w:bCs/>
          <w:color w:val="000000"/>
        </w:rPr>
      </w:pPr>
      <w:r>
        <w:rPr>
          <w:color w:val="000000"/>
        </w:rPr>
        <w:t xml:space="preserve">Así, cuando se justifique el impedimento, </w:t>
      </w:r>
      <w:r>
        <w:rPr>
          <w:b/>
          <w:bCs/>
          <w:color w:val="000000"/>
        </w:rPr>
        <w:t>los Sujetos Obligados deberán ofrecer al particular otras modalidades de entrega que permita la información</w:t>
      </w:r>
      <w:r>
        <w:rPr>
          <w:color w:val="000000"/>
        </w:rPr>
        <w:t xml:space="preserve">, como consulta directa en las oficinas de la Unidad de Transparencia; lo anterior, es robustecido con el Criterio Orientador SO/008/2017, emitido por el Pleno del Instituto Nacional de Transparencia, Acceso a la Información y Protección de Datos Personales vigente a la fecha de la solicitud, que establece que cuando no sea posible atener la modalidad elegida por los solicitantes, la obligación de acceso a la información se tendrá por cumplida cuando el Sujeto Obligado justifique el impedimento para atender la misma y se notifique al particular la puesta a </w:t>
      </w:r>
      <w:r>
        <w:rPr>
          <w:color w:val="000000"/>
        </w:rPr>
        <w:lastRenderedPageBreak/>
        <w:t xml:space="preserve">disposición de la </w:t>
      </w:r>
      <w:r>
        <w:rPr>
          <w:b/>
          <w:bCs/>
          <w:color w:val="000000"/>
        </w:rPr>
        <w:t>información en todas las modalidades que lo permitan, procurando reducir los costos de entrega.</w:t>
      </w:r>
    </w:p>
    <w:p w14:paraId="3E97E5AF" w14:textId="77777777" w:rsidR="00BB2887" w:rsidRDefault="00BB2887">
      <w:pPr>
        <w:spacing w:after="0" w:line="360" w:lineRule="auto"/>
        <w:rPr>
          <w:b/>
          <w:bCs/>
          <w:color w:val="000000"/>
        </w:rPr>
      </w:pPr>
    </w:p>
    <w:p w14:paraId="645352A6" w14:textId="77777777" w:rsidR="00BB2887" w:rsidRDefault="00B27581">
      <w:pPr>
        <w:spacing w:after="0" w:line="360" w:lineRule="auto"/>
        <w:rPr>
          <w:color w:val="000000"/>
        </w:rPr>
      </w:pPr>
      <w:r>
        <w:rPr>
          <w:color w:val="000000"/>
        </w:rPr>
        <w:t>Además, según Calero, Natalia (2016), en la “Ley General de Transparencia y Acceso a la Información Pública Comentada”, cuando los sujetos obligados ofrezcan como modalidad de entrega de la información, consulta directa, estos deberán fundar y motivar las razones por las cuales no es posible otorgar el acceso a los documentos de otra forma; además que se deberá explicar de manera detallada lo siguiente:</w:t>
      </w:r>
    </w:p>
    <w:p w14:paraId="6B968F9B" w14:textId="77777777" w:rsidR="00BB2887" w:rsidRDefault="00BB2887">
      <w:pPr>
        <w:spacing w:line="360" w:lineRule="auto"/>
        <w:rPr>
          <w:color w:val="000000"/>
        </w:rPr>
      </w:pPr>
    </w:p>
    <w:p w14:paraId="0A101D54" w14:textId="77777777" w:rsidR="00BB2887" w:rsidRDefault="00B27581">
      <w:pPr>
        <w:numPr>
          <w:ilvl w:val="0"/>
          <w:numId w:val="8"/>
        </w:numPr>
        <w:pBdr>
          <w:top w:val="nil"/>
          <w:left w:val="nil"/>
          <w:bottom w:val="nil"/>
          <w:right w:val="nil"/>
          <w:between w:val="nil"/>
        </w:pBdr>
        <w:spacing w:after="0" w:line="360" w:lineRule="auto"/>
        <w:rPr>
          <w:color w:val="000000"/>
        </w:rPr>
      </w:pPr>
      <w:r>
        <w:rPr>
          <w:color w:val="000000"/>
        </w:rPr>
        <w:t>Las razones por las cuales la información implicaba un análisis, estudio o procesamiento de datos;</w:t>
      </w:r>
    </w:p>
    <w:p w14:paraId="2741E846" w14:textId="77777777" w:rsidR="00BB2887" w:rsidRDefault="00B27581">
      <w:pPr>
        <w:numPr>
          <w:ilvl w:val="0"/>
          <w:numId w:val="8"/>
        </w:numPr>
        <w:pBdr>
          <w:top w:val="nil"/>
          <w:left w:val="nil"/>
          <w:bottom w:val="nil"/>
          <w:right w:val="nil"/>
          <w:between w:val="nil"/>
        </w:pBdr>
        <w:spacing w:after="0" w:line="360" w:lineRule="auto"/>
        <w:rPr>
          <w:color w:val="000000"/>
        </w:rPr>
      </w:pPr>
      <w:r>
        <w:rPr>
          <w:color w:val="000000"/>
        </w:rPr>
        <w:t>El tiempo no es suficiente para atender la solicitud en la modalidad elegida, y</w:t>
      </w:r>
    </w:p>
    <w:p w14:paraId="26788738" w14:textId="77777777" w:rsidR="00BB2887" w:rsidRDefault="00B27581">
      <w:pPr>
        <w:numPr>
          <w:ilvl w:val="0"/>
          <w:numId w:val="8"/>
        </w:numPr>
        <w:pBdr>
          <w:top w:val="nil"/>
          <w:left w:val="nil"/>
          <w:bottom w:val="nil"/>
          <w:right w:val="nil"/>
          <w:between w:val="nil"/>
        </w:pBdr>
        <w:spacing w:after="0" w:line="360" w:lineRule="auto"/>
        <w:rPr>
          <w:color w:val="000000"/>
        </w:rPr>
      </w:pPr>
      <w:r>
        <w:rPr>
          <w:color w:val="000000"/>
        </w:rPr>
        <w:t>La cantidad de recursos humanos y materiales con los que cuenta el Sujeto Obligado son insuficientes.</w:t>
      </w:r>
    </w:p>
    <w:p w14:paraId="78E83540" w14:textId="77777777" w:rsidR="00BB2887" w:rsidRDefault="00BB2887">
      <w:pPr>
        <w:spacing w:after="0" w:line="360" w:lineRule="auto"/>
        <w:rPr>
          <w:color w:val="000000"/>
        </w:rPr>
      </w:pPr>
    </w:p>
    <w:p w14:paraId="7F4FC425" w14:textId="77777777" w:rsidR="00BB2887" w:rsidRDefault="00B27581">
      <w:pPr>
        <w:spacing w:after="0" w:line="360" w:lineRule="auto"/>
        <w:ind w:right="-28"/>
      </w:pPr>
      <w:r>
        <w:t xml:space="preserve">Además, es de señalar que el Órgano Garante Nacional, a través de diversas resoluciones de los Recursos de Inconformidad, entre las cuales se encuentran el RIA 136/20, RIA 140/20, RIA 153/20 RIA 237/20, RIA 257/20, RIA 258/20, entre otras, ha considerado que no resultaba suficiente justificar una imposibilidad técnica y humana para acreditar un cambio de modalidad, sino que era necesario demostrar otros impedimentos, como la cantidad y formato de la documentación, que fuera de imposible reproducción en el medio elegido por los solicitantes, que la información ameritara el cruce de información en los sistemas de datos, entre otros. </w:t>
      </w:r>
    </w:p>
    <w:p w14:paraId="3224AEDC" w14:textId="77777777" w:rsidR="00BB2887" w:rsidRDefault="00BB2887">
      <w:pPr>
        <w:spacing w:after="0" w:line="360" w:lineRule="auto"/>
        <w:ind w:right="-28"/>
      </w:pPr>
    </w:p>
    <w:p w14:paraId="44550BA8" w14:textId="77777777" w:rsidR="00BB2887" w:rsidRDefault="00B27581" w:rsidP="00C422BF">
      <w:pPr>
        <w:spacing w:after="0" w:line="360" w:lineRule="auto"/>
        <w:rPr>
          <w:color w:val="000000"/>
        </w:rPr>
      </w:pPr>
      <w:r>
        <w:t xml:space="preserve">Sobre dicha circunstancia, el Vigésimo Cuarto de los Lineamientos para la operación del Sistema de Acceso a la Información Mexiquense (SAIMEX) y del Sistema de Acceso, Rectificación, Cancelación y Oposición de Datos Personales del Estado de México </w:t>
      </w:r>
      <w:r>
        <w:lastRenderedPageBreak/>
        <w:t xml:space="preserve">(SARCOEM), establece que los sistemas electrónicos cuentan con una capacidad máxima de carga dentro del servidor con un peso total de </w:t>
      </w:r>
      <w:r>
        <w:rPr>
          <w:b/>
          <w:bCs/>
        </w:rPr>
        <w:t>quinientos megabytes</w:t>
      </w:r>
      <w:r>
        <w:t xml:space="preserve"> o su equivalente </w:t>
      </w:r>
      <w:r>
        <w:rPr>
          <w:u w:val="single"/>
        </w:rPr>
        <w:t xml:space="preserve">a </w:t>
      </w:r>
      <w:r>
        <w:rPr>
          <w:b/>
          <w:bCs/>
          <w:u w:val="single"/>
        </w:rPr>
        <w:t>ocho mil fojas</w:t>
      </w:r>
      <w:r w:rsidRPr="00C422BF">
        <w:t>.</w:t>
      </w:r>
      <w:r w:rsidR="00C422BF" w:rsidRPr="00C422BF">
        <w:t xml:space="preserve"> </w:t>
      </w:r>
      <w:r>
        <w:rPr>
          <w:color w:val="000000"/>
        </w:rPr>
        <w:t xml:space="preserve">Ahora bien, el Sujeto Obligado, señaló </w:t>
      </w:r>
      <w:r w:rsidR="00C422BF">
        <w:rPr>
          <w:color w:val="000000"/>
        </w:rPr>
        <w:t>q</w:t>
      </w:r>
      <w:r>
        <w:rPr>
          <w:color w:val="000000"/>
        </w:rPr>
        <w:t xml:space="preserve">ue la información sobrepasa las capacidades técnicas administrativas y humanas del Sujeto Obligado. </w:t>
      </w:r>
    </w:p>
    <w:p w14:paraId="0DAD0ECA" w14:textId="77777777" w:rsidR="00153D9A" w:rsidRPr="00153D9A" w:rsidRDefault="00153D9A" w:rsidP="00153D9A">
      <w:pPr>
        <w:pBdr>
          <w:top w:val="nil"/>
          <w:left w:val="nil"/>
          <w:bottom w:val="nil"/>
          <w:right w:val="nil"/>
          <w:between w:val="nil"/>
        </w:pBdr>
        <w:spacing w:after="0" w:line="360" w:lineRule="auto"/>
        <w:ind w:left="720"/>
        <w:rPr>
          <w:color w:val="000000"/>
        </w:rPr>
      </w:pPr>
    </w:p>
    <w:p w14:paraId="59E181BA" w14:textId="77777777" w:rsidR="00C6515F" w:rsidRPr="003067FB" w:rsidRDefault="00C6515F" w:rsidP="00C6515F">
      <w:pPr>
        <w:spacing w:after="0" w:line="360" w:lineRule="auto"/>
        <w:ind w:right="-28"/>
      </w:pPr>
      <w:r w:rsidRPr="003067FB">
        <w:t>Ahora bien, este Instituto considera que el Sujeto Obligado no fundamentó y motivó de manera correcta el impedimento que tenía para proporcionar la información, a través del SAIMEX, pues no indicó el número total de los comprobantes de pago solicitados; pues únicamente señaló que se localizaba en un cumulo de información, sin embargo, este Instituto considera que no realizó una búsqueda correcta de la información.</w:t>
      </w:r>
    </w:p>
    <w:p w14:paraId="3B3A9A02" w14:textId="77777777" w:rsidR="00C6515F" w:rsidRPr="003067FB" w:rsidRDefault="00C6515F" w:rsidP="00C6515F">
      <w:pPr>
        <w:spacing w:after="0" w:line="360" w:lineRule="auto"/>
        <w:ind w:right="-28"/>
      </w:pPr>
    </w:p>
    <w:p w14:paraId="5233059C" w14:textId="65E22094" w:rsidR="00C6515F" w:rsidRPr="003067FB" w:rsidRDefault="00C6515F" w:rsidP="00C6515F">
      <w:pPr>
        <w:spacing w:after="0" w:line="360" w:lineRule="auto"/>
        <w:ind w:right="-28"/>
      </w:pPr>
      <w:r w:rsidRPr="003067FB">
        <w:t xml:space="preserve">Pues la pretensión del ahora Recurrente no es obtener expedientes completos, pólizas contables con anexos, o bien, carpetas con todas las erogaciones, pues su única pretensión es obtener a los Comprobantes que haya recibido y pagado, en el </w:t>
      </w:r>
      <w:r>
        <w:t>año</w:t>
      </w:r>
      <w:r w:rsidRPr="003067FB">
        <w:t xml:space="preserve"> dos mil veinticinco  en las partidas </w:t>
      </w:r>
      <w:r w:rsidRPr="00C6515F">
        <w:t>3611</w:t>
      </w:r>
      <w:r>
        <w:t>,</w:t>
      </w:r>
      <w:r w:rsidRPr="00C6515F">
        <w:t xml:space="preserve"> 3612</w:t>
      </w:r>
      <w:r>
        <w:t>,</w:t>
      </w:r>
      <w:r w:rsidRPr="00C6515F">
        <w:t xml:space="preserve"> 3621</w:t>
      </w:r>
      <w:r>
        <w:t>,</w:t>
      </w:r>
      <w:r w:rsidRPr="00C6515F">
        <w:t xml:space="preserve"> 3651 </w:t>
      </w:r>
      <w:r>
        <w:t xml:space="preserve">y </w:t>
      </w:r>
      <w:r w:rsidRPr="00C6515F">
        <w:t>3661</w:t>
      </w:r>
      <w:r w:rsidRPr="003067FB">
        <w:t>.</w:t>
      </w:r>
    </w:p>
    <w:p w14:paraId="0A6B0512" w14:textId="77777777" w:rsidR="00C6515F" w:rsidRPr="003067FB" w:rsidRDefault="00C6515F" w:rsidP="00C6515F">
      <w:pPr>
        <w:spacing w:after="0" w:line="360" w:lineRule="auto"/>
        <w:ind w:right="-28"/>
      </w:pPr>
    </w:p>
    <w:p w14:paraId="46AE3D62" w14:textId="77777777" w:rsidR="00C6515F" w:rsidRDefault="00C6515F" w:rsidP="00C6515F">
      <w:pPr>
        <w:spacing w:after="0" w:line="360" w:lineRule="auto"/>
        <w:ind w:right="-28"/>
      </w:pPr>
      <w:r w:rsidRPr="003067FB">
        <w:t>Aunado a lo anterior, es de señalar que se consultó el Manual para la para la planeación, programación y presupuesto de egresos municipal para el ejercicio fiscal 2025, el cual identifica las partidas requeridas por el Particular de la siguiente manera:</w:t>
      </w:r>
    </w:p>
    <w:p w14:paraId="7A99D0E6" w14:textId="77777777" w:rsidR="00C6515F" w:rsidRDefault="00C6515F" w:rsidP="00C6515F">
      <w:pPr>
        <w:spacing w:after="0" w:line="360" w:lineRule="auto"/>
        <w:ind w:right="-28"/>
      </w:pPr>
    </w:p>
    <w:p w14:paraId="4E87FC3C" w14:textId="2A28C011" w:rsidR="005B2532" w:rsidRPr="003067FB" w:rsidRDefault="005B2532" w:rsidP="00C6515F">
      <w:pPr>
        <w:spacing w:after="0" w:line="360" w:lineRule="auto"/>
        <w:ind w:right="-28"/>
      </w:pPr>
      <w:r w:rsidRPr="005B2532">
        <w:rPr>
          <w:noProof/>
        </w:rPr>
        <w:drawing>
          <wp:inline distT="0" distB="0" distL="0" distR="0" wp14:anchorId="785D166D" wp14:editId="7B09CB24">
            <wp:extent cx="5671185" cy="1208405"/>
            <wp:effectExtent l="0" t="0" r="5715" b="0"/>
            <wp:docPr id="1340727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72753" name=""/>
                    <pic:cNvPicPr/>
                  </pic:nvPicPr>
                  <pic:blipFill>
                    <a:blip r:embed="rId9"/>
                    <a:stretch>
                      <a:fillRect/>
                    </a:stretch>
                  </pic:blipFill>
                  <pic:spPr>
                    <a:xfrm>
                      <a:off x="0" y="0"/>
                      <a:ext cx="5671185" cy="1208405"/>
                    </a:xfrm>
                    <a:prstGeom prst="rect">
                      <a:avLst/>
                    </a:prstGeom>
                  </pic:spPr>
                </pic:pic>
              </a:graphicData>
            </a:graphic>
          </wp:inline>
        </w:drawing>
      </w:r>
    </w:p>
    <w:p w14:paraId="3098DBB9" w14:textId="77777777" w:rsidR="00C6515F" w:rsidRPr="003067FB" w:rsidRDefault="00C6515F" w:rsidP="00C6515F">
      <w:pPr>
        <w:spacing w:after="0" w:line="360" w:lineRule="auto"/>
        <w:ind w:right="-28"/>
      </w:pPr>
      <w:r w:rsidRPr="003067FB">
        <w:t>…</w:t>
      </w:r>
    </w:p>
    <w:p w14:paraId="73320FE9" w14:textId="0A27F0CF" w:rsidR="00C6515F" w:rsidRDefault="005B2532" w:rsidP="00C6515F">
      <w:pPr>
        <w:spacing w:after="0" w:line="360" w:lineRule="auto"/>
        <w:ind w:right="-28"/>
      </w:pPr>
      <w:r w:rsidRPr="005B2532">
        <w:rPr>
          <w:noProof/>
        </w:rPr>
        <w:drawing>
          <wp:inline distT="0" distB="0" distL="0" distR="0" wp14:anchorId="394DE4EE" wp14:editId="1A45AE5C">
            <wp:extent cx="5671185" cy="257175"/>
            <wp:effectExtent l="0" t="0" r="5715" b="9525"/>
            <wp:docPr id="2198003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00370" name=""/>
                    <pic:cNvPicPr/>
                  </pic:nvPicPr>
                  <pic:blipFill>
                    <a:blip r:embed="rId10"/>
                    <a:stretch>
                      <a:fillRect/>
                    </a:stretch>
                  </pic:blipFill>
                  <pic:spPr>
                    <a:xfrm>
                      <a:off x="0" y="0"/>
                      <a:ext cx="5671185" cy="257175"/>
                    </a:xfrm>
                    <a:prstGeom prst="rect">
                      <a:avLst/>
                    </a:prstGeom>
                  </pic:spPr>
                </pic:pic>
              </a:graphicData>
            </a:graphic>
          </wp:inline>
        </w:drawing>
      </w:r>
    </w:p>
    <w:p w14:paraId="489B199F" w14:textId="166DB05B" w:rsidR="005B2532" w:rsidRDefault="005B2532" w:rsidP="00C6515F">
      <w:pPr>
        <w:spacing w:after="0" w:line="360" w:lineRule="auto"/>
        <w:ind w:right="-28"/>
      </w:pPr>
      <w:r>
        <w:lastRenderedPageBreak/>
        <w:t>…</w:t>
      </w:r>
    </w:p>
    <w:p w14:paraId="47121E93" w14:textId="153921F9" w:rsidR="005B2532" w:rsidRDefault="005B2532" w:rsidP="00C6515F">
      <w:pPr>
        <w:spacing w:after="0" w:line="360" w:lineRule="auto"/>
        <w:ind w:right="-28"/>
      </w:pPr>
      <w:r w:rsidRPr="005B2532">
        <w:rPr>
          <w:noProof/>
        </w:rPr>
        <w:drawing>
          <wp:inline distT="0" distB="0" distL="0" distR="0" wp14:anchorId="4BD90068" wp14:editId="2AD85750">
            <wp:extent cx="5671185" cy="239395"/>
            <wp:effectExtent l="0" t="0" r="5715" b="8255"/>
            <wp:docPr id="18164273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427330" name=""/>
                    <pic:cNvPicPr/>
                  </pic:nvPicPr>
                  <pic:blipFill>
                    <a:blip r:embed="rId11"/>
                    <a:stretch>
                      <a:fillRect/>
                    </a:stretch>
                  </pic:blipFill>
                  <pic:spPr>
                    <a:xfrm>
                      <a:off x="0" y="0"/>
                      <a:ext cx="5671185" cy="239395"/>
                    </a:xfrm>
                    <a:prstGeom prst="rect">
                      <a:avLst/>
                    </a:prstGeom>
                  </pic:spPr>
                </pic:pic>
              </a:graphicData>
            </a:graphic>
          </wp:inline>
        </w:drawing>
      </w:r>
    </w:p>
    <w:p w14:paraId="65A67865" w14:textId="22097699" w:rsidR="005B2532" w:rsidRPr="003067FB" w:rsidRDefault="005B2532" w:rsidP="00C6515F">
      <w:pPr>
        <w:spacing w:after="0" w:line="360" w:lineRule="auto"/>
        <w:ind w:right="-28"/>
      </w:pPr>
      <w:r>
        <w:t>…</w:t>
      </w:r>
    </w:p>
    <w:p w14:paraId="62995754" w14:textId="2F608F65" w:rsidR="00C6515F" w:rsidRDefault="005B2532" w:rsidP="00C6515F">
      <w:pPr>
        <w:spacing w:after="0" w:line="360" w:lineRule="auto"/>
      </w:pPr>
      <w:r w:rsidRPr="005B2532">
        <w:rPr>
          <w:noProof/>
        </w:rPr>
        <w:drawing>
          <wp:inline distT="0" distB="0" distL="0" distR="0" wp14:anchorId="2669D90E" wp14:editId="4CB43208">
            <wp:extent cx="5671185" cy="222885"/>
            <wp:effectExtent l="0" t="0" r="5715" b="5715"/>
            <wp:docPr id="11049406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940620" name=""/>
                    <pic:cNvPicPr/>
                  </pic:nvPicPr>
                  <pic:blipFill>
                    <a:blip r:embed="rId12"/>
                    <a:stretch>
                      <a:fillRect/>
                    </a:stretch>
                  </pic:blipFill>
                  <pic:spPr>
                    <a:xfrm>
                      <a:off x="0" y="0"/>
                      <a:ext cx="5671185" cy="222885"/>
                    </a:xfrm>
                    <a:prstGeom prst="rect">
                      <a:avLst/>
                    </a:prstGeom>
                  </pic:spPr>
                </pic:pic>
              </a:graphicData>
            </a:graphic>
          </wp:inline>
        </w:drawing>
      </w:r>
    </w:p>
    <w:p w14:paraId="1420BE31" w14:textId="77777777" w:rsidR="005B2532" w:rsidRPr="003067FB" w:rsidRDefault="005B2532" w:rsidP="00C6515F">
      <w:pPr>
        <w:spacing w:after="0" w:line="360" w:lineRule="auto"/>
      </w:pPr>
    </w:p>
    <w:p w14:paraId="2FB80AC2" w14:textId="47C50B63" w:rsidR="00C6515F" w:rsidRPr="003067FB" w:rsidRDefault="00C6515F" w:rsidP="00C6515F">
      <w:pPr>
        <w:spacing w:after="0" w:line="360" w:lineRule="auto"/>
      </w:pPr>
      <w:r w:rsidRPr="003067FB">
        <w:t xml:space="preserve">Derivado de lo anterior, se advierte que es muy </w:t>
      </w:r>
      <w:r w:rsidR="005B2532" w:rsidRPr="003067FB">
        <w:t>específico</w:t>
      </w:r>
      <w:r w:rsidRPr="003067FB">
        <w:t xml:space="preserve"> el gasto del cual requiere la información el Particular, por lo que el Sujeto obligado debió identificar de manera clara la información requerida, </w:t>
      </w:r>
      <w:r w:rsidR="005B2532">
        <w:t>es decir de los comprobantes de pago que</w:t>
      </w:r>
      <w:r w:rsidRPr="003067FB">
        <w:t xml:space="preserve"> acreditan la erogación de recursos públicos en temporalidad y partidas </w:t>
      </w:r>
      <w:r w:rsidR="005B2532" w:rsidRPr="003067FB">
        <w:t>específicas</w:t>
      </w:r>
      <w:r w:rsidRPr="003067FB">
        <w:t>.</w:t>
      </w:r>
    </w:p>
    <w:p w14:paraId="428174C4" w14:textId="77777777" w:rsidR="00C6515F" w:rsidRPr="003067FB" w:rsidRDefault="00C6515F" w:rsidP="00C6515F">
      <w:pPr>
        <w:spacing w:after="0" w:line="360" w:lineRule="auto"/>
      </w:pPr>
    </w:p>
    <w:p w14:paraId="7B695732" w14:textId="77777777" w:rsidR="00C6515F" w:rsidRPr="003067FB" w:rsidRDefault="00C6515F" w:rsidP="00C6515F">
      <w:pPr>
        <w:spacing w:after="0" w:line="360" w:lineRule="auto"/>
      </w:pPr>
      <w:r w:rsidRPr="003067FB">
        <w:t>En otras palabras, el Sujeto Obligado no realizó una búsqueda exhaustiva y razonable en sus archivos; pues únicamente refirió el universo de información donde se localizaba, sin que haya realizado una indagación adecuada.</w:t>
      </w:r>
    </w:p>
    <w:p w14:paraId="13430AC2" w14:textId="77777777" w:rsidR="00C6515F" w:rsidRPr="003067FB" w:rsidRDefault="00C6515F" w:rsidP="00C6515F">
      <w:pPr>
        <w:spacing w:after="0" w:line="360" w:lineRule="auto"/>
      </w:pPr>
    </w:p>
    <w:p w14:paraId="6F1A8245" w14:textId="77777777" w:rsidR="00C6515F" w:rsidRPr="003067FB" w:rsidRDefault="00C6515F" w:rsidP="00C6515F">
      <w:pPr>
        <w:spacing w:line="360" w:lineRule="auto"/>
        <w:contextualSpacing/>
      </w:pPr>
      <w:r w:rsidRPr="003067FB">
        <w:t>Conforme a lo anterior, para poder acreditar el carácter exhaustivo de la búsqueda realizada por los Sujetos Obligados, se deben motivar las razones por las que se buscó la información en determinadas áreas</w:t>
      </w:r>
      <w:r w:rsidRPr="003067FB">
        <w:rPr>
          <w:b/>
        </w:rPr>
        <w:t>, los criterios de búsqueda utilizados y demás circunstancias que fueron tomadas en cuenta</w:t>
      </w:r>
      <w:r w:rsidRPr="003067FB">
        <w:t>.</w:t>
      </w:r>
    </w:p>
    <w:p w14:paraId="67048461" w14:textId="77777777" w:rsidR="00C6515F" w:rsidRPr="003067FB" w:rsidRDefault="00C6515F" w:rsidP="00C6515F">
      <w:pPr>
        <w:spacing w:line="360" w:lineRule="auto"/>
        <w:contextualSpacing/>
      </w:pPr>
    </w:p>
    <w:p w14:paraId="33576C0F" w14:textId="77777777" w:rsidR="00C6515F" w:rsidRPr="003067FB" w:rsidRDefault="00C6515F" w:rsidP="00C6515F">
      <w:pPr>
        <w:spacing w:line="360" w:lineRule="auto"/>
        <w:contextualSpacing/>
      </w:pPr>
      <w:r w:rsidRPr="003067FB">
        <w:t xml:space="preserve">En ese contexto, de conformidad con los criterios con clave de control SO/012/2010 y SO/004/2019, emitidos por el Instituto Nacional de Transparencia, Acceso a la Información y Protección de Datos Personales, traídos por analogía, se colige que los sujetos obligados para acreditar que se realizó una búsqueda exhaustiva y razonable, deben de proporcionar los elementos suficientes del carácter exhaustivo de la indagación realizada, a saber, los siguientes: </w:t>
      </w:r>
    </w:p>
    <w:p w14:paraId="3BD947BA" w14:textId="77777777" w:rsidR="00C6515F" w:rsidRPr="003067FB" w:rsidRDefault="00C6515F" w:rsidP="00C6515F">
      <w:pPr>
        <w:spacing w:line="360" w:lineRule="auto"/>
        <w:contextualSpacing/>
      </w:pPr>
    </w:p>
    <w:p w14:paraId="19A180F7" w14:textId="77777777" w:rsidR="00C6515F" w:rsidRPr="003067FB" w:rsidRDefault="00C6515F" w:rsidP="00C6515F">
      <w:pPr>
        <w:numPr>
          <w:ilvl w:val="0"/>
          <w:numId w:val="13"/>
        </w:numPr>
        <w:spacing w:after="0" w:line="360" w:lineRule="auto"/>
        <w:contextualSpacing/>
      </w:pPr>
      <w:r w:rsidRPr="003067FB">
        <w:lastRenderedPageBreak/>
        <w:t>Motivación por las que se buscó la información, en determinadas unidades administrativas;</w:t>
      </w:r>
    </w:p>
    <w:p w14:paraId="63DD47C3" w14:textId="77777777" w:rsidR="00C6515F" w:rsidRPr="003067FB" w:rsidRDefault="00C6515F" w:rsidP="00C6515F">
      <w:pPr>
        <w:numPr>
          <w:ilvl w:val="0"/>
          <w:numId w:val="13"/>
        </w:numPr>
        <w:spacing w:after="0" w:line="360" w:lineRule="auto"/>
        <w:contextualSpacing/>
      </w:pPr>
      <w:r w:rsidRPr="003067FB">
        <w:t>Los criterios de búsqueda utilizados, y</w:t>
      </w:r>
    </w:p>
    <w:p w14:paraId="3B170158" w14:textId="77777777" w:rsidR="00C6515F" w:rsidRPr="003067FB" w:rsidRDefault="00C6515F" w:rsidP="00C6515F">
      <w:pPr>
        <w:numPr>
          <w:ilvl w:val="0"/>
          <w:numId w:val="13"/>
        </w:numPr>
        <w:spacing w:after="0" w:line="360" w:lineRule="auto"/>
        <w:contextualSpacing/>
      </w:pPr>
      <w:r w:rsidRPr="003067FB">
        <w:t xml:space="preserve">Las circunstancias que fueron tomadas en cuenta. </w:t>
      </w:r>
    </w:p>
    <w:p w14:paraId="7C9B7052" w14:textId="77777777" w:rsidR="00C6515F" w:rsidRPr="003067FB" w:rsidRDefault="00C6515F" w:rsidP="00C6515F">
      <w:pPr>
        <w:spacing w:after="0" w:line="360" w:lineRule="auto"/>
        <w:ind w:left="720"/>
        <w:contextualSpacing/>
      </w:pPr>
    </w:p>
    <w:p w14:paraId="7230F472" w14:textId="77777777" w:rsidR="00C6515F" w:rsidRPr="003067FB" w:rsidRDefault="00C6515F" w:rsidP="00C6515F">
      <w:pPr>
        <w:spacing w:line="360" w:lineRule="auto"/>
        <w:contextualSpacing/>
      </w:pPr>
      <w:r w:rsidRPr="003067FB">
        <w:t>De tales circunstancias, se considera que para que los Sujetos Obligado justifiquen que realizaron una búsqueda exhaustiva y razonable, deben indicar de manera clara, lo siguiente:</w:t>
      </w:r>
    </w:p>
    <w:p w14:paraId="5B1EA097" w14:textId="77777777" w:rsidR="00C6515F" w:rsidRPr="003067FB" w:rsidRDefault="00C6515F" w:rsidP="00C6515F">
      <w:pPr>
        <w:spacing w:line="360" w:lineRule="auto"/>
        <w:contextualSpacing/>
      </w:pPr>
    </w:p>
    <w:p w14:paraId="41039F57" w14:textId="77777777" w:rsidR="00C6515F" w:rsidRPr="003067FB" w:rsidRDefault="00C6515F" w:rsidP="00C6515F">
      <w:pPr>
        <w:numPr>
          <w:ilvl w:val="0"/>
          <w:numId w:val="14"/>
        </w:numPr>
        <w:spacing w:after="0" w:line="360" w:lineRule="auto"/>
        <w:contextualSpacing/>
      </w:pPr>
      <w:r w:rsidRPr="003067FB">
        <w:t xml:space="preserve">Las áreas donde se buscó la información; </w:t>
      </w:r>
    </w:p>
    <w:p w14:paraId="4304A851" w14:textId="77777777" w:rsidR="00C6515F" w:rsidRPr="003067FB" w:rsidRDefault="00C6515F" w:rsidP="00C6515F">
      <w:pPr>
        <w:numPr>
          <w:ilvl w:val="0"/>
          <w:numId w:val="14"/>
        </w:numPr>
        <w:spacing w:after="0" w:line="360" w:lineRule="auto"/>
        <w:contextualSpacing/>
      </w:pPr>
      <w:r w:rsidRPr="003067FB">
        <w:t xml:space="preserve">Tipo de archivos buscados (físicos o electrónicos); </w:t>
      </w:r>
    </w:p>
    <w:p w14:paraId="24BA11DB" w14:textId="77777777" w:rsidR="00C6515F" w:rsidRPr="003067FB" w:rsidRDefault="00C6515F" w:rsidP="00C6515F">
      <w:pPr>
        <w:numPr>
          <w:ilvl w:val="0"/>
          <w:numId w:val="14"/>
        </w:numPr>
        <w:spacing w:after="0" w:line="360" w:lineRule="auto"/>
        <w:contextualSpacing/>
      </w:pPr>
      <w:r w:rsidRPr="003067FB">
        <w:t xml:space="preserve">Los criterios de búsqueda utilizados, y </w:t>
      </w:r>
    </w:p>
    <w:p w14:paraId="114BBDA7" w14:textId="77777777" w:rsidR="00C6515F" w:rsidRPr="003067FB" w:rsidRDefault="00C6515F" w:rsidP="00C6515F">
      <w:pPr>
        <w:numPr>
          <w:ilvl w:val="0"/>
          <w:numId w:val="14"/>
        </w:numPr>
        <w:spacing w:after="0" w:line="360" w:lineRule="auto"/>
        <w:contextualSpacing/>
      </w:pPr>
      <w:r w:rsidRPr="003067FB">
        <w:t>Las circunstancias que fueron tomadas en cuenta.</w:t>
      </w:r>
    </w:p>
    <w:p w14:paraId="21B760E6" w14:textId="77777777" w:rsidR="00C6515F" w:rsidRPr="003067FB" w:rsidRDefault="00C6515F" w:rsidP="00C6515F">
      <w:pPr>
        <w:spacing w:after="0" w:line="360" w:lineRule="auto"/>
      </w:pPr>
    </w:p>
    <w:p w14:paraId="130D17FF" w14:textId="7D52B8E2" w:rsidR="00C6515F" w:rsidRPr="003067FB" w:rsidRDefault="00C6515F" w:rsidP="00C6515F">
      <w:pPr>
        <w:spacing w:after="0" w:line="360" w:lineRule="auto"/>
      </w:pPr>
      <w:r w:rsidRPr="003067FB">
        <w:t xml:space="preserve">Conforme a lo anterior, el Sujeto Obligado no señaló en </w:t>
      </w:r>
      <w:r w:rsidR="005B2532" w:rsidRPr="003067FB">
        <w:t>qué</w:t>
      </w:r>
      <w:r w:rsidRPr="003067FB">
        <w:t xml:space="preserve"> tipo de archivos busco, ni los criterios o circunstancias tomadas en cuenta pues únicamente señaló </w:t>
      </w:r>
      <w:r w:rsidR="005B2532">
        <w:t xml:space="preserve">que era excesiva </w:t>
      </w:r>
      <w:r w:rsidRPr="003067FB">
        <w:t xml:space="preserve">información donde se localizaba, sin señalar cuantos comprobantes se habían emitido; lo cual toma relevancia, pues se pudo realizar una búsqueda en el diario general de pólizas o estados de cuenta bancarios, para verificar en </w:t>
      </w:r>
      <w:proofErr w:type="spellStart"/>
      <w:r w:rsidRPr="003067FB">
        <w:t>que</w:t>
      </w:r>
      <w:proofErr w:type="spellEnd"/>
      <w:r w:rsidRPr="003067FB">
        <w:t xml:space="preserve"> momento se había erogado sobre la temporalidad y partidas requeridas.</w:t>
      </w:r>
    </w:p>
    <w:p w14:paraId="785E4D34" w14:textId="77777777" w:rsidR="00C6515F" w:rsidRPr="003067FB" w:rsidRDefault="00C6515F" w:rsidP="00C6515F">
      <w:pPr>
        <w:spacing w:after="0" w:line="360" w:lineRule="auto"/>
      </w:pPr>
    </w:p>
    <w:p w14:paraId="54C4AD3D" w14:textId="77777777" w:rsidR="00C6515F" w:rsidRPr="003067FB" w:rsidRDefault="00C6515F" w:rsidP="00C6515F">
      <w:pPr>
        <w:spacing w:after="0" w:line="360" w:lineRule="auto"/>
        <w:ind w:right="-28"/>
        <w:contextualSpacing/>
        <w:rPr>
          <w:rFonts w:eastAsia="Calibri" w:cs="Tahoma"/>
          <w:b/>
          <w:bCs/>
          <w:iCs/>
          <w:lang w:val="es-ES" w:eastAsia="es-ES_tradnl"/>
        </w:rPr>
      </w:pPr>
      <w:r w:rsidRPr="003067FB">
        <w:rPr>
          <w:rFonts w:eastAsia="Calibri" w:cs="Tahoma"/>
          <w:iCs/>
          <w:lang w:val="es-ES" w:eastAsia="es-ES_tradnl"/>
        </w:rPr>
        <w:t xml:space="preserve">En otras palabras, se logra vislumbrar que el Sujeto Obligado no atendió de manera correcta la solicitud de acceso a la información y no se tiene certeza de que dicha información que puso a disposición tanto en respuesta, como Informe Justificado, dé cuenta de lo solicitado, toda vez que lo puesto a disposición no corresponde a la información específica requerida, lo cual da como resultado que el agravio sea </w:t>
      </w:r>
      <w:r w:rsidRPr="003067FB">
        <w:rPr>
          <w:rFonts w:eastAsia="Calibri" w:cs="Tahoma"/>
          <w:b/>
          <w:bCs/>
          <w:iCs/>
          <w:lang w:val="es-ES" w:eastAsia="es-ES_tradnl"/>
        </w:rPr>
        <w:t>FUNDADO.</w:t>
      </w:r>
    </w:p>
    <w:p w14:paraId="1836E5FD" w14:textId="77777777" w:rsidR="00C6515F" w:rsidRDefault="00C6515F" w:rsidP="00C6515F">
      <w:pPr>
        <w:spacing w:after="0" w:line="360" w:lineRule="auto"/>
        <w:ind w:right="-28"/>
        <w:contextualSpacing/>
        <w:rPr>
          <w:rFonts w:eastAsia="Calibri" w:cs="Tahoma"/>
          <w:b/>
          <w:bCs/>
          <w:iCs/>
          <w:lang w:val="es-ES" w:eastAsia="es-ES_tradnl"/>
        </w:rPr>
      </w:pPr>
    </w:p>
    <w:p w14:paraId="59802AE2" w14:textId="368B2938" w:rsidR="007C2910" w:rsidRDefault="007C2910" w:rsidP="007C2910">
      <w:pPr>
        <w:spacing w:after="0" w:line="360" w:lineRule="auto"/>
      </w:pPr>
      <w:r>
        <w:lastRenderedPageBreak/>
        <w:t>Lo cual toma relevancia, pues este Instituto localizó el PbRM-04c Presupuesto de Egresos Global Calendarizado, del Sujeto Obligado, para el ejercicio fiscal dos mil veinticinco, del cual se logra vislumbrar que el Sujeto Obligado asigno recursos para las partidas 3611 y 3612 y no realizó asignación alguna para las diversas 3621, 3651 y 3661, tal como se logra vislumbrar a continuación:</w:t>
      </w:r>
    </w:p>
    <w:p w14:paraId="3DD5B2C9" w14:textId="77777777" w:rsidR="007C2910" w:rsidRDefault="007C2910" w:rsidP="007C2910">
      <w:pPr>
        <w:spacing w:after="0" w:line="360" w:lineRule="auto"/>
      </w:pPr>
    </w:p>
    <w:p w14:paraId="3050DF87" w14:textId="75AC937B" w:rsidR="007C2910" w:rsidRPr="007C2910" w:rsidRDefault="007C2910" w:rsidP="007C2910">
      <w:pPr>
        <w:spacing w:after="0" w:line="360" w:lineRule="auto"/>
        <w:jc w:val="center"/>
      </w:pPr>
      <w:r w:rsidRPr="007C2910">
        <w:rPr>
          <w:noProof/>
        </w:rPr>
        <w:drawing>
          <wp:inline distT="0" distB="0" distL="0" distR="0" wp14:anchorId="20B0FA29" wp14:editId="4079A846">
            <wp:extent cx="4734586" cy="2581635"/>
            <wp:effectExtent l="0" t="0" r="8890" b="9525"/>
            <wp:docPr id="5980278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27895" name=""/>
                    <pic:cNvPicPr/>
                  </pic:nvPicPr>
                  <pic:blipFill>
                    <a:blip r:embed="rId13"/>
                    <a:stretch>
                      <a:fillRect/>
                    </a:stretch>
                  </pic:blipFill>
                  <pic:spPr>
                    <a:xfrm>
                      <a:off x="0" y="0"/>
                      <a:ext cx="4734586" cy="2581635"/>
                    </a:xfrm>
                    <a:prstGeom prst="rect">
                      <a:avLst/>
                    </a:prstGeom>
                  </pic:spPr>
                </pic:pic>
              </a:graphicData>
            </a:graphic>
          </wp:inline>
        </w:drawing>
      </w:r>
    </w:p>
    <w:p w14:paraId="60FD10EC" w14:textId="77777777" w:rsidR="007C2910" w:rsidRPr="007C2910" w:rsidRDefault="007C2910" w:rsidP="00C6515F">
      <w:pPr>
        <w:spacing w:after="0" w:line="360" w:lineRule="auto"/>
        <w:ind w:right="-28"/>
        <w:contextualSpacing/>
        <w:rPr>
          <w:rFonts w:eastAsia="Calibri" w:cs="Tahoma"/>
          <w:b/>
          <w:bCs/>
          <w:iCs/>
          <w:lang w:eastAsia="es-ES_tradnl"/>
        </w:rPr>
      </w:pPr>
    </w:p>
    <w:p w14:paraId="0D21D2CF" w14:textId="77777777" w:rsidR="00C6515F" w:rsidRPr="003067FB" w:rsidRDefault="00C6515F" w:rsidP="00C6515F">
      <w:pPr>
        <w:spacing w:after="0" w:line="360" w:lineRule="auto"/>
      </w:pPr>
      <w:r w:rsidRPr="003067FB">
        <w:t xml:space="preserve">Por lo que para atender los requerimientos de información, el Sujeto Obligado deberá realizar una búsqueda exhaustiva y razonable en los archivos de todas sus áreas competentes, a efecto que proporcione </w:t>
      </w:r>
      <w:r w:rsidRPr="003067FB">
        <w:rPr>
          <w:rFonts w:cs="Tahoma"/>
        </w:rPr>
        <w:t>los comprobantes de pago requeridos,</w:t>
      </w:r>
      <w:r w:rsidRPr="003067FB">
        <w:rPr>
          <w:rFonts w:eastAsia="Times New Roman" w:cs="Tahoma"/>
          <w:iCs/>
          <w:lang w:eastAsia="es-ES"/>
        </w:rPr>
        <w:t xml:space="preserve"> </w:t>
      </w:r>
      <w:r w:rsidRPr="003067FB">
        <w:t>dicha situación, toma sustento en el artículo 12 de la Ley de Transparencia y Acceso a la Información Pública del Estado de México y Municipios, que establece que los sujetos obligados sólo están constreñidos a proporcionar la información pública que obre en sus archivos, en el estado en que esta se encuentre; por lo que, la entrega no comprende el procesamiento de la misma, ni presentarla conforme al interés del Solicitante.</w:t>
      </w:r>
    </w:p>
    <w:p w14:paraId="65A11601" w14:textId="77777777" w:rsidR="00C6515F" w:rsidRPr="003067FB" w:rsidRDefault="00C6515F" w:rsidP="00C6515F">
      <w:pPr>
        <w:spacing w:after="0" w:line="360" w:lineRule="auto"/>
      </w:pPr>
    </w:p>
    <w:p w14:paraId="6FD61727" w14:textId="77777777" w:rsidR="00C6515F" w:rsidRPr="003067FB" w:rsidRDefault="00C6515F" w:rsidP="00C6515F">
      <w:pPr>
        <w:spacing w:after="0" w:line="360" w:lineRule="auto"/>
      </w:pPr>
      <w:r w:rsidRPr="003067FB">
        <w:lastRenderedPageBreak/>
        <w:t xml:space="preserve">De esta manera, el derecho de acceso a la información pública se satisface en aquellos casos en que se entregue el soporte documental en el que conste la información solicitada, sin necesidad de elaborar documentos </w:t>
      </w:r>
      <w:r w:rsidRPr="003067FB">
        <w:rPr>
          <w:i/>
          <w:iCs/>
        </w:rPr>
        <w:t>ad hoc</w:t>
      </w:r>
      <w:r w:rsidRPr="003067FB">
        <w:t>; lo cual, de conformidad con en el artículo 160 de la Ley de Transparencia y Acceso a la Información Pública del Estado de México y Municipios, el cual refiere que los sujetos obligados deberán entregar la información que obre en sus archivos.</w:t>
      </w:r>
    </w:p>
    <w:p w14:paraId="03431780" w14:textId="77777777" w:rsidR="00C6515F" w:rsidRPr="003067FB" w:rsidRDefault="00C6515F" w:rsidP="00C6515F">
      <w:pPr>
        <w:spacing w:after="0" w:line="360" w:lineRule="auto"/>
      </w:pPr>
    </w:p>
    <w:p w14:paraId="2C7BBFA8" w14:textId="0E4F5429" w:rsidR="007C2910" w:rsidRDefault="00C6515F" w:rsidP="00C6515F">
      <w:pPr>
        <w:spacing w:after="0" w:line="360" w:lineRule="auto"/>
      </w:pPr>
      <w:r w:rsidRPr="003067FB">
        <w:t>De tales circunstancias, se concluye que los sujetos obligados únicamente se encuentran constreñidos a proporcionar los documentos que den cuenta de la información solicitada, como obren en sus archivos, sin tener que elaborarlos a las necesidades del Recurrente</w:t>
      </w:r>
      <w:r w:rsidR="007C2910">
        <w:t>; por lo que, deberá entregar los documentos que den cuenta de la información solicitada.</w:t>
      </w:r>
    </w:p>
    <w:p w14:paraId="39CE71F7" w14:textId="77777777" w:rsidR="007C2910" w:rsidRDefault="007C2910" w:rsidP="00C6515F">
      <w:pPr>
        <w:spacing w:after="0" w:line="360" w:lineRule="auto"/>
      </w:pPr>
    </w:p>
    <w:p w14:paraId="64F7B9BC" w14:textId="795DA44B" w:rsidR="007C2910" w:rsidRDefault="007C2910" w:rsidP="00C6515F">
      <w:pPr>
        <w:spacing w:after="0" w:line="360" w:lineRule="auto"/>
      </w:pPr>
      <w:r>
        <w:t>Ahora bien, para el caso de que no haya erogado recursos para alguna de las partidas presupuestales solicitadas, deberá hacerlo del conocimiento de la parte Recurrente de manera clara y precisa, en términos del artículo 19, párrafo segundo, de la Ley de Transparencia y Acceso a la Información Pública del Estado de México y Municipios.</w:t>
      </w:r>
    </w:p>
    <w:p w14:paraId="46843F3E" w14:textId="77777777" w:rsidR="007C2910" w:rsidRDefault="007C2910" w:rsidP="00C6515F">
      <w:pPr>
        <w:spacing w:after="0" w:line="360" w:lineRule="auto"/>
      </w:pPr>
    </w:p>
    <w:p w14:paraId="3FE9455E" w14:textId="0E9D604E" w:rsidR="00C6515F" w:rsidRPr="003067FB" w:rsidRDefault="00C6515F" w:rsidP="00C6515F">
      <w:pPr>
        <w:spacing w:after="0" w:line="360" w:lineRule="auto"/>
      </w:pPr>
      <w:r w:rsidRPr="003067FB">
        <w:t xml:space="preserve">Finalmente, este Instituto considera que los documentos que den cuenta de lo solicitado, pudieran contar con datos o información clasificada tales como Clave Única de Registro de Población, Registro Federal de Contribuyentes del servidor público, números de cuenta bancaria (proveedores, servidores públicos o particulares), entre otros, por lo que, en el caso, deberá elaborar la versión pública respectiva; al respecto, conforme al artículo 3°, fracción XLV, relacionado con el 137, ambos de la Ley de Transparencia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w:t>
      </w:r>
      <w:r w:rsidRPr="003067FB">
        <w:lastRenderedPageBreak/>
        <w:t>clasificadas, indicando su contenido de manera genérica y fundando y motivando su clasificación.</w:t>
      </w:r>
    </w:p>
    <w:p w14:paraId="73170602" w14:textId="77777777" w:rsidR="00C6515F" w:rsidRPr="003067FB" w:rsidRDefault="00C6515F" w:rsidP="00C6515F">
      <w:pPr>
        <w:spacing w:after="0" w:line="360" w:lineRule="auto"/>
      </w:pPr>
    </w:p>
    <w:p w14:paraId="554E69EB" w14:textId="77777777" w:rsidR="00C6515F" w:rsidRPr="003067FB" w:rsidRDefault="00C6515F" w:rsidP="00C6515F">
      <w:pPr>
        <w:spacing w:after="0" w:line="360" w:lineRule="auto"/>
      </w:pPr>
      <w:r w:rsidRPr="003067FB">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11850E45" w14:textId="77777777" w:rsidR="00C6515F" w:rsidRDefault="00C6515F">
      <w:pPr>
        <w:spacing w:after="0" w:line="360" w:lineRule="auto"/>
        <w:ind w:right="-28"/>
      </w:pPr>
    </w:p>
    <w:p w14:paraId="6B746C2E" w14:textId="77777777" w:rsidR="00BB2887" w:rsidRDefault="00B27581">
      <w:pPr>
        <w:pStyle w:val="Ttulo2"/>
        <w:spacing w:before="0" w:after="0" w:line="360" w:lineRule="auto"/>
        <w:rPr>
          <w:color w:val="000000"/>
          <w:sz w:val="22"/>
          <w:szCs w:val="22"/>
        </w:rPr>
      </w:pPr>
      <w:bookmarkStart w:id="16" w:name="_Toc235114066"/>
      <w:r>
        <w:rPr>
          <w:color w:val="000000"/>
          <w:sz w:val="22"/>
          <w:szCs w:val="22"/>
        </w:rPr>
        <w:t>SEXTO. Decisión</w:t>
      </w:r>
      <w:bookmarkEnd w:id="16"/>
    </w:p>
    <w:p w14:paraId="6C6715AC" w14:textId="77777777" w:rsidR="00BB2887" w:rsidRDefault="00BB2887">
      <w:pPr>
        <w:spacing w:after="0" w:line="360" w:lineRule="auto"/>
        <w:rPr>
          <w:b/>
          <w:bCs/>
          <w:color w:val="000000"/>
        </w:rPr>
      </w:pPr>
    </w:p>
    <w:p w14:paraId="49B75627" w14:textId="794FBD1A" w:rsidR="00BB2887" w:rsidRDefault="00B27581">
      <w:pPr>
        <w:spacing w:after="0" w:line="360" w:lineRule="auto"/>
        <w:rPr>
          <w:color w:val="000000"/>
        </w:rPr>
      </w:pPr>
      <w:r>
        <w:rPr>
          <w:color w:val="000000"/>
        </w:rPr>
        <w:t xml:space="preserve">Con fundamento en el artículo 186, fracción III, de la Ley de Transparencia y Acceso a la Información Pública del Estado de México y Municipios, este Instituto considera procedente </w:t>
      </w:r>
      <w:r>
        <w:rPr>
          <w:b/>
          <w:bCs/>
          <w:color w:val="000000"/>
        </w:rPr>
        <w:t>REVOCAR</w:t>
      </w:r>
      <w:r>
        <w:rPr>
          <w:color w:val="000000"/>
        </w:rPr>
        <w:t xml:space="preserve"> la respuesta otorgada por el Sujeto Obligado a la solicitud de información </w:t>
      </w:r>
      <w:r w:rsidR="005B2532" w:rsidRPr="005B2532">
        <w:rPr>
          <w:color w:val="000000"/>
        </w:rPr>
        <w:t>00425/TECAMAC/IP/2026</w:t>
      </w:r>
      <w:r>
        <w:rPr>
          <w:color w:val="000000"/>
        </w:rPr>
        <w:t>, a efecto de que entreg</w:t>
      </w:r>
      <w:r w:rsidR="00E8482D">
        <w:rPr>
          <w:color w:val="000000"/>
        </w:rPr>
        <w:t>ue</w:t>
      </w:r>
      <w:r>
        <w:rPr>
          <w:color w:val="000000"/>
        </w:rPr>
        <w:t xml:space="preserve"> la información solicitada.</w:t>
      </w:r>
    </w:p>
    <w:p w14:paraId="1970FAF3" w14:textId="77777777" w:rsidR="00BB2887" w:rsidRDefault="00BB2887">
      <w:pPr>
        <w:spacing w:after="0" w:line="360" w:lineRule="auto"/>
        <w:rPr>
          <w:b/>
          <w:bCs/>
          <w:color w:val="000000"/>
        </w:rPr>
      </w:pPr>
    </w:p>
    <w:p w14:paraId="1E57FB85" w14:textId="77777777" w:rsidR="00BB2887" w:rsidRDefault="00B27581">
      <w:pPr>
        <w:spacing w:after="0" w:line="360" w:lineRule="auto"/>
        <w:rPr>
          <w:b/>
          <w:bCs/>
          <w:color w:val="000000"/>
        </w:rPr>
      </w:pPr>
      <w:r>
        <w:rPr>
          <w:b/>
          <w:bCs/>
          <w:color w:val="000000"/>
        </w:rPr>
        <w:t>Términos de la Resolución para conocimiento del Particular</w:t>
      </w:r>
    </w:p>
    <w:p w14:paraId="3058DC7B" w14:textId="77777777" w:rsidR="00BB2887" w:rsidRDefault="00BB2887">
      <w:pPr>
        <w:spacing w:after="0" w:line="360" w:lineRule="auto"/>
        <w:rPr>
          <w:b/>
          <w:bCs/>
          <w:color w:val="000000"/>
        </w:rPr>
      </w:pPr>
    </w:p>
    <w:p w14:paraId="5C0F393E" w14:textId="77777777" w:rsidR="00BB2887" w:rsidRDefault="00B27581">
      <w:pPr>
        <w:spacing w:after="0" w:line="360" w:lineRule="auto"/>
        <w:rPr>
          <w:color w:val="000000"/>
        </w:rPr>
      </w:pPr>
      <w:r>
        <w:rPr>
          <w:color w:val="000000"/>
        </w:rPr>
        <w:t>Se le hace del conocimiento a la persona Recurrente que, en el presente asunto, se le da la razón, pues</w:t>
      </w:r>
      <w:r w:rsidR="00E8482D">
        <w:rPr>
          <w:color w:val="000000"/>
        </w:rPr>
        <w:t xml:space="preserve"> el cambio de modalidad aludido en respuesta, </w:t>
      </w:r>
      <w:r w:rsidR="00563B00">
        <w:rPr>
          <w:color w:val="000000"/>
        </w:rPr>
        <w:t>n</w:t>
      </w:r>
      <w:r w:rsidR="00E8482D">
        <w:rPr>
          <w:color w:val="000000"/>
        </w:rPr>
        <w:t>o satisface su requerimiento de información</w:t>
      </w:r>
      <w:r>
        <w:rPr>
          <w:color w:val="000000"/>
        </w:rPr>
        <w:t>.</w:t>
      </w:r>
    </w:p>
    <w:p w14:paraId="4F13E234" w14:textId="77777777" w:rsidR="00BB2887" w:rsidRDefault="00BB2887">
      <w:pPr>
        <w:spacing w:after="0" w:line="360" w:lineRule="auto"/>
        <w:rPr>
          <w:color w:val="000000"/>
        </w:rPr>
      </w:pPr>
    </w:p>
    <w:p w14:paraId="48D9C732" w14:textId="77777777" w:rsidR="00BB2887" w:rsidRDefault="00B27581">
      <w:pPr>
        <w:spacing w:after="0" w:line="360" w:lineRule="auto"/>
        <w:rPr>
          <w:color w:val="000000"/>
        </w:rPr>
      </w:pPr>
      <w:r>
        <w:rPr>
          <w:color w:val="000000"/>
        </w:rPr>
        <w:t>Por lo expuesto y fundado, este Pleno:</w:t>
      </w:r>
    </w:p>
    <w:p w14:paraId="65BBAEFD" w14:textId="77777777" w:rsidR="00BB2887" w:rsidRDefault="00BB2887">
      <w:pPr>
        <w:spacing w:after="0" w:line="360" w:lineRule="auto"/>
        <w:rPr>
          <w:color w:val="000000"/>
        </w:rPr>
      </w:pPr>
    </w:p>
    <w:p w14:paraId="6C351A57" w14:textId="77777777" w:rsidR="00BB2887" w:rsidRDefault="00B27581">
      <w:pPr>
        <w:pStyle w:val="Ttulo1"/>
        <w:spacing w:before="0" w:after="0" w:line="360" w:lineRule="auto"/>
        <w:jc w:val="center"/>
        <w:rPr>
          <w:color w:val="000000"/>
          <w:sz w:val="22"/>
          <w:szCs w:val="22"/>
        </w:rPr>
      </w:pPr>
      <w:bookmarkStart w:id="17" w:name="_Toc235114067"/>
      <w:r>
        <w:rPr>
          <w:color w:val="000000"/>
          <w:sz w:val="22"/>
          <w:szCs w:val="22"/>
        </w:rPr>
        <w:t>R E S U E L V E</w:t>
      </w:r>
      <w:bookmarkEnd w:id="17"/>
    </w:p>
    <w:p w14:paraId="4C40742A" w14:textId="77777777" w:rsidR="00BB2887" w:rsidRDefault="00BB2887">
      <w:pPr>
        <w:spacing w:after="0" w:line="360" w:lineRule="auto"/>
        <w:rPr>
          <w:b/>
          <w:bCs/>
          <w:color w:val="000000"/>
        </w:rPr>
      </w:pPr>
    </w:p>
    <w:p w14:paraId="5FB55323" w14:textId="13B63F3F" w:rsidR="00BB2887" w:rsidRDefault="00B27581">
      <w:pPr>
        <w:spacing w:after="0" w:line="360" w:lineRule="auto"/>
        <w:rPr>
          <w:color w:val="000000"/>
        </w:rPr>
      </w:pPr>
      <w:r>
        <w:rPr>
          <w:b/>
          <w:bCs/>
          <w:color w:val="000000"/>
        </w:rPr>
        <w:t xml:space="preserve">PRIMERO. </w:t>
      </w:r>
      <w:r>
        <w:rPr>
          <w:color w:val="000000"/>
        </w:rPr>
        <w:t xml:space="preserve">Se </w:t>
      </w:r>
      <w:r>
        <w:rPr>
          <w:b/>
          <w:bCs/>
          <w:color w:val="000000"/>
        </w:rPr>
        <w:t xml:space="preserve">REVOCA </w:t>
      </w:r>
      <w:r>
        <w:rPr>
          <w:color w:val="000000"/>
        </w:rPr>
        <w:t xml:space="preserve">la respuesta entregada por el </w:t>
      </w:r>
      <w:r w:rsidR="006B6109">
        <w:rPr>
          <w:color w:val="000000"/>
        </w:rPr>
        <w:t>Ayuntamiento de Tecámac</w:t>
      </w:r>
      <w:r>
        <w:rPr>
          <w:color w:val="000000"/>
        </w:rPr>
        <w:t xml:space="preserve">, a la solicitud de información </w:t>
      </w:r>
      <w:r w:rsidR="005B2532" w:rsidRPr="005B2532">
        <w:rPr>
          <w:color w:val="000000"/>
        </w:rPr>
        <w:t>00425/TECAMAC/IP/2026</w:t>
      </w:r>
      <w:r>
        <w:rPr>
          <w:color w:val="000000"/>
        </w:rPr>
        <w:t xml:space="preserve">, por resultar </w:t>
      </w:r>
      <w:r>
        <w:rPr>
          <w:b/>
          <w:bCs/>
          <w:color w:val="000000"/>
        </w:rPr>
        <w:t xml:space="preserve">FUNDADAS </w:t>
      </w:r>
      <w:r>
        <w:rPr>
          <w:color w:val="000000"/>
        </w:rPr>
        <w:t xml:space="preserve">las razones o </w:t>
      </w:r>
      <w:r>
        <w:rPr>
          <w:color w:val="000000"/>
        </w:rPr>
        <w:lastRenderedPageBreak/>
        <w:t>motivos de inconformidad hechos valer por la persona Recurrente, en términos de los considerandos QUINTO y SEXTO de la presente Resolución.</w:t>
      </w:r>
    </w:p>
    <w:p w14:paraId="4A43446D" w14:textId="77777777" w:rsidR="00BB2887" w:rsidRDefault="00BB2887">
      <w:pPr>
        <w:spacing w:after="0" w:line="360" w:lineRule="auto"/>
        <w:rPr>
          <w:color w:val="000000"/>
        </w:rPr>
      </w:pPr>
    </w:p>
    <w:p w14:paraId="11A4D3DB" w14:textId="2EB886F7" w:rsidR="00C422BF" w:rsidRDefault="00B27581" w:rsidP="00E8482D">
      <w:pPr>
        <w:spacing w:after="0" w:line="360" w:lineRule="auto"/>
        <w:rPr>
          <w:color w:val="000000"/>
        </w:rPr>
      </w:pPr>
      <w:r>
        <w:rPr>
          <w:b/>
          <w:bCs/>
        </w:rPr>
        <w:t xml:space="preserve">SEGUNDO. </w:t>
      </w:r>
      <w:r>
        <w:rPr>
          <w:color w:val="000000"/>
        </w:rPr>
        <w:t xml:space="preserve">Se </w:t>
      </w:r>
      <w:r>
        <w:rPr>
          <w:b/>
          <w:bCs/>
          <w:color w:val="000000"/>
        </w:rPr>
        <w:t>ORDENA</w:t>
      </w:r>
      <w:r>
        <w:rPr>
          <w:color w:val="000000"/>
        </w:rPr>
        <w:t xml:space="preserve"> al Sujeto Obligado</w:t>
      </w:r>
      <w:r>
        <w:rPr>
          <w:b/>
          <w:bCs/>
          <w:color w:val="000000"/>
        </w:rPr>
        <w:t xml:space="preserve">, </w:t>
      </w:r>
      <w:r>
        <w:rPr>
          <w:color w:val="000000"/>
        </w:rPr>
        <w:t xml:space="preserve">a efecto de que previa búsqueda exhaustiva y razonable en los archivos de las unidades administrativas competentes, entregue a través del Sistema de Acceso a la Información Mexiquense (SAIMEX), en su caso, en versión pública, </w:t>
      </w:r>
      <w:r w:rsidR="00E8482D" w:rsidRPr="00E8482D">
        <w:rPr>
          <w:color w:val="000000"/>
        </w:rPr>
        <w:t>los</w:t>
      </w:r>
      <w:r w:rsidR="00305ABD">
        <w:rPr>
          <w:color w:val="000000"/>
        </w:rPr>
        <w:t xml:space="preserve"> documentos</w:t>
      </w:r>
      <w:r w:rsidR="005B2532">
        <w:rPr>
          <w:color w:val="000000"/>
        </w:rPr>
        <w:t xml:space="preserve"> en los que consten </w:t>
      </w:r>
      <w:r w:rsidR="005B2532" w:rsidRPr="005B2532">
        <w:rPr>
          <w:color w:val="000000"/>
        </w:rPr>
        <w:t>los comprobantes de pago realizados</w:t>
      </w:r>
      <w:r w:rsidR="005B2532">
        <w:rPr>
          <w:color w:val="000000"/>
        </w:rPr>
        <w:t xml:space="preserve"> por la</w:t>
      </w:r>
      <w:r w:rsidR="005B2532" w:rsidRPr="005B2532">
        <w:rPr>
          <w:color w:val="000000"/>
        </w:rPr>
        <w:t xml:space="preserve"> Tesorería Municipal</w:t>
      </w:r>
      <w:r w:rsidR="009B12F8">
        <w:rPr>
          <w:color w:val="000000"/>
        </w:rPr>
        <w:t>, d</w:t>
      </w:r>
      <w:r w:rsidR="009B12F8" w:rsidRPr="005B2532">
        <w:rPr>
          <w:color w:val="000000"/>
        </w:rPr>
        <w:t xml:space="preserve">el </w:t>
      </w:r>
      <w:r w:rsidR="009B12F8">
        <w:rPr>
          <w:color w:val="000000"/>
        </w:rPr>
        <w:t>primero</w:t>
      </w:r>
      <w:r w:rsidR="009B12F8" w:rsidRPr="005B2532">
        <w:rPr>
          <w:color w:val="000000"/>
        </w:rPr>
        <w:t xml:space="preserve"> de enero </w:t>
      </w:r>
      <w:r w:rsidR="009B12F8">
        <w:rPr>
          <w:color w:val="000000"/>
        </w:rPr>
        <w:t>al</w:t>
      </w:r>
      <w:r w:rsidR="009B12F8" w:rsidRPr="005B2532">
        <w:rPr>
          <w:color w:val="000000"/>
        </w:rPr>
        <w:t xml:space="preserve"> </w:t>
      </w:r>
      <w:r w:rsidR="009B12F8">
        <w:rPr>
          <w:color w:val="000000"/>
        </w:rPr>
        <w:t xml:space="preserve">treinta y uno de </w:t>
      </w:r>
      <w:r w:rsidR="009B12F8" w:rsidRPr="005B2532">
        <w:rPr>
          <w:color w:val="000000"/>
        </w:rPr>
        <w:t xml:space="preserve">diciembre de </w:t>
      </w:r>
      <w:r w:rsidR="009B12F8">
        <w:rPr>
          <w:color w:val="000000"/>
        </w:rPr>
        <w:t>dos mil veinticinco</w:t>
      </w:r>
      <w:r w:rsidR="001A5644">
        <w:rPr>
          <w:color w:val="000000"/>
        </w:rPr>
        <w:t>,</w:t>
      </w:r>
      <w:r w:rsidR="005B2532" w:rsidRPr="005B2532">
        <w:rPr>
          <w:color w:val="000000"/>
        </w:rPr>
        <w:t xml:space="preserve"> </w:t>
      </w:r>
      <w:r w:rsidR="009B12F8">
        <w:rPr>
          <w:color w:val="000000"/>
        </w:rPr>
        <w:t>con recursos de las</w:t>
      </w:r>
      <w:r w:rsidR="001A5644" w:rsidRPr="005B2532">
        <w:rPr>
          <w:color w:val="000000"/>
        </w:rPr>
        <w:t xml:space="preserve"> partidas presupuestales</w:t>
      </w:r>
      <w:r w:rsidR="001A5644">
        <w:rPr>
          <w:color w:val="000000"/>
        </w:rPr>
        <w:t>,</w:t>
      </w:r>
      <w:r w:rsidR="001A5644" w:rsidRPr="005B2532">
        <w:rPr>
          <w:color w:val="000000"/>
        </w:rPr>
        <w:t xml:space="preserve"> 3611</w:t>
      </w:r>
      <w:r w:rsidR="001A5644">
        <w:rPr>
          <w:color w:val="000000"/>
        </w:rPr>
        <w:t>,</w:t>
      </w:r>
      <w:r w:rsidR="001A5644" w:rsidRPr="005B2532">
        <w:rPr>
          <w:color w:val="000000"/>
        </w:rPr>
        <w:t xml:space="preserve"> 3612</w:t>
      </w:r>
      <w:r w:rsidR="001A5644">
        <w:rPr>
          <w:color w:val="000000"/>
        </w:rPr>
        <w:t>,</w:t>
      </w:r>
      <w:r w:rsidR="001A5644" w:rsidRPr="005B2532">
        <w:rPr>
          <w:color w:val="000000"/>
        </w:rPr>
        <w:t xml:space="preserve"> 3621</w:t>
      </w:r>
      <w:r w:rsidR="001A5644">
        <w:rPr>
          <w:color w:val="000000"/>
        </w:rPr>
        <w:t xml:space="preserve">, </w:t>
      </w:r>
      <w:r w:rsidR="001A5644" w:rsidRPr="005B2532">
        <w:rPr>
          <w:color w:val="000000"/>
        </w:rPr>
        <w:t xml:space="preserve">3651 </w:t>
      </w:r>
      <w:r w:rsidR="001A5644">
        <w:rPr>
          <w:color w:val="000000"/>
        </w:rPr>
        <w:t xml:space="preserve">y </w:t>
      </w:r>
      <w:r w:rsidR="001A5644" w:rsidRPr="005B2532">
        <w:rPr>
          <w:color w:val="000000"/>
        </w:rPr>
        <w:t>3661</w:t>
      </w:r>
      <w:r w:rsidR="009B12F8">
        <w:rPr>
          <w:color w:val="000000"/>
        </w:rPr>
        <w:t>.</w:t>
      </w:r>
    </w:p>
    <w:p w14:paraId="7B602C41" w14:textId="77777777" w:rsidR="00C422BF" w:rsidRDefault="00C422BF" w:rsidP="00E8482D">
      <w:pPr>
        <w:spacing w:after="0" w:line="360" w:lineRule="auto"/>
        <w:rPr>
          <w:color w:val="000000"/>
        </w:rPr>
      </w:pPr>
    </w:p>
    <w:p w14:paraId="338EC68E" w14:textId="77777777" w:rsidR="00BB2887" w:rsidRDefault="00B27581">
      <w:pPr>
        <w:spacing w:after="0" w:line="360" w:lineRule="auto"/>
      </w:pPr>
      <w:r>
        <w:t>Además,</w:t>
      </w:r>
      <w:r w:rsidR="00E8482D">
        <w:t xml:space="preserve"> de ser el caso</w:t>
      </w:r>
      <w:r>
        <w:t xml:space="preserve"> deberá proporcionar el Acuerdo de Clasificación donde el Comité de Transparencia, confirme la eliminación de los datos o información clasificada, en la versión pública, de conformidad con los artículos 49, fracciones II y VIII y 132, fracción II de la Ley de Transparencia y Acceso a la Información Pública del Estado de México y Municipios.</w:t>
      </w:r>
    </w:p>
    <w:p w14:paraId="076402B1" w14:textId="77777777" w:rsidR="00BB2887" w:rsidRDefault="00BB2887">
      <w:pPr>
        <w:spacing w:after="0" w:line="360" w:lineRule="auto"/>
      </w:pPr>
    </w:p>
    <w:p w14:paraId="43341BDF" w14:textId="10566666" w:rsidR="009B12F8" w:rsidRDefault="009B12F8">
      <w:pPr>
        <w:spacing w:after="0" w:line="360" w:lineRule="auto"/>
      </w:pPr>
      <w:r>
        <w:t>Para el caso, de que no haya erogado recursos de alguna de las partidas presupuestales señaladas, deberá hacerlo del conocimiento de la persona Recurrente, de manera clara y precisa.</w:t>
      </w:r>
    </w:p>
    <w:p w14:paraId="39F7E35A" w14:textId="77777777" w:rsidR="009B12F8" w:rsidRDefault="009B12F8">
      <w:pPr>
        <w:spacing w:after="0" w:line="360" w:lineRule="auto"/>
      </w:pPr>
    </w:p>
    <w:p w14:paraId="22C7F042" w14:textId="77777777" w:rsidR="00BB2887" w:rsidRDefault="00B27581">
      <w:pPr>
        <w:spacing w:after="0" w:line="360" w:lineRule="auto"/>
        <w:ind w:right="-28"/>
        <w:rPr>
          <w:b/>
          <w:bCs/>
          <w:color w:val="000000"/>
        </w:rPr>
      </w:pPr>
      <w:r>
        <w:rPr>
          <w:b/>
          <w:bCs/>
          <w:color w:val="000000"/>
        </w:rPr>
        <w:t xml:space="preserve">TERCERO. NOTIFÍQUESE POR SAIMEX </w:t>
      </w:r>
      <w:r>
        <w:rPr>
          <w:color w:val="000000"/>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w:t>
      </w:r>
      <w:r>
        <w:rPr>
          <w:color w:val="000000"/>
        </w:rPr>
        <w:lastRenderedPageBreak/>
        <w:t>conformidad con lo previsto en los artículos 198, 200, fracción III, 214, 215 y 216 de la Ley referida.</w:t>
      </w:r>
    </w:p>
    <w:p w14:paraId="6B58D10A" w14:textId="77777777" w:rsidR="00BB2887" w:rsidRDefault="00BB2887">
      <w:pPr>
        <w:spacing w:after="0" w:line="360" w:lineRule="auto"/>
        <w:ind w:right="-28"/>
        <w:rPr>
          <w:color w:val="000000"/>
        </w:rPr>
      </w:pPr>
    </w:p>
    <w:p w14:paraId="49586E42" w14:textId="77777777" w:rsidR="00BB2887" w:rsidRDefault="00B27581">
      <w:pPr>
        <w:spacing w:after="0" w:line="360" w:lineRule="auto"/>
        <w:rPr>
          <w:color w:val="000000"/>
        </w:rPr>
      </w:pPr>
      <w:r>
        <w:rPr>
          <w:color w:val="000000"/>
        </w:rPr>
        <w:t>De conformidad con el artículo 198 de la Ley de la materia, de considerarlo procedente, el Sujeto Obligado de manera fundada y motivada, podrá solicitar una ampliación de plazo para el cumplimiento de la presente resolución.</w:t>
      </w:r>
    </w:p>
    <w:p w14:paraId="608ABD1B" w14:textId="77777777" w:rsidR="00BB2887" w:rsidRDefault="00BB2887">
      <w:pPr>
        <w:spacing w:after="0" w:line="360" w:lineRule="auto"/>
        <w:rPr>
          <w:color w:val="000000"/>
        </w:rPr>
      </w:pPr>
    </w:p>
    <w:p w14:paraId="45859A90" w14:textId="77777777" w:rsidR="00BB2887" w:rsidRDefault="00B27581">
      <w:pPr>
        <w:spacing w:after="0" w:line="360" w:lineRule="auto"/>
        <w:rPr>
          <w:color w:val="000000"/>
        </w:rPr>
      </w:pPr>
      <w:r>
        <w:rPr>
          <w:b/>
          <w:bCs/>
          <w:color w:val="000000"/>
        </w:rPr>
        <w:t>CUARTO. NOTIFÍQUESE POR SAIMEX</w:t>
      </w:r>
      <w:r>
        <w:rPr>
          <w:color w:val="000000"/>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 </w:t>
      </w:r>
    </w:p>
    <w:p w14:paraId="3187536A" w14:textId="77777777" w:rsidR="00BB2887" w:rsidRDefault="00BB2887">
      <w:pPr>
        <w:spacing w:after="0" w:line="360" w:lineRule="auto"/>
        <w:rPr>
          <w:b/>
          <w:bCs/>
          <w:color w:val="000000"/>
        </w:rPr>
      </w:pPr>
    </w:p>
    <w:p w14:paraId="2F97DFD4" w14:textId="56F0CEBE" w:rsidR="00BB2887" w:rsidRDefault="00B27581">
      <w:pPr>
        <w:spacing w:after="0" w:line="360" w:lineRule="auto"/>
        <w:rPr>
          <w:b/>
          <w:bCs/>
          <w:color w:val="000000"/>
        </w:rPr>
      </w:pPr>
      <w:r>
        <w:rPr>
          <w:color w:val="000000"/>
        </w:rPr>
        <w:t>ASÍ LO RESUELVE, POR </w:t>
      </w:r>
      <w:r>
        <w:rPr>
          <w:b/>
          <w:bCs/>
          <w:color w:val="000000"/>
        </w:rPr>
        <w:t>UNANIMIDAD</w:t>
      </w:r>
      <w:r>
        <w:rPr>
          <w:color w:val="000000"/>
        </w:rPr>
        <w:t> DE VOTOS EL PLENO DEL INSTITUTO DE TRANSPARENCIA, ACCESO A LA INFORMACIÓN PÚBLICA Y PROTECCIÓN DE DATOS PERSONALES DEL ESTADO DE MÉXICO Y MUNICIPIOS, CONFORMADO POR LOS COMISIONADOS JOSÉ MARTÍNEZ VILCHIS, MARÍA DEL ROSARIO MEJÍA AYALA</w:t>
      </w:r>
      <w:r w:rsidR="0066537F">
        <w:rPr>
          <w:color w:val="000000"/>
        </w:rPr>
        <w:t xml:space="preserve"> </w:t>
      </w:r>
      <w:r w:rsidR="0066537F">
        <w:t>(AUSENCIA JUSTIFICADA)</w:t>
      </w:r>
      <w:r>
        <w:rPr>
          <w:color w:val="000000"/>
        </w:rPr>
        <w:t xml:space="preserve">, SHARON CRISTINA MORALES MARTÍNEZ, LUIS GUSTAVO PARRA NORIEGA Y GUADALUPE RAMÍREZ PEÑA, EN LA </w:t>
      </w:r>
      <w:r w:rsidR="00C422BF">
        <w:rPr>
          <w:color w:val="000000"/>
        </w:rPr>
        <w:t xml:space="preserve">VIGÉSIMA </w:t>
      </w:r>
      <w:r w:rsidR="001A5644">
        <w:rPr>
          <w:color w:val="000000"/>
        </w:rPr>
        <w:t>SEXTA</w:t>
      </w:r>
      <w:r w:rsidR="00E8482D">
        <w:rPr>
          <w:color w:val="000000"/>
        </w:rPr>
        <w:t xml:space="preserve"> </w:t>
      </w:r>
      <w:r>
        <w:rPr>
          <w:color w:val="000000"/>
        </w:rPr>
        <w:t xml:space="preserve">SESIÓN ORDINARIA, CELEBRADA EL </w:t>
      </w:r>
      <w:r w:rsidR="001A5644">
        <w:rPr>
          <w:color w:val="000000"/>
        </w:rPr>
        <w:t xml:space="preserve">QUINCE </w:t>
      </w:r>
      <w:r w:rsidR="00C422BF">
        <w:rPr>
          <w:color w:val="000000"/>
        </w:rPr>
        <w:t xml:space="preserve">DE JULIO </w:t>
      </w:r>
      <w:r>
        <w:rPr>
          <w:color w:val="000000"/>
        </w:rPr>
        <w:t>DE DOS MIL VEINTISÉIS, ANTE EL SECRETARIO TÉCNICO DEL PLENO, ALEXIS TAPIA RAMÍREZ.</w:t>
      </w:r>
    </w:p>
    <w:p w14:paraId="70728514" w14:textId="77777777" w:rsidR="00BB2887" w:rsidRDefault="00BB2887">
      <w:pPr>
        <w:spacing w:after="0" w:line="360" w:lineRule="auto"/>
        <w:rPr>
          <w:b/>
          <w:bCs/>
          <w:color w:val="000000"/>
        </w:rPr>
      </w:pPr>
    </w:p>
    <w:p w14:paraId="746851E4" w14:textId="77777777" w:rsidR="00BB2887" w:rsidRDefault="00BB2887">
      <w:pPr>
        <w:spacing w:after="0" w:line="360" w:lineRule="auto"/>
        <w:rPr>
          <w:b/>
          <w:bCs/>
          <w:color w:val="000000"/>
        </w:rPr>
      </w:pPr>
    </w:p>
    <w:p w14:paraId="611A7AF5" w14:textId="77777777" w:rsidR="00BC7186" w:rsidRDefault="00BC7186">
      <w:pPr>
        <w:spacing w:after="0" w:line="360" w:lineRule="auto"/>
        <w:rPr>
          <w:b/>
          <w:bCs/>
          <w:color w:val="000000"/>
        </w:rPr>
      </w:pPr>
    </w:p>
    <w:p w14:paraId="4FEBEED5" w14:textId="77777777" w:rsidR="00BB2887" w:rsidRDefault="00BB2887">
      <w:pPr>
        <w:spacing w:after="0" w:line="360" w:lineRule="auto"/>
        <w:rPr>
          <w:color w:val="000000"/>
        </w:rPr>
      </w:pPr>
    </w:p>
    <w:p w14:paraId="29363573" w14:textId="77777777" w:rsidR="00BB2887" w:rsidRDefault="00BB2887">
      <w:pPr>
        <w:spacing w:after="0" w:line="360" w:lineRule="auto"/>
        <w:rPr>
          <w:color w:val="000000"/>
        </w:rPr>
      </w:pPr>
    </w:p>
    <w:p w14:paraId="1FAD4EFA" w14:textId="77777777" w:rsidR="00BB2887" w:rsidRDefault="00BB2887">
      <w:pPr>
        <w:tabs>
          <w:tab w:val="right" w:pos="8931"/>
        </w:tabs>
        <w:spacing w:after="0" w:line="360" w:lineRule="auto"/>
        <w:rPr>
          <w:color w:val="000000"/>
        </w:rPr>
      </w:pPr>
    </w:p>
    <w:p w14:paraId="56BB8A43" w14:textId="77777777" w:rsidR="00BB2887" w:rsidRDefault="00BB2887">
      <w:pPr>
        <w:tabs>
          <w:tab w:val="right" w:pos="8931"/>
        </w:tabs>
        <w:spacing w:after="0" w:line="360" w:lineRule="auto"/>
        <w:rPr>
          <w:color w:val="000000"/>
        </w:rPr>
      </w:pPr>
    </w:p>
    <w:p w14:paraId="73B40414" w14:textId="77777777" w:rsidR="00BB2887" w:rsidRDefault="00BB2887">
      <w:pPr>
        <w:spacing w:after="0" w:line="360" w:lineRule="auto"/>
        <w:rPr>
          <w:color w:val="000000"/>
        </w:rPr>
      </w:pPr>
    </w:p>
    <w:p w14:paraId="5C0D6801" w14:textId="77777777" w:rsidR="00BB2887" w:rsidRDefault="00BB2887">
      <w:pPr>
        <w:spacing w:after="0" w:line="360" w:lineRule="auto"/>
        <w:rPr>
          <w:color w:val="000000"/>
        </w:rPr>
      </w:pPr>
    </w:p>
    <w:p w14:paraId="095BC835" w14:textId="77777777" w:rsidR="00BB2887" w:rsidRDefault="00BB2887">
      <w:pPr>
        <w:spacing w:after="0" w:line="360" w:lineRule="auto"/>
        <w:rPr>
          <w:color w:val="000000"/>
        </w:rPr>
      </w:pPr>
    </w:p>
    <w:p w14:paraId="211C4491" w14:textId="77777777" w:rsidR="00BB2887" w:rsidRDefault="00BB2887">
      <w:pPr>
        <w:spacing w:after="0" w:line="360" w:lineRule="auto"/>
        <w:rPr>
          <w:color w:val="000000"/>
        </w:rPr>
      </w:pPr>
    </w:p>
    <w:p w14:paraId="547F21B3" w14:textId="77777777" w:rsidR="00BB2887" w:rsidRDefault="00BB2887">
      <w:pPr>
        <w:spacing w:after="0" w:line="360" w:lineRule="auto"/>
        <w:rPr>
          <w:color w:val="000000"/>
        </w:rPr>
      </w:pPr>
    </w:p>
    <w:p w14:paraId="2C3CC49E" w14:textId="77777777" w:rsidR="00BB2887" w:rsidRDefault="00BB2887">
      <w:pPr>
        <w:spacing w:after="0" w:line="360" w:lineRule="auto"/>
        <w:rPr>
          <w:color w:val="000000"/>
        </w:rPr>
      </w:pPr>
    </w:p>
    <w:p w14:paraId="324FAD27" w14:textId="77777777" w:rsidR="00BB2887" w:rsidRDefault="00BB2887">
      <w:pPr>
        <w:spacing w:after="0" w:line="360" w:lineRule="auto"/>
        <w:rPr>
          <w:color w:val="000000"/>
        </w:rPr>
      </w:pPr>
    </w:p>
    <w:p w14:paraId="35B27D25" w14:textId="77777777" w:rsidR="00BB2887" w:rsidRDefault="00BB2887">
      <w:pPr>
        <w:spacing w:after="0" w:line="360" w:lineRule="auto"/>
        <w:rPr>
          <w:color w:val="000000"/>
        </w:rPr>
      </w:pPr>
    </w:p>
    <w:p w14:paraId="1B77D554" w14:textId="77777777" w:rsidR="00BB2887" w:rsidRDefault="00BB2887">
      <w:pPr>
        <w:spacing w:after="0" w:line="360" w:lineRule="auto"/>
        <w:rPr>
          <w:color w:val="000000"/>
        </w:rPr>
      </w:pPr>
    </w:p>
    <w:p w14:paraId="5F3FA5AB" w14:textId="77777777" w:rsidR="00BB2887" w:rsidRDefault="00BB2887">
      <w:pPr>
        <w:spacing w:after="0" w:line="360" w:lineRule="auto"/>
        <w:rPr>
          <w:color w:val="000000"/>
        </w:rPr>
      </w:pPr>
    </w:p>
    <w:p w14:paraId="27C38D21" w14:textId="77777777" w:rsidR="00BB2887" w:rsidRDefault="00BB2887">
      <w:pPr>
        <w:spacing w:after="0" w:line="360" w:lineRule="auto"/>
        <w:rPr>
          <w:color w:val="000000"/>
        </w:rPr>
      </w:pPr>
    </w:p>
    <w:p w14:paraId="1409F612" w14:textId="77777777" w:rsidR="00BB2887" w:rsidRDefault="00BB2887">
      <w:pPr>
        <w:spacing w:after="0" w:line="360" w:lineRule="auto"/>
        <w:rPr>
          <w:color w:val="000000"/>
        </w:rPr>
      </w:pPr>
    </w:p>
    <w:p w14:paraId="5D31C42A" w14:textId="77777777" w:rsidR="00BB2887" w:rsidRDefault="00BB2887">
      <w:pPr>
        <w:spacing w:after="0" w:line="360" w:lineRule="auto"/>
        <w:rPr>
          <w:color w:val="000000"/>
        </w:rPr>
      </w:pPr>
    </w:p>
    <w:p w14:paraId="593F5EDD" w14:textId="77777777" w:rsidR="0026475A" w:rsidRDefault="0026475A">
      <w:pPr>
        <w:spacing w:after="0" w:line="360" w:lineRule="auto"/>
        <w:rPr>
          <w:color w:val="000000"/>
        </w:rPr>
      </w:pPr>
    </w:p>
    <w:p w14:paraId="6F273BCB" w14:textId="77777777" w:rsidR="0026475A" w:rsidRDefault="0026475A">
      <w:pPr>
        <w:spacing w:after="0" w:line="360" w:lineRule="auto"/>
        <w:rPr>
          <w:color w:val="000000"/>
        </w:rPr>
      </w:pPr>
    </w:p>
    <w:p w14:paraId="4F2DD015" w14:textId="77777777" w:rsidR="0026475A" w:rsidRDefault="0026475A">
      <w:pPr>
        <w:spacing w:after="0" w:line="360" w:lineRule="auto"/>
        <w:rPr>
          <w:color w:val="000000"/>
        </w:rPr>
      </w:pPr>
    </w:p>
    <w:p w14:paraId="2B94A0DA" w14:textId="77777777" w:rsidR="0026475A" w:rsidRDefault="0026475A">
      <w:pPr>
        <w:spacing w:after="0" w:line="360" w:lineRule="auto"/>
        <w:rPr>
          <w:color w:val="000000"/>
        </w:rPr>
      </w:pPr>
    </w:p>
    <w:p w14:paraId="7FEBA242" w14:textId="77777777" w:rsidR="0026475A" w:rsidRDefault="0026475A">
      <w:pPr>
        <w:spacing w:after="0" w:line="360" w:lineRule="auto"/>
        <w:rPr>
          <w:color w:val="000000"/>
        </w:rPr>
      </w:pPr>
    </w:p>
    <w:p w14:paraId="0DBCC0BB" w14:textId="77777777" w:rsidR="0026475A" w:rsidRDefault="0026475A">
      <w:pPr>
        <w:spacing w:after="0" w:line="360" w:lineRule="auto"/>
        <w:rPr>
          <w:color w:val="000000"/>
        </w:rPr>
      </w:pPr>
    </w:p>
    <w:p w14:paraId="1D3A7810" w14:textId="77777777" w:rsidR="00BB2887" w:rsidRDefault="00BB2887">
      <w:pPr>
        <w:spacing w:after="0" w:line="360" w:lineRule="auto"/>
        <w:rPr>
          <w:color w:val="000000"/>
        </w:rPr>
      </w:pPr>
    </w:p>
    <w:p w14:paraId="671CC524" w14:textId="77777777" w:rsidR="00BB2887" w:rsidRDefault="00BB2887">
      <w:pPr>
        <w:spacing w:after="0" w:line="360" w:lineRule="auto"/>
        <w:rPr>
          <w:color w:val="000000"/>
        </w:rPr>
      </w:pPr>
    </w:p>
    <w:p w14:paraId="55C3F348" w14:textId="77777777" w:rsidR="00BB2887" w:rsidRDefault="00BB2887">
      <w:pPr>
        <w:spacing w:after="0" w:line="360" w:lineRule="auto"/>
        <w:rPr>
          <w:color w:val="000000"/>
        </w:rPr>
      </w:pPr>
    </w:p>
    <w:p w14:paraId="5958FF00" w14:textId="77777777" w:rsidR="00BB2887" w:rsidRDefault="00BB2887">
      <w:pPr>
        <w:spacing w:after="0" w:line="360" w:lineRule="auto"/>
        <w:rPr>
          <w:color w:val="000000"/>
        </w:rPr>
      </w:pPr>
    </w:p>
    <w:sectPr w:rsidR="00BB2887">
      <w:headerReference w:type="even" r:id="rId14"/>
      <w:headerReference w:type="default" r:id="rId15"/>
      <w:footerReference w:type="even" r:id="rId16"/>
      <w:footerReference w:type="default" r:id="rId17"/>
      <w:headerReference w:type="first" r:id="rId18"/>
      <w:footerReference w:type="first" r:id="rId19"/>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487096" w14:textId="77777777" w:rsidR="00951322" w:rsidRDefault="00951322">
      <w:pPr>
        <w:spacing w:after="0" w:line="240" w:lineRule="auto"/>
      </w:pPr>
      <w:r>
        <w:separator/>
      </w:r>
    </w:p>
  </w:endnote>
  <w:endnote w:type="continuationSeparator" w:id="0">
    <w:p w14:paraId="137805B7" w14:textId="77777777" w:rsidR="00951322" w:rsidRDefault="00951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D25AC" w14:textId="77777777" w:rsidR="00BB2887" w:rsidRDefault="00B275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DF7FB8">
      <w:rPr>
        <w:b/>
        <w:bCs/>
        <w:noProof/>
        <w:color w:val="000000"/>
        <w:sz w:val="24"/>
        <w:szCs w:val="24"/>
      </w:rPr>
      <w:t>24</w:t>
    </w:r>
    <w:r>
      <w:rPr>
        <w:b/>
        <w:bCs/>
        <w:color w:val="000000"/>
        <w:sz w:val="24"/>
        <w:szCs w:val="24"/>
      </w:rPr>
      <w:fldChar w:fldCharType="end"/>
    </w:r>
  </w:p>
  <w:p w14:paraId="699B2840"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9E075" w14:textId="77777777" w:rsidR="00BB2887" w:rsidRDefault="00B275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DF7FB8">
      <w:rPr>
        <w:b/>
        <w:bCs/>
        <w:noProof/>
        <w:color w:val="000000"/>
        <w:sz w:val="24"/>
        <w:szCs w:val="24"/>
      </w:rPr>
      <w:t>21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DF7FB8">
      <w:rPr>
        <w:b/>
        <w:bCs/>
        <w:noProof/>
        <w:color w:val="000000"/>
        <w:sz w:val="24"/>
        <w:szCs w:val="24"/>
      </w:rPr>
      <w:t>24</w:t>
    </w:r>
    <w:r>
      <w:rPr>
        <w:b/>
        <w:bCs/>
        <w:color w:val="000000"/>
        <w:sz w:val="24"/>
        <w:szCs w:val="24"/>
      </w:rPr>
      <w:fldChar w:fldCharType="end"/>
    </w:r>
  </w:p>
  <w:p w14:paraId="16A4B22A"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CF403" w14:textId="77777777" w:rsidR="00BB2887" w:rsidRDefault="00B275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DF7FB8">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DF7FB8">
      <w:rPr>
        <w:b/>
        <w:bCs/>
        <w:noProof/>
        <w:color w:val="000000"/>
        <w:sz w:val="24"/>
        <w:szCs w:val="24"/>
      </w:rPr>
      <w:t>24</w:t>
    </w:r>
    <w:r>
      <w:rPr>
        <w:b/>
        <w:bCs/>
        <w:color w:val="000000"/>
        <w:sz w:val="24"/>
        <w:szCs w:val="24"/>
      </w:rPr>
      <w:fldChar w:fldCharType="end"/>
    </w:r>
  </w:p>
  <w:p w14:paraId="1619EA1D"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FCD344" w14:textId="77777777" w:rsidR="00951322" w:rsidRDefault="00951322">
      <w:pPr>
        <w:spacing w:after="0" w:line="240" w:lineRule="auto"/>
      </w:pPr>
      <w:r>
        <w:separator/>
      </w:r>
    </w:p>
  </w:footnote>
  <w:footnote w:type="continuationSeparator" w:id="0">
    <w:p w14:paraId="790358AB" w14:textId="77777777" w:rsidR="00951322" w:rsidRDefault="00951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CD7A5" w14:textId="77777777" w:rsidR="00BB2887" w:rsidRDefault="00BB2887">
    <w:pPr>
      <w:widowControl w:val="0"/>
      <w:pBdr>
        <w:top w:val="nil"/>
        <w:left w:val="nil"/>
        <w:bottom w:val="nil"/>
        <w:right w:val="nil"/>
        <w:between w:val="nil"/>
      </w:pBdr>
      <w:spacing w:after="0" w:line="276" w:lineRule="auto"/>
      <w:jc w:val="left"/>
      <w:rPr>
        <w:color w:val="000000"/>
      </w:rPr>
    </w:pPr>
  </w:p>
  <w:tbl>
    <w:tblPr>
      <w:tblStyle w:val="a"/>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BB2887" w14:paraId="7D33467B" w14:textId="77777777">
      <w:trPr>
        <w:trHeight w:val="132"/>
      </w:trPr>
      <w:tc>
        <w:tcPr>
          <w:tcW w:w="2691" w:type="dxa"/>
        </w:tcPr>
        <w:p w14:paraId="7D39C029" w14:textId="77777777" w:rsidR="00BB2887" w:rsidRDefault="00B27581">
          <w:pPr>
            <w:tabs>
              <w:tab w:val="right" w:pos="8838"/>
            </w:tabs>
            <w:ind w:right="-105"/>
            <w:rPr>
              <w:b/>
              <w:bCs/>
            </w:rPr>
          </w:pPr>
          <w:r>
            <w:rPr>
              <w:b/>
              <w:bCs/>
            </w:rPr>
            <w:t>Recurso de Revisión:</w:t>
          </w:r>
        </w:p>
      </w:tc>
      <w:tc>
        <w:tcPr>
          <w:tcW w:w="3405" w:type="dxa"/>
        </w:tcPr>
        <w:p w14:paraId="2B8DE267" w14:textId="77777777" w:rsidR="00BB2887" w:rsidRDefault="00B27581">
          <w:pPr>
            <w:tabs>
              <w:tab w:val="right" w:pos="8838"/>
            </w:tabs>
            <w:ind w:left="-28" w:right="-32"/>
          </w:pPr>
          <w:r>
            <w:t>03846/INFOEM/IP/RR/2020</w:t>
          </w:r>
        </w:p>
      </w:tc>
    </w:tr>
    <w:tr w:rsidR="00BB2887" w14:paraId="62AD2DC4" w14:textId="77777777">
      <w:trPr>
        <w:trHeight w:val="261"/>
      </w:trPr>
      <w:tc>
        <w:tcPr>
          <w:tcW w:w="2691" w:type="dxa"/>
        </w:tcPr>
        <w:p w14:paraId="3323DE50" w14:textId="77777777" w:rsidR="00BB2887" w:rsidRDefault="00B27581">
          <w:pPr>
            <w:tabs>
              <w:tab w:val="right" w:pos="8838"/>
            </w:tabs>
            <w:ind w:right="-105"/>
            <w:rPr>
              <w:b/>
              <w:bCs/>
            </w:rPr>
          </w:pPr>
          <w:r>
            <w:rPr>
              <w:b/>
              <w:bCs/>
            </w:rPr>
            <w:t>Sujeto Obligado:</w:t>
          </w:r>
        </w:p>
      </w:tc>
      <w:tc>
        <w:tcPr>
          <w:tcW w:w="3405" w:type="dxa"/>
        </w:tcPr>
        <w:p w14:paraId="02145FD5" w14:textId="77777777" w:rsidR="00BB2887" w:rsidRDefault="00B27581">
          <w:pPr>
            <w:tabs>
              <w:tab w:val="right" w:pos="8838"/>
            </w:tabs>
            <w:ind w:right="-32"/>
          </w:pPr>
          <w:r>
            <w:t>Ayuntamiento de Temascalcingo</w:t>
          </w:r>
        </w:p>
      </w:tc>
    </w:tr>
    <w:tr w:rsidR="00BB2887" w14:paraId="415B456A" w14:textId="77777777">
      <w:trPr>
        <w:trHeight w:val="261"/>
      </w:trPr>
      <w:tc>
        <w:tcPr>
          <w:tcW w:w="2691" w:type="dxa"/>
        </w:tcPr>
        <w:p w14:paraId="28C1ABAC" w14:textId="77777777" w:rsidR="00BB2887" w:rsidRDefault="00B27581">
          <w:pPr>
            <w:tabs>
              <w:tab w:val="right" w:pos="8838"/>
            </w:tabs>
            <w:ind w:right="-105"/>
            <w:rPr>
              <w:b/>
              <w:bCs/>
            </w:rPr>
          </w:pPr>
          <w:r>
            <w:rPr>
              <w:b/>
              <w:bCs/>
            </w:rPr>
            <w:t>Comisionado Ponente:</w:t>
          </w:r>
        </w:p>
      </w:tc>
      <w:tc>
        <w:tcPr>
          <w:tcW w:w="3405" w:type="dxa"/>
        </w:tcPr>
        <w:p w14:paraId="28E3AC71" w14:textId="77777777" w:rsidR="00BB2887" w:rsidRDefault="00B27581">
          <w:pPr>
            <w:tabs>
              <w:tab w:val="right" w:pos="8838"/>
            </w:tabs>
            <w:ind w:right="-32"/>
            <w:rPr>
              <w:b/>
              <w:bCs/>
            </w:rPr>
          </w:pPr>
          <w:r>
            <w:t>Luis Gustavo Parra Noriega</w:t>
          </w:r>
        </w:p>
      </w:tc>
    </w:tr>
  </w:tbl>
  <w:p w14:paraId="6582CF98" w14:textId="77777777" w:rsidR="00BB2887" w:rsidRDefault="00000000">
    <w:pPr>
      <w:pBdr>
        <w:top w:val="nil"/>
        <w:left w:val="nil"/>
        <w:bottom w:val="nil"/>
        <w:right w:val="nil"/>
        <w:between w:val="nil"/>
      </w:pBdr>
      <w:tabs>
        <w:tab w:val="center" w:pos="4419"/>
        <w:tab w:val="right" w:pos="8838"/>
      </w:tabs>
      <w:spacing w:after="0" w:line="240" w:lineRule="auto"/>
      <w:rPr>
        <w:color w:val="000000"/>
      </w:rPr>
    </w:pPr>
    <w:r>
      <w:rPr>
        <w:color w:val="000000"/>
      </w:rPr>
      <w:pict w14:anchorId="18F25D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MARCA DE AGUA - HOJA RESOLUCIÓN" style="position:absolute;left:0;text-align:left;margin-left:0;margin-top:0;width:663.5pt;height:12in;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9E578" w14:textId="77777777" w:rsidR="00BB2887" w:rsidRDefault="00000000">
    <w:pPr>
      <w:widowControl w:val="0"/>
      <w:pBdr>
        <w:top w:val="nil"/>
        <w:left w:val="nil"/>
        <w:bottom w:val="nil"/>
        <w:right w:val="nil"/>
        <w:between w:val="nil"/>
      </w:pBdr>
      <w:spacing w:after="0" w:line="276" w:lineRule="auto"/>
      <w:jc w:val="left"/>
    </w:pPr>
    <w:r>
      <w:rPr>
        <w:color w:val="000000"/>
      </w:rPr>
      <w:pict w14:anchorId="250AF4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MARCA DE AGUA - HOJA RESOLUCIÓN" style="position:absolute;margin-left:-85.35pt;margin-top:-137.45pt;width:663.5pt;height:12in;z-index:-251659776;mso-position-horizontal:absolute;mso-position-horizontal-relative:margin;mso-position-vertical:absolute;mso-position-vertical-relative:margin">
          <v:imagedata r:id="rId1" o:title="image1"/>
          <w10:wrap anchorx="margin" anchory="margin"/>
        </v:shape>
      </w:pict>
    </w:r>
  </w:p>
  <w:tbl>
    <w:tblPr>
      <w:tblStyle w:val="a0"/>
      <w:tblW w:w="6663" w:type="dxa"/>
      <w:tblInd w:w="3119" w:type="dxa"/>
      <w:tblBorders>
        <w:top w:val="nil"/>
        <w:left w:val="nil"/>
        <w:bottom w:val="nil"/>
        <w:right w:val="nil"/>
        <w:insideH w:val="nil"/>
        <w:insideV w:val="nil"/>
      </w:tblBorders>
      <w:tblLayout w:type="fixed"/>
      <w:tblLook w:val="0400" w:firstRow="0" w:lastRow="0" w:firstColumn="0" w:lastColumn="0" w:noHBand="0" w:noVBand="1"/>
    </w:tblPr>
    <w:tblGrid>
      <w:gridCol w:w="2268"/>
      <w:gridCol w:w="4395"/>
    </w:tblGrid>
    <w:tr w:rsidR="00BB2887" w14:paraId="4AF860CE" w14:textId="77777777">
      <w:trPr>
        <w:trHeight w:val="138"/>
      </w:trPr>
      <w:tc>
        <w:tcPr>
          <w:tcW w:w="2268" w:type="dxa"/>
          <w:vAlign w:val="center"/>
        </w:tcPr>
        <w:p w14:paraId="51752C6C" w14:textId="77777777" w:rsidR="00BB2887" w:rsidRDefault="00BB2887">
          <w:pPr>
            <w:tabs>
              <w:tab w:val="right" w:pos="8838"/>
            </w:tabs>
            <w:ind w:left="-108" w:right="-105"/>
            <w:jc w:val="left"/>
            <w:rPr>
              <w:b/>
              <w:bCs/>
            </w:rPr>
          </w:pPr>
        </w:p>
        <w:p w14:paraId="17360095" w14:textId="77777777" w:rsidR="00BB2887" w:rsidRDefault="00B27581">
          <w:pPr>
            <w:tabs>
              <w:tab w:val="right" w:pos="8838"/>
            </w:tabs>
            <w:ind w:left="-108" w:right="-105"/>
            <w:jc w:val="left"/>
            <w:rPr>
              <w:b/>
              <w:bCs/>
            </w:rPr>
          </w:pPr>
          <w:r>
            <w:rPr>
              <w:b/>
              <w:bCs/>
            </w:rPr>
            <w:t>Recurso de Revisión:</w:t>
          </w:r>
        </w:p>
      </w:tc>
      <w:tc>
        <w:tcPr>
          <w:tcW w:w="4395" w:type="dxa"/>
        </w:tcPr>
        <w:p w14:paraId="0DC10356" w14:textId="77777777" w:rsidR="00BB2887" w:rsidRDefault="00BB2887">
          <w:pPr>
            <w:tabs>
              <w:tab w:val="right" w:pos="8838"/>
            </w:tabs>
            <w:ind w:right="57"/>
          </w:pPr>
        </w:p>
        <w:p w14:paraId="40A9BE5A" w14:textId="3705D7F9" w:rsidR="00BB2887" w:rsidRDefault="006B6109">
          <w:pPr>
            <w:tabs>
              <w:tab w:val="right" w:pos="8838"/>
            </w:tabs>
            <w:ind w:right="57"/>
          </w:pPr>
          <w:r>
            <w:t>06701</w:t>
          </w:r>
          <w:r w:rsidR="00B27581">
            <w:t>/INFOEM/IP/RR/202</w:t>
          </w:r>
          <w:r w:rsidR="00565BF1">
            <w:t>6</w:t>
          </w:r>
        </w:p>
      </w:tc>
    </w:tr>
    <w:tr w:rsidR="00BB2887" w14:paraId="423AEDD5" w14:textId="77777777">
      <w:trPr>
        <w:trHeight w:val="273"/>
      </w:trPr>
      <w:tc>
        <w:tcPr>
          <w:tcW w:w="2268" w:type="dxa"/>
        </w:tcPr>
        <w:p w14:paraId="35A69E12" w14:textId="77777777" w:rsidR="00BB2887" w:rsidRDefault="00B27581">
          <w:pPr>
            <w:tabs>
              <w:tab w:val="right" w:pos="8838"/>
            </w:tabs>
            <w:ind w:left="-108" w:right="-105"/>
            <w:rPr>
              <w:b/>
              <w:bCs/>
            </w:rPr>
          </w:pPr>
          <w:r>
            <w:rPr>
              <w:b/>
              <w:bCs/>
            </w:rPr>
            <w:t>Sujeto Obligado:</w:t>
          </w:r>
        </w:p>
      </w:tc>
      <w:tc>
        <w:tcPr>
          <w:tcW w:w="4395" w:type="dxa"/>
        </w:tcPr>
        <w:p w14:paraId="540AED35" w14:textId="24EC647A" w:rsidR="00BB2887" w:rsidRDefault="006B6109">
          <w:pPr>
            <w:tabs>
              <w:tab w:val="right" w:pos="8838"/>
            </w:tabs>
            <w:ind w:right="175"/>
          </w:pPr>
          <w:r>
            <w:t>Ayuntamiento de Tecámac</w:t>
          </w:r>
        </w:p>
      </w:tc>
    </w:tr>
    <w:tr w:rsidR="00BB2887" w14:paraId="10DB8C6A" w14:textId="77777777">
      <w:trPr>
        <w:trHeight w:val="273"/>
      </w:trPr>
      <w:tc>
        <w:tcPr>
          <w:tcW w:w="2268" w:type="dxa"/>
        </w:tcPr>
        <w:p w14:paraId="69C2ED93" w14:textId="77777777" w:rsidR="00BB2887" w:rsidRDefault="00B27581">
          <w:pPr>
            <w:tabs>
              <w:tab w:val="right" w:pos="8838"/>
            </w:tabs>
            <w:ind w:left="-108" w:right="-105"/>
            <w:rPr>
              <w:b/>
              <w:bCs/>
            </w:rPr>
          </w:pPr>
          <w:r>
            <w:rPr>
              <w:b/>
              <w:bCs/>
            </w:rPr>
            <w:t>Comisionado Ponente:</w:t>
          </w:r>
        </w:p>
      </w:tc>
      <w:tc>
        <w:tcPr>
          <w:tcW w:w="4395" w:type="dxa"/>
        </w:tcPr>
        <w:p w14:paraId="76212180" w14:textId="77777777" w:rsidR="00BB2887" w:rsidRDefault="00B27581">
          <w:pPr>
            <w:tabs>
              <w:tab w:val="right" w:pos="8838"/>
            </w:tabs>
            <w:ind w:right="-170"/>
          </w:pPr>
          <w:r>
            <w:t>Luis Gustavo Parra Noriega</w:t>
          </w:r>
        </w:p>
        <w:p w14:paraId="700F2A6D" w14:textId="77777777" w:rsidR="00BB2887" w:rsidRDefault="00BB2887">
          <w:pPr>
            <w:tabs>
              <w:tab w:val="right" w:pos="8838"/>
            </w:tabs>
            <w:ind w:right="-170"/>
            <w:rPr>
              <w:b/>
              <w:bCs/>
              <w:sz w:val="13"/>
              <w:szCs w:val="13"/>
            </w:rPr>
          </w:pPr>
        </w:p>
      </w:tc>
    </w:tr>
  </w:tbl>
  <w:p w14:paraId="51A678E0"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1F2C9" w14:textId="77777777" w:rsidR="00BB2887" w:rsidRDefault="00BB2887">
    <w:pPr>
      <w:widowControl w:val="0"/>
      <w:pBdr>
        <w:top w:val="nil"/>
        <w:left w:val="nil"/>
        <w:bottom w:val="nil"/>
        <w:right w:val="nil"/>
        <w:between w:val="nil"/>
      </w:pBdr>
      <w:spacing w:after="0" w:line="276" w:lineRule="auto"/>
      <w:jc w:val="left"/>
      <w:rPr>
        <w:color w:val="000000"/>
      </w:rPr>
    </w:pPr>
  </w:p>
  <w:tbl>
    <w:tblPr>
      <w:tblStyle w:val="a1"/>
      <w:tblW w:w="6804" w:type="dxa"/>
      <w:tblInd w:w="2977" w:type="dxa"/>
      <w:tblBorders>
        <w:top w:val="nil"/>
        <w:left w:val="nil"/>
        <w:bottom w:val="nil"/>
        <w:right w:val="nil"/>
        <w:insideH w:val="nil"/>
        <w:insideV w:val="nil"/>
      </w:tblBorders>
      <w:tblLayout w:type="fixed"/>
      <w:tblLook w:val="0400" w:firstRow="0" w:lastRow="0" w:firstColumn="0" w:lastColumn="0" w:noHBand="0" w:noVBand="1"/>
    </w:tblPr>
    <w:tblGrid>
      <w:gridCol w:w="2551"/>
      <w:gridCol w:w="4253"/>
    </w:tblGrid>
    <w:tr w:rsidR="00BB2887" w14:paraId="7EB4B7E6" w14:textId="77777777">
      <w:trPr>
        <w:trHeight w:val="132"/>
      </w:trPr>
      <w:tc>
        <w:tcPr>
          <w:tcW w:w="2551" w:type="dxa"/>
        </w:tcPr>
        <w:p w14:paraId="1E9BEC14" w14:textId="77777777" w:rsidR="00BB2887" w:rsidRDefault="00B27581">
          <w:pPr>
            <w:tabs>
              <w:tab w:val="right" w:pos="8838"/>
            </w:tabs>
            <w:ind w:right="-105"/>
            <w:rPr>
              <w:b/>
              <w:bCs/>
            </w:rPr>
          </w:pPr>
          <w:r>
            <w:rPr>
              <w:b/>
              <w:bCs/>
            </w:rPr>
            <w:t>Recurso de Revisión:</w:t>
          </w:r>
        </w:p>
      </w:tc>
      <w:tc>
        <w:tcPr>
          <w:tcW w:w="4253" w:type="dxa"/>
        </w:tcPr>
        <w:p w14:paraId="5EBC73D6" w14:textId="77777777" w:rsidR="00BB2887" w:rsidRDefault="006B6109">
          <w:r>
            <w:t>06701</w:t>
          </w:r>
          <w:r w:rsidR="00B27581">
            <w:t>/INFOEM/IP/RR/202</w:t>
          </w:r>
          <w:r w:rsidR="00565BF1">
            <w:t>6</w:t>
          </w:r>
        </w:p>
      </w:tc>
    </w:tr>
    <w:tr w:rsidR="00BB2887" w14:paraId="12353EDB" w14:textId="77777777">
      <w:trPr>
        <w:trHeight w:val="132"/>
      </w:trPr>
      <w:tc>
        <w:tcPr>
          <w:tcW w:w="2551" w:type="dxa"/>
          <w:shd w:val="clear" w:color="auto" w:fill="auto"/>
        </w:tcPr>
        <w:p w14:paraId="75FFE69E" w14:textId="77777777" w:rsidR="00BB2887" w:rsidRDefault="00B27581">
          <w:pPr>
            <w:tabs>
              <w:tab w:val="left" w:pos="1875"/>
            </w:tabs>
            <w:ind w:right="-105"/>
            <w:rPr>
              <w:b/>
              <w:bCs/>
            </w:rPr>
          </w:pPr>
          <w:r>
            <w:rPr>
              <w:b/>
              <w:bCs/>
            </w:rPr>
            <w:t>Recurrente:</w:t>
          </w:r>
          <w:r>
            <w:rPr>
              <w:b/>
              <w:bCs/>
            </w:rPr>
            <w:tab/>
          </w:r>
        </w:p>
      </w:tc>
      <w:tc>
        <w:tcPr>
          <w:tcW w:w="4253" w:type="dxa"/>
          <w:shd w:val="clear" w:color="auto" w:fill="auto"/>
        </w:tcPr>
        <w:p w14:paraId="753F232C" w14:textId="44D41661" w:rsidR="00BB2887" w:rsidRDefault="004B62AD">
          <w:r w:rsidRPr="004B62AD">
            <w:rPr>
              <w:highlight w:val="black"/>
            </w:rPr>
            <w:t>XXXXXXXXXXXXXXXXX</w:t>
          </w:r>
        </w:p>
      </w:tc>
    </w:tr>
    <w:tr w:rsidR="00BB2887" w14:paraId="7AEF6539" w14:textId="77777777">
      <w:trPr>
        <w:trHeight w:val="261"/>
      </w:trPr>
      <w:tc>
        <w:tcPr>
          <w:tcW w:w="2551" w:type="dxa"/>
        </w:tcPr>
        <w:p w14:paraId="1FB91261" w14:textId="77777777" w:rsidR="00BB2887" w:rsidRDefault="00B27581">
          <w:pPr>
            <w:tabs>
              <w:tab w:val="right" w:pos="8838"/>
            </w:tabs>
            <w:ind w:right="-105"/>
            <w:rPr>
              <w:b/>
              <w:bCs/>
            </w:rPr>
          </w:pPr>
          <w:r>
            <w:rPr>
              <w:b/>
              <w:bCs/>
            </w:rPr>
            <w:t>Sujeto Obligado:</w:t>
          </w:r>
        </w:p>
      </w:tc>
      <w:tc>
        <w:tcPr>
          <w:tcW w:w="4253" w:type="dxa"/>
        </w:tcPr>
        <w:p w14:paraId="1A02DD45" w14:textId="2FB2648C" w:rsidR="00BB2887" w:rsidRDefault="006B6109">
          <w:r>
            <w:t>Ayuntamiento de Tecámac</w:t>
          </w:r>
        </w:p>
      </w:tc>
    </w:tr>
    <w:tr w:rsidR="00BB2887" w14:paraId="200F24E9" w14:textId="77777777">
      <w:trPr>
        <w:trHeight w:val="261"/>
      </w:trPr>
      <w:tc>
        <w:tcPr>
          <w:tcW w:w="2551" w:type="dxa"/>
        </w:tcPr>
        <w:p w14:paraId="4D0B2EA6" w14:textId="77777777" w:rsidR="00BB2887" w:rsidRDefault="00B27581">
          <w:pPr>
            <w:tabs>
              <w:tab w:val="right" w:pos="8838"/>
            </w:tabs>
            <w:ind w:right="-105"/>
            <w:rPr>
              <w:b/>
              <w:bCs/>
            </w:rPr>
          </w:pPr>
          <w:r>
            <w:rPr>
              <w:b/>
              <w:bCs/>
            </w:rPr>
            <w:t>Comisionado Ponente:</w:t>
          </w:r>
        </w:p>
      </w:tc>
      <w:tc>
        <w:tcPr>
          <w:tcW w:w="4253" w:type="dxa"/>
        </w:tcPr>
        <w:p w14:paraId="4109625B" w14:textId="77777777" w:rsidR="00BB2887" w:rsidRDefault="00B27581">
          <w:pPr>
            <w:tabs>
              <w:tab w:val="right" w:pos="8838"/>
            </w:tabs>
            <w:ind w:right="-32"/>
            <w:rPr>
              <w:b/>
              <w:bCs/>
            </w:rPr>
          </w:pPr>
          <w:r>
            <w:t>Luis Gustavo Parra Noriega</w:t>
          </w:r>
        </w:p>
      </w:tc>
    </w:tr>
  </w:tbl>
  <w:p w14:paraId="0007CF0C" w14:textId="77777777" w:rsidR="00BB2887" w:rsidRDefault="00000000">
    <w:pPr>
      <w:pBdr>
        <w:top w:val="nil"/>
        <w:left w:val="nil"/>
        <w:bottom w:val="nil"/>
        <w:right w:val="nil"/>
        <w:between w:val="nil"/>
      </w:pBdr>
      <w:tabs>
        <w:tab w:val="center" w:pos="4419"/>
        <w:tab w:val="right" w:pos="8838"/>
        <w:tab w:val="left" w:pos="5812"/>
      </w:tabs>
      <w:spacing w:after="0" w:line="240" w:lineRule="auto"/>
      <w:rPr>
        <w:color w:val="000000"/>
      </w:rPr>
    </w:pPr>
    <w:r>
      <w:rPr>
        <w:color w:val="000000"/>
      </w:rPr>
      <w:pict w14:anchorId="3045D4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MARCA DE AGUA - HOJA RESOLUCIÓN" style="position:absolute;left:0;text-align:left;margin-left:-89.1pt;margin-top:-125pt;width:663.5pt;height:12in;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DC6147"/>
    <w:multiLevelType w:val="hybridMultilevel"/>
    <w:tmpl w:val="7ED2D57A"/>
    <w:lvl w:ilvl="0" w:tplc="9BE653C2">
      <w:start w:val="1"/>
      <w:numFmt w:val="decimal"/>
      <w:lvlText w:val="%1."/>
      <w:lvlJc w:val="left"/>
      <w:pPr>
        <w:ind w:left="7590" w:hanging="360"/>
      </w:pPr>
      <w:rPr>
        <w:rFonts w:hint="default"/>
      </w:rPr>
    </w:lvl>
    <w:lvl w:ilvl="1" w:tplc="080A0019" w:tentative="1">
      <w:start w:val="1"/>
      <w:numFmt w:val="lowerLetter"/>
      <w:lvlText w:val="%2."/>
      <w:lvlJc w:val="left"/>
      <w:pPr>
        <w:ind w:left="8310" w:hanging="360"/>
      </w:pPr>
    </w:lvl>
    <w:lvl w:ilvl="2" w:tplc="080A001B" w:tentative="1">
      <w:start w:val="1"/>
      <w:numFmt w:val="lowerRoman"/>
      <w:lvlText w:val="%3."/>
      <w:lvlJc w:val="right"/>
      <w:pPr>
        <w:ind w:left="9030" w:hanging="180"/>
      </w:pPr>
    </w:lvl>
    <w:lvl w:ilvl="3" w:tplc="080A000F" w:tentative="1">
      <w:start w:val="1"/>
      <w:numFmt w:val="decimal"/>
      <w:lvlText w:val="%4."/>
      <w:lvlJc w:val="left"/>
      <w:pPr>
        <w:ind w:left="9750" w:hanging="360"/>
      </w:pPr>
    </w:lvl>
    <w:lvl w:ilvl="4" w:tplc="080A0019" w:tentative="1">
      <w:start w:val="1"/>
      <w:numFmt w:val="lowerLetter"/>
      <w:lvlText w:val="%5."/>
      <w:lvlJc w:val="left"/>
      <w:pPr>
        <w:ind w:left="10470" w:hanging="360"/>
      </w:pPr>
    </w:lvl>
    <w:lvl w:ilvl="5" w:tplc="080A001B" w:tentative="1">
      <w:start w:val="1"/>
      <w:numFmt w:val="lowerRoman"/>
      <w:lvlText w:val="%6."/>
      <w:lvlJc w:val="right"/>
      <w:pPr>
        <w:ind w:left="11190" w:hanging="180"/>
      </w:pPr>
    </w:lvl>
    <w:lvl w:ilvl="6" w:tplc="080A000F" w:tentative="1">
      <w:start w:val="1"/>
      <w:numFmt w:val="decimal"/>
      <w:lvlText w:val="%7."/>
      <w:lvlJc w:val="left"/>
      <w:pPr>
        <w:ind w:left="11910" w:hanging="360"/>
      </w:pPr>
    </w:lvl>
    <w:lvl w:ilvl="7" w:tplc="080A0019" w:tentative="1">
      <w:start w:val="1"/>
      <w:numFmt w:val="lowerLetter"/>
      <w:lvlText w:val="%8."/>
      <w:lvlJc w:val="left"/>
      <w:pPr>
        <w:ind w:left="12630" w:hanging="360"/>
      </w:pPr>
    </w:lvl>
    <w:lvl w:ilvl="8" w:tplc="080A001B" w:tentative="1">
      <w:start w:val="1"/>
      <w:numFmt w:val="lowerRoman"/>
      <w:lvlText w:val="%9."/>
      <w:lvlJc w:val="right"/>
      <w:pPr>
        <w:ind w:left="13350" w:hanging="180"/>
      </w:pPr>
    </w:lvl>
  </w:abstractNum>
  <w:abstractNum w:abstractNumId="1" w15:restartNumberingAfterBreak="0">
    <w:nsid w:val="27883DF9"/>
    <w:multiLevelType w:val="hybridMultilevel"/>
    <w:tmpl w:val="6458119E"/>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 w15:restartNumberingAfterBreak="0">
    <w:nsid w:val="31CC1214"/>
    <w:multiLevelType w:val="multilevel"/>
    <w:tmpl w:val="991A1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2BA52E2"/>
    <w:multiLevelType w:val="multilevel"/>
    <w:tmpl w:val="ABC8B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4A81590"/>
    <w:multiLevelType w:val="hybridMultilevel"/>
    <w:tmpl w:val="38DCE1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6EA46FE"/>
    <w:multiLevelType w:val="multilevel"/>
    <w:tmpl w:val="8B92C5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8A65CB2"/>
    <w:multiLevelType w:val="multilevel"/>
    <w:tmpl w:val="C1E856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B466FFB"/>
    <w:multiLevelType w:val="multilevel"/>
    <w:tmpl w:val="67E64F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49B01EA"/>
    <w:multiLevelType w:val="multilevel"/>
    <w:tmpl w:val="3C6082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5933C94"/>
    <w:multiLevelType w:val="multilevel"/>
    <w:tmpl w:val="5CE666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3365914"/>
    <w:multiLevelType w:val="multilevel"/>
    <w:tmpl w:val="550C30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3782DCF"/>
    <w:multiLevelType w:val="multilevel"/>
    <w:tmpl w:val="1ED06F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5EE2397"/>
    <w:multiLevelType w:val="multilevel"/>
    <w:tmpl w:val="42DC6D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7F56294"/>
    <w:multiLevelType w:val="multilevel"/>
    <w:tmpl w:val="19AE7F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7936158">
    <w:abstractNumId w:val="10"/>
  </w:num>
  <w:num w:numId="2" w16cid:durableId="1785467523">
    <w:abstractNumId w:val="9"/>
  </w:num>
  <w:num w:numId="3" w16cid:durableId="799764706">
    <w:abstractNumId w:val="11"/>
  </w:num>
  <w:num w:numId="4" w16cid:durableId="1843423685">
    <w:abstractNumId w:val="8"/>
  </w:num>
  <w:num w:numId="5" w16cid:durableId="937716960">
    <w:abstractNumId w:val="7"/>
  </w:num>
  <w:num w:numId="6" w16cid:durableId="2130319436">
    <w:abstractNumId w:val="2"/>
  </w:num>
  <w:num w:numId="7" w16cid:durableId="271786681">
    <w:abstractNumId w:val="5"/>
  </w:num>
  <w:num w:numId="8" w16cid:durableId="1808937106">
    <w:abstractNumId w:val="12"/>
  </w:num>
  <w:num w:numId="9" w16cid:durableId="1985700783">
    <w:abstractNumId w:val="13"/>
  </w:num>
  <w:num w:numId="10" w16cid:durableId="1710491922">
    <w:abstractNumId w:val="0"/>
  </w:num>
  <w:num w:numId="11" w16cid:durableId="455293483">
    <w:abstractNumId w:val="1"/>
  </w:num>
  <w:num w:numId="12" w16cid:durableId="1089929495">
    <w:abstractNumId w:val="4"/>
  </w:num>
  <w:num w:numId="13" w16cid:durableId="439956689">
    <w:abstractNumId w:val="3"/>
  </w:num>
  <w:num w:numId="14" w16cid:durableId="15509173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887"/>
    <w:rsid w:val="000144E2"/>
    <w:rsid w:val="0004172E"/>
    <w:rsid w:val="00064EE9"/>
    <w:rsid w:val="0009737B"/>
    <w:rsid w:val="000F37E1"/>
    <w:rsid w:val="00103CC2"/>
    <w:rsid w:val="00153D9A"/>
    <w:rsid w:val="001A5644"/>
    <w:rsid w:val="001B1B01"/>
    <w:rsid w:val="002624DF"/>
    <w:rsid w:val="0026475A"/>
    <w:rsid w:val="00267E89"/>
    <w:rsid w:val="00305ABD"/>
    <w:rsid w:val="003163A8"/>
    <w:rsid w:val="00330C13"/>
    <w:rsid w:val="003D4204"/>
    <w:rsid w:val="0040562D"/>
    <w:rsid w:val="00416CC8"/>
    <w:rsid w:val="004B5EE2"/>
    <w:rsid w:val="004B62AD"/>
    <w:rsid w:val="00563B00"/>
    <w:rsid w:val="00565BF1"/>
    <w:rsid w:val="005877CF"/>
    <w:rsid w:val="005A6174"/>
    <w:rsid w:val="005B2532"/>
    <w:rsid w:val="005B6854"/>
    <w:rsid w:val="005F0855"/>
    <w:rsid w:val="00662EDC"/>
    <w:rsid w:val="0066537F"/>
    <w:rsid w:val="006B6109"/>
    <w:rsid w:val="00711CF1"/>
    <w:rsid w:val="00716CCB"/>
    <w:rsid w:val="007C0E86"/>
    <w:rsid w:val="007C2910"/>
    <w:rsid w:val="007D548E"/>
    <w:rsid w:val="007E4748"/>
    <w:rsid w:val="00880670"/>
    <w:rsid w:val="008A222D"/>
    <w:rsid w:val="008B39C7"/>
    <w:rsid w:val="00913ABA"/>
    <w:rsid w:val="00930FAA"/>
    <w:rsid w:val="00951322"/>
    <w:rsid w:val="009B12F8"/>
    <w:rsid w:val="009D3EC9"/>
    <w:rsid w:val="00A21892"/>
    <w:rsid w:val="00A57A80"/>
    <w:rsid w:val="00AE3AEC"/>
    <w:rsid w:val="00B27581"/>
    <w:rsid w:val="00BB2887"/>
    <w:rsid w:val="00BC7186"/>
    <w:rsid w:val="00C422BF"/>
    <w:rsid w:val="00C57A3F"/>
    <w:rsid w:val="00C6515F"/>
    <w:rsid w:val="00CC239E"/>
    <w:rsid w:val="00D749FE"/>
    <w:rsid w:val="00DD5A8C"/>
    <w:rsid w:val="00DF7FB8"/>
    <w:rsid w:val="00E753EA"/>
    <w:rsid w:val="00E8482D"/>
    <w:rsid w:val="00E87E00"/>
    <w:rsid w:val="00F56587"/>
    <w:rsid w:val="00F82AE5"/>
    <w:rsid w:val="00F84014"/>
    <w:rsid w:val="00FD0F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8F051"/>
  <w15:docId w15:val="{7C623597-8F49-4B7E-8C05-6835DF1F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alatino Linotype" w:eastAsia="Palatino Linotype" w:hAnsi="Palatino Linotype" w:cs="Palatino Linotype"/>
        <w:sz w:val="22"/>
        <w:szCs w:val="22"/>
        <w:lang w:val="es-MX" w:eastAsia="es-MX" w:bidi="ar-SA"/>
      </w:rPr>
    </w:rPrDefault>
    <w:pPrDefault>
      <w:pPr>
        <w:spacing w:after="160" w:line="25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4">
    <w:name w:val="4"/>
    <w:basedOn w:val="TableNormal0"/>
    <w:pPr>
      <w:spacing w:after="0" w:line="240" w:lineRule="auto"/>
    </w:pPr>
    <w:tblPr>
      <w:tblStyleRowBandSize w:val="1"/>
      <w:tblStyleColBandSize w:val="1"/>
      <w:tblCellMar>
        <w:left w:w="108" w:type="dxa"/>
        <w:right w:w="108" w:type="dxa"/>
      </w:tblCellMar>
    </w:tblPr>
  </w:style>
  <w:style w:type="table" w:customStyle="1" w:styleId="3">
    <w:name w:val="3"/>
    <w:basedOn w:val="TableNormal0"/>
    <w:pPr>
      <w:spacing w:after="0" w:line="240" w:lineRule="auto"/>
    </w:pPr>
    <w:tblPr>
      <w:tblStyleRowBandSize w:val="1"/>
      <w:tblStyleColBandSize w:val="1"/>
      <w:tblCellMar>
        <w:left w:w="108" w:type="dxa"/>
        <w:right w:w="108" w:type="dxa"/>
      </w:tblCellMar>
    </w:tblPr>
  </w:style>
  <w:style w:type="table" w:customStyle="1" w:styleId="2">
    <w:name w:val="2"/>
    <w:basedOn w:val="TableNormal0"/>
    <w:pPr>
      <w:spacing w:after="0" w:line="240" w:lineRule="auto"/>
    </w:pPr>
    <w:tblPr>
      <w:tblStyleRowBandSize w:val="1"/>
      <w:tblStyleColBandSize w:val="1"/>
      <w:tblCellMar>
        <w:left w:w="108" w:type="dxa"/>
        <w:right w:w="108" w:type="dxa"/>
      </w:tblCellMar>
    </w:tblPr>
  </w:style>
  <w:style w:type="table" w:customStyle="1" w:styleId="1">
    <w:name w:val="1"/>
    <w:basedOn w:val="TableNormal0"/>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5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TDC">
    <w:name w:val="TOC Heading"/>
    <w:next w:val="Normal"/>
    <w:uiPriority w:val="39"/>
    <w:unhideWhenUsed/>
    <w:qFormat/>
    <w:rsid w:val="00C4052B"/>
    <w:pPr>
      <w:spacing w:before="240" w:after="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Mencinsinresolver4">
    <w:name w:val="Mención sin resolver4"/>
    <w:basedOn w:val="Fuentedeprrafopredeter"/>
    <w:uiPriority w:val="99"/>
    <w:semiHidden/>
    <w:unhideWhenUsed/>
    <w:rsid w:val="00C96A34"/>
    <w:rPr>
      <w:color w:val="605E5C"/>
      <w:shd w:val="clear" w:color="auto" w:fill="E1DFDD"/>
    </w:rPr>
  </w:style>
  <w:style w:type="character" w:customStyle="1" w:styleId="Mencinsinresolver5">
    <w:name w:val="Mención sin resolver5"/>
    <w:basedOn w:val="Fuentedeprrafopredeter"/>
    <w:uiPriority w:val="99"/>
    <w:semiHidden/>
    <w:unhideWhenUsed/>
    <w:rsid w:val="0065190E"/>
    <w:rPr>
      <w:color w:val="605E5C"/>
      <w:shd w:val="clear" w:color="auto" w:fill="E1DFDD"/>
    </w:rPr>
  </w:style>
  <w:style w:type="character" w:customStyle="1" w:styleId="Mencinsinresolver6">
    <w:name w:val="Mención sin resolver6"/>
    <w:basedOn w:val="Fuentedeprrafopredeter"/>
    <w:uiPriority w:val="99"/>
    <w:semiHidden/>
    <w:unhideWhenUsed/>
    <w:rsid w:val="00EE2207"/>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UdtRu54aC4tTovj3QOax8inGcw==">CgMxLjAyDmgudzRyNnYyeTVoNmN6Mg5oLnVlOGhtemRnMGRzZzIOaC40enc0anFyZ3UzazEyDmgub2E3aGVycHR1NndxMg5oLjRjajR1MTc3eW92bjIOaC56NzJxMG96YWJ3M2oyDmguZnVqNndqcnd6emVqMgloLjMwajB6bGwyDmgucm80dzgzM3A5eDRxMg5oLnN4MTRlNm9heW43aDIOaC5qcjl0MHV3dnk1MTcyDmgueWd6YTY4cmlwd2czMg1oLm5xM2ZiNjNlY21pMg5oLmE1MzB0ODM3aDM2cTgAciExSEQ3Sm9SS245NkxBUG1fQ1pNOEdDX1FhbS1NWDBabGM=</go:docsCustomData>
</go:gDocsCustomXmlDataStorage>
</file>

<file path=customXml/itemProps1.xml><?xml version="1.0" encoding="utf-8"?>
<ds:datastoreItem xmlns:ds="http://schemas.openxmlformats.org/officeDocument/2006/customXml" ds:itemID="{38CB41E1-A16F-49A9-8376-2E0B03737C8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5650</Words>
  <Characters>31075</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INFOEM-610</dc:creator>
  <cp:lastModifiedBy>inf03m_31@outlook.com</cp:lastModifiedBy>
  <cp:revision>4</cp:revision>
  <cp:lastPrinted>2026-07-17T18:17:00Z</cp:lastPrinted>
  <dcterms:created xsi:type="dcterms:W3CDTF">2026-07-17T18:16:00Z</dcterms:created>
  <dcterms:modified xsi:type="dcterms:W3CDTF">2026-08-07T20:24:00Z</dcterms:modified>
</cp:coreProperties>
</file>