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39F60" w14:textId="6BB8A771" w:rsidR="00CE2B0E" w:rsidRPr="00F403D1" w:rsidRDefault="008263D6">
      <w:pPr>
        <w:spacing w:before="240" w:after="240" w:line="360" w:lineRule="auto"/>
        <w:jc w:val="both"/>
        <w:rPr>
          <w:rFonts w:ascii="Palatino Linotype" w:eastAsia="Palatino Linotype" w:hAnsi="Palatino Linotype" w:cs="Palatino Linotype"/>
        </w:rPr>
      </w:pPr>
      <w:bookmarkStart w:id="0" w:name="_GoBack"/>
      <w:bookmarkEnd w:id="0"/>
      <w:r w:rsidRPr="00F403D1">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w:t>
      </w:r>
      <w:r w:rsidR="009C0A5F" w:rsidRPr="00F403D1">
        <w:rPr>
          <w:rFonts w:ascii="Palatino Linotype" w:eastAsia="Palatino Linotype" w:hAnsi="Palatino Linotype" w:cs="Palatino Linotype"/>
        </w:rPr>
        <w:t xml:space="preserve"> once de febrero de dos mil veintiséis</w:t>
      </w:r>
      <w:r w:rsidRPr="00F403D1">
        <w:rPr>
          <w:rFonts w:ascii="Palatino Linotype" w:eastAsia="Palatino Linotype" w:hAnsi="Palatino Linotype" w:cs="Palatino Linotype"/>
        </w:rPr>
        <w:t>.</w:t>
      </w:r>
    </w:p>
    <w:p w14:paraId="088601E4" w14:textId="6D342A67" w:rsidR="00CE2B0E" w:rsidRPr="00F403D1" w:rsidRDefault="008263D6">
      <w:pPr>
        <w:spacing w:before="240" w:after="240" w:line="360" w:lineRule="auto"/>
        <w:ind w:right="-112"/>
        <w:jc w:val="both"/>
        <w:rPr>
          <w:rFonts w:ascii="Palatino Linotype" w:eastAsia="Palatino Linotype" w:hAnsi="Palatino Linotype" w:cs="Palatino Linotype"/>
        </w:rPr>
      </w:pPr>
      <w:bookmarkStart w:id="1" w:name="_heading=h.30j0zll" w:colFirst="0" w:colLast="0"/>
      <w:bookmarkEnd w:id="1"/>
      <w:r w:rsidRPr="00F403D1">
        <w:rPr>
          <w:rFonts w:ascii="Palatino Linotype" w:eastAsia="Palatino Linotype" w:hAnsi="Palatino Linotype" w:cs="Palatino Linotype"/>
          <w:b/>
        </w:rPr>
        <w:t xml:space="preserve">Vistos </w:t>
      </w:r>
      <w:r w:rsidRPr="00F403D1">
        <w:rPr>
          <w:rFonts w:ascii="Palatino Linotype" w:eastAsia="Palatino Linotype" w:hAnsi="Palatino Linotype" w:cs="Palatino Linotype"/>
        </w:rPr>
        <w:t xml:space="preserve">los expedientes relativos a los recursos de revisión </w:t>
      </w:r>
      <w:r w:rsidR="009C0A5F" w:rsidRPr="00F403D1">
        <w:rPr>
          <w:rFonts w:ascii="Palatino Linotype" w:eastAsia="Palatino Linotype" w:hAnsi="Palatino Linotype" w:cs="Palatino Linotype"/>
          <w:b/>
        </w:rPr>
        <w:t>10179</w:t>
      </w:r>
      <w:r w:rsidRPr="00F403D1">
        <w:rPr>
          <w:rFonts w:ascii="Palatino Linotype" w:eastAsia="Palatino Linotype" w:hAnsi="Palatino Linotype" w:cs="Palatino Linotype"/>
          <w:b/>
        </w:rPr>
        <w:t>/INFOEM/IP/RR/2025</w:t>
      </w:r>
      <w:r w:rsidR="009C0A5F" w:rsidRPr="00F403D1">
        <w:rPr>
          <w:rFonts w:ascii="Palatino Linotype" w:eastAsia="Palatino Linotype" w:hAnsi="Palatino Linotype" w:cs="Palatino Linotype"/>
          <w:b/>
        </w:rPr>
        <w:t xml:space="preserve">, 10180/INFOEM/IP/RR/2025, 10181/INFOEM/IP/RR/2025 </w:t>
      </w:r>
      <w:r w:rsidRPr="00F403D1">
        <w:rPr>
          <w:rFonts w:ascii="Palatino Linotype" w:eastAsia="Palatino Linotype" w:hAnsi="Palatino Linotype" w:cs="Palatino Linotype"/>
        </w:rPr>
        <w:t xml:space="preserve">y </w:t>
      </w:r>
      <w:r w:rsidR="009C0A5F" w:rsidRPr="00F403D1">
        <w:rPr>
          <w:rFonts w:ascii="Palatino Linotype" w:eastAsia="Palatino Linotype" w:hAnsi="Palatino Linotype" w:cs="Palatino Linotype"/>
          <w:b/>
        </w:rPr>
        <w:t>10182/INFOEM/IP/RR/2025</w:t>
      </w:r>
      <w:r w:rsidRPr="00F403D1">
        <w:rPr>
          <w:rFonts w:ascii="Palatino Linotype" w:eastAsia="Palatino Linotype" w:hAnsi="Palatino Linotype" w:cs="Palatino Linotype"/>
        </w:rPr>
        <w:t xml:space="preserve">, </w:t>
      </w:r>
      <w:r w:rsidRPr="00F403D1">
        <w:rPr>
          <w:rFonts w:ascii="Palatino Linotype" w:eastAsia="Palatino Linotype" w:hAnsi="Palatino Linotype" w:cs="Palatino Linotype"/>
          <w:b/>
        </w:rPr>
        <w:t>acumulados,</w:t>
      </w:r>
      <w:r w:rsidRPr="00F403D1">
        <w:rPr>
          <w:rFonts w:ascii="Palatino Linotype" w:eastAsia="Palatino Linotype" w:hAnsi="Palatino Linotype" w:cs="Palatino Linotype"/>
        </w:rPr>
        <w:t xml:space="preserve"> interpuestos por</w:t>
      </w:r>
      <w:r w:rsidR="00137ED4" w:rsidRPr="00F403D1">
        <w:rPr>
          <w:rFonts w:ascii="Palatino Linotype" w:eastAsia="Palatino Linotype" w:hAnsi="Palatino Linotype" w:cs="Palatino Linotype"/>
          <w:b/>
        </w:rPr>
        <w:t xml:space="preserve"> una persona que no proporcionó nombre o seudónimo</w:t>
      </w:r>
      <w:r w:rsidRPr="00F403D1">
        <w:rPr>
          <w:rFonts w:ascii="Palatino Linotype" w:eastAsia="Palatino Linotype" w:hAnsi="Palatino Linotype" w:cs="Palatino Linotype"/>
          <w:b/>
        </w:rPr>
        <w:t xml:space="preserve">, </w:t>
      </w:r>
      <w:r w:rsidRPr="00F403D1">
        <w:rPr>
          <w:rFonts w:ascii="Palatino Linotype" w:eastAsia="Palatino Linotype" w:hAnsi="Palatino Linotype" w:cs="Palatino Linotype"/>
        </w:rPr>
        <w:t xml:space="preserve">en lo sucesivo la parte </w:t>
      </w:r>
      <w:r w:rsidRPr="00F403D1">
        <w:rPr>
          <w:rFonts w:ascii="Palatino Linotype" w:eastAsia="Palatino Linotype" w:hAnsi="Palatino Linotype" w:cs="Palatino Linotype"/>
          <w:b/>
        </w:rPr>
        <w:t>Recurrente</w:t>
      </w:r>
      <w:r w:rsidRPr="00F403D1">
        <w:rPr>
          <w:rFonts w:ascii="Palatino Linotype" w:eastAsia="Palatino Linotype" w:hAnsi="Palatino Linotype" w:cs="Palatino Linotype"/>
        </w:rPr>
        <w:t>, en contra de la respuesta a sus solicitudes de información con números de folio</w:t>
      </w:r>
      <w:r w:rsidRPr="00F403D1">
        <w:rPr>
          <w:rFonts w:ascii="Palatino Linotype" w:eastAsia="Palatino Linotype" w:hAnsi="Palatino Linotype" w:cs="Palatino Linotype"/>
          <w:b/>
        </w:rPr>
        <w:t xml:space="preserve"> </w:t>
      </w:r>
      <w:r w:rsidR="009C0A5F" w:rsidRPr="00F403D1">
        <w:rPr>
          <w:rFonts w:ascii="Palatino Linotype" w:eastAsia="Palatino Linotype" w:hAnsi="Palatino Linotype" w:cs="Palatino Linotype"/>
          <w:b/>
        </w:rPr>
        <w:t xml:space="preserve">00192/MELOCAM/IP/2025, 00193/MELOCAM/IP/2025, 00194/MELOCAM/IP/2025 </w:t>
      </w:r>
      <w:r w:rsidRPr="00F403D1">
        <w:rPr>
          <w:rFonts w:ascii="Palatino Linotype" w:eastAsia="Palatino Linotype" w:hAnsi="Palatino Linotype" w:cs="Palatino Linotype"/>
        </w:rPr>
        <w:t>y</w:t>
      </w:r>
      <w:r w:rsidRPr="00F403D1">
        <w:rPr>
          <w:rFonts w:ascii="Palatino Linotype" w:eastAsia="Palatino Linotype" w:hAnsi="Palatino Linotype" w:cs="Palatino Linotype"/>
          <w:b/>
        </w:rPr>
        <w:t xml:space="preserve"> </w:t>
      </w:r>
      <w:r w:rsidR="009C0A5F" w:rsidRPr="00F403D1">
        <w:rPr>
          <w:rFonts w:ascii="Palatino Linotype" w:eastAsia="Palatino Linotype" w:hAnsi="Palatino Linotype" w:cs="Palatino Linotype"/>
          <w:b/>
        </w:rPr>
        <w:t>00809/MELOCAM/IP/2025</w:t>
      </w:r>
      <w:r w:rsidRPr="00F403D1">
        <w:rPr>
          <w:rFonts w:ascii="Palatino Linotype" w:eastAsia="Palatino Linotype" w:hAnsi="Palatino Linotype" w:cs="Palatino Linotype"/>
          <w:b/>
        </w:rPr>
        <w:t>,</w:t>
      </w:r>
      <w:r w:rsidRPr="00F403D1">
        <w:rPr>
          <w:rFonts w:ascii="Palatino Linotype" w:eastAsia="Palatino Linotype" w:hAnsi="Palatino Linotype" w:cs="Palatino Linotype"/>
        </w:rPr>
        <w:t xml:space="preserve"> respectivamente, por parte del</w:t>
      </w:r>
      <w:r w:rsidRPr="00F403D1">
        <w:rPr>
          <w:rFonts w:ascii="Palatino Linotype" w:hAnsi="Palatino Linotype"/>
        </w:rPr>
        <w:t xml:space="preserve"> </w:t>
      </w:r>
      <w:r w:rsidR="009C0A5F" w:rsidRPr="00F403D1">
        <w:rPr>
          <w:rFonts w:ascii="Palatino Linotype" w:eastAsia="Palatino Linotype" w:hAnsi="Palatino Linotype" w:cs="Palatino Linotype"/>
          <w:b/>
        </w:rPr>
        <w:t>Ayuntamiento de Melchor Ocampo</w:t>
      </w:r>
      <w:r w:rsidRPr="00F403D1">
        <w:rPr>
          <w:rFonts w:ascii="Palatino Linotype" w:eastAsia="Palatino Linotype" w:hAnsi="Palatino Linotype" w:cs="Palatino Linotype"/>
          <w:b/>
        </w:rPr>
        <w:t xml:space="preserve">, </w:t>
      </w:r>
      <w:r w:rsidRPr="00F403D1">
        <w:rPr>
          <w:rFonts w:ascii="Palatino Linotype" w:eastAsia="Palatino Linotype" w:hAnsi="Palatino Linotype" w:cs="Palatino Linotype"/>
        </w:rPr>
        <w:t xml:space="preserve">en lo sucesivo el </w:t>
      </w:r>
      <w:r w:rsidRPr="00F403D1">
        <w:rPr>
          <w:rFonts w:ascii="Palatino Linotype" w:eastAsia="Palatino Linotype" w:hAnsi="Palatino Linotype" w:cs="Palatino Linotype"/>
          <w:b/>
        </w:rPr>
        <w:t xml:space="preserve">Sujeto Obligado; </w:t>
      </w:r>
      <w:r w:rsidRPr="00F403D1">
        <w:rPr>
          <w:rFonts w:ascii="Palatino Linotype" w:eastAsia="Palatino Linotype" w:hAnsi="Palatino Linotype" w:cs="Palatino Linotype"/>
        </w:rPr>
        <w:t xml:space="preserve">se procede a dictar la presente resolución, con base en lo siguiente. </w:t>
      </w:r>
    </w:p>
    <w:p w14:paraId="18033D68" w14:textId="77777777" w:rsidR="00CE2B0E" w:rsidRPr="00F403D1" w:rsidRDefault="008263D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F403D1">
        <w:rPr>
          <w:rFonts w:ascii="Palatino Linotype" w:eastAsia="Palatino Linotype" w:hAnsi="Palatino Linotype" w:cs="Palatino Linotype"/>
          <w:b/>
        </w:rPr>
        <w:t>I. A N T E C E D E N T E S:</w:t>
      </w:r>
    </w:p>
    <w:p w14:paraId="35875D3E" w14:textId="457CA46C" w:rsidR="00DD169E" w:rsidRPr="00F403D1" w:rsidRDefault="008263D6" w:rsidP="00DD169E">
      <w:pPr>
        <w:tabs>
          <w:tab w:val="left" w:pos="5071"/>
        </w:tabs>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b/>
        </w:rPr>
        <w:t>1. Solicitudes de información.</w:t>
      </w:r>
      <w:r w:rsidRPr="00F403D1">
        <w:rPr>
          <w:rFonts w:ascii="Palatino Linotype" w:eastAsia="Palatino Linotype" w:hAnsi="Palatino Linotype" w:cs="Palatino Linotype"/>
        </w:rPr>
        <w:t xml:space="preserve"> El </w:t>
      </w:r>
      <w:r w:rsidR="00696559" w:rsidRPr="00F403D1">
        <w:rPr>
          <w:rFonts w:ascii="Palatino Linotype" w:eastAsia="Palatino Linotype" w:hAnsi="Palatino Linotype" w:cs="Palatino Linotype"/>
          <w:b/>
        </w:rPr>
        <w:t>dos</w:t>
      </w:r>
      <w:r w:rsidR="00A10E4F" w:rsidRPr="00F403D1">
        <w:rPr>
          <w:rFonts w:ascii="Palatino Linotype" w:eastAsia="Palatino Linotype" w:hAnsi="Palatino Linotype" w:cs="Palatino Linotype"/>
          <w:b/>
        </w:rPr>
        <w:t xml:space="preserve"> de julio</w:t>
      </w:r>
      <w:r w:rsidR="00137ED4" w:rsidRPr="00F403D1">
        <w:rPr>
          <w:rFonts w:ascii="Palatino Linotype" w:eastAsia="Palatino Linotype" w:hAnsi="Palatino Linotype" w:cs="Palatino Linotype"/>
          <w:b/>
        </w:rPr>
        <w:t xml:space="preserve"> </w:t>
      </w:r>
      <w:r w:rsidR="00696559" w:rsidRPr="00F403D1">
        <w:rPr>
          <w:rFonts w:ascii="Palatino Linotype" w:eastAsia="Palatino Linotype" w:hAnsi="Palatino Linotype" w:cs="Palatino Linotype"/>
          <w:b/>
        </w:rPr>
        <w:t xml:space="preserve">y el cuatro de agosto </w:t>
      </w:r>
      <w:r w:rsidR="00137ED4" w:rsidRPr="00F403D1">
        <w:rPr>
          <w:rFonts w:ascii="Palatino Linotype" w:eastAsia="Palatino Linotype" w:hAnsi="Palatino Linotype" w:cs="Palatino Linotype"/>
          <w:b/>
        </w:rPr>
        <w:t>de</w:t>
      </w:r>
      <w:r w:rsidRPr="00F403D1">
        <w:rPr>
          <w:rFonts w:ascii="Palatino Linotype" w:eastAsia="Palatino Linotype" w:hAnsi="Palatino Linotype" w:cs="Palatino Linotype"/>
          <w:b/>
        </w:rPr>
        <w:t xml:space="preserve"> dos mil veinticinco, </w:t>
      </w:r>
      <w:r w:rsidRPr="00F403D1">
        <w:rPr>
          <w:rFonts w:ascii="Palatino Linotype" w:eastAsia="Palatino Linotype" w:hAnsi="Palatino Linotype" w:cs="Palatino Linotype"/>
        </w:rPr>
        <w:t xml:space="preserve">la parte </w:t>
      </w:r>
      <w:r w:rsidRPr="00F403D1">
        <w:rPr>
          <w:rFonts w:ascii="Palatino Linotype" w:eastAsia="Palatino Linotype" w:hAnsi="Palatino Linotype" w:cs="Palatino Linotype"/>
          <w:b/>
        </w:rPr>
        <w:t xml:space="preserve">Recurrente </w:t>
      </w:r>
      <w:r w:rsidRPr="00F403D1">
        <w:rPr>
          <w:rFonts w:ascii="Palatino Linotype" w:eastAsia="Palatino Linotype" w:hAnsi="Palatino Linotype" w:cs="Palatino Linotype"/>
        </w:rPr>
        <w:t xml:space="preserve">presentó las solicitudes de acceso a la información pública ante el </w:t>
      </w:r>
      <w:r w:rsidRPr="00F403D1">
        <w:rPr>
          <w:rFonts w:ascii="Palatino Linotype" w:eastAsia="Palatino Linotype" w:hAnsi="Palatino Linotype" w:cs="Palatino Linotype"/>
          <w:b/>
        </w:rPr>
        <w:t>Sujeto Obligado</w:t>
      </w:r>
      <w:r w:rsidRPr="00F403D1">
        <w:rPr>
          <w:rFonts w:ascii="Palatino Linotype" w:eastAsia="Palatino Linotype" w:hAnsi="Palatino Linotype" w:cs="Palatino Linotype"/>
        </w:rPr>
        <w:t xml:space="preserve">, a través del Sistema de Acceso a la Información Mexiquense, en lo subsecuente el </w:t>
      </w:r>
      <w:r w:rsidRPr="00F403D1">
        <w:rPr>
          <w:rFonts w:ascii="Palatino Linotype" w:eastAsia="Palatino Linotype" w:hAnsi="Palatino Linotype" w:cs="Palatino Linotype"/>
          <w:b/>
        </w:rPr>
        <w:t>SAIMEX</w:t>
      </w:r>
      <w:r w:rsidR="00DD169E" w:rsidRPr="00F403D1">
        <w:rPr>
          <w:rFonts w:ascii="Palatino Linotype" w:eastAsia="Palatino Linotype" w:hAnsi="Palatino Linotype" w:cs="Palatino Linotype"/>
          <w:b/>
        </w:rPr>
        <w:t>;</w:t>
      </w:r>
      <w:r w:rsidR="00DD169E" w:rsidRPr="00F403D1">
        <w:rPr>
          <w:rFonts w:ascii="Palatino Linotype" w:eastAsia="Palatino Linotype" w:hAnsi="Palatino Linotype" w:cs="Palatino Linotype"/>
        </w:rPr>
        <w:t xml:space="preserve"> mediante la cual requirió lo siguiente:</w:t>
      </w:r>
    </w:p>
    <w:tbl>
      <w:tblPr>
        <w:tblStyle w:val="aff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714"/>
      </w:tblGrid>
      <w:tr w:rsidR="000229ED" w:rsidRPr="00F403D1" w14:paraId="222BA9B6" w14:textId="77777777">
        <w:trPr>
          <w:jc w:val="center"/>
        </w:trPr>
        <w:tc>
          <w:tcPr>
            <w:tcW w:w="3114" w:type="dxa"/>
            <w:shd w:val="clear" w:color="auto" w:fill="BFBFBF"/>
          </w:tcPr>
          <w:p w14:paraId="680C480D" w14:textId="77777777" w:rsidR="00CE2B0E" w:rsidRPr="00F403D1" w:rsidRDefault="008263D6">
            <w:pPr>
              <w:spacing w:before="120" w:after="120" w:line="240" w:lineRule="auto"/>
              <w:jc w:val="center"/>
              <w:rPr>
                <w:rFonts w:ascii="Palatino Linotype" w:eastAsia="Palatino Linotype" w:hAnsi="Palatino Linotype" w:cs="Palatino Linotype"/>
                <w:b/>
                <w:sz w:val="20"/>
              </w:rPr>
            </w:pPr>
            <w:r w:rsidRPr="00F403D1">
              <w:rPr>
                <w:rFonts w:ascii="Palatino Linotype" w:eastAsia="Palatino Linotype" w:hAnsi="Palatino Linotype" w:cs="Palatino Linotype"/>
                <w:b/>
                <w:sz w:val="20"/>
              </w:rPr>
              <w:t>Número de solicitud</w:t>
            </w:r>
          </w:p>
        </w:tc>
        <w:tc>
          <w:tcPr>
            <w:tcW w:w="5714" w:type="dxa"/>
            <w:shd w:val="clear" w:color="auto" w:fill="BFBFBF"/>
          </w:tcPr>
          <w:p w14:paraId="3A3519CD" w14:textId="77777777" w:rsidR="00CE2B0E" w:rsidRPr="00F403D1" w:rsidRDefault="008263D6">
            <w:pPr>
              <w:spacing w:before="120" w:after="120" w:line="240" w:lineRule="auto"/>
              <w:jc w:val="center"/>
              <w:rPr>
                <w:rFonts w:ascii="Palatino Linotype" w:eastAsia="Palatino Linotype" w:hAnsi="Palatino Linotype" w:cs="Palatino Linotype"/>
                <w:b/>
                <w:sz w:val="20"/>
              </w:rPr>
            </w:pPr>
            <w:r w:rsidRPr="00F403D1">
              <w:rPr>
                <w:rFonts w:ascii="Palatino Linotype" w:eastAsia="Palatino Linotype" w:hAnsi="Palatino Linotype" w:cs="Palatino Linotype"/>
                <w:b/>
                <w:sz w:val="20"/>
              </w:rPr>
              <w:t>Información solicitada</w:t>
            </w:r>
          </w:p>
        </w:tc>
      </w:tr>
      <w:tr w:rsidR="000229ED" w:rsidRPr="00F403D1" w14:paraId="7C64112F" w14:textId="77777777">
        <w:trPr>
          <w:jc w:val="center"/>
        </w:trPr>
        <w:tc>
          <w:tcPr>
            <w:tcW w:w="3114" w:type="dxa"/>
            <w:vAlign w:val="center"/>
          </w:tcPr>
          <w:p w14:paraId="0E2A426B" w14:textId="77777777" w:rsidR="00696559" w:rsidRPr="00F403D1" w:rsidRDefault="00696559">
            <w:pPr>
              <w:spacing w:before="120" w:after="120" w:line="240" w:lineRule="auto"/>
              <w:jc w:val="center"/>
              <w:rPr>
                <w:rFonts w:ascii="Palatino Linotype" w:eastAsia="Palatino Linotype" w:hAnsi="Palatino Linotype" w:cs="Palatino Linotype"/>
                <w:b/>
                <w:bCs/>
                <w:sz w:val="20"/>
                <w:lang w:val="en-US"/>
              </w:rPr>
            </w:pPr>
            <w:bookmarkStart w:id="2" w:name="_Hlk210859073"/>
            <w:r w:rsidRPr="00F403D1">
              <w:rPr>
                <w:rFonts w:ascii="Palatino Linotype" w:eastAsia="Palatino Linotype" w:hAnsi="Palatino Linotype" w:cs="Palatino Linotype"/>
                <w:b/>
                <w:bCs/>
                <w:sz w:val="20"/>
                <w:lang w:val="en-US"/>
              </w:rPr>
              <w:t>00192/MELOCAM/IP/2025</w:t>
            </w:r>
          </w:p>
          <w:p w14:paraId="121E3731" w14:textId="001FB242" w:rsidR="00CE2B0E" w:rsidRPr="00F403D1" w:rsidRDefault="00696559" w:rsidP="00696559">
            <w:pPr>
              <w:spacing w:before="120" w:after="120" w:line="240" w:lineRule="auto"/>
              <w:jc w:val="center"/>
              <w:rPr>
                <w:rFonts w:ascii="Palatino Linotype" w:eastAsia="Palatino Linotype" w:hAnsi="Palatino Linotype" w:cs="Palatino Linotype"/>
                <w:b/>
                <w:sz w:val="20"/>
                <w:lang w:val="en-US"/>
              </w:rPr>
            </w:pPr>
            <w:r w:rsidRPr="00F403D1">
              <w:rPr>
                <w:rFonts w:ascii="Palatino Linotype" w:eastAsia="Palatino Linotype" w:hAnsi="Palatino Linotype" w:cs="Palatino Linotype"/>
                <w:b/>
                <w:bCs/>
                <w:sz w:val="20"/>
                <w:lang w:val="en-US"/>
              </w:rPr>
              <w:t>10179</w:t>
            </w:r>
            <w:r w:rsidR="00DD169E" w:rsidRPr="00F403D1">
              <w:rPr>
                <w:rFonts w:ascii="Palatino Linotype" w:eastAsia="Palatino Linotype" w:hAnsi="Palatino Linotype" w:cs="Palatino Linotype"/>
                <w:b/>
                <w:sz w:val="20"/>
                <w:lang w:val="en-US"/>
              </w:rPr>
              <w:t>/INFOEM/IP/RR/2025</w:t>
            </w:r>
          </w:p>
        </w:tc>
        <w:tc>
          <w:tcPr>
            <w:tcW w:w="5714" w:type="dxa"/>
          </w:tcPr>
          <w:p w14:paraId="2C3806A7" w14:textId="101F4809" w:rsidR="00CE2B0E" w:rsidRPr="00F403D1" w:rsidRDefault="008263D6" w:rsidP="00696559">
            <w:pPr>
              <w:spacing w:before="120" w:after="120" w:line="240" w:lineRule="auto"/>
              <w:jc w:val="both"/>
              <w:rPr>
                <w:rFonts w:ascii="Palatino Linotype" w:eastAsia="Palatino Linotype" w:hAnsi="Palatino Linotype" w:cs="Palatino Linotype"/>
                <w:i/>
                <w:sz w:val="20"/>
              </w:rPr>
            </w:pPr>
            <w:r w:rsidRPr="00F403D1">
              <w:rPr>
                <w:rFonts w:ascii="Palatino Linotype" w:eastAsia="Palatino Linotype" w:hAnsi="Palatino Linotype" w:cs="Palatino Linotype"/>
                <w:i/>
                <w:sz w:val="20"/>
              </w:rPr>
              <w:t>“</w:t>
            </w:r>
            <w:bookmarkStart w:id="3" w:name="_Hlk199930382"/>
            <w:r w:rsidR="00696559" w:rsidRPr="00F403D1">
              <w:rPr>
                <w:rFonts w:ascii="Palatino Linotype" w:eastAsia="Palatino Linotype" w:hAnsi="Palatino Linotype" w:cs="Palatino Linotype"/>
                <w:i/>
                <w:sz w:val="20"/>
              </w:rPr>
              <w:t>Solicito conciliación de nomina y dispersión de nomina de la primera y segunda quincena de marzo 2025</w:t>
            </w:r>
            <w:r w:rsidRPr="00F403D1">
              <w:rPr>
                <w:rFonts w:ascii="Palatino Linotype" w:eastAsia="Palatino Linotype" w:hAnsi="Palatino Linotype" w:cs="Palatino Linotype"/>
                <w:i/>
                <w:sz w:val="20"/>
              </w:rPr>
              <w:t>” (sic)</w:t>
            </w:r>
            <w:bookmarkEnd w:id="3"/>
          </w:p>
        </w:tc>
      </w:tr>
      <w:tr w:rsidR="000229ED" w:rsidRPr="00F403D1" w14:paraId="6D2A0636" w14:textId="77777777">
        <w:trPr>
          <w:jc w:val="center"/>
        </w:trPr>
        <w:tc>
          <w:tcPr>
            <w:tcW w:w="3114" w:type="dxa"/>
            <w:vAlign w:val="center"/>
          </w:tcPr>
          <w:p w14:paraId="31DE8A2E" w14:textId="583003DA" w:rsidR="00696559" w:rsidRPr="00F403D1" w:rsidRDefault="00696559" w:rsidP="00696559">
            <w:pPr>
              <w:spacing w:before="120" w:after="120" w:line="240" w:lineRule="auto"/>
              <w:jc w:val="center"/>
              <w:rPr>
                <w:rFonts w:ascii="Palatino Linotype" w:eastAsia="Palatino Linotype" w:hAnsi="Palatino Linotype" w:cs="Palatino Linotype"/>
                <w:b/>
                <w:bCs/>
                <w:sz w:val="20"/>
                <w:lang w:val="en-US"/>
              </w:rPr>
            </w:pPr>
            <w:bookmarkStart w:id="4" w:name="_Hlk210859085"/>
            <w:bookmarkEnd w:id="2"/>
            <w:r w:rsidRPr="00F403D1">
              <w:rPr>
                <w:rFonts w:ascii="Palatino Linotype" w:eastAsia="Palatino Linotype" w:hAnsi="Palatino Linotype" w:cs="Palatino Linotype"/>
                <w:b/>
                <w:bCs/>
                <w:sz w:val="20"/>
                <w:lang w:val="en-US"/>
              </w:rPr>
              <w:t>00193/MELOCAM/IP/2025</w:t>
            </w:r>
          </w:p>
          <w:p w14:paraId="226DEC94" w14:textId="2CE5C7AB" w:rsidR="00696559" w:rsidRPr="00F403D1" w:rsidRDefault="00696559" w:rsidP="00696559">
            <w:pPr>
              <w:spacing w:before="120" w:after="120" w:line="240" w:lineRule="auto"/>
              <w:jc w:val="center"/>
              <w:rPr>
                <w:rFonts w:ascii="Palatino Linotype" w:eastAsia="Palatino Linotype" w:hAnsi="Palatino Linotype" w:cs="Palatino Linotype"/>
                <w:b/>
                <w:sz w:val="20"/>
                <w:lang w:val="en-US"/>
              </w:rPr>
            </w:pPr>
            <w:r w:rsidRPr="00F403D1">
              <w:rPr>
                <w:rFonts w:ascii="Palatino Linotype" w:eastAsia="Palatino Linotype" w:hAnsi="Palatino Linotype" w:cs="Palatino Linotype"/>
                <w:b/>
                <w:bCs/>
                <w:sz w:val="20"/>
                <w:lang w:val="en-US"/>
              </w:rPr>
              <w:t>10180</w:t>
            </w:r>
            <w:r w:rsidRPr="00F403D1">
              <w:rPr>
                <w:rFonts w:ascii="Palatino Linotype" w:eastAsia="Palatino Linotype" w:hAnsi="Palatino Linotype" w:cs="Palatino Linotype"/>
                <w:b/>
                <w:sz w:val="20"/>
                <w:lang w:val="en-US"/>
              </w:rPr>
              <w:t>/INFOEM/IP/RR/2025</w:t>
            </w:r>
          </w:p>
        </w:tc>
        <w:tc>
          <w:tcPr>
            <w:tcW w:w="5714" w:type="dxa"/>
          </w:tcPr>
          <w:p w14:paraId="6E19C1BB" w14:textId="4A86829E" w:rsidR="00696559" w:rsidRPr="00F403D1" w:rsidRDefault="00696559" w:rsidP="00696559">
            <w:pPr>
              <w:spacing w:before="120" w:after="120" w:line="240" w:lineRule="auto"/>
              <w:jc w:val="both"/>
              <w:rPr>
                <w:rFonts w:ascii="Palatino Linotype" w:eastAsia="Palatino Linotype" w:hAnsi="Palatino Linotype" w:cs="Palatino Linotype"/>
                <w:i/>
                <w:sz w:val="20"/>
              </w:rPr>
            </w:pPr>
            <w:r w:rsidRPr="00F403D1">
              <w:rPr>
                <w:rFonts w:ascii="Palatino Linotype" w:eastAsia="Palatino Linotype" w:hAnsi="Palatino Linotype" w:cs="Palatino Linotype"/>
                <w:i/>
                <w:sz w:val="20"/>
              </w:rPr>
              <w:t>“Solicito dispersión de nomina y conciliación de nomina de la primera y segunda quincena de mayo 2025” (sic)</w:t>
            </w:r>
          </w:p>
        </w:tc>
      </w:tr>
      <w:tr w:rsidR="000229ED" w:rsidRPr="00F403D1" w14:paraId="476E40D2" w14:textId="77777777">
        <w:trPr>
          <w:jc w:val="center"/>
        </w:trPr>
        <w:tc>
          <w:tcPr>
            <w:tcW w:w="3114" w:type="dxa"/>
            <w:vAlign w:val="center"/>
          </w:tcPr>
          <w:p w14:paraId="68C1962B" w14:textId="7FA96BFF" w:rsidR="00696559" w:rsidRPr="00F403D1" w:rsidRDefault="00696559" w:rsidP="00696559">
            <w:pPr>
              <w:spacing w:before="120" w:after="120" w:line="240" w:lineRule="auto"/>
              <w:jc w:val="center"/>
              <w:rPr>
                <w:rFonts w:ascii="Palatino Linotype" w:eastAsia="Palatino Linotype" w:hAnsi="Palatino Linotype" w:cs="Palatino Linotype"/>
                <w:b/>
                <w:bCs/>
                <w:sz w:val="20"/>
                <w:lang w:val="en-US"/>
              </w:rPr>
            </w:pPr>
            <w:r w:rsidRPr="00F403D1">
              <w:rPr>
                <w:rFonts w:ascii="Palatino Linotype" w:eastAsia="Palatino Linotype" w:hAnsi="Palatino Linotype" w:cs="Palatino Linotype"/>
                <w:b/>
                <w:bCs/>
                <w:sz w:val="20"/>
                <w:lang w:val="en-US"/>
              </w:rPr>
              <w:lastRenderedPageBreak/>
              <w:t>00194/MELOCAM/IP/2025</w:t>
            </w:r>
          </w:p>
          <w:p w14:paraId="37C71500" w14:textId="4CADB0F6" w:rsidR="00696559" w:rsidRPr="00F403D1" w:rsidRDefault="00696559" w:rsidP="00696559">
            <w:pPr>
              <w:spacing w:before="120" w:after="120" w:line="240" w:lineRule="auto"/>
              <w:jc w:val="center"/>
              <w:rPr>
                <w:rFonts w:ascii="Palatino Linotype" w:eastAsia="Palatino Linotype" w:hAnsi="Palatino Linotype" w:cs="Palatino Linotype"/>
                <w:b/>
                <w:bCs/>
                <w:sz w:val="20"/>
                <w:lang w:val="en-US"/>
              </w:rPr>
            </w:pPr>
            <w:r w:rsidRPr="00F403D1">
              <w:rPr>
                <w:rFonts w:ascii="Palatino Linotype" w:eastAsia="Palatino Linotype" w:hAnsi="Palatino Linotype" w:cs="Palatino Linotype"/>
                <w:b/>
                <w:bCs/>
                <w:sz w:val="20"/>
                <w:lang w:val="en-US"/>
              </w:rPr>
              <w:t>10181</w:t>
            </w:r>
            <w:r w:rsidRPr="00F403D1">
              <w:rPr>
                <w:rFonts w:ascii="Palatino Linotype" w:eastAsia="Palatino Linotype" w:hAnsi="Palatino Linotype" w:cs="Palatino Linotype"/>
                <w:b/>
                <w:sz w:val="20"/>
                <w:lang w:val="en-US"/>
              </w:rPr>
              <w:t>/INFOEM/IP/RR/2025</w:t>
            </w:r>
          </w:p>
        </w:tc>
        <w:tc>
          <w:tcPr>
            <w:tcW w:w="5714" w:type="dxa"/>
          </w:tcPr>
          <w:p w14:paraId="6B7D77EA" w14:textId="5CA321AE" w:rsidR="00696559" w:rsidRPr="00F403D1" w:rsidRDefault="00696559" w:rsidP="00696559">
            <w:pPr>
              <w:spacing w:before="120" w:after="120" w:line="240" w:lineRule="auto"/>
              <w:jc w:val="both"/>
              <w:rPr>
                <w:rFonts w:ascii="Palatino Linotype" w:eastAsia="Palatino Linotype" w:hAnsi="Palatino Linotype" w:cs="Palatino Linotype"/>
                <w:i/>
                <w:sz w:val="20"/>
              </w:rPr>
            </w:pPr>
            <w:r w:rsidRPr="00F403D1">
              <w:rPr>
                <w:rFonts w:ascii="Palatino Linotype" w:eastAsia="Palatino Linotype" w:hAnsi="Palatino Linotype" w:cs="Palatino Linotype"/>
                <w:i/>
                <w:sz w:val="20"/>
              </w:rPr>
              <w:t>“Solicito conciliación de nomina y dispersión de nomina de la primera y segunda quincena de junio 2025” (sic)</w:t>
            </w:r>
          </w:p>
        </w:tc>
      </w:tr>
      <w:tr w:rsidR="000229ED" w:rsidRPr="00F403D1" w14:paraId="679A1C5E" w14:textId="77777777">
        <w:trPr>
          <w:jc w:val="center"/>
        </w:trPr>
        <w:tc>
          <w:tcPr>
            <w:tcW w:w="3114" w:type="dxa"/>
            <w:vAlign w:val="center"/>
          </w:tcPr>
          <w:p w14:paraId="00702C81" w14:textId="2D7A03B3" w:rsidR="00696559" w:rsidRPr="00F403D1" w:rsidRDefault="00696559" w:rsidP="00696559">
            <w:pPr>
              <w:spacing w:before="120" w:after="120" w:line="240" w:lineRule="auto"/>
              <w:jc w:val="center"/>
              <w:rPr>
                <w:rFonts w:ascii="Palatino Linotype" w:eastAsia="Palatino Linotype" w:hAnsi="Palatino Linotype" w:cs="Palatino Linotype"/>
                <w:b/>
                <w:bCs/>
                <w:sz w:val="20"/>
                <w:lang w:val="en-US"/>
              </w:rPr>
            </w:pPr>
            <w:r w:rsidRPr="00F403D1">
              <w:rPr>
                <w:rFonts w:ascii="Palatino Linotype" w:eastAsia="Palatino Linotype" w:hAnsi="Palatino Linotype" w:cs="Palatino Linotype"/>
                <w:b/>
                <w:bCs/>
                <w:sz w:val="20"/>
                <w:lang w:val="en-US"/>
              </w:rPr>
              <w:t>00209/MELOCAM/IP/2025</w:t>
            </w:r>
          </w:p>
          <w:p w14:paraId="3857B3E0" w14:textId="25A0E40F" w:rsidR="00696559" w:rsidRPr="00F403D1" w:rsidRDefault="00696559" w:rsidP="00696559">
            <w:pPr>
              <w:spacing w:before="120" w:after="120" w:line="240" w:lineRule="auto"/>
              <w:jc w:val="center"/>
              <w:rPr>
                <w:rFonts w:ascii="Palatino Linotype" w:eastAsia="Palatino Linotype" w:hAnsi="Palatino Linotype" w:cs="Palatino Linotype"/>
                <w:b/>
                <w:bCs/>
                <w:sz w:val="20"/>
                <w:lang w:val="en-US"/>
              </w:rPr>
            </w:pPr>
            <w:r w:rsidRPr="00F403D1">
              <w:rPr>
                <w:rFonts w:ascii="Palatino Linotype" w:eastAsia="Palatino Linotype" w:hAnsi="Palatino Linotype" w:cs="Palatino Linotype"/>
                <w:b/>
                <w:bCs/>
                <w:sz w:val="20"/>
                <w:lang w:val="en-US"/>
              </w:rPr>
              <w:t>10182</w:t>
            </w:r>
            <w:r w:rsidRPr="00F403D1">
              <w:rPr>
                <w:rFonts w:ascii="Palatino Linotype" w:eastAsia="Palatino Linotype" w:hAnsi="Palatino Linotype" w:cs="Palatino Linotype"/>
                <w:b/>
                <w:sz w:val="20"/>
                <w:lang w:val="en-US"/>
              </w:rPr>
              <w:t>/INFOEM/IP/RR/2025</w:t>
            </w:r>
          </w:p>
        </w:tc>
        <w:tc>
          <w:tcPr>
            <w:tcW w:w="5714" w:type="dxa"/>
          </w:tcPr>
          <w:p w14:paraId="179C70A5" w14:textId="39009E0A" w:rsidR="00696559" w:rsidRPr="00F403D1" w:rsidRDefault="00696559" w:rsidP="00696559">
            <w:pPr>
              <w:spacing w:before="120" w:after="120" w:line="240" w:lineRule="auto"/>
              <w:jc w:val="both"/>
              <w:rPr>
                <w:rFonts w:ascii="Palatino Linotype" w:eastAsia="Palatino Linotype" w:hAnsi="Palatino Linotype" w:cs="Palatino Linotype"/>
                <w:i/>
                <w:sz w:val="20"/>
              </w:rPr>
            </w:pPr>
            <w:r w:rsidRPr="00F403D1">
              <w:rPr>
                <w:rFonts w:ascii="Palatino Linotype" w:eastAsia="Palatino Linotype" w:hAnsi="Palatino Linotype" w:cs="Palatino Linotype"/>
                <w:i/>
                <w:sz w:val="20"/>
              </w:rPr>
              <w:t>“Solicito la dispersión de nomina y conciliación de nomina de enero 2025 a la fecha de la solicitud” (sic)</w:t>
            </w:r>
          </w:p>
        </w:tc>
      </w:tr>
    </w:tbl>
    <w:p w14:paraId="37471DB5" w14:textId="4C79CEDB" w:rsidR="0092440F" w:rsidRPr="00F403D1" w:rsidRDefault="008263D6">
      <w:pPr>
        <w:spacing w:before="240" w:after="240" w:line="360" w:lineRule="auto"/>
        <w:jc w:val="both"/>
        <w:rPr>
          <w:rFonts w:ascii="Palatino Linotype" w:eastAsia="Palatino Linotype" w:hAnsi="Palatino Linotype" w:cs="Palatino Linotype"/>
          <w:bCs/>
        </w:rPr>
      </w:pPr>
      <w:bookmarkStart w:id="5" w:name="_heading=h.2et92p0" w:colFirst="0" w:colLast="0"/>
      <w:bookmarkEnd w:id="4"/>
      <w:bookmarkEnd w:id="5"/>
      <w:r w:rsidRPr="00F403D1">
        <w:rPr>
          <w:rFonts w:ascii="Palatino Linotype" w:eastAsia="Palatino Linotype" w:hAnsi="Palatino Linotype" w:cs="Palatino Linotype"/>
          <w:b/>
        </w:rPr>
        <w:t>Modalidad de Entrega:</w:t>
      </w:r>
      <w:r w:rsidR="009B1575" w:rsidRPr="00F403D1">
        <w:rPr>
          <w:rFonts w:ascii="Palatino Linotype" w:eastAsia="Palatino Linotype" w:hAnsi="Palatino Linotype" w:cs="Palatino Linotype"/>
        </w:rPr>
        <w:t xml:space="preserve"> a través del</w:t>
      </w:r>
      <w:r w:rsidR="009B1575" w:rsidRPr="00F403D1">
        <w:rPr>
          <w:rFonts w:ascii="Palatino Linotype" w:eastAsia="Palatino Linotype" w:hAnsi="Palatino Linotype" w:cs="Palatino Linotype"/>
          <w:b/>
        </w:rPr>
        <w:t xml:space="preserve"> SAIMEX </w:t>
      </w:r>
      <w:r w:rsidR="009B1575" w:rsidRPr="00F403D1">
        <w:rPr>
          <w:rFonts w:ascii="Palatino Linotype" w:eastAsia="Palatino Linotype" w:hAnsi="Palatino Linotype" w:cs="Palatino Linotype"/>
          <w:bCs/>
        </w:rPr>
        <w:t xml:space="preserve">en </w:t>
      </w:r>
      <w:r w:rsidR="00696559" w:rsidRPr="00F403D1">
        <w:rPr>
          <w:rFonts w:ascii="Palatino Linotype" w:eastAsia="Palatino Linotype" w:hAnsi="Palatino Linotype" w:cs="Palatino Linotype"/>
          <w:bCs/>
        </w:rPr>
        <w:t>todos los</w:t>
      </w:r>
      <w:r w:rsidR="009B1575" w:rsidRPr="00F403D1">
        <w:rPr>
          <w:rFonts w:ascii="Palatino Linotype" w:eastAsia="Palatino Linotype" w:hAnsi="Palatino Linotype" w:cs="Palatino Linotype"/>
          <w:bCs/>
        </w:rPr>
        <w:t xml:space="preserve"> casos.</w:t>
      </w:r>
    </w:p>
    <w:p w14:paraId="6B426AAD" w14:textId="6CC468F6" w:rsidR="00F16E0A" w:rsidRPr="00F403D1" w:rsidRDefault="008263D6" w:rsidP="00F16E0A">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b/>
        </w:rPr>
        <w:t xml:space="preserve">2. </w:t>
      </w:r>
      <w:r w:rsidR="00F16E0A" w:rsidRPr="00F403D1">
        <w:rPr>
          <w:rFonts w:ascii="Palatino Linotype" w:eastAsia="Palatino Linotype" w:hAnsi="Palatino Linotype" w:cs="Palatino Linotype"/>
          <w:b/>
        </w:rPr>
        <w:t>Prórroga</w:t>
      </w:r>
      <w:r w:rsidR="00F16E0A" w:rsidRPr="00F403D1">
        <w:rPr>
          <w:rFonts w:ascii="Palatino Linotype" w:eastAsia="Palatino Linotype" w:hAnsi="Palatino Linotype" w:cs="Palatino Linotype"/>
        </w:rPr>
        <w:t xml:space="preserve">. El </w:t>
      </w:r>
      <w:r w:rsidR="00F16E0A" w:rsidRPr="00F403D1">
        <w:rPr>
          <w:rFonts w:ascii="Palatino Linotype" w:eastAsia="Palatino Linotype" w:hAnsi="Palatino Linotype" w:cs="Palatino Linotype"/>
          <w:b/>
        </w:rPr>
        <w:t xml:space="preserve">cinco de agosto de dos mil veinticinco, </w:t>
      </w:r>
      <w:r w:rsidR="00F16E0A" w:rsidRPr="00F403D1">
        <w:rPr>
          <w:rFonts w:ascii="Palatino Linotype" w:eastAsia="Palatino Linotype" w:hAnsi="Palatino Linotype" w:cs="Palatino Linotype"/>
        </w:rPr>
        <w:t xml:space="preserve">el </w:t>
      </w:r>
      <w:r w:rsidR="00F16E0A" w:rsidRPr="00F403D1">
        <w:rPr>
          <w:rFonts w:ascii="Palatino Linotype" w:eastAsia="Palatino Linotype" w:hAnsi="Palatino Linotype" w:cs="Palatino Linotype"/>
          <w:b/>
        </w:rPr>
        <w:t xml:space="preserve">Sujeto Obligado </w:t>
      </w:r>
      <w:r w:rsidR="00F16E0A" w:rsidRPr="00F403D1">
        <w:rPr>
          <w:rFonts w:ascii="Palatino Linotype" w:eastAsia="Palatino Linotype" w:hAnsi="Palatino Linotype" w:cs="Palatino Linotype"/>
        </w:rPr>
        <w:t xml:space="preserve">notificó a la persona solicitante la prórroga para dar respuesta a las solicitudes </w:t>
      </w:r>
      <w:r w:rsidR="00F16E0A" w:rsidRPr="00F403D1">
        <w:rPr>
          <w:rFonts w:ascii="Palatino Linotype" w:eastAsia="Palatino Linotype" w:hAnsi="Palatino Linotype" w:cs="Palatino Linotype"/>
          <w:b/>
        </w:rPr>
        <w:t>00192/MELOCAM/IP/2025, 00193/MELOCAM/IP/2025</w:t>
      </w:r>
      <w:r w:rsidR="00F16E0A" w:rsidRPr="00F403D1">
        <w:rPr>
          <w:rFonts w:ascii="Palatino Linotype" w:eastAsia="Palatino Linotype" w:hAnsi="Palatino Linotype" w:cs="Palatino Linotype"/>
        </w:rPr>
        <w:t xml:space="preserve">  y </w:t>
      </w:r>
      <w:r w:rsidR="00F16E0A" w:rsidRPr="00F403D1">
        <w:rPr>
          <w:rFonts w:ascii="Palatino Linotype" w:eastAsia="Palatino Linotype" w:hAnsi="Palatino Linotype" w:cs="Palatino Linotype"/>
          <w:b/>
        </w:rPr>
        <w:t>00194/MELOCAM/IP/2025,</w:t>
      </w:r>
      <w:r w:rsidR="00F16E0A" w:rsidRPr="00F403D1">
        <w:rPr>
          <w:rFonts w:ascii="Palatino Linotype" w:eastAsia="Palatino Linotype" w:hAnsi="Palatino Linotype" w:cs="Palatino Linotype"/>
        </w:rPr>
        <w:t xml:space="preserve"> medularmente en los siguientes términos:</w:t>
      </w:r>
    </w:p>
    <w:p w14:paraId="6E0357AB" w14:textId="2BE06DEC" w:rsidR="00F16E0A" w:rsidRPr="00F403D1" w:rsidRDefault="00F16E0A" w:rsidP="00F16E0A">
      <w:pPr>
        <w:spacing w:before="240" w:after="240"/>
        <w:ind w:left="851" w:right="900"/>
        <w:jc w:val="both"/>
        <w:rPr>
          <w:rFonts w:ascii="Palatino Linotype" w:eastAsia="Palatino Linotype" w:hAnsi="Palatino Linotype" w:cs="Palatino Linotype"/>
          <w:i/>
        </w:rPr>
      </w:pPr>
      <w:r w:rsidRPr="00F403D1">
        <w:rPr>
          <w:rFonts w:ascii="Palatino Linotype" w:eastAsia="Palatino Linotype" w:hAnsi="Palatino Linotype" w:cs="Palatino Linotype"/>
          <w:i/>
        </w:rPr>
        <w:t>“SE SOLICITA PRORROGA A RAZÓN DE ENCONTRARNOS RECABANDO LA INFORMACIÓN REQUERIDA, LO ANTERIOR CON FUNDAMENTO EN EL ARTÍCULO 163 PÁRRAFO SEGUNDO DE LA LEY DE TRANSPARENCIA Y ACCESO A LA INFORMACIÓN PÚBLICA DEL ESTADO DE MÉXICO Y MUNICIPIOS.” (sic)</w:t>
      </w:r>
    </w:p>
    <w:p w14:paraId="11473FD3" w14:textId="77777777" w:rsidR="00F16E0A" w:rsidRPr="00F403D1" w:rsidRDefault="00F16E0A" w:rsidP="00F16E0A">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Como refiere el </w:t>
      </w:r>
      <w:r w:rsidRPr="00F403D1">
        <w:rPr>
          <w:rFonts w:ascii="Palatino Linotype" w:eastAsia="Palatino Linotype" w:hAnsi="Palatino Linotype" w:cs="Palatino Linotype"/>
          <w:b/>
        </w:rPr>
        <w:t>Sujeto Obligado</w:t>
      </w:r>
      <w:r w:rsidRPr="00F403D1">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72849EC7" w14:textId="678AC7AD" w:rsidR="00CE2B0E" w:rsidRPr="00F403D1" w:rsidRDefault="00F16E0A">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b/>
        </w:rPr>
        <w:lastRenderedPageBreak/>
        <w:t xml:space="preserve">3. </w:t>
      </w:r>
      <w:r w:rsidR="008263D6" w:rsidRPr="00F403D1">
        <w:rPr>
          <w:rFonts w:ascii="Palatino Linotype" w:eastAsia="Palatino Linotype" w:hAnsi="Palatino Linotype" w:cs="Palatino Linotype"/>
          <w:b/>
        </w:rPr>
        <w:t xml:space="preserve">Respuestas. </w:t>
      </w:r>
      <w:r w:rsidR="008263D6" w:rsidRPr="00F403D1">
        <w:rPr>
          <w:rFonts w:ascii="Palatino Linotype" w:eastAsia="Palatino Linotype" w:hAnsi="Palatino Linotype" w:cs="Palatino Linotype"/>
        </w:rPr>
        <w:t xml:space="preserve">El </w:t>
      </w:r>
      <w:r w:rsidRPr="00F403D1">
        <w:rPr>
          <w:rFonts w:ascii="Palatino Linotype" w:eastAsia="Palatino Linotype" w:hAnsi="Palatino Linotype" w:cs="Palatino Linotype"/>
          <w:b/>
        </w:rPr>
        <w:t xml:space="preserve">catorce </w:t>
      </w:r>
      <w:r w:rsidR="002C5450" w:rsidRPr="00F403D1">
        <w:rPr>
          <w:rFonts w:ascii="Palatino Linotype" w:eastAsia="Palatino Linotype" w:hAnsi="Palatino Linotype" w:cs="Palatino Linotype"/>
          <w:b/>
        </w:rPr>
        <w:t xml:space="preserve">de agosto </w:t>
      </w:r>
      <w:r w:rsidR="008263D6" w:rsidRPr="00F403D1">
        <w:rPr>
          <w:rFonts w:ascii="Palatino Linotype" w:eastAsia="Palatino Linotype" w:hAnsi="Palatino Linotype" w:cs="Palatino Linotype"/>
          <w:b/>
        </w:rPr>
        <w:t>de dos mil veinticinco</w:t>
      </w:r>
      <w:r w:rsidR="008263D6" w:rsidRPr="00F403D1">
        <w:rPr>
          <w:rFonts w:ascii="Palatino Linotype" w:eastAsia="Palatino Linotype" w:hAnsi="Palatino Linotype" w:cs="Palatino Linotype"/>
        </w:rPr>
        <w:t xml:space="preserve">, el </w:t>
      </w:r>
      <w:r w:rsidR="008263D6" w:rsidRPr="00F403D1">
        <w:rPr>
          <w:rFonts w:ascii="Palatino Linotype" w:eastAsia="Palatino Linotype" w:hAnsi="Palatino Linotype" w:cs="Palatino Linotype"/>
          <w:b/>
        </w:rPr>
        <w:t xml:space="preserve">Sujeto Obligado </w:t>
      </w:r>
      <w:r w:rsidR="008263D6" w:rsidRPr="00F403D1">
        <w:rPr>
          <w:rFonts w:ascii="Palatino Linotype" w:eastAsia="Palatino Linotype" w:hAnsi="Palatino Linotype" w:cs="Palatino Linotype"/>
        </w:rPr>
        <w:t xml:space="preserve">envió sus respuestas a las solicitudes de acceso a la información a través del </w:t>
      </w:r>
      <w:r w:rsidR="008263D6" w:rsidRPr="00F403D1">
        <w:rPr>
          <w:rFonts w:ascii="Palatino Linotype" w:eastAsia="Palatino Linotype" w:hAnsi="Palatino Linotype" w:cs="Palatino Linotype"/>
          <w:b/>
        </w:rPr>
        <w:t>SAIMEX</w:t>
      </w:r>
      <w:r w:rsidR="008263D6" w:rsidRPr="00F403D1">
        <w:rPr>
          <w:rFonts w:ascii="Palatino Linotype" w:eastAsia="Palatino Linotype" w:hAnsi="Palatino Linotype" w:cs="Palatino Linotype"/>
        </w:rPr>
        <w:t>, sustancialmente en los términos siguientes</w:t>
      </w:r>
      <w:r w:rsidR="00353AD8" w:rsidRPr="00F403D1">
        <w:rPr>
          <w:rFonts w:ascii="Palatino Linotype" w:eastAsia="Palatino Linotype" w:hAnsi="Palatino Linotype" w:cs="Palatino Linotype"/>
        </w:rPr>
        <w:t xml:space="preserve"> en todos los casos</w:t>
      </w:r>
      <w:r w:rsidR="008263D6" w:rsidRPr="00F403D1">
        <w:rPr>
          <w:rFonts w:ascii="Palatino Linotype" w:eastAsia="Palatino Linotype" w:hAnsi="Palatino Linotype" w:cs="Palatino Linotype"/>
        </w:rPr>
        <w:t>:</w:t>
      </w:r>
    </w:p>
    <w:p w14:paraId="28F64ECB" w14:textId="0C2E12DE" w:rsidR="00353AD8" w:rsidRPr="00F403D1" w:rsidRDefault="00353AD8" w:rsidP="00353AD8">
      <w:pPr>
        <w:spacing w:before="240" w:after="240" w:line="240" w:lineRule="auto"/>
        <w:ind w:left="851" w:right="900"/>
        <w:jc w:val="both"/>
        <w:rPr>
          <w:rFonts w:ascii="Palatino Linotype" w:eastAsia="Palatino Linotype" w:hAnsi="Palatino Linotype" w:cs="Palatino Linotype"/>
          <w:i/>
        </w:rPr>
      </w:pPr>
      <w:r w:rsidRPr="00F403D1">
        <w:rPr>
          <w:rFonts w:ascii="Palatino Linotype" w:eastAsia="Palatino Linotype" w:hAnsi="Palatino Linotype" w:cs="Palatino Linotype"/>
          <w:i/>
        </w:rPr>
        <w:t>“Con fundamento en el artículo 6° apartado “a” de la Constitución Política de los Estados Unidos Mexicanos, 5° de la Constitución Política del Estado Libre y Soberano de México; 4, 12, 23 fracción IV, 24 fracción XI y XXV, 25, 158, 159 y 164 de la Ley de Transparencia y Acceso a la Información Pública del Estado de México y Municipios; y en atención a las diversas solicitudes de Información Pública turnadas a través del Sistema SAIMEX a esta Unidad Administrativa, en las cuales se requiere lo siguiente: 00192/MELOCAM/IP/2025: “Solicito conciliación de nomina y dispersión de nomina de la primera y segunda quincena de marzo 2025” (sic) 00193/MELOCAM/IP/2025: “Solicito conciliación de nomina y dispersión de nomina de la primera y segunda quincena de mayo 2025” (sic) 00194/MELOCAM/IP/2025; “Solicito conciliación de nomina y dispersión de nomina de la primera y segunda quincena de junio 2025” (sic) 00209/MELOCAM/IP/2025 “Solicito conciliación de nomina y dispersión de nomina de la primera y segunda quincena de enero 2025 a la fecha de la solicitud” (sic) Al respecto, le informo que una vez revisadas las solicitudes de información antes referidas, se desprende la presunción de que estas se hayan formulado por el mismo “solicitante”, lo anterior, a razón de las características que comparten en la redacción y la naturaleza de la información solicitada, difiriendo únicamente en la temporalidad de esta, siendo así, y con la finalidad de atender los requerimientos de manera eficiente, esta dependencia, como responsable de ello, considera conveniente, además de administrativamente viable, la acumulación de los asuntos a efecto de emitir una sola respuesta, así mismo, esta invariablemente contiene información que, aunque corresponda a servidores públicos, es susceptible de ser clasificada, pues contiene datos personales como son el nombre del banco de depósito, número de cuenta de depósito, CURP, RFC, entre otros, información considerada como confidencial, además, contiene también el nombre de los elementos operativos de la Dirección Seguridad Ciudadana y Movilidad de este municipio, dato que a razón de las implicaciones que pudieran derivase de su publicación pudieran afectar la integridad y/o la vida de estos servidores públicos; por lo anterior, lo conducente corresponde a la elaboración de una minuciosa versión pública de la documental y, a su vez de la emisión de un Acuerdo de Confidencialidad y uno de Reserva, procedimiento que tendría que replicarse por cuatro para el caso de su atención de manera autónoma, lo cual implica una carga laboral considerable si se considera que entre las funciones del único personal encargado de atender los asuntos en materia de transparencia y acceso a la información pública, no solo está la de atender solicitudes de información, además, es responsable de actividades propias de esta Tesorería Municipal, como lo es la revisión e integración del Informe Trimestral que es entregado al Órgano Superior de Fiscalización del Estado de México, periodo en el que nos encontramos en últimas fechas. Por lo anterior expuesto, es dable la presunción de que no es administrativamente viable atender de manera independiente cada solicitud, a razón de la carga de trabajo, pues sobrepasa la capacidades técnicas, administrativas y humanas, por lo cual, se estima que la información no podrá ser procesada en su totalidad dentro de los términos señalados en la Ley de la materia, estimándose que la conclusión de los trabajos relativos al procesamiento de la información para su entrega a la Unidad de Transparencia y Acceso a la Información Pública, será para le próximo lunes veinticinco de los presentes, incluso si se contemplaran los hasta siete días hábiles adicionales contemplados en la Ley por concepto de prórroga; en consecuencia, me permito solicitar a Usted, de considerarlo procedente, se ponga el presente asunto a consideración del Comité de Transparencia de este Sujeto Obligado, lo siguiente: Primero. – Se evalué la procedencia de acumular las solicitudes relacionadas con antelación; Segundo. – Se resuelva sobre la procedencia de ofrecer una modalidad distinta a la señalada por el particular para la entrega de la información solicitada, esto en términos de lo dispuesto en los artículos 158 y 164 de la Ley de Transparencia y Acceso a la Información Pública del Estado de México y Municipios, y Tercero. – Se resuelva sobre la procedencia de la clasificación de la información como Confidencial en lo que respecta a los datos personales contenidos en la documental, así como de la clasificación con el carácter de Reservada a aquella correspondiente a los nombres de los elementos de la Dirección de Seguridad Ciudadana y Movilidad, esto en términos de lo dispuesto en los artículos 140 fracciones I y IV y 143 fracciones I y II de la Ley de Transparencia y Acceso a la Información Pública del Estado de México y Municipios. Sin más por el momento me despido de usted, no sin antes agradecer la atención que sirva dar al presente, quedando a sus órdenes para cualquier duda o aclaración al respecto. “ (sic)</w:t>
      </w:r>
    </w:p>
    <w:p w14:paraId="26DDDD10" w14:textId="3F64C57D" w:rsidR="00813A16" w:rsidRPr="00F403D1" w:rsidRDefault="00813A16">
      <w:pPr>
        <w:spacing w:before="240" w:after="240" w:line="360" w:lineRule="auto"/>
        <w:ind w:right="49"/>
        <w:jc w:val="both"/>
        <w:rPr>
          <w:rFonts w:ascii="Palatino Linotype" w:eastAsia="Palatino Linotype" w:hAnsi="Palatino Linotype" w:cs="Palatino Linotype"/>
        </w:rPr>
      </w:pPr>
      <w:bookmarkStart w:id="6" w:name="_heading=h.gjdgxs" w:colFirst="0" w:colLast="0"/>
      <w:bookmarkEnd w:id="6"/>
      <w:r w:rsidRPr="00F403D1">
        <w:rPr>
          <w:rFonts w:ascii="Palatino Linotype" w:eastAsia="Palatino Linotype" w:hAnsi="Palatino Linotype" w:cs="Palatino Linotype"/>
        </w:rPr>
        <w:t>Anexos:</w:t>
      </w:r>
    </w:p>
    <w:p w14:paraId="17F92667" w14:textId="42E6ABB2" w:rsidR="00813A16" w:rsidRPr="00F403D1" w:rsidRDefault="00813A16">
      <w:pPr>
        <w:spacing w:before="240" w:after="240" w:line="360" w:lineRule="auto"/>
        <w:ind w:right="49"/>
        <w:jc w:val="both"/>
        <w:rPr>
          <w:rFonts w:ascii="Palatino Linotype" w:hAnsi="Palatino Linotype"/>
        </w:rPr>
      </w:pPr>
      <w:r w:rsidRPr="00F403D1">
        <w:rPr>
          <w:rFonts w:ascii="Palatino Linotype" w:eastAsia="Palatino Linotype" w:hAnsi="Palatino Linotype" w:cs="Palatino Linotype"/>
        </w:rPr>
        <w:t xml:space="preserve">- Oficio número </w:t>
      </w:r>
      <w:r w:rsidRPr="00F403D1">
        <w:rPr>
          <w:rFonts w:ascii="Palatino Linotype" w:hAnsi="Palatino Linotype"/>
        </w:rPr>
        <w:t xml:space="preserve">MMO/PM/UTyAIP/317/2025, mediante el cual Titular de la Unidad de Transparencia </w:t>
      </w:r>
      <w:r w:rsidR="00D97175" w:rsidRPr="00F403D1">
        <w:rPr>
          <w:rFonts w:ascii="Palatino Linotype" w:hAnsi="Palatino Linotype"/>
        </w:rPr>
        <w:t>notificó a la persona solicitante la respuesta a las solicitudes proporcionada por la Tesorería Municipa</w:t>
      </w:r>
      <w:r w:rsidR="00CB2725" w:rsidRPr="00F403D1">
        <w:rPr>
          <w:rFonts w:ascii="Palatino Linotype" w:hAnsi="Palatino Linotype"/>
        </w:rPr>
        <w:t>l</w:t>
      </w:r>
      <w:r w:rsidR="001D5D6C" w:rsidRPr="00F403D1">
        <w:rPr>
          <w:rFonts w:ascii="Palatino Linotype" w:hAnsi="Palatino Linotype"/>
        </w:rPr>
        <w:t>, así como el cambio de modalidad en la entrega de la información</w:t>
      </w:r>
      <w:r w:rsidR="002172AB" w:rsidRPr="00F403D1">
        <w:rPr>
          <w:rFonts w:ascii="Palatino Linotype" w:hAnsi="Palatino Linotype"/>
        </w:rPr>
        <w:t xml:space="preserve"> y el procedimiento para obtener la información.</w:t>
      </w:r>
    </w:p>
    <w:p w14:paraId="6D77553D" w14:textId="7EE905AE" w:rsidR="00220E06" w:rsidRPr="00F403D1" w:rsidRDefault="003F0DB9">
      <w:pPr>
        <w:spacing w:before="240" w:after="240" w:line="360" w:lineRule="auto"/>
        <w:ind w:right="49"/>
        <w:jc w:val="both"/>
        <w:rPr>
          <w:rFonts w:ascii="Palatino Linotype" w:hAnsi="Palatino Linotype"/>
        </w:rPr>
      </w:pPr>
      <w:r w:rsidRPr="00F403D1">
        <w:rPr>
          <w:rFonts w:ascii="Palatino Linotype" w:hAnsi="Palatino Linotype"/>
        </w:rPr>
        <w:t xml:space="preserve">- Oficio número TM/388/2025, mediante el cual </w:t>
      </w:r>
      <w:r w:rsidR="009A53BC" w:rsidRPr="00F403D1">
        <w:rPr>
          <w:rFonts w:ascii="Palatino Linotype" w:hAnsi="Palatino Linotype"/>
        </w:rPr>
        <w:t xml:space="preserve">el Tesorero Municipal </w:t>
      </w:r>
      <w:r w:rsidR="002172AB" w:rsidRPr="00F403D1">
        <w:rPr>
          <w:rFonts w:ascii="Palatino Linotype" w:hAnsi="Palatino Linotype"/>
        </w:rPr>
        <w:t>manifestó la imposibilidad para atender las solicitudes en el plazo establecido en la Ley de Transparencia y Acceso a la Información Pública del Estado de México y Municipios en la modalidad de entrega elegida por la persona solicitante,</w:t>
      </w:r>
      <w:r w:rsidR="00220E06" w:rsidRPr="00F403D1">
        <w:rPr>
          <w:rFonts w:ascii="Palatino Linotype" w:hAnsi="Palatino Linotype"/>
        </w:rPr>
        <w:t xml:space="preserve"> </w:t>
      </w:r>
      <w:r w:rsidR="002172AB" w:rsidRPr="00F403D1">
        <w:rPr>
          <w:rFonts w:ascii="Palatino Linotype" w:hAnsi="Palatino Linotype"/>
        </w:rPr>
        <w:t>derivado de la revisión de la información y la elaboración de las versiones públicas respectivas, así como</w:t>
      </w:r>
      <w:r w:rsidR="006A0F9A" w:rsidRPr="00F403D1">
        <w:rPr>
          <w:rFonts w:ascii="Palatino Linotype" w:hAnsi="Palatino Linotype"/>
        </w:rPr>
        <w:t xml:space="preserve"> la carga de trabajo derivado</w:t>
      </w:r>
      <w:r w:rsidR="002172AB" w:rsidRPr="00F403D1">
        <w:rPr>
          <w:rFonts w:ascii="Palatino Linotype" w:hAnsi="Palatino Linotype"/>
        </w:rPr>
        <w:t xml:space="preserve"> de las funciones asignadas al personal</w:t>
      </w:r>
      <w:r w:rsidR="00220E06" w:rsidRPr="00F403D1">
        <w:rPr>
          <w:rFonts w:ascii="Palatino Linotype" w:hAnsi="Palatino Linotype"/>
        </w:rPr>
        <w:t xml:space="preserve"> el cual es responsable de realizar actividades propias de la</w:t>
      </w:r>
      <w:r w:rsidR="002172AB" w:rsidRPr="00F403D1">
        <w:rPr>
          <w:rFonts w:ascii="Palatino Linotype" w:hAnsi="Palatino Linotype"/>
        </w:rPr>
        <w:t xml:space="preserve"> Tesorería Municipal</w:t>
      </w:r>
      <w:r w:rsidR="00220E06" w:rsidRPr="00F403D1">
        <w:rPr>
          <w:rFonts w:ascii="Palatino Linotype" w:hAnsi="Palatino Linotype"/>
        </w:rPr>
        <w:t>, como</w:t>
      </w:r>
      <w:r w:rsidR="006A0F9A" w:rsidRPr="00F403D1">
        <w:rPr>
          <w:rFonts w:ascii="Palatino Linotype" w:hAnsi="Palatino Linotype"/>
        </w:rPr>
        <w:t xml:space="preserve"> lo es, además de atender los asuntos en materia de transparencia y acceso a la información pública, </w:t>
      </w:r>
      <w:r w:rsidR="00220E06" w:rsidRPr="00F403D1">
        <w:rPr>
          <w:rFonts w:ascii="Palatino Linotype" w:hAnsi="Palatino Linotype"/>
        </w:rPr>
        <w:t xml:space="preserve"> la revisión e integración del Informe Trimestral que es entregado al Órgano Superior de Fisc</w:t>
      </w:r>
      <w:r w:rsidR="006A0F9A" w:rsidRPr="00F403D1">
        <w:rPr>
          <w:rFonts w:ascii="Palatino Linotype" w:hAnsi="Palatino Linotype"/>
        </w:rPr>
        <w:t>alización del Estado de México, encontrándose en últimas fechas de dicho periodo.</w:t>
      </w:r>
    </w:p>
    <w:p w14:paraId="2F1CDF3C" w14:textId="0839A030" w:rsidR="00CE2B0E" w:rsidRPr="00F403D1" w:rsidRDefault="00927653">
      <w:pPr>
        <w:spacing w:before="240" w:after="240" w:line="360" w:lineRule="auto"/>
        <w:ind w:right="49"/>
        <w:jc w:val="both"/>
        <w:rPr>
          <w:rFonts w:ascii="Palatino Linotype" w:eastAsia="Palatino Linotype" w:hAnsi="Palatino Linotype" w:cs="Palatino Linotype"/>
        </w:rPr>
      </w:pPr>
      <w:r w:rsidRPr="00F403D1">
        <w:rPr>
          <w:rFonts w:ascii="Palatino Linotype" w:eastAsia="Palatino Linotype" w:hAnsi="Palatino Linotype" w:cs="Palatino Linotype"/>
          <w:b/>
        </w:rPr>
        <w:t>4</w:t>
      </w:r>
      <w:r w:rsidR="008263D6" w:rsidRPr="00F403D1">
        <w:rPr>
          <w:rFonts w:ascii="Palatino Linotype" w:eastAsia="Palatino Linotype" w:hAnsi="Palatino Linotype" w:cs="Palatino Linotype"/>
          <w:b/>
        </w:rPr>
        <w:t xml:space="preserve">. Interposición de los recursos de revisión. </w:t>
      </w:r>
      <w:r w:rsidR="008263D6" w:rsidRPr="00F403D1">
        <w:rPr>
          <w:rFonts w:ascii="Palatino Linotype" w:eastAsia="Palatino Linotype" w:hAnsi="Palatino Linotype" w:cs="Palatino Linotype"/>
        </w:rPr>
        <w:t xml:space="preserve">Inconforme la persona solicitante con las respuestas emitidas por el </w:t>
      </w:r>
      <w:r w:rsidR="008263D6" w:rsidRPr="00F403D1">
        <w:rPr>
          <w:rFonts w:ascii="Palatino Linotype" w:eastAsia="Palatino Linotype" w:hAnsi="Palatino Linotype" w:cs="Palatino Linotype"/>
          <w:b/>
        </w:rPr>
        <w:t xml:space="preserve">Sujeto Obligado </w:t>
      </w:r>
      <w:r w:rsidR="008263D6" w:rsidRPr="00F403D1">
        <w:rPr>
          <w:rFonts w:ascii="Palatino Linotype" w:eastAsia="Palatino Linotype" w:hAnsi="Palatino Linotype" w:cs="Palatino Linotype"/>
        </w:rPr>
        <w:t xml:space="preserve">a sus solicitudes, el </w:t>
      </w:r>
      <w:r w:rsidRPr="00F403D1">
        <w:rPr>
          <w:rFonts w:ascii="Palatino Linotype" w:eastAsia="Palatino Linotype" w:hAnsi="Palatino Linotype" w:cs="Palatino Linotype"/>
          <w:b/>
        </w:rPr>
        <w:t>veintinueve</w:t>
      </w:r>
      <w:r w:rsidR="006F2587" w:rsidRPr="00F403D1">
        <w:rPr>
          <w:rFonts w:ascii="Palatino Linotype" w:eastAsia="Palatino Linotype" w:hAnsi="Palatino Linotype" w:cs="Palatino Linotype"/>
          <w:b/>
        </w:rPr>
        <w:t xml:space="preserve"> de agosto</w:t>
      </w:r>
      <w:r w:rsidR="00DA37F2" w:rsidRPr="00F403D1">
        <w:rPr>
          <w:rFonts w:ascii="Palatino Linotype" w:eastAsia="Palatino Linotype" w:hAnsi="Palatino Linotype" w:cs="Palatino Linotype"/>
          <w:b/>
        </w:rPr>
        <w:t xml:space="preserve"> </w:t>
      </w:r>
      <w:r w:rsidR="008263D6" w:rsidRPr="00F403D1">
        <w:rPr>
          <w:rFonts w:ascii="Palatino Linotype" w:eastAsia="Palatino Linotype" w:hAnsi="Palatino Linotype" w:cs="Palatino Linotype"/>
          <w:b/>
        </w:rPr>
        <w:t>de dos mil veinticinco</w:t>
      </w:r>
      <w:r w:rsidR="008263D6" w:rsidRPr="00F403D1">
        <w:rPr>
          <w:rFonts w:ascii="Palatino Linotype" w:eastAsia="Palatino Linotype" w:hAnsi="Palatino Linotype" w:cs="Palatino Linotype"/>
        </w:rPr>
        <w:t>, interpuso los recursos de revisión a través del SAIMEX,</w:t>
      </w:r>
      <w:r w:rsidR="0038597E" w:rsidRPr="00F403D1">
        <w:rPr>
          <w:rFonts w:ascii="Palatino Linotype" w:eastAsia="Palatino Linotype" w:hAnsi="Palatino Linotype" w:cs="Palatino Linotype"/>
        </w:rPr>
        <w:t xml:space="preserve"> </w:t>
      </w:r>
      <w:r w:rsidR="008263D6" w:rsidRPr="00F403D1">
        <w:rPr>
          <w:rFonts w:ascii="Palatino Linotype" w:eastAsia="Palatino Linotype" w:hAnsi="Palatino Linotype" w:cs="Palatino Linotype"/>
        </w:rPr>
        <w:t>en donde se manifestó de la siguiente manera:</w:t>
      </w:r>
    </w:p>
    <w:p w14:paraId="45F0D30F" w14:textId="5009E9D9" w:rsidR="00927653" w:rsidRPr="00F403D1" w:rsidRDefault="00927653">
      <w:pPr>
        <w:spacing w:before="240" w:after="240" w:line="360" w:lineRule="auto"/>
        <w:ind w:right="49"/>
        <w:jc w:val="both"/>
        <w:rPr>
          <w:rFonts w:ascii="Palatino Linotype" w:eastAsia="Palatino Linotype" w:hAnsi="Palatino Linotype" w:cs="Palatino Linotype"/>
          <w:b/>
        </w:rPr>
      </w:pPr>
      <w:r w:rsidRPr="00F403D1">
        <w:rPr>
          <w:rFonts w:ascii="Palatino Linotype" w:eastAsia="Palatino Linotype" w:hAnsi="Palatino Linotype" w:cs="Palatino Linotype"/>
          <w:b/>
        </w:rPr>
        <w:t>Acto impugnado</w:t>
      </w:r>
    </w:p>
    <w:p w14:paraId="6F596DED" w14:textId="7F1565A7" w:rsidR="00927653" w:rsidRPr="00F403D1" w:rsidRDefault="00927653" w:rsidP="00927653">
      <w:pPr>
        <w:spacing w:before="240" w:after="240" w:line="360" w:lineRule="auto"/>
        <w:ind w:left="851" w:right="900"/>
        <w:jc w:val="both"/>
        <w:rPr>
          <w:rFonts w:ascii="Palatino Linotype" w:eastAsia="Palatino Linotype" w:hAnsi="Palatino Linotype" w:cs="Palatino Linotype"/>
          <w:i/>
        </w:rPr>
      </w:pPr>
      <w:r w:rsidRPr="00F403D1">
        <w:rPr>
          <w:rFonts w:ascii="Palatino Linotype" w:eastAsia="Palatino Linotype" w:hAnsi="Palatino Linotype" w:cs="Palatino Linotype"/>
          <w:i/>
        </w:rPr>
        <w:t>“Oficio” (sic)</w:t>
      </w:r>
    </w:p>
    <w:p w14:paraId="4BB3A76C" w14:textId="462AB473" w:rsidR="00927653" w:rsidRPr="00F403D1" w:rsidRDefault="00927653">
      <w:pPr>
        <w:spacing w:before="240" w:after="240" w:line="360" w:lineRule="auto"/>
        <w:ind w:right="49"/>
        <w:jc w:val="both"/>
        <w:rPr>
          <w:rFonts w:ascii="Palatino Linotype" w:eastAsia="Palatino Linotype" w:hAnsi="Palatino Linotype" w:cs="Palatino Linotype"/>
          <w:b/>
        </w:rPr>
      </w:pPr>
      <w:r w:rsidRPr="00F403D1">
        <w:rPr>
          <w:rFonts w:ascii="Palatino Linotype" w:eastAsia="Palatino Linotype" w:hAnsi="Palatino Linotype" w:cs="Palatino Linotype"/>
          <w:b/>
        </w:rPr>
        <w:t>Razones o Motivos de Inconformidad</w:t>
      </w:r>
    </w:p>
    <w:p w14:paraId="0FA6AF96" w14:textId="4F8A0FF1" w:rsidR="00927653" w:rsidRPr="00F403D1" w:rsidRDefault="00927653" w:rsidP="00927653">
      <w:pPr>
        <w:spacing w:before="240" w:after="240" w:line="360" w:lineRule="auto"/>
        <w:ind w:left="851" w:right="900"/>
        <w:jc w:val="both"/>
        <w:rPr>
          <w:rFonts w:ascii="Palatino Linotype" w:eastAsia="Palatino Linotype" w:hAnsi="Palatino Linotype" w:cs="Palatino Linotype"/>
          <w:i/>
        </w:rPr>
      </w:pPr>
      <w:r w:rsidRPr="00F403D1">
        <w:rPr>
          <w:rFonts w:ascii="Palatino Linotype" w:eastAsia="Palatino Linotype" w:hAnsi="Palatino Linotype" w:cs="Palatino Linotype"/>
          <w:i/>
        </w:rPr>
        <w:t>“No envían lo que solicite” (sic)</w:t>
      </w:r>
    </w:p>
    <w:p w14:paraId="1B066B3C" w14:textId="596CC367" w:rsidR="00CE2B0E" w:rsidRPr="00F403D1" w:rsidRDefault="00927653">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r w:rsidRPr="00F403D1">
        <w:rPr>
          <w:rFonts w:ascii="Palatino Linotype" w:eastAsia="Palatino Linotype" w:hAnsi="Palatino Linotype" w:cs="Palatino Linotype"/>
          <w:b/>
        </w:rPr>
        <w:t>5</w:t>
      </w:r>
      <w:r w:rsidR="008263D6" w:rsidRPr="00F403D1">
        <w:rPr>
          <w:rFonts w:ascii="Palatino Linotype" w:eastAsia="Palatino Linotype" w:hAnsi="Palatino Linotype" w:cs="Palatino Linotype"/>
          <w:b/>
        </w:rPr>
        <w:t>. Turno.</w:t>
      </w:r>
      <w:r w:rsidR="008263D6" w:rsidRPr="00F403D1">
        <w:rPr>
          <w:rFonts w:ascii="Palatino Linotype" w:eastAsia="Palatino Linotype" w:hAnsi="Palatino Linotype" w:cs="Palatino Linotype"/>
        </w:rPr>
        <w:t xml:space="preserve"> De conformidad con el artículo 185, fracción I de la Ley Transparencia y Acceso a la Información Pública del Estado de México y Municipios, los recursos de revisión fueron turnados a l</w:t>
      </w:r>
      <w:r w:rsidR="00FE240F" w:rsidRPr="00F403D1">
        <w:rPr>
          <w:rFonts w:ascii="Palatino Linotype" w:eastAsia="Palatino Linotype" w:hAnsi="Palatino Linotype" w:cs="Palatino Linotype"/>
        </w:rPr>
        <w:t>a</w:t>
      </w:r>
      <w:r w:rsidR="008263D6" w:rsidRPr="00F403D1">
        <w:rPr>
          <w:rFonts w:ascii="Palatino Linotype" w:eastAsia="Palatino Linotype" w:hAnsi="Palatino Linotype" w:cs="Palatino Linotype"/>
        </w:rPr>
        <w:t>s Comisionad</w:t>
      </w:r>
      <w:r w:rsidR="00FE240F" w:rsidRPr="00F403D1">
        <w:rPr>
          <w:rFonts w:ascii="Palatino Linotype" w:eastAsia="Palatino Linotype" w:hAnsi="Palatino Linotype" w:cs="Palatino Linotype"/>
        </w:rPr>
        <w:t>a</w:t>
      </w:r>
      <w:r w:rsidR="008263D6" w:rsidRPr="00F403D1">
        <w:rPr>
          <w:rFonts w:ascii="Palatino Linotype" w:eastAsia="Palatino Linotype" w:hAnsi="Palatino Linotype" w:cs="Palatino Linotype"/>
        </w:rPr>
        <w:t xml:space="preserve">s </w:t>
      </w:r>
      <w:r w:rsidR="008263D6" w:rsidRPr="00F403D1">
        <w:rPr>
          <w:rFonts w:ascii="Palatino Linotype" w:eastAsia="Palatino Linotype" w:hAnsi="Palatino Linotype" w:cs="Palatino Linotype"/>
          <w:b/>
        </w:rPr>
        <w:t>Guadalupe Ramírez Peña</w:t>
      </w:r>
      <w:r w:rsidR="00A15521" w:rsidRPr="00F403D1">
        <w:rPr>
          <w:rFonts w:ascii="Palatino Linotype" w:eastAsia="Palatino Linotype" w:hAnsi="Palatino Linotype" w:cs="Palatino Linotype"/>
          <w:b/>
        </w:rPr>
        <w:t xml:space="preserve">, </w:t>
      </w:r>
      <w:r w:rsidR="008263D6" w:rsidRPr="00F403D1">
        <w:rPr>
          <w:rFonts w:ascii="Palatino Linotype" w:eastAsia="Palatino Linotype" w:hAnsi="Palatino Linotype" w:cs="Palatino Linotype"/>
        </w:rPr>
        <w:t xml:space="preserve"> </w:t>
      </w:r>
      <w:r w:rsidR="009940BC" w:rsidRPr="00F403D1">
        <w:rPr>
          <w:rFonts w:ascii="Palatino Linotype" w:eastAsia="Palatino Linotype" w:hAnsi="Palatino Linotype" w:cs="Palatino Linotype"/>
          <w:b/>
        </w:rPr>
        <w:t>José Martínez Vilchis</w:t>
      </w:r>
      <w:r w:rsidR="008263D6" w:rsidRPr="00F403D1">
        <w:rPr>
          <w:rFonts w:ascii="Palatino Linotype" w:eastAsia="Palatino Linotype" w:hAnsi="Palatino Linotype" w:cs="Palatino Linotype"/>
          <w:b/>
        </w:rPr>
        <w:t xml:space="preserve">, </w:t>
      </w:r>
      <w:r w:rsidR="00A15521" w:rsidRPr="00F403D1">
        <w:rPr>
          <w:rFonts w:ascii="Palatino Linotype" w:eastAsia="Palatino Linotype" w:hAnsi="Palatino Linotype" w:cs="Palatino Linotype"/>
          <w:b/>
        </w:rPr>
        <w:t xml:space="preserve">Luis Gustavo Parra Noriega </w:t>
      </w:r>
      <w:r w:rsidR="00A15521" w:rsidRPr="00F403D1">
        <w:rPr>
          <w:rFonts w:ascii="Palatino Linotype" w:eastAsia="Palatino Linotype" w:hAnsi="Palatino Linotype" w:cs="Palatino Linotype"/>
        </w:rPr>
        <w:t xml:space="preserve">y </w:t>
      </w:r>
      <w:r w:rsidR="00A15521" w:rsidRPr="00F403D1">
        <w:rPr>
          <w:rFonts w:ascii="Palatino Linotype" w:eastAsia="Palatino Linotype" w:hAnsi="Palatino Linotype" w:cs="Palatino Linotype"/>
          <w:b/>
        </w:rPr>
        <w:t xml:space="preserve">Sharon Cristina Morales Martínez, </w:t>
      </w:r>
      <w:r w:rsidR="008263D6" w:rsidRPr="00F403D1">
        <w:rPr>
          <w:rFonts w:ascii="Palatino Linotype" w:eastAsia="Palatino Linotype" w:hAnsi="Palatino Linotype" w:cs="Palatino Linotype"/>
        </w:rPr>
        <w:t>a efecto de presentar al Pleno los proyectos de resolución correspondientes.</w:t>
      </w:r>
    </w:p>
    <w:p w14:paraId="604C949E" w14:textId="5B410D1D" w:rsidR="00CE2B0E" w:rsidRPr="00F403D1" w:rsidRDefault="002E3FB1">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b/>
        </w:rPr>
        <w:t>6</w:t>
      </w:r>
      <w:r w:rsidR="008263D6" w:rsidRPr="00F403D1">
        <w:rPr>
          <w:rFonts w:ascii="Palatino Linotype" w:eastAsia="Palatino Linotype" w:hAnsi="Palatino Linotype" w:cs="Palatino Linotype"/>
          <w:b/>
        </w:rPr>
        <w:t xml:space="preserve">. Admisión de los Recursos de Revisión. </w:t>
      </w:r>
      <w:r w:rsidR="008263D6" w:rsidRPr="00F403D1">
        <w:rPr>
          <w:rFonts w:ascii="Palatino Linotype" w:eastAsia="Palatino Linotype" w:hAnsi="Palatino Linotype" w:cs="Palatino Linotype"/>
        </w:rPr>
        <w:t xml:space="preserve">El </w:t>
      </w:r>
      <w:r w:rsidR="00A44746" w:rsidRPr="00F403D1">
        <w:rPr>
          <w:rFonts w:ascii="Palatino Linotype" w:eastAsia="Palatino Linotype" w:hAnsi="Palatino Linotype" w:cs="Palatino Linotype"/>
          <w:b/>
        </w:rPr>
        <w:t xml:space="preserve">uno, dos </w:t>
      </w:r>
      <w:r w:rsidR="00A44746" w:rsidRPr="00F403D1">
        <w:rPr>
          <w:rFonts w:ascii="Palatino Linotype" w:eastAsia="Palatino Linotype" w:hAnsi="Palatino Linotype" w:cs="Palatino Linotype"/>
        </w:rPr>
        <w:t xml:space="preserve">y </w:t>
      </w:r>
      <w:r w:rsidR="00A44746" w:rsidRPr="00F403D1">
        <w:rPr>
          <w:rFonts w:ascii="Palatino Linotype" w:eastAsia="Palatino Linotype" w:hAnsi="Palatino Linotype" w:cs="Palatino Linotype"/>
          <w:b/>
        </w:rPr>
        <w:t xml:space="preserve">tres de septiembre </w:t>
      </w:r>
      <w:r w:rsidR="008263D6" w:rsidRPr="00F403D1">
        <w:rPr>
          <w:rFonts w:ascii="Palatino Linotype" w:eastAsia="Palatino Linotype" w:hAnsi="Palatino Linotype" w:cs="Palatino Linotype"/>
          <w:b/>
        </w:rPr>
        <w:t>de dos mil veinticinco,</w:t>
      </w:r>
      <w:r w:rsidR="008263D6" w:rsidRPr="00F403D1">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p>
    <w:p w14:paraId="03097975" w14:textId="5D52F4F8" w:rsidR="00A44746" w:rsidRPr="00F403D1" w:rsidRDefault="002E3FB1" w:rsidP="00FC6ED4">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b/>
        </w:rPr>
        <w:t>7</w:t>
      </w:r>
      <w:r w:rsidR="008263D6" w:rsidRPr="00F403D1">
        <w:rPr>
          <w:rFonts w:ascii="Palatino Linotype" w:eastAsia="Palatino Linotype" w:hAnsi="Palatino Linotype" w:cs="Palatino Linotype"/>
        </w:rPr>
        <w:t xml:space="preserve">. </w:t>
      </w:r>
      <w:r w:rsidR="008263D6" w:rsidRPr="00F403D1">
        <w:rPr>
          <w:rFonts w:ascii="Palatino Linotype" w:eastAsia="Palatino Linotype" w:hAnsi="Palatino Linotype" w:cs="Palatino Linotype"/>
          <w:b/>
        </w:rPr>
        <w:t xml:space="preserve">Manifestaciones. </w:t>
      </w:r>
      <w:r w:rsidR="008263D6" w:rsidRPr="00F403D1">
        <w:rPr>
          <w:rFonts w:ascii="Palatino Linotype" w:eastAsia="Palatino Linotype" w:hAnsi="Palatino Linotype" w:cs="Palatino Linotype"/>
        </w:rPr>
        <w:t>El</w:t>
      </w:r>
      <w:r w:rsidR="008263D6" w:rsidRPr="00F403D1">
        <w:rPr>
          <w:rFonts w:ascii="Palatino Linotype" w:eastAsia="Palatino Linotype" w:hAnsi="Palatino Linotype" w:cs="Palatino Linotype"/>
          <w:b/>
        </w:rPr>
        <w:t xml:space="preserve"> </w:t>
      </w:r>
      <w:r w:rsidR="00390A81" w:rsidRPr="00F403D1">
        <w:rPr>
          <w:rFonts w:ascii="Palatino Linotype" w:eastAsia="Palatino Linotype" w:hAnsi="Palatino Linotype" w:cs="Palatino Linotype"/>
          <w:b/>
        </w:rPr>
        <w:t xml:space="preserve">uno, dos </w:t>
      </w:r>
      <w:r w:rsidR="003B409D" w:rsidRPr="00F403D1">
        <w:rPr>
          <w:rFonts w:ascii="Palatino Linotype" w:eastAsia="Palatino Linotype" w:hAnsi="Palatino Linotype" w:cs="Palatino Linotype"/>
          <w:b/>
        </w:rPr>
        <w:t xml:space="preserve">y </w:t>
      </w:r>
      <w:r w:rsidR="00390A81" w:rsidRPr="00F403D1">
        <w:rPr>
          <w:rFonts w:ascii="Palatino Linotype" w:eastAsia="Palatino Linotype" w:hAnsi="Palatino Linotype" w:cs="Palatino Linotype"/>
          <w:b/>
        </w:rPr>
        <w:t xml:space="preserve">doce </w:t>
      </w:r>
      <w:r w:rsidR="003B409D" w:rsidRPr="00F403D1">
        <w:rPr>
          <w:rFonts w:ascii="Palatino Linotype" w:eastAsia="Palatino Linotype" w:hAnsi="Palatino Linotype" w:cs="Palatino Linotype"/>
          <w:b/>
        </w:rPr>
        <w:t xml:space="preserve">de </w:t>
      </w:r>
      <w:r w:rsidR="00390A81" w:rsidRPr="00F403D1">
        <w:rPr>
          <w:rFonts w:ascii="Palatino Linotype" w:eastAsia="Palatino Linotype" w:hAnsi="Palatino Linotype" w:cs="Palatino Linotype"/>
          <w:b/>
        </w:rPr>
        <w:t xml:space="preserve">septiembre </w:t>
      </w:r>
      <w:r w:rsidR="008263D6" w:rsidRPr="00F403D1">
        <w:rPr>
          <w:rFonts w:ascii="Palatino Linotype" w:eastAsia="Palatino Linotype" w:hAnsi="Palatino Linotype" w:cs="Palatino Linotype"/>
          <w:b/>
        </w:rPr>
        <w:t>de dos mil veinticinco</w:t>
      </w:r>
      <w:r w:rsidR="008263D6" w:rsidRPr="00F403D1">
        <w:rPr>
          <w:rFonts w:ascii="Palatino Linotype" w:eastAsia="Palatino Linotype" w:hAnsi="Palatino Linotype" w:cs="Palatino Linotype"/>
        </w:rPr>
        <w:t>, el</w:t>
      </w:r>
      <w:r w:rsidR="008263D6" w:rsidRPr="00F403D1">
        <w:rPr>
          <w:rFonts w:ascii="Palatino Linotype" w:eastAsia="Palatino Linotype" w:hAnsi="Palatino Linotype" w:cs="Palatino Linotype"/>
          <w:b/>
        </w:rPr>
        <w:t xml:space="preserve"> Sujeto Obligado </w:t>
      </w:r>
      <w:r w:rsidR="008263D6" w:rsidRPr="00F403D1">
        <w:rPr>
          <w:rFonts w:ascii="Palatino Linotype" w:eastAsia="Palatino Linotype" w:hAnsi="Palatino Linotype" w:cs="Palatino Linotype"/>
        </w:rPr>
        <w:t>remitió</w:t>
      </w:r>
      <w:r w:rsidR="00625B34" w:rsidRPr="00F403D1">
        <w:rPr>
          <w:rFonts w:ascii="Palatino Linotype" w:eastAsia="Palatino Linotype" w:hAnsi="Palatino Linotype" w:cs="Palatino Linotype"/>
        </w:rPr>
        <w:t xml:space="preserve">, </w:t>
      </w:r>
      <w:r w:rsidR="00FC6ED4" w:rsidRPr="00F403D1">
        <w:rPr>
          <w:rFonts w:ascii="Palatino Linotype" w:eastAsia="Palatino Linotype" w:hAnsi="Palatino Linotype" w:cs="Palatino Linotype"/>
        </w:rPr>
        <w:t xml:space="preserve">a través de SAIMEX </w:t>
      </w:r>
      <w:r w:rsidR="00A44746" w:rsidRPr="00F403D1">
        <w:rPr>
          <w:rFonts w:ascii="Palatino Linotype" w:eastAsia="Palatino Linotype" w:hAnsi="Palatino Linotype" w:cs="Palatino Linotype"/>
        </w:rPr>
        <w:t xml:space="preserve">el oficio número TM/430/2025, </w:t>
      </w:r>
      <w:r w:rsidR="00FE5C0C" w:rsidRPr="00F403D1">
        <w:rPr>
          <w:rFonts w:ascii="Palatino Linotype" w:eastAsia="Palatino Linotype" w:hAnsi="Palatino Linotype" w:cs="Palatino Linotype"/>
        </w:rPr>
        <w:t xml:space="preserve">mediante el cual el </w:t>
      </w:r>
      <w:r w:rsidR="00AE4DF2" w:rsidRPr="00F403D1">
        <w:rPr>
          <w:rFonts w:ascii="Palatino Linotype" w:eastAsia="Palatino Linotype" w:hAnsi="Palatino Linotype" w:cs="Palatino Linotype"/>
        </w:rPr>
        <w:t xml:space="preserve">Tesorero Municipal </w:t>
      </w:r>
      <w:r w:rsidR="000410B0" w:rsidRPr="00F403D1">
        <w:rPr>
          <w:rFonts w:ascii="Palatino Linotype" w:eastAsia="Palatino Linotype" w:hAnsi="Palatino Linotype" w:cs="Palatino Linotype"/>
        </w:rPr>
        <w:t>ratificó en lo sustancial la respuesta proporcionada en primera instancia.</w:t>
      </w:r>
    </w:p>
    <w:p w14:paraId="76A37F7D" w14:textId="77777777" w:rsidR="00CE2B0E" w:rsidRPr="00F403D1" w:rsidRDefault="008263D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Una vez analizada la información, se hizo del conocimiento de la parte </w:t>
      </w:r>
      <w:r w:rsidRPr="00F403D1">
        <w:rPr>
          <w:rFonts w:ascii="Palatino Linotype" w:eastAsia="Palatino Linotype" w:hAnsi="Palatino Linotype" w:cs="Palatino Linotype"/>
          <w:b/>
        </w:rPr>
        <w:t xml:space="preserve">Recurrente </w:t>
      </w:r>
      <w:r w:rsidRPr="00F403D1">
        <w:rPr>
          <w:rFonts w:ascii="Palatino Linotype" w:eastAsia="Palatino Linotype" w:hAnsi="Palatino Linotype" w:cs="Palatino Linotype"/>
        </w:rPr>
        <w:t>con la finalidad de que manifestara lo que a su derecho estimara conveniente, sin embargo, fue omisa en ejercer dicha prerrogativa.</w:t>
      </w:r>
    </w:p>
    <w:p w14:paraId="398DD502" w14:textId="19AE3D20" w:rsidR="00C13134" w:rsidRPr="00F403D1" w:rsidRDefault="002E3FB1" w:rsidP="00C13134">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b/>
        </w:rPr>
        <w:t>8</w:t>
      </w:r>
      <w:r w:rsidR="008263D6" w:rsidRPr="00F403D1">
        <w:rPr>
          <w:rFonts w:ascii="Palatino Linotype" w:eastAsia="Palatino Linotype" w:hAnsi="Palatino Linotype" w:cs="Palatino Linotype"/>
          <w:b/>
        </w:rPr>
        <w:t xml:space="preserve">. Acumulación de los recursos de revisión. </w:t>
      </w:r>
      <w:r w:rsidR="00C13134" w:rsidRPr="00F403D1">
        <w:rPr>
          <w:rFonts w:ascii="Palatino Linotype" w:eastAsia="Palatino Linotype" w:hAnsi="Palatino Linotype" w:cs="Palatino Linotype"/>
        </w:rPr>
        <w:t xml:space="preserve">Al respecto cabe señalar, que el Pleno de este Instituto, mediante acuerdo </w:t>
      </w:r>
      <w:r w:rsidR="00DA6B5D" w:rsidRPr="00F403D1">
        <w:rPr>
          <w:rFonts w:ascii="Palatino Linotype" w:eastAsia="Palatino Linotype" w:hAnsi="Palatino Linotype" w:cs="Palatino Linotype"/>
        </w:rPr>
        <w:t xml:space="preserve">del </w:t>
      </w:r>
      <w:r w:rsidRPr="00F403D1">
        <w:rPr>
          <w:rFonts w:ascii="Palatino Linotype" w:eastAsia="Palatino Linotype" w:hAnsi="Palatino Linotype" w:cs="Palatino Linotype"/>
          <w:b/>
        </w:rPr>
        <w:t xml:space="preserve">diez de septiembre </w:t>
      </w:r>
      <w:r w:rsidR="00C13134" w:rsidRPr="00F403D1">
        <w:rPr>
          <w:rFonts w:ascii="Palatino Linotype" w:eastAsia="Palatino Linotype" w:hAnsi="Palatino Linotype" w:cs="Palatino Linotype"/>
          <w:b/>
        </w:rPr>
        <w:t>de dos mil veinticinco,</w:t>
      </w:r>
      <w:r w:rsidR="00C13134" w:rsidRPr="00F403D1">
        <w:rPr>
          <w:rFonts w:ascii="Palatino Linotype" w:eastAsia="Palatino Linotype" w:hAnsi="Palatino Linotype" w:cs="Palatino Linotype"/>
        </w:rPr>
        <w:t xml:space="preserve"> ordenó la acumulación de los expedientes citados, a efecto de que la </w:t>
      </w:r>
      <w:r w:rsidR="00C13134" w:rsidRPr="00F403D1">
        <w:rPr>
          <w:rFonts w:ascii="Palatino Linotype" w:eastAsia="Palatino Linotype" w:hAnsi="Palatino Linotype" w:cs="Palatino Linotype"/>
          <w:b/>
        </w:rPr>
        <w:t xml:space="preserve">Comisionada Guadalupe Ramírez Peña </w:t>
      </w:r>
      <w:r w:rsidR="00C13134" w:rsidRPr="00F403D1">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11317210" w14:textId="77777777" w:rsidR="00C13134" w:rsidRPr="00F403D1" w:rsidRDefault="00C13134" w:rsidP="00C1313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F403D1">
        <w:rPr>
          <w:rFonts w:ascii="Palatino Linotype" w:eastAsia="Palatino Linotype" w:hAnsi="Palatino Linotype" w:cs="Palatino Linotype"/>
          <w:b/>
          <w:i/>
        </w:rPr>
        <w:t>Código de Procedimientos Administrativos del Estado de México</w:t>
      </w:r>
    </w:p>
    <w:p w14:paraId="30F19C77" w14:textId="77777777" w:rsidR="00C13134" w:rsidRPr="00F403D1" w:rsidRDefault="00C13134" w:rsidP="00C1313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F403D1">
        <w:rPr>
          <w:rFonts w:ascii="Palatino Linotype" w:eastAsia="Palatino Linotype" w:hAnsi="Palatino Linotype" w:cs="Palatino Linotype"/>
          <w:b/>
          <w:i/>
        </w:rPr>
        <w:t>“Artículo 18.-</w:t>
      </w:r>
      <w:r w:rsidRPr="00F403D1">
        <w:rPr>
          <w:rFonts w:ascii="Palatino Linotype" w:eastAsia="Palatino Linotype" w:hAnsi="Palatino Linotype" w:cs="Palatino Linotype"/>
          <w:i/>
        </w:rPr>
        <w:t xml:space="preserve"> </w:t>
      </w:r>
      <w:r w:rsidRPr="00F403D1">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F403D1">
        <w:rPr>
          <w:rFonts w:ascii="Palatino Linotype" w:eastAsia="Palatino Linotype" w:hAnsi="Palatino Linotype" w:cs="Palatino Linotype"/>
          <w:i/>
        </w:rPr>
        <w:t xml:space="preserve"> o a petición de parte, </w:t>
      </w:r>
      <w:r w:rsidRPr="00F403D1">
        <w:rPr>
          <w:rFonts w:ascii="Palatino Linotype" w:eastAsia="Palatino Linotype" w:hAnsi="Palatino Linotype" w:cs="Palatino Linotype"/>
          <w:b/>
          <w:i/>
        </w:rPr>
        <w:t>cuando las partes</w:t>
      </w:r>
      <w:r w:rsidRPr="00F403D1">
        <w:rPr>
          <w:rFonts w:ascii="Palatino Linotype" w:eastAsia="Palatino Linotype" w:hAnsi="Palatino Linotype" w:cs="Palatino Linotype"/>
          <w:i/>
        </w:rPr>
        <w:t xml:space="preserve"> o los actos administrativos sean iguales, se trate de actos conexos o </w:t>
      </w:r>
      <w:r w:rsidRPr="00F403D1">
        <w:rPr>
          <w:rFonts w:ascii="Palatino Linotype" w:eastAsia="Palatino Linotype" w:hAnsi="Palatino Linotype" w:cs="Palatino Linotype"/>
          <w:b/>
          <w:i/>
        </w:rPr>
        <w:t>resulte conveniente el trámite unificado de los asuntos, para evitar la emisión de resoluciones contradictorias</w:t>
      </w:r>
      <w:r w:rsidRPr="00F403D1">
        <w:rPr>
          <w:rFonts w:ascii="Palatino Linotype" w:eastAsia="Palatino Linotype" w:hAnsi="Palatino Linotype" w:cs="Palatino Linotype"/>
          <w:i/>
        </w:rPr>
        <w:t>. La misma regla se aplicará, en lo conducente, para la separación de los expedientes.”</w:t>
      </w:r>
    </w:p>
    <w:p w14:paraId="400C541A" w14:textId="77777777" w:rsidR="00C13134" w:rsidRPr="00F403D1" w:rsidRDefault="00C13134" w:rsidP="00C1313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F403D1">
        <w:rPr>
          <w:rFonts w:ascii="Palatino Linotype" w:eastAsia="Palatino Linotype" w:hAnsi="Palatino Linotype" w:cs="Palatino Linotype"/>
          <w:b/>
          <w:i/>
        </w:rPr>
        <w:t>Ley de Transparencia y Acceso a la Información Pública del Estado de México y Municipios</w:t>
      </w:r>
    </w:p>
    <w:p w14:paraId="34033F3D" w14:textId="77777777" w:rsidR="00C13134" w:rsidRPr="00F403D1" w:rsidRDefault="00C13134" w:rsidP="00C1313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F403D1">
        <w:rPr>
          <w:rFonts w:ascii="Palatino Linotype" w:eastAsia="Palatino Linotype" w:hAnsi="Palatino Linotype" w:cs="Palatino Linotype"/>
          <w:b/>
          <w:i/>
        </w:rPr>
        <w:t>“Artículo 195.-</w:t>
      </w:r>
      <w:r w:rsidRPr="00F403D1">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7B9DE02C" w14:textId="4F687E7B" w:rsidR="00C13134" w:rsidRPr="00F403D1" w:rsidRDefault="001A338E" w:rsidP="007F0A79">
      <w:pPr>
        <w:spacing w:before="240" w:after="240" w:line="360" w:lineRule="auto"/>
        <w:ind w:right="49"/>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Lo anterior al advertir que </w:t>
      </w:r>
      <w:r w:rsidR="00C13134" w:rsidRPr="00F403D1">
        <w:rPr>
          <w:rFonts w:ascii="Palatino Linotype" w:eastAsia="Palatino Linotype" w:hAnsi="Palatino Linotype" w:cs="Palatino Linotype"/>
        </w:rPr>
        <w:t>los</w:t>
      </w:r>
      <w:r w:rsidRPr="00F403D1">
        <w:rPr>
          <w:rFonts w:ascii="Palatino Linotype" w:eastAsia="Palatino Linotype" w:hAnsi="Palatino Linotype" w:cs="Palatino Linotype"/>
        </w:rPr>
        <w:t xml:space="preserve"> medios de impugnación citados</w:t>
      </w:r>
      <w:r w:rsidR="00C13134" w:rsidRPr="00F403D1">
        <w:rPr>
          <w:rFonts w:ascii="Palatino Linotype" w:eastAsia="Palatino Linotype" w:hAnsi="Palatino Linotype" w:cs="Palatino Linotype"/>
        </w:rPr>
        <w:t xml:space="preserve"> fueron interpuestos por la misma parte </w:t>
      </w:r>
      <w:r w:rsidR="00C13134" w:rsidRPr="00F403D1">
        <w:rPr>
          <w:rFonts w:ascii="Palatino Linotype" w:eastAsia="Palatino Linotype" w:hAnsi="Palatino Linotype" w:cs="Palatino Linotype"/>
          <w:b/>
        </w:rPr>
        <w:t>Recurrente</w:t>
      </w:r>
      <w:r w:rsidR="00C13134" w:rsidRPr="00F403D1">
        <w:rPr>
          <w:rFonts w:ascii="Palatino Linotype" w:eastAsia="Palatino Linotype" w:hAnsi="Palatino Linotype" w:cs="Palatino Linotype"/>
        </w:rPr>
        <w:t xml:space="preserve"> ante el mismo </w:t>
      </w:r>
      <w:r w:rsidR="00C13134" w:rsidRPr="00F403D1">
        <w:rPr>
          <w:rFonts w:ascii="Palatino Linotype" w:eastAsia="Palatino Linotype" w:hAnsi="Palatino Linotype" w:cs="Palatino Linotype"/>
          <w:b/>
        </w:rPr>
        <w:t>Sujeto Obligado</w:t>
      </w:r>
      <w:r w:rsidRPr="00F403D1">
        <w:rPr>
          <w:rFonts w:ascii="Palatino Linotype" w:eastAsia="Palatino Linotype" w:hAnsi="Palatino Linotype" w:cs="Palatino Linotype"/>
        </w:rPr>
        <w:t xml:space="preserve">, razón por la cual se </w:t>
      </w:r>
      <w:r w:rsidR="00C13134" w:rsidRPr="00F403D1">
        <w:rPr>
          <w:rFonts w:ascii="Palatino Linotype" w:eastAsia="Palatino Linotype" w:hAnsi="Palatino Linotype" w:cs="Palatino Linotype"/>
        </w:rPr>
        <w:t>consideró que resultaba conveniente su acumulación a efecto de que formulara y presentara el proyecto de resolución correspondiente.</w:t>
      </w:r>
    </w:p>
    <w:p w14:paraId="775DBDCB" w14:textId="003B2DD2" w:rsidR="00FE37B1" w:rsidRPr="00F403D1" w:rsidRDefault="002E3FB1" w:rsidP="00FE37B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b/>
        </w:rPr>
        <w:t>9</w:t>
      </w:r>
      <w:r w:rsidR="007F0A79" w:rsidRPr="00F403D1">
        <w:rPr>
          <w:rFonts w:ascii="Palatino Linotype" w:eastAsia="Palatino Linotype" w:hAnsi="Palatino Linotype" w:cs="Palatino Linotype"/>
          <w:b/>
        </w:rPr>
        <w:t xml:space="preserve">. </w:t>
      </w:r>
      <w:r w:rsidR="00FE37B1" w:rsidRPr="00F403D1">
        <w:rPr>
          <w:rFonts w:ascii="Palatino Linotype" w:eastAsia="Palatino Linotype" w:hAnsi="Palatino Linotype" w:cs="Palatino Linotype"/>
          <w:b/>
        </w:rPr>
        <w:t xml:space="preserve">Cierre de Instrucción. </w:t>
      </w:r>
      <w:r w:rsidR="00FE37B1" w:rsidRPr="00F403D1">
        <w:rPr>
          <w:rFonts w:ascii="Palatino Linotype" w:eastAsia="Palatino Linotype" w:hAnsi="Palatino Linotype" w:cs="Palatino Linotype"/>
        </w:rPr>
        <w:t xml:space="preserve">El </w:t>
      </w:r>
      <w:r w:rsidRPr="00F403D1">
        <w:rPr>
          <w:rFonts w:ascii="Palatino Linotype" w:eastAsia="Palatino Linotype" w:hAnsi="Palatino Linotype" w:cs="Palatino Linotype"/>
          <w:b/>
        </w:rPr>
        <w:t>tres de febrero</w:t>
      </w:r>
      <w:r w:rsidR="00FE37B1" w:rsidRPr="00F403D1">
        <w:rPr>
          <w:rFonts w:ascii="Palatino Linotype" w:eastAsia="Palatino Linotype" w:hAnsi="Palatino Linotype" w:cs="Palatino Linotype"/>
          <w:b/>
        </w:rPr>
        <w:t xml:space="preserve"> de dos mil </w:t>
      </w:r>
      <w:r w:rsidRPr="00F403D1">
        <w:rPr>
          <w:rFonts w:ascii="Palatino Linotype" w:eastAsia="Palatino Linotype" w:hAnsi="Palatino Linotype" w:cs="Palatino Linotype"/>
          <w:b/>
        </w:rPr>
        <w:t>veintiséis</w:t>
      </w:r>
      <w:r w:rsidR="00FE37B1" w:rsidRPr="00F403D1">
        <w:rPr>
          <w:rFonts w:ascii="Palatino Linotype" w:eastAsia="Palatino Linotype" w:hAnsi="Palatino Linotype" w:cs="Palatino Linotype"/>
        </w:rPr>
        <w:t>, 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resolución que en derecho corresponda.</w:t>
      </w:r>
    </w:p>
    <w:p w14:paraId="11A20B34" w14:textId="50C422FD" w:rsidR="00CE2B0E" w:rsidRPr="00F403D1" w:rsidRDefault="002E3FB1" w:rsidP="007F0A79">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b/>
        </w:rPr>
        <w:t>1</w:t>
      </w:r>
      <w:r w:rsidR="00102BA7" w:rsidRPr="00F403D1">
        <w:rPr>
          <w:rFonts w:ascii="Palatino Linotype" w:eastAsia="Palatino Linotype" w:hAnsi="Palatino Linotype" w:cs="Palatino Linotype"/>
          <w:b/>
        </w:rPr>
        <w:t>0</w:t>
      </w:r>
      <w:r w:rsidR="008F308F" w:rsidRPr="00F403D1">
        <w:rPr>
          <w:rFonts w:ascii="Palatino Linotype" w:eastAsia="Palatino Linotype" w:hAnsi="Palatino Linotype" w:cs="Palatino Linotype"/>
          <w:b/>
        </w:rPr>
        <w:t xml:space="preserve">. </w:t>
      </w:r>
      <w:r w:rsidR="008263D6" w:rsidRPr="00F403D1">
        <w:rPr>
          <w:rFonts w:ascii="Palatino Linotype" w:eastAsia="Palatino Linotype" w:hAnsi="Palatino Linotype" w:cs="Palatino Linotype"/>
          <w:b/>
        </w:rPr>
        <w:t>Ampliación del término para resolver</w:t>
      </w:r>
      <w:r w:rsidR="008263D6" w:rsidRPr="00F403D1">
        <w:rPr>
          <w:rFonts w:ascii="Palatino Linotype" w:eastAsia="Palatino Linotype" w:hAnsi="Palatino Linotype" w:cs="Palatino Linotype"/>
        </w:rPr>
        <w:t xml:space="preserve">. El </w:t>
      </w:r>
      <w:r w:rsidRPr="00F403D1">
        <w:rPr>
          <w:rFonts w:ascii="Palatino Linotype" w:eastAsia="Palatino Linotype" w:hAnsi="Palatino Linotype" w:cs="Palatino Linotype"/>
          <w:b/>
          <w:bCs/>
        </w:rPr>
        <w:t>tres de febrero</w:t>
      </w:r>
      <w:r w:rsidR="008F308F" w:rsidRPr="00F403D1">
        <w:rPr>
          <w:rFonts w:ascii="Palatino Linotype" w:eastAsia="Palatino Linotype" w:hAnsi="Palatino Linotype" w:cs="Palatino Linotype"/>
          <w:b/>
          <w:bCs/>
        </w:rPr>
        <w:t xml:space="preserve"> </w:t>
      </w:r>
      <w:r w:rsidR="008263D6" w:rsidRPr="00F403D1">
        <w:rPr>
          <w:rFonts w:ascii="Palatino Linotype" w:eastAsia="Palatino Linotype" w:hAnsi="Palatino Linotype" w:cs="Palatino Linotype"/>
          <w:b/>
        </w:rPr>
        <w:t xml:space="preserve">de dos mil </w:t>
      </w:r>
      <w:r w:rsidR="00102BA7" w:rsidRPr="00F403D1">
        <w:rPr>
          <w:rFonts w:ascii="Palatino Linotype" w:eastAsia="Palatino Linotype" w:hAnsi="Palatino Linotype" w:cs="Palatino Linotype"/>
          <w:b/>
        </w:rPr>
        <w:t>veintiséis</w:t>
      </w:r>
      <w:r w:rsidR="008263D6" w:rsidRPr="00F403D1">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2FFA2807" w14:textId="77777777" w:rsidR="000F5CFF" w:rsidRPr="00F403D1" w:rsidRDefault="000F5CFF" w:rsidP="000F5CFF">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ADE611F" w14:textId="77777777" w:rsidR="000F5CFF" w:rsidRPr="00F403D1" w:rsidRDefault="000F5CFF" w:rsidP="000F5CFF">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040AE2A" w14:textId="77777777" w:rsidR="000F5CFF" w:rsidRPr="00F403D1" w:rsidRDefault="000F5CFF" w:rsidP="000F5CFF">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665B2C" w14:textId="77777777" w:rsidR="000F5CFF" w:rsidRPr="00F403D1" w:rsidRDefault="000F5CFF" w:rsidP="000F5CFF">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C47FA0" w14:textId="77777777" w:rsidR="000F5CFF" w:rsidRPr="00F403D1" w:rsidRDefault="000F5CFF" w:rsidP="000F5CFF">
      <w:pPr>
        <w:spacing w:before="240" w:after="240" w:line="360" w:lineRule="auto"/>
        <w:jc w:val="both"/>
        <w:rPr>
          <w:rFonts w:ascii="Palatino Linotype" w:eastAsia="Palatino Linotype" w:hAnsi="Palatino Linotype" w:cs="Palatino Linotype"/>
          <w:strike/>
        </w:rPr>
      </w:pPr>
      <w:r w:rsidRPr="00F403D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660F265" w14:textId="77777777" w:rsidR="000F5CFF" w:rsidRPr="00F403D1" w:rsidRDefault="000F5CFF" w:rsidP="000F5CFF">
      <w:pPr>
        <w:numPr>
          <w:ilvl w:val="0"/>
          <w:numId w:val="8"/>
        </w:numPr>
        <w:tabs>
          <w:tab w:val="left" w:pos="567"/>
        </w:tabs>
        <w:spacing w:before="240" w:after="240" w:line="360" w:lineRule="auto"/>
        <w:ind w:left="284" w:firstLine="0"/>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03FDB4B" w14:textId="77777777" w:rsidR="000F5CFF" w:rsidRPr="00F403D1" w:rsidRDefault="000F5CFF" w:rsidP="000F5CFF">
      <w:pPr>
        <w:numPr>
          <w:ilvl w:val="0"/>
          <w:numId w:val="8"/>
        </w:numPr>
        <w:tabs>
          <w:tab w:val="left" w:pos="567"/>
        </w:tabs>
        <w:spacing w:before="240" w:after="240" w:line="360" w:lineRule="auto"/>
        <w:ind w:left="284" w:firstLine="0"/>
        <w:jc w:val="both"/>
        <w:rPr>
          <w:rFonts w:ascii="Palatino Linotype" w:eastAsia="Palatino Linotype" w:hAnsi="Palatino Linotype" w:cs="Palatino Linotype"/>
        </w:rPr>
      </w:pPr>
      <w:r w:rsidRPr="00F403D1">
        <w:rPr>
          <w:rFonts w:ascii="Palatino Linotype" w:eastAsia="Palatino Linotype" w:hAnsi="Palatino Linotype" w:cs="Palatino Linotype"/>
        </w:rPr>
        <w:t>Actividad Procesal del interesado. Acciones u omisiones del interesado.</w:t>
      </w:r>
    </w:p>
    <w:p w14:paraId="6CCC9479" w14:textId="77777777" w:rsidR="000F5CFF" w:rsidRPr="00F403D1" w:rsidRDefault="000F5CFF" w:rsidP="000F5CFF">
      <w:pPr>
        <w:numPr>
          <w:ilvl w:val="0"/>
          <w:numId w:val="8"/>
        </w:numPr>
        <w:tabs>
          <w:tab w:val="left" w:pos="567"/>
        </w:tabs>
        <w:spacing w:before="240" w:after="240" w:line="360" w:lineRule="auto"/>
        <w:ind w:left="284" w:firstLine="0"/>
        <w:jc w:val="both"/>
        <w:rPr>
          <w:rFonts w:ascii="Palatino Linotype" w:eastAsia="Palatino Linotype" w:hAnsi="Palatino Linotype" w:cs="Palatino Linotype"/>
        </w:rPr>
      </w:pPr>
      <w:r w:rsidRPr="00F403D1">
        <w:rPr>
          <w:rFonts w:ascii="Palatino Linotype" w:eastAsia="Palatino Linotype" w:hAnsi="Palatino Linotype" w:cs="Palatino Linotype"/>
        </w:rPr>
        <w:t>Conducta de la Autoridad: Las Acciones u omisiones realizadas en el procedimiento. Así como si la autoridad actuó con la debida diligencia.</w:t>
      </w:r>
    </w:p>
    <w:p w14:paraId="7F68EA0D" w14:textId="77777777" w:rsidR="000F5CFF" w:rsidRPr="00F403D1" w:rsidRDefault="000F5CFF" w:rsidP="000F5CFF">
      <w:pPr>
        <w:tabs>
          <w:tab w:val="left" w:pos="567"/>
        </w:tabs>
        <w:spacing w:before="240" w:after="240" w:line="360" w:lineRule="auto"/>
        <w:ind w:left="284"/>
        <w:jc w:val="both"/>
        <w:rPr>
          <w:rFonts w:ascii="Palatino Linotype" w:eastAsia="Palatino Linotype" w:hAnsi="Palatino Linotype" w:cs="Palatino Linotype"/>
        </w:rPr>
      </w:pPr>
      <w:r w:rsidRPr="00F403D1">
        <w:rPr>
          <w:rFonts w:ascii="Palatino Linotype" w:eastAsia="Palatino Linotype" w:hAnsi="Palatino Linotype" w:cs="Palatino Linotype"/>
        </w:rPr>
        <w:t>d) La afectación generada en la situación jurídica de la persona involucrada en el proceso: Violación a sus derechos humanos.</w:t>
      </w:r>
    </w:p>
    <w:p w14:paraId="76E7FDEA" w14:textId="77777777" w:rsidR="000F5CFF" w:rsidRPr="00F403D1" w:rsidRDefault="000F5CFF" w:rsidP="000F5CFF">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04EA53" w14:textId="77777777" w:rsidR="000F5CFF" w:rsidRPr="00F403D1" w:rsidRDefault="000F5CFF" w:rsidP="000F5CFF">
      <w:pPr>
        <w:spacing w:before="240" w:after="240" w:line="360" w:lineRule="auto"/>
        <w:jc w:val="both"/>
        <w:rPr>
          <w:rFonts w:ascii="Palatino Linotype" w:eastAsia="Palatino Linotype" w:hAnsi="Palatino Linotype" w:cs="Palatino Linotype"/>
          <w:b/>
        </w:rPr>
      </w:pPr>
      <w:r w:rsidRPr="00F403D1">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F403D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403D1">
        <w:rPr>
          <w:rFonts w:ascii="Palatino Linotype" w:eastAsia="Palatino Linotype" w:hAnsi="Palatino Linotype" w:cs="Palatino Linotype"/>
        </w:rPr>
        <w:t>, visible en la Gaceta del Seminario Judicial de la Federación con el registro digital 205635.</w:t>
      </w:r>
    </w:p>
    <w:p w14:paraId="009E56C9" w14:textId="77777777" w:rsidR="000F5CFF" w:rsidRPr="00F403D1" w:rsidRDefault="000F5CFF" w:rsidP="000F5CFF">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5740E52" w14:textId="77777777" w:rsidR="000F5CFF" w:rsidRPr="00F403D1" w:rsidRDefault="000F5CFF" w:rsidP="000F5CFF">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0564D8F" w14:textId="77777777" w:rsidR="000F5CFF" w:rsidRPr="00F403D1" w:rsidRDefault="000F5CFF" w:rsidP="000F5CFF">
      <w:pPr>
        <w:spacing w:before="120" w:after="120"/>
        <w:ind w:left="851" w:right="902"/>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 </w:t>
      </w:r>
      <w:r w:rsidRPr="00F403D1">
        <w:rPr>
          <w:rFonts w:ascii="Palatino Linotype" w:eastAsia="Palatino Linotype" w:hAnsi="Palatino Linotype" w:cs="Palatino Linotype"/>
          <w:i/>
        </w:rPr>
        <w:t>“</w:t>
      </w:r>
      <w:r w:rsidRPr="00F403D1">
        <w:rPr>
          <w:rFonts w:ascii="Palatino Linotype" w:eastAsia="Palatino Linotype" w:hAnsi="Palatino Linotype" w:cs="Palatino Linotype"/>
          <w:b/>
          <w:i/>
        </w:rPr>
        <w:t>PLAZO RAZONABLE PARA RESOLVER. DIMENSIÓN Y EFECTOS DE ESTE CONCEPTO CUANDO SE ADUCE EXCESIVA CARGA DE TRABAJO</w:t>
      </w:r>
      <w:r w:rsidRPr="00F403D1">
        <w:rPr>
          <w:rFonts w:ascii="Palatino Linotype" w:eastAsia="Palatino Linotype" w:hAnsi="Palatino Linotype" w:cs="Palatino Linotype"/>
          <w:i/>
        </w:rPr>
        <w:t>.”</w:t>
      </w:r>
      <w:r w:rsidRPr="00F403D1">
        <w:rPr>
          <w:rFonts w:ascii="Palatino Linotype" w:eastAsia="Palatino Linotype" w:hAnsi="Palatino Linotype" w:cs="Palatino Linotype"/>
        </w:rPr>
        <w:t xml:space="preserve"> consultable en el Seminario Judicial de la Federación y su gaceta, con el registro digital 2002351.</w:t>
      </w:r>
    </w:p>
    <w:p w14:paraId="69EA5039" w14:textId="77777777" w:rsidR="000F5CFF" w:rsidRPr="00F403D1" w:rsidRDefault="000F5CFF" w:rsidP="000F5CFF">
      <w:pPr>
        <w:spacing w:before="120" w:after="120"/>
        <w:ind w:left="851" w:right="902"/>
        <w:jc w:val="both"/>
        <w:rPr>
          <w:rFonts w:ascii="Palatino Linotype" w:eastAsia="Palatino Linotype" w:hAnsi="Palatino Linotype" w:cs="Palatino Linotype"/>
        </w:rPr>
      </w:pPr>
      <w:r w:rsidRPr="00F403D1">
        <w:rPr>
          <w:rFonts w:ascii="Palatino Linotype" w:eastAsia="Palatino Linotype" w:hAnsi="Palatino Linotype" w:cs="Palatino Linotype"/>
          <w:i/>
        </w:rPr>
        <w:t>“</w:t>
      </w:r>
      <w:r w:rsidRPr="00F403D1">
        <w:rPr>
          <w:rFonts w:ascii="Palatino Linotype" w:eastAsia="Palatino Linotype" w:hAnsi="Palatino Linotype" w:cs="Palatino Linotype"/>
          <w:b/>
          <w:i/>
        </w:rPr>
        <w:t>PLAZO RAZONABLE PARA RESOLVER. CONCEPTO Y ELEMENTOS QUE LO INTEGRAN A LA LUZ DEL DERECHO INTERNACIONAL DE LOS DERECHOS HUMANOS</w:t>
      </w:r>
      <w:r w:rsidRPr="00F403D1">
        <w:rPr>
          <w:rFonts w:ascii="Palatino Linotype" w:eastAsia="Palatino Linotype" w:hAnsi="Palatino Linotype" w:cs="Palatino Linotype"/>
          <w:i/>
        </w:rPr>
        <w:t>.”</w:t>
      </w:r>
      <w:r w:rsidRPr="00F403D1">
        <w:rPr>
          <w:rFonts w:ascii="Palatino Linotype" w:eastAsia="Palatino Linotype" w:hAnsi="Palatino Linotype" w:cs="Palatino Linotype"/>
        </w:rPr>
        <w:t>, visible en el Seminario Judicial de la Federación y su gaceta, con el registro digital 2002350.</w:t>
      </w:r>
    </w:p>
    <w:p w14:paraId="5D147C69" w14:textId="77777777" w:rsidR="000F5CFF" w:rsidRPr="00F403D1" w:rsidRDefault="000F5CFF" w:rsidP="000F5CFF">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CB9C3E4" w14:textId="34ED37AB" w:rsidR="00CE2B0E" w:rsidRPr="00F403D1" w:rsidRDefault="008263D6">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En razón de que fue</w:t>
      </w:r>
      <w:r w:rsidR="00361EA0" w:rsidRPr="00F403D1">
        <w:rPr>
          <w:rFonts w:ascii="Palatino Linotype" w:eastAsia="Palatino Linotype" w:hAnsi="Palatino Linotype" w:cs="Palatino Linotype"/>
        </w:rPr>
        <w:t>ron</w:t>
      </w:r>
      <w:r w:rsidRPr="00F403D1">
        <w:rPr>
          <w:rFonts w:ascii="Palatino Linotype" w:eastAsia="Palatino Linotype" w:hAnsi="Palatino Linotype" w:cs="Palatino Linotype"/>
        </w:rPr>
        <w:t xml:space="preserve"> debidamente sustanciado</w:t>
      </w:r>
      <w:r w:rsidR="00361EA0" w:rsidRPr="00F403D1">
        <w:rPr>
          <w:rFonts w:ascii="Palatino Linotype" w:eastAsia="Palatino Linotype" w:hAnsi="Palatino Linotype" w:cs="Palatino Linotype"/>
        </w:rPr>
        <w:t>s</w:t>
      </w:r>
      <w:r w:rsidRPr="00F403D1">
        <w:rPr>
          <w:rFonts w:ascii="Palatino Linotype" w:eastAsia="Palatino Linotype" w:hAnsi="Palatino Linotype" w:cs="Palatino Linotype"/>
        </w:rPr>
        <w:t xml:space="preserve"> </w:t>
      </w:r>
      <w:r w:rsidR="00361EA0" w:rsidRPr="00F403D1">
        <w:rPr>
          <w:rFonts w:ascii="Palatino Linotype" w:eastAsia="Palatino Linotype" w:hAnsi="Palatino Linotype" w:cs="Palatino Linotype"/>
        </w:rPr>
        <w:t>los</w:t>
      </w:r>
      <w:r w:rsidRPr="00F403D1">
        <w:rPr>
          <w:rFonts w:ascii="Palatino Linotype" w:eastAsia="Palatino Linotype" w:hAnsi="Palatino Linotype" w:cs="Palatino Linotype"/>
        </w:rPr>
        <w:t xml:space="preserve"> expediente</w:t>
      </w:r>
      <w:r w:rsidR="00361EA0" w:rsidRPr="00F403D1">
        <w:rPr>
          <w:rFonts w:ascii="Palatino Linotype" w:eastAsia="Palatino Linotype" w:hAnsi="Palatino Linotype" w:cs="Palatino Linotype"/>
        </w:rPr>
        <w:t>s</w:t>
      </w:r>
      <w:r w:rsidRPr="00F403D1">
        <w:rPr>
          <w:rFonts w:ascii="Palatino Linotype" w:eastAsia="Palatino Linotype" w:hAnsi="Palatino Linotype" w:cs="Palatino Linotype"/>
        </w:rPr>
        <w:t xml:space="preserve"> electrónico</w:t>
      </w:r>
      <w:r w:rsidR="00361EA0" w:rsidRPr="00F403D1">
        <w:rPr>
          <w:rFonts w:ascii="Palatino Linotype" w:eastAsia="Palatino Linotype" w:hAnsi="Palatino Linotype" w:cs="Palatino Linotype"/>
        </w:rPr>
        <w:t>s</w:t>
      </w:r>
      <w:r w:rsidRPr="00F403D1">
        <w:rPr>
          <w:rFonts w:ascii="Palatino Linotype" w:eastAsia="Palatino Linotype" w:hAnsi="Palatino Linotype" w:cs="Palatino Linotype"/>
        </w:rPr>
        <w:t xml:space="preserve"> y no existe diligencia pendiente de desahogo, se emite la Resolución que conforme a Derecho proceda, de acuerdo con los siguientes: </w:t>
      </w:r>
    </w:p>
    <w:p w14:paraId="6D9CBEBE" w14:textId="77777777" w:rsidR="00CE2B0E" w:rsidRPr="00F403D1" w:rsidRDefault="008263D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F403D1">
        <w:rPr>
          <w:rFonts w:ascii="Palatino Linotype" w:eastAsia="Palatino Linotype" w:hAnsi="Palatino Linotype" w:cs="Palatino Linotype"/>
          <w:b/>
        </w:rPr>
        <w:t>II. C O N S I D E R A N D O S:</w:t>
      </w:r>
    </w:p>
    <w:p w14:paraId="3A9C70F3" w14:textId="4E0C172E" w:rsidR="00891223" w:rsidRPr="00F403D1" w:rsidRDefault="008263D6" w:rsidP="00891223">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b/>
        </w:rPr>
        <w:t>Primero. Competencia.</w:t>
      </w:r>
      <w:r w:rsidRPr="00F403D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891223" w:rsidRPr="00F403D1">
        <w:rPr>
          <w:rFonts w:ascii="Palatino Linotype" w:eastAsia="Palatino Linotype" w:hAnsi="Palatino Linotype" w:cs="Palatino Linotype"/>
        </w:rPr>
        <w:t>5 párrafos cuadragésimo cuarto, cuadragésimo quinto y cuadragésimo sexto, fracciones IV y V de la Constitución Política del Estado Libre y Soberano de México; transitorio Cuarto del Decreto número 198 de la “LXII” Legislatura del Estado de México; 2, fracción II; 29, 36 fracciones I y II; 176, 178, 181, 185, fracción I, 186 y 188 de la Ley Transparencia y Acceso a la Información Pública del Estado de México</w:t>
      </w:r>
      <w:r w:rsidR="001A338E" w:rsidRPr="00F403D1">
        <w:rPr>
          <w:rFonts w:ascii="Palatino Linotype" w:eastAsia="Palatino Linotype" w:hAnsi="Palatino Linotype" w:cs="Palatino Linotype"/>
        </w:rPr>
        <w:t xml:space="preserve"> y Municipios; 9, fracciones I,</w:t>
      </w:r>
      <w:r w:rsidR="00891223" w:rsidRPr="00F403D1">
        <w:rPr>
          <w:rFonts w:ascii="Palatino Linotype" w:eastAsia="Palatino Linotype" w:hAnsi="Palatino Linotype" w:cs="Palatino Linotype"/>
        </w:rPr>
        <w:t xml:space="preserve"> XXIII</w:t>
      </w:r>
      <w:r w:rsidR="001A338E" w:rsidRPr="00F403D1">
        <w:rPr>
          <w:rFonts w:ascii="Palatino Linotype" w:eastAsia="Palatino Linotype" w:hAnsi="Palatino Linotype" w:cs="Palatino Linotype"/>
        </w:rPr>
        <w:t xml:space="preserve"> y XIV</w:t>
      </w:r>
      <w:r w:rsidR="00891223" w:rsidRPr="00F403D1">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29939B57" w14:textId="22A1F764" w:rsidR="00CE2B0E" w:rsidRPr="00F403D1" w:rsidRDefault="008263D6">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b/>
        </w:rPr>
        <w:t>Segundo. Oportunidad y Procedibilidad del Recurso de Revisión</w:t>
      </w:r>
      <w:r w:rsidRPr="00F403D1">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EBB2FAD" w14:textId="399441A7" w:rsidR="00CE2B0E" w:rsidRPr="00F403D1" w:rsidRDefault="008263D6">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F403D1">
        <w:rPr>
          <w:rFonts w:ascii="Palatino Linotype" w:eastAsia="Palatino Linotype" w:hAnsi="Palatino Linotype" w:cs="Palatino Linotype"/>
          <w:b/>
        </w:rPr>
        <w:t xml:space="preserve">Sujeto Obligado </w:t>
      </w:r>
      <w:r w:rsidRPr="00F403D1">
        <w:rPr>
          <w:rFonts w:ascii="Palatino Linotype" w:eastAsia="Palatino Linotype" w:hAnsi="Palatino Linotype" w:cs="Palatino Linotype"/>
        </w:rPr>
        <w:t xml:space="preserve">remitió la respuesta a las solicitudes de información el </w:t>
      </w:r>
      <w:r w:rsidR="00102BA7" w:rsidRPr="00F403D1">
        <w:rPr>
          <w:rFonts w:ascii="Palatino Linotype" w:eastAsia="Palatino Linotype" w:hAnsi="Palatino Linotype" w:cs="Palatino Linotype"/>
          <w:b/>
        </w:rPr>
        <w:t>catorce de agosto de dos mil veinticinco</w:t>
      </w:r>
      <w:r w:rsidRPr="00F403D1">
        <w:rPr>
          <w:rFonts w:ascii="Palatino Linotype" w:eastAsia="Palatino Linotype" w:hAnsi="Palatino Linotype" w:cs="Palatino Linotype"/>
          <w:b/>
        </w:rPr>
        <w:t xml:space="preserve">, </w:t>
      </w:r>
      <w:r w:rsidRPr="00F403D1">
        <w:rPr>
          <w:rFonts w:ascii="Palatino Linotype" w:eastAsia="Palatino Linotype" w:hAnsi="Palatino Linotype" w:cs="Palatino Linotype"/>
        </w:rPr>
        <w:t xml:space="preserve">mientras que los recursos de revisión interpuestos por la parte </w:t>
      </w:r>
      <w:r w:rsidRPr="00F403D1">
        <w:rPr>
          <w:rFonts w:ascii="Palatino Linotype" w:eastAsia="Palatino Linotype" w:hAnsi="Palatino Linotype" w:cs="Palatino Linotype"/>
          <w:b/>
        </w:rPr>
        <w:t>Recurrente</w:t>
      </w:r>
      <w:r w:rsidRPr="00F403D1">
        <w:rPr>
          <w:rFonts w:ascii="Palatino Linotype" w:eastAsia="Palatino Linotype" w:hAnsi="Palatino Linotype" w:cs="Palatino Linotype"/>
        </w:rPr>
        <w:t>, se tuviero</w:t>
      </w:r>
      <w:r w:rsidR="00F972D1" w:rsidRPr="00F403D1">
        <w:rPr>
          <w:rFonts w:ascii="Palatino Linotype" w:eastAsia="Palatino Linotype" w:hAnsi="Palatino Linotype" w:cs="Palatino Linotype"/>
        </w:rPr>
        <w:t xml:space="preserve">n por presentados el </w:t>
      </w:r>
      <w:r w:rsidR="00102BA7" w:rsidRPr="00F403D1">
        <w:rPr>
          <w:rFonts w:ascii="Palatino Linotype" w:eastAsia="Palatino Linotype" w:hAnsi="Palatino Linotype" w:cs="Palatino Linotype"/>
          <w:b/>
        </w:rPr>
        <w:t>veintinueve de agosto de dos mil veinticinco</w:t>
      </w:r>
      <w:r w:rsidRPr="00F403D1">
        <w:rPr>
          <w:rFonts w:ascii="Palatino Linotype" w:eastAsia="Palatino Linotype" w:hAnsi="Palatino Linotype" w:cs="Palatino Linotype"/>
          <w:b/>
        </w:rPr>
        <w:t>,</w:t>
      </w:r>
      <w:r w:rsidRPr="00F403D1">
        <w:rPr>
          <w:rFonts w:ascii="Palatino Linotype" w:eastAsia="Palatino Linotype" w:hAnsi="Palatino Linotype" w:cs="Palatino Linotype"/>
        </w:rPr>
        <w:t xml:space="preserve"> esto es </w:t>
      </w:r>
      <w:r w:rsidR="00B078BB" w:rsidRPr="00F403D1">
        <w:rPr>
          <w:rFonts w:ascii="Palatino Linotype" w:eastAsia="Palatino Linotype" w:hAnsi="Palatino Linotype" w:cs="Palatino Linotype"/>
        </w:rPr>
        <w:t xml:space="preserve">al </w:t>
      </w:r>
      <w:r w:rsidR="009B03CA" w:rsidRPr="00F403D1">
        <w:rPr>
          <w:rFonts w:ascii="Palatino Linotype" w:eastAsia="Palatino Linotype" w:hAnsi="Palatino Linotype" w:cs="Palatino Linotype"/>
        </w:rPr>
        <w:t>décimo primer</w:t>
      </w:r>
      <w:r w:rsidR="00B078BB" w:rsidRPr="00F403D1">
        <w:rPr>
          <w:rFonts w:ascii="Palatino Linotype" w:eastAsia="Palatino Linotype" w:hAnsi="Palatino Linotype" w:cs="Palatino Linotype"/>
        </w:rPr>
        <w:t xml:space="preserve"> </w:t>
      </w:r>
      <w:r w:rsidRPr="00F403D1">
        <w:rPr>
          <w:rFonts w:ascii="Palatino Linotype" w:eastAsia="Palatino Linotype" w:hAnsi="Palatino Linotype" w:cs="Palatino Linotype"/>
        </w:rPr>
        <w:t>día hábil posterior a aquel en el que tuvo conocimiento de las respuestas impugnadas. En este sentido, se concluye que los presentes recursos de revisión se encuentran dentro de los márgenes temporales previstos en las disposiciones legales referidas.</w:t>
      </w:r>
    </w:p>
    <w:p w14:paraId="5E9FF94B" w14:textId="77777777" w:rsidR="005F0D8F" w:rsidRPr="00F403D1" w:rsidRDefault="005F0D8F" w:rsidP="005F0D8F">
      <w:pPr>
        <w:tabs>
          <w:tab w:val="left" w:pos="7938"/>
        </w:tabs>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A2B9BE5" w14:textId="77777777" w:rsidR="005F0D8F" w:rsidRPr="00F403D1" w:rsidRDefault="005F0D8F" w:rsidP="005F0D8F">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Además, por cuanto hace a la procedibilidad del recurso de revisión, es de suma importancia señalar que la parte</w:t>
      </w:r>
      <w:r w:rsidRPr="00F403D1">
        <w:rPr>
          <w:rFonts w:ascii="Palatino Linotype" w:eastAsia="Palatino Linotype" w:hAnsi="Palatino Linotype" w:cs="Palatino Linotype"/>
          <w:b/>
        </w:rPr>
        <w:t xml:space="preserve"> Recurrente</w:t>
      </w:r>
      <w:r w:rsidRPr="00F403D1">
        <w:rPr>
          <w:rFonts w:ascii="Palatino Linotype" w:eastAsia="Palatino Linotype" w:hAnsi="Palatino Linotype" w:cs="Palatino Linotype"/>
        </w:rPr>
        <w:t xml:space="preserve">, no señaló </w:t>
      </w:r>
      <w:r w:rsidRPr="00F403D1">
        <w:rPr>
          <w:rFonts w:ascii="Palatino Linotype" w:eastAsia="Palatino Linotype" w:hAnsi="Palatino Linotype" w:cs="Palatino Linotype"/>
          <w:b/>
        </w:rPr>
        <w:t>nombre o seudónimo,</w:t>
      </w:r>
      <w:r w:rsidRPr="00F403D1">
        <w:rPr>
          <w:rFonts w:ascii="Palatino Linotype" w:eastAsia="Palatino Linotype" w:hAnsi="Palatino Linotype" w:cs="Palatino Linotype"/>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6087E61" w14:textId="77777777" w:rsidR="005F0D8F" w:rsidRPr="00F403D1" w:rsidRDefault="005F0D8F" w:rsidP="005F0D8F">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w:t>
      </w:r>
      <w:r w:rsidRPr="00F403D1">
        <w:rPr>
          <w:rFonts w:ascii="Palatino Linotype" w:eastAsia="Palatino Linotype" w:hAnsi="Palatino Linotype" w:cs="Palatino Linotype"/>
          <w:b/>
          <w:i/>
        </w:rPr>
        <w:t>Las solicitudes anónimas</w:t>
      </w:r>
      <w:r w:rsidRPr="00F403D1">
        <w:rPr>
          <w:rFonts w:ascii="Palatino Linotype" w:eastAsia="Palatino Linotype" w:hAnsi="Palatino Linotype" w:cs="Palatino Linotype"/>
          <w:i/>
        </w:rPr>
        <w:t xml:space="preserve">, con nombre incompleto o </w:t>
      </w:r>
      <w:r w:rsidRPr="00F403D1">
        <w:rPr>
          <w:rFonts w:ascii="Palatino Linotype" w:eastAsia="Palatino Linotype" w:hAnsi="Palatino Linotype" w:cs="Palatino Linotype"/>
          <w:b/>
          <w:i/>
        </w:rPr>
        <w:t>seudónimo</w:t>
      </w:r>
      <w:r w:rsidRPr="00F403D1">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14:paraId="7EE50F13" w14:textId="77777777" w:rsidR="005F0D8F" w:rsidRPr="00F403D1" w:rsidRDefault="005F0D8F" w:rsidP="005F0D8F">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F403D1">
        <w:rPr>
          <w:rFonts w:ascii="Palatino Linotype" w:eastAsia="Palatino Linotype" w:hAnsi="Palatino Linotype" w:cs="Palatino Linotype"/>
          <w:b/>
        </w:rPr>
        <w:t xml:space="preserve"> SAIMEX</w:t>
      </w:r>
    </w:p>
    <w:p w14:paraId="17EE046E" w14:textId="3B64C39C" w:rsidR="00CE2B0E" w:rsidRPr="00F403D1" w:rsidRDefault="008263D6">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Finalmente, se advierte que resulta procedente la interposición de los recursos, según lo manifestado por la parte </w:t>
      </w:r>
      <w:r w:rsidRPr="00F403D1">
        <w:rPr>
          <w:rFonts w:ascii="Palatino Linotype" w:eastAsia="Palatino Linotype" w:hAnsi="Palatino Linotype" w:cs="Palatino Linotype"/>
          <w:b/>
        </w:rPr>
        <w:t>Recurrente</w:t>
      </w:r>
      <w:r w:rsidRPr="00F403D1">
        <w:rPr>
          <w:rFonts w:ascii="Palatino Linotype" w:eastAsia="Palatino Linotype" w:hAnsi="Palatino Linotype" w:cs="Palatino Linotype"/>
        </w:rPr>
        <w:t xml:space="preserve"> en sus motivos de inconformidad, de a</w:t>
      </w:r>
      <w:r w:rsidR="00F80998" w:rsidRPr="00F403D1">
        <w:rPr>
          <w:rFonts w:ascii="Palatino Linotype" w:eastAsia="Palatino Linotype" w:hAnsi="Palatino Linotype" w:cs="Palatino Linotype"/>
        </w:rPr>
        <w:t>cuerdo al artículo 179, fracci</w:t>
      </w:r>
      <w:r w:rsidR="0044291A" w:rsidRPr="00F403D1">
        <w:rPr>
          <w:rFonts w:ascii="Palatino Linotype" w:eastAsia="Palatino Linotype" w:hAnsi="Palatino Linotype" w:cs="Palatino Linotype"/>
        </w:rPr>
        <w:t>ón I</w:t>
      </w:r>
      <w:r w:rsidR="00F80998" w:rsidRPr="00F403D1">
        <w:rPr>
          <w:rFonts w:ascii="Palatino Linotype" w:eastAsia="Palatino Linotype" w:hAnsi="Palatino Linotype" w:cs="Palatino Linotype"/>
        </w:rPr>
        <w:t xml:space="preserve"> </w:t>
      </w:r>
      <w:r w:rsidRPr="00F403D1">
        <w:rPr>
          <w:rFonts w:ascii="Palatino Linotype" w:eastAsia="Palatino Linotype" w:hAnsi="Palatino Linotype" w:cs="Palatino Linotype"/>
        </w:rPr>
        <w:t>del ordenamiento legal citado, que a la letra dice: </w:t>
      </w:r>
    </w:p>
    <w:p w14:paraId="212CB054" w14:textId="77777777" w:rsidR="00CE2B0E" w:rsidRPr="00F403D1" w:rsidRDefault="008263D6" w:rsidP="001A338E">
      <w:pPr>
        <w:tabs>
          <w:tab w:val="left" w:pos="7938"/>
        </w:tabs>
        <w:spacing w:before="120" w:after="120" w:line="240" w:lineRule="auto"/>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w:t>
      </w:r>
      <w:r w:rsidRPr="00F403D1">
        <w:rPr>
          <w:rFonts w:ascii="Palatino Linotype" w:eastAsia="Palatino Linotype" w:hAnsi="Palatino Linotype" w:cs="Palatino Linotype"/>
          <w:b/>
          <w:i/>
        </w:rPr>
        <w:t>Artículo 179.</w:t>
      </w:r>
      <w:r w:rsidRPr="00F403D1">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A753B1D" w14:textId="0E439432" w:rsidR="00CE2B0E" w:rsidRPr="00F403D1" w:rsidRDefault="0044291A" w:rsidP="001A338E">
      <w:pPr>
        <w:tabs>
          <w:tab w:val="left" w:pos="7938"/>
        </w:tabs>
        <w:spacing w:before="120" w:after="120" w:line="240" w:lineRule="auto"/>
        <w:ind w:left="851" w:right="900"/>
        <w:jc w:val="both"/>
        <w:rPr>
          <w:rFonts w:ascii="Palatino Linotype" w:eastAsia="Palatino Linotype" w:hAnsi="Palatino Linotype" w:cs="Palatino Linotype"/>
          <w:i/>
        </w:rPr>
      </w:pPr>
      <w:r w:rsidRPr="00F403D1">
        <w:rPr>
          <w:rFonts w:ascii="Palatino Linotype" w:eastAsia="Palatino Linotype" w:hAnsi="Palatino Linotype" w:cs="Palatino Linotype"/>
          <w:b/>
          <w:bCs/>
          <w:i/>
        </w:rPr>
        <w:t>I</w:t>
      </w:r>
      <w:r w:rsidR="007A7A56" w:rsidRPr="00F403D1">
        <w:rPr>
          <w:rFonts w:ascii="Palatino Linotype" w:eastAsia="Palatino Linotype" w:hAnsi="Palatino Linotype" w:cs="Palatino Linotype"/>
          <w:i/>
        </w:rPr>
        <w:t xml:space="preserve">. </w:t>
      </w:r>
      <w:r w:rsidRPr="00F403D1">
        <w:rPr>
          <w:rFonts w:ascii="Palatino Linotype" w:eastAsia="Palatino Linotype" w:hAnsi="Palatino Linotype" w:cs="Palatino Linotype"/>
          <w:i/>
        </w:rPr>
        <w:t>La negativa a la información solicitada</w:t>
      </w:r>
      <w:r w:rsidR="008263D6" w:rsidRPr="00F403D1">
        <w:rPr>
          <w:rFonts w:ascii="Palatino Linotype" w:eastAsia="Palatino Linotype" w:hAnsi="Palatino Linotype" w:cs="Palatino Linotype"/>
          <w:i/>
        </w:rPr>
        <w:t>;”</w:t>
      </w:r>
    </w:p>
    <w:p w14:paraId="0E69B502" w14:textId="77777777" w:rsidR="00CE2B0E" w:rsidRPr="00F403D1" w:rsidRDefault="008263D6">
      <w:pPr>
        <w:spacing w:before="240" w:after="240" w:line="360" w:lineRule="auto"/>
        <w:jc w:val="both"/>
        <w:rPr>
          <w:rFonts w:ascii="Palatino Linotype" w:eastAsia="Palatino Linotype" w:hAnsi="Palatino Linotype" w:cs="Palatino Linotype"/>
          <w:b/>
        </w:rPr>
      </w:pPr>
      <w:r w:rsidRPr="00F403D1">
        <w:rPr>
          <w:rFonts w:ascii="Palatino Linotype" w:eastAsia="Palatino Linotype" w:hAnsi="Palatino Linotype" w:cs="Palatino Linotype"/>
          <w:b/>
        </w:rPr>
        <w:t xml:space="preserve">Tercero. Materia de la revisión. </w:t>
      </w:r>
      <w:r w:rsidRPr="00F403D1">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sidRPr="00F403D1">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F403D1">
        <w:rPr>
          <w:rFonts w:ascii="Palatino Linotype" w:eastAsia="Palatino Linotype" w:hAnsi="Palatino Linotype" w:cs="Palatino Linotype"/>
        </w:rPr>
        <w:t xml:space="preserve">de la parte </w:t>
      </w:r>
      <w:r w:rsidRPr="00F403D1">
        <w:rPr>
          <w:rFonts w:ascii="Palatino Linotype" w:eastAsia="Palatino Linotype" w:hAnsi="Palatino Linotype" w:cs="Palatino Linotype"/>
          <w:b/>
        </w:rPr>
        <w:t>Recurrente</w:t>
      </w:r>
      <w:r w:rsidRPr="00F403D1">
        <w:rPr>
          <w:rFonts w:ascii="Palatino Linotype" w:eastAsia="Palatino Linotype" w:hAnsi="Palatino Linotype" w:cs="Palatino Linotype"/>
        </w:rPr>
        <w:t>, o en su defecto, en caso de ser procedente, ordenar la entrega de información.</w:t>
      </w:r>
    </w:p>
    <w:p w14:paraId="0851CFAB" w14:textId="77777777" w:rsidR="00CE2B0E" w:rsidRPr="00F403D1" w:rsidRDefault="008263D6">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b/>
        </w:rPr>
        <w:t xml:space="preserve">Cuarto. Estudio del asunto. </w:t>
      </w:r>
      <w:r w:rsidRPr="00F403D1">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598809A" w14:textId="77777777" w:rsidR="00CE2B0E" w:rsidRPr="00F403D1" w:rsidRDefault="008263D6">
      <w:pPr>
        <w:spacing w:before="120" w:after="120" w:line="240" w:lineRule="auto"/>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w:t>
      </w:r>
      <w:r w:rsidRPr="00F403D1">
        <w:rPr>
          <w:rFonts w:ascii="Palatino Linotype" w:eastAsia="Palatino Linotype" w:hAnsi="Palatino Linotype" w:cs="Palatino Linotype"/>
          <w:b/>
          <w:i/>
        </w:rPr>
        <w:t>Artículo 4</w:t>
      </w:r>
      <w:r w:rsidRPr="00F403D1">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8A779B" w14:textId="77777777" w:rsidR="00CE2B0E" w:rsidRPr="00F403D1" w:rsidRDefault="008263D6">
      <w:pPr>
        <w:spacing w:before="120" w:after="120" w:line="240" w:lineRule="auto"/>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F403D1">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91B18C1" w14:textId="77777777" w:rsidR="00CE2B0E" w:rsidRPr="00F403D1" w:rsidRDefault="008263D6">
      <w:pPr>
        <w:spacing w:before="120" w:after="120" w:line="240" w:lineRule="auto"/>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F403D1">
        <w:rPr>
          <w:rFonts w:ascii="Palatino Linotype" w:eastAsia="Palatino Linotype" w:hAnsi="Palatino Linotype" w:cs="Palatino Linotype"/>
          <w:i/>
        </w:rPr>
        <w:t>.”</w:t>
      </w:r>
    </w:p>
    <w:p w14:paraId="6F91545D" w14:textId="77777777" w:rsidR="00CE2B0E" w:rsidRPr="00F403D1" w:rsidRDefault="008263D6">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55E7317" w14:textId="77777777" w:rsidR="00CE2B0E" w:rsidRPr="00F403D1" w:rsidRDefault="008263D6">
      <w:pPr>
        <w:spacing w:before="120" w:after="120" w:line="240" w:lineRule="auto"/>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“Artículo 12.-</w:t>
      </w:r>
      <w:r w:rsidRPr="00F403D1">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3720436" w14:textId="77777777" w:rsidR="00CE2B0E" w:rsidRPr="00F403D1" w:rsidRDefault="008263D6">
      <w:pPr>
        <w:spacing w:before="120" w:after="120" w:line="240" w:lineRule="auto"/>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F403D1">
        <w:rPr>
          <w:rFonts w:ascii="Palatino Linotype" w:eastAsia="Palatino Linotype" w:hAnsi="Palatino Linotype" w:cs="Palatino Linotype"/>
          <w:i/>
        </w:rPr>
        <w:t xml:space="preserve">. </w:t>
      </w:r>
      <w:r w:rsidRPr="00F403D1">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14:paraId="481850B3" w14:textId="77777777" w:rsidR="00CE2B0E" w:rsidRPr="00F403D1" w:rsidRDefault="008263D6">
      <w:pPr>
        <w:spacing w:before="240" w:after="240" w:line="360" w:lineRule="auto"/>
        <w:ind w:right="-93"/>
        <w:jc w:val="both"/>
        <w:rPr>
          <w:rFonts w:ascii="Palatino Linotype" w:eastAsia="Palatino Linotype" w:hAnsi="Palatino Linotype" w:cs="Palatino Linotype"/>
        </w:rPr>
      </w:pPr>
      <w:r w:rsidRPr="00F403D1">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DCCEFF" w14:textId="77777777" w:rsidR="00CE2B0E" w:rsidRPr="00F403D1" w:rsidRDefault="008263D6">
      <w:pPr>
        <w:spacing w:before="240" w:after="240" w:line="360" w:lineRule="auto"/>
        <w:jc w:val="both"/>
        <w:rPr>
          <w:rFonts w:ascii="Palatino Linotype" w:eastAsia="Palatino Linotype" w:hAnsi="Palatino Linotype" w:cs="Palatino Linotype"/>
          <w:b/>
        </w:rPr>
      </w:pPr>
      <w:r w:rsidRPr="00F403D1">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F403D1">
        <w:rPr>
          <w:rFonts w:ascii="Palatino Linotype" w:eastAsia="Palatino Linotype" w:hAnsi="Palatino Linotype" w:cs="Palatino Linotype"/>
          <w:b/>
        </w:rPr>
        <w:t xml:space="preserve"> </w:t>
      </w:r>
    </w:p>
    <w:p w14:paraId="1CFE0307" w14:textId="77777777" w:rsidR="00CE2B0E" w:rsidRPr="00F403D1" w:rsidRDefault="008263D6">
      <w:pPr>
        <w:spacing w:before="120" w:after="120" w:line="240" w:lineRule="auto"/>
        <w:ind w:left="1134"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 xml:space="preserve"> “</w:t>
      </w:r>
      <w:r w:rsidRPr="00F403D1">
        <w:rPr>
          <w:rFonts w:ascii="Palatino Linotype" w:eastAsia="Palatino Linotype" w:hAnsi="Palatino Linotype" w:cs="Palatino Linotype"/>
          <w:b/>
          <w:i/>
        </w:rPr>
        <w:t>No existe obligación de elaborar documentos ad hoc para atender las solicitudes de acceso a la información.</w:t>
      </w:r>
      <w:r w:rsidRPr="00F403D1">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7C6D6B8" w14:textId="77777777" w:rsidR="00CE2B0E" w:rsidRPr="00F403D1" w:rsidRDefault="008263D6">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2282D02" w14:textId="77777777" w:rsidR="00CE2B0E" w:rsidRPr="00F403D1" w:rsidRDefault="008263D6">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A53693C" w14:textId="77777777" w:rsidR="00CE2B0E" w:rsidRPr="00F403D1" w:rsidRDefault="008263D6" w:rsidP="000308A1">
      <w:pPr>
        <w:spacing w:before="120" w:after="120" w:line="240" w:lineRule="auto"/>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w:t>
      </w:r>
      <w:r w:rsidRPr="00F403D1">
        <w:rPr>
          <w:rFonts w:ascii="Palatino Linotype" w:eastAsia="Palatino Linotype" w:hAnsi="Palatino Linotype" w:cs="Palatino Linotype"/>
          <w:b/>
          <w:i/>
        </w:rPr>
        <w:t xml:space="preserve">Artículo 3. </w:t>
      </w:r>
      <w:r w:rsidRPr="00F403D1">
        <w:rPr>
          <w:rFonts w:ascii="Palatino Linotype" w:eastAsia="Palatino Linotype" w:hAnsi="Palatino Linotype" w:cs="Palatino Linotype"/>
          <w:i/>
        </w:rPr>
        <w:t>Para los efectos de la presente Ley se entenderá por:</w:t>
      </w:r>
    </w:p>
    <w:p w14:paraId="4CF915E3" w14:textId="77777777" w:rsidR="00CE2B0E" w:rsidRPr="00F403D1" w:rsidRDefault="008263D6" w:rsidP="000308A1">
      <w:pPr>
        <w:spacing w:before="120" w:after="120" w:line="240" w:lineRule="auto"/>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w:t>
      </w:r>
    </w:p>
    <w:p w14:paraId="0AC9964F" w14:textId="77777777" w:rsidR="00CE2B0E" w:rsidRPr="00F403D1" w:rsidRDefault="008263D6" w:rsidP="000308A1">
      <w:pPr>
        <w:spacing w:before="120" w:after="120" w:line="240" w:lineRule="auto"/>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XI. Documento:</w:t>
      </w:r>
      <w:r w:rsidRPr="00F403D1">
        <w:rPr>
          <w:rFonts w:ascii="Palatino Linotype" w:eastAsia="Palatino Linotype" w:hAnsi="Palatino Linotype" w:cs="Palatino Linotype"/>
          <w:i/>
        </w:rPr>
        <w:t xml:space="preserve"> Los expedientes, reportes, estudios, actas</w:t>
      </w:r>
      <w:r w:rsidRPr="00F403D1">
        <w:rPr>
          <w:rFonts w:ascii="Palatino Linotype" w:eastAsia="Palatino Linotype" w:hAnsi="Palatino Linotype" w:cs="Palatino Linotype"/>
          <w:b/>
          <w:i/>
        </w:rPr>
        <w:t>,</w:t>
      </w:r>
      <w:r w:rsidRPr="00F403D1">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2981D4D" w14:textId="77777777" w:rsidR="00CE2B0E" w:rsidRPr="00F403D1" w:rsidRDefault="008263D6">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0A9138D" w14:textId="77777777" w:rsidR="00CE2B0E" w:rsidRPr="00F403D1" w:rsidRDefault="008263D6">
      <w:pPr>
        <w:spacing w:before="120" w:after="120" w:line="240" w:lineRule="auto"/>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rPr>
        <w:t>“</w:t>
      </w:r>
      <w:r w:rsidRPr="00F403D1">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F403D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5FD661" w14:textId="77777777" w:rsidR="00CE2B0E" w:rsidRPr="00F403D1" w:rsidRDefault="008263D6" w:rsidP="000308A1">
      <w:pPr>
        <w:spacing w:before="120" w:after="120" w:line="240" w:lineRule="auto"/>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En consecuencia el acceso a la información se refiere a que se cumplan cualquiera de los siguientes tres supuestos:</w:t>
      </w:r>
    </w:p>
    <w:p w14:paraId="54AFE5A9" w14:textId="77777777" w:rsidR="00CE2B0E" w:rsidRPr="00F403D1" w:rsidRDefault="008263D6" w:rsidP="000308A1">
      <w:pPr>
        <w:spacing w:before="120" w:after="120" w:line="240" w:lineRule="auto"/>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7B0A547E" w14:textId="77777777" w:rsidR="00CE2B0E" w:rsidRPr="00F403D1" w:rsidRDefault="008263D6" w:rsidP="000308A1">
      <w:pPr>
        <w:spacing w:before="120" w:after="120" w:line="240" w:lineRule="auto"/>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565851BE" w14:textId="77777777" w:rsidR="00CE2B0E" w:rsidRPr="00F403D1" w:rsidRDefault="008263D6" w:rsidP="000308A1">
      <w:pPr>
        <w:spacing w:before="120" w:after="120" w:line="240" w:lineRule="auto"/>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1544DC7D" w14:textId="77777777" w:rsidR="00CE2B0E" w:rsidRPr="00F403D1" w:rsidRDefault="008263D6">
      <w:pPr>
        <w:spacing w:before="240" w:after="240" w:line="360" w:lineRule="auto"/>
        <w:ind w:right="51"/>
        <w:jc w:val="both"/>
        <w:rPr>
          <w:rFonts w:ascii="Palatino Linotype" w:eastAsia="Palatino Linotype" w:hAnsi="Palatino Linotype" w:cs="Palatino Linotype"/>
        </w:rPr>
      </w:pPr>
      <w:r w:rsidRPr="00F403D1">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DCB618F" w14:textId="77777777" w:rsidR="00CE2B0E" w:rsidRPr="00F403D1" w:rsidRDefault="008263D6">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E6A5CA0" w14:textId="1F98A4F0" w:rsidR="00CE2B0E" w:rsidRPr="00F403D1" w:rsidRDefault="008263D6" w:rsidP="00F23F95">
      <w:pPr>
        <w:spacing w:before="240" w:after="240" w:line="360" w:lineRule="auto"/>
        <w:ind w:right="51"/>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Ahora bien, del análisis de las solicitudes de información, motivo de los recursos de revisión que ahora se resuelven, se advierte que la parte </w:t>
      </w:r>
      <w:r w:rsidRPr="00F403D1">
        <w:rPr>
          <w:rFonts w:ascii="Palatino Linotype" w:eastAsia="Palatino Linotype" w:hAnsi="Palatino Linotype" w:cs="Palatino Linotype"/>
          <w:b/>
        </w:rPr>
        <w:t>Recurrente</w:t>
      </w:r>
      <w:r w:rsidRPr="00F403D1">
        <w:rPr>
          <w:rFonts w:ascii="Palatino Linotype" w:eastAsia="Palatino Linotype" w:hAnsi="Palatino Linotype" w:cs="Palatino Linotype"/>
        </w:rPr>
        <w:t xml:space="preserve"> requirió al </w:t>
      </w:r>
      <w:r w:rsidRPr="00F403D1">
        <w:rPr>
          <w:rFonts w:ascii="Palatino Linotype" w:eastAsia="Palatino Linotype" w:hAnsi="Palatino Linotype" w:cs="Palatino Linotype"/>
          <w:b/>
        </w:rPr>
        <w:t xml:space="preserve">Sujeto Obligado </w:t>
      </w:r>
      <w:r w:rsidR="000308A1" w:rsidRPr="00F403D1">
        <w:rPr>
          <w:rFonts w:ascii="Palatino Linotype" w:eastAsia="Palatino Linotype" w:hAnsi="Palatino Linotype" w:cs="Palatino Linotype"/>
        </w:rPr>
        <w:t xml:space="preserve">le proporcione </w:t>
      </w:r>
      <w:r w:rsidRPr="00F403D1">
        <w:rPr>
          <w:rFonts w:ascii="Palatino Linotype" w:eastAsia="Palatino Linotype" w:hAnsi="Palatino Linotype" w:cs="Palatino Linotype"/>
        </w:rPr>
        <w:t>lo siguiente:</w:t>
      </w:r>
    </w:p>
    <w:p w14:paraId="2A413BE3" w14:textId="7849E16D" w:rsidR="00417B5D" w:rsidRPr="00F403D1" w:rsidRDefault="00F23F95" w:rsidP="0018770B">
      <w:pPr>
        <w:spacing w:before="240" w:after="240" w:line="360" w:lineRule="auto"/>
        <w:ind w:left="284"/>
        <w:jc w:val="both"/>
        <w:rPr>
          <w:rFonts w:ascii="Palatino Linotype" w:eastAsia="Palatino Linotype" w:hAnsi="Palatino Linotype" w:cs="Palatino Linotype"/>
        </w:rPr>
      </w:pPr>
      <w:r w:rsidRPr="00F403D1">
        <w:rPr>
          <w:rFonts w:ascii="Palatino Linotype" w:eastAsia="Palatino Linotype" w:hAnsi="Palatino Linotype" w:cs="Palatino Linotype"/>
        </w:rPr>
        <w:t>1.</w:t>
      </w:r>
      <w:r w:rsidR="00417B5D" w:rsidRPr="00F403D1">
        <w:rPr>
          <w:rFonts w:ascii="Palatino Linotype" w:eastAsia="Palatino Linotype" w:hAnsi="Palatino Linotype" w:cs="Palatino Linotype"/>
        </w:rPr>
        <w:t xml:space="preserve"> </w:t>
      </w:r>
      <w:r w:rsidR="0018770B" w:rsidRPr="00F403D1">
        <w:rPr>
          <w:rFonts w:ascii="Palatino Linotype" w:eastAsia="Palatino Linotype" w:hAnsi="Palatino Linotype" w:cs="Palatino Linotype"/>
        </w:rPr>
        <w:t>Conciliación y dispersión de la nómina de la primera quincena de enero a la segunda quincena de julio de dos mil veinticinco.</w:t>
      </w:r>
    </w:p>
    <w:p w14:paraId="08AF0370" w14:textId="77777777" w:rsidR="008060DA" w:rsidRPr="00F403D1" w:rsidRDefault="008060DA" w:rsidP="008060DA">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Cabe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3D238D9E" w14:textId="77777777" w:rsidR="008060DA" w:rsidRPr="00F403D1" w:rsidRDefault="008060DA" w:rsidP="008060DA">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17FCCD81" w14:textId="77777777" w:rsidR="008060DA" w:rsidRPr="00F403D1" w:rsidRDefault="008060DA" w:rsidP="008060DA">
      <w:pPr>
        <w:spacing w:before="240" w:after="240" w:line="360" w:lineRule="auto"/>
        <w:ind w:right="51"/>
        <w:jc w:val="both"/>
        <w:rPr>
          <w:rFonts w:ascii="Palatino Linotype" w:eastAsia="Palatino Linotype" w:hAnsi="Palatino Linotype" w:cs="Palatino Linotype"/>
        </w:rPr>
      </w:pPr>
      <w:r w:rsidRPr="00F403D1">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58647EF1" w14:textId="77777777" w:rsidR="008060DA" w:rsidRPr="00F403D1" w:rsidRDefault="008060DA" w:rsidP="008060DA">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1D1E0651" w14:textId="77777777" w:rsidR="001C20B6" w:rsidRPr="00F403D1" w:rsidRDefault="008060DA" w:rsidP="001C20B6">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En el caso particular, es de recordar que la Unidad de Transparencia turnó la solicitud a la </w:t>
      </w:r>
      <w:r w:rsidR="000F1BDA" w:rsidRPr="00F403D1">
        <w:rPr>
          <w:rFonts w:ascii="Palatino Linotype" w:eastAsia="Palatino Linotype" w:hAnsi="Palatino Linotype" w:cs="Palatino Linotype"/>
        </w:rPr>
        <w:t xml:space="preserve">Tesorería Municipal como el </w:t>
      </w:r>
      <w:r w:rsidR="001C20B6" w:rsidRPr="00F403D1">
        <w:rPr>
          <w:rFonts w:ascii="Palatino Linotype" w:eastAsia="Palatino Linotype" w:hAnsi="Palatino Linotype" w:cs="Palatino Linotype"/>
        </w:rPr>
        <w:t xml:space="preserve">área que pudiera tener la información materia de la solicitud, de acuerdo a sus atribuciones, competencias o funciones, al el órgano encargado de la recaudación de los ingresos municipales y </w:t>
      </w:r>
      <w:r w:rsidR="001C20B6" w:rsidRPr="00F403D1">
        <w:rPr>
          <w:rFonts w:ascii="Palatino Linotype" w:eastAsia="Palatino Linotype" w:hAnsi="Palatino Linotype" w:cs="Palatino Linotype"/>
          <w:b/>
        </w:rPr>
        <w:t>responsable de realizar las erogaciones</w:t>
      </w:r>
      <w:r w:rsidR="001C20B6" w:rsidRPr="00F403D1">
        <w:rPr>
          <w:rFonts w:ascii="Palatino Linotype" w:eastAsia="Palatino Linotype" w:hAnsi="Palatino Linotype" w:cs="Palatino Linotype"/>
        </w:rPr>
        <w:t xml:space="preserve"> que haga el ayuntamiento </w:t>
      </w:r>
      <w:r w:rsidR="001C20B6" w:rsidRPr="00F403D1">
        <w:rPr>
          <w:rFonts w:ascii="Palatino Linotype" w:eastAsia="Palatino Linotype" w:hAnsi="Palatino Linotype" w:cs="Palatino Linotype"/>
          <w:b/>
        </w:rPr>
        <w:t>a través de los registros contables, financieros y administrativos</w:t>
      </w:r>
      <w:r w:rsidR="001C20B6" w:rsidRPr="00F403D1">
        <w:rPr>
          <w:rFonts w:ascii="Palatino Linotype" w:eastAsia="Palatino Linotype" w:hAnsi="Palatino Linotype" w:cs="Palatino Linotype"/>
        </w:rPr>
        <w:t xml:space="preserve"> de los </w:t>
      </w:r>
      <w:r w:rsidR="001C20B6" w:rsidRPr="00F403D1">
        <w:rPr>
          <w:rFonts w:ascii="Palatino Linotype" w:eastAsia="Palatino Linotype" w:hAnsi="Palatino Linotype" w:cs="Palatino Linotype"/>
          <w:b/>
        </w:rPr>
        <w:t>ingresos</w:t>
      </w:r>
      <w:r w:rsidR="001C20B6" w:rsidRPr="00F403D1">
        <w:rPr>
          <w:rFonts w:ascii="Palatino Linotype" w:eastAsia="Palatino Linotype" w:hAnsi="Palatino Linotype" w:cs="Palatino Linotype"/>
        </w:rPr>
        <w:t>, egresos e inventarios; entre otras atribuciones, de conformidad con lo establecido en los artículos 93 y 95, fracciones I y IV de la Ley Orgánica Municipal del Estado de México, a saber:</w:t>
      </w:r>
    </w:p>
    <w:p w14:paraId="23E51730" w14:textId="77777777" w:rsidR="001C20B6" w:rsidRPr="00F403D1" w:rsidRDefault="001C20B6" w:rsidP="009C361B">
      <w:pPr>
        <w:spacing w:before="120" w:after="120" w:line="240" w:lineRule="auto"/>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w:t>
      </w:r>
      <w:r w:rsidRPr="00F403D1">
        <w:rPr>
          <w:rFonts w:ascii="Palatino Linotype" w:eastAsia="Palatino Linotype" w:hAnsi="Palatino Linotype" w:cs="Palatino Linotype"/>
          <w:b/>
          <w:i/>
        </w:rPr>
        <w:t>Artículo 93</w:t>
      </w:r>
      <w:r w:rsidRPr="00F403D1">
        <w:rPr>
          <w:rFonts w:ascii="Palatino Linotype" w:eastAsia="Palatino Linotype" w:hAnsi="Palatino Linotype" w:cs="Palatino Linotype"/>
          <w:i/>
        </w:rPr>
        <w:t>.- La tesorería municipal es el órgano encargado de la recaudación de los ingresos municipales y responsable de realizar las erogaciones que haga el ayuntamiento.</w:t>
      </w:r>
    </w:p>
    <w:p w14:paraId="26B74409" w14:textId="77777777" w:rsidR="001C20B6" w:rsidRPr="00F403D1" w:rsidRDefault="001C20B6" w:rsidP="009C361B">
      <w:pPr>
        <w:spacing w:before="120" w:after="120" w:line="240" w:lineRule="auto"/>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w:t>
      </w:r>
    </w:p>
    <w:p w14:paraId="5FB9DE91" w14:textId="77777777" w:rsidR="001C20B6" w:rsidRPr="00F403D1" w:rsidRDefault="001C20B6" w:rsidP="009C361B">
      <w:pPr>
        <w:spacing w:before="120" w:after="120" w:line="240" w:lineRule="auto"/>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Artículo 95</w:t>
      </w:r>
      <w:r w:rsidRPr="00F403D1">
        <w:rPr>
          <w:rFonts w:ascii="Palatino Linotype" w:eastAsia="Palatino Linotype" w:hAnsi="Palatino Linotype" w:cs="Palatino Linotype"/>
          <w:i/>
        </w:rPr>
        <w:t xml:space="preserve">.- Son atribuciones del tesorero municipal: </w:t>
      </w:r>
    </w:p>
    <w:p w14:paraId="789C3D95" w14:textId="77777777" w:rsidR="001C20B6" w:rsidRPr="00F403D1" w:rsidRDefault="001C20B6" w:rsidP="009C361B">
      <w:pPr>
        <w:spacing w:before="120" w:after="120" w:line="240" w:lineRule="auto"/>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w:t>
      </w:r>
      <w:r w:rsidRPr="00F403D1">
        <w:rPr>
          <w:rFonts w:ascii="Palatino Linotype" w:eastAsia="Palatino Linotype" w:hAnsi="Palatino Linotype" w:cs="Palatino Linotype"/>
          <w:i/>
        </w:rPr>
        <w:t xml:space="preserve">. </w:t>
      </w:r>
      <w:r w:rsidRPr="00F403D1">
        <w:rPr>
          <w:rFonts w:ascii="Palatino Linotype" w:eastAsia="Palatino Linotype" w:hAnsi="Palatino Linotype" w:cs="Palatino Linotype"/>
          <w:b/>
          <w:i/>
        </w:rPr>
        <w:t>Administrar la hacienda pública municipal</w:t>
      </w:r>
      <w:r w:rsidRPr="00F403D1">
        <w:rPr>
          <w:rFonts w:ascii="Palatino Linotype" w:eastAsia="Palatino Linotype" w:hAnsi="Palatino Linotype" w:cs="Palatino Linotype"/>
          <w:i/>
        </w:rPr>
        <w:t>, de conformidad con las disposiciones legales aplicables;</w:t>
      </w:r>
    </w:p>
    <w:p w14:paraId="1CF38653" w14:textId="77777777" w:rsidR="001C20B6" w:rsidRPr="00F403D1" w:rsidRDefault="001C20B6" w:rsidP="009C361B">
      <w:pPr>
        <w:spacing w:before="120" w:after="120" w:line="240" w:lineRule="auto"/>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w:t>
      </w:r>
    </w:p>
    <w:p w14:paraId="4574E81B" w14:textId="77777777" w:rsidR="001C20B6" w:rsidRPr="00F403D1" w:rsidRDefault="001C20B6" w:rsidP="009C361B">
      <w:pPr>
        <w:spacing w:before="120" w:after="120" w:line="240" w:lineRule="auto"/>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IV.</w:t>
      </w:r>
      <w:r w:rsidRPr="00F403D1">
        <w:rPr>
          <w:rFonts w:ascii="Palatino Linotype" w:eastAsia="Palatino Linotype" w:hAnsi="Palatino Linotype" w:cs="Palatino Linotype"/>
          <w:i/>
        </w:rPr>
        <w:t xml:space="preserve"> </w:t>
      </w:r>
      <w:r w:rsidRPr="00F403D1">
        <w:rPr>
          <w:rFonts w:ascii="Palatino Linotype" w:eastAsia="Palatino Linotype" w:hAnsi="Palatino Linotype" w:cs="Palatino Linotype"/>
          <w:b/>
          <w:i/>
        </w:rPr>
        <w:t>Llevar los registros contables, financieros y administrativos de los ingresos, egresos</w:t>
      </w:r>
      <w:r w:rsidRPr="00F403D1">
        <w:rPr>
          <w:rFonts w:ascii="Palatino Linotype" w:eastAsia="Palatino Linotype" w:hAnsi="Palatino Linotype" w:cs="Palatino Linotype"/>
          <w:i/>
        </w:rPr>
        <w:t>, e inventarios;…”</w:t>
      </w:r>
    </w:p>
    <w:p w14:paraId="2BEDD2C8" w14:textId="05065B40" w:rsidR="000F1BDA" w:rsidRPr="00F403D1" w:rsidRDefault="00845DD0">
      <w:pPr>
        <w:spacing w:before="240" w:after="240" w:line="360" w:lineRule="auto"/>
        <w:ind w:right="49"/>
        <w:jc w:val="both"/>
        <w:rPr>
          <w:rFonts w:ascii="Palatino Linotype" w:eastAsia="Palatino Linotype" w:hAnsi="Palatino Linotype" w:cs="Palatino Linotype"/>
        </w:rPr>
      </w:pPr>
      <w:r w:rsidRPr="00F403D1">
        <w:rPr>
          <w:rFonts w:ascii="Palatino Linotype" w:eastAsia="Palatino Linotype" w:hAnsi="Palatino Linotype" w:cs="Palatino Linotype"/>
        </w:rPr>
        <w:t>Además</w:t>
      </w:r>
      <w:r w:rsidR="00DE3B4C" w:rsidRPr="00F403D1">
        <w:rPr>
          <w:rFonts w:ascii="Palatino Linotype" w:eastAsia="Palatino Linotype" w:hAnsi="Palatino Linotype" w:cs="Palatino Linotype"/>
        </w:rPr>
        <w:t xml:space="preserve">, cabe </w:t>
      </w:r>
      <w:r w:rsidRPr="00F403D1">
        <w:rPr>
          <w:rFonts w:ascii="Palatino Linotype" w:eastAsia="Palatino Linotype" w:hAnsi="Palatino Linotype" w:cs="Palatino Linotype"/>
        </w:rPr>
        <w:t xml:space="preserve">resaltar que de conformidad con el artículo 73 del Bando Municipal vigente, </w:t>
      </w:r>
      <w:r w:rsidR="003B6738" w:rsidRPr="00F403D1">
        <w:rPr>
          <w:rFonts w:ascii="Palatino Linotype" w:eastAsia="Palatino Linotype" w:hAnsi="Palatino Linotype" w:cs="Palatino Linotype"/>
        </w:rPr>
        <w:t>en coordinación con la Dirección de Administración, la Tesorería Municipal realiza el pago de remuneraciones.</w:t>
      </w:r>
    </w:p>
    <w:p w14:paraId="1285E37C" w14:textId="77777777" w:rsidR="005F7906" w:rsidRPr="00F403D1" w:rsidRDefault="00FC65DD">
      <w:pPr>
        <w:spacing w:before="240" w:after="240" w:line="360" w:lineRule="auto"/>
        <w:ind w:right="49"/>
        <w:jc w:val="both"/>
        <w:rPr>
          <w:rFonts w:ascii="Palatino Linotype" w:eastAsia="Palatino Linotype" w:hAnsi="Palatino Linotype" w:cs="Palatino Linotype"/>
        </w:rPr>
      </w:pPr>
      <w:r w:rsidRPr="00F403D1">
        <w:rPr>
          <w:rFonts w:ascii="Palatino Linotype" w:eastAsia="Palatino Linotype" w:hAnsi="Palatino Linotype" w:cs="Palatino Linotype"/>
        </w:rPr>
        <w:t>En este tenor, el servidor público habilitado de la Tesorería Municipal</w:t>
      </w:r>
      <w:r w:rsidR="005F7906" w:rsidRPr="00F403D1">
        <w:rPr>
          <w:rFonts w:ascii="Palatino Linotype" w:eastAsia="Palatino Linotype" w:hAnsi="Palatino Linotype" w:cs="Palatino Linotype"/>
        </w:rPr>
        <w:t xml:space="preserve"> atendió las solicitudes en los siguientes términos:</w:t>
      </w:r>
    </w:p>
    <w:p w14:paraId="2BB19921" w14:textId="77777777" w:rsidR="005D794A" w:rsidRPr="00F403D1" w:rsidRDefault="005F7906" w:rsidP="008B6016">
      <w:pPr>
        <w:spacing w:before="240" w:after="240" w:line="360" w:lineRule="auto"/>
        <w:ind w:left="284" w:right="49"/>
        <w:jc w:val="both"/>
        <w:rPr>
          <w:rFonts w:ascii="Palatino Linotype" w:hAnsi="Palatino Linotype"/>
        </w:rPr>
      </w:pPr>
      <w:r w:rsidRPr="00F403D1">
        <w:rPr>
          <w:rFonts w:ascii="Palatino Linotype" w:eastAsia="Palatino Linotype" w:hAnsi="Palatino Linotype" w:cs="Palatino Linotype"/>
        </w:rPr>
        <w:t>- P</w:t>
      </w:r>
      <w:r w:rsidR="000A5931" w:rsidRPr="00F403D1">
        <w:rPr>
          <w:rFonts w:ascii="Palatino Linotype" w:eastAsia="Palatino Linotype" w:hAnsi="Palatino Linotype" w:cs="Palatino Linotype"/>
        </w:rPr>
        <w:t xml:space="preserve">ropuso la acumulación de las solicitudes </w:t>
      </w:r>
      <w:r w:rsidR="00DD7FDE" w:rsidRPr="00F403D1">
        <w:rPr>
          <w:rFonts w:ascii="Palatino Linotype" w:eastAsia="Palatino Linotype" w:hAnsi="Palatino Linotype" w:cs="Palatino Linotype"/>
        </w:rPr>
        <w:t xml:space="preserve">al advertir que estas fueron formuladas por el mismo solicitante al </w:t>
      </w:r>
      <w:r w:rsidR="00DD7FDE" w:rsidRPr="00F403D1">
        <w:rPr>
          <w:rFonts w:ascii="Palatino Linotype" w:hAnsi="Palatino Linotype"/>
        </w:rPr>
        <w:t xml:space="preserve">compartir la redacción y la naturaleza de la información requerida, </w:t>
      </w:r>
      <w:r w:rsidR="002121D9" w:rsidRPr="00F403D1">
        <w:rPr>
          <w:rFonts w:ascii="Palatino Linotype" w:hAnsi="Palatino Linotype"/>
        </w:rPr>
        <w:t>difiriendo únicame</w:t>
      </w:r>
      <w:r w:rsidR="00DD7FDE" w:rsidRPr="00F403D1">
        <w:rPr>
          <w:rFonts w:ascii="Palatino Linotype" w:hAnsi="Palatino Linotype"/>
        </w:rPr>
        <w:t>nte en la temporalidad de estas, ello con la finalidad de emitir una sola respuesta</w:t>
      </w:r>
      <w:r w:rsidR="005D794A" w:rsidRPr="00F403D1">
        <w:rPr>
          <w:rFonts w:ascii="Palatino Linotype" w:hAnsi="Palatino Linotype"/>
        </w:rPr>
        <w:t>.</w:t>
      </w:r>
    </w:p>
    <w:p w14:paraId="067E2BE9" w14:textId="77777777" w:rsidR="00952E7F" w:rsidRPr="00F403D1" w:rsidRDefault="005D794A" w:rsidP="008B6016">
      <w:pPr>
        <w:spacing w:before="240" w:after="240" w:line="360" w:lineRule="auto"/>
        <w:ind w:left="284" w:right="49"/>
        <w:jc w:val="both"/>
        <w:rPr>
          <w:rFonts w:ascii="Palatino Linotype" w:hAnsi="Palatino Linotype"/>
        </w:rPr>
      </w:pPr>
      <w:r w:rsidRPr="00F403D1">
        <w:rPr>
          <w:rFonts w:ascii="Palatino Linotype" w:hAnsi="Palatino Linotype"/>
        </w:rPr>
        <w:t>- I</w:t>
      </w:r>
      <w:r w:rsidR="00ED52E9" w:rsidRPr="00F403D1">
        <w:rPr>
          <w:rFonts w:ascii="Palatino Linotype" w:hAnsi="Palatino Linotype"/>
        </w:rPr>
        <w:t xml:space="preserve">ndicó que </w:t>
      </w:r>
      <w:r w:rsidR="005F7906" w:rsidRPr="00F403D1">
        <w:rPr>
          <w:rFonts w:ascii="Palatino Linotype" w:hAnsi="Palatino Linotype"/>
        </w:rPr>
        <w:t xml:space="preserve">aunque la información corresponde con servidores públicos, </w:t>
      </w:r>
      <w:r w:rsidR="002104BF" w:rsidRPr="00F403D1">
        <w:rPr>
          <w:rFonts w:ascii="Palatino Linotype" w:hAnsi="Palatino Linotype"/>
        </w:rPr>
        <w:t>tiene</w:t>
      </w:r>
      <w:r w:rsidR="005F7906" w:rsidRPr="00F403D1">
        <w:rPr>
          <w:rFonts w:ascii="Palatino Linotype" w:hAnsi="Palatino Linotype"/>
        </w:rPr>
        <w:t xml:space="preserve"> información que es susceptible de ser clasificada</w:t>
      </w:r>
      <w:r w:rsidR="00287A41" w:rsidRPr="00F403D1">
        <w:rPr>
          <w:rFonts w:ascii="Palatino Linotype" w:hAnsi="Palatino Linotype"/>
        </w:rPr>
        <w:t xml:space="preserve"> al contener d</w:t>
      </w:r>
      <w:r w:rsidR="002121D9" w:rsidRPr="00F403D1">
        <w:rPr>
          <w:rFonts w:ascii="Palatino Linotype" w:hAnsi="Palatino Linotype"/>
        </w:rPr>
        <w:t>atos personales como son el nombre del banco de depósito, número de cuenta de depósito, CURP, RFC, entre otros, información consider</w:t>
      </w:r>
      <w:r w:rsidR="002104BF" w:rsidRPr="00F403D1">
        <w:rPr>
          <w:rFonts w:ascii="Palatino Linotype" w:hAnsi="Palatino Linotype"/>
        </w:rPr>
        <w:t>ada como confidencial, además, de contener</w:t>
      </w:r>
      <w:r w:rsidR="002121D9" w:rsidRPr="00F403D1">
        <w:rPr>
          <w:rFonts w:ascii="Palatino Linotype" w:hAnsi="Palatino Linotype"/>
        </w:rPr>
        <w:t xml:space="preserve"> también el nombre de los elementos operativos de la Dirección Seguridad Ciudadana y Movilidad de este municipio, dato que a razón de las implicaciones que pudieran derivase de su publicación pudieran afectar la integridad y/o la vida de estos servidores públicos</w:t>
      </w:r>
      <w:r w:rsidR="002104BF" w:rsidRPr="00F403D1">
        <w:rPr>
          <w:rFonts w:ascii="Palatino Linotype" w:hAnsi="Palatino Linotype"/>
        </w:rPr>
        <w:t xml:space="preserve">, información considerada como reservada. Por lo tanto, se requiere </w:t>
      </w:r>
      <w:r w:rsidR="002121D9" w:rsidRPr="00F403D1">
        <w:rPr>
          <w:rFonts w:ascii="Palatino Linotype" w:hAnsi="Palatino Linotype"/>
        </w:rPr>
        <w:t>la elaboración de una minuciosa versión pública de la documental y, a su vez de la emisión de un Acuerdo de Co</w:t>
      </w:r>
      <w:r w:rsidR="00952E7F" w:rsidRPr="00F403D1">
        <w:rPr>
          <w:rFonts w:ascii="Palatino Linotype" w:hAnsi="Palatino Linotype"/>
        </w:rPr>
        <w:t>nfidencialidad y uno de Reserva.</w:t>
      </w:r>
    </w:p>
    <w:p w14:paraId="59EBC809" w14:textId="77777777" w:rsidR="00952E7F" w:rsidRPr="00F403D1" w:rsidRDefault="00952E7F" w:rsidP="008B6016">
      <w:pPr>
        <w:spacing w:before="240" w:after="240" w:line="360" w:lineRule="auto"/>
        <w:ind w:left="284" w:right="49"/>
        <w:jc w:val="both"/>
        <w:rPr>
          <w:rFonts w:ascii="Palatino Linotype" w:hAnsi="Palatino Linotype"/>
        </w:rPr>
      </w:pPr>
      <w:r w:rsidRPr="00F403D1">
        <w:rPr>
          <w:rFonts w:ascii="Palatino Linotype" w:hAnsi="Palatino Linotype"/>
        </w:rPr>
        <w:t xml:space="preserve">- El </w:t>
      </w:r>
      <w:r w:rsidR="002121D9" w:rsidRPr="00F403D1">
        <w:rPr>
          <w:rFonts w:ascii="Palatino Linotype" w:hAnsi="Palatino Linotype"/>
        </w:rPr>
        <w:t xml:space="preserve">procedimiento </w:t>
      </w:r>
      <w:r w:rsidRPr="00F403D1">
        <w:rPr>
          <w:rFonts w:ascii="Palatino Linotype" w:hAnsi="Palatino Linotype"/>
        </w:rPr>
        <w:t xml:space="preserve">anterior </w:t>
      </w:r>
      <w:r w:rsidR="002121D9" w:rsidRPr="00F403D1">
        <w:rPr>
          <w:rFonts w:ascii="Palatino Linotype" w:hAnsi="Palatino Linotype"/>
        </w:rPr>
        <w:t>tendría que replicarse por cuatro para el caso de su atención de manera autónoma, lo cual implica una carga laboral considerable si se considera que entre las funciones del único personal encargado de atender los asuntos en materia de transparencia y acceso a la información pública, no solo está la de atender solicitudes de información, además, es responsable de actividades propias de esta Tesorería Municipal, como lo es la revisión e integración del Informe Trimestral que es entregado al Órgano Superior de Fiscalización del Estado de México, periodo en el que nos encontramos en últimas fechas.</w:t>
      </w:r>
    </w:p>
    <w:p w14:paraId="2DD5F9E1" w14:textId="77777777" w:rsidR="001D43D2" w:rsidRPr="00F403D1" w:rsidRDefault="00615587" w:rsidP="008B6016">
      <w:pPr>
        <w:spacing w:before="240" w:after="240" w:line="360" w:lineRule="auto"/>
        <w:ind w:left="284" w:right="49"/>
        <w:jc w:val="both"/>
        <w:rPr>
          <w:rFonts w:ascii="Palatino Linotype" w:hAnsi="Palatino Linotype"/>
        </w:rPr>
      </w:pPr>
      <w:r w:rsidRPr="00F403D1">
        <w:rPr>
          <w:rFonts w:ascii="Palatino Linotype" w:hAnsi="Palatino Linotype"/>
        </w:rPr>
        <w:t xml:space="preserve">- </w:t>
      </w:r>
      <w:r w:rsidR="009F05B4" w:rsidRPr="00F403D1">
        <w:rPr>
          <w:rFonts w:ascii="Palatino Linotype" w:hAnsi="Palatino Linotype"/>
        </w:rPr>
        <w:t>I</w:t>
      </w:r>
      <w:r w:rsidRPr="00F403D1">
        <w:rPr>
          <w:rFonts w:ascii="Palatino Linotype" w:hAnsi="Palatino Linotype"/>
        </w:rPr>
        <w:t>ndicó que no es</w:t>
      </w:r>
      <w:r w:rsidR="002121D9" w:rsidRPr="00F403D1">
        <w:rPr>
          <w:rFonts w:ascii="Palatino Linotype" w:hAnsi="Palatino Linotype"/>
        </w:rPr>
        <w:t xml:space="preserve"> dable la presunción de que no es administrativamente viable atender de manera independiente cada solicitud, a razón de la carga de trabajo, pues sobrepasa la capacidades técnicas, administrativas y humanas, por lo cual, se estima que la información no podrá ser procesada en su totalidad dentro de los términos señalados en la Ley de la materia, estimándose que la conclusión de los trabajos relativos al procesamiento de la información para su entrega a la Unidad de Transparencia y Acceso a la </w:t>
      </w:r>
      <w:r w:rsidRPr="00F403D1">
        <w:rPr>
          <w:rFonts w:ascii="Palatino Linotype" w:hAnsi="Palatino Linotype"/>
        </w:rPr>
        <w:t>Información Pública, será para el</w:t>
      </w:r>
      <w:r w:rsidR="002121D9" w:rsidRPr="00F403D1">
        <w:rPr>
          <w:rFonts w:ascii="Palatino Linotype" w:hAnsi="Palatino Linotype"/>
        </w:rPr>
        <w:t xml:space="preserve"> próximo lunes veinticinco </w:t>
      </w:r>
      <w:r w:rsidRPr="00F403D1">
        <w:rPr>
          <w:rFonts w:ascii="Palatino Linotype" w:hAnsi="Palatino Linotype"/>
        </w:rPr>
        <w:t>de agosto de dos mil veinticinco</w:t>
      </w:r>
      <w:r w:rsidR="001D43D2" w:rsidRPr="00F403D1">
        <w:rPr>
          <w:rFonts w:ascii="Palatino Linotype" w:hAnsi="Palatino Linotype"/>
        </w:rPr>
        <w:t xml:space="preserve">, </w:t>
      </w:r>
      <w:r w:rsidR="002121D9" w:rsidRPr="00F403D1">
        <w:rPr>
          <w:rFonts w:ascii="Palatino Linotype" w:hAnsi="Palatino Linotype"/>
        </w:rPr>
        <w:t>incluso si se contemplaran los hasta siete días hábiles adicionales contemplados en la Ley por concepto de prórroga</w:t>
      </w:r>
      <w:r w:rsidR="001D43D2" w:rsidRPr="00F403D1">
        <w:rPr>
          <w:rFonts w:ascii="Palatino Linotype" w:hAnsi="Palatino Linotype"/>
        </w:rPr>
        <w:t>.</w:t>
      </w:r>
    </w:p>
    <w:p w14:paraId="73AE1F5D" w14:textId="3D7C33CE" w:rsidR="002121D9" w:rsidRPr="00F403D1" w:rsidRDefault="007C365F" w:rsidP="008B6016">
      <w:pPr>
        <w:spacing w:before="240" w:after="240" w:line="360" w:lineRule="auto"/>
        <w:ind w:left="284" w:right="49"/>
        <w:jc w:val="both"/>
        <w:rPr>
          <w:rFonts w:ascii="Palatino Linotype" w:hAnsi="Palatino Linotype"/>
        </w:rPr>
      </w:pPr>
      <w:r w:rsidRPr="00F403D1">
        <w:rPr>
          <w:rFonts w:ascii="Palatino Linotype" w:hAnsi="Palatino Linotype"/>
          <w:b/>
        </w:rPr>
        <w:t xml:space="preserve">- </w:t>
      </w:r>
      <w:r w:rsidRPr="00F403D1">
        <w:rPr>
          <w:rFonts w:ascii="Palatino Linotype" w:hAnsi="Palatino Linotype"/>
        </w:rPr>
        <w:t>Solicitó</w:t>
      </w:r>
      <w:r w:rsidRPr="00F403D1">
        <w:rPr>
          <w:rFonts w:ascii="Palatino Linotype" w:hAnsi="Palatino Linotype"/>
          <w:b/>
        </w:rPr>
        <w:t xml:space="preserve"> </w:t>
      </w:r>
      <w:r w:rsidRPr="00F403D1">
        <w:rPr>
          <w:rFonts w:ascii="Palatino Linotype" w:hAnsi="Palatino Linotype"/>
        </w:rPr>
        <w:t xml:space="preserve">a la </w:t>
      </w:r>
      <w:r w:rsidR="008B6016" w:rsidRPr="00F403D1">
        <w:rPr>
          <w:rFonts w:ascii="Palatino Linotype" w:hAnsi="Palatino Linotype"/>
        </w:rPr>
        <w:t>U</w:t>
      </w:r>
      <w:r w:rsidRPr="00F403D1">
        <w:rPr>
          <w:rFonts w:ascii="Palatino Linotype" w:hAnsi="Palatino Linotype"/>
        </w:rPr>
        <w:t xml:space="preserve">nidad de </w:t>
      </w:r>
      <w:r w:rsidR="008B6016" w:rsidRPr="00F403D1">
        <w:rPr>
          <w:rFonts w:ascii="Palatino Linotype" w:hAnsi="Palatino Linotype"/>
        </w:rPr>
        <w:t>T</w:t>
      </w:r>
      <w:r w:rsidRPr="00F403D1">
        <w:rPr>
          <w:rFonts w:ascii="Palatino Linotype" w:hAnsi="Palatino Linotype"/>
        </w:rPr>
        <w:t>ransparenci</w:t>
      </w:r>
      <w:r w:rsidR="008B6016" w:rsidRPr="00F403D1">
        <w:rPr>
          <w:rFonts w:ascii="Palatino Linotype" w:hAnsi="Palatino Linotype"/>
        </w:rPr>
        <w:t xml:space="preserve">a, por medio del Comité de Transparencia, </w:t>
      </w:r>
      <w:r w:rsidR="002121D9" w:rsidRPr="00F403D1">
        <w:rPr>
          <w:rFonts w:ascii="Palatino Linotype" w:hAnsi="Palatino Linotype"/>
        </w:rPr>
        <w:t>res</w:t>
      </w:r>
      <w:r w:rsidRPr="00F403D1">
        <w:rPr>
          <w:rFonts w:ascii="Palatino Linotype" w:hAnsi="Palatino Linotype"/>
        </w:rPr>
        <w:t xml:space="preserve">olviera </w:t>
      </w:r>
      <w:r w:rsidR="002121D9" w:rsidRPr="00F403D1">
        <w:rPr>
          <w:rFonts w:ascii="Palatino Linotype" w:hAnsi="Palatino Linotype"/>
        </w:rPr>
        <w:t xml:space="preserve">sobre la procedencia de ofrecer una modalidad distinta a la señalada por </w:t>
      </w:r>
      <w:r w:rsidRPr="00F403D1">
        <w:rPr>
          <w:rFonts w:ascii="Palatino Linotype" w:hAnsi="Palatino Linotype"/>
        </w:rPr>
        <w:t xml:space="preserve">la persona solicitante, </w:t>
      </w:r>
      <w:r w:rsidR="002121D9" w:rsidRPr="00F403D1">
        <w:rPr>
          <w:rFonts w:ascii="Palatino Linotype" w:hAnsi="Palatino Linotype"/>
        </w:rPr>
        <w:t>para la entrega de la información en términos de lo dispuesto en los artículos 158 y 164 de la Ley de Transparencia y Acceso a la Información Pública del E</w:t>
      </w:r>
      <w:r w:rsidR="008B6016" w:rsidRPr="00F403D1">
        <w:rPr>
          <w:rFonts w:ascii="Palatino Linotype" w:hAnsi="Palatino Linotype"/>
        </w:rPr>
        <w:t>stado de México y Municipios.</w:t>
      </w:r>
    </w:p>
    <w:p w14:paraId="334B087A" w14:textId="2C9F2CA0" w:rsidR="002121D9" w:rsidRPr="00F403D1" w:rsidRDefault="008B6016" w:rsidP="008B6016">
      <w:pPr>
        <w:spacing w:before="240" w:after="240" w:line="360" w:lineRule="auto"/>
        <w:ind w:left="284" w:right="49"/>
        <w:jc w:val="both"/>
        <w:rPr>
          <w:rFonts w:ascii="Palatino Linotype" w:eastAsia="Palatino Linotype" w:hAnsi="Palatino Linotype" w:cs="Palatino Linotype"/>
        </w:rPr>
      </w:pPr>
      <w:r w:rsidRPr="00F403D1">
        <w:rPr>
          <w:rFonts w:ascii="Palatino Linotype" w:hAnsi="Palatino Linotype"/>
          <w:b/>
        </w:rPr>
        <w:t xml:space="preserve">- </w:t>
      </w:r>
      <w:r w:rsidRPr="00F403D1">
        <w:rPr>
          <w:rFonts w:ascii="Palatino Linotype" w:hAnsi="Palatino Linotype"/>
        </w:rPr>
        <w:t>Solicitó</w:t>
      </w:r>
      <w:r w:rsidRPr="00F403D1">
        <w:rPr>
          <w:rFonts w:ascii="Palatino Linotype" w:hAnsi="Palatino Linotype"/>
          <w:b/>
        </w:rPr>
        <w:t xml:space="preserve"> </w:t>
      </w:r>
      <w:r w:rsidRPr="00F403D1">
        <w:rPr>
          <w:rFonts w:ascii="Palatino Linotype" w:hAnsi="Palatino Linotype"/>
        </w:rPr>
        <w:t>a la Unidad de Transparencia, por medio del Comité de Transparencia</w:t>
      </w:r>
      <w:r w:rsidRPr="00F403D1">
        <w:rPr>
          <w:rFonts w:ascii="Palatino Linotype" w:hAnsi="Palatino Linotype"/>
          <w:b/>
        </w:rPr>
        <w:t xml:space="preserve">, </w:t>
      </w:r>
      <w:r w:rsidRPr="00F403D1">
        <w:rPr>
          <w:rFonts w:ascii="Palatino Linotype" w:hAnsi="Palatino Linotype"/>
        </w:rPr>
        <w:t>resolviera</w:t>
      </w:r>
      <w:r w:rsidR="002121D9" w:rsidRPr="00F403D1">
        <w:rPr>
          <w:rFonts w:ascii="Palatino Linotype" w:hAnsi="Palatino Linotype"/>
        </w:rPr>
        <w:t xml:space="preserve"> sobre la procedencia de la clasificación de la información como Confidencial en lo que respecta a los datos personales contenidos en la documental, así como de la clasificación con el carácter de Reservada a aquella correspondiente a los nombres de los elementos de la Dirección de Seguridad Ciudadana y Movilidad, esto en términos de lo dispuesto en los artículos 140 fracciones I y IV y 143 fracciones I</w:t>
      </w:r>
      <w:r w:rsidR="00E32A05" w:rsidRPr="00F403D1">
        <w:rPr>
          <w:rFonts w:ascii="Palatino Linotype" w:hAnsi="Palatino Linotype"/>
        </w:rPr>
        <w:t xml:space="preserve"> y II </w:t>
      </w:r>
      <w:r w:rsidR="002121D9" w:rsidRPr="00F403D1">
        <w:rPr>
          <w:rFonts w:ascii="Palatino Linotype" w:hAnsi="Palatino Linotype"/>
        </w:rPr>
        <w:t>de la Ley de Transparencia y Acceso a la Información Pública del Estado de México y Municipios.</w:t>
      </w:r>
    </w:p>
    <w:p w14:paraId="562734B3" w14:textId="2F3B62C9" w:rsidR="00F747FF" w:rsidRPr="00F403D1" w:rsidRDefault="00544F4C" w:rsidP="00C400FD">
      <w:pPr>
        <w:spacing w:before="240" w:after="240" w:line="360" w:lineRule="auto"/>
        <w:ind w:right="49"/>
        <w:jc w:val="both"/>
        <w:rPr>
          <w:rFonts w:ascii="Palatino Linotype" w:hAnsi="Palatino Linotype"/>
        </w:rPr>
      </w:pPr>
      <w:r w:rsidRPr="00F403D1">
        <w:rPr>
          <w:rFonts w:ascii="Palatino Linotype" w:eastAsia="Palatino Linotype" w:hAnsi="Palatino Linotype" w:cs="Palatino Linotype"/>
        </w:rPr>
        <w:t xml:space="preserve">Por otro lado, </w:t>
      </w:r>
      <w:r w:rsidR="00657D8C" w:rsidRPr="00F403D1">
        <w:rPr>
          <w:rFonts w:ascii="Palatino Linotype" w:eastAsia="Palatino Linotype" w:hAnsi="Palatino Linotype" w:cs="Palatino Linotype"/>
        </w:rPr>
        <w:t>atendiendo a las manifestaciones vertidas por la Tesorería Municipal, la Unidad de Transparencia</w:t>
      </w:r>
      <w:r w:rsidR="00657D8C" w:rsidRPr="00F403D1">
        <w:rPr>
          <w:rFonts w:ascii="Palatino Linotype" w:hAnsi="Palatino Linotype"/>
        </w:rPr>
        <w:t xml:space="preserve"> informó que </w:t>
      </w:r>
      <w:r w:rsidR="00F747FF" w:rsidRPr="00F403D1">
        <w:rPr>
          <w:rFonts w:ascii="Palatino Linotype" w:hAnsi="Palatino Linotype"/>
        </w:rPr>
        <w:t>en la Décimo Segunda Sesión Ordinaria llevada a cabo en fecha catorce de agosto de dos mil veinticinco, los integrantes del Comité de Transparencia confirmaron la necesidad de proponer una modalidad de entrega distinta a la elegida por la persona solicitante, esto es a Consulta Directa y/o entrega de información de manera gratuita en la oficina de esta Unidad de Transparencia, de manera que la información estaría disponible de manera gratuita en las oficinas de la Unidad de Transparencia si aporta los medios para ello, a decir, un dispositivo de almacenamiento USB con capacidad mínima de 4 GB o su equivalente en CD, en caso contrario, se estará a lo dispuesto en el artículo 148 fracción IV del Código Financiero del Estado de México y Municipios vigente, por lo que la expedición de la información en disco compacto tendrá un costo de $38.01 (treinta y ocho pesos 01/100 m.n.) por cada disco, por concepto de pago de derechos, el cual deberá ingresar a través de las cajas de la Tesorería Municipal, ubicadas al exterior del Palacio Municipal,</w:t>
      </w:r>
      <w:r w:rsidR="005F444F" w:rsidRPr="00F403D1">
        <w:rPr>
          <w:rFonts w:ascii="Palatino Linotype" w:hAnsi="Palatino Linotype"/>
        </w:rPr>
        <w:t xml:space="preserve"> asimismo, proporcionó las formalidades para proporcionar la información.</w:t>
      </w:r>
    </w:p>
    <w:p w14:paraId="74963EAF" w14:textId="07A5D8B8" w:rsidR="00C400FD" w:rsidRPr="00F403D1" w:rsidRDefault="00C400FD" w:rsidP="00C400FD">
      <w:pPr>
        <w:spacing w:before="240" w:after="240" w:line="360" w:lineRule="auto"/>
        <w:ind w:right="49"/>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Al no estar conforme con los términos de la respuesta proporcionada, la parte </w:t>
      </w:r>
      <w:r w:rsidRPr="00F403D1">
        <w:rPr>
          <w:rFonts w:ascii="Palatino Linotype" w:eastAsia="Palatino Linotype" w:hAnsi="Palatino Linotype" w:cs="Palatino Linotype"/>
          <w:b/>
          <w:bCs/>
        </w:rPr>
        <w:t xml:space="preserve">Recurrente </w:t>
      </w:r>
      <w:r w:rsidRPr="00F403D1">
        <w:rPr>
          <w:rFonts w:ascii="Palatino Linotype" w:eastAsia="Palatino Linotype" w:hAnsi="Palatino Linotype" w:cs="Palatino Linotype"/>
        </w:rPr>
        <w:t>presentó el recurso de revisión que nos ocupa, donde señaló como motivo de inconformidad, que se no se había entregado lo solicitado.</w:t>
      </w:r>
    </w:p>
    <w:p w14:paraId="7F5FBC62" w14:textId="6EE22089" w:rsidR="00C400FD" w:rsidRPr="00F403D1" w:rsidRDefault="00C400FD" w:rsidP="00C400FD">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En la etapa de manifestaciones el </w:t>
      </w:r>
      <w:r w:rsidRPr="00F403D1">
        <w:rPr>
          <w:rFonts w:ascii="Palatino Linotype" w:eastAsia="Palatino Linotype" w:hAnsi="Palatino Linotype" w:cs="Palatino Linotype"/>
          <w:b/>
          <w:bCs/>
        </w:rPr>
        <w:t xml:space="preserve">Sujeto Obligado, </w:t>
      </w:r>
      <w:r w:rsidRPr="00F403D1">
        <w:rPr>
          <w:rFonts w:ascii="Palatino Linotype" w:eastAsia="Palatino Linotype" w:hAnsi="Palatino Linotype" w:cs="Palatino Linotype"/>
          <w:bCs/>
        </w:rPr>
        <w:t>por conducto de la Unidad de Transparencia,</w:t>
      </w:r>
      <w:r w:rsidRPr="00F403D1">
        <w:rPr>
          <w:rFonts w:ascii="Palatino Linotype" w:eastAsia="Palatino Linotype" w:hAnsi="Palatino Linotype" w:cs="Palatino Linotype"/>
          <w:b/>
          <w:bCs/>
        </w:rPr>
        <w:t xml:space="preserve"> </w:t>
      </w:r>
      <w:r w:rsidRPr="00F403D1">
        <w:rPr>
          <w:rFonts w:ascii="Palatino Linotype" w:eastAsia="Palatino Linotype" w:hAnsi="Palatino Linotype" w:cs="Palatino Linotype"/>
        </w:rPr>
        <w:t>ratificó en lo sustancial la respuesta proporcionada en primera instancia por la Tesorería Municipal.</w:t>
      </w:r>
    </w:p>
    <w:p w14:paraId="7999DE8E" w14:textId="0BD905D6" w:rsidR="00545B55" w:rsidRPr="00F403D1" w:rsidRDefault="001004F5" w:rsidP="00545B55">
      <w:pPr>
        <w:spacing w:before="240" w:after="240" w:line="360" w:lineRule="auto"/>
        <w:ind w:right="49"/>
        <w:jc w:val="both"/>
        <w:rPr>
          <w:rFonts w:ascii="Palatino Linotype" w:eastAsia="Palatino Linotype" w:hAnsi="Palatino Linotype" w:cs="Palatino Linotype"/>
        </w:rPr>
      </w:pPr>
      <w:r w:rsidRPr="00F403D1">
        <w:rPr>
          <w:rFonts w:ascii="Palatino Linotype" w:eastAsia="Palatino Linotype" w:hAnsi="Palatino Linotype" w:cs="Palatino Linotype"/>
        </w:rPr>
        <w:t>Atento a lo anterior</w:t>
      </w:r>
      <w:r w:rsidR="00545B55" w:rsidRPr="00F403D1">
        <w:rPr>
          <w:rFonts w:ascii="Palatino Linotype" w:eastAsia="Palatino Linotype" w:hAnsi="Palatino Linotype" w:cs="Palatino Linotype"/>
        </w:rPr>
        <w:t xml:space="preserve">, de las constancias que integran el expediente electrónico  relacionado con el recurso de revisión materia de estudio, se colige que </w:t>
      </w:r>
      <w:r w:rsidR="00545B55" w:rsidRPr="00F403D1">
        <w:rPr>
          <w:rFonts w:ascii="Palatino Linotype" w:eastAsia="Palatino Linotype" w:hAnsi="Palatino Linotype" w:cs="Palatino Linotype"/>
          <w:b/>
        </w:rPr>
        <w:t>el Sujeto Obligado</w:t>
      </w:r>
      <w:r w:rsidR="00545B55" w:rsidRPr="00F403D1">
        <w:rPr>
          <w:rFonts w:ascii="Palatino Linotype" w:eastAsia="Palatino Linotype" w:hAnsi="Palatino Linotype" w:cs="Palatino Linotype"/>
        </w:rPr>
        <w:t xml:space="preserve"> no niega la competencia para conocer de la información solicitada, sino por el contrario, con la respuesta pronunciada asevera que es competente para conocer de la</w:t>
      </w:r>
      <w:r w:rsidR="00AC3B5B" w:rsidRPr="00F403D1">
        <w:rPr>
          <w:rFonts w:ascii="Palatino Linotype" w:eastAsia="Palatino Linotype" w:hAnsi="Palatino Linotype" w:cs="Palatino Linotype"/>
        </w:rPr>
        <w:t>s</w:t>
      </w:r>
      <w:r w:rsidR="00545B55" w:rsidRPr="00F403D1">
        <w:rPr>
          <w:rFonts w:ascii="Palatino Linotype" w:eastAsia="Palatino Linotype" w:hAnsi="Palatino Linotype" w:cs="Palatino Linotype"/>
        </w:rPr>
        <w:t xml:space="preserve"> solicitud</w:t>
      </w:r>
      <w:r w:rsidR="00AC3B5B" w:rsidRPr="00F403D1">
        <w:rPr>
          <w:rFonts w:ascii="Palatino Linotype" w:eastAsia="Palatino Linotype" w:hAnsi="Palatino Linotype" w:cs="Palatino Linotype"/>
        </w:rPr>
        <w:t>es</w:t>
      </w:r>
      <w:r w:rsidR="00545B55" w:rsidRPr="00F403D1">
        <w:rPr>
          <w:rFonts w:ascii="Palatino Linotype" w:eastAsia="Palatino Linotype" w:hAnsi="Palatino Linotype" w:cs="Palatino Linotype"/>
        </w:rPr>
        <w:t xml:space="preserve"> de información</w:t>
      </w:r>
      <w:r w:rsidR="00545B55" w:rsidRPr="00F403D1">
        <w:rPr>
          <w:rFonts w:ascii="Palatino Linotype" w:eastAsia="Palatino Linotype" w:hAnsi="Palatino Linotype" w:cs="Palatino Linotype"/>
          <w:i/>
        </w:rPr>
        <w:t xml:space="preserve">, </w:t>
      </w:r>
      <w:r w:rsidR="00545B55" w:rsidRPr="00F403D1">
        <w:rPr>
          <w:rFonts w:ascii="Palatino Linotype" w:eastAsia="Palatino Linotype" w:hAnsi="Palatino Linotype" w:cs="Palatino Linotype"/>
        </w:rPr>
        <w:t xml:space="preserve">lo anterior es así, ya que el estudio enunciado tiene por objeto determinar si </w:t>
      </w:r>
      <w:r w:rsidR="00545B55" w:rsidRPr="00F403D1">
        <w:t>los</w:t>
      </w:r>
      <w:r w:rsidR="00545B55" w:rsidRPr="00F403D1">
        <w:rPr>
          <w:rFonts w:ascii="Palatino Linotype" w:eastAsia="Palatino Linotype" w:hAnsi="Palatino Linotype" w:cs="Palatino Linotype"/>
        </w:rPr>
        <w:t xml:space="preserve"> Sujeto</w:t>
      </w:r>
      <w:r w:rsidR="00545B55" w:rsidRPr="00F403D1">
        <w:t>s</w:t>
      </w:r>
      <w:r w:rsidR="00545B55" w:rsidRPr="00F403D1">
        <w:rPr>
          <w:rFonts w:ascii="Palatino Linotype" w:eastAsia="Palatino Linotype" w:hAnsi="Palatino Linotype" w:cs="Palatino Linotype"/>
        </w:rPr>
        <w:t xml:space="preserve"> Obligado</w:t>
      </w:r>
      <w:r w:rsidR="00545B55" w:rsidRPr="00F403D1">
        <w:t>s</w:t>
      </w:r>
      <w:r w:rsidR="00545B55" w:rsidRPr="00F403D1">
        <w:rPr>
          <w:rFonts w:ascii="Palatino Linotype" w:eastAsia="Palatino Linotype" w:hAnsi="Palatino Linotype" w:cs="Palatino Linotype"/>
        </w:rPr>
        <w:t xml:space="preserve"> generan, poseen o administran  la información solicitada, sin embargo, en aquellos casos en que </w:t>
      </w:r>
      <w:r w:rsidR="00545B55" w:rsidRPr="00F403D1">
        <w:t>e</w:t>
      </w:r>
      <w:r w:rsidR="00545B55" w:rsidRPr="00F403D1">
        <w:rPr>
          <w:rFonts w:ascii="Palatino Linotype" w:eastAsia="Palatino Linotype" w:hAnsi="Palatino Linotype" w:cs="Palatino Linotype"/>
        </w:rPr>
        <w:t>st</w:t>
      </w:r>
      <w:r w:rsidR="00545B55" w:rsidRPr="00F403D1">
        <w:t xml:space="preserve">os </w:t>
      </w:r>
      <w:r w:rsidR="00545B55" w:rsidRPr="00F403D1">
        <w:rPr>
          <w:rFonts w:ascii="Palatino Linotype" w:eastAsia="Palatino Linotype" w:hAnsi="Palatino Linotype" w:cs="Palatino Linotype"/>
        </w:rPr>
        <w:t>ha</w:t>
      </w:r>
      <w:r w:rsidR="00545B55" w:rsidRPr="00F403D1">
        <w:t>n</w:t>
      </w:r>
      <w:r w:rsidR="00545B55" w:rsidRPr="00F403D1">
        <w:rPr>
          <w:rFonts w:ascii="Palatino Linotype" w:eastAsia="Palatino Linotype" w:hAnsi="Palatino Linotype" w:cs="Palatino Linotype"/>
        </w:rPr>
        <w:t xml:space="preserve"> asumido </w:t>
      </w:r>
      <w:r w:rsidR="00545B55" w:rsidRPr="00F403D1">
        <w:rPr>
          <w:rFonts w:ascii="Palatino Linotype" w:eastAsia="Palatino Linotype" w:hAnsi="Palatino Linotype" w:cs="Palatino Linotype"/>
          <w:b/>
        </w:rPr>
        <w:t>la competencia</w:t>
      </w:r>
      <w:r w:rsidR="00545B55" w:rsidRPr="00F403D1">
        <w:rPr>
          <w:rFonts w:ascii="Palatino Linotype" w:eastAsia="Palatino Linotype" w:hAnsi="Palatino Linotype" w:cs="Palatino Linotype"/>
        </w:rPr>
        <w:t xml:space="preserve">, sería ocioso y a nada práctico nos conduciría su estudio, ya que, se insiste, el ente obligado </w:t>
      </w:r>
      <w:r w:rsidR="00545B55" w:rsidRPr="00F403D1">
        <w:rPr>
          <w:rFonts w:ascii="Palatino Linotype" w:eastAsia="Palatino Linotype" w:hAnsi="Palatino Linotype" w:cs="Palatino Linotype"/>
          <w:b/>
          <w:u w:val="single"/>
        </w:rPr>
        <w:t>asumió la competencia referida</w:t>
      </w:r>
      <w:r w:rsidR="00545B55" w:rsidRPr="00F403D1">
        <w:rPr>
          <w:rFonts w:ascii="Palatino Linotype" w:eastAsia="Palatino Linotype" w:hAnsi="Palatino Linotype" w:cs="Palatino Linotype"/>
        </w:rPr>
        <w:t>, motivo por el cual se actualiza el supuesto previsto en el artículo 12 de la legislación aplicable en la materia, citado con antelación.</w:t>
      </w:r>
    </w:p>
    <w:p w14:paraId="3CA95430" w14:textId="77777777" w:rsidR="00DE74CC" w:rsidRPr="00F403D1" w:rsidRDefault="00545B55" w:rsidP="00545B55">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Asimismo, es imprescindible mencionar que el </w:t>
      </w:r>
      <w:r w:rsidRPr="00F403D1">
        <w:rPr>
          <w:rFonts w:ascii="Palatino Linotype" w:eastAsia="Palatino Linotype" w:hAnsi="Palatino Linotype" w:cs="Palatino Linotype"/>
          <w:b/>
        </w:rPr>
        <w:t xml:space="preserve">Sujeto Obligado, </w:t>
      </w:r>
      <w:r w:rsidRPr="00F403D1">
        <w:rPr>
          <w:rFonts w:ascii="Palatino Linotype" w:eastAsia="Palatino Linotype" w:hAnsi="Palatino Linotype" w:cs="Palatino Linotype"/>
        </w:rPr>
        <w:t xml:space="preserve">por conducto de la Tesorería </w:t>
      </w:r>
      <w:r w:rsidR="00AC3B5B" w:rsidRPr="00F403D1">
        <w:rPr>
          <w:rFonts w:ascii="Palatino Linotype" w:eastAsia="Palatino Linotype" w:hAnsi="Palatino Linotype" w:cs="Palatino Linotype"/>
        </w:rPr>
        <w:t xml:space="preserve">Municipal </w:t>
      </w:r>
      <w:r w:rsidRPr="00F403D1">
        <w:rPr>
          <w:rFonts w:ascii="Palatino Linotype" w:eastAsia="Palatino Linotype" w:hAnsi="Palatino Linotype" w:cs="Palatino Linotype"/>
        </w:rPr>
        <w:t>asumi</w:t>
      </w:r>
      <w:r w:rsidR="00AC3B5B" w:rsidRPr="00F403D1">
        <w:rPr>
          <w:rFonts w:ascii="Palatino Linotype" w:eastAsia="Palatino Linotype" w:hAnsi="Palatino Linotype" w:cs="Palatino Linotype"/>
        </w:rPr>
        <w:t xml:space="preserve">ó </w:t>
      </w:r>
      <w:r w:rsidRPr="00F403D1">
        <w:rPr>
          <w:rFonts w:ascii="Palatino Linotype" w:eastAsia="Palatino Linotype" w:hAnsi="Palatino Linotype" w:cs="Palatino Linotype"/>
        </w:rPr>
        <w:t xml:space="preserve">la existencia de la información peticionada, tan es así que </w:t>
      </w:r>
      <w:r w:rsidR="00805C65" w:rsidRPr="00F403D1">
        <w:rPr>
          <w:rFonts w:ascii="Palatino Linotype" w:eastAsia="Palatino Linotype" w:hAnsi="Palatino Linotype" w:cs="Palatino Linotype"/>
        </w:rPr>
        <w:t>propuso el cambio de modalidad en la entrega de la información</w:t>
      </w:r>
      <w:r w:rsidR="00DE74CC" w:rsidRPr="00F403D1">
        <w:rPr>
          <w:rFonts w:ascii="Palatino Linotype" w:eastAsia="Palatino Linotype" w:hAnsi="Palatino Linotype" w:cs="Palatino Linotype"/>
        </w:rPr>
        <w:t>.</w:t>
      </w:r>
    </w:p>
    <w:p w14:paraId="7ED64A74" w14:textId="69107AED" w:rsidR="00DE74CC" w:rsidRPr="00F403D1" w:rsidRDefault="00DE74CC" w:rsidP="00DE74CC">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En segundo término, resulta indispensable consultar el formato de las solicitudes de acceso a la información pública para determinar la modalidad a través de la cual se eligió la entrega de la información por parte de la persona solicitante, por lo que en los expedientes electrónicos se halló lo siguiente:</w:t>
      </w:r>
    </w:p>
    <w:p w14:paraId="7CF8D0D7" w14:textId="2CAFA778" w:rsidR="00891223" w:rsidRPr="00F403D1" w:rsidRDefault="00B13BBD" w:rsidP="00E55F45">
      <w:pPr>
        <w:spacing w:before="240" w:after="360" w:line="360" w:lineRule="auto"/>
        <w:ind w:right="18"/>
        <w:jc w:val="both"/>
        <w:rPr>
          <w:rFonts w:ascii="Palatino Linotype" w:eastAsia="Palatino Linotype" w:hAnsi="Palatino Linotype" w:cs="Palatino Linotype"/>
        </w:rPr>
      </w:pPr>
      <w:r w:rsidRPr="00F403D1">
        <w:rPr>
          <w:rFonts w:ascii="Palatino Linotype" w:eastAsia="Palatino Linotype" w:hAnsi="Palatino Linotype" w:cs="Palatino Linotype"/>
          <w:noProof/>
        </w:rPr>
        <w:drawing>
          <wp:inline distT="0" distB="0" distL="0" distR="0" wp14:anchorId="69B86BE6" wp14:editId="40DB4F37">
            <wp:extent cx="5612130" cy="177673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76730"/>
                    </a:xfrm>
                    <a:prstGeom prst="rect">
                      <a:avLst/>
                    </a:prstGeom>
                  </pic:spPr>
                </pic:pic>
              </a:graphicData>
            </a:graphic>
          </wp:inline>
        </w:drawing>
      </w:r>
    </w:p>
    <w:p w14:paraId="387AC367" w14:textId="64BF3642" w:rsidR="00B13BBD" w:rsidRPr="00F403D1" w:rsidRDefault="00B13BBD" w:rsidP="00E55F45">
      <w:pPr>
        <w:spacing w:before="240" w:after="360" w:line="360" w:lineRule="auto"/>
        <w:ind w:right="18"/>
        <w:jc w:val="both"/>
        <w:rPr>
          <w:rFonts w:ascii="Palatino Linotype" w:eastAsia="Palatino Linotype" w:hAnsi="Palatino Linotype" w:cs="Palatino Linotype"/>
        </w:rPr>
      </w:pPr>
      <w:r w:rsidRPr="00F403D1">
        <w:rPr>
          <w:rFonts w:ascii="Palatino Linotype" w:eastAsia="Palatino Linotype" w:hAnsi="Palatino Linotype" w:cs="Palatino Linotype"/>
          <w:noProof/>
        </w:rPr>
        <w:drawing>
          <wp:inline distT="0" distB="0" distL="0" distR="0" wp14:anchorId="169173A5" wp14:editId="3F5CE2D1">
            <wp:extent cx="5612130" cy="1769745"/>
            <wp:effectExtent l="0" t="0" r="762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69745"/>
                    </a:xfrm>
                    <a:prstGeom prst="rect">
                      <a:avLst/>
                    </a:prstGeom>
                  </pic:spPr>
                </pic:pic>
              </a:graphicData>
            </a:graphic>
          </wp:inline>
        </w:drawing>
      </w:r>
    </w:p>
    <w:p w14:paraId="69764D7B" w14:textId="602F1CA9" w:rsidR="00B13BBD" w:rsidRPr="00F403D1" w:rsidRDefault="00B13BBD" w:rsidP="00E55F45">
      <w:pPr>
        <w:spacing w:before="240" w:after="360" w:line="360" w:lineRule="auto"/>
        <w:ind w:right="18"/>
        <w:jc w:val="both"/>
        <w:rPr>
          <w:rFonts w:ascii="Palatino Linotype" w:eastAsia="Palatino Linotype" w:hAnsi="Palatino Linotype" w:cs="Palatino Linotype"/>
        </w:rPr>
      </w:pPr>
      <w:r w:rsidRPr="00F403D1">
        <w:rPr>
          <w:rFonts w:ascii="Palatino Linotype" w:eastAsia="Palatino Linotype" w:hAnsi="Palatino Linotype" w:cs="Palatino Linotype"/>
          <w:noProof/>
        </w:rPr>
        <w:drawing>
          <wp:inline distT="0" distB="0" distL="0" distR="0" wp14:anchorId="0A6B6407" wp14:editId="72D871D1">
            <wp:extent cx="5612130" cy="175514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755140"/>
                    </a:xfrm>
                    <a:prstGeom prst="rect">
                      <a:avLst/>
                    </a:prstGeom>
                  </pic:spPr>
                </pic:pic>
              </a:graphicData>
            </a:graphic>
          </wp:inline>
        </w:drawing>
      </w:r>
    </w:p>
    <w:p w14:paraId="74934413" w14:textId="454275CB" w:rsidR="00B13BBD" w:rsidRPr="00F403D1" w:rsidRDefault="00B13BBD" w:rsidP="00E55F45">
      <w:pPr>
        <w:spacing w:before="240" w:after="360" w:line="360" w:lineRule="auto"/>
        <w:ind w:right="18"/>
        <w:jc w:val="both"/>
        <w:rPr>
          <w:rFonts w:ascii="Palatino Linotype" w:eastAsia="Palatino Linotype" w:hAnsi="Palatino Linotype" w:cs="Palatino Linotype"/>
        </w:rPr>
      </w:pPr>
      <w:r w:rsidRPr="00F403D1">
        <w:rPr>
          <w:rFonts w:ascii="Palatino Linotype" w:eastAsia="Palatino Linotype" w:hAnsi="Palatino Linotype" w:cs="Palatino Linotype"/>
          <w:noProof/>
        </w:rPr>
        <w:drawing>
          <wp:inline distT="0" distB="0" distL="0" distR="0" wp14:anchorId="21ADC90F" wp14:editId="12958C57">
            <wp:extent cx="5612130" cy="1781810"/>
            <wp:effectExtent l="0" t="0" r="762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781810"/>
                    </a:xfrm>
                    <a:prstGeom prst="rect">
                      <a:avLst/>
                    </a:prstGeom>
                  </pic:spPr>
                </pic:pic>
              </a:graphicData>
            </a:graphic>
          </wp:inline>
        </w:drawing>
      </w:r>
    </w:p>
    <w:p w14:paraId="3B7F0C2C" w14:textId="000F5D6F" w:rsidR="00B13BBD" w:rsidRPr="00F403D1" w:rsidRDefault="00B13BBD" w:rsidP="00B13BBD">
      <w:pPr>
        <w:spacing w:before="240" w:after="240" w:line="360" w:lineRule="auto"/>
        <w:jc w:val="both"/>
        <w:rPr>
          <w:rFonts w:ascii="Palatino Linotype" w:hAnsi="Palatino Linotype"/>
        </w:rPr>
      </w:pPr>
      <w:r w:rsidRPr="00F403D1">
        <w:rPr>
          <w:rFonts w:ascii="Palatino Linotype" w:eastAsia="Palatino Linotype" w:hAnsi="Palatino Linotype" w:cs="Palatino Linotype"/>
        </w:rPr>
        <w:t xml:space="preserve">Como se puede observar de las imágenes insertas, la persona solicitante requirió la entrega del soporte documental </w:t>
      </w:r>
      <w:r w:rsidRPr="00F403D1">
        <w:rPr>
          <w:rFonts w:ascii="Palatino Linotype" w:hAnsi="Palatino Linotype"/>
        </w:rPr>
        <w:t xml:space="preserve">información a través del sistema SAIMEX, </w:t>
      </w:r>
      <w:r w:rsidR="00673C4B" w:rsidRPr="00F403D1">
        <w:rPr>
          <w:rFonts w:ascii="Palatino Linotype" w:eastAsia="Palatino Linotype" w:hAnsi="Palatino Linotype" w:cs="Palatino Linotype"/>
        </w:rPr>
        <w:t xml:space="preserve">sistema que tiene como propósito facilitar en la entidad el ejercicio del derecho humano de acceso a la información pública, de forma sencilla y gratuita, </w:t>
      </w:r>
      <w:r w:rsidRPr="00F403D1">
        <w:rPr>
          <w:rFonts w:ascii="Palatino Linotype" w:eastAsia="Palatino Linotype" w:hAnsi="Palatino Linotype" w:cs="Palatino Linotype"/>
        </w:rPr>
        <w:t xml:space="preserve">por lo tanto, es evidente que </w:t>
      </w:r>
      <w:r w:rsidRPr="00F403D1">
        <w:rPr>
          <w:rFonts w:ascii="Palatino Linotype" w:hAnsi="Palatino Linotype"/>
        </w:rPr>
        <w:t xml:space="preserve">las razones o motivos de inconformidad alegados devienen fundados en razón de que no le fue proporcionada la información que requirió, a pesar de haber reconocido el </w:t>
      </w:r>
      <w:r w:rsidRPr="00F403D1">
        <w:rPr>
          <w:rFonts w:ascii="Palatino Linotype" w:eastAsia="Palatino Linotype" w:hAnsi="Palatino Linotype" w:cs="Palatino Linotype"/>
          <w:b/>
        </w:rPr>
        <w:t>Sujeto Obligado</w:t>
      </w:r>
      <w:r w:rsidRPr="00F403D1">
        <w:rPr>
          <w:rFonts w:ascii="Palatino Linotype" w:hAnsi="Palatino Linotype"/>
        </w:rPr>
        <w:t>, de manera expresa, que cuenta con ella, por tal motivo el Derecho de acceso no pude tenerse por colmado.</w:t>
      </w:r>
    </w:p>
    <w:p w14:paraId="07A4DA1E" w14:textId="77777777" w:rsidR="00673C4B" w:rsidRPr="00F403D1" w:rsidRDefault="00B13BBD" w:rsidP="00673C4B">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Atento a lo anterior, </w:t>
      </w:r>
      <w:r w:rsidR="00673C4B" w:rsidRPr="00F403D1">
        <w:rPr>
          <w:rFonts w:ascii="Palatino Linotype" w:eastAsia="Palatino Linotype" w:hAnsi="Palatino Linotype" w:cs="Palatino Linotype"/>
        </w:rPr>
        <w:t xml:space="preserve">por lo que respecta al </w:t>
      </w:r>
      <w:r w:rsidR="00673C4B" w:rsidRPr="00F403D1">
        <w:rPr>
          <w:rFonts w:ascii="Palatino Linotype" w:eastAsia="Palatino Linotype" w:hAnsi="Palatino Linotype" w:cs="Palatino Linotype"/>
          <w:b/>
          <w:u w:val="single"/>
        </w:rPr>
        <w:t>cambio de modalidad en la entrega de información</w:t>
      </w:r>
      <w:r w:rsidR="00673C4B" w:rsidRPr="00F403D1">
        <w:rPr>
          <w:rFonts w:ascii="Palatino Linotype" w:eastAsia="Palatino Linotype" w:hAnsi="Palatino Linotype" w:cs="Palatino Linotype"/>
        </w:rPr>
        <w:t xml:space="preserve">, conviene mencionar que el artículo 155, fracción V, de la Ley de Transparencia y Acceso a la Información Pública del Estado de México y Municipios, precisa que, para presentar una solicitud, la persona solicitante podrá señalar </w:t>
      </w:r>
      <w:r w:rsidR="00673C4B" w:rsidRPr="00F403D1">
        <w:rPr>
          <w:rFonts w:ascii="Palatino Linotype" w:eastAsia="Palatino Linotype" w:hAnsi="Palatino Linotype" w:cs="Palatino Linotype"/>
          <w:b/>
        </w:rPr>
        <w:t>la modalidad en la que prefiere se otorgue el acceso a la información</w:t>
      </w:r>
      <w:r w:rsidR="00673C4B" w:rsidRPr="00F403D1">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 En la entidad, el Organismo Garante determinó en el formato de solicitud, que podría ser SAIMEX, CD-ROM (con costo), copias simples (con costo), copias certificadas (con costo), consulta directa (sin costo), o bien, cualquier otro que determine la persona solicitante.</w:t>
      </w:r>
    </w:p>
    <w:p w14:paraId="5A5068A5" w14:textId="77777777" w:rsidR="00673C4B" w:rsidRPr="00F403D1" w:rsidRDefault="00673C4B" w:rsidP="00673C4B">
      <w:pPr>
        <w:spacing w:before="240" w:after="240" w:line="360" w:lineRule="auto"/>
        <w:jc w:val="both"/>
        <w:rPr>
          <w:rFonts w:ascii="Palatino Linotype" w:eastAsia="Palatino Linotype" w:hAnsi="Palatino Linotype" w:cs="Palatino Linotype"/>
          <w:b/>
        </w:rPr>
      </w:pPr>
      <w:r w:rsidRPr="00F403D1">
        <w:rPr>
          <w:rFonts w:ascii="Palatino Linotype" w:eastAsia="Palatino Linotype" w:hAnsi="Palatino Linotype" w:cs="Palatino Linotype"/>
        </w:rPr>
        <w:t xml:space="preserve">Por su parte, el artículo 158, dispone que, de manera excepcional, cuando de manera fundada y motivada lo determine el Sujeto Obligado, </w:t>
      </w:r>
      <w:r w:rsidRPr="00F403D1">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59CB612D" w14:textId="77777777" w:rsidR="00673C4B" w:rsidRPr="00F403D1" w:rsidRDefault="00673C4B" w:rsidP="00673C4B">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De modo que el acceso a la información debe darse en la modalidad de entrega elegida por la persona solicitante, y sólo para los casos en que se encuentren impedidos los sujetos obligados podrán ofrecer otra u otras modalidades, sin embargo, se debe fundar y motivar adecuadamente el cambio de modalidad en la entrega de la información,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6A5BD004" w14:textId="77777777" w:rsidR="00673C4B" w:rsidRPr="00F403D1" w:rsidRDefault="00673C4B" w:rsidP="00673C4B">
      <w:pPr>
        <w:spacing w:before="120" w:after="120"/>
        <w:ind w:left="851" w:right="900"/>
        <w:jc w:val="both"/>
        <w:rPr>
          <w:rFonts w:ascii="Palatino Linotype" w:eastAsia="Palatino Linotype" w:hAnsi="Palatino Linotype" w:cs="Palatino Linotype"/>
          <w:i/>
        </w:rPr>
      </w:pPr>
      <w:r w:rsidRPr="00F403D1">
        <w:rPr>
          <w:rFonts w:ascii="Palatino Linotype" w:eastAsia="Palatino Linotype" w:hAnsi="Palatino Linotype" w:cs="Palatino Linotype"/>
          <w:b/>
          <w:i/>
        </w:rPr>
        <w:t>“FUNDAMENTACIÓN Y MOTIVACIÓN DE LOS ACTOS ADMINISTRATIVOS</w:t>
      </w:r>
      <w:r w:rsidRPr="00F403D1">
        <w:rPr>
          <w:rFonts w:ascii="Palatino Linotype" w:eastAsia="Palatino Linotype" w:hAnsi="Palatino Linotype" w:cs="Palatino Linotype"/>
          <w:i/>
        </w:rPr>
        <w:t>.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5F480D08" w14:textId="77777777" w:rsidR="00673C4B" w:rsidRPr="00F403D1" w:rsidRDefault="00673C4B" w:rsidP="00673C4B">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En ese entendido, según lo dispuesto en los artículos 160 y 164 de la Ley en cita,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6A28D51A" w14:textId="77777777" w:rsidR="00673C4B" w:rsidRPr="00F403D1" w:rsidRDefault="00673C4B" w:rsidP="00673C4B">
      <w:pPr>
        <w:spacing w:before="120" w:after="120"/>
        <w:ind w:left="851" w:right="851"/>
        <w:jc w:val="both"/>
        <w:rPr>
          <w:rFonts w:ascii="Palatino Linotype" w:eastAsia="Palatino Linotype" w:hAnsi="Palatino Linotype" w:cs="Palatino Linotype"/>
          <w:i/>
        </w:rPr>
      </w:pPr>
      <w:r w:rsidRPr="00F403D1">
        <w:rPr>
          <w:rFonts w:ascii="Palatino Linotype" w:eastAsia="Palatino Linotype" w:hAnsi="Palatino Linotype" w:cs="Palatino Linotype"/>
        </w:rPr>
        <w:t>“</w:t>
      </w:r>
      <w:r w:rsidRPr="00F403D1">
        <w:rPr>
          <w:rFonts w:ascii="Palatino Linotype" w:eastAsia="Palatino Linotype" w:hAnsi="Palatino Linotype" w:cs="Palatino Linotype"/>
          <w:b/>
          <w:i/>
        </w:rPr>
        <w:t>Artículo 160.</w:t>
      </w:r>
      <w:r w:rsidRPr="00F403D1">
        <w:rPr>
          <w:rFonts w:ascii="Palatino Linotype" w:eastAsia="Palatino Linotype" w:hAnsi="Palatino Linotype" w:cs="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B84478C" w14:textId="77777777" w:rsidR="00673C4B" w:rsidRPr="00F403D1" w:rsidRDefault="00673C4B" w:rsidP="00673C4B">
      <w:pPr>
        <w:spacing w:before="120" w:after="120"/>
        <w:ind w:left="851" w:right="851"/>
        <w:jc w:val="both"/>
        <w:rPr>
          <w:rFonts w:ascii="Palatino Linotype" w:eastAsia="Palatino Linotype" w:hAnsi="Palatino Linotype" w:cs="Palatino Linotype"/>
          <w:i/>
        </w:rPr>
      </w:pPr>
      <w:r w:rsidRPr="00F403D1">
        <w:rPr>
          <w:rFonts w:ascii="Palatino Linotype" w:eastAsia="Palatino Linotype" w:hAnsi="Palatino Linotype" w:cs="Palatino Linotype"/>
          <w:b/>
          <w:i/>
        </w:rPr>
        <w:t>Artículo 164.</w:t>
      </w:r>
      <w:r w:rsidRPr="00F403D1">
        <w:rPr>
          <w:rFonts w:ascii="Palatino Linotype" w:eastAsia="Palatino Linotype" w:hAnsi="Palatino Linotype" w:cs="Palatino Linotype"/>
          <w:i/>
        </w:rPr>
        <w:t xml:space="preserve"> El acceso se dará en la modalidad de entrega y, en su caso, de envío elegidos por el solicitante. Cuando la información no pueda entregarse o enviarse en la modalidad solicitada, </w:t>
      </w:r>
      <w:r w:rsidRPr="00F403D1">
        <w:rPr>
          <w:rFonts w:ascii="Palatino Linotype" w:eastAsia="Palatino Linotype" w:hAnsi="Palatino Linotype" w:cs="Palatino Linotype"/>
          <w:b/>
          <w:i/>
          <w:u w:val="single"/>
        </w:rPr>
        <w:t>el sujeto obligado deberá ofrecer otra u otras modalidades de entrega.</w:t>
      </w:r>
      <w:r w:rsidRPr="00F403D1">
        <w:rPr>
          <w:rFonts w:ascii="Palatino Linotype" w:eastAsia="Palatino Linotype" w:hAnsi="Palatino Linotype" w:cs="Palatino Linotype"/>
          <w:i/>
        </w:rPr>
        <w:t xml:space="preserve"> En cualquier caso, se deberá fundar y motivar la necesidad de ofrecer otras modalidades.”</w:t>
      </w:r>
    </w:p>
    <w:p w14:paraId="5CB99E6C" w14:textId="77777777" w:rsidR="00673C4B" w:rsidRPr="00F403D1" w:rsidRDefault="00673C4B" w:rsidP="00673C4B">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Por lo cual, los Sujetos Obligados podrán poner a disposición,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57FF89E6" w14:textId="77777777" w:rsidR="00673C4B" w:rsidRPr="00F403D1" w:rsidRDefault="00673C4B" w:rsidP="00673C4B">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Por otro lado, el artículo 174 de la ley de la materia, indica que los costos de reproducción y, en su caso, de envío para la obtención de la información deberán ser cubiertos por la persona solicitante de manera previa a la entrega por parte del Sujeto Obligado. </w:t>
      </w:r>
    </w:p>
    <w:p w14:paraId="015A0F48" w14:textId="77777777" w:rsidR="00673C4B" w:rsidRPr="00F403D1" w:rsidRDefault="00673C4B" w:rsidP="00673C4B">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En tales consideraciones, la entrega deberá hacerse, </w:t>
      </w:r>
      <w:r w:rsidRPr="00F403D1">
        <w:rPr>
          <w:rFonts w:ascii="Palatino Linotype" w:eastAsia="Palatino Linotype" w:hAnsi="Palatino Linotype" w:cs="Palatino Linotype"/>
          <w:b/>
        </w:rPr>
        <w:t>en la medida de lo posible, en la forma solicitada por el interesado, salvo que exista un impedimento justificado para atenderla</w:t>
      </w:r>
      <w:r w:rsidRPr="00F403D1">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sidRPr="00F403D1">
        <w:rPr>
          <w:rFonts w:ascii="Palatino Linotype" w:eastAsia="Palatino Linotype" w:hAnsi="Palatino Linotype" w:cs="Palatino Linotype"/>
          <w:b/>
        </w:rPr>
        <w:t>sólo procede, en caso de que se acredite la imposibilidad de atenderla.</w:t>
      </w:r>
      <w:r w:rsidRPr="00F403D1">
        <w:rPr>
          <w:rFonts w:ascii="Palatino Linotype" w:eastAsia="Palatino Linotype" w:hAnsi="Palatino Linotype" w:cs="Palatino Linotype"/>
        </w:rPr>
        <w:t xml:space="preserve"> </w:t>
      </w:r>
    </w:p>
    <w:p w14:paraId="7708DEA5" w14:textId="77777777" w:rsidR="00673C4B" w:rsidRPr="00F403D1" w:rsidRDefault="00673C4B" w:rsidP="00673C4B">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Así, cuando se justifique el impedimento, </w:t>
      </w:r>
      <w:r w:rsidRPr="00F403D1">
        <w:rPr>
          <w:rFonts w:ascii="Palatino Linotype" w:eastAsia="Palatino Linotype" w:hAnsi="Palatino Linotype" w:cs="Palatino Linotype"/>
          <w:b/>
        </w:rPr>
        <w:t>los Sujetos Obligados deberán ofrecer al particular otras modalidades de entrega que permita la información</w:t>
      </w:r>
      <w:r w:rsidRPr="00F403D1">
        <w:rPr>
          <w:rFonts w:ascii="Palatino Linotype" w:eastAsia="Palatino Linotype" w:hAnsi="Palatino Linotype" w:cs="Palatino Linotype"/>
        </w:rPr>
        <w:t>, como consulta directa en las oficinas de la Unidad de Transparencia, la expedición de copias simples o certificadas, o la reproducción en cualquier otro medio, incluidos los electrónicos, lo que se robustece con el criterio 08/17, emitido por el Pleno del Instituto Nacional de Transparencia, Acceso a la Información y Protección de Datos Personales, el cual establece lo siguiente:</w:t>
      </w:r>
    </w:p>
    <w:p w14:paraId="2A526790" w14:textId="77777777" w:rsidR="00673C4B" w:rsidRPr="00F403D1" w:rsidRDefault="00673C4B" w:rsidP="00673C4B">
      <w:pPr>
        <w:spacing w:before="120" w:after="120"/>
        <w:ind w:left="851" w:right="851"/>
        <w:jc w:val="both"/>
        <w:rPr>
          <w:rFonts w:ascii="Palatino Linotype" w:eastAsia="Palatino Linotype" w:hAnsi="Palatino Linotype" w:cs="Palatino Linotype"/>
          <w:b/>
          <w:i/>
          <w:u w:val="single"/>
        </w:rPr>
      </w:pPr>
      <w:r w:rsidRPr="00F403D1">
        <w:rPr>
          <w:rFonts w:ascii="Palatino Linotype" w:eastAsia="Palatino Linotype" w:hAnsi="Palatino Linotype" w:cs="Palatino Linotype"/>
          <w:b/>
          <w:i/>
        </w:rPr>
        <w:t>“Modalidad de entrega. Procedencia de proporcionar la información solicitada en una diversa a la elegida por el solicitante.</w:t>
      </w:r>
      <w:r w:rsidRPr="00F403D1">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w:t>
      </w:r>
      <w:r w:rsidRPr="00F403D1">
        <w:rPr>
          <w:rFonts w:ascii="Palatino Linotype" w:eastAsia="Palatino Linotype" w:hAnsi="Palatino Linotype" w:cs="Palatino Linotype"/>
          <w:b/>
          <w:i/>
          <w:u w:val="single"/>
        </w:rPr>
        <w:t>en todas las modalidades que permita el documento de que se trate, procurando reducir, en todo momento, los costos de entrega</w:t>
      </w:r>
      <w:r w:rsidRPr="00F403D1">
        <w:rPr>
          <w:rFonts w:ascii="Palatino Linotype" w:eastAsia="Palatino Linotype" w:hAnsi="Palatino Linotype" w:cs="Palatino Linotype"/>
          <w:b/>
          <w:i/>
        </w:rPr>
        <w:t>.”</w:t>
      </w:r>
    </w:p>
    <w:p w14:paraId="365BDBDA" w14:textId="77777777" w:rsidR="00673C4B" w:rsidRPr="00F403D1" w:rsidRDefault="00673C4B" w:rsidP="00673C4B">
      <w:pPr>
        <w:spacing w:before="240" w:after="240" w:line="360" w:lineRule="auto"/>
        <w:jc w:val="both"/>
        <w:rPr>
          <w:rFonts w:ascii="Palatino Linotype" w:eastAsia="Palatino Linotype" w:hAnsi="Palatino Linotype" w:cs="Palatino Linotype"/>
          <w:b/>
        </w:rPr>
      </w:pPr>
      <w:r w:rsidRPr="00F403D1">
        <w:rPr>
          <w:rFonts w:ascii="Palatino Linotype" w:eastAsia="Palatino Linotype" w:hAnsi="Palatino Linotype" w:cs="Palatino Linotype"/>
        </w:rPr>
        <w:t>Del citado criterio, se desprende que cuando</w:t>
      </w:r>
      <w:r w:rsidRPr="00F403D1">
        <w:rPr>
          <w:rFonts w:ascii="Palatino Linotype" w:eastAsia="Palatino Linotype" w:hAnsi="Palatino Linotype" w:cs="Palatino Linotype"/>
          <w:b/>
        </w:rPr>
        <w:t xml:space="preserve"> la información no pueda entregarse o enviarse en la modalidad elegida, </w:t>
      </w:r>
      <w:r w:rsidRPr="00F403D1">
        <w:rPr>
          <w:rFonts w:ascii="Palatino Linotype" w:eastAsia="Palatino Linotype" w:hAnsi="Palatino Linotype" w:cs="Palatino Linotype"/>
        </w:rPr>
        <w:t xml:space="preserve">para que la obligación de acceso a la información se tenga por cumplida, </w:t>
      </w:r>
      <w:r w:rsidRPr="00F403D1">
        <w:rPr>
          <w:rFonts w:ascii="Palatino Linotype" w:eastAsia="Palatino Linotype" w:hAnsi="Palatino Linotype" w:cs="Palatino Linotype"/>
          <w:b/>
        </w:rPr>
        <w:t>el Sujeto Obligado deberá ofrecer otra u otras modalidades de entrega.</w:t>
      </w:r>
      <w:r w:rsidRPr="00F403D1">
        <w:rPr>
          <w:rFonts w:ascii="Palatino Linotype" w:eastAsia="Palatino Linotype" w:hAnsi="Palatino Linotype" w:cs="Palatino Linotype"/>
        </w:rPr>
        <w:t xml:space="preserve"> En cualquier caso, </w:t>
      </w:r>
      <w:r w:rsidRPr="00F403D1">
        <w:rPr>
          <w:rFonts w:ascii="Palatino Linotype" w:eastAsia="Palatino Linotype" w:hAnsi="Palatino Linotype" w:cs="Palatino Linotype"/>
          <w:b/>
        </w:rPr>
        <w:t>se deberá fundar y motivar la necesidad de ofrecer otras modalidades</w:t>
      </w:r>
      <w:r w:rsidRPr="00F403D1">
        <w:rPr>
          <w:rFonts w:ascii="Palatino Linotype" w:eastAsia="Palatino Linotype" w:hAnsi="Palatino Linotype" w:cs="Palatino Linotype"/>
        </w:rPr>
        <w:t xml:space="preserve"> que lo permitan, </w:t>
      </w:r>
      <w:r w:rsidRPr="00F403D1">
        <w:rPr>
          <w:rFonts w:ascii="Palatino Linotype" w:eastAsia="Palatino Linotype" w:hAnsi="Palatino Linotype" w:cs="Palatino Linotype"/>
          <w:b/>
        </w:rPr>
        <w:t>procurando reducir los costos de entrega.</w:t>
      </w:r>
    </w:p>
    <w:p w14:paraId="7D0DFA2E" w14:textId="77777777" w:rsidR="00673C4B" w:rsidRPr="00F403D1" w:rsidRDefault="00673C4B" w:rsidP="00673C4B">
      <w:pPr>
        <w:spacing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1C43BB90" w14:textId="77777777" w:rsidR="00673C4B" w:rsidRPr="00F403D1" w:rsidRDefault="00673C4B" w:rsidP="00673C4B">
      <w:pPr>
        <w:numPr>
          <w:ilvl w:val="0"/>
          <w:numId w:val="7"/>
        </w:numPr>
        <w:pBdr>
          <w:top w:val="nil"/>
          <w:left w:val="nil"/>
          <w:bottom w:val="nil"/>
          <w:right w:val="nil"/>
          <w:between w:val="nil"/>
        </w:pBdr>
        <w:tabs>
          <w:tab w:val="left" w:pos="567"/>
        </w:tabs>
        <w:spacing w:before="240" w:after="240" w:line="360" w:lineRule="auto"/>
        <w:ind w:left="284" w:firstLine="0"/>
        <w:jc w:val="both"/>
        <w:rPr>
          <w:rFonts w:ascii="Palatino Linotype" w:eastAsia="Palatino Linotype" w:hAnsi="Palatino Linotype" w:cs="Palatino Linotype"/>
        </w:rPr>
      </w:pPr>
      <w:r w:rsidRPr="00F403D1">
        <w:rPr>
          <w:rFonts w:ascii="Palatino Linotype" w:eastAsia="Palatino Linotype" w:hAnsi="Palatino Linotype" w:cs="Palatino Linotype"/>
        </w:rPr>
        <w:t>Las razones por las cuales la información implicaba un análisis, estudio o procesamiento de datos;</w:t>
      </w:r>
    </w:p>
    <w:p w14:paraId="6D7F38BC" w14:textId="77777777" w:rsidR="00673C4B" w:rsidRPr="00F403D1" w:rsidRDefault="00673C4B" w:rsidP="00673C4B">
      <w:pPr>
        <w:numPr>
          <w:ilvl w:val="0"/>
          <w:numId w:val="7"/>
        </w:numPr>
        <w:pBdr>
          <w:top w:val="nil"/>
          <w:left w:val="nil"/>
          <w:bottom w:val="nil"/>
          <w:right w:val="nil"/>
          <w:between w:val="nil"/>
        </w:pBdr>
        <w:tabs>
          <w:tab w:val="left" w:pos="567"/>
        </w:tabs>
        <w:spacing w:before="240" w:after="240" w:line="360" w:lineRule="auto"/>
        <w:ind w:left="284" w:firstLine="0"/>
        <w:jc w:val="both"/>
        <w:rPr>
          <w:rFonts w:ascii="Palatino Linotype" w:eastAsia="Palatino Linotype" w:hAnsi="Palatino Linotype" w:cs="Palatino Linotype"/>
        </w:rPr>
      </w:pPr>
      <w:r w:rsidRPr="00F403D1">
        <w:rPr>
          <w:rFonts w:ascii="Palatino Linotype" w:eastAsia="Palatino Linotype" w:hAnsi="Palatino Linotype" w:cs="Palatino Linotype"/>
        </w:rPr>
        <w:t>El tiempo no es suficiente para atender la solicitud en la modalidad elegida, y</w:t>
      </w:r>
    </w:p>
    <w:p w14:paraId="44B071B1" w14:textId="77777777" w:rsidR="00673C4B" w:rsidRPr="00F403D1" w:rsidRDefault="00673C4B" w:rsidP="00673C4B">
      <w:pPr>
        <w:numPr>
          <w:ilvl w:val="0"/>
          <w:numId w:val="7"/>
        </w:numPr>
        <w:pBdr>
          <w:top w:val="nil"/>
          <w:left w:val="nil"/>
          <w:bottom w:val="nil"/>
          <w:right w:val="nil"/>
          <w:between w:val="nil"/>
        </w:pBdr>
        <w:tabs>
          <w:tab w:val="left" w:pos="567"/>
        </w:tabs>
        <w:spacing w:before="240" w:after="240" w:line="360" w:lineRule="auto"/>
        <w:ind w:left="284" w:firstLine="0"/>
        <w:jc w:val="both"/>
        <w:rPr>
          <w:rFonts w:ascii="Palatino Linotype" w:eastAsia="Palatino Linotype" w:hAnsi="Palatino Linotype" w:cs="Palatino Linotype"/>
        </w:rPr>
      </w:pPr>
      <w:r w:rsidRPr="00F403D1">
        <w:rPr>
          <w:rFonts w:ascii="Palatino Linotype" w:eastAsia="Palatino Linotype" w:hAnsi="Palatino Linotype" w:cs="Palatino Linotype"/>
        </w:rPr>
        <w:t>La cantidad de recursos humanos y materiales con los que cuenta el Sujeto Obligado son insuficientes.</w:t>
      </w:r>
    </w:p>
    <w:p w14:paraId="400674A2" w14:textId="77777777" w:rsidR="00673C4B" w:rsidRPr="00F403D1" w:rsidRDefault="00673C4B" w:rsidP="00673C4B">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Aunado a lo descrito, es de señalar que el Organismo Garante Nacional, ha considerado que no resulta suficiente justificar una imposibilidad técnica y humana para acreditar un cambio de modalidad, sino que es necesario demostrar otros impedimentos como la cantidad y formato de la documentación, que fuera de imposible reproducción en el medio elegido por los solicitantes, que la información ameritara el cruce de información en los sistemas de datos, entre otros; con el fin de privilegiar el Principio de Gratuidad y Máxima Publicidad; argumentos que encuentran sustento dentro diversas de sus resoluciones de Recursos de Inconformidad como el RIA 136/20, RIA 140/20, RIA 153/20 RIA 237/20, RIA 257/20, RIA 258/20, entre otros.</w:t>
      </w:r>
    </w:p>
    <w:p w14:paraId="7070D545" w14:textId="0A31638C" w:rsidR="00891223" w:rsidRPr="00F403D1" w:rsidRDefault="00673C4B" w:rsidP="00673C4B">
      <w:pPr>
        <w:spacing w:before="240" w:after="240" w:line="360" w:lineRule="auto"/>
        <w:jc w:val="both"/>
        <w:rPr>
          <w:rFonts w:ascii="Palatino Linotype" w:hAnsi="Palatino Linotype"/>
        </w:rPr>
      </w:pPr>
      <w:r w:rsidRPr="00F403D1">
        <w:rPr>
          <w:rFonts w:ascii="Palatino Linotype" w:eastAsia="Palatino Linotype" w:hAnsi="Palatino Linotype" w:cs="Palatino Linotype"/>
        </w:rPr>
        <w:t>En este tenor, en</w:t>
      </w:r>
      <w:r w:rsidR="00455D74" w:rsidRPr="00F403D1">
        <w:rPr>
          <w:rFonts w:ascii="Palatino Linotype" w:eastAsia="Palatino Linotype" w:hAnsi="Palatino Linotype" w:cs="Palatino Linotype"/>
        </w:rPr>
        <w:t xml:space="preserve"> el presente asunto, </w:t>
      </w:r>
      <w:r w:rsidR="00C94A31" w:rsidRPr="00F403D1">
        <w:rPr>
          <w:rFonts w:ascii="Palatino Linotype" w:eastAsia="Palatino Linotype" w:hAnsi="Palatino Linotype" w:cs="Palatino Linotype"/>
        </w:rPr>
        <w:t xml:space="preserve">el </w:t>
      </w:r>
      <w:r w:rsidR="00C94A31" w:rsidRPr="00F403D1">
        <w:rPr>
          <w:rFonts w:ascii="Palatino Linotype" w:eastAsia="Palatino Linotype" w:hAnsi="Palatino Linotype" w:cs="Palatino Linotype"/>
          <w:b/>
        </w:rPr>
        <w:t>Sujeto Obligado</w:t>
      </w:r>
      <w:r w:rsidR="007A399E" w:rsidRPr="00F403D1">
        <w:rPr>
          <w:rFonts w:ascii="Palatino Linotype" w:eastAsia="Palatino Linotype" w:hAnsi="Palatino Linotype" w:cs="Palatino Linotype"/>
          <w:b/>
        </w:rPr>
        <w:t xml:space="preserve">, </w:t>
      </w:r>
      <w:r w:rsidR="007E0D90" w:rsidRPr="00F403D1">
        <w:rPr>
          <w:rFonts w:ascii="Palatino Linotype" w:eastAsia="Palatino Linotype" w:hAnsi="Palatino Linotype" w:cs="Palatino Linotype"/>
        </w:rPr>
        <w:t xml:space="preserve">justificó la necesidad del </w:t>
      </w:r>
      <w:r w:rsidR="00B844B7" w:rsidRPr="00F403D1">
        <w:rPr>
          <w:rFonts w:ascii="Palatino Linotype" w:eastAsia="Palatino Linotype" w:hAnsi="Palatino Linotype" w:cs="Palatino Linotype"/>
        </w:rPr>
        <w:t xml:space="preserve">cambio de modalidad en </w:t>
      </w:r>
      <w:r w:rsidR="00CE7980" w:rsidRPr="00F403D1">
        <w:rPr>
          <w:rFonts w:ascii="Palatino Linotype" w:eastAsia="Palatino Linotype" w:hAnsi="Palatino Linotype" w:cs="Palatino Linotype"/>
        </w:rPr>
        <w:t>la carga de trabajo</w:t>
      </w:r>
      <w:r w:rsidR="00B844B7" w:rsidRPr="00F403D1">
        <w:rPr>
          <w:rFonts w:ascii="Palatino Linotype" w:eastAsia="Palatino Linotype" w:hAnsi="Palatino Linotype" w:cs="Palatino Linotype"/>
        </w:rPr>
        <w:t xml:space="preserve"> del personal adscrito a</w:t>
      </w:r>
      <w:r w:rsidR="00CE7980" w:rsidRPr="00F403D1">
        <w:rPr>
          <w:rFonts w:ascii="Palatino Linotype" w:eastAsia="Palatino Linotype" w:hAnsi="Palatino Linotype" w:cs="Palatino Linotype"/>
        </w:rPr>
        <w:t xml:space="preserve"> la Tesorería Municipal</w:t>
      </w:r>
      <w:r w:rsidR="00666F39" w:rsidRPr="00F403D1">
        <w:rPr>
          <w:rFonts w:ascii="Palatino Linotype" w:eastAsia="Palatino Linotype" w:hAnsi="Palatino Linotype" w:cs="Palatino Linotype"/>
        </w:rPr>
        <w:t>, el cual además de atender las solicitudes de acceso a la información</w:t>
      </w:r>
      <w:r w:rsidR="000D59FE" w:rsidRPr="00F403D1">
        <w:rPr>
          <w:rFonts w:ascii="Palatino Linotype" w:eastAsia="Palatino Linotype" w:hAnsi="Palatino Linotype" w:cs="Palatino Linotype"/>
        </w:rPr>
        <w:t>,</w:t>
      </w:r>
      <w:r w:rsidR="00666F39" w:rsidRPr="00F403D1">
        <w:rPr>
          <w:rFonts w:ascii="Palatino Linotype" w:eastAsia="Palatino Linotype" w:hAnsi="Palatino Linotype" w:cs="Palatino Linotype"/>
        </w:rPr>
        <w:t xml:space="preserve"> tiene encomendadas</w:t>
      </w:r>
      <w:r w:rsidR="000D59FE" w:rsidRPr="00F403D1">
        <w:rPr>
          <w:rFonts w:ascii="Palatino Linotype" w:eastAsia="Palatino Linotype" w:hAnsi="Palatino Linotype" w:cs="Palatino Linotype"/>
        </w:rPr>
        <w:t xml:space="preserve"> otras atribuciones propias del área, como </w:t>
      </w:r>
      <w:r w:rsidR="000D59FE" w:rsidRPr="00F403D1">
        <w:rPr>
          <w:rFonts w:ascii="Palatino Linotype" w:hAnsi="Palatino Linotype"/>
        </w:rPr>
        <w:t>la revisión e integración del Informe Trimestral que es entregado al Órgano Superior de Fiscalización del Estado de México</w:t>
      </w:r>
      <w:r w:rsidR="00D70819" w:rsidRPr="00F403D1">
        <w:rPr>
          <w:rFonts w:ascii="Palatino Linotype" w:hAnsi="Palatino Linotype"/>
        </w:rPr>
        <w:t>, no obstante, para atender el presente asunto,</w:t>
      </w:r>
      <w:r w:rsidR="00F17348" w:rsidRPr="00F403D1">
        <w:rPr>
          <w:rFonts w:ascii="Palatino Linotype" w:hAnsi="Palatino Linotype"/>
        </w:rPr>
        <w:t xml:space="preserve"> dado que la información contiene datos personales como son el nombre del banco de depósito, número de cuenta de depósito, CURP, RFC, entre otros, información considerada como confidencial, además, de contener también el nombre de los elementos operativos de la Dirección Seguridad Ciudadana y Movilidad de este municipio, dato que a razón de las implicaciones que pudieran derivase de su publicación pudieran afectar la integridad y/o la vida de estos servidores públicos, información considerada como reservada, razón por la cual </w:t>
      </w:r>
      <w:r w:rsidR="00D70819" w:rsidRPr="00F403D1">
        <w:rPr>
          <w:rFonts w:ascii="Palatino Linotype" w:hAnsi="Palatino Linotype"/>
        </w:rPr>
        <w:t>se debía</w:t>
      </w:r>
      <w:r w:rsidR="00F77A0F" w:rsidRPr="00F403D1">
        <w:rPr>
          <w:rFonts w:ascii="Palatino Linotype" w:hAnsi="Palatino Linotype"/>
        </w:rPr>
        <w:t>n</w:t>
      </w:r>
      <w:r w:rsidR="00D70819" w:rsidRPr="00F403D1">
        <w:rPr>
          <w:rFonts w:ascii="Palatino Linotype" w:hAnsi="Palatino Linotype"/>
        </w:rPr>
        <w:t xml:space="preserve"> revisar </w:t>
      </w:r>
      <w:r w:rsidR="00F77A0F" w:rsidRPr="00F403D1">
        <w:rPr>
          <w:rFonts w:ascii="Palatino Linotype" w:hAnsi="Palatino Linotype"/>
        </w:rPr>
        <w:t>y analizar los documentos</w:t>
      </w:r>
      <w:r w:rsidR="00D70819" w:rsidRPr="00F403D1">
        <w:rPr>
          <w:rFonts w:ascii="Palatino Linotype" w:hAnsi="Palatino Linotype"/>
        </w:rPr>
        <w:t xml:space="preserve"> y elaborar </w:t>
      </w:r>
      <w:r w:rsidR="00F17348" w:rsidRPr="00F403D1">
        <w:rPr>
          <w:rFonts w:ascii="Palatino Linotype" w:hAnsi="Palatino Linotype"/>
        </w:rPr>
        <w:t>las versiones públicas correspondientes.</w:t>
      </w:r>
    </w:p>
    <w:p w14:paraId="791DA495" w14:textId="09CD8F5F" w:rsidR="00D565CE" w:rsidRPr="00F403D1" w:rsidRDefault="00A472FC" w:rsidP="00673C4B">
      <w:pPr>
        <w:spacing w:before="240" w:after="240" w:line="360" w:lineRule="auto"/>
        <w:jc w:val="both"/>
        <w:rPr>
          <w:rFonts w:ascii="Palatino Linotype" w:hAnsi="Palatino Linotype"/>
        </w:rPr>
      </w:pPr>
      <w:r w:rsidRPr="00F403D1">
        <w:rPr>
          <w:rFonts w:ascii="Palatino Linotype" w:hAnsi="Palatino Linotype"/>
        </w:rPr>
        <w:t xml:space="preserve">Sin embargo, no señaló de manera clara el número de hojas en </w:t>
      </w:r>
      <w:r w:rsidR="007E49DF" w:rsidRPr="00F403D1">
        <w:rPr>
          <w:rFonts w:ascii="Palatino Linotype" w:hAnsi="Palatino Linotype"/>
        </w:rPr>
        <w:t>que integran la información o el peso de la misma,</w:t>
      </w:r>
      <w:r w:rsidR="00B27862" w:rsidRPr="00F403D1">
        <w:rPr>
          <w:rFonts w:ascii="Palatino Linotype" w:hAnsi="Palatino Linotype"/>
        </w:rPr>
        <w:t xml:space="preserve"> </w:t>
      </w:r>
      <w:r w:rsidR="00D565CE" w:rsidRPr="00F403D1">
        <w:rPr>
          <w:rFonts w:ascii="Palatino Linotype" w:hAnsi="Palatino Linotype"/>
        </w:rPr>
        <w:t>lo cual</w:t>
      </w:r>
      <w:r w:rsidR="00B27862" w:rsidRPr="00F403D1">
        <w:rPr>
          <w:rFonts w:ascii="Palatino Linotype" w:hAnsi="Palatino Linotype"/>
        </w:rPr>
        <w:t xml:space="preserve">, en caso de rebasar las 8,000 hojas o el peso de 500 Mb, </w:t>
      </w:r>
      <w:r w:rsidR="007E49DF" w:rsidRPr="00F403D1">
        <w:rPr>
          <w:rFonts w:ascii="Palatino Linotype" w:hAnsi="Palatino Linotype"/>
        </w:rPr>
        <w:t>justificar</w:t>
      </w:r>
      <w:r w:rsidR="00B27862" w:rsidRPr="00F403D1">
        <w:rPr>
          <w:rFonts w:ascii="Palatino Linotype" w:hAnsi="Palatino Linotype"/>
        </w:rPr>
        <w:t>í</w:t>
      </w:r>
      <w:r w:rsidR="007E49DF" w:rsidRPr="00F403D1">
        <w:rPr>
          <w:rFonts w:ascii="Palatino Linotype" w:hAnsi="Palatino Linotype"/>
        </w:rPr>
        <w:t xml:space="preserve">a </w:t>
      </w:r>
      <w:r w:rsidR="002A6C21" w:rsidRPr="00F403D1">
        <w:rPr>
          <w:rFonts w:ascii="Palatino Linotype" w:hAnsi="Palatino Linotype"/>
        </w:rPr>
        <w:t xml:space="preserve">la </w:t>
      </w:r>
      <w:r w:rsidR="00D565CE" w:rsidRPr="00F403D1">
        <w:rPr>
          <w:rFonts w:ascii="Palatino Linotype" w:hAnsi="Palatino Linotype"/>
        </w:rPr>
        <w:t>imposibilidad técnica para proporcionar la información por medio del SAIMEX.</w:t>
      </w:r>
    </w:p>
    <w:p w14:paraId="048050BB" w14:textId="77777777" w:rsidR="00F77A0F" w:rsidRPr="00F403D1" w:rsidRDefault="00F77A0F" w:rsidP="00F77A0F">
      <w:pPr>
        <w:spacing w:before="240" w:after="240" w:line="360" w:lineRule="auto"/>
        <w:ind w:right="49"/>
        <w:jc w:val="both"/>
        <w:rPr>
          <w:rFonts w:ascii="Palatino Linotype" w:eastAsia="Palatino Linotype" w:hAnsi="Palatino Linotype" w:cs="Palatino Linotype"/>
        </w:rPr>
      </w:pPr>
      <w:r w:rsidRPr="00F403D1">
        <w:rPr>
          <w:rFonts w:ascii="Palatino Linotype" w:hAnsi="Palatino Linotype"/>
        </w:rPr>
        <w:t xml:space="preserve">Como sustento a lo anterior, </w:t>
      </w:r>
      <w:r w:rsidRPr="00F403D1">
        <w:rPr>
          <w:rFonts w:ascii="Palatino Linotype" w:eastAsia="Palatino Linotype" w:hAnsi="Palatino Linotype" w:cs="Palatino Linotype"/>
        </w:rPr>
        <w:t xml:space="preserve">es oportuno mencionar que en diversas solicitudes de reportes de incidencia, derivado de la sustanciación de diversos recursos de revisión, la Dirección General Informática de este Instituto ha hecho saber que el sistema SAIMEX, </w:t>
      </w:r>
      <w:r w:rsidRPr="00F403D1">
        <w:rPr>
          <w:rFonts w:ascii="Palatino Linotype" w:eastAsia="Palatino Linotype" w:hAnsi="Palatino Linotype" w:cs="Palatino Linotype"/>
          <w:b/>
        </w:rPr>
        <w:t xml:space="preserve">tiene un soporte tecnológico para que se puedan adjuntar archivos con un peso aproximado de 500Mb o su equivalente de hasta 8,000 hojas </w:t>
      </w:r>
      <w:r w:rsidRPr="00F403D1">
        <w:rPr>
          <w:rFonts w:ascii="Palatino Linotype" w:eastAsia="Palatino Linotype" w:hAnsi="Palatino Linotype" w:cs="Palatino Linotype"/>
          <w:b/>
          <w:u w:val="single"/>
        </w:rPr>
        <w:t>bajo parámetros escaneo en resolución máxima de 150Dpi’s, escala de grises y formato PDF, extraído directamente del escáner,</w:t>
      </w:r>
      <w:r w:rsidRPr="00F403D1">
        <w:rPr>
          <w:rFonts w:ascii="Palatino Linotype" w:eastAsia="Palatino Linotype" w:hAnsi="Palatino Linotype" w:cs="Palatino Linotype"/>
          <w:b/>
        </w:rPr>
        <w:t xml:space="preserve"> </w:t>
      </w:r>
      <w:r w:rsidRPr="00F403D1">
        <w:rPr>
          <w:rFonts w:ascii="Palatino Linotype" w:eastAsia="Palatino Linotype" w:hAnsi="Palatino Linotype" w:cs="Palatino Linotype"/>
        </w:rPr>
        <w:t xml:space="preserve">como se muestra a continuación: </w:t>
      </w:r>
    </w:p>
    <w:p w14:paraId="23C4A3C3" w14:textId="6296AA35" w:rsidR="00F77A0F" w:rsidRPr="00F403D1" w:rsidRDefault="00F77A0F" w:rsidP="00F77A0F">
      <w:pPr>
        <w:spacing w:before="240" w:after="240" w:line="360" w:lineRule="auto"/>
        <w:jc w:val="center"/>
        <w:rPr>
          <w:rFonts w:ascii="Palatino Linotype" w:hAnsi="Palatino Linotype"/>
        </w:rPr>
      </w:pPr>
      <w:r w:rsidRPr="00F403D1">
        <w:rPr>
          <w:rFonts w:ascii="Palatino Linotype" w:eastAsia="Palatino Linotype" w:hAnsi="Palatino Linotype" w:cs="Palatino Linotype"/>
          <w:noProof/>
        </w:rPr>
        <w:drawing>
          <wp:inline distT="0" distB="0" distL="0" distR="0" wp14:anchorId="490CA512" wp14:editId="05257A03">
            <wp:extent cx="4500000" cy="1227606"/>
            <wp:effectExtent l="0" t="0" r="0" b="0"/>
            <wp:docPr id="19520825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t="32484"/>
                    <a:stretch>
                      <a:fillRect/>
                    </a:stretch>
                  </pic:blipFill>
                  <pic:spPr>
                    <a:xfrm>
                      <a:off x="0" y="0"/>
                      <a:ext cx="4500000" cy="1227606"/>
                    </a:xfrm>
                    <a:prstGeom prst="rect">
                      <a:avLst/>
                    </a:prstGeom>
                    <a:ln/>
                  </pic:spPr>
                </pic:pic>
              </a:graphicData>
            </a:graphic>
          </wp:inline>
        </w:drawing>
      </w:r>
    </w:p>
    <w:p w14:paraId="7FB61EF4" w14:textId="02CA4D7D" w:rsidR="00F77A0F" w:rsidRPr="00F403D1" w:rsidRDefault="00F77A0F" w:rsidP="00295AA1">
      <w:pPr>
        <w:spacing w:before="240" w:after="240" w:line="360" w:lineRule="auto"/>
        <w:jc w:val="both"/>
        <w:rPr>
          <w:rFonts w:ascii="Palatino Linotype" w:eastAsia="Palatino Linotype" w:hAnsi="Palatino Linotype" w:cs="Palatino Linotype"/>
          <w:b/>
        </w:rPr>
      </w:pPr>
      <w:r w:rsidRPr="00F403D1">
        <w:rPr>
          <w:rFonts w:ascii="Palatino Linotype" w:eastAsia="Palatino Linotype" w:hAnsi="Palatino Linotype" w:cs="Palatino Linotype"/>
        </w:rPr>
        <w:t>No obstante,</w:t>
      </w:r>
      <w:r w:rsidR="00F4745B" w:rsidRPr="00F403D1">
        <w:rPr>
          <w:rFonts w:ascii="Palatino Linotype" w:eastAsia="Palatino Linotype" w:hAnsi="Palatino Linotype" w:cs="Palatino Linotype"/>
        </w:rPr>
        <w:t xml:space="preserve"> </w:t>
      </w:r>
      <w:r w:rsidRPr="00F403D1">
        <w:rPr>
          <w:rFonts w:ascii="Palatino Linotype" w:eastAsia="Palatino Linotype" w:hAnsi="Palatino Linotype" w:cs="Palatino Linotype"/>
          <w:b/>
        </w:rPr>
        <w:t>atendiendo a la naturaleza de la información solicitada</w:t>
      </w:r>
      <w:r w:rsidRPr="00F403D1">
        <w:rPr>
          <w:rFonts w:ascii="Palatino Linotype" w:eastAsia="Palatino Linotype" w:hAnsi="Palatino Linotype" w:cs="Palatino Linotype"/>
        </w:rPr>
        <w:t>, es oportuno mencionar que esta</w:t>
      </w:r>
      <w:r w:rsidRPr="00F403D1">
        <w:rPr>
          <w:rFonts w:ascii="Palatino Linotype" w:eastAsia="Palatino Linotype" w:hAnsi="Palatino Linotype" w:cs="Palatino Linotype"/>
          <w:b/>
        </w:rPr>
        <w:t xml:space="preserve"> </w:t>
      </w:r>
      <w:r w:rsidRPr="00F403D1">
        <w:rPr>
          <w:rFonts w:ascii="Palatino Linotype" w:eastAsia="Palatino Linotype" w:hAnsi="Palatino Linotype" w:cs="Palatino Linotype"/>
          <w:b/>
          <w:u w:val="single"/>
        </w:rPr>
        <w:t>NO sobrepasa las capacidades del SAIMEX</w:t>
      </w:r>
      <w:r w:rsidRPr="00F403D1">
        <w:rPr>
          <w:rFonts w:ascii="Palatino Linotype" w:eastAsia="Palatino Linotype" w:hAnsi="Palatino Linotype" w:cs="Palatino Linotype"/>
          <w:b/>
        </w:rPr>
        <w:t>.</w:t>
      </w:r>
    </w:p>
    <w:p w14:paraId="5C985278" w14:textId="761AA94D"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Como sustento a lo anterior, no obsta mencionar que el </w:t>
      </w:r>
      <w:r w:rsidRPr="00F403D1">
        <w:rPr>
          <w:rFonts w:ascii="Palatino Linotype" w:eastAsia="Palatino Linotype" w:hAnsi="Palatino Linotype" w:cs="Palatino Linotype"/>
          <w:b/>
        </w:rPr>
        <w:t xml:space="preserve">Sujeto Obligado </w:t>
      </w:r>
      <w:r w:rsidRPr="00F403D1">
        <w:rPr>
          <w:rFonts w:ascii="Palatino Linotype" w:eastAsia="Palatino Linotype" w:hAnsi="Palatino Linotype" w:cs="Palatino Linotype"/>
        </w:rPr>
        <w:t xml:space="preserve">se encuentra constreñido a entregar al Órgano Superior de Fiscalización del Estado de México, como parte de los informes trimestrales, la </w:t>
      </w:r>
      <w:r w:rsidRPr="00F403D1">
        <w:rPr>
          <w:rFonts w:ascii="Palatino Linotype" w:eastAsia="Palatino Linotype" w:hAnsi="Palatino Linotype" w:cs="Palatino Linotype"/>
          <w:i/>
        </w:rPr>
        <w:t>conciliación de nómina</w:t>
      </w:r>
      <w:r w:rsidRPr="00F403D1">
        <w:rPr>
          <w:rFonts w:ascii="Palatino Linotype" w:eastAsia="Palatino Linotype" w:hAnsi="Palatino Linotype" w:cs="Palatino Linotype"/>
        </w:rPr>
        <w:t xml:space="preserve">, </w:t>
      </w:r>
      <w:r w:rsidR="00F77A0F" w:rsidRPr="00F403D1">
        <w:rPr>
          <w:rFonts w:ascii="Palatino Linotype" w:eastAsia="Palatino Linotype" w:hAnsi="Palatino Linotype" w:cs="Palatino Linotype"/>
        </w:rPr>
        <w:t xml:space="preserve">así como los </w:t>
      </w:r>
      <w:r w:rsidR="00F77A0F" w:rsidRPr="00F403D1">
        <w:rPr>
          <w:rFonts w:ascii="Palatino Linotype" w:eastAsia="Palatino Linotype" w:hAnsi="Palatino Linotype" w:cs="Palatino Linotype"/>
          <w:i/>
        </w:rPr>
        <w:t>comprobantes bancarios de la dispersión de la nómina correspondientes,</w:t>
      </w:r>
      <w:r w:rsidR="00F77A0F" w:rsidRPr="00F403D1">
        <w:rPr>
          <w:rFonts w:ascii="Palatino Linotype" w:eastAsia="Palatino Linotype" w:hAnsi="Palatino Linotype" w:cs="Palatino Linotype"/>
        </w:rPr>
        <w:t xml:space="preserve"> </w:t>
      </w:r>
      <w:r w:rsidRPr="00F403D1">
        <w:rPr>
          <w:rFonts w:ascii="Palatino Linotype" w:eastAsia="Palatino Linotype" w:hAnsi="Palatino Linotype" w:cs="Palatino Linotype"/>
        </w:rPr>
        <w:t>como se desprende 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w:t>
      </w:r>
    </w:p>
    <w:p w14:paraId="5AA0B83C"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De conformidad con los Lineamientos del ejercicio 2025, la información que generan los entes fiscalizables de carácter municipal con motivo de la nómina, se encuentra contenida en el Módulo 4 Información Administrativa, Submódulo Nómina (Plataforma Digital), como se muestra a continuación:</w:t>
      </w:r>
    </w:p>
    <w:p w14:paraId="62C8AC30" w14:textId="77777777" w:rsidR="00295AA1" w:rsidRPr="00F403D1" w:rsidRDefault="00295AA1" w:rsidP="00295AA1">
      <w:pPr>
        <w:spacing w:before="240" w:after="240" w:line="360" w:lineRule="auto"/>
        <w:jc w:val="center"/>
        <w:rPr>
          <w:rFonts w:ascii="Palatino Linotype" w:eastAsia="Palatino Linotype" w:hAnsi="Palatino Linotype" w:cs="Palatino Linotype"/>
        </w:rPr>
      </w:pPr>
      <w:r w:rsidRPr="00F403D1">
        <w:rPr>
          <w:rFonts w:ascii="Palatino Linotype" w:eastAsia="Palatino Linotype" w:hAnsi="Palatino Linotype" w:cs="Palatino Linotype"/>
        </w:rPr>
        <w:t xml:space="preserve"> </w:t>
      </w:r>
      <w:r w:rsidRPr="00F403D1">
        <w:rPr>
          <w:rFonts w:ascii="Palatino Linotype" w:eastAsia="Palatino Linotype" w:hAnsi="Palatino Linotype" w:cs="Palatino Linotype"/>
          <w:noProof/>
        </w:rPr>
        <w:drawing>
          <wp:inline distT="0" distB="0" distL="0" distR="0" wp14:anchorId="07C0BC14" wp14:editId="07FBF8FA">
            <wp:extent cx="4046400" cy="1994400"/>
            <wp:effectExtent l="0" t="0" r="0" b="6350"/>
            <wp:docPr id="214013184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4046400" cy="1994400"/>
                    </a:xfrm>
                    <a:prstGeom prst="rect">
                      <a:avLst/>
                    </a:prstGeom>
                    <a:ln/>
                  </pic:spPr>
                </pic:pic>
              </a:graphicData>
            </a:graphic>
          </wp:inline>
        </w:drawing>
      </w:r>
    </w:p>
    <w:p w14:paraId="77DDF218" w14:textId="6CFC71C1" w:rsidR="00F77A0F" w:rsidRPr="00F403D1" w:rsidRDefault="00F77A0F" w:rsidP="00F77A0F">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noProof/>
        </w:rPr>
        <mc:AlternateContent>
          <mc:Choice Requires="wps">
            <w:drawing>
              <wp:anchor distT="0" distB="0" distL="114300" distR="114300" simplePos="0" relativeHeight="251664384" behindDoc="0" locked="0" layoutInCell="1" allowOverlap="1" wp14:anchorId="2BA4FB0A" wp14:editId="6A873075">
                <wp:simplePos x="0" y="0"/>
                <wp:positionH relativeFrom="column">
                  <wp:posOffset>15240</wp:posOffset>
                </wp:positionH>
                <wp:positionV relativeFrom="paragraph">
                  <wp:posOffset>75565</wp:posOffset>
                </wp:positionV>
                <wp:extent cx="5562600" cy="2305050"/>
                <wp:effectExtent l="19050" t="19050" r="19050" b="19050"/>
                <wp:wrapNone/>
                <wp:docPr id="5" name="Conector recto 5"/>
                <wp:cNvGraphicFramePr/>
                <a:graphic xmlns:a="http://schemas.openxmlformats.org/drawingml/2006/main">
                  <a:graphicData uri="http://schemas.microsoft.com/office/word/2010/wordprocessingShape">
                    <wps:wsp>
                      <wps:cNvCnPr/>
                      <wps:spPr>
                        <a:xfrm>
                          <a:off x="0" y="0"/>
                          <a:ext cx="5562600" cy="2305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FEB5A78"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pt,5.95pt" to="439.2pt,1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VqvwEAAMoDAAAOAAAAZHJzL2Uyb0RvYy54bWysU9uO0zAQfUfiHyy/06RFKauo6T50BS8I&#10;Ki4f4HXGjbW+aWya9O8ZO93sChBCaBXJt5k5Pud4srudrGFnwKi96/h6VXMGTvpeu1PHv397/+aG&#10;s5iE64XxDjp+gchv969f7cbQwsYP3vSAjEBcbMfQ8SGl0FZVlANYEVc+gKOg8mhFoi2eqh7FSOjW&#10;VJu63lajxz6glxAjnd7NQb4v+EqBTJ+VipCY6ThxS2XEMt7nsdrvRHtCEQYtrzTEf7CwQju6dIG6&#10;E0mwH6h/g7Jaoo9epZX0tvJKaQlFA6lZ17+o+TqIAEULmRPDYlN8OVj56XxEpvuON5w5YemJDvRQ&#10;MnlkmCfWZI/GEFtKPbgjXncxHDELnhTaPJMUNhVfL4uvMCUm6bBptpttTfZLim3e1g19GbV6Kg8Y&#10;0wfwluVFx412WbhoxfljTHPqY0o+No6NBHXTvCv0qsxvZlRW6WJgTvsCitQRh3WBK30FB4PsLKgj&#10;+of1lYdxlJlLlDZmKar/XnTNzWVQeu1fC5fscqN3aSm02nn8061peqSq5nyy75nWvLz3/aW8TwlQ&#10;wxSHr82dO/L5vpQ//YL7nwAAAP//AwBQSwMEFAAGAAgAAAAhAOplNdjeAAAACAEAAA8AAABkcnMv&#10;ZG93bnJldi54bWxMj81OwzAQhO9IvIO1lbgg6rSpaJrGqRASF5CAlorzNnbiCP9EttOGt2c5wXFn&#10;RrPfVLvJGnZWIfbeCVjMM2DKNV72rhNw/Hi6K4DFhE6i8U4J+FYRdvX1VYWl9Be3V+dD6hiVuFii&#10;AJ3SUHIeG60sxrkflCOv9cFiojN0XAa8ULk1fJll99xi7+iDxkE9atV8HUYrIIxv7YvJ8+fmE99R&#10;74+3bXwdhbiZTQ9bYElN6S8Mv/iEDjUxnfzoZGRGwHJFQZIXG2BkF+uChJOAfL3aAK8r/n9A/QMA&#10;AP//AwBQSwECLQAUAAYACAAAACEAtoM4kv4AAADhAQAAEwAAAAAAAAAAAAAAAAAAAAAAW0NvbnRl&#10;bnRfVHlwZXNdLnhtbFBLAQItABQABgAIAAAAIQA4/SH/1gAAAJQBAAALAAAAAAAAAAAAAAAAAC8B&#10;AABfcmVscy8ucmVsc1BLAQItABQABgAIAAAAIQDddmVqvwEAAMoDAAAOAAAAAAAAAAAAAAAAAC4C&#10;AABkcnMvZTJvRG9jLnhtbFBLAQItABQABgAIAAAAIQDqZTXY3gAAAAgBAAAPAAAAAAAAAAAAAAAA&#10;ABkEAABkcnMvZG93bnJldi54bWxQSwUGAAAAAAQABADzAAAAJAUAAAAA&#10;" strokecolor="black [3200]" strokeweight="2.25pt">
                <v:stroke joinstyle="miter"/>
              </v:line>
            </w:pict>
          </mc:Fallback>
        </mc:AlternateContent>
      </w:r>
    </w:p>
    <w:p w14:paraId="478297D6" w14:textId="77777777" w:rsidR="00295AA1" w:rsidRPr="00F403D1" w:rsidRDefault="00295AA1" w:rsidP="00295AA1">
      <w:pPr>
        <w:spacing w:before="240" w:after="240" w:line="360" w:lineRule="auto"/>
        <w:jc w:val="center"/>
        <w:rPr>
          <w:rFonts w:ascii="Palatino Linotype" w:eastAsia="Palatino Linotype" w:hAnsi="Palatino Linotype" w:cs="Palatino Linotype"/>
        </w:rPr>
      </w:pPr>
      <w:r w:rsidRPr="00F403D1">
        <w:rPr>
          <w:noProof/>
        </w:rPr>
        <mc:AlternateContent>
          <mc:Choice Requires="wps">
            <w:drawing>
              <wp:anchor distT="0" distB="0" distL="114300" distR="114300" simplePos="0" relativeHeight="251659264" behindDoc="0" locked="0" layoutInCell="1" hidden="0" allowOverlap="1" wp14:anchorId="688B51A5" wp14:editId="7F775EA6">
                <wp:simplePos x="0" y="0"/>
                <wp:positionH relativeFrom="margin">
                  <wp:align>center</wp:align>
                </wp:positionH>
                <wp:positionV relativeFrom="paragraph">
                  <wp:posOffset>2004043</wp:posOffset>
                </wp:positionV>
                <wp:extent cx="4482879" cy="885825"/>
                <wp:effectExtent l="19050" t="19050" r="13335" b="28575"/>
                <wp:wrapNone/>
                <wp:docPr id="2140131839" name="Rectángulo 2140131839"/>
                <wp:cNvGraphicFramePr/>
                <a:graphic xmlns:a="http://schemas.openxmlformats.org/drawingml/2006/main">
                  <a:graphicData uri="http://schemas.microsoft.com/office/word/2010/wordprocessingShape">
                    <wps:wsp>
                      <wps:cNvSpPr/>
                      <wps:spPr>
                        <a:xfrm>
                          <a:off x="0" y="0"/>
                          <a:ext cx="4482879" cy="885825"/>
                        </a:xfrm>
                        <a:prstGeom prst="rect">
                          <a:avLst/>
                        </a:prstGeom>
                        <a:noFill/>
                        <a:ln w="38100" cap="flat" cmpd="sng">
                          <a:solidFill>
                            <a:srgbClr val="C00000"/>
                          </a:solidFill>
                          <a:prstDash val="solid"/>
                          <a:miter lim="800000"/>
                          <a:headEnd type="none" w="sm" len="sm"/>
                          <a:tailEnd type="none" w="sm" len="sm"/>
                        </a:ln>
                      </wps:spPr>
                      <wps:txbx>
                        <w:txbxContent>
                          <w:p w14:paraId="549ED7D7" w14:textId="77777777" w:rsidR="00295AA1" w:rsidRDefault="00295AA1" w:rsidP="00295AA1">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88B51A5" id="Rectángulo 2140131839" o:spid="_x0000_s1026" style="position:absolute;left:0;text-align:left;margin-left:0;margin-top:157.8pt;width:353pt;height:69.7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459CAIAABkEAAAOAAAAZHJzL2Uyb0RvYy54bWysU9uO0zAQfUfiHyy/06SlC9mo6Qq1LEJa&#10;sZUWPmDqOI0l3/C4Tfr3jN3SFnhAQuTBmbHHM2fOHC8eRqPZQQZUzjZ8Oik5k1a4Vtldw799fXxT&#10;cYYRbAvaWdnwo0T+sHz9ajH4Ws5c73QrA6MkFuvBN7yP0ddFgaKXBnDivLR02LlgIJIbdkUbYKDs&#10;RhezsnxXDC60PjghEWl3fTrky5y/66SIz12HMjLdcMIW8xryuk1rsVxAvQvgeyXOMOAfUBhQlope&#10;Uq0hAtsH9Ucqo0Rw6Lo4Ec4UruuUkLkH6mZa/tbNSw9e5l6IHPQXmvD/pRVfDi9+E4iGwWONZKYu&#10;xi6Y9Cd8bMxkHS9kyTEyQZvzeTWr3t9zJuisqu6q2V1is7je9gHjJ+kMS0bDAw0jcwSHJ4yn0J8h&#10;qZh1j0rrPBBt2dDwt9W0pJkJIF10GiKZxrcNR7vLedBp1aY76TaG3XalAzsATXpVpu8M55ewVHAN&#10;2J/i8tFJA0ZFEqJWhpq53Ia6l9B+tC2LR0/qtaRhnqCh4UxLUjwZGXEEpf8eR+RoSxxduU5WHLcj&#10;JUnm1rXHTWDoxaMipE+AcQOBFDmlsqRSKvh9D4FA6M+WZHA/nRPtLN464dbZ3jpgRe9I/CIGzk7O&#10;KubHcOL/wz66TuXRXMGc4ZL+8nDPbyUJ/NbPUdcXvfwBAAD//wMAUEsDBBQABgAIAAAAIQA65aUn&#10;4AAAAAgBAAAPAAAAZHJzL2Rvd25yZXYueG1sTI/NTsMwEITvSLyDtUhcKuoESICQTVUVIQE3ChJw&#10;c+NtEtU/Ueyk4e1ZTnCcndXMN+VqtkZMNITOO4R0mYAgV3vduQbh/e3x4hZEiMppZbwjhG8KsKpO&#10;T0pVaH90rzRtYyM4xIVCIbQx9oWUoW7JqrD0PTn29n6wKrIcGqkHdeRwa+RlkuTSqs5xQ6t62rRU&#10;H7ajRdgcxqfwEdOHl/X0eZeZxfOw2H8hnp/N63sQkeb49wy/+IwOFTPt/Oh0EAaBh0SEqzTLQbB9&#10;k+R82SFcZ1kKsirl/wHVDwAAAP//AwBQSwECLQAUAAYACAAAACEAtoM4kv4AAADhAQAAEwAAAAAA&#10;AAAAAAAAAAAAAAAAW0NvbnRlbnRfVHlwZXNdLnhtbFBLAQItABQABgAIAAAAIQA4/SH/1gAAAJQB&#10;AAALAAAAAAAAAAAAAAAAAC8BAABfcmVscy8ucmVsc1BLAQItABQABgAIAAAAIQAtY459CAIAABkE&#10;AAAOAAAAAAAAAAAAAAAAAC4CAABkcnMvZTJvRG9jLnhtbFBLAQItABQABgAIAAAAIQA65aUn4AAA&#10;AAgBAAAPAAAAAAAAAAAAAAAAAGIEAABkcnMvZG93bnJldi54bWxQSwUGAAAAAAQABADzAAAAbwUA&#10;AAAA&#10;" filled="f" strokecolor="#c00000" strokeweight="3pt">
                <v:stroke startarrowwidth="narrow" startarrowlength="short" endarrowwidth="narrow" endarrowlength="short"/>
                <v:textbox inset="2.53958mm,2.53958mm,2.53958mm,2.53958mm">
                  <w:txbxContent>
                    <w:p w14:paraId="549ED7D7" w14:textId="77777777" w:rsidR="00295AA1" w:rsidRDefault="00295AA1" w:rsidP="00295AA1">
                      <w:pPr>
                        <w:textDirection w:val="btLr"/>
                      </w:pPr>
                    </w:p>
                  </w:txbxContent>
                </v:textbox>
                <w10:wrap anchorx="margin"/>
              </v:rect>
            </w:pict>
          </mc:Fallback>
        </mc:AlternateContent>
      </w:r>
      <w:r w:rsidRPr="00F403D1">
        <w:rPr>
          <w:rFonts w:ascii="Palatino Linotype" w:eastAsia="Palatino Linotype" w:hAnsi="Palatino Linotype" w:cs="Palatino Linotype"/>
          <w:noProof/>
        </w:rPr>
        <w:drawing>
          <wp:inline distT="0" distB="0" distL="0" distR="0" wp14:anchorId="6E6BB4E7" wp14:editId="3507F29C">
            <wp:extent cx="4500000" cy="2839326"/>
            <wp:effectExtent l="0" t="0" r="0" b="0"/>
            <wp:docPr id="214013184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b="18245"/>
                    <a:stretch>
                      <a:fillRect/>
                    </a:stretch>
                  </pic:blipFill>
                  <pic:spPr>
                    <a:xfrm>
                      <a:off x="0" y="0"/>
                      <a:ext cx="4500000" cy="2839326"/>
                    </a:xfrm>
                    <a:prstGeom prst="rect">
                      <a:avLst/>
                    </a:prstGeom>
                    <a:ln/>
                  </pic:spPr>
                </pic:pic>
              </a:graphicData>
            </a:graphic>
          </wp:inline>
        </w:drawing>
      </w:r>
    </w:p>
    <w:p w14:paraId="7807C3E1" w14:textId="6F1AAF5F" w:rsidR="00295AA1" w:rsidRPr="00F403D1" w:rsidRDefault="00295AA1" w:rsidP="00295AA1">
      <w:pPr>
        <w:spacing w:before="240" w:after="240" w:line="360" w:lineRule="auto"/>
        <w:jc w:val="both"/>
      </w:pPr>
      <w:r w:rsidRPr="00F403D1">
        <w:t xml:space="preserve"> </w:t>
      </w:r>
      <w:r w:rsidRPr="00F403D1">
        <w:rPr>
          <w:rFonts w:ascii="Palatino Linotype" w:eastAsia="Palatino Linotype" w:hAnsi="Palatino Linotype" w:cs="Palatino Linotype"/>
        </w:rPr>
        <w:t xml:space="preserve">La finalidad de la </w:t>
      </w:r>
      <w:r w:rsidRPr="00F403D1">
        <w:rPr>
          <w:rFonts w:ascii="Palatino Linotype" w:eastAsia="Palatino Linotype" w:hAnsi="Palatino Linotype" w:cs="Palatino Linotype"/>
          <w:i/>
        </w:rPr>
        <w:t>conciliación de nómina</w:t>
      </w:r>
      <w:r w:rsidRPr="00F403D1">
        <w:rPr>
          <w:rFonts w:ascii="Palatino Linotype" w:eastAsia="Palatino Linotype" w:hAnsi="Palatino Linotype" w:cs="Palatino Linotype"/>
        </w:rPr>
        <w:t xml:space="preserve"> consiste en </w:t>
      </w:r>
      <w:r w:rsidRPr="00F403D1">
        <w:rPr>
          <w:rFonts w:ascii="Palatino Linotype" w:eastAsia="Palatino Linotype" w:hAnsi="Palatino Linotype" w:cs="Palatino Linotype"/>
          <w:b/>
          <w:u w:val="single"/>
        </w:rPr>
        <w:t>presentar el concentrado mensual de</w:t>
      </w:r>
      <w:r w:rsidRPr="00F403D1">
        <w:rPr>
          <w:rFonts w:ascii="Palatino Linotype" w:eastAsia="Palatino Linotype" w:hAnsi="Palatino Linotype" w:cs="Palatino Linotype"/>
        </w:rPr>
        <w:t xml:space="preserve"> </w:t>
      </w:r>
      <w:r w:rsidRPr="00F403D1">
        <w:rPr>
          <w:rFonts w:ascii="Palatino Linotype" w:eastAsia="Palatino Linotype" w:hAnsi="Palatino Linotype" w:cs="Palatino Linotype"/>
          <w:b/>
          <w:u w:val="single"/>
        </w:rPr>
        <w:t>manera quincenal</w:t>
      </w:r>
      <w:r w:rsidRPr="00F403D1">
        <w:rPr>
          <w:rFonts w:ascii="Palatino Linotype" w:eastAsia="Palatino Linotype" w:hAnsi="Palatino Linotype" w:cs="Palatino Linotype"/>
        </w:rPr>
        <w:t>, de las cifras derivadas de todas las erogaciones realizadas por concepto de remuneraciones al trabajo, registradas en la nómina; las cuales deben de coincidir con las contenidas en los registros contables, por concepto de remuneraciones al trabajo personal.</w:t>
      </w:r>
    </w:p>
    <w:p w14:paraId="5CF29874" w14:textId="77777777" w:rsidR="00295AA1" w:rsidRPr="00F403D1" w:rsidRDefault="00295AA1" w:rsidP="00295AA1">
      <w:pPr>
        <w:spacing w:before="240" w:line="360" w:lineRule="auto"/>
        <w:ind w:right="49"/>
        <w:jc w:val="both"/>
        <w:rPr>
          <w:rFonts w:ascii="Palatino Linotype" w:eastAsia="Palatino Linotype" w:hAnsi="Palatino Linotype" w:cs="Palatino Linotype"/>
        </w:rPr>
      </w:pPr>
      <w:r w:rsidRPr="00F403D1">
        <w:rPr>
          <w:rFonts w:ascii="Palatino Linotype" w:eastAsia="Palatino Linotype" w:hAnsi="Palatino Linotype" w:cs="Palatino Linotype"/>
        </w:rPr>
        <w:t>Y, debe presentarse a través de los formatos XLSX y TXT, siendo el primero el siguiente:</w:t>
      </w:r>
    </w:p>
    <w:p w14:paraId="6DC6B8EF" w14:textId="6735DFBD" w:rsidR="0002320A" w:rsidRPr="00F403D1" w:rsidRDefault="0002320A" w:rsidP="00295AA1">
      <w:pPr>
        <w:spacing w:before="240" w:line="360" w:lineRule="auto"/>
        <w:ind w:right="49"/>
        <w:jc w:val="both"/>
        <w:rPr>
          <w:rFonts w:ascii="Palatino Linotype" w:eastAsia="Palatino Linotype" w:hAnsi="Palatino Linotype" w:cs="Palatino Linotype"/>
        </w:rPr>
      </w:pPr>
      <w:r w:rsidRPr="00F403D1">
        <w:rPr>
          <w:rFonts w:ascii="Palatino Linotype" w:eastAsia="Palatino Linotype" w:hAnsi="Palatino Linotype" w:cs="Palatino Linotype"/>
          <w:noProof/>
        </w:rPr>
        <mc:AlternateContent>
          <mc:Choice Requires="wps">
            <w:drawing>
              <wp:anchor distT="0" distB="0" distL="114300" distR="114300" simplePos="0" relativeHeight="251665408" behindDoc="0" locked="0" layoutInCell="1" allowOverlap="1" wp14:anchorId="18D54E5F" wp14:editId="5017A22C">
                <wp:simplePos x="0" y="0"/>
                <wp:positionH relativeFrom="column">
                  <wp:posOffset>24765</wp:posOffset>
                </wp:positionH>
                <wp:positionV relativeFrom="paragraph">
                  <wp:posOffset>173989</wp:posOffset>
                </wp:positionV>
                <wp:extent cx="5581650" cy="2428875"/>
                <wp:effectExtent l="19050" t="19050" r="19050" b="28575"/>
                <wp:wrapNone/>
                <wp:docPr id="11" name="Conector recto 11"/>
                <wp:cNvGraphicFramePr/>
                <a:graphic xmlns:a="http://schemas.openxmlformats.org/drawingml/2006/main">
                  <a:graphicData uri="http://schemas.microsoft.com/office/word/2010/wordprocessingShape">
                    <wps:wsp>
                      <wps:cNvCnPr/>
                      <wps:spPr>
                        <a:xfrm>
                          <a:off x="0" y="0"/>
                          <a:ext cx="5581650" cy="24288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06C0856" id="Conector recto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5pt,13.7pt" to="441.45pt,2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jEwQEAAMwDAAAOAAAAZHJzL2Uyb0RvYy54bWysU8tu2zAQvBfoPxC815KMKhUEyzk4aC5F&#10;YvTxAQxFWkT4wpKx5L/vklKUoC2KosiFIrkzw53d1e56MpqcBQTlbEerTUmJsNz1yp46+uP75w8N&#10;JSEy2zPtrOjoRQR6vX//bjf6Vmzd4HQvgKCIDe3oOzrE6NuiCHwQhoWN88JiUDowLOIRTkUPbER1&#10;o4ttWV4Vo4Peg+MiBLy9mYN0n/WlFDzeSxlEJLqjmFvMK+T1Ia3FfsfaEzA/KL6kwf4jC8OUxUdX&#10;qRsWGXkC9ZuUURxccDJuuDOFk1JxkT2gm6r8xc23gXmRvWBxgl/LFN5Olt+dj0BUj72rKLHMYI8O&#10;2CkeHRBIH4IBrNLoQ4vggz3Ccgr+CMnyJMGkL5ohU67sZa2smCLheFnXTXVVYwM4xrYft03zqU6q&#10;xQvdQ4i3whmSNh3VyibrrGXnLyHO0GdIutaWjCjV1ItQym/OKO/iRYsZ9lVI9Ic5VFkuT5Y4aCBn&#10;hjPRP2Z3mIe2iEwUqbReSeXfSQs20USetn8lruj8orNxJRplHfzp1Tg9pypnPJbvlde0fXD9Jfcn&#10;B3BkcoWX8U4z+fqc6S8/4f4nAAAA//8DAFBLAwQUAAYACAAAACEAbUMs1N4AAAAIAQAADwAAAGRy&#10;cy9kb3ducmV2LnhtbEyPwU7DMBBE70j8g7VIXBB1SCpIQpwKIXEBCWipOG9jJ46w15HttOHvMSc4&#10;zs5o5m2zWaxhR+XD6EjAzSoDpqhzcqRBwP7j6boEFiKSRONICfhWATbt+VmDtXQn2qrjLg4slVCo&#10;UYCOcao5D51WFsPKTYqS1ztvMSbpBy49nlK5NTzPsltucaS0oHFSj1p1X7vZCvDzW/9iiuK5+8R3&#10;1Nv9VR9eZyEuL5aHe2BRLfEvDL/4CR3axHRwM8nAjICiSkEB+d0aWLLLMk+Hg4B1VlXA24b/f6D9&#10;AQAA//8DAFBLAQItABQABgAIAAAAIQC2gziS/gAAAOEBAAATAAAAAAAAAAAAAAAAAAAAAABbQ29u&#10;dGVudF9UeXBlc10ueG1sUEsBAi0AFAAGAAgAAAAhADj9If/WAAAAlAEAAAsAAAAAAAAAAAAAAAAA&#10;LwEAAF9yZWxzLy5yZWxzUEsBAi0AFAAGAAgAAAAhAMpN+MTBAQAAzAMAAA4AAAAAAAAAAAAAAAAA&#10;LgIAAGRycy9lMm9Eb2MueG1sUEsBAi0AFAAGAAgAAAAhAG1DLNTeAAAACAEAAA8AAAAAAAAAAAAA&#10;AAAAGwQAAGRycy9kb3ducmV2LnhtbFBLBQYAAAAABAAEAPMAAAAmBQAAAAA=&#10;" strokecolor="black [3200]" strokeweight="2.25pt">
                <v:stroke joinstyle="miter"/>
              </v:line>
            </w:pict>
          </mc:Fallback>
        </mc:AlternateContent>
      </w:r>
    </w:p>
    <w:p w14:paraId="61CF94F2" w14:textId="77777777" w:rsidR="00295AA1" w:rsidRPr="00F403D1" w:rsidRDefault="00295AA1" w:rsidP="00295AA1">
      <w:pPr>
        <w:spacing w:before="240" w:line="360" w:lineRule="auto"/>
        <w:ind w:right="49"/>
        <w:jc w:val="center"/>
        <w:rPr>
          <w:rFonts w:ascii="Palatino Linotype" w:eastAsia="Palatino Linotype" w:hAnsi="Palatino Linotype" w:cs="Palatino Linotype"/>
        </w:rPr>
      </w:pPr>
      <w:r w:rsidRPr="00F403D1">
        <w:rPr>
          <w:noProof/>
        </w:rPr>
        <w:drawing>
          <wp:inline distT="0" distB="0" distL="0" distR="0" wp14:anchorId="0CF32BB5" wp14:editId="67E07AD8">
            <wp:extent cx="4733925" cy="4198661"/>
            <wp:effectExtent l="0" t="0" r="0" b="0"/>
            <wp:docPr id="21401318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b="23204"/>
                    <a:stretch>
                      <a:fillRect/>
                    </a:stretch>
                  </pic:blipFill>
                  <pic:spPr>
                    <a:xfrm>
                      <a:off x="0" y="0"/>
                      <a:ext cx="4733925" cy="4198661"/>
                    </a:xfrm>
                    <a:prstGeom prst="rect">
                      <a:avLst/>
                    </a:prstGeom>
                    <a:ln/>
                  </pic:spPr>
                </pic:pic>
              </a:graphicData>
            </a:graphic>
          </wp:inline>
        </w:drawing>
      </w:r>
    </w:p>
    <w:p w14:paraId="7391FCF3" w14:textId="77777777" w:rsidR="00295AA1" w:rsidRPr="00F403D1" w:rsidRDefault="00295AA1" w:rsidP="00295AA1">
      <w:pPr>
        <w:spacing w:before="240" w:line="360" w:lineRule="auto"/>
        <w:ind w:right="49"/>
        <w:jc w:val="center"/>
        <w:rPr>
          <w:rFonts w:ascii="Palatino Linotype" w:eastAsia="Palatino Linotype" w:hAnsi="Palatino Linotype" w:cs="Palatino Linotype"/>
        </w:rPr>
      </w:pPr>
      <w:r w:rsidRPr="00F403D1">
        <w:rPr>
          <w:noProof/>
        </w:rPr>
        <w:drawing>
          <wp:inline distT="0" distB="0" distL="0" distR="0" wp14:anchorId="29D5A43C" wp14:editId="040A5DA1">
            <wp:extent cx="4733925" cy="1224227"/>
            <wp:effectExtent l="0" t="0" r="0" b="0"/>
            <wp:docPr id="21401318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t="77682" b="-74"/>
                    <a:stretch>
                      <a:fillRect/>
                    </a:stretch>
                  </pic:blipFill>
                  <pic:spPr>
                    <a:xfrm>
                      <a:off x="0" y="0"/>
                      <a:ext cx="4733925" cy="1224227"/>
                    </a:xfrm>
                    <a:prstGeom prst="rect">
                      <a:avLst/>
                    </a:prstGeom>
                    <a:ln/>
                  </pic:spPr>
                </pic:pic>
              </a:graphicData>
            </a:graphic>
          </wp:inline>
        </w:drawing>
      </w:r>
    </w:p>
    <w:p w14:paraId="42A1EBD7" w14:textId="77777777" w:rsidR="00295AA1" w:rsidRPr="00F403D1" w:rsidRDefault="00295AA1" w:rsidP="00295AA1">
      <w:pPr>
        <w:spacing w:before="240" w:after="240" w:line="360" w:lineRule="auto"/>
        <w:ind w:right="49"/>
        <w:jc w:val="both"/>
        <w:rPr>
          <w:rFonts w:ascii="Palatino Linotype" w:eastAsia="Palatino Linotype" w:hAnsi="Palatino Linotype" w:cs="Palatino Linotype"/>
        </w:rPr>
      </w:pPr>
      <w:r w:rsidRPr="00F403D1">
        <w:rPr>
          <w:rFonts w:ascii="Palatino Linotype" w:eastAsia="Palatino Linotype" w:hAnsi="Palatino Linotype" w:cs="Palatino Linotype"/>
        </w:rPr>
        <w:t>Para el llenado de dicho formato se deben observar las siguientes consideraciones:</w:t>
      </w:r>
    </w:p>
    <w:p w14:paraId="58E170CB" w14:textId="0825F3A0" w:rsidR="00295AA1" w:rsidRPr="00F403D1" w:rsidRDefault="00295AA1" w:rsidP="00295AA1">
      <w:pPr>
        <w:spacing w:before="240" w:after="240" w:line="360" w:lineRule="auto"/>
        <w:ind w:right="51"/>
        <w:jc w:val="center"/>
        <w:rPr>
          <w:rFonts w:ascii="Palatino Linotype" w:eastAsia="Palatino Linotype" w:hAnsi="Palatino Linotype" w:cs="Palatino Linotype"/>
        </w:rPr>
      </w:pPr>
      <w:r w:rsidRPr="00F403D1">
        <w:rPr>
          <w:noProof/>
        </w:rPr>
        <w:drawing>
          <wp:inline distT="0" distB="0" distL="0" distR="0" wp14:anchorId="31B5873A" wp14:editId="32FFED09">
            <wp:extent cx="4644000" cy="1276864"/>
            <wp:effectExtent l="0" t="0" r="0" b="0"/>
            <wp:docPr id="21401318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4644000" cy="1276864"/>
                    </a:xfrm>
                    <a:prstGeom prst="rect">
                      <a:avLst/>
                    </a:prstGeom>
                    <a:ln/>
                  </pic:spPr>
                </pic:pic>
              </a:graphicData>
            </a:graphic>
          </wp:inline>
        </w:drawing>
      </w:r>
      <w:r w:rsidRPr="00F403D1">
        <w:rPr>
          <w:noProof/>
        </w:rPr>
        <w:drawing>
          <wp:inline distT="0" distB="0" distL="0" distR="0" wp14:anchorId="650DB2BA" wp14:editId="598E70F8">
            <wp:extent cx="4642622" cy="3952456"/>
            <wp:effectExtent l="0" t="0" r="0" b="0"/>
            <wp:docPr id="21401318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b="18981"/>
                    <a:stretch>
                      <a:fillRect/>
                    </a:stretch>
                  </pic:blipFill>
                  <pic:spPr>
                    <a:xfrm>
                      <a:off x="0" y="0"/>
                      <a:ext cx="4642622" cy="3952456"/>
                    </a:xfrm>
                    <a:prstGeom prst="rect">
                      <a:avLst/>
                    </a:prstGeom>
                    <a:ln/>
                  </pic:spPr>
                </pic:pic>
              </a:graphicData>
            </a:graphic>
          </wp:inline>
        </w:drawing>
      </w:r>
      <w:r w:rsidRPr="00F403D1">
        <w:rPr>
          <w:noProof/>
        </w:rPr>
        <w:drawing>
          <wp:inline distT="0" distB="0" distL="0" distR="0" wp14:anchorId="4890CD68" wp14:editId="7624FD86">
            <wp:extent cx="4642622" cy="881560"/>
            <wp:effectExtent l="0" t="0" r="0" b="0"/>
            <wp:docPr id="21401318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t="81504" b="424"/>
                    <a:stretch>
                      <a:fillRect/>
                    </a:stretch>
                  </pic:blipFill>
                  <pic:spPr>
                    <a:xfrm>
                      <a:off x="0" y="0"/>
                      <a:ext cx="4642622" cy="881560"/>
                    </a:xfrm>
                    <a:prstGeom prst="rect">
                      <a:avLst/>
                    </a:prstGeom>
                    <a:ln/>
                  </pic:spPr>
                </pic:pic>
              </a:graphicData>
            </a:graphic>
          </wp:inline>
        </w:drawing>
      </w:r>
    </w:p>
    <w:p w14:paraId="577F84D4" w14:textId="27ECF23C" w:rsidR="0003115B" w:rsidRPr="00F403D1" w:rsidRDefault="009B5037"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Por otro lado, los comprobantes bancarios de la dispersión de la nómina, de acuerdo con los Lineamientos en cita, se deben integrar </w:t>
      </w:r>
      <w:r w:rsidRPr="00F403D1">
        <w:rPr>
          <w:rFonts w:ascii="Palatino Linotype" w:eastAsia="Palatino Linotype" w:hAnsi="Palatino Linotype" w:cs="Palatino Linotype"/>
          <w:b/>
          <w:u w:val="single"/>
        </w:rPr>
        <w:t>de manera quincenal en un solo documento</w:t>
      </w:r>
      <w:r w:rsidRPr="00F403D1">
        <w:rPr>
          <w:rFonts w:ascii="Palatino Linotype" w:eastAsia="Palatino Linotype" w:hAnsi="Palatino Linotype" w:cs="Palatino Linotype"/>
        </w:rPr>
        <w:t xml:space="preserve"> en formato PDF el o los comprobantes que emite la institución bancaria por la(s) transferencia(s) realizadas respecto del pago de las remuneraciones de cada servidor del Ente Público del que se trate: </w:t>
      </w:r>
    </w:p>
    <w:p w14:paraId="5217AE21" w14:textId="4DA46298" w:rsidR="0003115B" w:rsidRPr="00F403D1" w:rsidRDefault="0003115B"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noProof/>
        </w:rPr>
        <w:drawing>
          <wp:inline distT="0" distB="0" distL="0" distR="0" wp14:anchorId="3667434D" wp14:editId="3DDB1989">
            <wp:extent cx="5612130" cy="2299970"/>
            <wp:effectExtent l="0" t="0" r="762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2299970"/>
                    </a:xfrm>
                    <a:prstGeom prst="rect">
                      <a:avLst/>
                    </a:prstGeom>
                  </pic:spPr>
                </pic:pic>
              </a:graphicData>
            </a:graphic>
          </wp:inline>
        </w:drawing>
      </w:r>
    </w:p>
    <w:p w14:paraId="65F90DFA" w14:textId="6F336A22" w:rsidR="009B5037"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Como se logra vislumbrar, el formato de conciliación de nómina </w:t>
      </w:r>
      <w:r w:rsidR="009B5037" w:rsidRPr="00F403D1">
        <w:rPr>
          <w:rFonts w:ascii="Palatino Linotype" w:eastAsia="Palatino Linotype" w:hAnsi="Palatino Linotype" w:cs="Palatino Linotype"/>
        </w:rPr>
        <w:t>y los comprobantes bancarios de la dispersión de la nómina que son</w:t>
      </w:r>
      <w:r w:rsidRPr="00F403D1">
        <w:rPr>
          <w:rFonts w:ascii="Palatino Linotype" w:eastAsia="Palatino Linotype" w:hAnsi="Palatino Linotype" w:cs="Palatino Linotype"/>
        </w:rPr>
        <w:t xml:space="preserve"> remitido</w:t>
      </w:r>
      <w:r w:rsidR="009B5037" w:rsidRPr="00F403D1">
        <w:rPr>
          <w:rFonts w:ascii="Palatino Linotype" w:eastAsia="Palatino Linotype" w:hAnsi="Palatino Linotype" w:cs="Palatino Linotype"/>
        </w:rPr>
        <w:t>s</w:t>
      </w:r>
      <w:r w:rsidRPr="00F403D1">
        <w:rPr>
          <w:rFonts w:ascii="Palatino Linotype" w:eastAsia="Palatino Linotype" w:hAnsi="Palatino Linotype" w:cs="Palatino Linotype"/>
        </w:rPr>
        <w:t xml:space="preserve"> por los entes fiscalizables municipales al Órgano Superior de Fiscalización del Estado de México, como parte de los informes trimestrales para dar cumplimiento a sus obligaciones fiscales, </w:t>
      </w:r>
      <w:r w:rsidR="009B5037" w:rsidRPr="00F403D1">
        <w:rPr>
          <w:rFonts w:ascii="Palatino Linotype" w:eastAsia="Palatino Linotype" w:hAnsi="Palatino Linotype" w:cs="Palatino Linotype"/>
          <w:b/>
        </w:rPr>
        <w:t>concentran en un solo documento</w:t>
      </w:r>
      <w:r w:rsidR="009B5037" w:rsidRPr="00F403D1">
        <w:rPr>
          <w:rFonts w:ascii="Palatino Linotype" w:eastAsia="Palatino Linotype" w:hAnsi="Palatino Linotype" w:cs="Palatino Linotype"/>
        </w:rPr>
        <w:t xml:space="preserve"> la información de todos los servidores públicos, mismos que constituyen la pretensión de la persona solicitante.</w:t>
      </w:r>
    </w:p>
    <w:p w14:paraId="1900CC95" w14:textId="705A95EC" w:rsidR="009B5037" w:rsidRPr="00F403D1" w:rsidRDefault="009B5037"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Bajo esta línea de pensamiento, se estima que</w:t>
      </w:r>
      <w:r w:rsidR="00395B9C" w:rsidRPr="00F403D1">
        <w:rPr>
          <w:rFonts w:ascii="Palatino Linotype" w:eastAsia="Palatino Linotype" w:hAnsi="Palatino Linotype" w:cs="Palatino Linotype"/>
        </w:rPr>
        <w:t xml:space="preserve"> la</w:t>
      </w:r>
      <w:r w:rsidRPr="00F403D1">
        <w:rPr>
          <w:rFonts w:ascii="Palatino Linotype" w:eastAsia="Palatino Linotype" w:hAnsi="Palatino Linotype" w:cs="Palatino Linotype"/>
        </w:rPr>
        <w:t xml:space="preserve"> conciliación de nómina y los comprobantes bancarios de la dispersión de la nómina que el </w:t>
      </w:r>
      <w:r w:rsidRPr="00F403D1">
        <w:rPr>
          <w:rFonts w:ascii="Palatino Linotype" w:eastAsia="Palatino Linotype" w:hAnsi="Palatino Linotype" w:cs="Palatino Linotype"/>
          <w:b/>
        </w:rPr>
        <w:t xml:space="preserve">Sujeto Obligado </w:t>
      </w:r>
      <w:r w:rsidRPr="00F403D1">
        <w:rPr>
          <w:rFonts w:ascii="Palatino Linotype" w:eastAsia="Palatino Linotype" w:hAnsi="Palatino Linotype" w:cs="Palatino Linotype"/>
        </w:rPr>
        <w:t xml:space="preserve">debe generar por cada quincena, </w:t>
      </w:r>
      <w:r w:rsidRPr="00F403D1">
        <w:rPr>
          <w:rFonts w:ascii="Palatino Linotype" w:eastAsia="Palatino Linotype" w:hAnsi="Palatino Linotype" w:cs="Palatino Linotype"/>
          <w:b/>
        </w:rPr>
        <w:t xml:space="preserve">no puede constituir un volumen que exceda las 8,000 hojas o el peso de 500 Mb que soporta el SAIMEX </w:t>
      </w:r>
      <w:r w:rsidRPr="00F403D1">
        <w:rPr>
          <w:rFonts w:ascii="Palatino Linotype" w:eastAsia="Palatino Linotype" w:hAnsi="Palatino Linotype" w:cs="Palatino Linotype"/>
          <w:b/>
          <w:u w:val="single"/>
        </w:rPr>
        <w:t>por cada expediente</w:t>
      </w:r>
      <w:r w:rsidR="00395B9C" w:rsidRPr="00F403D1">
        <w:rPr>
          <w:rFonts w:ascii="Palatino Linotype" w:eastAsia="Palatino Linotype" w:hAnsi="Palatino Linotype" w:cs="Palatino Linotype"/>
          <w:b/>
        </w:rPr>
        <w:t xml:space="preserve">, </w:t>
      </w:r>
      <w:r w:rsidR="00395B9C" w:rsidRPr="00F403D1">
        <w:rPr>
          <w:rFonts w:ascii="Palatino Linotype" w:eastAsia="Palatino Linotype" w:hAnsi="Palatino Linotype" w:cs="Palatino Linotype"/>
        </w:rPr>
        <w:t>es decir, el correspondiente a cada solicitud de información.</w:t>
      </w:r>
    </w:p>
    <w:p w14:paraId="53BB257B" w14:textId="0AAF9B6D" w:rsidR="00B96383" w:rsidRPr="00F403D1" w:rsidRDefault="00B96383"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Por otra parte la elaboración de </w:t>
      </w:r>
      <w:r w:rsidR="0046669E" w:rsidRPr="00F403D1">
        <w:rPr>
          <w:rFonts w:ascii="Palatino Linotype" w:eastAsia="Palatino Linotype" w:hAnsi="Palatino Linotype" w:cs="Palatino Linotype"/>
        </w:rPr>
        <w:t>versiones</w:t>
      </w:r>
      <w:r w:rsidRPr="00F403D1">
        <w:rPr>
          <w:rFonts w:ascii="Palatino Linotype" w:eastAsia="Palatino Linotype" w:hAnsi="Palatino Linotype" w:cs="Palatino Linotype"/>
        </w:rPr>
        <w:t xml:space="preserve"> </w:t>
      </w:r>
      <w:r w:rsidR="0046669E" w:rsidRPr="00F403D1">
        <w:rPr>
          <w:rFonts w:ascii="Palatino Linotype" w:eastAsia="Palatino Linotype" w:hAnsi="Palatino Linotype" w:cs="Palatino Linotype"/>
        </w:rPr>
        <w:t>públicas</w:t>
      </w:r>
      <w:r w:rsidRPr="00F403D1">
        <w:rPr>
          <w:rFonts w:ascii="Palatino Linotype" w:eastAsia="Palatino Linotype" w:hAnsi="Palatino Linotype" w:cs="Palatino Linotype"/>
        </w:rPr>
        <w:t xml:space="preserve"> de este documento tampoco </w:t>
      </w:r>
      <w:r w:rsidR="0046669E" w:rsidRPr="00F403D1">
        <w:rPr>
          <w:rFonts w:ascii="Palatino Linotype" w:eastAsia="Palatino Linotype" w:hAnsi="Palatino Linotype" w:cs="Palatino Linotype"/>
        </w:rPr>
        <w:t>representa</w:t>
      </w:r>
      <w:r w:rsidRPr="00F403D1">
        <w:rPr>
          <w:rFonts w:ascii="Palatino Linotype" w:eastAsia="Palatino Linotype" w:hAnsi="Palatino Linotype" w:cs="Palatino Linotype"/>
        </w:rPr>
        <w:t xml:space="preserve"> una carga desproporcionada ya que los datos </w:t>
      </w:r>
      <w:r w:rsidR="0046669E" w:rsidRPr="00F403D1">
        <w:rPr>
          <w:rFonts w:ascii="Palatino Linotype" w:eastAsia="Palatino Linotype" w:hAnsi="Palatino Linotype" w:cs="Palatino Linotype"/>
        </w:rPr>
        <w:t xml:space="preserve">que deben ser testados </w:t>
      </w:r>
      <w:r w:rsidRPr="00F403D1">
        <w:rPr>
          <w:rFonts w:ascii="Palatino Linotype" w:eastAsia="Palatino Linotype" w:hAnsi="Palatino Linotype" w:cs="Palatino Linotype"/>
        </w:rPr>
        <w:t xml:space="preserve">se </w:t>
      </w:r>
      <w:r w:rsidR="0046669E" w:rsidRPr="00F403D1">
        <w:rPr>
          <w:rFonts w:ascii="Palatino Linotype" w:eastAsia="Palatino Linotype" w:hAnsi="Palatino Linotype" w:cs="Palatino Linotype"/>
        </w:rPr>
        <w:t>encuentran</w:t>
      </w:r>
      <w:r w:rsidRPr="00F403D1">
        <w:rPr>
          <w:rFonts w:ascii="Palatino Linotype" w:eastAsia="Palatino Linotype" w:hAnsi="Palatino Linotype" w:cs="Palatino Linotype"/>
        </w:rPr>
        <w:t xml:space="preserve"> </w:t>
      </w:r>
      <w:r w:rsidR="0046669E" w:rsidRPr="00F403D1">
        <w:rPr>
          <w:rFonts w:ascii="Palatino Linotype" w:eastAsia="Palatino Linotype" w:hAnsi="Palatino Linotype" w:cs="Palatino Linotype"/>
        </w:rPr>
        <w:t xml:space="preserve">fácilmente identifícales en </w:t>
      </w:r>
      <w:r w:rsidRPr="00F403D1">
        <w:rPr>
          <w:rFonts w:ascii="Palatino Linotype" w:eastAsia="Palatino Linotype" w:hAnsi="Palatino Linotype" w:cs="Palatino Linotype"/>
        </w:rPr>
        <w:t xml:space="preserve">columnas </w:t>
      </w:r>
      <w:r w:rsidR="00F4745B" w:rsidRPr="00F403D1">
        <w:rPr>
          <w:rFonts w:ascii="Palatino Linotype" w:eastAsia="Palatino Linotype" w:hAnsi="Palatino Linotype" w:cs="Palatino Linotype"/>
        </w:rPr>
        <w:t>específicas.</w:t>
      </w:r>
    </w:p>
    <w:p w14:paraId="4B76846D" w14:textId="21C41404" w:rsidR="00395B9C" w:rsidRPr="00F403D1" w:rsidRDefault="00395B9C" w:rsidP="00395B9C">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Bajo esta línea de pensamiento, se estima que para tener por satisfecho el Derecho de acceso de la persona solicitante es necesario que el </w:t>
      </w:r>
      <w:r w:rsidRPr="00F403D1">
        <w:rPr>
          <w:rFonts w:ascii="Palatino Linotype" w:eastAsia="Palatino Linotype" w:hAnsi="Palatino Linotype" w:cs="Palatino Linotype"/>
          <w:b/>
        </w:rPr>
        <w:t xml:space="preserve">Sujeto Obligado </w:t>
      </w:r>
      <w:r w:rsidRPr="00F403D1">
        <w:rPr>
          <w:rFonts w:ascii="Palatino Linotype" w:eastAsia="Palatino Linotype" w:hAnsi="Palatino Linotype" w:cs="Palatino Linotype"/>
        </w:rPr>
        <w:t>haga entrega de la conciliación de nómina y el comprobante bancario de la dispersión de la nómina, correspondientes a la primera quincena de enero a la segunda de julio de dos mil veinticinco, en versión pública de ser procedente, de conformidad con el considerando siguiente.</w:t>
      </w:r>
    </w:p>
    <w:p w14:paraId="1BAEDFEC" w14:textId="77777777" w:rsidR="00295AA1" w:rsidRPr="00F403D1" w:rsidRDefault="00295AA1" w:rsidP="00295AA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De lo hasta aquí expuesto, se concluye que los motivos de inconformidad de la parte </w:t>
      </w:r>
      <w:r w:rsidRPr="00F403D1">
        <w:rPr>
          <w:rFonts w:ascii="Palatino Linotype" w:eastAsia="Palatino Linotype" w:hAnsi="Palatino Linotype" w:cs="Palatino Linotype"/>
          <w:b/>
        </w:rPr>
        <w:t xml:space="preserve">Recurrente </w:t>
      </w:r>
      <w:r w:rsidRPr="00F403D1">
        <w:rPr>
          <w:rFonts w:ascii="Palatino Linotype" w:eastAsia="Palatino Linotype" w:hAnsi="Palatino Linotype" w:cs="Palatino Linotype"/>
        </w:rPr>
        <w:t xml:space="preserve">devienen fundados, siendo procedente </w:t>
      </w:r>
      <w:r w:rsidRPr="00F403D1">
        <w:rPr>
          <w:rFonts w:ascii="Palatino Linotype" w:eastAsia="Palatino Linotype" w:hAnsi="Palatino Linotype" w:cs="Palatino Linotype"/>
          <w:i/>
        </w:rPr>
        <w:t xml:space="preserve">Revocar </w:t>
      </w:r>
      <w:r w:rsidRPr="00F403D1">
        <w:rPr>
          <w:rFonts w:ascii="Palatino Linotype" w:eastAsia="Palatino Linotype" w:hAnsi="Palatino Linotype" w:cs="Palatino Linotype"/>
        </w:rPr>
        <w:t xml:space="preserve">la respuesta proporcionada por el </w:t>
      </w:r>
      <w:r w:rsidRPr="00F403D1">
        <w:rPr>
          <w:rFonts w:ascii="Palatino Linotype" w:eastAsia="Palatino Linotype" w:hAnsi="Palatino Linotype" w:cs="Palatino Linotype"/>
          <w:b/>
        </w:rPr>
        <w:t xml:space="preserve">Sujeto Obligado </w:t>
      </w:r>
      <w:r w:rsidRPr="00F403D1">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1ED13388" w14:textId="77777777" w:rsidR="00295AA1" w:rsidRPr="00F403D1" w:rsidRDefault="00295AA1" w:rsidP="00295AA1">
      <w:pPr>
        <w:spacing w:before="240" w:after="240" w:line="360" w:lineRule="auto"/>
        <w:ind w:right="51"/>
        <w:jc w:val="both"/>
        <w:rPr>
          <w:rFonts w:ascii="Palatino Linotype" w:eastAsia="Palatino Linotype" w:hAnsi="Palatino Linotype" w:cs="Palatino Linotype"/>
        </w:rPr>
      </w:pPr>
      <w:r w:rsidRPr="00F403D1">
        <w:rPr>
          <w:rFonts w:ascii="Palatino Linotype" w:eastAsia="Palatino Linotype" w:hAnsi="Palatino Linotype" w:cs="Palatino Linotype"/>
          <w:b/>
        </w:rPr>
        <w:t xml:space="preserve">Quinto. Versión Pública. </w:t>
      </w:r>
      <w:r w:rsidRPr="00F403D1">
        <w:rPr>
          <w:rFonts w:ascii="Palatino Linotype" w:eastAsia="Palatino Linotype" w:hAnsi="Palatino Linotype" w:cs="Palatino Linotype"/>
        </w:rPr>
        <w:t>Cómo fue debidamente apuntado, el </w:t>
      </w:r>
      <w:r w:rsidRPr="00F403D1">
        <w:rPr>
          <w:rFonts w:ascii="Palatino Linotype" w:eastAsia="Palatino Linotype" w:hAnsi="Palatino Linotype" w:cs="Palatino Linotype"/>
          <w:b/>
        </w:rPr>
        <w:t>Sujeto Obligado</w:t>
      </w:r>
      <w:r w:rsidRPr="00F403D1">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AB2B73B" w14:textId="77777777" w:rsidR="00295AA1" w:rsidRPr="00F403D1" w:rsidRDefault="00295AA1" w:rsidP="00295AA1">
      <w:pPr>
        <w:spacing w:before="240" w:after="240" w:line="360" w:lineRule="auto"/>
        <w:ind w:right="49"/>
        <w:jc w:val="both"/>
        <w:rPr>
          <w:rFonts w:ascii="Palatino Linotype" w:eastAsia="Palatino Linotype" w:hAnsi="Palatino Linotype" w:cs="Palatino Linotype"/>
        </w:rPr>
      </w:pPr>
      <w:r w:rsidRPr="00F403D1">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52C2F93" w14:textId="77777777" w:rsidR="00295AA1" w:rsidRPr="00F403D1" w:rsidRDefault="00295AA1" w:rsidP="00295AA1">
      <w:pPr>
        <w:spacing w:before="240" w:after="240" w:line="360" w:lineRule="auto"/>
        <w:ind w:right="49"/>
        <w:jc w:val="both"/>
        <w:rPr>
          <w:rFonts w:ascii="Palatino Linotype" w:eastAsia="Palatino Linotype" w:hAnsi="Palatino Linotype" w:cs="Palatino Linotype"/>
        </w:rPr>
      </w:pPr>
      <w:r w:rsidRPr="00F403D1">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B29C569" w14:textId="77777777" w:rsidR="00295AA1" w:rsidRPr="00F403D1" w:rsidRDefault="00295AA1" w:rsidP="00295AA1">
      <w:pPr>
        <w:spacing w:before="240" w:after="240" w:line="360" w:lineRule="auto"/>
        <w:ind w:right="49"/>
        <w:jc w:val="both"/>
        <w:rPr>
          <w:rFonts w:ascii="Palatino Linotype" w:eastAsia="Palatino Linotype" w:hAnsi="Palatino Linotype" w:cs="Palatino Linotype"/>
        </w:rPr>
      </w:pPr>
      <w:r w:rsidRPr="00F403D1">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vigente establecen:</w:t>
      </w:r>
    </w:p>
    <w:p w14:paraId="6C873106"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rPr>
        <w:t> </w:t>
      </w:r>
      <w:r w:rsidRPr="00F403D1">
        <w:rPr>
          <w:rFonts w:ascii="Palatino Linotype" w:eastAsia="Palatino Linotype" w:hAnsi="Palatino Linotype" w:cs="Palatino Linotype"/>
          <w:i/>
        </w:rPr>
        <w:t>“</w:t>
      </w:r>
      <w:r w:rsidRPr="00F403D1">
        <w:rPr>
          <w:rFonts w:ascii="Palatino Linotype" w:eastAsia="Palatino Linotype" w:hAnsi="Palatino Linotype" w:cs="Palatino Linotype"/>
          <w:b/>
          <w:i/>
        </w:rPr>
        <w:t>Artículo 3.</w:t>
      </w:r>
      <w:r w:rsidRPr="00F403D1">
        <w:rPr>
          <w:rFonts w:ascii="Palatino Linotype" w:eastAsia="Palatino Linotype" w:hAnsi="Palatino Linotype" w:cs="Palatino Linotype"/>
          <w:i/>
        </w:rPr>
        <w:t xml:space="preserve"> Para los efectos de la presente Ley se entenderá por:</w:t>
      </w:r>
    </w:p>
    <w:p w14:paraId="197091E4" w14:textId="77777777" w:rsidR="00295AA1" w:rsidRPr="00F403D1" w:rsidRDefault="00295AA1" w:rsidP="00395B9C">
      <w:pPr>
        <w:tabs>
          <w:tab w:val="left" w:pos="1276"/>
        </w:tabs>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w:t>
      </w:r>
    </w:p>
    <w:p w14:paraId="0E99A216" w14:textId="77777777" w:rsidR="00295AA1" w:rsidRPr="00F403D1" w:rsidRDefault="00295AA1" w:rsidP="00395B9C">
      <w:pPr>
        <w:tabs>
          <w:tab w:val="left" w:pos="1276"/>
        </w:tabs>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IX. Datos personales</w:t>
      </w:r>
      <w:r w:rsidRPr="00F403D1">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36EBD9B2" w14:textId="77777777" w:rsidR="00295AA1" w:rsidRPr="00F403D1" w:rsidRDefault="00295AA1" w:rsidP="00395B9C">
      <w:pPr>
        <w:tabs>
          <w:tab w:val="left" w:pos="1276"/>
        </w:tabs>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w:t>
      </w:r>
    </w:p>
    <w:p w14:paraId="110B41E1" w14:textId="77777777" w:rsidR="00295AA1" w:rsidRPr="00F403D1" w:rsidRDefault="00295AA1" w:rsidP="00395B9C">
      <w:pPr>
        <w:tabs>
          <w:tab w:val="left" w:pos="1276"/>
        </w:tabs>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XX. Información clasificada</w:t>
      </w:r>
      <w:r w:rsidRPr="00F403D1">
        <w:rPr>
          <w:rFonts w:ascii="Palatino Linotype" w:eastAsia="Palatino Linotype" w:hAnsi="Palatino Linotype" w:cs="Palatino Linotype"/>
          <w:i/>
        </w:rPr>
        <w:t>: Aquella considerada por la presente Ley como reservada o confidencial;</w:t>
      </w:r>
    </w:p>
    <w:p w14:paraId="77EB21C3" w14:textId="77777777" w:rsidR="00295AA1" w:rsidRPr="00F403D1" w:rsidRDefault="00295AA1" w:rsidP="00395B9C">
      <w:pPr>
        <w:tabs>
          <w:tab w:val="left" w:pos="1276"/>
        </w:tabs>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XXI. Información confidencial</w:t>
      </w:r>
      <w:r w:rsidRPr="00F403D1">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27B2B8E" w14:textId="77777777" w:rsidR="00295AA1" w:rsidRPr="00F403D1" w:rsidRDefault="00295AA1" w:rsidP="00395B9C">
      <w:pPr>
        <w:tabs>
          <w:tab w:val="left" w:pos="1276"/>
        </w:tabs>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w:t>
      </w:r>
    </w:p>
    <w:p w14:paraId="1A42A7DA" w14:textId="77777777" w:rsidR="00295AA1" w:rsidRPr="00F403D1" w:rsidRDefault="00295AA1" w:rsidP="00395B9C">
      <w:pPr>
        <w:tabs>
          <w:tab w:val="left" w:pos="1276"/>
        </w:tabs>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XXXII. Protección de Datos Personales</w:t>
      </w:r>
      <w:r w:rsidRPr="00F403D1">
        <w:rPr>
          <w:rFonts w:ascii="Palatino Linotype" w:eastAsia="Palatino Linotype" w:hAnsi="Palatino Linotype" w:cs="Palatino Linotype"/>
          <w:i/>
        </w:rPr>
        <w:t>: Derecho humano que tutela la privacidad de datos personales en poder de los sujetos obligados y sujetos particulares;</w:t>
      </w:r>
    </w:p>
    <w:p w14:paraId="0A2E11B1" w14:textId="77777777" w:rsidR="00295AA1" w:rsidRPr="00F403D1" w:rsidRDefault="00295AA1" w:rsidP="00395B9C">
      <w:pPr>
        <w:tabs>
          <w:tab w:val="left" w:pos="1276"/>
        </w:tabs>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w:t>
      </w:r>
    </w:p>
    <w:p w14:paraId="24696F52" w14:textId="77777777" w:rsidR="00295AA1" w:rsidRPr="00F403D1" w:rsidRDefault="00295AA1" w:rsidP="00395B9C">
      <w:pPr>
        <w:tabs>
          <w:tab w:val="left" w:pos="1276"/>
        </w:tabs>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XLV. Versión pública</w:t>
      </w:r>
      <w:r w:rsidRPr="00F403D1">
        <w:rPr>
          <w:rFonts w:ascii="Palatino Linotype" w:eastAsia="Palatino Linotype" w:hAnsi="Palatino Linotype" w:cs="Palatino Linotype"/>
          <w:i/>
        </w:rPr>
        <w:t>: Documento en el que se elimine, suprime o borra la información clasificada como reservada o confidencial para permitir su acceso.</w:t>
      </w:r>
    </w:p>
    <w:p w14:paraId="7BE06338"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 Artículo 6</w:t>
      </w:r>
      <w:r w:rsidRPr="00F403D1">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A4B51A7"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w:t>
      </w:r>
    </w:p>
    <w:p w14:paraId="66886CAD"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Artículo 91.</w:t>
      </w:r>
      <w:r w:rsidRPr="00F403D1">
        <w:rPr>
          <w:rFonts w:ascii="Palatino Linotype" w:eastAsia="Palatino Linotype" w:hAnsi="Palatino Linotype" w:cs="Palatino Linotype"/>
          <w:i/>
        </w:rPr>
        <w:t xml:space="preserve"> El acceso a la información pública será restringido excepcionalmente, cuando ésta sea clasificada como reservada o confidencial.</w:t>
      </w:r>
      <w:r w:rsidRPr="00F403D1">
        <w:rPr>
          <w:rFonts w:ascii="Palatino Linotype" w:eastAsia="Palatino Linotype" w:hAnsi="Palatino Linotype" w:cs="Palatino Linotype"/>
          <w:i/>
        </w:rPr>
        <w:br/>
        <w:t>…</w:t>
      </w:r>
    </w:p>
    <w:p w14:paraId="1ABE101A"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Artículo 132.</w:t>
      </w:r>
      <w:r w:rsidRPr="00F403D1">
        <w:rPr>
          <w:rFonts w:ascii="Palatino Linotype" w:eastAsia="Palatino Linotype" w:hAnsi="Palatino Linotype" w:cs="Palatino Linotype"/>
          <w:i/>
        </w:rPr>
        <w:t xml:space="preserve"> La clasificación de la información se llevará a cabo en el momento en que:</w:t>
      </w:r>
    </w:p>
    <w:p w14:paraId="087C7477"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w:t>
      </w:r>
      <w:r w:rsidRPr="00F403D1">
        <w:rPr>
          <w:rFonts w:ascii="Palatino Linotype" w:eastAsia="Palatino Linotype" w:hAnsi="Palatino Linotype" w:cs="Palatino Linotype"/>
          <w:i/>
        </w:rPr>
        <w:t>. Se reciba una solicitud de acceso a la información;</w:t>
      </w:r>
    </w:p>
    <w:p w14:paraId="298CA37E"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II.</w:t>
      </w:r>
      <w:r w:rsidRPr="00F403D1">
        <w:rPr>
          <w:rFonts w:ascii="Palatino Linotype" w:eastAsia="Palatino Linotype" w:hAnsi="Palatino Linotype" w:cs="Palatino Linotype"/>
          <w:i/>
        </w:rPr>
        <w:t xml:space="preserve"> Se determine mediante resolución de autoridad competente; o</w:t>
      </w:r>
    </w:p>
    <w:p w14:paraId="1368DD56"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III.</w:t>
      </w:r>
      <w:r w:rsidRPr="00F403D1">
        <w:rPr>
          <w:rFonts w:ascii="Palatino Linotype" w:eastAsia="Palatino Linotype" w:hAnsi="Palatino Linotype" w:cs="Palatino Linotype"/>
          <w:i/>
        </w:rPr>
        <w:t xml:space="preserve"> Se generen versiones públicas para dar cumplimiento a las obligaciones de transparencia previstas en esta Ley.</w:t>
      </w:r>
    </w:p>
    <w:p w14:paraId="38FFE770"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w:t>
      </w:r>
    </w:p>
    <w:p w14:paraId="4C5E7A32"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Artículo 137.</w:t>
      </w:r>
      <w:r w:rsidRPr="00F403D1">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F82A714"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 Artículo 143.</w:t>
      </w:r>
      <w:r w:rsidRPr="00F403D1">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32509F14"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w:t>
      </w:r>
      <w:r w:rsidRPr="00F403D1">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59F3A2EC" w14:textId="77777777" w:rsidR="00295AA1" w:rsidRPr="00F403D1" w:rsidRDefault="00295AA1" w:rsidP="00295AA1">
      <w:pPr>
        <w:spacing w:before="240" w:after="240" w:line="360" w:lineRule="auto"/>
        <w:ind w:right="50"/>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F403D1">
        <w:rPr>
          <w:rFonts w:ascii="Palatino Linotype" w:eastAsia="Palatino Linotype" w:hAnsi="Palatino Linotype" w:cs="Palatino Linotype"/>
          <w:b/>
        </w:rPr>
        <w:t>Sujeto Obligado</w:t>
      </w:r>
      <w:r w:rsidRPr="00F403D1">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2BE1DB6" w14:textId="77777777" w:rsidR="00295AA1" w:rsidRPr="00F403D1" w:rsidRDefault="00295AA1" w:rsidP="00295AA1">
      <w:pPr>
        <w:spacing w:before="240" w:after="240" w:line="360" w:lineRule="auto"/>
        <w:ind w:right="50"/>
        <w:jc w:val="both"/>
        <w:rPr>
          <w:rFonts w:ascii="Palatino Linotype" w:eastAsia="Palatino Linotype" w:hAnsi="Palatino Linotype" w:cs="Palatino Linotype"/>
        </w:rPr>
      </w:pPr>
      <w:r w:rsidRPr="00F403D1">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286B121"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En el caso específico, la información que se ordena si bien tiene el carácter información pública en razón de que se trata de documentos que se encuentran en posesión del </w:t>
      </w:r>
      <w:r w:rsidRPr="00F403D1">
        <w:rPr>
          <w:rFonts w:ascii="Palatino Linotype" w:eastAsia="Palatino Linotype" w:hAnsi="Palatino Linotype" w:cs="Palatino Linotype"/>
          <w:b/>
        </w:rPr>
        <w:t>Sujeto Obligado</w:t>
      </w:r>
      <w:r w:rsidRPr="00F403D1">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F403D1">
        <w:rPr>
          <w:rFonts w:ascii="Palatino Linotype" w:eastAsia="Palatino Linotype" w:hAnsi="Palatino Linotype" w:cs="Palatino Linotype"/>
          <w:b/>
        </w:rPr>
        <w:t>Registro Federal de Contribuyentes</w:t>
      </w:r>
      <w:r w:rsidRPr="00F403D1">
        <w:rPr>
          <w:rFonts w:ascii="Palatino Linotype" w:eastAsia="Palatino Linotype" w:hAnsi="Palatino Linotype" w:cs="Palatino Linotype"/>
        </w:rPr>
        <w:t xml:space="preserve"> (RFC), la </w:t>
      </w:r>
      <w:r w:rsidRPr="00F403D1">
        <w:rPr>
          <w:rFonts w:ascii="Palatino Linotype" w:eastAsia="Palatino Linotype" w:hAnsi="Palatino Linotype" w:cs="Palatino Linotype"/>
          <w:b/>
        </w:rPr>
        <w:t>Clave Única de Registro de Población</w:t>
      </w:r>
      <w:r w:rsidRPr="00F403D1">
        <w:rPr>
          <w:rFonts w:ascii="Palatino Linotype" w:eastAsia="Palatino Linotype" w:hAnsi="Palatino Linotype" w:cs="Palatino Linotype"/>
        </w:rPr>
        <w:t xml:space="preserve"> (CURP), la </w:t>
      </w:r>
      <w:r w:rsidRPr="00F403D1">
        <w:rPr>
          <w:rFonts w:ascii="Palatino Linotype" w:eastAsia="Palatino Linotype" w:hAnsi="Palatino Linotype" w:cs="Palatino Linotype"/>
          <w:b/>
        </w:rPr>
        <w:t>Clave de cualquier tipo de seguridad social</w:t>
      </w:r>
      <w:r w:rsidRPr="00F403D1">
        <w:rPr>
          <w:rFonts w:ascii="Palatino Linotype" w:eastAsia="Palatino Linotype" w:hAnsi="Palatino Linotype" w:cs="Palatino Linotype"/>
        </w:rPr>
        <w:t xml:space="preserve"> (ISSEMYM, u otros), los </w:t>
      </w:r>
      <w:r w:rsidRPr="00F403D1">
        <w:rPr>
          <w:rFonts w:ascii="Palatino Linotype" w:eastAsia="Palatino Linotype" w:hAnsi="Palatino Linotype" w:cs="Palatino Linotype"/>
          <w:b/>
        </w:rPr>
        <w:t>números de cuentas bancarias</w:t>
      </w:r>
      <w:r w:rsidRPr="00F403D1">
        <w:rPr>
          <w:rFonts w:ascii="Palatino Linotype" w:eastAsia="Palatino Linotype" w:hAnsi="Palatino Linotype" w:cs="Palatino Linotype"/>
        </w:rPr>
        <w:t xml:space="preserve">, claves estandarizadas – interbancarias - (CLABES) y de tarjetas, los </w:t>
      </w:r>
      <w:r w:rsidRPr="00F403D1">
        <w:rPr>
          <w:rFonts w:ascii="Palatino Linotype" w:eastAsia="Palatino Linotype" w:hAnsi="Palatino Linotype" w:cs="Palatino Linotype"/>
          <w:b/>
        </w:rPr>
        <w:t>préstamos o descuentos</w:t>
      </w:r>
      <w:r w:rsidRPr="00F403D1">
        <w:rPr>
          <w:rFonts w:ascii="Palatino Linotype" w:eastAsia="Palatino Linotype" w:hAnsi="Palatino Linotype" w:cs="Palatino Linotype"/>
        </w:rPr>
        <w:t xml:space="preserve"> que se le hagan a la persona y que no tengan relación con los impuestos o la cuota por seguridad social, el</w:t>
      </w:r>
      <w:r w:rsidRPr="00F403D1">
        <w:rPr>
          <w:rFonts w:ascii="Palatino Linotype" w:eastAsia="Palatino Linotype" w:hAnsi="Palatino Linotype" w:cs="Palatino Linotype"/>
          <w:b/>
        </w:rPr>
        <w:t xml:space="preserve"> número de empleado, </w:t>
      </w:r>
      <w:r w:rsidRPr="00F403D1">
        <w:rPr>
          <w:rFonts w:ascii="Palatino Linotype" w:eastAsia="Palatino Linotype" w:hAnsi="Palatino Linotype" w:cs="Palatino Linotype"/>
        </w:rPr>
        <w:t>y cualquier información de carácter fiscal.</w:t>
      </w:r>
    </w:p>
    <w:p w14:paraId="0445E295" w14:textId="77777777" w:rsidR="00295AA1" w:rsidRPr="00F403D1" w:rsidRDefault="00295AA1" w:rsidP="00295AA1">
      <w:pPr>
        <w:spacing w:before="240" w:after="240" w:line="360" w:lineRule="auto"/>
        <w:ind w:right="50"/>
        <w:jc w:val="both"/>
        <w:rPr>
          <w:rFonts w:ascii="Palatino Linotype" w:eastAsia="Palatino Linotype" w:hAnsi="Palatino Linotype" w:cs="Palatino Linotype"/>
        </w:rPr>
      </w:pPr>
      <w:r w:rsidRPr="00F403D1">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8122C53"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Por cuanto hace al </w:t>
      </w:r>
      <w:r w:rsidRPr="00F403D1">
        <w:rPr>
          <w:rFonts w:ascii="Palatino Linotype" w:eastAsia="Palatino Linotype" w:hAnsi="Palatino Linotype" w:cs="Palatino Linotype"/>
          <w:b/>
        </w:rPr>
        <w:t>Registro Federal de Contribuyentes, RFC,</w:t>
      </w:r>
      <w:r w:rsidRPr="00F403D1">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3C3B2D7B"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54CA140" w14:textId="77777777" w:rsidR="00295AA1" w:rsidRPr="00F403D1" w:rsidRDefault="00295AA1" w:rsidP="00295AA1">
      <w:pPr>
        <w:spacing w:before="240" w:after="240" w:line="360" w:lineRule="auto"/>
        <w:jc w:val="both"/>
        <w:rPr>
          <w:rFonts w:ascii="Palatino Linotype" w:eastAsia="Palatino Linotype" w:hAnsi="Palatino Linotype" w:cs="Palatino Linotype"/>
        </w:rPr>
      </w:pPr>
      <w:bookmarkStart w:id="7" w:name="_heading=h.26in1rg" w:colFirst="0" w:colLast="0"/>
      <w:bookmarkEnd w:id="7"/>
      <w:r w:rsidRPr="00F403D1">
        <w:rPr>
          <w:rFonts w:ascii="Palatino Linotype" w:eastAsia="Palatino Linotype" w:hAnsi="Palatino Linotype" w:cs="Palatino Linotype"/>
        </w:rPr>
        <w:t>Lo anterior se apoya del criterio orientador con clave de control SO/019/2017, emitido por el entonces Instituto Nacional de Transparencia, Acceso a la Información y Protección de Datos Personales, INAI, el cual es del tenor literal siguiente:</w:t>
      </w:r>
    </w:p>
    <w:p w14:paraId="27D2F7D5" w14:textId="77777777" w:rsidR="00295AA1" w:rsidRPr="00F403D1" w:rsidRDefault="00295AA1" w:rsidP="00295AA1">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 xml:space="preserve"> “Registro Federal de Contribuyentes (RFC) de personas físicas</w:t>
      </w:r>
      <w:r w:rsidRPr="00F403D1">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637A6937"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A233DB7"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De igual manera la </w:t>
      </w:r>
      <w:r w:rsidRPr="00F403D1">
        <w:rPr>
          <w:rFonts w:ascii="Palatino Linotype" w:eastAsia="Palatino Linotype" w:hAnsi="Palatino Linotype" w:cs="Palatino Linotype"/>
          <w:b/>
        </w:rPr>
        <w:t>Clave Única de Registro de Población</w:t>
      </w:r>
      <w:r w:rsidRPr="00F403D1">
        <w:rPr>
          <w:rFonts w:ascii="Palatino Linotype" w:eastAsia="Palatino Linotype" w:hAnsi="Palatino Linotype" w:cs="Palatino Linotype"/>
        </w:rPr>
        <w:t xml:space="preserve">, </w:t>
      </w:r>
      <w:r w:rsidRPr="00F403D1">
        <w:rPr>
          <w:rFonts w:ascii="Palatino Linotype" w:eastAsia="Palatino Linotype" w:hAnsi="Palatino Linotype" w:cs="Palatino Linotype"/>
          <w:b/>
        </w:rPr>
        <w:t>CURP,</w:t>
      </w:r>
      <w:r w:rsidRPr="00F403D1">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65039468"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Argumento que se apoya del criterio orientador con Clave de control SO/018/2017, emitido por el entonces Instituto Nacional de Transparencia, Acceso a la Información y Protección de Datos Personales, INAI, el cual refiere:</w:t>
      </w:r>
    </w:p>
    <w:p w14:paraId="55614E72" w14:textId="77777777" w:rsidR="00295AA1" w:rsidRPr="00F403D1" w:rsidRDefault="00295AA1" w:rsidP="00295AA1">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 xml:space="preserve"> “Clave Única de Registro de Población (CURP). </w:t>
      </w:r>
      <w:r w:rsidRPr="00F403D1">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10B3E23"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Por lo que respecta a la </w:t>
      </w:r>
      <w:r w:rsidRPr="00F403D1">
        <w:rPr>
          <w:rFonts w:ascii="Palatino Linotype" w:eastAsia="Palatino Linotype" w:hAnsi="Palatino Linotype" w:cs="Palatino Linotype"/>
          <w:b/>
        </w:rPr>
        <w:t>clave de seguridad social</w:t>
      </w:r>
      <w:r w:rsidRPr="00F403D1">
        <w:rPr>
          <w:rFonts w:ascii="Palatino Linotype" w:eastAsia="Palatino Linotype" w:hAnsi="Palatino Linotype" w:cs="Palatino Linotype"/>
        </w:rPr>
        <w:t>, en virtud de que su divulgación no aporta a la transparencia o a la rendición de cuentas y sí provoca una transgresión a la vida privada e intimidad de la persona, esta información también resulta ser de carácter confidencial.</w:t>
      </w:r>
    </w:p>
    <w:p w14:paraId="775B8C91"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Respecto de los </w:t>
      </w:r>
      <w:r w:rsidRPr="00F403D1">
        <w:rPr>
          <w:rFonts w:ascii="Palatino Linotype" w:eastAsia="Palatino Linotype" w:hAnsi="Palatino Linotype" w:cs="Palatino Linotype"/>
          <w:b/>
        </w:rPr>
        <w:t>números de cuentas bancari</w:t>
      </w:r>
      <w:r w:rsidRPr="00F403D1">
        <w:rPr>
          <w:rFonts w:ascii="Palatino Linotype" w:eastAsia="Palatino Linotype" w:hAnsi="Palatino Linotype" w:cs="Palatino Linotype"/>
        </w:rPr>
        <w:t xml:space="preserve">as, </w:t>
      </w:r>
      <w:r w:rsidRPr="00F403D1">
        <w:rPr>
          <w:rFonts w:ascii="Palatino Linotype" w:eastAsia="Palatino Linotype" w:hAnsi="Palatino Linotype" w:cs="Palatino Linotype"/>
          <w:b/>
        </w:rPr>
        <w:t>claves estandarizadas –interbancarias- (CLABES) y de tarjetas</w:t>
      </w:r>
      <w:r w:rsidRPr="00F403D1">
        <w:rPr>
          <w:rFonts w:ascii="Palatino Linotype" w:eastAsia="Palatino Linotype" w:hAnsi="Palatino Linotype" w:cs="Palatino Linotype"/>
        </w:rPr>
        <w:t>, el Pleno de este Instituto ha determinado que esa información debe clasificarse como confidencial, y elaborarse una versión pública en la que se teste la misma.</w:t>
      </w:r>
    </w:p>
    <w:p w14:paraId="0E2C9E4D"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0C19AC1"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7E5AD373"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7D6ECDD9"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1EDBED67"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Lo argumentado se apoya de los criterios orientadores con claves de control SO/010/2017 y SO/011/2017, emitidos por el entonces Instituto Nacional de Transparencia, Acceso a la Información y Protección de Datos Personales, INAI, que llevan por rubro y texto los siguientes:</w:t>
      </w:r>
    </w:p>
    <w:p w14:paraId="762F4DB9" w14:textId="77777777" w:rsidR="00295AA1" w:rsidRPr="00F403D1" w:rsidRDefault="00295AA1" w:rsidP="00295AA1">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w:t>
      </w:r>
      <w:r w:rsidRPr="00F403D1">
        <w:rPr>
          <w:rFonts w:ascii="Palatino Linotype" w:eastAsia="Palatino Linotype" w:hAnsi="Palatino Linotype" w:cs="Palatino Linotype"/>
          <w:b/>
          <w:i/>
        </w:rPr>
        <w:t>Cuentas bancarias y/o CLABE interbancaria de personas físicas y morales privadas.</w:t>
      </w:r>
      <w:r w:rsidRPr="00F403D1">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FC5B316" w14:textId="77777777" w:rsidR="00295AA1" w:rsidRPr="00F403D1" w:rsidRDefault="00295AA1" w:rsidP="00295AA1">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“Cuentas bancarias y/o CLABE interbancaria de sujetos obligados que reciben y/o transfieren recursos públicos, son información pública.</w:t>
      </w:r>
      <w:r w:rsidRPr="00F403D1">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E7416A7" w14:textId="77777777" w:rsidR="00295AA1" w:rsidRPr="00F403D1" w:rsidRDefault="00295AA1" w:rsidP="00295AA1">
      <w:pPr>
        <w:spacing w:before="240" w:after="240" w:line="360" w:lineRule="auto"/>
        <w:jc w:val="both"/>
        <w:rPr>
          <w:rFonts w:ascii="Palatino Linotype" w:eastAsia="Palatino Linotype" w:hAnsi="Palatino Linotype" w:cs="Palatino Linotype"/>
        </w:rPr>
      </w:pPr>
      <w:bookmarkStart w:id="8" w:name="_heading=h.35nkun2" w:colFirst="0" w:colLast="0"/>
      <w:bookmarkEnd w:id="8"/>
      <w:r w:rsidRPr="00F403D1">
        <w:rPr>
          <w:rFonts w:ascii="Palatino Linotype" w:eastAsia="Palatino Linotype" w:hAnsi="Palatino Linotype" w:cs="Palatino Linotype"/>
        </w:rPr>
        <w:t xml:space="preserve">Por cuanto hace a los </w:t>
      </w:r>
      <w:r w:rsidRPr="00F403D1">
        <w:rPr>
          <w:rFonts w:ascii="Palatino Linotype" w:eastAsia="Palatino Linotype" w:hAnsi="Palatino Linotype" w:cs="Palatino Linotype"/>
          <w:b/>
        </w:rPr>
        <w:t>préstamos o descuentos de carácter personal</w:t>
      </w:r>
      <w:r w:rsidRPr="00F403D1">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3695DF55"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2EA5917A" w14:textId="77777777" w:rsidR="00295AA1" w:rsidRPr="00F403D1" w:rsidRDefault="00295AA1" w:rsidP="00395B9C">
      <w:pPr>
        <w:spacing w:before="120" w:after="120"/>
        <w:ind w:left="851" w:right="902"/>
        <w:jc w:val="both"/>
        <w:rPr>
          <w:rFonts w:ascii="Palatino Linotype" w:eastAsia="Palatino Linotype" w:hAnsi="Palatino Linotype" w:cs="Palatino Linotype"/>
          <w:b/>
          <w:i/>
        </w:rPr>
      </w:pPr>
      <w:bookmarkStart w:id="9" w:name="_heading=h.1ksv4uv" w:colFirst="0" w:colLast="0"/>
      <w:bookmarkEnd w:id="9"/>
      <w:r w:rsidRPr="00F403D1">
        <w:rPr>
          <w:rFonts w:ascii="Palatino Linotype" w:eastAsia="Palatino Linotype" w:hAnsi="Palatino Linotype" w:cs="Palatino Linotype"/>
          <w:b/>
          <w:i/>
        </w:rPr>
        <w:t xml:space="preserve">“ARTÍCULO 84. </w:t>
      </w:r>
      <w:r w:rsidRPr="00F403D1">
        <w:rPr>
          <w:rFonts w:ascii="Palatino Linotype" w:eastAsia="Palatino Linotype" w:hAnsi="Palatino Linotype" w:cs="Palatino Linotype"/>
          <w:i/>
        </w:rPr>
        <w:t>Sólo podrán hacerse retenciones, descuentos o deducciones al sueldo de los servidores públicos por concepto de:</w:t>
      </w:r>
    </w:p>
    <w:p w14:paraId="20CAC7BE"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w:t>
      </w:r>
      <w:r w:rsidRPr="00F403D1">
        <w:rPr>
          <w:rFonts w:ascii="Palatino Linotype" w:eastAsia="Palatino Linotype" w:hAnsi="Palatino Linotype" w:cs="Palatino Linotype"/>
          <w:i/>
        </w:rPr>
        <w:t xml:space="preserve"> Gravámenes fiscales relacionados con el sueldo;</w:t>
      </w:r>
    </w:p>
    <w:p w14:paraId="1E5D965F"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II.</w:t>
      </w:r>
      <w:r w:rsidRPr="00F403D1">
        <w:rPr>
          <w:rFonts w:ascii="Palatino Linotype" w:eastAsia="Palatino Linotype" w:hAnsi="Palatino Linotype" w:cs="Palatino Linotype"/>
          <w:i/>
        </w:rPr>
        <w:t xml:space="preserve"> Deudas contraídas con las instituciones públicas o dependencias por concepto de anticipos de sueldo, pagos hechos con exceso, errores o pérdidas debidamente comprobados;</w:t>
      </w:r>
    </w:p>
    <w:p w14:paraId="075E85E5"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III.</w:t>
      </w:r>
      <w:r w:rsidRPr="00F403D1">
        <w:rPr>
          <w:rFonts w:ascii="Palatino Linotype" w:eastAsia="Palatino Linotype" w:hAnsi="Palatino Linotype" w:cs="Palatino Linotype"/>
          <w:i/>
        </w:rPr>
        <w:t xml:space="preserve"> </w:t>
      </w:r>
      <w:r w:rsidRPr="00F403D1">
        <w:rPr>
          <w:rFonts w:ascii="Palatino Linotype" w:eastAsia="Palatino Linotype" w:hAnsi="Palatino Linotype" w:cs="Palatino Linotype"/>
          <w:b/>
          <w:i/>
        </w:rPr>
        <w:t>Cuotas sindicales</w:t>
      </w:r>
      <w:r w:rsidRPr="00F403D1">
        <w:rPr>
          <w:rFonts w:ascii="Palatino Linotype" w:eastAsia="Palatino Linotype" w:hAnsi="Palatino Linotype" w:cs="Palatino Linotype"/>
          <w:i/>
        </w:rPr>
        <w:t>;</w:t>
      </w:r>
    </w:p>
    <w:p w14:paraId="50434B54"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IV.</w:t>
      </w:r>
      <w:r w:rsidRPr="00F403D1">
        <w:rPr>
          <w:rFonts w:ascii="Palatino Linotype" w:eastAsia="Palatino Linotype" w:hAnsi="Palatino Linotype" w:cs="Palatino Linotype"/>
          <w:i/>
        </w:rPr>
        <w:t xml:space="preserve"> Cuotas de aportación a fondos para la constitución de cooperativas y de cajas de ahorro, siempre que el servidor público hubiese manifestado previamente, de manera expresa, su conformidad;</w:t>
      </w:r>
    </w:p>
    <w:p w14:paraId="40ADA4A4"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V.</w:t>
      </w:r>
      <w:r w:rsidRPr="00F403D1">
        <w:rPr>
          <w:rFonts w:ascii="Palatino Linotype" w:eastAsia="Palatino Linotype" w:hAnsi="Palatino Linotype" w:cs="Palatino Linotype"/>
          <w:i/>
        </w:rPr>
        <w:t xml:space="preserve"> Descuentos ordenados por el Instituto de Seguridad Social del Estado de México y Municipios, con motivo de cuotas y obligaciones contraídas con éste por los servidores públicos;</w:t>
      </w:r>
    </w:p>
    <w:p w14:paraId="6091FA39"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VI.</w:t>
      </w:r>
      <w:r w:rsidRPr="00F403D1">
        <w:rPr>
          <w:rFonts w:ascii="Palatino Linotype" w:eastAsia="Palatino Linotype" w:hAnsi="Palatino Linotype" w:cs="Palatino Linotype"/>
          <w:i/>
        </w:rPr>
        <w:t xml:space="preserve"> Obligaciones a cargo del servidor público con las que haya consentido, derivadas de la adquisición o del uso de habitaciones consideradas como de interés social;</w:t>
      </w:r>
    </w:p>
    <w:p w14:paraId="5B3943F5"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VII.</w:t>
      </w:r>
      <w:r w:rsidRPr="00F403D1">
        <w:rPr>
          <w:rFonts w:ascii="Palatino Linotype" w:eastAsia="Palatino Linotype" w:hAnsi="Palatino Linotype" w:cs="Palatino Linotype"/>
          <w:i/>
        </w:rPr>
        <w:t xml:space="preserve"> Faltas de puntualidad o de asistencia injustificadas;</w:t>
      </w:r>
    </w:p>
    <w:p w14:paraId="3EF0F362"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VIII. Pensiones alimenticias ordenadas por la autoridad judicial;</w:t>
      </w:r>
      <w:r w:rsidRPr="00F403D1">
        <w:rPr>
          <w:rFonts w:ascii="Palatino Linotype" w:eastAsia="Palatino Linotype" w:hAnsi="Palatino Linotype" w:cs="Palatino Linotype"/>
          <w:i/>
        </w:rPr>
        <w:t xml:space="preserve"> o</w:t>
      </w:r>
    </w:p>
    <w:p w14:paraId="3CB5C73A" w14:textId="77777777" w:rsidR="00295AA1" w:rsidRPr="00F403D1" w:rsidRDefault="00295AA1" w:rsidP="00395B9C">
      <w:pPr>
        <w:spacing w:before="120" w:after="120"/>
        <w:ind w:left="851" w:right="902"/>
        <w:jc w:val="both"/>
        <w:rPr>
          <w:rFonts w:ascii="Palatino Linotype" w:eastAsia="Palatino Linotype" w:hAnsi="Palatino Linotype" w:cs="Palatino Linotype"/>
          <w:b/>
          <w:i/>
        </w:rPr>
      </w:pPr>
      <w:r w:rsidRPr="00F403D1">
        <w:rPr>
          <w:rFonts w:ascii="Palatino Linotype" w:eastAsia="Palatino Linotype" w:hAnsi="Palatino Linotype" w:cs="Palatino Linotype"/>
          <w:b/>
          <w:i/>
        </w:rPr>
        <w:t>IX. Cualquier otro convenido con instituciones de servicios y aceptado por el servidor público.</w:t>
      </w:r>
    </w:p>
    <w:p w14:paraId="24A8C0A2"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78F2C20B"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140B0CDF"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De este modo, los </w:t>
      </w:r>
      <w:r w:rsidRPr="00F403D1">
        <w:rPr>
          <w:rFonts w:ascii="Palatino Linotype" w:eastAsia="Palatino Linotype" w:hAnsi="Palatino Linotype" w:cs="Palatino Linotype"/>
          <w:b/>
        </w:rPr>
        <w:t>descuentos o deducciones por cuotas sindicales</w:t>
      </w:r>
      <w:r w:rsidRPr="00F403D1">
        <w:rPr>
          <w:rFonts w:ascii="Palatino Linotype" w:eastAsia="Palatino Linotype" w:hAnsi="Palatino Linotype" w:cs="Palatino Linotype"/>
        </w:rPr>
        <w:t xml:space="preserve">, </w:t>
      </w:r>
      <w:r w:rsidRPr="00F403D1">
        <w:rPr>
          <w:rFonts w:ascii="Palatino Linotype" w:eastAsia="Palatino Linotype" w:hAnsi="Palatino Linotype" w:cs="Palatino Linotype"/>
          <w:b/>
        </w:rPr>
        <w:t>pensiones alimenticias</w:t>
      </w:r>
      <w:r w:rsidRPr="00F403D1">
        <w:rPr>
          <w:rFonts w:ascii="Palatino Linotype" w:eastAsia="Palatino Linotype" w:hAnsi="Palatino Linotype" w:cs="Palatino Linotype"/>
        </w:rPr>
        <w:t xml:space="preserve"> o </w:t>
      </w:r>
      <w:r w:rsidRPr="00F403D1">
        <w:rPr>
          <w:rFonts w:ascii="Palatino Linotype" w:eastAsia="Palatino Linotype" w:hAnsi="Palatino Linotype" w:cs="Palatino Linotype"/>
          <w:b/>
        </w:rPr>
        <w:t>créditos adquiridos con instituciones privadas</w:t>
      </w:r>
      <w:r w:rsidRPr="00F403D1">
        <w:rPr>
          <w:rFonts w:ascii="Palatino Linotype" w:eastAsia="Palatino Linotype" w:hAnsi="Palatino Linotype" w:cs="Palatino Linotype"/>
        </w:rPr>
        <w:t xml:space="preserve">, entre otros que no se relacionen con el gasto público, al revelar parte de las decisiones que adopta una persona respecto del uso y destino de su remuneración salarial, lo cual incide en la manera en que se integra su patrimonio, </w:t>
      </w:r>
      <w:r w:rsidRPr="00F403D1">
        <w:rPr>
          <w:rFonts w:ascii="Palatino Linotype" w:eastAsia="Palatino Linotype" w:hAnsi="Palatino Linotype" w:cs="Palatino Linotype"/>
          <w:b/>
        </w:rPr>
        <w:t>es información que no es de carácter público, sino que constituye información confidencial</w:t>
      </w:r>
      <w:r w:rsidRPr="00F403D1">
        <w:rPr>
          <w:rFonts w:ascii="Palatino Linotype" w:eastAsia="Palatino Linotype" w:hAnsi="Palatino Linotype" w:cs="Palatino Linotype"/>
        </w:rPr>
        <w:t xml:space="preserve"> en virtud de que corresponde con decisiones personales, y por tanto, se debe clasificar.</w:t>
      </w:r>
    </w:p>
    <w:p w14:paraId="06F977A5"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2B6FA3FF"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En conclusión, la información relacionada con los préstamos o descuentos de carácter personal, en virtud de no tener relación con la prestación del servicio y al no involucrar instituciones públicas, se consideran datos confidenciales.</w:t>
      </w:r>
    </w:p>
    <w:p w14:paraId="74F34A2C"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Con relación al </w:t>
      </w:r>
      <w:r w:rsidRPr="00F403D1">
        <w:rPr>
          <w:rFonts w:ascii="Palatino Linotype" w:eastAsia="Palatino Linotype" w:hAnsi="Palatino Linotype" w:cs="Palatino Linotype"/>
          <w:b/>
        </w:rPr>
        <w:t>número de empleado</w:t>
      </w:r>
      <w:r w:rsidRPr="00F403D1">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F403D1">
        <w:rPr>
          <w:rFonts w:ascii="Palatino Linotype" w:eastAsia="Palatino Linotype" w:hAnsi="Palatino Linotype" w:cs="Palatino Linotype"/>
          <w:vertAlign w:val="superscript"/>
        </w:rPr>
        <w:footnoteReference w:id="1"/>
      </w:r>
      <w:r w:rsidRPr="00F403D1">
        <w:rPr>
          <w:rFonts w:ascii="Palatino Linotype" w:eastAsia="Palatino Linotype" w:hAnsi="Palatino Linotype" w:cs="Palatino Linotype"/>
        </w:rPr>
        <w:t>.</w:t>
      </w:r>
    </w:p>
    <w:p w14:paraId="34716056"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7C89A1E0" w14:textId="77777777" w:rsidR="00295AA1" w:rsidRPr="00F403D1" w:rsidRDefault="00295AA1" w:rsidP="00295AA1">
      <w:pPr>
        <w:tabs>
          <w:tab w:val="left" w:pos="7655"/>
        </w:tabs>
        <w:spacing w:before="120" w:after="120"/>
        <w:ind w:left="992" w:right="992"/>
        <w:jc w:val="both"/>
        <w:rPr>
          <w:rFonts w:ascii="Palatino Linotype" w:eastAsia="Palatino Linotype" w:hAnsi="Palatino Linotype" w:cs="Palatino Linotype"/>
          <w:i/>
        </w:rPr>
      </w:pPr>
      <w:r w:rsidRPr="00F403D1">
        <w:rPr>
          <w:rFonts w:ascii="Palatino Linotype" w:eastAsia="Palatino Linotype" w:hAnsi="Palatino Linotype" w:cs="Palatino Linotype"/>
          <w:b/>
          <w:i/>
        </w:rPr>
        <w:t xml:space="preserve">“Número de empleado. </w:t>
      </w:r>
      <w:r w:rsidRPr="00F403D1">
        <w:rPr>
          <w:rFonts w:ascii="Palatino Linotype" w:eastAsia="Palatino Linotype" w:hAnsi="Palatino Linotype" w:cs="Palatino Linotype"/>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713F806"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F403D1">
        <w:rPr>
          <w:rFonts w:ascii="Palatino Linotype" w:eastAsia="Palatino Linotype" w:hAnsi="Palatino Linotype" w:cs="Palatino Linotype"/>
          <w:b/>
        </w:rPr>
        <w:t>Sujeto Obligado</w:t>
      </w:r>
      <w:r w:rsidRPr="00F403D1">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641EDC83"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F403D1">
        <w:rPr>
          <w:rFonts w:ascii="Palatino Linotype" w:eastAsia="Palatino Linotype" w:hAnsi="Palatino Linotype" w:cs="Palatino Linotype"/>
          <w:b/>
          <w:u w:val="single"/>
        </w:rPr>
        <w:t>sólo por cuanto hace al nombre</w:t>
      </w:r>
      <w:r w:rsidRPr="00F403D1">
        <w:rPr>
          <w:rFonts w:ascii="Palatino Linotype" w:eastAsia="Palatino Linotype" w:hAnsi="Palatino Linotype" w:cs="Palatino Linotype"/>
          <w:b/>
        </w:rPr>
        <w:t xml:space="preserve">, </w:t>
      </w:r>
      <w:r w:rsidRPr="00F403D1">
        <w:rPr>
          <w:rFonts w:ascii="Palatino Linotype" w:eastAsia="Palatino Linotype" w:hAnsi="Palatino Linotype" w:cs="Palatino Linotype"/>
        </w:rPr>
        <w:t xml:space="preserve">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F403D1">
        <w:rPr>
          <w:rFonts w:ascii="Palatino Linotype" w:eastAsia="Palatino Linotype" w:hAnsi="Palatino Linotype" w:cs="Palatino Linotype"/>
          <w:b/>
        </w:rPr>
        <w:t>que desempeñen funciones operativas</w:t>
      </w:r>
      <w:r w:rsidRPr="00F403D1">
        <w:rPr>
          <w:rFonts w:ascii="Palatino Linotype" w:eastAsia="Palatino Linotype" w:hAnsi="Palatino Linotype" w:cs="Palatino Linotype"/>
        </w:rPr>
        <w:t>.</w:t>
      </w:r>
    </w:p>
    <w:p w14:paraId="0EFE81BB" w14:textId="0DEA6258"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Al respecto, la información </w:t>
      </w:r>
      <w:r w:rsidRPr="00F403D1">
        <w:rPr>
          <w:rFonts w:ascii="Palatino Linotype" w:eastAsia="Palatino Linotype" w:hAnsi="Palatino Linotype" w:cs="Palatino Linotype"/>
          <w:b/>
        </w:rPr>
        <w:t>de los elementos que realizan funciones operativas, entre ellos su nombre, deben ser protegidos</w:t>
      </w:r>
      <w:r w:rsidRPr="00F403D1">
        <w:rPr>
          <w:rFonts w:ascii="Palatino Linotype" w:eastAsia="Palatino Linotype" w:hAnsi="Palatino Linotype" w:cs="Palatino Linotype"/>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4C3AB3D"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presentación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presentación de la solicitud, al aplicar la prueba de daño correspondiente.</w:t>
      </w:r>
    </w:p>
    <w:p w14:paraId="718D27DC" w14:textId="77777777" w:rsidR="00295AA1" w:rsidRPr="00F403D1" w:rsidRDefault="00295AA1" w:rsidP="00295AA1">
      <w:pPr>
        <w:spacing w:before="240" w:after="240" w:line="360" w:lineRule="auto"/>
        <w:jc w:val="both"/>
        <w:rPr>
          <w:rFonts w:ascii="Palatino Linotype" w:eastAsia="Palatino Linotype" w:hAnsi="Palatino Linotype" w:cs="Palatino Linotype"/>
          <w:b/>
        </w:rPr>
      </w:pPr>
      <w:r w:rsidRPr="00F403D1">
        <w:rPr>
          <w:rFonts w:ascii="Palatino Linotype" w:eastAsia="Palatino Linotype" w:hAnsi="Palatino Linotype" w:cs="Palatino Linotype"/>
        </w:rPr>
        <w:t xml:space="preserve">Como sustento de lo anterior, es preciso mencionar que el </w:t>
      </w:r>
      <w:r w:rsidRPr="00F403D1">
        <w:rPr>
          <w:rFonts w:ascii="Palatino Linotype" w:eastAsia="Palatino Linotype" w:hAnsi="Palatino Linotype" w:cs="Palatino Linotype"/>
          <w:b/>
        </w:rPr>
        <w:t xml:space="preserve">actual Pleno de este Instituto ha sostenido el criterio de no dar a conocer los nombres de aquellos servidores públicos que realizan funciones operativas en materia de seguridad pública, </w:t>
      </w:r>
      <w:r w:rsidRPr="00F403D1">
        <w:rPr>
          <w:rFonts w:ascii="Palatino Linotype" w:eastAsia="Palatino Linotype" w:hAnsi="Palatino Linotype" w:cs="Palatino Linotype"/>
        </w:rPr>
        <w:t xml:space="preserve">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puede ser utilizada para </w:t>
      </w:r>
      <w:r w:rsidRPr="00F403D1">
        <w:rPr>
          <w:rFonts w:ascii="Palatino Linotype" w:eastAsia="Palatino Linotype" w:hAnsi="Palatino Linotype" w:cs="Palatino Linotype"/>
          <w:b/>
        </w:rPr>
        <w:t xml:space="preserve">vulnerar la vida, seguridad o salud de dichos elementos, incluso la de sus familias o entorno social. </w:t>
      </w:r>
    </w:p>
    <w:p w14:paraId="4F3F27EB"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En tal contexto, es procedente la clasificación del nombre de los elementos operativos como información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44EB4C18"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14:paraId="11D319E0" w14:textId="77777777" w:rsidR="00295AA1" w:rsidRPr="00F403D1" w:rsidRDefault="00295AA1" w:rsidP="00295AA1">
      <w:pPr>
        <w:spacing w:before="120" w:after="12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Federal de Acceso a la Información y Protección de Datos, que establece lo siguiente:</w:t>
      </w:r>
    </w:p>
    <w:p w14:paraId="6A946217" w14:textId="77777777" w:rsidR="00295AA1" w:rsidRPr="00F403D1" w:rsidRDefault="00295AA1" w:rsidP="00295AA1">
      <w:pPr>
        <w:tabs>
          <w:tab w:val="left" w:pos="4962"/>
        </w:tabs>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“Nombres de servidores públicos dedicados a actividades en materia de seguridad, por excepción pueden considerarse información reservada.</w:t>
      </w:r>
      <w:r w:rsidRPr="00F403D1">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98403A4"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F403D1">
        <w:rPr>
          <w:rFonts w:ascii="Palatino Linotype" w:eastAsia="Palatino Linotype" w:hAnsi="Palatino Linotype" w:cs="Palatino Linotype"/>
          <w:b/>
        </w:rPr>
        <w:t>funciones de carácter operativo.</w:t>
      </w:r>
    </w:p>
    <w:p w14:paraId="388C8B03" w14:textId="77777777" w:rsidR="00295AA1" w:rsidRPr="00F403D1" w:rsidRDefault="00295AA1" w:rsidP="00295AA1">
      <w:pPr>
        <w:spacing w:before="240" w:after="36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02BDC32B" w14:textId="77777777" w:rsidR="00295AA1" w:rsidRPr="00F403D1" w:rsidRDefault="00295AA1" w:rsidP="00295AA1">
      <w:pPr>
        <w:spacing w:before="120" w:after="120"/>
        <w:ind w:left="851" w:right="760"/>
        <w:jc w:val="both"/>
        <w:rPr>
          <w:rFonts w:ascii="Palatino Linotype" w:eastAsia="Palatino Linotype" w:hAnsi="Palatino Linotype" w:cs="Palatino Linotype"/>
          <w:b/>
          <w:i/>
        </w:rPr>
      </w:pPr>
      <w:r w:rsidRPr="00F403D1">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F403D1">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F403D1">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F403D1">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F403D1">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F403D1">
        <w:rPr>
          <w:rFonts w:ascii="Palatino Linotype" w:eastAsia="Palatino Linotype" w:hAnsi="Palatino Linotype" w:cs="Palatino Linotype"/>
          <w:i/>
        </w:rPr>
        <w:t>”</w:t>
      </w:r>
    </w:p>
    <w:p w14:paraId="44F4EA44" w14:textId="77777777" w:rsidR="00295AA1" w:rsidRPr="00F403D1" w:rsidRDefault="00295AA1" w:rsidP="00295AA1">
      <w:pPr>
        <w:spacing w:before="120" w:after="120"/>
        <w:ind w:left="851" w:right="760"/>
        <w:jc w:val="both"/>
        <w:rPr>
          <w:rFonts w:ascii="Palatino Linotype" w:eastAsia="Palatino Linotype" w:hAnsi="Palatino Linotype" w:cs="Palatino Linotype"/>
          <w:i/>
        </w:rPr>
      </w:pPr>
      <w:r w:rsidRPr="00F403D1">
        <w:rPr>
          <w:rFonts w:ascii="Palatino Linotype" w:eastAsia="Palatino Linotype" w:hAnsi="Palatino Linotype" w:cs="Palatino Linotype"/>
          <w:b/>
          <w:i/>
        </w:rPr>
        <w:t>“TRANSPARENCIA Y ACCESO A LA INFORMACIÓN PÚBLICA GUBERNAMENTAL. EL ARTÍCULO 14, FRACCIÓN I, DE LA LEY FEDERAL RELATIVA, NO VIOLA LA GARANTÍA DE ACCESO A LA INFORMACIÓN.</w:t>
      </w:r>
      <w:r w:rsidRPr="00F403D1">
        <w:rPr>
          <w:rFonts w:ascii="Palatino Linotype" w:eastAsia="Palatino Linotype" w:hAnsi="Palatino Linotype" w:cs="Palatino Linotype"/>
          <w:i/>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F403D1">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F403D1">
        <w:rPr>
          <w:rFonts w:ascii="Palatino Linotype" w:eastAsia="Palatino Linotype" w:hAnsi="Palatino Linotype" w:cs="Palatino Linotype"/>
          <w:i/>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2CBFB8A" w14:textId="77777777" w:rsidR="00295AA1" w:rsidRPr="00F403D1" w:rsidRDefault="00295AA1" w:rsidP="00295AA1">
      <w:pPr>
        <w:widowControl w:val="0"/>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F403D1">
        <w:rPr>
          <w:rFonts w:ascii="Palatino Linotype" w:eastAsia="Palatino Linotype" w:hAnsi="Palatino Linotype" w:cs="Palatino Linotype"/>
          <w:b/>
          <w:u w:val="single"/>
        </w:rPr>
        <w:t>razones, motivos o circunstancias especiales</w:t>
      </w:r>
      <w:r w:rsidRPr="00F403D1">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667D9687" w14:textId="77777777" w:rsidR="00295AA1" w:rsidRPr="00F403D1" w:rsidRDefault="00295AA1" w:rsidP="00295AA1">
      <w:pPr>
        <w:spacing w:before="240" w:after="240" w:line="360" w:lineRule="auto"/>
        <w:ind w:right="50"/>
        <w:jc w:val="both"/>
        <w:rPr>
          <w:rFonts w:ascii="Palatino Linotype" w:eastAsia="Palatino Linotype" w:hAnsi="Palatino Linotype" w:cs="Palatino Linotype"/>
        </w:rPr>
      </w:pPr>
      <w:r w:rsidRPr="00F403D1">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B049820"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“Artículo 49.</w:t>
      </w:r>
      <w:r w:rsidRPr="00F403D1">
        <w:rPr>
          <w:rFonts w:ascii="Palatino Linotype" w:eastAsia="Palatino Linotype" w:hAnsi="Palatino Linotype" w:cs="Palatino Linotype"/>
          <w:i/>
        </w:rPr>
        <w:t xml:space="preserve"> </w:t>
      </w:r>
      <w:r w:rsidRPr="00F403D1">
        <w:rPr>
          <w:rFonts w:ascii="Palatino Linotype" w:eastAsia="Palatino Linotype" w:hAnsi="Palatino Linotype" w:cs="Palatino Linotype"/>
          <w:b/>
          <w:i/>
        </w:rPr>
        <w:t>Los Comités de Transparencia</w:t>
      </w:r>
      <w:r w:rsidRPr="00F403D1">
        <w:rPr>
          <w:rFonts w:ascii="Palatino Linotype" w:eastAsia="Palatino Linotype" w:hAnsi="Palatino Linotype" w:cs="Palatino Linotype"/>
          <w:i/>
        </w:rPr>
        <w:t xml:space="preserve"> tendrán las siguientes atribuciones:</w:t>
      </w:r>
    </w:p>
    <w:p w14:paraId="7A4D07B8"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VIII. Aprobar, modificar o revocar la clasificación de la información</w:t>
      </w:r>
      <w:r w:rsidRPr="00F403D1">
        <w:rPr>
          <w:rFonts w:ascii="Palatino Linotype" w:eastAsia="Palatino Linotype" w:hAnsi="Palatino Linotype" w:cs="Palatino Linotype"/>
          <w:i/>
        </w:rPr>
        <w:t>…”</w:t>
      </w:r>
    </w:p>
    <w:p w14:paraId="782E2709"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w:t>
      </w:r>
      <w:r w:rsidRPr="00F403D1">
        <w:rPr>
          <w:rFonts w:ascii="Palatino Linotype" w:eastAsia="Palatino Linotype" w:hAnsi="Palatino Linotype" w:cs="Palatino Linotype"/>
          <w:b/>
          <w:i/>
        </w:rPr>
        <w:t>Artículo 53.</w:t>
      </w:r>
      <w:r w:rsidRPr="00F403D1">
        <w:rPr>
          <w:rFonts w:ascii="Palatino Linotype" w:eastAsia="Palatino Linotype" w:hAnsi="Palatino Linotype" w:cs="Palatino Linotype"/>
          <w:i/>
        </w:rPr>
        <w:t xml:space="preserve"> Las </w:t>
      </w:r>
      <w:r w:rsidRPr="00F403D1">
        <w:rPr>
          <w:rFonts w:ascii="Palatino Linotype" w:eastAsia="Palatino Linotype" w:hAnsi="Palatino Linotype" w:cs="Palatino Linotype"/>
          <w:b/>
          <w:i/>
        </w:rPr>
        <w:t>Unidades de Transparencia</w:t>
      </w:r>
      <w:r w:rsidRPr="00F403D1">
        <w:rPr>
          <w:rFonts w:ascii="Palatino Linotype" w:eastAsia="Palatino Linotype" w:hAnsi="Palatino Linotype" w:cs="Palatino Linotype"/>
          <w:i/>
        </w:rPr>
        <w:t xml:space="preserve"> tendrán las siguientes </w:t>
      </w:r>
      <w:r w:rsidRPr="00F403D1">
        <w:rPr>
          <w:rFonts w:ascii="Palatino Linotype" w:eastAsia="Palatino Linotype" w:hAnsi="Palatino Linotype" w:cs="Palatino Linotype"/>
          <w:b/>
          <w:i/>
        </w:rPr>
        <w:t>funciones</w:t>
      </w:r>
      <w:r w:rsidRPr="00F403D1">
        <w:rPr>
          <w:rFonts w:ascii="Palatino Linotype" w:eastAsia="Palatino Linotype" w:hAnsi="Palatino Linotype" w:cs="Palatino Linotype"/>
          <w:i/>
        </w:rPr>
        <w:t>:</w:t>
      </w:r>
    </w:p>
    <w:p w14:paraId="1D9C7497"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X. Presentar ante el Comité, el proyecto de clasificación de información</w:t>
      </w:r>
      <w:r w:rsidRPr="00F403D1">
        <w:rPr>
          <w:rFonts w:ascii="Palatino Linotype" w:eastAsia="Palatino Linotype" w:hAnsi="Palatino Linotype" w:cs="Palatino Linotype"/>
          <w:i/>
        </w:rPr>
        <w:t xml:space="preserve">…” </w:t>
      </w:r>
    </w:p>
    <w:p w14:paraId="16318320"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“Artículo 59.</w:t>
      </w:r>
      <w:r w:rsidRPr="00F403D1">
        <w:rPr>
          <w:rFonts w:ascii="Palatino Linotype" w:eastAsia="Palatino Linotype" w:hAnsi="Palatino Linotype" w:cs="Palatino Linotype"/>
          <w:i/>
        </w:rPr>
        <w:t xml:space="preserve"> Los </w:t>
      </w:r>
      <w:r w:rsidRPr="00F403D1">
        <w:rPr>
          <w:rFonts w:ascii="Palatino Linotype" w:eastAsia="Palatino Linotype" w:hAnsi="Palatino Linotype" w:cs="Palatino Linotype"/>
          <w:b/>
          <w:i/>
        </w:rPr>
        <w:t>servidores públicos habilitados</w:t>
      </w:r>
      <w:r w:rsidRPr="00F403D1">
        <w:rPr>
          <w:rFonts w:ascii="Palatino Linotype" w:eastAsia="Palatino Linotype" w:hAnsi="Palatino Linotype" w:cs="Palatino Linotype"/>
          <w:i/>
        </w:rPr>
        <w:t xml:space="preserve"> tendrán las </w:t>
      </w:r>
      <w:r w:rsidRPr="00F403D1">
        <w:rPr>
          <w:rFonts w:ascii="Palatino Linotype" w:eastAsia="Palatino Linotype" w:hAnsi="Palatino Linotype" w:cs="Palatino Linotype"/>
          <w:b/>
          <w:i/>
        </w:rPr>
        <w:t>funciones</w:t>
      </w:r>
      <w:r w:rsidRPr="00F403D1">
        <w:rPr>
          <w:rFonts w:ascii="Palatino Linotype" w:eastAsia="Palatino Linotype" w:hAnsi="Palatino Linotype" w:cs="Palatino Linotype"/>
          <w:i/>
        </w:rPr>
        <w:t xml:space="preserve"> siguientes:</w:t>
      </w:r>
    </w:p>
    <w:p w14:paraId="048013EF"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V. Integrar y presentar al responsable de la Unidad de Transparencia la propuesta de clasificación de información</w:t>
      </w:r>
      <w:r w:rsidRPr="00F403D1">
        <w:rPr>
          <w:rFonts w:ascii="Palatino Linotype" w:eastAsia="Palatino Linotype" w:hAnsi="Palatino Linotype" w:cs="Palatino Linotype"/>
          <w:i/>
        </w:rPr>
        <w:t>, la cual tendrá los fundamentos y argumentos en que se basa dicha propuesta…”</w:t>
      </w:r>
    </w:p>
    <w:p w14:paraId="408958DE"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0231A75"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0DBAE43B" w14:textId="77777777" w:rsidR="00295AA1" w:rsidRPr="00F403D1" w:rsidRDefault="00295AA1" w:rsidP="00295AA1">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w:t>
      </w:r>
      <w:r w:rsidRPr="00F403D1">
        <w:rPr>
          <w:rFonts w:ascii="Palatino Linotype" w:eastAsia="Palatino Linotype" w:hAnsi="Palatino Linotype" w:cs="Palatino Linotype"/>
          <w:b/>
          <w:i/>
        </w:rPr>
        <w:t>Artículo 149.</w:t>
      </w:r>
      <w:r w:rsidRPr="00F403D1">
        <w:rPr>
          <w:rFonts w:ascii="Palatino Linotype" w:eastAsia="Palatino Linotype" w:hAnsi="Palatino Linotype" w:cs="Palatino Linotype"/>
          <w:i/>
        </w:rPr>
        <w:t xml:space="preserve"> El </w:t>
      </w:r>
      <w:r w:rsidRPr="00F403D1">
        <w:rPr>
          <w:rFonts w:ascii="Palatino Linotype" w:eastAsia="Palatino Linotype" w:hAnsi="Palatino Linotype" w:cs="Palatino Linotype"/>
          <w:b/>
          <w:i/>
        </w:rPr>
        <w:t>acuerdo que clasifique la información como confidencial</w:t>
      </w:r>
      <w:r w:rsidRPr="00F403D1">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 </w:t>
      </w:r>
    </w:p>
    <w:p w14:paraId="55D26A4C" w14:textId="77777777" w:rsidR="00295AA1" w:rsidRPr="00F403D1" w:rsidRDefault="00295AA1" w:rsidP="00295AA1">
      <w:pPr>
        <w:spacing w:before="240" w:after="240" w:line="360" w:lineRule="auto"/>
        <w:ind w:right="51"/>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Es decir, el </w:t>
      </w:r>
      <w:r w:rsidRPr="00F403D1">
        <w:rPr>
          <w:rFonts w:ascii="Palatino Linotype" w:eastAsia="Palatino Linotype" w:hAnsi="Palatino Linotype" w:cs="Palatino Linotype"/>
          <w:b/>
        </w:rPr>
        <w:t>Sujeto Obligado</w:t>
      </w:r>
      <w:r w:rsidRPr="00F403D1">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444CEAA" w14:textId="77777777" w:rsidR="00295AA1" w:rsidRPr="00F403D1" w:rsidRDefault="00295AA1" w:rsidP="00295AA1">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Asimismo, respecto a las formalidades que deberá llevar el acuerdo de clasificación que deberá emitir el </w:t>
      </w:r>
      <w:r w:rsidRPr="00F403D1">
        <w:rPr>
          <w:rFonts w:ascii="Palatino Linotype" w:eastAsia="Palatino Linotype" w:hAnsi="Palatino Linotype" w:cs="Palatino Linotype"/>
          <w:b/>
        </w:rPr>
        <w:t>Sujeto Obligado</w:t>
      </w:r>
      <w:r w:rsidRPr="00F403D1">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presentación de la solicitud, señalan lo siguiente:</w:t>
      </w:r>
    </w:p>
    <w:p w14:paraId="5EB8F632"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 xml:space="preserve"> “Quincuagésimo. </w:t>
      </w:r>
      <w:r w:rsidRPr="00F403D1">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8C9BCF8" w14:textId="77777777" w:rsidR="00295AA1" w:rsidRPr="00F403D1" w:rsidRDefault="00295AA1" w:rsidP="00395B9C">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 xml:space="preserve">Quincuagésimo primero. </w:t>
      </w:r>
      <w:r w:rsidRPr="00F403D1">
        <w:rPr>
          <w:rFonts w:ascii="Palatino Linotype" w:eastAsia="Palatino Linotype" w:hAnsi="Palatino Linotype" w:cs="Palatino Linotype"/>
          <w:i/>
        </w:rPr>
        <w:t xml:space="preserve">Toda acta del Comité de Transparencia deberá contener: </w:t>
      </w:r>
    </w:p>
    <w:p w14:paraId="6E636A01" w14:textId="77777777" w:rsidR="00295AA1" w:rsidRPr="00F403D1" w:rsidRDefault="00295AA1" w:rsidP="00395B9C">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w:t>
      </w:r>
      <w:r w:rsidRPr="00F403D1">
        <w:rPr>
          <w:rFonts w:ascii="Palatino Linotype" w:eastAsia="Palatino Linotype" w:hAnsi="Palatino Linotype" w:cs="Palatino Linotype"/>
          <w:i/>
        </w:rPr>
        <w:t xml:space="preserve"> El número de sesión y fecha; </w:t>
      </w:r>
    </w:p>
    <w:p w14:paraId="76E6A890" w14:textId="77777777" w:rsidR="00295AA1" w:rsidRPr="00F403D1" w:rsidRDefault="00295AA1" w:rsidP="00395B9C">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II</w:t>
      </w:r>
      <w:r w:rsidRPr="00F403D1">
        <w:rPr>
          <w:rFonts w:ascii="Palatino Linotype" w:eastAsia="Palatino Linotype" w:hAnsi="Palatino Linotype" w:cs="Palatino Linotype"/>
          <w:i/>
        </w:rPr>
        <w:t xml:space="preserve">. El nombre del área que solicitó la clasificación de información; </w:t>
      </w:r>
    </w:p>
    <w:p w14:paraId="09DD946D" w14:textId="77777777" w:rsidR="00295AA1" w:rsidRPr="00F403D1" w:rsidRDefault="00295AA1" w:rsidP="00395B9C">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III</w:t>
      </w:r>
      <w:r w:rsidRPr="00F403D1">
        <w:rPr>
          <w:rFonts w:ascii="Palatino Linotype" w:eastAsia="Palatino Linotype" w:hAnsi="Palatino Linotype" w:cs="Palatino Linotype"/>
          <w:i/>
        </w:rPr>
        <w:t xml:space="preserve">. La fundamentación legal y motivación correspondiente; </w:t>
      </w:r>
    </w:p>
    <w:p w14:paraId="1493D3AC" w14:textId="77777777" w:rsidR="00295AA1" w:rsidRPr="00F403D1" w:rsidRDefault="00295AA1" w:rsidP="00395B9C">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IV</w:t>
      </w:r>
      <w:r w:rsidRPr="00F403D1">
        <w:rPr>
          <w:rFonts w:ascii="Palatino Linotype" w:eastAsia="Palatino Linotype" w:hAnsi="Palatino Linotype" w:cs="Palatino Linotype"/>
          <w:i/>
        </w:rPr>
        <w:t xml:space="preserve">. La resolución o resoluciones aprobadas; y </w:t>
      </w:r>
    </w:p>
    <w:p w14:paraId="062C1833" w14:textId="77777777" w:rsidR="00295AA1" w:rsidRPr="00F403D1" w:rsidRDefault="00295AA1" w:rsidP="00395B9C">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V</w:t>
      </w:r>
      <w:r w:rsidRPr="00F403D1">
        <w:rPr>
          <w:rFonts w:ascii="Palatino Linotype" w:eastAsia="Palatino Linotype" w:hAnsi="Palatino Linotype" w:cs="Palatino Linotype"/>
          <w:i/>
        </w:rPr>
        <w:t xml:space="preserve">. La rúbrica o firma digital de cada integrante del Comité de Transparencia. </w:t>
      </w:r>
    </w:p>
    <w:p w14:paraId="64A8FE2B" w14:textId="77777777" w:rsidR="00295AA1" w:rsidRPr="00F403D1" w:rsidRDefault="00295AA1" w:rsidP="00395B9C">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422BA6D1" w14:textId="77777777" w:rsidR="00295AA1" w:rsidRPr="00F403D1" w:rsidRDefault="00295AA1" w:rsidP="00395B9C">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w:t>
      </w:r>
      <w:r w:rsidRPr="00F403D1">
        <w:rPr>
          <w:rFonts w:ascii="Palatino Linotype" w:eastAsia="Palatino Linotype" w:hAnsi="Palatino Linotype" w:cs="Palatino Linotype"/>
          <w:i/>
        </w:rPr>
        <w:t xml:space="preserve"> Los motivos y razonamientos que sustenten la confirmación o modificación de la prueba de daño;</w:t>
      </w:r>
    </w:p>
    <w:p w14:paraId="1FAB68AF" w14:textId="77777777" w:rsidR="00295AA1" w:rsidRPr="00F403D1" w:rsidRDefault="00295AA1" w:rsidP="00395B9C">
      <w:pPr>
        <w:pBdr>
          <w:top w:val="nil"/>
          <w:left w:val="nil"/>
          <w:bottom w:val="nil"/>
          <w:right w:val="nil"/>
          <w:between w:val="nil"/>
        </w:pBdr>
        <w:spacing w:before="120" w:after="120"/>
        <w:ind w:left="851" w:right="902"/>
        <w:jc w:val="both"/>
        <w:rPr>
          <w:rFonts w:ascii="Palatino Linotype" w:eastAsia="Palatino Linotype" w:hAnsi="Palatino Linotype" w:cs="Palatino Linotype"/>
          <w:b/>
          <w:i/>
        </w:rPr>
      </w:pPr>
      <w:r w:rsidRPr="00F403D1">
        <w:rPr>
          <w:rFonts w:ascii="Palatino Linotype" w:eastAsia="Palatino Linotype" w:hAnsi="Palatino Linotype" w:cs="Palatino Linotype"/>
          <w:b/>
          <w:i/>
        </w:rPr>
        <w:t>II</w:t>
      </w:r>
      <w:r w:rsidRPr="00F403D1">
        <w:rPr>
          <w:rFonts w:ascii="Palatino Linotype" w:eastAsia="Palatino Linotype" w:hAnsi="Palatino Linotype" w:cs="Palatino Linotype"/>
          <w:i/>
        </w:rPr>
        <w:t>. Descripción de las partes o secciones reservadas, en caso de clasificación parcial</w:t>
      </w:r>
      <w:r w:rsidRPr="00F403D1">
        <w:rPr>
          <w:rFonts w:ascii="Palatino Linotype" w:eastAsia="Palatino Linotype" w:hAnsi="Palatino Linotype" w:cs="Palatino Linotype"/>
          <w:b/>
          <w:i/>
        </w:rPr>
        <w:t xml:space="preserve">; </w:t>
      </w:r>
    </w:p>
    <w:p w14:paraId="0DDBC35D" w14:textId="77777777" w:rsidR="00295AA1" w:rsidRPr="00F403D1" w:rsidRDefault="00295AA1" w:rsidP="00395B9C">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III.</w:t>
      </w:r>
      <w:r w:rsidRPr="00F403D1">
        <w:rPr>
          <w:rFonts w:ascii="Palatino Linotype" w:eastAsia="Palatino Linotype" w:hAnsi="Palatino Linotype" w:cs="Palatino Linotype"/>
          <w:i/>
        </w:rPr>
        <w:t xml:space="preserve"> El periodo por el que mantendrá su clasificación y fecha de expiración; y </w:t>
      </w:r>
    </w:p>
    <w:p w14:paraId="42E28CB2" w14:textId="77777777" w:rsidR="00295AA1" w:rsidRPr="00F403D1" w:rsidRDefault="00295AA1" w:rsidP="00395B9C">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IV.</w:t>
      </w:r>
      <w:r w:rsidRPr="00F403D1">
        <w:rPr>
          <w:rFonts w:ascii="Palatino Linotype" w:eastAsia="Palatino Linotype" w:hAnsi="Palatino Linotype" w:cs="Palatino Linotype"/>
          <w:i/>
        </w:rPr>
        <w:t xml:space="preserve"> El nombre del titular y área encargada de realizar la versión pública del documento, en su caso. </w:t>
      </w:r>
    </w:p>
    <w:p w14:paraId="083C4E34" w14:textId="77777777" w:rsidR="00295AA1" w:rsidRPr="00F403D1" w:rsidRDefault="00295AA1" w:rsidP="00395B9C">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0C90C396" w14:textId="77777777" w:rsidR="00295AA1" w:rsidRPr="00F403D1" w:rsidRDefault="00295AA1" w:rsidP="00395B9C">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28AC08CB"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6ADA092B" w14:textId="77777777" w:rsidR="00295AA1" w:rsidRPr="00F403D1" w:rsidRDefault="00295AA1" w:rsidP="00395B9C">
      <w:pPr>
        <w:spacing w:before="120" w:after="120"/>
        <w:ind w:left="851" w:right="900"/>
        <w:jc w:val="both"/>
        <w:rPr>
          <w:rFonts w:ascii="Palatino Linotype" w:eastAsia="Palatino Linotype" w:hAnsi="Palatino Linotype" w:cs="Palatino Linotype"/>
          <w:i/>
        </w:rPr>
      </w:pPr>
      <w:r w:rsidRPr="00F403D1">
        <w:rPr>
          <w:rFonts w:ascii="Palatino Linotype" w:eastAsia="Palatino Linotype" w:hAnsi="Palatino Linotype" w:cs="Palatino Linotype"/>
          <w:i/>
        </w:rPr>
        <w:t>“</w:t>
      </w:r>
      <w:r w:rsidRPr="00F403D1">
        <w:rPr>
          <w:rFonts w:ascii="Palatino Linotype" w:eastAsia="Palatino Linotype" w:hAnsi="Palatino Linotype" w:cs="Palatino Linotype"/>
          <w:b/>
          <w:i/>
        </w:rPr>
        <w:t>Quincuagésimo segundo</w:t>
      </w:r>
      <w:r w:rsidRPr="00F403D1">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99EA404" w14:textId="77777777" w:rsidR="00295AA1" w:rsidRPr="00F403D1" w:rsidRDefault="00295AA1" w:rsidP="00395B9C">
      <w:pPr>
        <w:spacing w:before="120" w:after="120"/>
        <w:ind w:left="851" w:right="900"/>
        <w:jc w:val="both"/>
        <w:rPr>
          <w:rFonts w:ascii="Palatino Linotype" w:eastAsia="Palatino Linotype" w:hAnsi="Palatino Linotype" w:cs="Palatino Linotype"/>
          <w:i/>
        </w:rPr>
      </w:pPr>
      <w:r w:rsidRPr="00F403D1">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66070EC8" w14:textId="77777777" w:rsidR="00295AA1" w:rsidRPr="00F403D1" w:rsidRDefault="00295AA1" w:rsidP="00395B9C">
      <w:pPr>
        <w:spacing w:before="120" w:after="120"/>
        <w:ind w:left="851" w:right="900"/>
        <w:jc w:val="both"/>
        <w:rPr>
          <w:rFonts w:ascii="Palatino Linotype" w:eastAsia="Palatino Linotype" w:hAnsi="Palatino Linotype" w:cs="Palatino Linotype"/>
          <w:i/>
        </w:rPr>
      </w:pPr>
      <w:r w:rsidRPr="00F403D1">
        <w:rPr>
          <w:rFonts w:ascii="Palatino Linotype" w:eastAsia="Palatino Linotype" w:hAnsi="Palatino Linotype" w:cs="Palatino Linotype"/>
          <w:b/>
          <w:i/>
        </w:rPr>
        <w:t>I.</w:t>
      </w:r>
      <w:r w:rsidRPr="00F403D1">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37CF0CFC" w14:textId="77777777" w:rsidR="00295AA1" w:rsidRPr="00F403D1" w:rsidRDefault="00295AA1" w:rsidP="00395B9C">
      <w:pPr>
        <w:spacing w:before="120" w:after="120"/>
        <w:ind w:left="851" w:right="900"/>
        <w:jc w:val="both"/>
        <w:rPr>
          <w:rFonts w:ascii="Palatino Linotype" w:eastAsia="Palatino Linotype" w:hAnsi="Palatino Linotype" w:cs="Palatino Linotype"/>
          <w:i/>
        </w:rPr>
      </w:pPr>
      <w:r w:rsidRPr="00F403D1">
        <w:rPr>
          <w:rFonts w:ascii="Palatino Linotype" w:eastAsia="Palatino Linotype" w:hAnsi="Palatino Linotype" w:cs="Palatino Linotype"/>
          <w:b/>
          <w:i/>
        </w:rPr>
        <w:t>II.</w:t>
      </w:r>
      <w:r w:rsidRPr="00F403D1">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1D3202D4" w14:textId="77777777" w:rsidR="00295AA1" w:rsidRPr="00F403D1" w:rsidRDefault="00295AA1" w:rsidP="00395B9C">
      <w:pPr>
        <w:spacing w:before="120" w:after="120"/>
        <w:ind w:left="851" w:right="900"/>
        <w:jc w:val="both"/>
        <w:rPr>
          <w:rFonts w:ascii="Palatino Linotype" w:eastAsia="Palatino Linotype" w:hAnsi="Palatino Linotype" w:cs="Palatino Linotype"/>
          <w:i/>
        </w:rPr>
      </w:pPr>
      <w:r w:rsidRPr="00F403D1">
        <w:rPr>
          <w:rFonts w:ascii="Palatino Linotype" w:eastAsia="Palatino Linotype" w:hAnsi="Palatino Linotype" w:cs="Palatino Linotype"/>
          <w:b/>
          <w:i/>
        </w:rPr>
        <w:t>III.</w:t>
      </w:r>
      <w:r w:rsidRPr="00F403D1">
        <w:rPr>
          <w:rFonts w:ascii="Palatino Linotype" w:eastAsia="Palatino Linotype" w:hAnsi="Palatino Linotype" w:cs="Palatino Linotype"/>
          <w:i/>
        </w:rPr>
        <w:t xml:space="preserve"> Señalar las personas o instancias autorizadas a acceder a la información clasificada.</w:t>
      </w:r>
    </w:p>
    <w:p w14:paraId="22A34C58" w14:textId="77777777" w:rsidR="00295AA1" w:rsidRPr="00F403D1" w:rsidRDefault="00295AA1" w:rsidP="00395B9C">
      <w:pPr>
        <w:spacing w:before="120" w:after="120"/>
        <w:ind w:left="851" w:right="900"/>
        <w:jc w:val="both"/>
        <w:rPr>
          <w:rFonts w:ascii="Palatino Linotype" w:eastAsia="Palatino Linotype" w:hAnsi="Palatino Linotype" w:cs="Palatino Linotype"/>
          <w:i/>
        </w:rPr>
      </w:pPr>
      <w:r w:rsidRPr="00F403D1">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6DB490D3" w14:textId="77777777" w:rsidR="00295AA1" w:rsidRPr="00F403D1" w:rsidRDefault="00295AA1" w:rsidP="00395B9C">
      <w:pPr>
        <w:pBdr>
          <w:top w:val="nil"/>
          <w:left w:val="nil"/>
          <w:bottom w:val="nil"/>
          <w:right w:val="nil"/>
          <w:between w:val="nil"/>
        </w:pBdr>
        <w:spacing w:before="120" w:after="120"/>
        <w:ind w:left="851" w:right="900"/>
        <w:jc w:val="both"/>
        <w:rPr>
          <w:rFonts w:ascii="Palatino Linotype" w:eastAsia="Palatino Linotype" w:hAnsi="Palatino Linotype" w:cs="Palatino Linotype"/>
          <w:i/>
        </w:rPr>
      </w:pPr>
      <w:r w:rsidRPr="00F403D1">
        <w:rPr>
          <w:rFonts w:ascii="Palatino Linotype" w:eastAsia="Palatino Linotype" w:hAnsi="Palatino Linotype" w:cs="Palatino Linotype"/>
          <w:i/>
        </w:rPr>
        <w:t>…</w:t>
      </w:r>
    </w:p>
    <w:p w14:paraId="4324EC15" w14:textId="77777777" w:rsidR="00295AA1" w:rsidRPr="00F403D1" w:rsidRDefault="00295AA1" w:rsidP="00395B9C">
      <w:pPr>
        <w:pBdr>
          <w:top w:val="nil"/>
          <w:left w:val="nil"/>
          <w:bottom w:val="nil"/>
          <w:right w:val="nil"/>
          <w:between w:val="nil"/>
        </w:pBdr>
        <w:spacing w:before="120" w:after="120"/>
        <w:ind w:left="851" w:right="900"/>
        <w:jc w:val="both"/>
        <w:rPr>
          <w:rFonts w:ascii="Palatino Linotype" w:eastAsia="Palatino Linotype" w:hAnsi="Palatino Linotype" w:cs="Palatino Linotype"/>
          <w:b/>
          <w:i/>
        </w:rPr>
      </w:pPr>
      <w:r w:rsidRPr="00F403D1">
        <w:rPr>
          <w:rFonts w:ascii="Palatino Linotype" w:eastAsia="Palatino Linotype" w:hAnsi="Palatino Linotype" w:cs="Palatino Linotype"/>
          <w:b/>
          <w:i/>
        </w:rPr>
        <w:t xml:space="preserve">Quincuagésimo cuarto. </w:t>
      </w:r>
      <w:r w:rsidRPr="00F403D1">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F403D1">
        <w:rPr>
          <w:rFonts w:ascii="Palatino Linotype" w:eastAsia="Palatino Linotype" w:hAnsi="Palatino Linotype" w:cs="Palatino Linotype"/>
          <w:b/>
          <w:i/>
        </w:rPr>
        <w:t xml:space="preserve"> </w:t>
      </w:r>
    </w:p>
    <w:p w14:paraId="7A81BE29"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 xml:space="preserve">Quincuagésimo quinto. </w:t>
      </w:r>
      <w:r w:rsidRPr="00F403D1">
        <w:rPr>
          <w:rFonts w:ascii="Palatino Linotype" w:eastAsia="Palatino Linotype" w:hAnsi="Palatino Linotype" w:cs="Palatino Linotype"/>
          <w:i/>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E69379C" w14:textId="77777777" w:rsidR="00295AA1" w:rsidRPr="00F403D1" w:rsidRDefault="00295AA1" w:rsidP="00395B9C">
      <w:pPr>
        <w:spacing w:before="120" w:after="120"/>
        <w:ind w:left="851" w:right="902"/>
        <w:jc w:val="both"/>
        <w:rPr>
          <w:rFonts w:ascii="Palatino Linotype" w:eastAsia="Palatino Linotype" w:hAnsi="Palatino Linotype" w:cs="Palatino Linotype"/>
          <w:b/>
          <w:i/>
        </w:rPr>
      </w:pPr>
      <w:r w:rsidRPr="00F403D1">
        <w:rPr>
          <w:rFonts w:ascii="Palatino Linotype" w:eastAsia="Palatino Linotype" w:hAnsi="Palatino Linotype" w:cs="Palatino Linotype"/>
          <w:b/>
          <w:i/>
        </w:rPr>
        <w:t>...</w:t>
      </w:r>
    </w:p>
    <w:p w14:paraId="05873A4F"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Quincuagésimo séptimo</w:t>
      </w:r>
      <w:r w:rsidRPr="00F403D1">
        <w:rPr>
          <w:rFonts w:ascii="Palatino Linotype" w:eastAsia="Palatino Linotype" w:hAnsi="Palatino Linotype" w:cs="Palatino Linotype"/>
          <w:i/>
        </w:rPr>
        <w:t xml:space="preserve">. Se considera, en principio, como información pública y no podrá omitirse de las versiones públicas la siguiente: </w:t>
      </w:r>
    </w:p>
    <w:p w14:paraId="2FD4ABFC"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w:t>
      </w:r>
      <w:r w:rsidRPr="00F403D1">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0CD6C0BC"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II.</w:t>
      </w:r>
      <w:r w:rsidRPr="00F403D1">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25ACAC23"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III</w:t>
      </w:r>
      <w:r w:rsidRPr="00F403D1">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C548B43"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026F6D4C" w14:textId="77777777" w:rsidR="00295AA1" w:rsidRPr="00F403D1" w:rsidRDefault="00295AA1" w:rsidP="00395B9C">
      <w:pPr>
        <w:spacing w:before="120" w:after="120"/>
        <w:ind w:left="851" w:right="902"/>
        <w:jc w:val="both"/>
        <w:rPr>
          <w:rFonts w:ascii="Palatino Linotype" w:eastAsia="Palatino Linotype" w:hAnsi="Palatino Linotype" w:cs="Palatino Linotype"/>
          <w:i/>
        </w:rPr>
      </w:pPr>
      <w:r w:rsidRPr="00F403D1">
        <w:rPr>
          <w:rFonts w:ascii="Palatino Linotype" w:eastAsia="Palatino Linotype" w:hAnsi="Palatino Linotype" w:cs="Palatino Linotype"/>
          <w:b/>
          <w:i/>
        </w:rPr>
        <w:t>Quincuagésimo octavo</w:t>
      </w:r>
      <w:r w:rsidRPr="00F403D1">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6AD3B2DE" w14:textId="77777777" w:rsidR="00891223" w:rsidRPr="00F403D1" w:rsidRDefault="00891223" w:rsidP="00891223">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Así, con fundamento en lo prescrito en los artículos 5 párrafos cuadragésimo cuarto, cuadragésimo quinto cuadragésimo sexto,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2251228D" w14:textId="77777777" w:rsidR="00CE2B0E" w:rsidRPr="00F403D1" w:rsidRDefault="008263D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F403D1">
        <w:rPr>
          <w:rFonts w:ascii="Palatino Linotype" w:eastAsia="Palatino Linotype" w:hAnsi="Palatino Linotype" w:cs="Palatino Linotype"/>
          <w:b/>
        </w:rPr>
        <w:t>III. R E S U E L V E</w:t>
      </w:r>
    </w:p>
    <w:p w14:paraId="7350878F" w14:textId="20B36A9F" w:rsidR="00295AA1" w:rsidRPr="00F403D1" w:rsidRDefault="00295AA1" w:rsidP="00295AA1">
      <w:pPr>
        <w:spacing w:before="240" w:after="240" w:line="360" w:lineRule="auto"/>
        <w:jc w:val="both"/>
        <w:rPr>
          <w:rFonts w:ascii="Palatino Linotype" w:eastAsia="Palatino Linotype" w:hAnsi="Palatino Linotype" w:cs="Palatino Linotype"/>
        </w:rPr>
      </w:pPr>
      <w:bookmarkStart w:id="10" w:name="_heading=h.1t3h5sf" w:colFirst="0" w:colLast="0"/>
      <w:bookmarkStart w:id="11" w:name="_heading=h.7g5d4r8w570" w:colFirst="0" w:colLast="0"/>
      <w:bookmarkEnd w:id="10"/>
      <w:bookmarkEnd w:id="11"/>
      <w:r w:rsidRPr="00F403D1">
        <w:rPr>
          <w:rFonts w:ascii="Palatino Linotype" w:eastAsia="Palatino Linotype" w:hAnsi="Palatino Linotype" w:cs="Palatino Linotype"/>
          <w:b/>
        </w:rPr>
        <w:t xml:space="preserve">Primero. </w:t>
      </w:r>
      <w:r w:rsidRPr="00F403D1">
        <w:rPr>
          <w:rFonts w:ascii="Palatino Linotype" w:eastAsia="Palatino Linotype" w:hAnsi="Palatino Linotype" w:cs="Palatino Linotype"/>
        </w:rPr>
        <w:t>Resultan</w:t>
      </w:r>
      <w:r w:rsidRPr="00F403D1">
        <w:rPr>
          <w:rFonts w:ascii="Palatino Linotype" w:eastAsia="Palatino Linotype" w:hAnsi="Palatino Linotype" w:cs="Palatino Linotype"/>
          <w:b/>
        </w:rPr>
        <w:t xml:space="preserve"> fundadas</w:t>
      </w:r>
      <w:r w:rsidRPr="00F403D1">
        <w:rPr>
          <w:rFonts w:ascii="Palatino Linotype" w:eastAsia="Palatino Linotype" w:hAnsi="Palatino Linotype" w:cs="Palatino Linotype"/>
        </w:rPr>
        <w:t xml:space="preserve"> las razones o motivos de inconformidad hechos valer por la parte</w:t>
      </w:r>
      <w:r w:rsidRPr="00F403D1">
        <w:rPr>
          <w:rFonts w:ascii="Palatino Linotype" w:eastAsia="Palatino Linotype" w:hAnsi="Palatino Linotype" w:cs="Palatino Linotype"/>
          <w:b/>
        </w:rPr>
        <w:t xml:space="preserve"> Recurrente</w:t>
      </w:r>
      <w:r w:rsidRPr="00F403D1">
        <w:rPr>
          <w:rFonts w:ascii="Palatino Linotype" w:eastAsia="Palatino Linotype" w:hAnsi="Palatino Linotype" w:cs="Palatino Linotype"/>
        </w:rPr>
        <w:t xml:space="preserve"> en los recursos de revisión </w:t>
      </w:r>
      <w:r w:rsidRPr="00F403D1">
        <w:rPr>
          <w:rFonts w:ascii="Palatino Linotype" w:eastAsia="Palatino Linotype" w:hAnsi="Palatino Linotype" w:cs="Palatino Linotype"/>
          <w:b/>
        </w:rPr>
        <w:t xml:space="preserve">10179/INFOEM/IP/RR/2025, 10180/INFOEM/IP/RR/2025, 10181/INFOEM/IP/RR/2025 </w:t>
      </w:r>
      <w:r w:rsidRPr="00F403D1">
        <w:rPr>
          <w:rFonts w:ascii="Palatino Linotype" w:eastAsia="Palatino Linotype" w:hAnsi="Palatino Linotype" w:cs="Palatino Linotype"/>
        </w:rPr>
        <w:t>y</w:t>
      </w:r>
      <w:r w:rsidRPr="00F403D1">
        <w:rPr>
          <w:rFonts w:ascii="Palatino Linotype" w:eastAsia="Palatino Linotype" w:hAnsi="Palatino Linotype" w:cs="Palatino Linotype"/>
          <w:b/>
        </w:rPr>
        <w:t xml:space="preserve"> 10182/INFOEM/IP/RR/2025</w:t>
      </w:r>
      <w:r w:rsidRPr="00F403D1">
        <w:rPr>
          <w:rFonts w:ascii="Palatino Linotype" w:eastAsia="Palatino Linotype" w:hAnsi="Palatino Linotype" w:cs="Palatino Linotype"/>
        </w:rPr>
        <w:t xml:space="preserve">; por lo que, en términos del </w:t>
      </w:r>
      <w:r w:rsidRPr="00F403D1">
        <w:rPr>
          <w:rFonts w:ascii="Palatino Linotype" w:eastAsia="Palatino Linotype" w:hAnsi="Palatino Linotype" w:cs="Palatino Linotype"/>
          <w:b/>
        </w:rPr>
        <w:t>Considerando</w:t>
      </w:r>
      <w:r w:rsidRPr="00F403D1">
        <w:rPr>
          <w:rFonts w:ascii="Palatino Linotype" w:eastAsia="Palatino Linotype" w:hAnsi="Palatino Linotype" w:cs="Palatino Linotype"/>
        </w:rPr>
        <w:t xml:space="preserve"> </w:t>
      </w:r>
      <w:r w:rsidRPr="00F403D1">
        <w:rPr>
          <w:rFonts w:ascii="Palatino Linotype" w:eastAsia="Palatino Linotype" w:hAnsi="Palatino Linotype" w:cs="Palatino Linotype"/>
          <w:b/>
        </w:rPr>
        <w:t xml:space="preserve">Cuarto </w:t>
      </w:r>
      <w:r w:rsidRPr="00F403D1">
        <w:rPr>
          <w:rFonts w:ascii="Palatino Linotype" w:eastAsia="Palatino Linotype" w:hAnsi="Palatino Linotype" w:cs="Palatino Linotype"/>
        </w:rPr>
        <w:t xml:space="preserve">de esta resolución, se </w:t>
      </w:r>
      <w:r w:rsidRPr="00F403D1">
        <w:rPr>
          <w:rFonts w:ascii="Palatino Linotype" w:eastAsia="Palatino Linotype" w:hAnsi="Palatino Linotype" w:cs="Palatino Linotype"/>
          <w:b/>
        </w:rPr>
        <w:t>Revocan</w:t>
      </w:r>
      <w:r w:rsidRPr="00F403D1">
        <w:rPr>
          <w:rFonts w:ascii="Palatino Linotype" w:eastAsia="Palatino Linotype" w:hAnsi="Palatino Linotype" w:cs="Palatino Linotype"/>
        </w:rPr>
        <w:t xml:space="preserve"> las respuestas emitidas por el </w:t>
      </w:r>
      <w:r w:rsidRPr="00F403D1">
        <w:rPr>
          <w:rFonts w:ascii="Palatino Linotype" w:eastAsia="Palatino Linotype" w:hAnsi="Palatino Linotype" w:cs="Palatino Linotype"/>
          <w:b/>
        </w:rPr>
        <w:t xml:space="preserve">Sujeto Obligado. </w:t>
      </w:r>
    </w:p>
    <w:p w14:paraId="736D7B52" w14:textId="77777777" w:rsidR="00295AA1" w:rsidRPr="00F403D1" w:rsidRDefault="00295AA1" w:rsidP="00295AA1">
      <w:pPr>
        <w:spacing w:before="240" w:after="240" w:line="360" w:lineRule="auto"/>
        <w:ind w:right="49"/>
        <w:jc w:val="both"/>
        <w:rPr>
          <w:rFonts w:ascii="Palatino Linotype" w:eastAsia="Palatino Linotype" w:hAnsi="Palatino Linotype" w:cs="Palatino Linotype"/>
        </w:rPr>
      </w:pPr>
      <w:r w:rsidRPr="00F403D1">
        <w:rPr>
          <w:rFonts w:ascii="Palatino Linotype" w:eastAsia="Palatino Linotype" w:hAnsi="Palatino Linotype" w:cs="Palatino Linotype"/>
          <w:b/>
        </w:rPr>
        <w:t xml:space="preserve">Segundo. </w:t>
      </w:r>
      <w:r w:rsidRPr="00F403D1">
        <w:rPr>
          <w:rFonts w:ascii="Palatino Linotype" w:eastAsia="Palatino Linotype" w:hAnsi="Palatino Linotype" w:cs="Palatino Linotype"/>
        </w:rPr>
        <w:t xml:space="preserve">Se </w:t>
      </w:r>
      <w:r w:rsidRPr="00F403D1">
        <w:rPr>
          <w:rFonts w:ascii="Palatino Linotype" w:eastAsia="Palatino Linotype" w:hAnsi="Palatino Linotype" w:cs="Palatino Linotype"/>
          <w:b/>
        </w:rPr>
        <w:t xml:space="preserve">Ordena </w:t>
      </w:r>
      <w:r w:rsidRPr="00F403D1">
        <w:rPr>
          <w:rFonts w:ascii="Palatino Linotype" w:eastAsia="Palatino Linotype" w:hAnsi="Palatino Linotype" w:cs="Palatino Linotype"/>
        </w:rPr>
        <w:t xml:space="preserve">al </w:t>
      </w:r>
      <w:r w:rsidRPr="00F403D1">
        <w:rPr>
          <w:rFonts w:ascii="Palatino Linotype" w:eastAsia="Palatino Linotype" w:hAnsi="Palatino Linotype" w:cs="Palatino Linotype"/>
          <w:b/>
        </w:rPr>
        <w:t xml:space="preserve">Sujeto Obligado, </w:t>
      </w:r>
      <w:r w:rsidRPr="00F403D1">
        <w:rPr>
          <w:rFonts w:ascii="Palatino Linotype" w:eastAsia="Palatino Linotype" w:hAnsi="Palatino Linotype" w:cs="Palatino Linotype"/>
        </w:rPr>
        <w:t xml:space="preserve">en términos de los </w:t>
      </w:r>
      <w:r w:rsidRPr="00F403D1">
        <w:rPr>
          <w:rFonts w:ascii="Palatino Linotype" w:eastAsia="Palatino Linotype" w:hAnsi="Palatino Linotype" w:cs="Palatino Linotype"/>
          <w:b/>
        </w:rPr>
        <w:t>Considerandos</w:t>
      </w:r>
      <w:r w:rsidRPr="00F403D1">
        <w:rPr>
          <w:rFonts w:ascii="Palatino Linotype" w:eastAsia="Palatino Linotype" w:hAnsi="Palatino Linotype" w:cs="Palatino Linotype"/>
        </w:rPr>
        <w:t xml:space="preserve"> </w:t>
      </w:r>
      <w:r w:rsidRPr="00F403D1">
        <w:rPr>
          <w:rFonts w:ascii="Palatino Linotype" w:eastAsia="Palatino Linotype" w:hAnsi="Palatino Linotype" w:cs="Palatino Linotype"/>
          <w:b/>
        </w:rPr>
        <w:t xml:space="preserve">Cuarto </w:t>
      </w:r>
      <w:r w:rsidRPr="00F403D1">
        <w:rPr>
          <w:rFonts w:ascii="Palatino Linotype" w:eastAsia="Palatino Linotype" w:hAnsi="Palatino Linotype" w:cs="Palatino Linotype"/>
        </w:rPr>
        <w:t xml:space="preserve">y </w:t>
      </w:r>
      <w:r w:rsidRPr="00F403D1">
        <w:rPr>
          <w:rFonts w:ascii="Palatino Linotype" w:eastAsia="Palatino Linotype" w:hAnsi="Palatino Linotype" w:cs="Palatino Linotype"/>
          <w:b/>
        </w:rPr>
        <w:t xml:space="preserve">Quinto </w:t>
      </w:r>
      <w:r w:rsidRPr="00F403D1">
        <w:rPr>
          <w:rFonts w:ascii="Palatino Linotype" w:eastAsia="Palatino Linotype" w:hAnsi="Palatino Linotype" w:cs="Palatino Linotype"/>
        </w:rPr>
        <w:t xml:space="preserve">de esta resolución, haga entrega, vía </w:t>
      </w:r>
      <w:r w:rsidRPr="00F403D1">
        <w:rPr>
          <w:rFonts w:ascii="Palatino Linotype" w:eastAsia="Palatino Linotype" w:hAnsi="Palatino Linotype" w:cs="Palatino Linotype"/>
          <w:b/>
        </w:rPr>
        <w:t>SAIMEX</w:t>
      </w:r>
      <w:r w:rsidRPr="00F403D1">
        <w:rPr>
          <w:rFonts w:ascii="Palatino Linotype" w:eastAsia="Palatino Linotype" w:hAnsi="Palatino Linotype" w:cs="Palatino Linotype"/>
        </w:rPr>
        <w:t>, en versión pública de lo siguiente:</w:t>
      </w:r>
    </w:p>
    <w:p w14:paraId="4A20FB17" w14:textId="4985DFEA" w:rsidR="00295AA1" w:rsidRPr="00F403D1" w:rsidRDefault="009A1CF9" w:rsidP="00295AA1">
      <w:pPr>
        <w:spacing w:before="240" w:after="240" w:line="360" w:lineRule="auto"/>
        <w:ind w:left="284"/>
        <w:jc w:val="both"/>
        <w:rPr>
          <w:rFonts w:ascii="Palatino Linotype" w:eastAsia="Palatino Linotype" w:hAnsi="Palatino Linotype" w:cs="Palatino Linotype"/>
        </w:rPr>
      </w:pPr>
      <w:bookmarkStart w:id="12" w:name="_heading=h.1fob9te" w:colFirst="0" w:colLast="0"/>
      <w:bookmarkEnd w:id="12"/>
      <w:r w:rsidRPr="00F403D1">
        <w:rPr>
          <w:rFonts w:ascii="Palatino Linotype" w:eastAsia="Palatino Linotype" w:hAnsi="Palatino Linotype" w:cs="Palatino Linotype"/>
        </w:rPr>
        <w:t>1. C</w:t>
      </w:r>
      <w:r w:rsidR="00295AA1" w:rsidRPr="00F403D1">
        <w:rPr>
          <w:rFonts w:ascii="Palatino Linotype" w:eastAsia="Palatino Linotype" w:hAnsi="Palatino Linotype" w:cs="Palatino Linotype"/>
        </w:rPr>
        <w:t>onciliación de nómina de la primera</w:t>
      </w:r>
      <w:r w:rsidR="00415B30" w:rsidRPr="00F403D1">
        <w:rPr>
          <w:rFonts w:ascii="Palatino Linotype" w:eastAsia="Palatino Linotype" w:hAnsi="Palatino Linotype" w:cs="Palatino Linotype"/>
        </w:rPr>
        <w:t xml:space="preserve"> quincena de enero a la segunda quincena de julio </w:t>
      </w:r>
      <w:r w:rsidR="00295AA1" w:rsidRPr="00F403D1">
        <w:rPr>
          <w:rFonts w:ascii="Palatino Linotype" w:eastAsia="Palatino Linotype" w:hAnsi="Palatino Linotype" w:cs="Palatino Linotype"/>
        </w:rPr>
        <w:t>de dos mil veinticinco.</w:t>
      </w:r>
    </w:p>
    <w:p w14:paraId="2B275FC8" w14:textId="754AFEBE" w:rsidR="009A1CF9" w:rsidRPr="00F403D1" w:rsidRDefault="009A1CF9" w:rsidP="009A1CF9">
      <w:pPr>
        <w:spacing w:before="240" w:after="240" w:line="360" w:lineRule="auto"/>
        <w:ind w:left="284"/>
        <w:jc w:val="both"/>
        <w:rPr>
          <w:rFonts w:ascii="Palatino Linotype" w:eastAsia="Palatino Linotype" w:hAnsi="Palatino Linotype" w:cs="Palatino Linotype"/>
        </w:rPr>
      </w:pPr>
      <w:r w:rsidRPr="00F403D1">
        <w:rPr>
          <w:rFonts w:ascii="Palatino Linotype" w:eastAsia="Palatino Linotype" w:hAnsi="Palatino Linotype" w:cs="Palatino Linotype"/>
        </w:rPr>
        <w:t>2. Comprobante</w:t>
      </w:r>
      <w:r w:rsidR="00395B9C" w:rsidRPr="00F403D1">
        <w:rPr>
          <w:rFonts w:ascii="Palatino Linotype" w:eastAsia="Palatino Linotype" w:hAnsi="Palatino Linotype" w:cs="Palatino Linotype"/>
        </w:rPr>
        <w:t>s</w:t>
      </w:r>
      <w:r w:rsidR="009B5037" w:rsidRPr="00F403D1">
        <w:rPr>
          <w:rFonts w:ascii="Palatino Linotype" w:eastAsia="Palatino Linotype" w:hAnsi="Palatino Linotype" w:cs="Palatino Linotype"/>
        </w:rPr>
        <w:t xml:space="preserve"> bancario</w:t>
      </w:r>
      <w:r w:rsidR="00395B9C" w:rsidRPr="00F403D1">
        <w:rPr>
          <w:rFonts w:ascii="Palatino Linotype" w:eastAsia="Palatino Linotype" w:hAnsi="Palatino Linotype" w:cs="Palatino Linotype"/>
        </w:rPr>
        <w:t>s</w:t>
      </w:r>
      <w:r w:rsidRPr="00F403D1">
        <w:rPr>
          <w:rFonts w:ascii="Palatino Linotype" w:eastAsia="Palatino Linotype" w:hAnsi="Palatino Linotype" w:cs="Palatino Linotype"/>
        </w:rPr>
        <w:t xml:space="preserve"> de la dispersión de la nómina, de la primera quincena de enero a la segunda quincena de julio de dos mil veinticinco.</w:t>
      </w:r>
    </w:p>
    <w:p w14:paraId="6E4D7666" w14:textId="77777777" w:rsidR="00295AA1" w:rsidRPr="00F403D1" w:rsidRDefault="00295AA1" w:rsidP="00415B30">
      <w:pPr>
        <w:pBdr>
          <w:top w:val="nil"/>
          <w:left w:val="nil"/>
          <w:bottom w:val="nil"/>
          <w:right w:val="nil"/>
          <w:between w:val="nil"/>
        </w:pBdr>
        <w:spacing w:before="120" w:after="120" w:line="240" w:lineRule="auto"/>
        <w:ind w:left="284"/>
        <w:jc w:val="both"/>
        <w:rPr>
          <w:rFonts w:ascii="Palatino Linotype" w:eastAsia="Palatino Linotype" w:hAnsi="Palatino Linotype" w:cs="Palatino Linotype"/>
          <w:i/>
          <w:sz w:val="20"/>
        </w:rPr>
      </w:pPr>
      <w:r w:rsidRPr="00F403D1">
        <w:rPr>
          <w:rFonts w:ascii="Palatino Linotype" w:eastAsia="Palatino Linotype" w:hAnsi="Palatino Linotype" w:cs="Palatino Linotype"/>
          <w:i/>
          <w:sz w:val="20"/>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F403D1">
        <w:rPr>
          <w:rFonts w:ascii="Palatino Linotype" w:eastAsia="Palatino Linotype" w:hAnsi="Palatino Linotype" w:cs="Palatino Linotype"/>
          <w:b/>
          <w:i/>
          <w:sz w:val="20"/>
        </w:rPr>
        <w:t>Recurrente</w:t>
      </w:r>
      <w:r w:rsidRPr="00F403D1">
        <w:rPr>
          <w:rFonts w:ascii="Palatino Linotype" w:eastAsia="Palatino Linotype" w:hAnsi="Palatino Linotype" w:cs="Palatino Linotype"/>
          <w:i/>
          <w:sz w:val="20"/>
        </w:rPr>
        <w:t>, mismo que igualmente hará de su conocimiento.</w:t>
      </w:r>
    </w:p>
    <w:p w14:paraId="2CC4071D" w14:textId="77777777" w:rsidR="00295AA1" w:rsidRPr="00F403D1" w:rsidRDefault="00295AA1" w:rsidP="00295AA1">
      <w:pPr>
        <w:spacing w:before="240" w:after="240" w:line="360" w:lineRule="auto"/>
        <w:jc w:val="both"/>
        <w:rPr>
          <w:rFonts w:ascii="Palatino Linotype" w:eastAsia="Palatino Linotype" w:hAnsi="Palatino Linotype" w:cs="Palatino Linotype"/>
        </w:rPr>
      </w:pPr>
      <w:bookmarkStart w:id="13" w:name="_heading=h.hnzxsch5gysz" w:colFirst="0" w:colLast="0"/>
      <w:bookmarkEnd w:id="13"/>
      <w:r w:rsidRPr="00F403D1">
        <w:rPr>
          <w:rFonts w:ascii="Palatino Linotype" w:eastAsia="Palatino Linotype" w:hAnsi="Palatino Linotype" w:cs="Palatino Linotype"/>
          <w:b/>
        </w:rPr>
        <w:t xml:space="preserve">Tercero. Notifíquese, </w:t>
      </w:r>
      <w:r w:rsidRPr="00F403D1">
        <w:rPr>
          <w:rFonts w:ascii="Palatino Linotype" w:eastAsia="Palatino Linotype" w:hAnsi="Palatino Linotype" w:cs="Palatino Linotype"/>
        </w:rPr>
        <w:t xml:space="preserve">vía </w:t>
      </w:r>
      <w:r w:rsidRPr="00F403D1">
        <w:rPr>
          <w:rFonts w:ascii="Palatino Linotype" w:eastAsia="Palatino Linotype" w:hAnsi="Palatino Linotype" w:cs="Palatino Linotype"/>
          <w:b/>
        </w:rPr>
        <w:t>SAIMEX</w:t>
      </w:r>
      <w:r w:rsidRPr="00F403D1">
        <w:rPr>
          <w:rFonts w:ascii="Palatino Linotype" w:eastAsia="Palatino Linotype" w:hAnsi="Palatino Linotype" w:cs="Palatino Linotype"/>
        </w:rPr>
        <w:t xml:space="preserve">, al Titular de la Unidad de Transparencia del </w:t>
      </w:r>
      <w:r w:rsidRPr="00F403D1">
        <w:rPr>
          <w:rFonts w:ascii="Palatino Linotype" w:eastAsia="Palatino Linotype" w:hAnsi="Palatino Linotype" w:cs="Palatino Linotype"/>
          <w:b/>
        </w:rPr>
        <w:t>Sujeto Obligado,</w:t>
      </w:r>
      <w:r w:rsidRPr="00F403D1">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751B847" w14:textId="77777777" w:rsidR="00295AA1" w:rsidRPr="00F403D1" w:rsidRDefault="00295AA1" w:rsidP="00295AA1">
      <w:pPr>
        <w:spacing w:before="240" w:after="240" w:line="360" w:lineRule="auto"/>
        <w:jc w:val="both"/>
        <w:rPr>
          <w:rFonts w:ascii="Palatino Linotype" w:eastAsia="Palatino Linotype" w:hAnsi="Palatino Linotype" w:cs="Palatino Linotype"/>
        </w:rPr>
      </w:pPr>
      <w:r w:rsidRPr="00F403D1">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F403D1">
        <w:rPr>
          <w:rFonts w:ascii="Palatino Linotype" w:eastAsia="Palatino Linotype" w:hAnsi="Palatino Linotype" w:cs="Palatino Linotype"/>
          <w:b/>
        </w:rPr>
        <w:t>Sujeto Obligado</w:t>
      </w:r>
      <w:r w:rsidRPr="00F403D1">
        <w:rPr>
          <w:rFonts w:ascii="Palatino Linotype" w:eastAsia="Palatino Linotype" w:hAnsi="Palatino Linotype" w:cs="Palatino Linotype"/>
        </w:rPr>
        <w:t xml:space="preserve"> de manera fundada y motivada, podrá solicitar una ampliación de plazo para el cumplimiento de la presente resolución.</w:t>
      </w:r>
    </w:p>
    <w:p w14:paraId="15176658" w14:textId="77777777" w:rsidR="00295AA1" w:rsidRPr="00F403D1" w:rsidRDefault="00295AA1" w:rsidP="00295AA1">
      <w:pPr>
        <w:spacing w:before="240" w:after="240" w:line="360" w:lineRule="auto"/>
        <w:jc w:val="both"/>
        <w:rPr>
          <w:rFonts w:ascii="Palatino Linotype" w:eastAsia="Palatino Linotype" w:hAnsi="Palatino Linotype" w:cs="Palatino Linotype"/>
        </w:rPr>
      </w:pPr>
      <w:bookmarkStart w:id="14" w:name="_heading=h.ot3qq6vxa08f" w:colFirst="0" w:colLast="0"/>
      <w:bookmarkEnd w:id="14"/>
      <w:r w:rsidRPr="00F403D1">
        <w:rPr>
          <w:rFonts w:ascii="Palatino Linotype" w:eastAsia="Palatino Linotype" w:hAnsi="Palatino Linotype" w:cs="Palatino Linotype"/>
          <w:b/>
        </w:rPr>
        <w:t xml:space="preserve">Cuarto.  Notifíquese, </w:t>
      </w:r>
      <w:r w:rsidRPr="00F403D1">
        <w:rPr>
          <w:rFonts w:ascii="Palatino Linotype" w:eastAsia="Palatino Linotype" w:hAnsi="Palatino Linotype" w:cs="Palatino Linotype"/>
        </w:rPr>
        <w:t xml:space="preserve">vía </w:t>
      </w:r>
      <w:r w:rsidRPr="00F403D1">
        <w:rPr>
          <w:rFonts w:ascii="Palatino Linotype" w:eastAsia="Palatino Linotype" w:hAnsi="Palatino Linotype" w:cs="Palatino Linotype"/>
          <w:b/>
        </w:rPr>
        <w:t>SAIMEX</w:t>
      </w:r>
      <w:r w:rsidRPr="00F403D1">
        <w:rPr>
          <w:rFonts w:ascii="Palatino Linotype" w:eastAsia="Palatino Linotype" w:hAnsi="Palatino Linotype" w:cs="Palatino Linotype"/>
        </w:rPr>
        <w:t xml:space="preserve"> a la parte </w:t>
      </w:r>
      <w:r w:rsidRPr="00F403D1">
        <w:rPr>
          <w:rFonts w:ascii="Palatino Linotype" w:eastAsia="Palatino Linotype" w:hAnsi="Palatino Linotype" w:cs="Palatino Linotype"/>
          <w:b/>
        </w:rPr>
        <w:t>Recurrente</w:t>
      </w:r>
      <w:r w:rsidRPr="00F403D1">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0329083" w14:textId="0D563269" w:rsidR="00CE2B0E" w:rsidRPr="000229ED" w:rsidRDefault="008263D6">
      <w:pPr>
        <w:tabs>
          <w:tab w:val="left" w:pos="8647"/>
        </w:tabs>
        <w:spacing w:before="240" w:after="240" w:line="360" w:lineRule="auto"/>
        <w:ind w:right="51"/>
        <w:jc w:val="both"/>
        <w:rPr>
          <w:rFonts w:ascii="Palatino Linotype" w:eastAsia="Palatino Linotype" w:hAnsi="Palatino Linotype" w:cs="Palatino Linotype"/>
        </w:rPr>
      </w:pPr>
      <w:r w:rsidRPr="00F403D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281393" w:rsidRPr="00F403D1">
        <w:rPr>
          <w:rFonts w:ascii="Palatino Linotype" w:eastAsia="Palatino Linotype" w:hAnsi="Palatino Linotype" w:cs="Palatino Linotype"/>
        </w:rPr>
        <w:t xml:space="preserve"> EMITIENDO VOTO PARTICULAR</w:t>
      </w:r>
      <w:r w:rsidRPr="00F403D1">
        <w:rPr>
          <w:rFonts w:ascii="Palatino Linotype" w:eastAsia="Palatino Linotype" w:hAnsi="Palatino Linotype" w:cs="Palatino Linotype"/>
        </w:rPr>
        <w:t xml:space="preserve"> Y GUADALUPE RAMÍREZ PEÑA, </w:t>
      </w:r>
      <w:r w:rsidR="00281393" w:rsidRPr="00F403D1">
        <w:rPr>
          <w:rFonts w:ascii="Palatino Linotype" w:eastAsia="Palatino Linotype" w:hAnsi="Palatino Linotype" w:cs="Palatino Linotype"/>
        </w:rPr>
        <w:t xml:space="preserve">EMITIENDO VOTO PARTICULAR, </w:t>
      </w:r>
      <w:r w:rsidRPr="00F403D1">
        <w:rPr>
          <w:rFonts w:ascii="Palatino Linotype" w:eastAsia="Palatino Linotype" w:hAnsi="Palatino Linotype" w:cs="Palatino Linotype"/>
        </w:rPr>
        <w:t xml:space="preserve">EN LA </w:t>
      </w:r>
      <w:r w:rsidR="0046669E" w:rsidRPr="00F403D1">
        <w:rPr>
          <w:rFonts w:ascii="Palatino Linotype" w:eastAsia="Palatino Linotype" w:hAnsi="Palatino Linotype" w:cs="Palatino Linotype"/>
        </w:rPr>
        <w:t>QUINTA</w:t>
      </w:r>
      <w:r w:rsidRPr="00F403D1">
        <w:rPr>
          <w:rFonts w:ascii="Palatino Linotype" w:eastAsia="Palatino Linotype" w:hAnsi="Palatino Linotype" w:cs="Palatino Linotype"/>
        </w:rPr>
        <w:t xml:space="preserve"> SESIÓN ORDINARIA CELEBRADA EL </w:t>
      </w:r>
      <w:r w:rsidR="00395B9C" w:rsidRPr="00F403D1">
        <w:rPr>
          <w:rFonts w:ascii="Palatino Linotype" w:eastAsia="Palatino Linotype" w:hAnsi="Palatino Linotype" w:cs="Palatino Linotype"/>
        </w:rPr>
        <w:t xml:space="preserve">ONCE DE FEBRERO </w:t>
      </w:r>
      <w:r w:rsidRPr="00F403D1">
        <w:rPr>
          <w:rFonts w:ascii="Palatino Linotype" w:eastAsia="Palatino Linotype" w:hAnsi="Palatino Linotype" w:cs="Palatino Linotype"/>
        </w:rPr>
        <w:t>DE DOS MIL VEINTI</w:t>
      </w:r>
      <w:r w:rsidR="00395B9C" w:rsidRPr="00F403D1">
        <w:rPr>
          <w:rFonts w:ascii="Palatino Linotype" w:eastAsia="Palatino Linotype" w:hAnsi="Palatino Linotype" w:cs="Palatino Linotype"/>
        </w:rPr>
        <w:t>SÉIS</w:t>
      </w:r>
      <w:r w:rsidRPr="00F403D1">
        <w:rPr>
          <w:rFonts w:ascii="Palatino Linotype" w:eastAsia="Palatino Linotype" w:hAnsi="Palatino Linotype" w:cs="Palatino Linotype"/>
        </w:rPr>
        <w:t>, ANTE EL SECRETARIO TÉCNICO DEL PLENO ALEXIS TAPIA RAMÍREZ.</w:t>
      </w:r>
    </w:p>
    <w:p w14:paraId="0EDEC969" w14:textId="77777777" w:rsidR="00CE2B0E" w:rsidRPr="000229ED" w:rsidRDefault="00CE2B0E">
      <w:pPr>
        <w:spacing w:after="0" w:line="360" w:lineRule="auto"/>
        <w:ind w:right="49"/>
        <w:jc w:val="both"/>
        <w:rPr>
          <w:rFonts w:ascii="Palatino Linotype" w:eastAsia="Palatino Linotype" w:hAnsi="Palatino Linotype" w:cs="Palatino Linotype"/>
        </w:rPr>
      </w:pPr>
    </w:p>
    <w:p w14:paraId="3428843D" w14:textId="77777777" w:rsidR="00F77A0F" w:rsidRPr="000229ED" w:rsidRDefault="00F77A0F">
      <w:pPr>
        <w:spacing w:after="0" w:line="360" w:lineRule="auto"/>
        <w:ind w:right="49"/>
        <w:jc w:val="both"/>
        <w:rPr>
          <w:rFonts w:ascii="Palatino Linotype" w:eastAsia="Palatino Linotype" w:hAnsi="Palatino Linotype" w:cs="Palatino Linotype"/>
        </w:rPr>
      </w:pPr>
    </w:p>
    <w:p w14:paraId="7F8D3F5A" w14:textId="77777777" w:rsidR="00395B9C" w:rsidRPr="000229ED" w:rsidRDefault="00395B9C">
      <w:pPr>
        <w:spacing w:after="0" w:line="360" w:lineRule="auto"/>
        <w:ind w:right="49"/>
        <w:jc w:val="both"/>
        <w:rPr>
          <w:rFonts w:ascii="Palatino Linotype" w:eastAsia="Palatino Linotype" w:hAnsi="Palatino Linotype" w:cs="Palatino Linotype"/>
        </w:rPr>
      </w:pPr>
    </w:p>
    <w:p w14:paraId="68C45089" w14:textId="77777777" w:rsidR="00395B9C" w:rsidRPr="000229ED" w:rsidRDefault="00395B9C">
      <w:pPr>
        <w:spacing w:after="0" w:line="360" w:lineRule="auto"/>
        <w:ind w:right="49"/>
        <w:jc w:val="both"/>
        <w:rPr>
          <w:rFonts w:ascii="Palatino Linotype" w:eastAsia="Palatino Linotype" w:hAnsi="Palatino Linotype" w:cs="Palatino Linotype"/>
        </w:rPr>
      </w:pPr>
    </w:p>
    <w:p w14:paraId="4E5286E3" w14:textId="77777777" w:rsidR="00395B9C" w:rsidRPr="000229ED" w:rsidRDefault="00395B9C">
      <w:pPr>
        <w:spacing w:after="0" w:line="360" w:lineRule="auto"/>
        <w:ind w:right="49"/>
        <w:jc w:val="both"/>
        <w:rPr>
          <w:rFonts w:ascii="Palatino Linotype" w:eastAsia="Palatino Linotype" w:hAnsi="Palatino Linotype" w:cs="Palatino Linotype"/>
        </w:rPr>
      </w:pPr>
    </w:p>
    <w:p w14:paraId="4F0D9A9D" w14:textId="77777777" w:rsidR="00395B9C" w:rsidRPr="000229ED" w:rsidRDefault="00395B9C">
      <w:pPr>
        <w:spacing w:after="0" w:line="360" w:lineRule="auto"/>
        <w:ind w:right="49"/>
        <w:jc w:val="both"/>
        <w:rPr>
          <w:rFonts w:ascii="Palatino Linotype" w:eastAsia="Palatino Linotype" w:hAnsi="Palatino Linotype" w:cs="Palatino Linotype"/>
        </w:rPr>
      </w:pPr>
    </w:p>
    <w:p w14:paraId="57F1654E" w14:textId="77777777" w:rsidR="00395B9C" w:rsidRPr="000229ED" w:rsidRDefault="00395B9C">
      <w:pPr>
        <w:spacing w:after="0" w:line="360" w:lineRule="auto"/>
        <w:ind w:right="49"/>
        <w:jc w:val="both"/>
        <w:rPr>
          <w:rFonts w:ascii="Palatino Linotype" w:eastAsia="Palatino Linotype" w:hAnsi="Palatino Linotype" w:cs="Palatino Linotype"/>
        </w:rPr>
      </w:pPr>
    </w:p>
    <w:p w14:paraId="62C84D3B" w14:textId="77777777" w:rsidR="00395B9C" w:rsidRPr="000229ED" w:rsidRDefault="00395B9C">
      <w:pPr>
        <w:spacing w:after="0" w:line="360" w:lineRule="auto"/>
        <w:ind w:right="49"/>
        <w:jc w:val="both"/>
        <w:rPr>
          <w:rFonts w:ascii="Palatino Linotype" w:eastAsia="Palatino Linotype" w:hAnsi="Palatino Linotype" w:cs="Palatino Linotype"/>
        </w:rPr>
      </w:pPr>
    </w:p>
    <w:p w14:paraId="3947BFDA" w14:textId="77777777" w:rsidR="00395B9C" w:rsidRPr="000229ED" w:rsidRDefault="00395B9C">
      <w:pPr>
        <w:spacing w:after="0" w:line="360" w:lineRule="auto"/>
        <w:ind w:right="49"/>
        <w:jc w:val="both"/>
        <w:rPr>
          <w:rFonts w:ascii="Palatino Linotype" w:eastAsia="Palatino Linotype" w:hAnsi="Palatino Linotype" w:cs="Palatino Linotype"/>
        </w:rPr>
      </w:pPr>
    </w:p>
    <w:p w14:paraId="1097EBDC" w14:textId="77777777" w:rsidR="00395B9C" w:rsidRPr="000229ED" w:rsidRDefault="00395B9C">
      <w:pPr>
        <w:spacing w:after="0" w:line="360" w:lineRule="auto"/>
        <w:ind w:right="49"/>
        <w:jc w:val="both"/>
        <w:rPr>
          <w:rFonts w:ascii="Palatino Linotype" w:eastAsia="Palatino Linotype" w:hAnsi="Palatino Linotype" w:cs="Palatino Linotype"/>
        </w:rPr>
      </w:pPr>
    </w:p>
    <w:p w14:paraId="2F400C59" w14:textId="77777777" w:rsidR="00395B9C" w:rsidRPr="000229ED" w:rsidRDefault="00395B9C">
      <w:pPr>
        <w:spacing w:after="0" w:line="360" w:lineRule="auto"/>
        <w:ind w:right="49"/>
        <w:jc w:val="both"/>
        <w:rPr>
          <w:rFonts w:ascii="Palatino Linotype" w:eastAsia="Palatino Linotype" w:hAnsi="Palatino Linotype" w:cs="Palatino Linotype"/>
        </w:rPr>
      </w:pPr>
    </w:p>
    <w:p w14:paraId="4726795D" w14:textId="77777777" w:rsidR="00395B9C" w:rsidRPr="000229ED" w:rsidRDefault="00395B9C">
      <w:pPr>
        <w:spacing w:after="0" w:line="360" w:lineRule="auto"/>
        <w:ind w:right="49"/>
        <w:jc w:val="both"/>
        <w:rPr>
          <w:rFonts w:ascii="Palatino Linotype" w:eastAsia="Palatino Linotype" w:hAnsi="Palatino Linotype" w:cs="Palatino Linotype"/>
        </w:rPr>
      </w:pPr>
    </w:p>
    <w:p w14:paraId="2A0AC61E" w14:textId="77777777" w:rsidR="00395B9C" w:rsidRPr="000229ED" w:rsidRDefault="00395B9C">
      <w:pPr>
        <w:spacing w:after="0" w:line="360" w:lineRule="auto"/>
        <w:ind w:right="49"/>
        <w:jc w:val="both"/>
        <w:rPr>
          <w:rFonts w:ascii="Palatino Linotype" w:eastAsia="Palatino Linotype" w:hAnsi="Palatino Linotype" w:cs="Palatino Linotype"/>
        </w:rPr>
      </w:pPr>
    </w:p>
    <w:p w14:paraId="7A5F44DC" w14:textId="77777777" w:rsidR="00395B9C" w:rsidRPr="000229ED" w:rsidRDefault="00395B9C">
      <w:pPr>
        <w:spacing w:after="0" w:line="360" w:lineRule="auto"/>
        <w:ind w:right="49"/>
        <w:jc w:val="both"/>
        <w:rPr>
          <w:rFonts w:ascii="Palatino Linotype" w:eastAsia="Palatino Linotype" w:hAnsi="Palatino Linotype" w:cs="Palatino Linotype"/>
        </w:rPr>
      </w:pPr>
    </w:p>
    <w:p w14:paraId="33E1B591" w14:textId="77777777" w:rsidR="00395B9C" w:rsidRPr="000229ED" w:rsidRDefault="00395B9C">
      <w:pPr>
        <w:spacing w:after="0" w:line="360" w:lineRule="auto"/>
        <w:ind w:right="49"/>
        <w:jc w:val="both"/>
        <w:rPr>
          <w:rFonts w:ascii="Palatino Linotype" w:eastAsia="Palatino Linotype" w:hAnsi="Palatino Linotype" w:cs="Palatino Linotype"/>
        </w:rPr>
      </w:pPr>
    </w:p>
    <w:p w14:paraId="74FF4913" w14:textId="77777777" w:rsidR="00395B9C" w:rsidRPr="000229ED" w:rsidRDefault="00395B9C">
      <w:pPr>
        <w:spacing w:after="0" w:line="360" w:lineRule="auto"/>
        <w:ind w:right="49"/>
        <w:jc w:val="both"/>
        <w:rPr>
          <w:rFonts w:ascii="Palatino Linotype" w:eastAsia="Palatino Linotype" w:hAnsi="Palatino Linotype" w:cs="Palatino Linotype"/>
        </w:rPr>
      </w:pPr>
    </w:p>
    <w:p w14:paraId="00A35019" w14:textId="77777777" w:rsidR="00395B9C" w:rsidRPr="000229ED" w:rsidRDefault="00395B9C">
      <w:pPr>
        <w:spacing w:after="0" w:line="360" w:lineRule="auto"/>
        <w:ind w:right="49"/>
        <w:jc w:val="both"/>
        <w:rPr>
          <w:rFonts w:ascii="Palatino Linotype" w:eastAsia="Palatino Linotype" w:hAnsi="Palatino Linotype" w:cs="Palatino Linotype"/>
        </w:rPr>
      </w:pPr>
    </w:p>
    <w:p w14:paraId="14447BAB" w14:textId="77777777" w:rsidR="00395B9C" w:rsidRPr="000229ED" w:rsidRDefault="00395B9C">
      <w:pPr>
        <w:spacing w:after="0" w:line="360" w:lineRule="auto"/>
        <w:ind w:right="49"/>
        <w:jc w:val="both"/>
        <w:rPr>
          <w:rFonts w:ascii="Palatino Linotype" w:eastAsia="Palatino Linotype" w:hAnsi="Palatino Linotype" w:cs="Palatino Linotype"/>
        </w:rPr>
      </w:pPr>
    </w:p>
    <w:p w14:paraId="22490586" w14:textId="77777777" w:rsidR="00395B9C" w:rsidRPr="000229ED" w:rsidRDefault="00395B9C">
      <w:pPr>
        <w:spacing w:after="0" w:line="360" w:lineRule="auto"/>
        <w:ind w:right="49"/>
        <w:jc w:val="both"/>
        <w:rPr>
          <w:rFonts w:ascii="Palatino Linotype" w:eastAsia="Palatino Linotype" w:hAnsi="Palatino Linotype" w:cs="Palatino Linotype"/>
        </w:rPr>
      </w:pPr>
    </w:p>
    <w:p w14:paraId="66659FB6" w14:textId="77777777" w:rsidR="00395B9C" w:rsidRPr="000229ED" w:rsidRDefault="00395B9C">
      <w:pPr>
        <w:spacing w:after="0" w:line="360" w:lineRule="auto"/>
        <w:ind w:right="49"/>
        <w:jc w:val="both"/>
        <w:rPr>
          <w:rFonts w:ascii="Palatino Linotype" w:eastAsia="Palatino Linotype" w:hAnsi="Palatino Linotype" w:cs="Palatino Linotype"/>
        </w:rPr>
      </w:pPr>
    </w:p>
    <w:p w14:paraId="63ACE9E3" w14:textId="77777777" w:rsidR="00395B9C" w:rsidRPr="000229ED" w:rsidRDefault="00395B9C">
      <w:pPr>
        <w:spacing w:after="0" w:line="360" w:lineRule="auto"/>
        <w:ind w:right="49"/>
        <w:jc w:val="both"/>
        <w:rPr>
          <w:rFonts w:ascii="Palatino Linotype" w:eastAsia="Palatino Linotype" w:hAnsi="Palatino Linotype" w:cs="Palatino Linotype"/>
        </w:rPr>
      </w:pPr>
    </w:p>
    <w:p w14:paraId="7B9586AC" w14:textId="77777777" w:rsidR="00395B9C" w:rsidRPr="000229ED" w:rsidRDefault="00395B9C">
      <w:pPr>
        <w:spacing w:after="0" w:line="360" w:lineRule="auto"/>
        <w:ind w:right="49"/>
        <w:jc w:val="both"/>
        <w:rPr>
          <w:rFonts w:ascii="Palatino Linotype" w:eastAsia="Palatino Linotype" w:hAnsi="Palatino Linotype" w:cs="Palatino Linotype"/>
        </w:rPr>
      </w:pPr>
    </w:p>
    <w:p w14:paraId="325C7330" w14:textId="77777777" w:rsidR="00395B9C" w:rsidRPr="000229ED" w:rsidRDefault="00395B9C">
      <w:pPr>
        <w:spacing w:after="0" w:line="360" w:lineRule="auto"/>
        <w:ind w:right="49"/>
        <w:jc w:val="both"/>
        <w:rPr>
          <w:rFonts w:ascii="Palatino Linotype" w:eastAsia="Palatino Linotype" w:hAnsi="Palatino Linotype" w:cs="Palatino Linotype"/>
        </w:rPr>
      </w:pPr>
    </w:p>
    <w:p w14:paraId="1FBBD846" w14:textId="77777777" w:rsidR="00395B9C" w:rsidRPr="000229ED" w:rsidRDefault="00395B9C">
      <w:pPr>
        <w:spacing w:after="0" w:line="360" w:lineRule="auto"/>
        <w:ind w:right="49"/>
        <w:jc w:val="both"/>
        <w:rPr>
          <w:rFonts w:ascii="Palatino Linotype" w:eastAsia="Palatino Linotype" w:hAnsi="Palatino Linotype" w:cs="Palatino Linotype"/>
        </w:rPr>
      </w:pPr>
    </w:p>
    <w:p w14:paraId="0464B51F" w14:textId="77777777" w:rsidR="00395B9C" w:rsidRPr="000229ED" w:rsidRDefault="00395B9C">
      <w:pPr>
        <w:spacing w:after="0" w:line="360" w:lineRule="auto"/>
        <w:ind w:right="49"/>
        <w:jc w:val="both"/>
        <w:rPr>
          <w:rFonts w:ascii="Palatino Linotype" w:eastAsia="Palatino Linotype" w:hAnsi="Palatino Linotype" w:cs="Palatino Linotype"/>
        </w:rPr>
      </w:pPr>
    </w:p>
    <w:p w14:paraId="268528E0" w14:textId="77777777" w:rsidR="00395B9C" w:rsidRPr="000229ED" w:rsidRDefault="00395B9C">
      <w:pPr>
        <w:spacing w:after="0" w:line="360" w:lineRule="auto"/>
        <w:ind w:right="49"/>
        <w:jc w:val="both"/>
        <w:rPr>
          <w:rFonts w:ascii="Palatino Linotype" w:eastAsia="Palatino Linotype" w:hAnsi="Palatino Linotype" w:cs="Palatino Linotype"/>
        </w:rPr>
      </w:pPr>
    </w:p>
    <w:p w14:paraId="5D7DDF35" w14:textId="77777777" w:rsidR="00395B9C" w:rsidRPr="000229ED" w:rsidRDefault="00395B9C">
      <w:pPr>
        <w:spacing w:after="0" w:line="360" w:lineRule="auto"/>
        <w:ind w:right="49"/>
        <w:jc w:val="both"/>
        <w:rPr>
          <w:rFonts w:ascii="Palatino Linotype" w:eastAsia="Palatino Linotype" w:hAnsi="Palatino Linotype" w:cs="Palatino Linotype"/>
        </w:rPr>
      </w:pPr>
    </w:p>
    <w:p w14:paraId="40E8D92F" w14:textId="77777777" w:rsidR="00395B9C" w:rsidRPr="000229ED" w:rsidRDefault="00395B9C">
      <w:pPr>
        <w:spacing w:after="0" w:line="360" w:lineRule="auto"/>
        <w:ind w:right="49"/>
        <w:jc w:val="both"/>
        <w:rPr>
          <w:rFonts w:ascii="Palatino Linotype" w:eastAsia="Palatino Linotype" w:hAnsi="Palatino Linotype" w:cs="Palatino Linotype"/>
        </w:rPr>
      </w:pPr>
    </w:p>
    <w:p w14:paraId="3FE0AD40" w14:textId="77777777" w:rsidR="00395B9C" w:rsidRPr="000229ED" w:rsidRDefault="00395B9C">
      <w:pPr>
        <w:spacing w:after="0" w:line="360" w:lineRule="auto"/>
        <w:ind w:right="49"/>
        <w:jc w:val="both"/>
        <w:rPr>
          <w:rFonts w:ascii="Palatino Linotype" w:eastAsia="Palatino Linotype" w:hAnsi="Palatino Linotype" w:cs="Palatino Linotype"/>
        </w:rPr>
      </w:pPr>
    </w:p>
    <w:p w14:paraId="29634D8A" w14:textId="77777777" w:rsidR="00395B9C" w:rsidRPr="000229ED" w:rsidRDefault="00395B9C">
      <w:pPr>
        <w:spacing w:after="0" w:line="360" w:lineRule="auto"/>
        <w:ind w:right="49"/>
        <w:jc w:val="both"/>
        <w:rPr>
          <w:rFonts w:ascii="Palatino Linotype" w:eastAsia="Palatino Linotype" w:hAnsi="Palatino Linotype" w:cs="Palatino Linotype"/>
        </w:rPr>
      </w:pPr>
    </w:p>
    <w:p w14:paraId="61A26014" w14:textId="77777777" w:rsidR="00395B9C" w:rsidRPr="000229ED" w:rsidRDefault="00395B9C">
      <w:pPr>
        <w:spacing w:after="0" w:line="360" w:lineRule="auto"/>
        <w:ind w:right="49"/>
        <w:jc w:val="both"/>
        <w:rPr>
          <w:rFonts w:ascii="Palatino Linotype" w:eastAsia="Palatino Linotype" w:hAnsi="Palatino Linotype" w:cs="Palatino Linotype"/>
        </w:rPr>
      </w:pPr>
    </w:p>
    <w:p w14:paraId="2D4CBAE8" w14:textId="77777777" w:rsidR="00395B9C" w:rsidRPr="000229ED" w:rsidRDefault="00395B9C">
      <w:pPr>
        <w:spacing w:after="0" w:line="360" w:lineRule="auto"/>
        <w:ind w:right="49"/>
        <w:jc w:val="both"/>
        <w:rPr>
          <w:rFonts w:ascii="Palatino Linotype" w:eastAsia="Palatino Linotype" w:hAnsi="Palatino Linotype" w:cs="Palatino Linotype"/>
        </w:rPr>
      </w:pPr>
    </w:p>
    <w:p w14:paraId="73AB0F60" w14:textId="77777777" w:rsidR="00395B9C" w:rsidRPr="000229ED" w:rsidRDefault="00395B9C">
      <w:pPr>
        <w:spacing w:after="0" w:line="360" w:lineRule="auto"/>
        <w:ind w:right="49"/>
        <w:jc w:val="both"/>
        <w:rPr>
          <w:rFonts w:ascii="Palatino Linotype" w:eastAsia="Palatino Linotype" w:hAnsi="Palatino Linotype" w:cs="Palatino Linotype"/>
        </w:rPr>
      </w:pPr>
    </w:p>
    <w:sectPr w:rsidR="00395B9C" w:rsidRPr="000229ED">
      <w:headerReference w:type="default" r:id="rId19"/>
      <w:footerReference w:type="default" r:id="rId20"/>
      <w:headerReference w:type="first" r:id="rId21"/>
      <w:footerReference w:type="first" r:id="rId22"/>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D3BBC" w14:textId="77777777" w:rsidR="00622E92" w:rsidRDefault="00622E92">
      <w:pPr>
        <w:spacing w:after="0" w:line="240" w:lineRule="auto"/>
      </w:pPr>
      <w:r>
        <w:separator/>
      </w:r>
    </w:p>
  </w:endnote>
  <w:endnote w:type="continuationSeparator" w:id="0">
    <w:p w14:paraId="0B6FA645" w14:textId="77777777" w:rsidR="00622E92" w:rsidRDefault="00622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FB3CC" w14:textId="40A2D0FF" w:rsidR="00220E06" w:rsidRDefault="00220E0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A5A26">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A5A26">
      <w:rPr>
        <w:rFonts w:ascii="Palatino Linotype" w:eastAsia="Palatino Linotype" w:hAnsi="Palatino Linotype" w:cs="Palatino Linotype"/>
        <w:b/>
        <w:noProof/>
        <w:color w:val="000000"/>
        <w:sz w:val="20"/>
        <w:szCs w:val="20"/>
      </w:rPr>
      <w:t>57</w:t>
    </w:r>
    <w:r>
      <w:rPr>
        <w:rFonts w:ascii="Palatino Linotype" w:eastAsia="Palatino Linotype" w:hAnsi="Palatino Linotype" w:cs="Palatino Linotype"/>
        <w:b/>
        <w:color w:val="000000"/>
        <w:sz w:val="20"/>
        <w:szCs w:val="20"/>
      </w:rPr>
      <w:fldChar w:fldCharType="end"/>
    </w:r>
  </w:p>
  <w:p w14:paraId="353164CA" w14:textId="77777777" w:rsidR="00220E06" w:rsidRDefault="00220E0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640A" w14:textId="56AB59DD" w:rsidR="00220E06" w:rsidRDefault="00220E0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A5A2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A5A26">
      <w:rPr>
        <w:b/>
        <w:noProof/>
        <w:color w:val="000000"/>
        <w:sz w:val="24"/>
        <w:szCs w:val="24"/>
      </w:rPr>
      <w:t>57</w:t>
    </w:r>
    <w:r>
      <w:rPr>
        <w:b/>
        <w:color w:val="000000"/>
        <w:sz w:val="24"/>
        <w:szCs w:val="24"/>
      </w:rPr>
      <w:fldChar w:fldCharType="end"/>
    </w:r>
  </w:p>
  <w:p w14:paraId="40469D5D" w14:textId="77777777" w:rsidR="00220E06" w:rsidRDefault="00220E0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71486" w14:textId="77777777" w:rsidR="00622E92" w:rsidRDefault="00622E92">
      <w:pPr>
        <w:spacing w:after="0" w:line="240" w:lineRule="auto"/>
      </w:pPr>
      <w:r>
        <w:separator/>
      </w:r>
    </w:p>
  </w:footnote>
  <w:footnote w:type="continuationSeparator" w:id="0">
    <w:p w14:paraId="505EACD5" w14:textId="77777777" w:rsidR="00622E92" w:rsidRDefault="00622E92">
      <w:pPr>
        <w:spacing w:after="0" w:line="240" w:lineRule="auto"/>
      </w:pPr>
      <w:r>
        <w:continuationSeparator/>
      </w:r>
    </w:p>
  </w:footnote>
  <w:footnote w:id="1">
    <w:p w14:paraId="041EE95B" w14:textId="77777777" w:rsidR="00295AA1" w:rsidRDefault="00295AA1" w:rsidP="00295AA1">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F6449" w14:textId="037F0D92" w:rsidR="00220E06" w:rsidRDefault="004E5BFD">
    <w:pPr>
      <w:widowControl w:val="0"/>
      <w:pBdr>
        <w:top w:val="nil"/>
        <w:left w:val="nil"/>
        <w:bottom w:val="nil"/>
        <w:right w:val="nil"/>
        <w:between w:val="nil"/>
      </w:pBdr>
      <w:spacing w:after="0" w:line="276" w:lineRule="auto"/>
      <w:rPr>
        <w:color w:val="000000"/>
      </w:rPr>
    </w:pPr>
    <w:r w:rsidRPr="006A7DB8">
      <w:rPr>
        <w:noProof/>
      </w:rPr>
      <w:drawing>
        <wp:anchor distT="0" distB="0" distL="0" distR="0" simplePos="0" relativeHeight="251662336" behindDoc="1" locked="0" layoutInCell="1" hidden="0" allowOverlap="1" wp14:anchorId="23AD42D4" wp14:editId="46EDFDDA">
          <wp:simplePos x="0" y="0"/>
          <wp:positionH relativeFrom="column">
            <wp:posOffset>-1035050</wp:posOffset>
          </wp:positionH>
          <wp:positionV relativeFrom="paragraph">
            <wp:posOffset>-335915</wp:posOffset>
          </wp:positionV>
          <wp:extent cx="7809876" cy="10165823"/>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f5"/>
      <w:tblW w:w="5603" w:type="dxa"/>
      <w:tblInd w:w="3684" w:type="dxa"/>
      <w:tblLayout w:type="fixed"/>
      <w:tblLook w:val="0400" w:firstRow="0" w:lastRow="0" w:firstColumn="0" w:lastColumn="0" w:noHBand="0" w:noVBand="1"/>
    </w:tblPr>
    <w:tblGrid>
      <w:gridCol w:w="2551"/>
      <w:gridCol w:w="3052"/>
    </w:tblGrid>
    <w:tr w:rsidR="004E5BFD" w14:paraId="27F89C0E" w14:textId="77777777" w:rsidTr="004E5BFD">
      <w:tc>
        <w:tcPr>
          <w:tcW w:w="2551" w:type="dxa"/>
        </w:tcPr>
        <w:p w14:paraId="5D35C4A5" w14:textId="2DC19E82" w:rsidR="004E5BFD" w:rsidRDefault="004E5BFD" w:rsidP="004E5BF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6A7DB8">
            <w:rPr>
              <w:noProof/>
            </w:rPr>
            <w:drawing>
              <wp:anchor distT="0" distB="0" distL="0" distR="0" simplePos="0" relativeHeight="251661312" behindDoc="1" locked="0" layoutInCell="1" hidden="0" allowOverlap="1" wp14:anchorId="77EA9A3E" wp14:editId="7E2C457D">
                <wp:simplePos x="0" y="0"/>
                <wp:positionH relativeFrom="column">
                  <wp:posOffset>133350</wp:posOffset>
                </wp:positionH>
                <wp:positionV relativeFrom="paragraph">
                  <wp:posOffset>277495</wp:posOffset>
                </wp:positionV>
                <wp:extent cx="7809876" cy="10165823"/>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c>
      <w:tc>
        <w:tcPr>
          <w:tcW w:w="3052" w:type="dxa"/>
        </w:tcPr>
        <w:p w14:paraId="72C5C3E2" w14:textId="076331ED" w:rsidR="004E5BFD" w:rsidRDefault="004E5BFD" w:rsidP="004E5BF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220E06" w14:paraId="40EFD282" w14:textId="77777777" w:rsidTr="004E5BFD">
      <w:trPr>
        <w:trHeight w:val="228"/>
      </w:trPr>
      <w:tc>
        <w:tcPr>
          <w:tcW w:w="2551" w:type="dxa"/>
          <w:vAlign w:val="center"/>
        </w:tcPr>
        <w:p w14:paraId="767BD7B3" w14:textId="2DF2BE9B" w:rsidR="00220E06" w:rsidRDefault="00220E06" w:rsidP="00137ED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80EF594" w14:textId="647F1DE6" w:rsidR="00220E06" w:rsidRPr="009C0A5F" w:rsidRDefault="00220E06">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9C0A5F">
            <w:rPr>
              <w:rFonts w:ascii="Palatino Linotype" w:hAnsi="Palatino Linotype"/>
              <w:b/>
              <w:noProof/>
            </w:rPr>
            <w:t>Ayuntamiento de Melchor Ocampo</w:t>
          </w:r>
        </w:p>
      </w:tc>
    </w:tr>
    <w:tr w:rsidR="00220E06" w14:paraId="301D4C3B" w14:textId="77777777" w:rsidTr="004E5BFD">
      <w:tc>
        <w:tcPr>
          <w:tcW w:w="2551" w:type="dxa"/>
          <w:vAlign w:val="center"/>
        </w:tcPr>
        <w:p w14:paraId="4B6B915A" w14:textId="77777777" w:rsidR="00220E06" w:rsidRDefault="00220E0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8B41883" w14:textId="77777777" w:rsidR="00220E06" w:rsidRDefault="00220E0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F0249F9" w14:textId="77777777" w:rsidR="00220E06" w:rsidRDefault="00220E0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60755" w14:textId="77777777" w:rsidR="00220E06" w:rsidRDefault="00220E06">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6180CEB" wp14:editId="37555B3F">
          <wp:simplePos x="0" y="0"/>
          <wp:positionH relativeFrom="column">
            <wp:posOffset>-873760</wp:posOffset>
          </wp:positionH>
          <wp:positionV relativeFrom="paragraph">
            <wp:posOffset>-172720</wp:posOffset>
          </wp:positionV>
          <wp:extent cx="7809876" cy="10165823"/>
          <wp:effectExtent l="0" t="0" r="0" b="0"/>
          <wp:wrapNone/>
          <wp:docPr id="21431081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f6"/>
      <w:tblW w:w="5603" w:type="dxa"/>
      <w:tblInd w:w="3611" w:type="dxa"/>
      <w:tblLayout w:type="fixed"/>
      <w:tblLook w:val="0400" w:firstRow="0" w:lastRow="0" w:firstColumn="0" w:lastColumn="0" w:noHBand="0" w:noVBand="1"/>
    </w:tblPr>
    <w:tblGrid>
      <w:gridCol w:w="2551"/>
      <w:gridCol w:w="3052"/>
    </w:tblGrid>
    <w:tr w:rsidR="00220E06" w14:paraId="08F9D4CA" w14:textId="77777777">
      <w:tc>
        <w:tcPr>
          <w:tcW w:w="2551" w:type="dxa"/>
          <w:vAlign w:val="center"/>
        </w:tcPr>
        <w:p w14:paraId="34E41C06" w14:textId="77777777" w:rsidR="00220E06" w:rsidRDefault="00220E0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E13EB59" w14:textId="77777777" w:rsidR="00220E06" w:rsidRDefault="00220E0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D386EA7" w14:textId="3C4DB6E6" w:rsidR="00220E06" w:rsidRDefault="00220E0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10179/INFOEM/IP/RR/2025 y acumulados</w:t>
          </w:r>
        </w:p>
      </w:tc>
    </w:tr>
    <w:tr w:rsidR="00220E06" w14:paraId="4BEEC7A0" w14:textId="77777777">
      <w:tc>
        <w:tcPr>
          <w:tcW w:w="2551" w:type="dxa"/>
          <w:vAlign w:val="center"/>
        </w:tcPr>
        <w:p w14:paraId="7364EDDF" w14:textId="77777777" w:rsidR="00220E06" w:rsidRDefault="00220E0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2066F77" w14:textId="1692F857" w:rsidR="00220E06" w:rsidRDefault="00220E06">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220E06" w14:paraId="0F3A7018" w14:textId="77777777">
      <w:trPr>
        <w:trHeight w:val="228"/>
      </w:trPr>
      <w:tc>
        <w:tcPr>
          <w:tcW w:w="2551" w:type="dxa"/>
          <w:vAlign w:val="center"/>
        </w:tcPr>
        <w:p w14:paraId="226D2317" w14:textId="77777777" w:rsidR="00220E06" w:rsidRDefault="00220E0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FE7EB4B" w14:textId="22C0C197" w:rsidR="00220E06" w:rsidRDefault="00220E06">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9C0A5F">
            <w:rPr>
              <w:rFonts w:ascii="Palatino Linotype" w:eastAsia="Palatino Linotype" w:hAnsi="Palatino Linotype" w:cs="Palatino Linotype"/>
              <w:b/>
              <w:color w:val="000000"/>
            </w:rPr>
            <w:t>Ayuntamiento de Melchor Ocampo</w:t>
          </w:r>
        </w:p>
      </w:tc>
    </w:tr>
    <w:tr w:rsidR="00220E06" w14:paraId="22DBA9D0" w14:textId="77777777">
      <w:tc>
        <w:tcPr>
          <w:tcW w:w="2551" w:type="dxa"/>
          <w:vAlign w:val="center"/>
        </w:tcPr>
        <w:p w14:paraId="4FEB0602" w14:textId="77777777" w:rsidR="00220E06" w:rsidRDefault="00220E0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6526AE6" w14:textId="77777777" w:rsidR="00220E06" w:rsidRDefault="00220E0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00E4323" w14:textId="77777777" w:rsidR="00220E06" w:rsidRDefault="00220E06">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4E657D"/>
    <w:multiLevelType w:val="multilevel"/>
    <w:tmpl w:val="839A4878"/>
    <w:lvl w:ilvl="0">
      <w:start w:val="1"/>
      <w:numFmt w:val="decimal"/>
      <w:lvlText w:val="%1."/>
      <w:lvlJc w:val="left"/>
      <w:pPr>
        <w:ind w:left="644" w:hanging="357"/>
      </w:pPr>
      <w:rPr>
        <w:sz w:val="22"/>
        <w:szCs w:val="22"/>
      </w:rPr>
    </w:lvl>
    <w:lvl w:ilvl="1">
      <w:start w:val="2"/>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473F0696"/>
    <w:multiLevelType w:val="multilevel"/>
    <w:tmpl w:val="9150153E"/>
    <w:lvl w:ilvl="0">
      <w:start w:val="1"/>
      <w:numFmt w:val="decimal"/>
      <w:pStyle w:val="Listaconvietas3"/>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620930DE"/>
    <w:multiLevelType w:val="multilevel"/>
    <w:tmpl w:val="07B63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2C019BA"/>
    <w:multiLevelType w:val="multilevel"/>
    <w:tmpl w:val="381C148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6EAE5639"/>
    <w:multiLevelType w:val="multilevel"/>
    <w:tmpl w:val="418045CC"/>
    <w:lvl w:ilvl="0">
      <w:start w:val="1"/>
      <w:numFmt w:val="decimal"/>
      <w:pStyle w:val="Listaconvietas"/>
      <w:lvlText w:val="%1."/>
      <w:lvlJc w:val="left"/>
      <w:pPr>
        <w:ind w:left="644" w:hanging="357"/>
      </w:pPr>
      <w:rPr>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7ED3330D"/>
    <w:multiLevelType w:val="multilevel"/>
    <w:tmpl w:val="7CAE8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6"/>
  </w:num>
  <w:num w:numId="2">
    <w:abstractNumId w:val="3"/>
  </w:num>
  <w:num w:numId="3">
    <w:abstractNumId w:val="2"/>
  </w:num>
  <w:num w:numId="4">
    <w:abstractNumId w:val="5"/>
  </w:num>
  <w:num w:numId="5">
    <w:abstractNumId w:val="0"/>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0E"/>
    <w:rsid w:val="0000093E"/>
    <w:rsid w:val="00001E41"/>
    <w:rsid w:val="00006CDA"/>
    <w:rsid w:val="00010C4A"/>
    <w:rsid w:val="00014A50"/>
    <w:rsid w:val="000229ED"/>
    <w:rsid w:val="0002320A"/>
    <w:rsid w:val="00030011"/>
    <w:rsid w:val="000308A1"/>
    <w:rsid w:val="0003115B"/>
    <w:rsid w:val="000410B0"/>
    <w:rsid w:val="000423FA"/>
    <w:rsid w:val="000453ED"/>
    <w:rsid w:val="00047FFC"/>
    <w:rsid w:val="0005674A"/>
    <w:rsid w:val="00064F2E"/>
    <w:rsid w:val="00070819"/>
    <w:rsid w:val="0008109F"/>
    <w:rsid w:val="00083556"/>
    <w:rsid w:val="00085093"/>
    <w:rsid w:val="000A0499"/>
    <w:rsid w:val="000A4B44"/>
    <w:rsid w:val="000A5931"/>
    <w:rsid w:val="000A7BA3"/>
    <w:rsid w:val="000B1E44"/>
    <w:rsid w:val="000B2D28"/>
    <w:rsid w:val="000B49CE"/>
    <w:rsid w:val="000B4AD2"/>
    <w:rsid w:val="000C6031"/>
    <w:rsid w:val="000C6B6F"/>
    <w:rsid w:val="000D1CB4"/>
    <w:rsid w:val="000D59FE"/>
    <w:rsid w:val="000E0A3F"/>
    <w:rsid w:val="000E27D3"/>
    <w:rsid w:val="000E5DF9"/>
    <w:rsid w:val="000E676C"/>
    <w:rsid w:val="000F15AB"/>
    <w:rsid w:val="000F1BDA"/>
    <w:rsid w:val="000F3D30"/>
    <w:rsid w:val="000F5CFF"/>
    <w:rsid w:val="001004F5"/>
    <w:rsid w:val="00102BA7"/>
    <w:rsid w:val="00102F8B"/>
    <w:rsid w:val="001051A9"/>
    <w:rsid w:val="00111548"/>
    <w:rsid w:val="00121F2B"/>
    <w:rsid w:val="00135B80"/>
    <w:rsid w:val="00137ED4"/>
    <w:rsid w:val="001412D1"/>
    <w:rsid w:val="00150ED9"/>
    <w:rsid w:val="00160446"/>
    <w:rsid w:val="00160EC2"/>
    <w:rsid w:val="00165570"/>
    <w:rsid w:val="00166373"/>
    <w:rsid w:val="00174F68"/>
    <w:rsid w:val="0018770B"/>
    <w:rsid w:val="00195AF3"/>
    <w:rsid w:val="00196D4B"/>
    <w:rsid w:val="00196E91"/>
    <w:rsid w:val="001A2832"/>
    <w:rsid w:val="001A338E"/>
    <w:rsid w:val="001A4E33"/>
    <w:rsid w:val="001A5A6F"/>
    <w:rsid w:val="001B120F"/>
    <w:rsid w:val="001B2C1E"/>
    <w:rsid w:val="001B7228"/>
    <w:rsid w:val="001C20B6"/>
    <w:rsid w:val="001C2731"/>
    <w:rsid w:val="001D43D2"/>
    <w:rsid w:val="001D4F94"/>
    <w:rsid w:val="001D5D6C"/>
    <w:rsid w:val="001E56F0"/>
    <w:rsid w:val="001F7D9B"/>
    <w:rsid w:val="00202232"/>
    <w:rsid w:val="0020788F"/>
    <w:rsid w:val="002104BF"/>
    <w:rsid w:val="002121D9"/>
    <w:rsid w:val="00214B8F"/>
    <w:rsid w:val="00216DE7"/>
    <w:rsid w:val="002172AB"/>
    <w:rsid w:val="00220E06"/>
    <w:rsid w:val="00223F52"/>
    <w:rsid w:val="00234FC5"/>
    <w:rsid w:val="00273A4F"/>
    <w:rsid w:val="0027621C"/>
    <w:rsid w:val="00277A28"/>
    <w:rsid w:val="00281393"/>
    <w:rsid w:val="00287A41"/>
    <w:rsid w:val="00290C05"/>
    <w:rsid w:val="00292982"/>
    <w:rsid w:val="00293EE4"/>
    <w:rsid w:val="00295AA1"/>
    <w:rsid w:val="002A0775"/>
    <w:rsid w:val="002A6C21"/>
    <w:rsid w:val="002A78E7"/>
    <w:rsid w:val="002B3713"/>
    <w:rsid w:val="002B4C26"/>
    <w:rsid w:val="002C1927"/>
    <w:rsid w:val="002C5450"/>
    <w:rsid w:val="002D0D9D"/>
    <w:rsid w:val="002D2CCA"/>
    <w:rsid w:val="002D399E"/>
    <w:rsid w:val="002E2F98"/>
    <w:rsid w:val="002E3FB1"/>
    <w:rsid w:val="002E41BB"/>
    <w:rsid w:val="002E553E"/>
    <w:rsid w:val="002F192D"/>
    <w:rsid w:val="0030136D"/>
    <w:rsid w:val="00303436"/>
    <w:rsid w:val="00325095"/>
    <w:rsid w:val="0033081A"/>
    <w:rsid w:val="00347FAA"/>
    <w:rsid w:val="00352659"/>
    <w:rsid w:val="00353AD8"/>
    <w:rsid w:val="00361999"/>
    <w:rsid w:val="00361EA0"/>
    <w:rsid w:val="0036377A"/>
    <w:rsid w:val="00372961"/>
    <w:rsid w:val="003830FA"/>
    <w:rsid w:val="0038597E"/>
    <w:rsid w:val="00390A81"/>
    <w:rsid w:val="003937E2"/>
    <w:rsid w:val="00395B9C"/>
    <w:rsid w:val="003A05A7"/>
    <w:rsid w:val="003B409D"/>
    <w:rsid w:val="003B6738"/>
    <w:rsid w:val="003C04D0"/>
    <w:rsid w:val="003C3867"/>
    <w:rsid w:val="003C43AD"/>
    <w:rsid w:val="003D083F"/>
    <w:rsid w:val="003D1782"/>
    <w:rsid w:val="003D424F"/>
    <w:rsid w:val="003E0F1E"/>
    <w:rsid w:val="003E1079"/>
    <w:rsid w:val="003E1A9D"/>
    <w:rsid w:val="003E6028"/>
    <w:rsid w:val="003F0DB9"/>
    <w:rsid w:val="003F1876"/>
    <w:rsid w:val="00415B30"/>
    <w:rsid w:val="00417B5D"/>
    <w:rsid w:val="0042400A"/>
    <w:rsid w:val="004247CA"/>
    <w:rsid w:val="00437D69"/>
    <w:rsid w:val="0044291A"/>
    <w:rsid w:val="00454373"/>
    <w:rsid w:val="00455D74"/>
    <w:rsid w:val="0046669E"/>
    <w:rsid w:val="00470455"/>
    <w:rsid w:val="00470A7B"/>
    <w:rsid w:val="00476D69"/>
    <w:rsid w:val="004829B5"/>
    <w:rsid w:val="00491E96"/>
    <w:rsid w:val="004A13AD"/>
    <w:rsid w:val="004A17ED"/>
    <w:rsid w:val="004A5A26"/>
    <w:rsid w:val="004B118C"/>
    <w:rsid w:val="004B303F"/>
    <w:rsid w:val="004B6630"/>
    <w:rsid w:val="004C12ED"/>
    <w:rsid w:val="004C6727"/>
    <w:rsid w:val="004C6AB2"/>
    <w:rsid w:val="004D0778"/>
    <w:rsid w:val="004D15C1"/>
    <w:rsid w:val="004D45FD"/>
    <w:rsid w:val="004E5BFD"/>
    <w:rsid w:val="004E5DF5"/>
    <w:rsid w:val="004E7ECB"/>
    <w:rsid w:val="004F67B3"/>
    <w:rsid w:val="00541FDF"/>
    <w:rsid w:val="00543B77"/>
    <w:rsid w:val="00544F4C"/>
    <w:rsid w:val="00545B55"/>
    <w:rsid w:val="0055256D"/>
    <w:rsid w:val="005614B5"/>
    <w:rsid w:val="005642A1"/>
    <w:rsid w:val="00571F0C"/>
    <w:rsid w:val="005733D0"/>
    <w:rsid w:val="005733EB"/>
    <w:rsid w:val="00575DE7"/>
    <w:rsid w:val="00590947"/>
    <w:rsid w:val="00593871"/>
    <w:rsid w:val="00597B9D"/>
    <w:rsid w:val="005A2199"/>
    <w:rsid w:val="005A2540"/>
    <w:rsid w:val="005A2F2C"/>
    <w:rsid w:val="005B4967"/>
    <w:rsid w:val="005B5492"/>
    <w:rsid w:val="005B699F"/>
    <w:rsid w:val="005C2B81"/>
    <w:rsid w:val="005C5DCC"/>
    <w:rsid w:val="005D4FC4"/>
    <w:rsid w:val="005D6039"/>
    <w:rsid w:val="005D794A"/>
    <w:rsid w:val="005E0C54"/>
    <w:rsid w:val="005F0D8F"/>
    <w:rsid w:val="005F444F"/>
    <w:rsid w:val="005F7906"/>
    <w:rsid w:val="0060051C"/>
    <w:rsid w:val="00615587"/>
    <w:rsid w:val="006227F2"/>
    <w:rsid w:val="00622E92"/>
    <w:rsid w:val="00625B34"/>
    <w:rsid w:val="006272D4"/>
    <w:rsid w:val="0062737B"/>
    <w:rsid w:val="00630169"/>
    <w:rsid w:val="006503DF"/>
    <w:rsid w:val="006556DC"/>
    <w:rsid w:val="00657D8C"/>
    <w:rsid w:val="00661B0E"/>
    <w:rsid w:val="00662115"/>
    <w:rsid w:val="00662872"/>
    <w:rsid w:val="00666F39"/>
    <w:rsid w:val="006711A0"/>
    <w:rsid w:val="00673C4B"/>
    <w:rsid w:val="00681422"/>
    <w:rsid w:val="006820CB"/>
    <w:rsid w:val="00684A93"/>
    <w:rsid w:val="006850BD"/>
    <w:rsid w:val="0068574D"/>
    <w:rsid w:val="00696559"/>
    <w:rsid w:val="006A06BD"/>
    <w:rsid w:val="006A0F9A"/>
    <w:rsid w:val="006A1221"/>
    <w:rsid w:val="006A1EFB"/>
    <w:rsid w:val="006A3E65"/>
    <w:rsid w:val="006A5DBF"/>
    <w:rsid w:val="006A74F1"/>
    <w:rsid w:val="006B2F56"/>
    <w:rsid w:val="006B3E3F"/>
    <w:rsid w:val="006C2097"/>
    <w:rsid w:val="006D3FE1"/>
    <w:rsid w:val="006D6996"/>
    <w:rsid w:val="006F2587"/>
    <w:rsid w:val="0070129E"/>
    <w:rsid w:val="007061E2"/>
    <w:rsid w:val="00725099"/>
    <w:rsid w:val="00731CB1"/>
    <w:rsid w:val="00753AD7"/>
    <w:rsid w:val="007559C3"/>
    <w:rsid w:val="00761694"/>
    <w:rsid w:val="007818CA"/>
    <w:rsid w:val="0078230F"/>
    <w:rsid w:val="00786B4E"/>
    <w:rsid w:val="00794923"/>
    <w:rsid w:val="007A399E"/>
    <w:rsid w:val="007A43F6"/>
    <w:rsid w:val="007A5F14"/>
    <w:rsid w:val="007A7A56"/>
    <w:rsid w:val="007B58B3"/>
    <w:rsid w:val="007C365F"/>
    <w:rsid w:val="007C3FF4"/>
    <w:rsid w:val="007C4422"/>
    <w:rsid w:val="007C759D"/>
    <w:rsid w:val="007D03AB"/>
    <w:rsid w:val="007D240C"/>
    <w:rsid w:val="007E0D90"/>
    <w:rsid w:val="007E49DF"/>
    <w:rsid w:val="007F0A2B"/>
    <w:rsid w:val="007F0A79"/>
    <w:rsid w:val="00804657"/>
    <w:rsid w:val="008053E2"/>
    <w:rsid w:val="00805C65"/>
    <w:rsid w:val="008060DA"/>
    <w:rsid w:val="00813A16"/>
    <w:rsid w:val="008145E8"/>
    <w:rsid w:val="0082022D"/>
    <w:rsid w:val="00823535"/>
    <w:rsid w:val="008239F1"/>
    <w:rsid w:val="008263D6"/>
    <w:rsid w:val="0083425B"/>
    <w:rsid w:val="00834A79"/>
    <w:rsid w:val="00837B6A"/>
    <w:rsid w:val="00845DD0"/>
    <w:rsid w:val="00850493"/>
    <w:rsid w:val="008520E8"/>
    <w:rsid w:val="008522A7"/>
    <w:rsid w:val="00875D9F"/>
    <w:rsid w:val="0087697A"/>
    <w:rsid w:val="00885DFA"/>
    <w:rsid w:val="008909F3"/>
    <w:rsid w:val="00891223"/>
    <w:rsid w:val="008976AC"/>
    <w:rsid w:val="008979EB"/>
    <w:rsid w:val="008B6016"/>
    <w:rsid w:val="008B6B89"/>
    <w:rsid w:val="008C537A"/>
    <w:rsid w:val="008D23C5"/>
    <w:rsid w:val="008D4843"/>
    <w:rsid w:val="008E0A53"/>
    <w:rsid w:val="008E463E"/>
    <w:rsid w:val="008F308F"/>
    <w:rsid w:val="008F34D4"/>
    <w:rsid w:val="008F7445"/>
    <w:rsid w:val="009044B4"/>
    <w:rsid w:val="00914212"/>
    <w:rsid w:val="00923513"/>
    <w:rsid w:val="0092440F"/>
    <w:rsid w:val="00924E0F"/>
    <w:rsid w:val="009264F2"/>
    <w:rsid w:val="00927653"/>
    <w:rsid w:val="0093659D"/>
    <w:rsid w:val="00940F1E"/>
    <w:rsid w:val="00942446"/>
    <w:rsid w:val="00951375"/>
    <w:rsid w:val="00952E7F"/>
    <w:rsid w:val="00962EA7"/>
    <w:rsid w:val="009808E7"/>
    <w:rsid w:val="00983DF3"/>
    <w:rsid w:val="00984AD3"/>
    <w:rsid w:val="00990454"/>
    <w:rsid w:val="009940BC"/>
    <w:rsid w:val="00994324"/>
    <w:rsid w:val="0099480E"/>
    <w:rsid w:val="009A1CF9"/>
    <w:rsid w:val="009A53BC"/>
    <w:rsid w:val="009A5D53"/>
    <w:rsid w:val="009B03CA"/>
    <w:rsid w:val="009B1575"/>
    <w:rsid w:val="009B17D4"/>
    <w:rsid w:val="009B1DA7"/>
    <w:rsid w:val="009B5037"/>
    <w:rsid w:val="009C0A5F"/>
    <w:rsid w:val="009C1BAC"/>
    <w:rsid w:val="009C285A"/>
    <w:rsid w:val="009C361B"/>
    <w:rsid w:val="009D4D2A"/>
    <w:rsid w:val="009D58F3"/>
    <w:rsid w:val="009E56B9"/>
    <w:rsid w:val="009E6630"/>
    <w:rsid w:val="009F05B4"/>
    <w:rsid w:val="009F2781"/>
    <w:rsid w:val="009F2CEB"/>
    <w:rsid w:val="009F3BE8"/>
    <w:rsid w:val="009F590E"/>
    <w:rsid w:val="00A007CE"/>
    <w:rsid w:val="00A01D7D"/>
    <w:rsid w:val="00A06488"/>
    <w:rsid w:val="00A07A9C"/>
    <w:rsid w:val="00A10E4F"/>
    <w:rsid w:val="00A15521"/>
    <w:rsid w:val="00A32C85"/>
    <w:rsid w:val="00A33CF8"/>
    <w:rsid w:val="00A40B8A"/>
    <w:rsid w:val="00A40BE4"/>
    <w:rsid w:val="00A426E9"/>
    <w:rsid w:val="00A44746"/>
    <w:rsid w:val="00A472FC"/>
    <w:rsid w:val="00A608F8"/>
    <w:rsid w:val="00A624B8"/>
    <w:rsid w:val="00A67EA5"/>
    <w:rsid w:val="00AA4382"/>
    <w:rsid w:val="00AA5242"/>
    <w:rsid w:val="00AA642E"/>
    <w:rsid w:val="00AB4CEA"/>
    <w:rsid w:val="00AB5B78"/>
    <w:rsid w:val="00AB68F0"/>
    <w:rsid w:val="00AC3B5B"/>
    <w:rsid w:val="00AE4DF2"/>
    <w:rsid w:val="00AE5B12"/>
    <w:rsid w:val="00B078BB"/>
    <w:rsid w:val="00B13A0C"/>
    <w:rsid w:val="00B13BBD"/>
    <w:rsid w:val="00B224DD"/>
    <w:rsid w:val="00B275C1"/>
    <w:rsid w:val="00B27862"/>
    <w:rsid w:val="00B43E56"/>
    <w:rsid w:val="00B520F0"/>
    <w:rsid w:val="00B55C03"/>
    <w:rsid w:val="00B56EAF"/>
    <w:rsid w:val="00B57F8C"/>
    <w:rsid w:val="00B60FB2"/>
    <w:rsid w:val="00B67A1E"/>
    <w:rsid w:val="00B700D7"/>
    <w:rsid w:val="00B82EF5"/>
    <w:rsid w:val="00B844B7"/>
    <w:rsid w:val="00B84F83"/>
    <w:rsid w:val="00B96383"/>
    <w:rsid w:val="00BC2364"/>
    <w:rsid w:val="00BD4579"/>
    <w:rsid w:val="00BD743E"/>
    <w:rsid w:val="00BE174E"/>
    <w:rsid w:val="00BE7826"/>
    <w:rsid w:val="00BF208B"/>
    <w:rsid w:val="00C006EB"/>
    <w:rsid w:val="00C024AA"/>
    <w:rsid w:val="00C034E9"/>
    <w:rsid w:val="00C04AD4"/>
    <w:rsid w:val="00C13134"/>
    <w:rsid w:val="00C1702F"/>
    <w:rsid w:val="00C2486C"/>
    <w:rsid w:val="00C31661"/>
    <w:rsid w:val="00C34205"/>
    <w:rsid w:val="00C400FD"/>
    <w:rsid w:val="00C4282D"/>
    <w:rsid w:val="00C52368"/>
    <w:rsid w:val="00C574BB"/>
    <w:rsid w:val="00C60071"/>
    <w:rsid w:val="00C6306C"/>
    <w:rsid w:val="00C82F40"/>
    <w:rsid w:val="00C90379"/>
    <w:rsid w:val="00C94A31"/>
    <w:rsid w:val="00CA1DCD"/>
    <w:rsid w:val="00CA2FF6"/>
    <w:rsid w:val="00CB0079"/>
    <w:rsid w:val="00CB2725"/>
    <w:rsid w:val="00CB72FD"/>
    <w:rsid w:val="00CC5C51"/>
    <w:rsid w:val="00CD42C9"/>
    <w:rsid w:val="00CD77C1"/>
    <w:rsid w:val="00CE2B0E"/>
    <w:rsid w:val="00CE7980"/>
    <w:rsid w:val="00CF6B61"/>
    <w:rsid w:val="00D02CB3"/>
    <w:rsid w:val="00D02E47"/>
    <w:rsid w:val="00D046CC"/>
    <w:rsid w:val="00D04B3B"/>
    <w:rsid w:val="00D05A1A"/>
    <w:rsid w:val="00D12F43"/>
    <w:rsid w:val="00D172CA"/>
    <w:rsid w:val="00D21AD5"/>
    <w:rsid w:val="00D52724"/>
    <w:rsid w:val="00D52E43"/>
    <w:rsid w:val="00D55946"/>
    <w:rsid w:val="00D565CE"/>
    <w:rsid w:val="00D60F0C"/>
    <w:rsid w:val="00D652B2"/>
    <w:rsid w:val="00D70677"/>
    <w:rsid w:val="00D70819"/>
    <w:rsid w:val="00D816F2"/>
    <w:rsid w:val="00D97175"/>
    <w:rsid w:val="00DA0DEA"/>
    <w:rsid w:val="00DA37F2"/>
    <w:rsid w:val="00DA6B5D"/>
    <w:rsid w:val="00DC56D0"/>
    <w:rsid w:val="00DD169E"/>
    <w:rsid w:val="00DD55AF"/>
    <w:rsid w:val="00DD7FDE"/>
    <w:rsid w:val="00DE10EE"/>
    <w:rsid w:val="00DE3B4C"/>
    <w:rsid w:val="00DE74CC"/>
    <w:rsid w:val="00DE7D37"/>
    <w:rsid w:val="00E10680"/>
    <w:rsid w:val="00E10FC9"/>
    <w:rsid w:val="00E1176D"/>
    <w:rsid w:val="00E17759"/>
    <w:rsid w:val="00E2081F"/>
    <w:rsid w:val="00E25EDF"/>
    <w:rsid w:val="00E32A05"/>
    <w:rsid w:val="00E501C5"/>
    <w:rsid w:val="00E55F45"/>
    <w:rsid w:val="00E57352"/>
    <w:rsid w:val="00E57FDF"/>
    <w:rsid w:val="00E60271"/>
    <w:rsid w:val="00E638F1"/>
    <w:rsid w:val="00E82532"/>
    <w:rsid w:val="00E83CD3"/>
    <w:rsid w:val="00E85069"/>
    <w:rsid w:val="00E85D59"/>
    <w:rsid w:val="00E86C20"/>
    <w:rsid w:val="00E952B9"/>
    <w:rsid w:val="00EC65CC"/>
    <w:rsid w:val="00ED52E9"/>
    <w:rsid w:val="00ED60B3"/>
    <w:rsid w:val="00EE54EF"/>
    <w:rsid w:val="00EF15D6"/>
    <w:rsid w:val="00EF76C9"/>
    <w:rsid w:val="00F118BD"/>
    <w:rsid w:val="00F16E0A"/>
    <w:rsid w:val="00F17348"/>
    <w:rsid w:val="00F21E42"/>
    <w:rsid w:val="00F23F95"/>
    <w:rsid w:val="00F23FEA"/>
    <w:rsid w:val="00F26BDA"/>
    <w:rsid w:val="00F303EE"/>
    <w:rsid w:val="00F313AE"/>
    <w:rsid w:val="00F36CBD"/>
    <w:rsid w:val="00F403D1"/>
    <w:rsid w:val="00F45B5B"/>
    <w:rsid w:val="00F45B9F"/>
    <w:rsid w:val="00F4621A"/>
    <w:rsid w:val="00F467B0"/>
    <w:rsid w:val="00F4745B"/>
    <w:rsid w:val="00F51C86"/>
    <w:rsid w:val="00F53A78"/>
    <w:rsid w:val="00F575A6"/>
    <w:rsid w:val="00F642A3"/>
    <w:rsid w:val="00F655AB"/>
    <w:rsid w:val="00F747FF"/>
    <w:rsid w:val="00F77A0F"/>
    <w:rsid w:val="00F803AD"/>
    <w:rsid w:val="00F80998"/>
    <w:rsid w:val="00F8402D"/>
    <w:rsid w:val="00F96825"/>
    <w:rsid w:val="00F972D1"/>
    <w:rsid w:val="00FA11B6"/>
    <w:rsid w:val="00FA445D"/>
    <w:rsid w:val="00FB20BF"/>
    <w:rsid w:val="00FC4D74"/>
    <w:rsid w:val="00FC65DD"/>
    <w:rsid w:val="00FC6ED4"/>
    <w:rsid w:val="00FD0B28"/>
    <w:rsid w:val="00FD2F78"/>
    <w:rsid w:val="00FD6613"/>
    <w:rsid w:val="00FD678F"/>
    <w:rsid w:val="00FE05AF"/>
    <w:rsid w:val="00FE240F"/>
    <w:rsid w:val="00FE37B1"/>
    <w:rsid w:val="00FE5C0C"/>
    <w:rsid w:val="00FE617D"/>
    <w:rsid w:val="00FF4815"/>
    <w:rsid w:val="00FF7E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7CCE"/>
  <w15:docId w15:val="{F93D52BD-8164-452A-A255-0B20A859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660"/>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4">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7"/>
    <w:tblPr>
      <w:tblStyleRowBandSize w:val="1"/>
      <w:tblStyleColBandSize w:val="1"/>
      <w:tblCellMar>
        <w:top w:w="15" w:type="dxa"/>
        <w:left w:w="15" w:type="dxa"/>
        <w:bottom w:w="15" w:type="dxa"/>
        <w:right w:w="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top w:w="15" w:type="dxa"/>
        <w:left w:w="115" w:type="dxa"/>
        <w:bottom w:w="15" w:type="dxa"/>
        <w:right w:w="115" w:type="dxa"/>
      </w:tblCellMar>
    </w:tblPr>
  </w:style>
  <w:style w:type="table" w:customStyle="1" w:styleId="a3">
    <w:basedOn w:val="TableNormal7"/>
    <w:tblPr>
      <w:tblStyleRowBandSize w:val="1"/>
      <w:tblStyleColBandSize w:val="1"/>
      <w:tblCellMar>
        <w:top w:w="15" w:type="dxa"/>
        <w:left w:w="115" w:type="dxa"/>
        <w:bottom w:w="15" w:type="dxa"/>
        <w:right w:w="115" w:type="dxa"/>
      </w:tblCellMar>
    </w:tblPr>
  </w:style>
  <w:style w:type="table" w:customStyle="1" w:styleId="a4">
    <w:basedOn w:val="TableNormal6"/>
    <w:tblPr>
      <w:tblStyleRowBandSize w:val="1"/>
      <w:tblStyleColBandSize w:val="1"/>
      <w:tblCellMar>
        <w:top w:w="15" w:type="dxa"/>
        <w:left w:w="115" w:type="dxa"/>
        <w:bottom w:w="15" w:type="dxa"/>
        <w:right w:w="115" w:type="dxa"/>
      </w:tblCellMar>
    </w:tblPr>
  </w:style>
  <w:style w:type="table" w:customStyle="1" w:styleId="a5">
    <w:basedOn w:val="TableNormal6"/>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5"/>
    <w:pPr>
      <w:spacing w:after="0" w:line="240" w:lineRule="auto"/>
    </w:pPr>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top w:w="15" w:type="dxa"/>
        <w:left w:w="115" w:type="dxa"/>
        <w:bottom w:w="15" w:type="dxa"/>
        <w:right w:w="115" w:type="dxa"/>
      </w:tblCellMar>
    </w:tblPr>
  </w:style>
  <w:style w:type="table" w:customStyle="1" w:styleId="a8">
    <w:basedOn w:val="TableNormal5"/>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character" w:customStyle="1" w:styleId="relative">
    <w:name w:val="relative"/>
    <w:basedOn w:val="Fuentedeprrafopredeter"/>
    <w:rsid w:val="00E35917"/>
  </w:style>
  <w:style w:type="character" w:styleId="Textoennegrita">
    <w:name w:val="Strong"/>
    <w:basedOn w:val="Fuentedeprrafopredeter"/>
    <w:uiPriority w:val="22"/>
    <w:qFormat/>
    <w:rsid w:val="003A0900"/>
    <w:rPr>
      <w:b/>
      <w:bCs/>
    </w:r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571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RaCcPPYBsTkCdXoF10zm0LUw==">CgMxLjAyCWguMzBqMHpsbDIJaC4yZXQ5MnAwMghoLmdqZGd4czIJaC4xdDNoNXNmMg5oLnBjeW9qYTU3MTFrOTIOaC5vdDNxcTZ2eGEwOGYyDWguN2c1ZDRyOHc1NzAyDmguNHRrc29kNTc1ajViOAByITE4cHJmNUtyZXhNSE51RWNKZ293bFVlU3VmanJxdXpWNA==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15682</Words>
  <Characters>86252</Characters>
  <Application>Microsoft Office Word</Application>
  <DocSecurity>0</DocSecurity>
  <Lines>718</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2026-02-13T18:13:00Z</cp:lastPrinted>
  <dcterms:created xsi:type="dcterms:W3CDTF">2026-04-06T17:15:00Z</dcterms:created>
  <dcterms:modified xsi:type="dcterms:W3CDTF">2026-04-06T17:15:00Z</dcterms:modified>
</cp:coreProperties>
</file>