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9F" w:rsidRPr="002F366B" w:rsidRDefault="00AA609F" w:rsidP="00AA609F">
      <w:pPr>
        <w:spacing w:before="240" w:line="360" w:lineRule="auto"/>
        <w:jc w:val="both"/>
        <w:rPr>
          <w:rFonts w:ascii="Palatino Linotype" w:eastAsia="Times New Roman" w:hAnsi="Palatino Linotype" w:cs="Arial"/>
          <w:sz w:val="24"/>
          <w:szCs w:val="24"/>
          <w:lang w:eastAsia="es-MX"/>
        </w:rPr>
      </w:pPr>
      <w:r w:rsidRPr="002F366B">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D5A18" w:rsidRPr="002F366B">
        <w:rPr>
          <w:rFonts w:ascii="Palatino Linotype" w:eastAsia="Times New Roman" w:hAnsi="Palatino Linotype" w:cs="Arial"/>
          <w:b/>
          <w:sz w:val="24"/>
          <w:szCs w:val="24"/>
          <w:lang w:eastAsia="es-MX"/>
        </w:rPr>
        <w:t>quince de abril de dos mil veintiséis</w:t>
      </w:r>
      <w:r w:rsidRPr="002F366B">
        <w:rPr>
          <w:rFonts w:ascii="Palatino Linotype" w:eastAsia="Times New Roman" w:hAnsi="Palatino Linotype" w:cs="Arial"/>
          <w:sz w:val="24"/>
          <w:szCs w:val="24"/>
          <w:lang w:eastAsia="es-MX"/>
        </w:rPr>
        <w:t>.</w:t>
      </w:r>
    </w:p>
    <w:p w:rsidR="00AA609F" w:rsidRPr="002F366B" w:rsidRDefault="00AA609F" w:rsidP="00AA609F">
      <w:pPr>
        <w:tabs>
          <w:tab w:val="left" w:pos="1701"/>
        </w:tabs>
        <w:spacing w:before="240" w:line="360" w:lineRule="auto"/>
        <w:jc w:val="both"/>
        <w:rPr>
          <w:rFonts w:ascii="Palatino Linotype" w:hAnsi="Palatino Linotype"/>
          <w:sz w:val="24"/>
        </w:rPr>
      </w:pPr>
      <w:r w:rsidRPr="002F366B">
        <w:rPr>
          <w:rFonts w:ascii="Palatino Linotype" w:hAnsi="Palatino Linotype" w:cs="Arial"/>
          <w:b/>
          <w:sz w:val="24"/>
        </w:rPr>
        <w:t>VISTO</w:t>
      </w:r>
      <w:r w:rsidRPr="002F366B">
        <w:rPr>
          <w:rFonts w:ascii="Palatino Linotype" w:hAnsi="Palatino Linotype" w:cs="Arial"/>
          <w:sz w:val="24"/>
        </w:rPr>
        <w:t xml:space="preserve"> el expediente electrónico formado con motivo del recurso de revisión número</w:t>
      </w:r>
      <w:r w:rsidRPr="002F366B">
        <w:rPr>
          <w:rFonts w:ascii="Palatino Linotype" w:hAnsi="Palatino Linotype" w:cs="Arial"/>
          <w:b/>
          <w:sz w:val="24"/>
        </w:rPr>
        <w:t xml:space="preserve"> </w:t>
      </w:r>
      <w:bookmarkStart w:id="0" w:name="_GoBack"/>
      <w:r w:rsidRPr="002F366B">
        <w:rPr>
          <w:rFonts w:ascii="Palatino Linotype" w:hAnsi="Palatino Linotype" w:cs="Arial"/>
          <w:b/>
          <w:sz w:val="24"/>
        </w:rPr>
        <w:t>0</w:t>
      </w:r>
      <w:r w:rsidRPr="002F366B">
        <w:rPr>
          <w:rFonts w:ascii="Palatino Linotype" w:hAnsi="Palatino Linotype" w:cs="Arial"/>
          <w:b/>
          <w:bCs/>
          <w:sz w:val="24"/>
          <w:lang w:eastAsia="es-MX"/>
        </w:rPr>
        <w:t>2305/INFOEM/IP/RR/2026</w:t>
      </w:r>
      <w:bookmarkEnd w:id="0"/>
      <w:r w:rsidRPr="002F366B">
        <w:rPr>
          <w:rFonts w:ascii="Palatino Linotype" w:hAnsi="Palatino Linotype" w:cs="Arial"/>
          <w:b/>
          <w:bCs/>
          <w:sz w:val="24"/>
          <w:lang w:eastAsia="es-MX"/>
        </w:rPr>
        <w:t xml:space="preserve">, </w:t>
      </w:r>
      <w:r w:rsidRPr="002F366B">
        <w:rPr>
          <w:rFonts w:ascii="Palatino Linotype" w:hAnsi="Palatino Linotype"/>
          <w:sz w:val="24"/>
        </w:rPr>
        <w:t xml:space="preserve">interpuesto por </w:t>
      </w:r>
      <w:r w:rsidR="007F54C6">
        <w:rPr>
          <w:rFonts w:ascii="Palatino Linotype" w:hAnsi="Palatino Linotype"/>
          <w:b/>
          <w:sz w:val="24"/>
        </w:rPr>
        <w:t>xxxxxxxxxxxxxxxxxxxxxxxx</w:t>
      </w:r>
      <w:r w:rsidRPr="002F366B">
        <w:rPr>
          <w:rFonts w:ascii="Palatino Linotype" w:hAnsi="Palatino Linotype"/>
          <w:sz w:val="24"/>
        </w:rPr>
        <w:t xml:space="preserve">, en lo sucesivo la parte </w:t>
      </w:r>
      <w:r w:rsidRPr="002F366B">
        <w:rPr>
          <w:rFonts w:ascii="Palatino Linotype" w:hAnsi="Palatino Linotype"/>
          <w:b/>
          <w:sz w:val="24"/>
        </w:rPr>
        <w:t>Recurrente</w:t>
      </w:r>
      <w:r w:rsidRPr="002F366B">
        <w:rPr>
          <w:rFonts w:ascii="Palatino Linotype" w:hAnsi="Palatino Linotype"/>
          <w:sz w:val="24"/>
        </w:rPr>
        <w:t xml:space="preserve">, en contra de la falta de respuesta </w:t>
      </w:r>
      <w:r w:rsidRPr="002F366B">
        <w:rPr>
          <w:rFonts w:ascii="Palatino Linotype" w:hAnsi="Palatino Linotype"/>
          <w:sz w:val="24"/>
          <w:szCs w:val="24"/>
        </w:rPr>
        <w:t>del</w:t>
      </w:r>
      <w:r w:rsidRPr="002F366B">
        <w:rPr>
          <w:rFonts w:ascii="Palatino Linotype" w:hAnsi="Palatino Linotype"/>
          <w:b/>
          <w:bCs/>
          <w:sz w:val="24"/>
          <w:szCs w:val="24"/>
        </w:rPr>
        <w:t xml:space="preserve"> </w:t>
      </w:r>
      <w:r w:rsidRPr="002F366B">
        <w:rPr>
          <w:rFonts w:ascii="Palatino Linotype" w:hAnsi="Palatino Linotype"/>
          <w:b/>
          <w:bCs/>
          <w:color w:val="000000"/>
          <w:sz w:val="24"/>
          <w:szCs w:val="24"/>
        </w:rPr>
        <w:t>Ayuntamiento de Tepotzotlán</w:t>
      </w:r>
      <w:r w:rsidRPr="002F366B">
        <w:rPr>
          <w:rFonts w:ascii="Palatino Linotype" w:hAnsi="Palatino Linotype"/>
          <w:sz w:val="24"/>
          <w:szCs w:val="24"/>
        </w:rPr>
        <w:t>,</w:t>
      </w:r>
      <w:r w:rsidRPr="002F366B">
        <w:rPr>
          <w:rFonts w:ascii="Palatino Linotype" w:hAnsi="Palatino Linotype"/>
          <w:sz w:val="24"/>
        </w:rPr>
        <w:t xml:space="preserve"> en lo subsecuente el </w:t>
      </w:r>
      <w:r w:rsidRPr="002F366B">
        <w:rPr>
          <w:rFonts w:ascii="Palatino Linotype" w:hAnsi="Palatino Linotype"/>
          <w:b/>
          <w:sz w:val="24"/>
        </w:rPr>
        <w:t>Sujeto Obligado</w:t>
      </w:r>
      <w:r w:rsidRPr="002F366B">
        <w:rPr>
          <w:rFonts w:ascii="Palatino Linotype" w:hAnsi="Palatino Linotype"/>
          <w:sz w:val="24"/>
        </w:rPr>
        <w:t xml:space="preserve">, se procede a dictar la presente resolución. </w:t>
      </w:r>
    </w:p>
    <w:p w:rsidR="00AA609F" w:rsidRPr="002F366B" w:rsidRDefault="00AA609F" w:rsidP="00AA609F">
      <w:pPr>
        <w:tabs>
          <w:tab w:val="left" w:pos="1701"/>
        </w:tabs>
        <w:spacing w:before="240" w:line="360" w:lineRule="auto"/>
        <w:jc w:val="both"/>
        <w:rPr>
          <w:rFonts w:ascii="Palatino Linotype" w:hAnsi="Palatino Linotype"/>
          <w:sz w:val="24"/>
        </w:rPr>
      </w:pPr>
    </w:p>
    <w:p w:rsidR="00AA609F" w:rsidRPr="002F366B" w:rsidRDefault="00AA609F" w:rsidP="00AA609F">
      <w:pPr>
        <w:pStyle w:val="infoemcitas"/>
        <w:jc w:val="center"/>
        <w:rPr>
          <w:b/>
          <w:bCs/>
          <w:i w:val="0"/>
          <w:iCs/>
          <w:sz w:val="28"/>
          <w:szCs w:val="28"/>
        </w:rPr>
      </w:pPr>
      <w:r w:rsidRPr="002F366B">
        <w:rPr>
          <w:b/>
          <w:bCs/>
          <w:i w:val="0"/>
          <w:iCs/>
          <w:sz w:val="28"/>
          <w:szCs w:val="28"/>
        </w:rPr>
        <w:t>A N T E C E D E N T E S   D E L   A S U N T O</w:t>
      </w:r>
    </w:p>
    <w:p w:rsidR="00AA609F" w:rsidRPr="002F366B" w:rsidRDefault="00AA609F" w:rsidP="00AA609F">
      <w:pPr>
        <w:pStyle w:val="infoemcitas"/>
        <w:jc w:val="center"/>
        <w:rPr>
          <w:b/>
          <w:bCs/>
          <w:i w:val="0"/>
          <w:iCs/>
          <w:sz w:val="28"/>
          <w:szCs w:val="28"/>
        </w:rPr>
      </w:pPr>
    </w:p>
    <w:p w:rsidR="00AA609F" w:rsidRPr="002F366B" w:rsidRDefault="00AA609F" w:rsidP="00AA609F">
      <w:pPr>
        <w:spacing w:before="240" w:after="240" w:line="360" w:lineRule="auto"/>
        <w:jc w:val="both"/>
        <w:rPr>
          <w:rFonts w:ascii="Palatino Linotype" w:hAnsi="Palatino Linotype"/>
        </w:rPr>
      </w:pPr>
      <w:r w:rsidRPr="002F366B">
        <w:rPr>
          <w:rFonts w:ascii="Palatino Linotype" w:hAnsi="Palatino Linotype" w:cs="Arial"/>
          <w:b/>
          <w:sz w:val="28"/>
        </w:rPr>
        <w:t>PRIMERO.</w:t>
      </w:r>
      <w:r w:rsidRPr="002F366B">
        <w:rPr>
          <w:rFonts w:ascii="Palatino Linotype" w:hAnsi="Palatino Linotype" w:cs="Arial"/>
        </w:rPr>
        <w:t xml:space="preserve"> </w:t>
      </w:r>
      <w:r w:rsidRPr="002F366B">
        <w:rPr>
          <w:rFonts w:ascii="Palatino Linotype" w:hAnsi="Palatino Linotype"/>
          <w:b/>
          <w:sz w:val="28"/>
          <w:szCs w:val="28"/>
        </w:rPr>
        <w:t>De la Solicitud de Información.</w:t>
      </w:r>
    </w:p>
    <w:p w:rsidR="00AA609F" w:rsidRPr="002F366B" w:rsidRDefault="00AA609F" w:rsidP="00AA609F">
      <w:pPr>
        <w:spacing w:before="240" w:line="360" w:lineRule="auto"/>
        <w:jc w:val="both"/>
        <w:rPr>
          <w:rFonts w:ascii="Palatino Linotype" w:hAnsi="Palatino Linotype" w:cs="Arial"/>
          <w:sz w:val="24"/>
        </w:rPr>
      </w:pPr>
      <w:r w:rsidRPr="002F366B">
        <w:rPr>
          <w:rFonts w:ascii="Palatino Linotype" w:hAnsi="Palatino Linotype" w:cs="Arial"/>
          <w:sz w:val="24"/>
        </w:rPr>
        <w:t xml:space="preserve">Con fecha </w:t>
      </w:r>
      <w:r w:rsidRPr="002F366B">
        <w:rPr>
          <w:rFonts w:ascii="Palatino Linotype" w:hAnsi="Palatino Linotype" w:cs="Arial"/>
          <w:b/>
          <w:sz w:val="24"/>
        </w:rPr>
        <w:t>veintiséis de enero de dos mil veintiséis</w:t>
      </w:r>
      <w:r w:rsidRPr="002F366B">
        <w:rPr>
          <w:rFonts w:ascii="Palatino Linotype" w:hAnsi="Palatino Linotype" w:cs="Arial"/>
          <w:sz w:val="24"/>
        </w:rPr>
        <w:t xml:space="preserve">, </w:t>
      </w:r>
      <w:r w:rsidRPr="002F366B">
        <w:rPr>
          <w:rFonts w:ascii="Palatino Linotype" w:hAnsi="Palatino Linotype"/>
          <w:sz w:val="24"/>
        </w:rPr>
        <w:t xml:space="preserve">la parte </w:t>
      </w:r>
      <w:r w:rsidRPr="002F366B">
        <w:rPr>
          <w:rFonts w:ascii="Palatino Linotype" w:hAnsi="Palatino Linotype" w:cs="Arial"/>
          <w:b/>
          <w:sz w:val="24"/>
        </w:rPr>
        <w:t xml:space="preserve">Recurrente </w:t>
      </w:r>
      <w:r w:rsidRPr="002F366B">
        <w:rPr>
          <w:rFonts w:ascii="Palatino Linotype" w:hAnsi="Palatino Linotype" w:cs="Arial"/>
          <w:sz w:val="24"/>
        </w:rPr>
        <w:t>presentó a través del Sistema de Acceso a la Información Mexiquense (</w:t>
      </w:r>
      <w:r w:rsidRPr="002F366B">
        <w:rPr>
          <w:rFonts w:ascii="Palatino Linotype" w:hAnsi="Palatino Linotype" w:cs="Arial"/>
          <w:b/>
          <w:sz w:val="24"/>
        </w:rPr>
        <w:t>SAIMEX)</w:t>
      </w:r>
      <w:r w:rsidRPr="002F366B">
        <w:rPr>
          <w:rFonts w:ascii="Palatino Linotype" w:hAnsi="Palatino Linotype" w:cs="Arial"/>
          <w:sz w:val="24"/>
        </w:rPr>
        <w:t xml:space="preserve"> ante </w:t>
      </w:r>
      <w:r w:rsidRPr="002F366B">
        <w:rPr>
          <w:rFonts w:ascii="Palatino Linotype" w:hAnsi="Palatino Linotype" w:cs="Arial"/>
          <w:b/>
          <w:sz w:val="24"/>
        </w:rPr>
        <w:t>El Sujeto Obligado</w:t>
      </w:r>
      <w:r w:rsidRPr="002F366B">
        <w:rPr>
          <w:rFonts w:ascii="Palatino Linotype" w:hAnsi="Palatino Linotype" w:cs="Arial"/>
          <w:sz w:val="24"/>
        </w:rPr>
        <w:t>, solicitud de acceso a la información pública, registrada bajo el número de expediente</w:t>
      </w:r>
      <w:r w:rsidRPr="002F366B">
        <w:rPr>
          <w:rFonts w:ascii="Palatino Linotype" w:hAnsi="Palatino Linotype" w:cs="Arial"/>
          <w:b/>
          <w:sz w:val="24"/>
        </w:rPr>
        <w:t xml:space="preserve"> </w:t>
      </w:r>
      <w:r w:rsidRPr="002F366B">
        <w:rPr>
          <w:rFonts w:ascii="Palatino Linotype" w:hAnsi="Palatino Linotype"/>
          <w:b/>
          <w:bCs/>
          <w:sz w:val="24"/>
          <w:szCs w:val="24"/>
        </w:rPr>
        <w:t> </w:t>
      </w:r>
      <w:r w:rsidRPr="002F366B">
        <w:rPr>
          <w:rFonts w:ascii="Palatino Linotype" w:hAnsi="Palatino Linotype"/>
          <w:b/>
          <w:bCs/>
        </w:rPr>
        <w:t>00480/TEPOTZOT/IP/2026</w:t>
      </w:r>
      <w:r w:rsidRPr="002F366B">
        <w:rPr>
          <w:rFonts w:ascii="Palatino Linotype" w:hAnsi="Palatino Linotype" w:cs="Arial"/>
          <w:b/>
          <w:sz w:val="24"/>
        </w:rPr>
        <w:t xml:space="preserve">, </w:t>
      </w:r>
      <w:r w:rsidRPr="002F366B">
        <w:rPr>
          <w:rFonts w:ascii="Palatino Linotype" w:hAnsi="Palatino Linotype" w:cs="Arial"/>
          <w:sz w:val="24"/>
        </w:rPr>
        <w:t>mediante la cual solicitó información en el tenor siguiente:</w:t>
      </w:r>
    </w:p>
    <w:p w:rsidR="00AA609F" w:rsidRPr="002F366B" w:rsidRDefault="00AA609F" w:rsidP="00AA609F">
      <w:pPr>
        <w:pStyle w:val="INFOEM"/>
        <w:rPr>
          <w:sz w:val="24"/>
          <w:szCs w:val="24"/>
          <w:lang w:val="es-ES_tradnl" w:eastAsia="es-ES"/>
        </w:rPr>
      </w:pPr>
      <w:r w:rsidRPr="002F366B">
        <w:rPr>
          <w:sz w:val="24"/>
          <w:szCs w:val="24"/>
          <w:lang w:val="es-ES_tradnl" w:eastAsia="es-ES"/>
        </w:rPr>
        <w:t>“</w:t>
      </w:r>
      <w:r w:rsidRPr="002F366B">
        <w:rPr>
          <w:color w:val="000000"/>
          <w:sz w:val="24"/>
          <w:szCs w:val="24"/>
        </w:rPr>
        <w:t xml:space="preserve">Respecto de los ejercicios 2025 y 2026, solicito: a) Listado completo de contratos, pedidos y adquisiciones celebrados por el H. Ayuntamiento de </w:t>
      </w:r>
      <w:r w:rsidRPr="002F366B">
        <w:rPr>
          <w:color w:val="000000"/>
          <w:sz w:val="24"/>
          <w:szCs w:val="24"/>
        </w:rPr>
        <w:lastRenderedPageBreak/>
        <w:t>Tepotzotlán. b) Procedimiento de contratación utilizado en cada caso. c) Justificación y fundamento legal de las adjudicaciones directas. d) Identificación del área solicitante y servidor público responsable. Adjunte copia de los contratos en versión pública</w:t>
      </w:r>
      <w:r w:rsidRPr="002F366B">
        <w:rPr>
          <w:sz w:val="24"/>
          <w:szCs w:val="24"/>
          <w:lang w:eastAsia="es-ES"/>
        </w:rPr>
        <w:t>.</w:t>
      </w:r>
      <w:r w:rsidRPr="002F366B">
        <w:rPr>
          <w:sz w:val="24"/>
          <w:szCs w:val="24"/>
        </w:rPr>
        <w:t>”</w:t>
      </w:r>
      <w:r w:rsidRPr="002F366B">
        <w:rPr>
          <w:sz w:val="14"/>
        </w:rPr>
        <w:t xml:space="preserve"> </w:t>
      </w:r>
      <w:r w:rsidRPr="002F366B">
        <w:rPr>
          <w:sz w:val="24"/>
          <w:szCs w:val="24"/>
          <w:lang w:val="es-ES_tradnl" w:eastAsia="es-ES"/>
        </w:rPr>
        <w:t>(sic)</w:t>
      </w:r>
    </w:p>
    <w:p w:rsidR="00AA609F" w:rsidRPr="002F366B" w:rsidRDefault="00AA609F" w:rsidP="00AA609F">
      <w:pPr>
        <w:spacing w:before="240" w:line="360" w:lineRule="auto"/>
        <w:jc w:val="both"/>
        <w:rPr>
          <w:rFonts w:ascii="Palatino Linotype" w:eastAsia="Times New Roman" w:hAnsi="Palatino Linotype" w:cs="Times New Roman"/>
          <w:b/>
          <w:sz w:val="24"/>
          <w:szCs w:val="24"/>
          <w:lang w:val="es-ES_tradnl" w:eastAsia="es-ES"/>
        </w:rPr>
      </w:pPr>
    </w:p>
    <w:p w:rsidR="00AA609F" w:rsidRPr="002F366B" w:rsidRDefault="00AA609F" w:rsidP="00AA609F">
      <w:pPr>
        <w:spacing w:before="240" w:line="360" w:lineRule="auto"/>
        <w:jc w:val="both"/>
        <w:rPr>
          <w:rFonts w:ascii="Palatino Linotype" w:eastAsia="Times New Roman" w:hAnsi="Palatino Linotype" w:cs="Times New Roman"/>
          <w:sz w:val="24"/>
          <w:szCs w:val="24"/>
          <w:lang w:val="es-ES_tradnl" w:eastAsia="es-ES"/>
        </w:rPr>
      </w:pPr>
      <w:r w:rsidRPr="002F366B">
        <w:rPr>
          <w:rFonts w:ascii="Palatino Linotype" w:eastAsia="Times New Roman" w:hAnsi="Palatino Linotype" w:cs="Times New Roman"/>
          <w:b/>
          <w:sz w:val="24"/>
          <w:szCs w:val="24"/>
          <w:lang w:val="es-ES_tradnl" w:eastAsia="es-ES"/>
        </w:rPr>
        <w:t>Modalidad de entrega:</w:t>
      </w:r>
      <w:r w:rsidRPr="002F366B">
        <w:rPr>
          <w:rFonts w:ascii="Palatino Linotype" w:eastAsia="Times New Roman" w:hAnsi="Palatino Linotype" w:cs="Times New Roman"/>
          <w:sz w:val="24"/>
          <w:szCs w:val="24"/>
          <w:lang w:val="es-ES_tradnl" w:eastAsia="es-ES"/>
        </w:rPr>
        <w:t xml:space="preserve"> A través del SAIMEX.</w:t>
      </w:r>
    </w:p>
    <w:p w:rsidR="00AA609F" w:rsidRPr="002F366B" w:rsidRDefault="00AA609F" w:rsidP="00AA609F">
      <w:pPr>
        <w:spacing w:before="240" w:line="360" w:lineRule="auto"/>
        <w:jc w:val="both"/>
        <w:rPr>
          <w:rFonts w:ascii="Palatino Linotype" w:eastAsia="Times New Roman" w:hAnsi="Palatino Linotype" w:cs="Times New Roman"/>
          <w:sz w:val="24"/>
          <w:szCs w:val="24"/>
          <w:lang w:val="es-ES_tradnl" w:eastAsia="es-ES"/>
        </w:rPr>
      </w:pPr>
    </w:p>
    <w:p w:rsidR="00AA609F" w:rsidRPr="002F366B" w:rsidRDefault="00AA609F" w:rsidP="00AA609F">
      <w:pPr>
        <w:spacing w:line="360" w:lineRule="auto"/>
        <w:jc w:val="both"/>
        <w:rPr>
          <w:rFonts w:ascii="Palatino Linotype" w:hAnsi="Palatino Linotype" w:cs="Arial"/>
          <w:sz w:val="24"/>
        </w:rPr>
      </w:pPr>
      <w:r w:rsidRPr="002F366B">
        <w:rPr>
          <w:rFonts w:ascii="Palatino Linotype" w:hAnsi="Palatino Linotype" w:cs="Arial"/>
          <w:b/>
          <w:sz w:val="28"/>
        </w:rPr>
        <w:t>SEGUNDO.</w:t>
      </w:r>
      <w:r w:rsidRPr="002F366B">
        <w:rPr>
          <w:rFonts w:ascii="Palatino Linotype" w:hAnsi="Palatino Linotype" w:cs="Arial"/>
          <w:b/>
          <w:sz w:val="24"/>
          <w:szCs w:val="24"/>
        </w:rPr>
        <w:t xml:space="preserve"> </w:t>
      </w:r>
      <w:r w:rsidRPr="002F366B">
        <w:rPr>
          <w:rFonts w:ascii="Palatino Linotype" w:hAnsi="Palatino Linotype"/>
          <w:b/>
          <w:sz w:val="28"/>
        </w:rPr>
        <w:t xml:space="preserve">De la </w:t>
      </w:r>
      <w:r w:rsidRPr="002F366B">
        <w:rPr>
          <w:rFonts w:ascii="Palatino Linotype" w:eastAsia="Palatino Linotype" w:hAnsi="Palatino Linotype" w:cs="Palatino Linotype"/>
          <w:b/>
          <w:sz w:val="28"/>
          <w:szCs w:val="28"/>
        </w:rPr>
        <w:t>falta de respuesta del Sujeto Obligado</w:t>
      </w:r>
    </w:p>
    <w:p w:rsidR="00AA609F" w:rsidRPr="002F366B" w:rsidRDefault="00AA609F" w:rsidP="00AA609F">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r w:rsidRPr="002F366B">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2F366B">
        <w:rPr>
          <w:rFonts w:ascii="Palatino Linotype" w:eastAsia="Palatino Linotype" w:hAnsi="Palatino Linotype" w:cs="Palatino Linotype"/>
          <w:b/>
          <w:sz w:val="24"/>
          <w:szCs w:val="24"/>
        </w:rPr>
        <w:t>Negativa Ficta</w:t>
      </w:r>
      <w:r w:rsidRPr="002F366B">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rsidR="00AA609F" w:rsidRPr="002F366B" w:rsidRDefault="00AA609F" w:rsidP="00AA609F">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p>
    <w:p w:rsidR="00AA609F" w:rsidRPr="002F366B" w:rsidRDefault="00AA609F" w:rsidP="00AA609F">
      <w:pPr>
        <w:spacing w:after="0" w:line="360" w:lineRule="auto"/>
        <w:jc w:val="both"/>
        <w:rPr>
          <w:rFonts w:ascii="Palatino Linotype" w:hAnsi="Palatino Linotype" w:cs="Arial"/>
          <w:b/>
          <w:sz w:val="28"/>
        </w:rPr>
      </w:pPr>
      <w:r w:rsidRPr="002F366B">
        <w:rPr>
          <w:rFonts w:ascii="Palatino Linotype" w:hAnsi="Palatino Linotype" w:cs="Arial"/>
          <w:b/>
          <w:sz w:val="28"/>
        </w:rPr>
        <w:t xml:space="preserve">TERCERO. </w:t>
      </w:r>
      <w:r w:rsidRPr="002F366B">
        <w:rPr>
          <w:rFonts w:ascii="Palatino Linotype" w:hAnsi="Palatino Linotype"/>
          <w:b/>
          <w:sz w:val="28"/>
        </w:rPr>
        <w:t>Del recurso de revisión.</w:t>
      </w:r>
    </w:p>
    <w:p w:rsidR="00AA609F" w:rsidRPr="002F366B" w:rsidRDefault="00AA609F" w:rsidP="00AA609F">
      <w:pPr>
        <w:spacing w:before="240" w:line="360" w:lineRule="auto"/>
        <w:jc w:val="both"/>
        <w:rPr>
          <w:rFonts w:ascii="Palatino Linotype" w:hAnsi="Palatino Linotype" w:cs="Arial"/>
          <w:sz w:val="24"/>
          <w:szCs w:val="24"/>
        </w:rPr>
      </w:pPr>
      <w:r w:rsidRPr="002F366B">
        <w:rPr>
          <w:rFonts w:ascii="Palatino Linotype" w:hAnsi="Palatino Linotype" w:cs="Arial"/>
          <w:sz w:val="24"/>
          <w:szCs w:val="24"/>
        </w:rPr>
        <w:t xml:space="preserve">Inconforme con la respuesta notificada por </w:t>
      </w:r>
      <w:r w:rsidRPr="002F366B">
        <w:rPr>
          <w:rFonts w:ascii="Palatino Linotype" w:hAnsi="Palatino Linotype" w:cs="Arial"/>
          <w:b/>
          <w:sz w:val="24"/>
          <w:szCs w:val="24"/>
        </w:rPr>
        <w:t xml:space="preserve">El Sujeto Obligado, </w:t>
      </w:r>
      <w:r w:rsidRPr="002F366B">
        <w:rPr>
          <w:rFonts w:ascii="Palatino Linotype" w:hAnsi="Palatino Linotype"/>
          <w:sz w:val="24"/>
        </w:rPr>
        <w:t xml:space="preserve">la parte </w:t>
      </w:r>
      <w:r w:rsidRPr="002F366B">
        <w:rPr>
          <w:rFonts w:ascii="Palatino Linotype" w:hAnsi="Palatino Linotype" w:cs="Arial"/>
          <w:b/>
          <w:sz w:val="24"/>
          <w:szCs w:val="24"/>
        </w:rPr>
        <w:t xml:space="preserve">Recurrente </w:t>
      </w:r>
      <w:r w:rsidRPr="002F366B">
        <w:rPr>
          <w:rFonts w:ascii="Palatino Linotype" w:hAnsi="Palatino Linotype" w:cs="Arial"/>
          <w:sz w:val="24"/>
          <w:szCs w:val="24"/>
        </w:rPr>
        <w:t xml:space="preserve">interpuso recurso de revisión, en fecha </w:t>
      </w:r>
      <w:r w:rsidRPr="002F366B">
        <w:rPr>
          <w:rFonts w:ascii="Palatino Linotype" w:hAnsi="Palatino Linotype" w:cs="Arial"/>
          <w:b/>
          <w:sz w:val="24"/>
        </w:rPr>
        <w:t>dieciocho de febrero de dos mil veintiséis</w:t>
      </w:r>
      <w:r w:rsidRPr="002F366B">
        <w:rPr>
          <w:rFonts w:ascii="Palatino Linotype" w:hAnsi="Palatino Linotype" w:cs="Arial"/>
          <w:sz w:val="24"/>
          <w:szCs w:val="24"/>
        </w:rPr>
        <w:t xml:space="preserve">, el cual fue registrado en el sistema electrónico con el expediente número </w:t>
      </w:r>
      <w:r w:rsidRPr="002F366B">
        <w:rPr>
          <w:rFonts w:ascii="Palatino Linotype" w:hAnsi="Palatino Linotype" w:cs="Arial"/>
          <w:b/>
          <w:sz w:val="24"/>
          <w:szCs w:val="24"/>
        </w:rPr>
        <w:t xml:space="preserve">02305/INFOEM/IP/RR/2026; </w:t>
      </w:r>
      <w:r w:rsidRPr="002F366B">
        <w:rPr>
          <w:rFonts w:ascii="Palatino Linotype" w:hAnsi="Palatino Linotype" w:cs="Arial"/>
          <w:sz w:val="24"/>
          <w:szCs w:val="24"/>
        </w:rPr>
        <w:t>en los cuales arguye las siguientes manifestaciones:</w:t>
      </w:r>
    </w:p>
    <w:p w:rsidR="00AA609F" w:rsidRPr="002F366B" w:rsidRDefault="00AA609F" w:rsidP="00AA609F">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2F366B">
        <w:rPr>
          <w:rFonts w:ascii="Palatino Linotype" w:hAnsi="Palatino Linotype" w:cs="Arial"/>
          <w:b/>
          <w:i/>
        </w:rPr>
        <w:t>Acto impugnado</w:t>
      </w:r>
    </w:p>
    <w:p w:rsidR="00AA609F" w:rsidRPr="002F366B" w:rsidRDefault="00AA609F" w:rsidP="00AA609F">
      <w:pPr>
        <w:pStyle w:val="Prrafodelista"/>
        <w:spacing w:before="240" w:after="0" w:line="360" w:lineRule="auto"/>
        <w:ind w:left="142"/>
        <w:contextualSpacing w:val="0"/>
        <w:jc w:val="both"/>
        <w:rPr>
          <w:rFonts w:ascii="Palatino Linotype" w:hAnsi="Palatino Linotype" w:cs="Arial"/>
          <w:i/>
        </w:rPr>
      </w:pPr>
      <w:r w:rsidRPr="002F366B">
        <w:rPr>
          <w:rFonts w:ascii="Palatino Linotype" w:hAnsi="Palatino Linotype"/>
          <w:i/>
        </w:rPr>
        <w:lastRenderedPageBreak/>
        <w:t>“</w:t>
      </w:r>
      <w:r w:rsidRPr="002F366B">
        <w:rPr>
          <w:rFonts w:ascii="Palatino Linotype" w:hAnsi="Palatino Linotype"/>
          <w:i/>
          <w:color w:val="000000"/>
          <w:sz w:val="24"/>
          <w:szCs w:val="24"/>
        </w:rPr>
        <w:t>Respecto de los ejercicios 2025 y 2026, solicito: a) Listado completo de contratos, pedidos y adquisiciones celebrados por el H. Ayuntamiento de Tepotzotlán. b) Procedimiento de contratación utilizado en cada caso. c) Justificación y fundamento legal de las adjudicaciones directas. d) Identificación del área solicitante y servidor público responsable. Adjunte copia de los contratos en versión pública</w:t>
      </w:r>
      <w:r w:rsidRPr="002F366B">
        <w:rPr>
          <w:rFonts w:ascii="Palatino Linotype" w:hAnsi="Palatino Linotype"/>
          <w:i/>
        </w:rPr>
        <w:t>.</w:t>
      </w:r>
      <w:r w:rsidRPr="002F366B">
        <w:rPr>
          <w:rFonts w:ascii="Palatino Linotype" w:hAnsi="Palatino Linotype" w:cs="Arial"/>
          <w:i/>
        </w:rPr>
        <w:t>” (sic)</w:t>
      </w:r>
    </w:p>
    <w:p w:rsidR="00AA609F" w:rsidRPr="002F366B" w:rsidRDefault="00AA609F" w:rsidP="00AA609F">
      <w:pPr>
        <w:pStyle w:val="Prrafodelista"/>
        <w:spacing w:before="240" w:after="0" w:line="360" w:lineRule="auto"/>
        <w:ind w:left="142"/>
        <w:contextualSpacing w:val="0"/>
        <w:jc w:val="both"/>
        <w:rPr>
          <w:rFonts w:ascii="Palatino Linotype" w:hAnsi="Palatino Linotype" w:cs="Arial"/>
          <w:b/>
          <w:i/>
        </w:rPr>
      </w:pPr>
    </w:p>
    <w:p w:rsidR="00AA609F" w:rsidRPr="002F366B" w:rsidRDefault="00AA609F" w:rsidP="00AA609F">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2F366B">
        <w:rPr>
          <w:rFonts w:ascii="Palatino Linotype" w:hAnsi="Palatino Linotype" w:cs="Arial"/>
          <w:b/>
          <w:i/>
        </w:rPr>
        <w:t>y Razones o motivos de inconformidad</w:t>
      </w:r>
    </w:p>
    <w:p w:rsidR="00AA609F" w:rsidRPr="002F366B" w:rsidRDefault="00AA609F" w:rsidP="00AA609F">
      <w:pPr>
        <w:pStyle w:val="Prrafodelista"/>
        <w:spacing w:before="240" w:line="360" w:lineRule="auto"/>
        <w:jc w:val="both"/>
        <w:rPr>
          <w:rFonts w:ascii="Palatino Linotype" w:hAnsi="Palatino Linotype" w:cs="Arial"/>
          <w:i/>
        </w:rPr>
      </w:pPr>
      <w:r w:rsidRPr="002F366B">
        <w:rPr>
          <w:rFonts w:ascii="Palatino Linotype" w:hAnsi="Palatino Linotype"/>
          <w:i/>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Pr="002F366B">
        <w:rPr>
          <w:rFonts w:ascii="Palatino Linotype" w:hAnsi="Palatino Linotype"/>
          <w:i/>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2F366B">
        <w:rPr>
          <w:rFonts w:ascii="Palatino Linotype" w:hAnsi="Palatino Linotype" w:cs="Arial"/>
          <w:i/>
        </w:rPr>
        <w:t>” (sic)</w:t>
      </w:r>
    </w:p>
    <w:p w:rsidR="00AA609F" w:rsidRPr="002F366B" w:rsidRDefault="00AA609F" w:rsidP="00AA609F">
      <w:pPr>
        <w:spacing w:before="240" w:line="360" w:lineRule="auto"/>
        <w:jc w:val="both"/>
        <w:rPr>
          <w:rFonts w:ascii="Palatino Linotype" w:hAnsi="Palatino Linotype" w:cs="Arial"/>
          <w:b/>
          <w:i/>
        </w:rPr>
      </w:pPr>
    </w:p>
    <w:p w:rsidR="00AA609F" w:rsidRPr="002F366B" w:rsidRDefault="00AA609F" w:rsidP="00AA609F">
      <w:pPr>
        <w:spacing w:before="240" w:line="360" w:lineRule="auto"/>
        <w:jc w:val="both"/>
        <w:rPr>
          <w:rFonts w:ascii="Palatino Linotype" w:hAnsi="Palatino Linotype" w:cs="Arial"/>
          <w:b/>
          <w:sz w:val="24"/>
          <w:szCs w:val="24"/>
        </w:rPr>
      </w:pPr>
      <w:r w:rsidRPr="002F366B">
        <w:rPr>
          <w:rFonts w:ascii="Palatino Linotype" w:hAnsi="Palatino Linotype" w:cs="Arial"/>
          <w:b/>
          <w:sz w:val="28"/>
        </w:rPr>
        <w:t>CUARTO</w:t>
      </w:r>
      <w:r w:rsidRPr="002F366B">
        <w:rPr>
          <w:rFonts w:ascii="Palatino Linotype" w:hAnsi="Palatino Linotype" w:cs="Arial"/>
          <w:b/>
          <w:sz w:val="24"/>
          <w:szCs w:val="24"/>
        </w:rPr>
        <w:t xml:space="preserve">. </w:t>
      </w:r>
      <w:r w:rsidRPr="002F366B">
        <w:rPr>
          <w:rFonts w:ascii="Palatino Linotype" w:hAnsi="Palatino Linotype" w:cs="Arial"/>
          <w:b/>
          <w:sz w:val="28"/>
          <w:szCs w:val="28"/>
        </w:rPr>
        <w:t>Del turno y admisión del recurso de revisión.</w:t>
      </w:r>
    </w:p>
    <w:p w:rsidR="00AA609F" w:rsidRPr="002F366B" w:rsidRDefault="00AA609F" w:rsidP="00AA609F">
      <w:pPr>
        <w:spacing w:before="240" w:line="360" w:lineRule="auto"/>
        <w:jc w:val="both"/>
        <w:rPr>
          <w:rFonts w:ascii="Palatino Linotype" w:hAnsi="Palatino Linotype"/>
          <w:sz w:val="24"/>
        </w:rPr>
      </w:pPr>
      <w:r w:rsidRPr="002F366B">
        <w:rPr>
          <w:rFonts w:ascii="Palatino Linotype" w:hAnsi="Palatino Linotype"/>
          <w:sz w:val="24"/>
        </w:rPr>
        <w:t xml:space="preserve">El medio de impugnación fue turnado al Comisionado Presidente </w:t>
      </w:r>
      <w:r w:rsidRPr="002F366B">
        <w:rPr>
          <w:rFonts w:ascii="Palatino Linotype" w:hAnsi="Palatino Linotype"/>
          <w:b/>
          <w:sz w:val="24"/>
        </w:rPr>
        <w:t>José Martínez Vilchis,</w:t>
      </w:r>
      <w:r w:rsidRPr="002F366B">
        <w:rPr>
          <w:rFonts w:ascii="Palatino Linotype" w:hAnsi="Palatino Linotype"/>
          <w:sz w:val="24"/>
        </w:rPr>
        <w:t xml:space="preserve"> por medio del sistema electrónico SAIMEX, en términos del artículo 185, </w:t>
      </w:r>
      <w:r w:rsidRPr="002F366B">
        <w:rPr>
          <w:rFonts w:ascii="Palatino Linotype" w:hAnsi="Palatino Linotype"/>
          <w:sz w:val="24"/>
        </w:rPr>
        <w:lastRenderedPageBreak/>
        <w:t xml:space="preserve">fracción I, de la Ley de Transparencia y Acceso a la información Pública del Estado de México y Municipios, del cual recayó acuerdo de </w:t>
      </w:r>
      <w:r w:rsidRPr="002F366B">
        <w:rPr>
          <w:rFonts w:ascii="Palatino Linotype" w:hAnsi="Palatino Linotype"/>
          <w:b/>
          <w:sz w:val="24"/>
        </w:rPr>
        <w:t>admisión</w:t>
      </w:r>
      <w:r w:rsidRPr="002F366B">
        <w:rPr>
          <w:rFonts w:ascii="Palatino Linotype" w:hAnsi="Palatino Linotype"/>
          <w:sz w:val="24"/>
        </w:rPr>
        <w:t xml:space="preserve"> en fecha </w:t>
      </w:r>
      <w:r w:rsidRPr="002F366B">
        <w:rPr>
          <w:rFonts w:ascii="Palatino Linotype" w:hAnsi="Palatino Linotype"/>
          <w:b/>
          <w:sz w:val="24"/>
        </w:rPr>
        <w:t>veinticuatro  de febrero de dos mil veintiséis</w:t>
      </w:r>
      <w:r w:rsidRPr="002F366B">
        <w:rPr>
          <w:rFonts w:ascii="Palatino Linotype" w:hAnsi="Palatino Linotype"/>
          <w:sz w:val="24"/>
        </w:rPr>
        <w:t>, determinándose en ellos, un plazo de siete días para que las partes manifestaran lo que a su derecho corresponda en términos del numeral ya citado.</w:t>
      </w:r>
    </w:p>
    <w:p w:rsidR="00AA609F" w:rsidRPr="002F366B" w:rsidRDefault="00AA609F" w:rsidP="00AA609F">
      <w:pPr>
        <w:spacing w:before="240" w:line="360" w:lineRule="auto"/>
        <w:jc w:val="both"/>
        <w:rPr>
          <w:rFonts w:ascii="Palatino Linotype" w:hAnsi="Palatino Linotype"/>
          <w:sz w:val="24"/>
        </w:rPr>
      </w:pPr>
    </w:p>
    <w:p w:rsidR="00AA609F" w:rsidRPr="002F366B" w:rsidRDefault="00AA609F" w:rsidP="00AA609F">
      <w:pPr>
        <w:pStyle w:val="Prrafodelista"/>
        <w:spacing w:line="360" w:lineRule="auto"/>
        <w:ind w:left="0"/>
        <w:jc w:val="both"/>
        <w:rPr>
          <w:rFonts w:ascii="Palatino Linotype" w:hAnsi="Palatino Linotype" w:cs="Arial"/>
          <w:b/>
          <w:sz w:val="28"/>
          <w:szCs w:val="28"/>
        </w:rPr>
      </w:pPr>
      <w:r w:rsidRPr="002F366B">
        <w:rPr>
          <w:rFonts w:ascii="Palatino Linotype" w:hAnsi="Palatino Linotype" w:cs="Arial"/>
          <w:b/>
          <w:sz w:val="28"/>
        </w:rPr>
        <w:t>QUINTO</w:t>
      </w:r>
      <w:r w:rsidRPr="002F366B">
        <w:rPr>
          <w:rFonts w:ascii="Palatino Linotype" w:hAnsi="Palatino Linotype" w:cs="Arial"/>
          <w:b/>
          <w:sz w:val="28"/>
          <w:szCs w:val="28"/>
        </w:rPr>
        <w:t>. De la etapa de instrucción.</w:t>
      </w:r>
    </w:p>
    <w:p w:rsidR="00AA609F" w:rsidRPr="002F366B" w:rsidRDefault="00AA609F" w:rsidP="00AA609F">
      <w:pPr>
        <w:spacing w:after="0" w:line="360" w:lineRule="auto"/>
        <w:jc w:val="both"/>
        <w:rPr>
          <w:rFonts w:ascii="Palatino Linotype" w:hAnsi="Palatino Linotype" w:cs="Arial"/>
          <w:sz w:val="24"/>
          <w:szCs w:val="24"/>
        </w:rPr>
      </w:pPr>
      <w:r w:rsidRPr="002F366B">
        <w:rPr>
          <w:rFonts w:ascii="Palatino Linotype" w:hAnsi="Palatino Linotype" w:cs="Arial"/>
          <w:sz w:val="24"/>
          <w:szCs w:val="24"/>
        </w:rPr>
        <w:t xml:space="preserve">De las constancias que obran en el expediente electrónico del SAIMEX, se advierte que el Sujeto Obligado </w:t>
      </w:r>
      <w:r w:rsidRPr="002F366B">
        <w:rPr>
          <w:rFonts w:ascii="Palatino Linotype" w:hAnsi="Palatino Linotype" w:cs="Arial"/>
          <w:b/>
          <w:sz w:val="24"/>
          <w:szCs w:val="24"/>
        </w:rPr>
        <w:t>rindió su informe justificado</w:t>
      </w:r>
      <w:r w:rsidRPr="002F366B">
        <w:rPr>
          <w:rFonts w:ascii="Palatino Linotype" w:hAnsi="Palatino Linotype" w:cs="Arial"/>
          <w:sz w:val="24"/>
          <w:szCs w:val="24"/>
        </w:rPr>
        <w:t>, en fecha veinticinco de febrero de dos mil veintiséis el cual fue puesto a la vista del Recurrente en fecha tres de marzo de dos mil veintiséis, sin que se advierta que el Recurrente rindiera sus manifestaciones dentro del término de Ley.</w:t>
      </w:r>
    </w:p>
    <w:p w:rsidR="00AA609F" w:rsidRPr="002F366B" w:rsidRDefault="00AA609F" w:rsidP="00AA609F">
      <w:pPr>
        <w:spacing w:line="360" w:lineRule="auto"/>
        <w:jc w:val="both"/>
        <w:rPr>
          <w:rFonts w:ascii="Palatino Linotype" w:hAnsi="Palatino Linotype"/>
          <w:sz w:val="24"/>
        </w:rPr>
      </w:pPr>
    </w:p>
    <w:p w:rsidR="00AA609F" w:rsidRPr="002F366B" w:rsidRDefault="00AA609F" w:rsidP="00AA609F">
      <w:pPr>
        <w:spacing w:line="360" w:lineRule="auto"/>
        <w:jc w:val="both"/>
        <w:rPr>
          <w:rFonts w:ascii="Palatino Linotype" w:hAnsi="Palatino Linotype" w:cs="Arial"/>
          <w:b/>
          <w:sz w:val="28"/>
          <w:szCs w:val="28"/>
        </w:rPr>
      </w:pPr>
      <w:r w:rsidRPr="002F366B">
        <w:rPr>
          <w:rFonts w:ascii="Palatino Linotype" w:hAnsi="Palatino Linotype" w:cs="Arial"/>
          <w:sz w:val="24"/>
        </w:rPr>
        <w:t xml:space="preserve"> </w:t>
      </w:r>
      <w:r w:rsidRPr="002F366B">
        <w:rPr>
          <w:rFonts w:ascii="Palatino Linotype" w:hAnsi="Palatino Linotype" w:cs="Arial"/>
          <w:b/>
          <w:sz w:val="28"/>
          <w:szCs w:val="28"/>
        </w:rPr>
        <w:t>SEXTO. Del Cierre de Instrucción.</w:t>
      </w:r>
    </w:p>
    <w:p w:rsidR="00AA609F" w:rsidRPr="002F366B" w:rsidRDefault="00AA609F" w:rsidP="00AA609F">
      <w:pPr>
        <w:spacing w:after="0" w:line="360" w:lineRule="auto"/>
        <w:jc w:val="both"/>
        <w:rPr>
          <w:rFonts w:ascii="Palatino Linotype" w:hAnsi="Palatino Linotype" w:cs="Arial"/>
          <w:sz w:val="24"/>
          <w:szCs w:val="24"/>
        </w:rPr>
      </w:pPr>
      <w:r w:rsidRPr="002F366B">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2F366B">
        <w:rPr>
          <w:rFonts w:ascii="Palatino Linotype" w:hAnsi="Palatino Linotype" w:cs="Arial"/>
          <w:b/>
          <w:sz w:val="24"/>
          <w:szCs w:val="24"/>
        </w:rPr>
        <w:t xml:space="preserve">siete de abril de dos mil veintiséis </w:t>
      </w:r>
      <w:r w:rsidRPr="002F366B">
        <w:rPr>
          <w:rFonts w:ascii="Palatino Linotype" w:hAnsi="Palatino Linotype" w:cs="Arial"/>
          <w:sz w:val="24"/>
          <w:szCs w:val="24"/>
        </w:rPr>
        <w:t>en términos del artículo 185 fracción VI de la Ley de Transparencia y Acceso a la Información Pública del Estado de México y Municipios, ordenándose turnar el expediente a la resolución que en derecho proceda.</w:t>
      </w:r>
    </w:p>
    <w:p w:rsidR="007D5A18" w:rsidRPr="002F366B" w:rsidRDefault="007D5A18" w:rsidP="00AA609F">
      <w:pPr>
        <w:spacing w:after="0" w:line="360" w:lineRule="auto"/>
        <w:jc w:val="both"/>
        <w:rPr>
          <w:rFonts w:ascii="Palatino Linotype" w:hAnsi="Palatino Linotype" w:cs="Arial"/>
          <w:sz w:val="24"/>
          <w:szCs w:val="24"/>
        </w:rPr>
      </w:pPr>
    </w:p>
    <w:p w:rsidR="007D5A18" w:rsidRPr="002F366B" w:rsidRDefault="007D5A18" w:rsidP="007D5A18">
      <w:pPr>
        <w:keepNext/>
        <w:keepLines/>
        <w:spacing w:line="360" w:lineRule="auto"/>
        <w:jc w:val="both"/>
        <w:outlineLvl w:val="1"/>
        <w:rPr>
          <w:rFonts w:ascii="Palatino Linotype" w:hAnsi="Palatino Linotype" w:cs="Palatino Linotype"/>
          <w:color w:val="000000"/>
          <w:lang w:val="es-ES_tradnl"/>
        </w:rPr>
      </w:pPr>
      <w:r w:rsidRPr="002F366B">
        <w:rPr>
          <w:rFonts w:ascii="Palatino Linotype" w:hAnsi="Palatino Linotype"/>
          <w:b/>
          <w:color w:val="000000" w:themeColor="text1"/>
          <w:sz w:val="28"/>
          <w:szCs w:val="28"/>
          <w:lang w:val="es-ES_tradnl"/>
        </w:rPr>
        <w:lastRenderedPageBreak/>
        <w:t xml:space="preserve">SÉPTIMO. </w:t>
      </w:r>
      <w:r w:rsidRPr="002F366B">
        <w:rPr>
          <w:rFonts w:ascii="Palatino Linotype" w:eastAsia="Calibri" w:hAnsi="Palatino Linotype" w:cs="Arial"/>
          <w:b/>
          <w:sz w:val="28"/>
          <w:lang w:val="es-ES_tradnl"/>
        </w:rPr>
        <w:t>De la ampliación del término para resolver.</w:t>
      </w:r>
    </w:p>
    <w:p w:rsidR="007D5A18" w:rsidRPr="002F366B" w:rsidRDefault="007D5A18" w:rsidP="007D5A18">
      <w:pPr>
        <w:spacing w:line="360" w:lineRule="auto"/>
        <w:contextualSpacing/>
        <w:jc w:val="both"/>
        <w:rPr>
          <w:rFonts w:ascii="Palatino Linotype" w:hAnsi="Palatino Linotype"/>
        </w:rPr>
      </w:pPr>
      <w:r w:rsidRPr="002F366B">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2F366B">
        <w:rPr>
          <w:rFonts w:ascii="Palatino Linotype" w:hAnsi="Palatino Linotype"/>
          <w:b/>
        </w:rPr>
        <w:t xml:space="preserve"> </w:t>
      </w:r>
      <w:r w:rsidRPr="002F366B">
        <w:rPr>
          <w:rFonts w:ascii="Palatino Linotype" w:hAnsi="Palatino Linotype" w:cs="Arial"/>
          <w:b/>
        </w:rPr>
        <w:t>catorce de abril de dos mil veintiséis</w:t>
      </w:r>
      <w:r w:rsidRPr="002F366B">
        <w:rPr>
          <w:rFonts w:ascii="Palatino Linotype" w:hAnsi="Palatino Linotype" w:cs="Arial"/>
        </w:rPr>
        <w:t xml:space="preserve">, </w:t>
      </w:r>
      <w:r w:rsidRPr="002F366B">
        <w:rPr>
          <w:rFonts w:ascii="Palatino Linotype" w:hAnsi="Palatino Linotype"/>
        </w:rPr>
        <w:t>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D5A18" w:rsidRPr="002F366B" w:rsidRDefault="007D5A18" w:rsidP="00AA609F">
      <w:pPr>
        <w:spacing w:after="0" w:line="360" w:lineRule="auto"/>
        <w:jc w:val="both"/>
        <w:rPr>
          <w:rFonts w:ascii="Palatino Linotype" w:hAnsi="Palatino Linotype" w:cs="Arial"/>
          <w:sz w:val="24"/>
          <w:szCs w:val="24"/>
        </w:rPr>
      </w:pPr>
    </w:p>
    <w:p w:rsidR="00AA609F" w:rsidRPr="002F366B" w:rsidRDefault="00AA609F" w:rsidP="00AA609F">
      <w:pPr>
        <w:spacing w:after="0" w:line="360" w:lineRule="auto"/>
        <w:jc w:val="both"/>
        <w:rPr>
          <w:rFonts w:ascii="Palatino Linotype" w:hAnsi="Palatino Linotype" w:cs="Arial"/>
          <w:sz w:val="24"/>
          <w:szCs w:val="24"/>
        </w:rPr>
      </w:pPr>
    </w:p>
    <w:p w:rsidR="00AA609F" w:rsidRPr="002F366B" w:rsidRDefault="00AA609F" w:rsidP="00AA609F">
      <w:pPr>
        <w:spacing w:before="240" w:line="360" w:lineRule="auto"/>
        <w:jc w:val="center"/>
        <w:rPr>
          <w:rFonts w:ascii="Palatino Linotype" w:hAnsi="Palatino Linotype" w:cs="Arial"/>
          <w:b/>
          <w:sz w:val="28"/>
        </w:rPr>
      </w:pPr>
      <w:r w:rsidRPr="002F366B">
        <w:rPr>
          <w:rFonts w:ascii="Palatino Linotype" w:hAnsi="Palatino Linotype" w:cs="Arial"/>
          <w:b/>
          <w:sz w:val="28"/>
        </w:rPr>
        <w:t xml:space="preserve">C O N S I D E R A N D O </w:t>
      </w:r>
    </w:p>
    <w:p w:rsidR="00AA609F" w:rsidRPr="002F366B" w:rsidRDefault="00AA609F" w:rsidP="00AA609F">
      <w:pPr>
        <w:pBdr>
          <w:top w:val="nil"/>
          <w:left w:val="nil"/>
          <w:bottom w:val="nil"/>
          <w:right w:val="nil"/>
          <w:between w:val="nil"/>
        </w:pBdr>
        <w:contextualSpacing/>
        <w:rPr>
          <w:rFonts w:ascii="Palatino Linotype" w:eastAsia="Palatino Linotype" w:hAnsi="Palatino Linotype" w:cs="Palatino Linotype"/>
          <w:szCs w:val="24"/>
        </w:rPr>
      </w:pPr>
    </w:p>
    <w:p w:rsidR="00AA609F" w:rsidRPr="002F366B" w:rsidRDefault="00AA609F" w:rsidP="00AA609F">
      <w:pPr>
        <w:pStyle w:val="Ttulo2"/>
        <w:rPr>
          <w:rFonts w:ascii="Palatino Linotype" w:eastAsia="Palatino Linotype" w:hAnsi="Palatino Linotype"/>
          <w:b/>
          <w:bCs/>
          <w:color w:val="auto"/>
          <w:sz w:val="28"/>
          <w:szCs w:val="28"/>
        </w:rPr>
      </w:pPr>
      <w:r w:rsidRPr="002F366B">
        <w:rPr>
          <w:rFonts w:ascii="Palatino Linotype" w:eastAsia="Palatino Linotype" w:hAnsi="Palatino Linotype"/>
          <w:b/>
          <w:bCs/>
          <w:color w:val="auto"/>
          <w:sz w:val="28"/>
          <w:szCs w:val="28"/>
        </w:rPr>
        <w:t>PRIMERO. De la competencia.</w:t>
      </w: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A609F" w:rsidRPr="002F366B" w:rsidRDefault="00AA609F" w:rsidP="00AA609F">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p>
    <w:p w:rsidR="00AA609F" w:rsidRPr="002F366B" w:rsidRDefault="00AA609F" w:rsidP="00AA609F">
      <w:pPr>
        <w:pStyle w:val="Ttulo2"/>
        <w:rPr>
          <w:rFonts w:ascii="Palatino Linotype" w:eastAsia="Palatino Linotype" w:hAnsi="Palatino Linotype"/>
          <w:b/>
          <w:bCs/>
          <w:color w:val="auto"/>
          <w:sz w:val="28"/>
          <w:szCs w:val="28"/>
        </w:rPr>
      </w:pPr>
      <w:r w:rsidRPr="002F366B">
        <w:rPr>
          <w:rFonts w:ascii="Palatino Linotype" w:eastAsia="Palatino Linotype" w:hAnsi="Palatino Linotype"/>
          <w:b/>
          <w:bCs/>
          <w:color w:val="auto"/>
          <w:sz w:val="28"/>
          <w:szCs w:val="28"/>
        </w:rPr>
        <w:lastRenderedPageBreak/>
        <w:t xml:space="preserve">SEGUNDO. De la oportunidad y procedencia del recurso de revisión. </w:t>
      </w: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w:t>
      </w:r>
      <w:r w:rsidRPr="002F366B">
        <w:rPr>
          <w:rFonts w:ascii="Palatino Linotype" w:hAnsi="Palatino Linotype"/>
          <w:sz w:val="24"/>
          <w:szCs w:val="24"/>
        </w:rPr>
        <w:lastRenderedPageBreak/>
        <w:t>Recurrente combate falta de trámite por el Sujeto Obligado y expresa motivos de inconformidad en contra de dicha circunstancia.</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AA609F" w:rsidRPr="002F366B" w:rsidRDefault="00AA609F" w:rsidP="00AA609F">
      <w:pPr>
        <w:spacing w:line="360" w:lineRule="auto"/>
        <w:jc w:val="both"/>
        <w:rPr>
          <w:rFonts w:ascii="Palatino Linotype" w:eastAsia="Palatino Linotype" w:hAnsi="Palatino Linotype" w:cstheme="majorBidi"/>
          <w:b/>
          <w:sz w:val="24"/>
          <w:szCs w:val="24"/>
        </w:rPr>
      </w:pPr>
    </w:p>
    <w:p w:rsidR="00AA609F" w:rsidRPr="002F366B" w:rsidRDefault="00AA609F" w:rsidP="00AA609F">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2F366B">
        <w:rPr>
          <w:rFonts w:ascii="Palatino Linotype" w:hAnsi="Palatino Linotype" w:cs="Arial"/>
          <w:b/>
          <w:sz w:val="28"/>
          <w:szCs w:val="28"/>
          <w:lang w:val="es-ES" w:eastAsia="es-ES"/>
        </w:rPr>
        <w:t>TERCERO. Estudio y resolución del asunto</w:t>
      </w:r>
      <w:r w:rsidRPr="002F366B">
        <w:rPr>
          <w:rFonts w:ascii="Palatino Linotype" w:hAnsi="Palatino Linotype"/>
          <w:b/>
          <w:sz w:val="28"/>
          <w:szCs w:val="28"/>
          <w:lang w:val="es-ES" w:eastAsia="es-ES"/>
        </w:rPr>
        <w:t xml:space="preserve">. </w:t>
      </w:r>
    </w:p>
    <w:p w:rsidR="00AA609F" w:rsidRPr="002F366B" w:rsidRDefault="00AA609F" w:rsidP="00AA609F">
      <w:pPr>
        <w:spacing w:line="360" w:lineRule="auto"/>
        <w:contextualSpacing/>
        <w:jc w:val="both"/>
        <w:rPr>
          <w:rFonts w:ascii="Palatino Linotype" w:hAnsi="Palatino Linotype" w:cs="Arial"/>
          <w:sz w:val="24"/>
          <w:szCs w:val="24"/>
          <w:lang w:eastAsia="es-ES"/>
        </w:rPr>
      </w:pPr>
      <w:r w:rsidRPr="002F366B">
        <w:rPr>
          <w:rFonts w:ascii="Palatino Linotype" w:eastAsia="MS Mincho" w:hAnsi="Palatino Linotype"/>
          <w:sz w:val="24"/>
          <w:szCs w:val="24"/>
          <w:lang w:val="es-ES" w:eastAsia="es-ES"/>
        </w:rPr>
        <w:t>E</w:t>
      </w:r>
      <w:r w:rsidRPr="002F366B">
        <w:rPr>
          <w:rFonts w:ascii="Palatino Linotype" w:eastAsia="MS Mincho" w:hAnsi="Palatino Linotype"/>
          <w:sz w:val="24"/>
          <w:szCs w:val="24"/>
          <w:lang w:eastAsia="es-ES"/>
        </w:rPr>
        <w:t xml:space="preserve">l derecho de acceso a la información pública es un </w:t>
      </w:r>
      <w:r w:rsidRPr="002F366B">
        <w:rPr>
          <w:rFonts w:ascii="Palatino Linotype" w:hAnsi="Palatino Linotype" w:cs="Arial"/>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2F366B">
        <w:rPr>
          <w:rFonts w:ascii="Palatino Linotype" w:hAnsi="Palatino Linotype" w:cs="Arial"/>
          <w:sz w:val="24"/>
          <w:szCs w:val="24"/>
          <w:lang w:eastAsia="es-ES"/>
        </w:rPr>
        <w:t xml:space="preserve">a través del cual se puede solicitar aquellos documentos que generen, administren o posean las autoridades en ejercicio de sus respectivas atribuciones y competencias. </w:t>
      </w:r>
    </w:p>
    <w:p w:rsidR="00AA609F" w:rsidRPr="002F366B" w:rsidRDefault="00AA609F" w:rsidP="00AA609F">
      <w:pPr>
        <w:spacing w:line="360" w:lineRule="auto"/>
        <w:contextualSpacing/>
        <w:jc w:val="both"/>
        <w:rPr>
          <w:rFonts w:ascii="Palatino Linotype" w:hAnsi="Palatino Linotype" w:cs="Arial"/>
          <w:sz w:val="24"/>
          <w:szCs w:val="24"/>
          <w:lang w:eastAsia="es-ES"/>
        </w:rPr>
      </w:pP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lang w:val="es-ES" w:eastAsia="es-ES"/>
        </w:rPr>
      </w:pPr>
      <w:r w:rsidRPr="002F366B">
        <w:rPr>
          <w:rFonts w:ascii="Palatino Linotype" w:hAnsi="Palatino Linotype" w:cs="Arial"/>
          <w:sz w:val="24"/>
          <w:szCs w:val="24"/>
          <w:lang w:val="es-ES" w:eastAsia="es-ES"/>
        </w:rPr>
        <w:t xml:space="preserve">Por lo que en cumplimiento a las obligaciones que establece nuestra Carta Magna, la Constitución Estatal y la Ley de la materia le imponen, el </w:t>
      </w:r>
      <w:r w:rsidRPr="002F366B">
        <w:rPr>
          <w:rFonts w:ascii="Palatino Linotype" w:hAnsi="Palatino Linotype" w:cs="Arial"/>
          <w:b/>
          <w:sz w:val="24"/>
          <w:szCs w:val="24"/>
          <w:lang w:val="es-ES" w:eastAsia="es-ES"/>
        </w:rPr>
        <w:t>Sujeto Obligado</w:t>
      </w:r>
      <w:r w:rsidRPr="002F366B">
        <w:rPr>
          <w:rFonts w:ascii="Palatino Linotype" w:hAnsi="Palatino Linotype" w:cs="Arial"/>
          <w:sz w:val="24"/>
          <w:szCs w:val="24"/>
          <w:lang w:val="es-ES" w:eastAsia="es-ES"/>
        </w:rPr>
        <w:t xml:space="preserve"> está constreñido a dar atención a las solicitudes de información que a través del SAIMEX o </w:t>
      </w:r>
      <w:r w:rsidRPr="002F366B">
        <w:rPr>
          <w:rFonts w:ascii="Palatino Linotype" w:hAnsi="Palatino Linotype" w:cs="Arial"/>
          <w:sz w:val="24"/>
          <w:szCs w:val="24"/>
          <w:lang w:val="es-ES" w:eastAsia="es-ES"/>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2F366B">
        <w:rPr>
          <w:rFonts w:ascii="Palatino Linotype" w:hAnsi="Palatino Linotype" w:cs="Arial"/>
          <w:b/>
          <w:sz w:val="24"/>
          <w:szCs w:val="24"/>
          <w:lang w:val="es-ES" w:eastAsia="es-ES"/>
        </w:rPr>
        <w:t>Sujeto Obligado</w:t>
      </w:r>
      <w:r w:rsidRPr="002F366B">
        <w:rPr>
          <w:rFonts w:ascii="Palatino Linotype" w:hAnsi="Palatino Linotype" w:cs="Arial"/>
          <w:sz w:val="24"/>
          <w:szCs w:val="24"/>
          <w:lang w:val="es-ES" w:eastAsia="es-ES"/>
        </w:rPr>
        <w:t xml:space="preserve"> fue omiso en dar respuesta a la solicitud de información dentro de los plazos establecidos en la Ley de Transparencia Local.</w:t>
      </w: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lang w:val="es-ES" w:eastAsia="es-ES"/>
        </w:rPr>
      </w:pP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lang w:val="es-ES" w:eastAsia="es-ES"/>
        </w:rPr>
      </w:pPr>
      <w:r w:rsidRPr="002F366B">
        <w:rPr>
          <w:rFonts w:ascii="Palatino Linotype"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2F366B">
        <w:rPr>
          <w:rFonts w:ascii="Palatino Linotype" w:hAnsi="Palatino Linotype" w:cs="Arial"/>
          <w:bCs/>
          <w:sz w:val="24"/>
          <w:szCs w:val="24"/>
          <w:lang w:val="es-ES" w:eastAsia="es-ES"/>
        </w:rPr>
        <w:t>Ley de Transparencia y Acceso a la Información Pública del Estado de México y Municipios</w:t>
      </w:r>
      <w:r w:rsidRPr="002F366B">
        <w:rPr>
          <w:rFonts w:ascii="Palatino Linotype" w:hAnsi="Palatino Linotype" w:cs="Arial"/>
          <w:sz w:val="24"/>
          <w:szCs w:val="24"/>
          <w:lang w:val="es-ES" w:eastAsia="es-ES"/>
        </w:rPr>
        <w:t>,</w:t>
      </w:r>
      <w:r w:rsidRPr="002F366B">
        <w:rPr>
          <w:rFonts w:ascii="Palatino Linotype" w:hAnsi="Palatino Linotype" w:cs="Arial"/>
          <w:b/>
          <w:sz w:val="24"/>
          <w:szCs w:val="24"/>
          <w:lang w:val="es-ES" w:eastAsia="es-ES"/>
        </w:rPr>
        <w:t xml:space="preserve"> </w:t>
      </w:r>
      <w:r w:rsidRPr="002F366B">
        <w:rPr>
          <w:rFonts w:ascii="Palatino Linotype" w:hAnsi="Palatino Linotype" w:cs="Arial"/>
          <w:bCs/>
          <w:sz w:val="24"/>
          <w:szCs w:val="24"/>
          <w:lang w:val="es-ES" w:eastAsia="es-ES"/>
        </w:rPr>
        <w:t>y</w:t>
      </w:r>
      <w:r w:rsidRPr="002F366B">
        <w:rPr>
          <w:rFonts w:ascii="Palatino Linotype" w:hAnsi="Palatino Linotype" w:cs="Arial"/>
          <w:b/>
          <w:sz w:val="24"/>
          <w:szCs w:val="24"/>
          <w:lang w:val="es-ES" w:eastAsia="es-ES"/>
        </w:rPr>
        <w:t xml:space="preserve"> </w:t>
      </w:r>
      <w:r w:rsidRPr="002F366B">
        <w:rPr>
          <w:rFonts w:ascii="Palatino Linotype" w:hAnsi="Palatino Linotype" w:cs="Arial"/>
          <w:sz w:val="24"/>
          <w:szCs w:val="24"/>
          <w:lang w:val="es-ES" w:eastAsia="es-ES"/>
        </w:rPr>
        <w:t>por tanto, procedente la interposición del recurso de revisión.</w:t>
      </w: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lang w:val="es-ES" w:eastAsia="es-ES"/>
        </w:rPr>
      </w:pPr>
    </w:p>
    <w:p w:rsidR="00AA609F" w:rsidRPr="002F366B" w:rsidRDefault="00AA609F" w:rsidP="00AA609F">
      <w:pPr>
        <w:autoSpaceDE w:val="0"/>
        <w:autoSpaceDN w:val="0"/>
        <w:adjustRightInd w:val="0"/>
        <w:spacing w:line="360" w:lineRule="auto"/>
        <w:jc w:val="both"/>
        <w:rPr>
          <w:rFonts w:ascii="Palatino Linotype" w:hAnsi="Palatino Linotype"/>
          <w:sz w:val="24"/>
          <w:szCs w:val="24"/>
          <w:lang w:val="es-ES"/>
        </w:rPr>
      </w:pPr>
      <w:r w:rsidRPr="002F366B">
        <w:rPr>
          <w:rFonts w:ascii="Palatino Linotype" w:hAnsi="Palatino Linotype" w:cs="Arial"/>
          <w:sz w:val="24"/>
          <w:szCs w:val="24"/>
          <w:lang w:val="es-ES" w:eastAsia="es-ES"/>
        </w:rPr>
        <w:t xml:space="preserve">En consecuencia, las razones o motivos de </w:t>
      </w:r>
      <w:r w:rsidRPr="002F366B">
        <w:rPr>
          <w:rFonts w:ascii="Palatino Linotype" w:hAnsi="Palatino Linotype"/>
          <w:sz w:val="24"/>
          <w:szCs w:val="24"/>
          <w:lang w:val="es-ES" w:eastAsia="es-ES"/>
        </w:rPr>
        <w:t xml:space="preserve">inconformidad hechos valer, resultan </w:t>
      </w:r>
      <w:r w:rsidRPr="002F366B">
        <w:rPr>
          <w:rFonts w:ascii="Palatino Linotype" w:hAnsi="Palatino Linotype"/>
          <w:b/>
          <w:sz w:val="24"/>
          <w:szCs w:val="24"/>
          <w:lang w:val="es-ES" w:eastAsia="es-ES"/>
        </w:rPr>
        <w:t>fundadas y procedentes</w:t>
      </w:r>
      <w:r w:rsidRPr="002F366B">
        <w:rPr>
          <w:rFonts w:ascii="Palatino Linotype" w:hAnsi="Palatino Linotype"/>
          <w:sz w:val="24"/>
          <w:szCs w:val="24"/>
          <w:lang w:val="es-ES" w:eastAsia="es-ES"/>
        </w:rPr>
        <w:t xml:space="preserve">, en virtud de las constancias que obran en el expediente electrónico SAIMEX, se acredita que el </w:t>
      </w:r>
      <w:r w:rsidRPr="002F366B">
        <w:rPr>
          <w:rFonts w:ascii="Palatino Linotype" w:hAnsi="Palatino Linotype" w:cs="Arial"/>
          <w:b/>
          <w:sz w:val="24"/>
          <w:szCs w:val="24"/>
          <w:lang w:val="es-ES"/>
        </w:rPr>
        <w:t>Sujeto Obligado</w:t>
      </w:r>
      <w:r w:rsidRPr="002F366B">
        <w:rPr>
          <w:rFonts w:ascii="Palatino Linotype" w:hAnsi="Palatino Linotype" w:cs="Arial"/>
          <w:sz w:val="24"/>
          <w:szCs w:val="24"/>
          <w:lang w:val="es-ES"/>
        </w:rPr>
        <w:t xml:space="preserve"> fue omiso en responder la solicitud de información hechas por la parte </w:t>
      </w:r>
      <w:r w:rsidRPr="002F366B">
        <w:rPr>
          <w:rFonts w:ascii="Palatino Linotype" w:hAnsi="Palatino Linotype" w:cs="Arial"/>
          <w:b/>
          <w:sz w:val="24"/>
          <w:szCs w:val="24"/>
          <w:lang w:val="es-ES"/>
        </w:rPr>
        <w:t>Recurrente</w:t>
      </w:r>
      <w:r w:rsidRPr="002F366B">
        <w:rPr>
          <w:rFonts w:ascii="Palatino Linotype" w:hAnsi="Palatino Linotype" w:cs="Arial"/>
          <w:sz w:val="24"/>
          <w:szCs w:val="24"/>
          <w:lang w:val="es-ES"/>
        </w:rPr>
        <w:t xml:space="preserve">, es decir, </w:t>
      </w:r>
      <w:r w:rsidRPr="002F366B">
        <w:rPr>
          <w:rFonts w:ascii="Palatino Linotype" w:hAnsi="Palatino Linotype"/>
          <w:sz w:val="24"/>
          <w:szCs w:val="24"/>
          <w:lang w:val="es-ES"/>
        </w:rPr>
        <w:t xml:space="preserve">incumplió las obligaciones que se le imponen como </w:t>
      </w:r>
      <w:r w:rsidRPr="002F366B">
        <w:rPr>
          <w:rFonts w:ascii="Palatino Linotype" w:hAnsi="Palatino Linotype"/>
          <w:b/>
          <w:sz w:val="24"/>
          <w:szCs w:val="24"/>
          <w:lang w:val="es-ES"/>
        </w:rPr>
        <w:t>Sujeto Obligado</w:t>
      </w:r>
      <w:r w:rsidRPr="002F366B">
        <w:rPr>
          <w:rFonts w:ascii="Palatino Linotype" w:hAnsi="Palatino Linotype"/>
          <w:sz w:val="24"/>
          <w:szCs w:val="24"/>
          <w:lang w:val="es-ES"/>
        </w:rPr>
        <w:t>, de conformidad con lo establecido en los artículos 4, 12, 23 fracción IV, 24 último párrafo y 160 de la Ley de Transparencia y Acceso a la Información Pública del Estado de México y Municipios.</w:t>
      </w:r>
    </w:p>
    <w:p w:rsidR="00AA609F" w:rsidRPr="002F366B" w:rsidRDefault="00AA609F" w:rsidP="00AA609F">
      <w:pPr>
        <w:autoSpaceDE w:val="0"/>
        <w:autoSpaceDN w:val="0"/>
        <w:adjustRightInd w:val="0"/>
        <w:spacing w:line="360" w:lineRule="auto"/>
        <w:jc w:val="both"/>
        <w:rPr>
          <w:rFonts w:ascii="Palatino Linotype" w:hAnsi="Palatino Linotype"/>
          <w:sz w:val="24"/>
          <w:szCs w:val="24"/>
          <w:lang w:val="es-ES"/>
        </w:rPr>
      </w:pPr>
    </w:p>
    <w:p w:rsidR="00AA609F" w:rsidRPr="002F366B" w:rsidRDefault="00AA609F" w:rsidP="00AA609F">
      <w:pPr>
        <w:widowControl w:val="0"/>
        <w:tabs>
          <w:tab w:val="left" w:pos="1276"/>
        </w:tabs>
        <w:spacing w:line="360" w:lineRule="auto"/>
        <w:jc w:val="both"/>
        <w:rPr>
          <w:rFonts w:ascii="Palatino Linotype" w:eastAsia="Palatino Linotype" w:hAnsi="Palatino Linotype" w:cs="Palatino Linotype"/>
          <w:sz w:val="24"/>
          <w:szCs w:val="24"/>
        </w:rPr>
      </w:pPr>
      <w:r w:rsidRPr="002F366B">
        <w:rPr>
          <w:rFonts w:ascii="Palatino Linotype" w:hAnsi="Palatino Linotype" w:cs="Arial"/>
          <w:sz w:val="24"/>
          <w:szCs w:val="24"/>
          <w:lang w:val="es-ES"/>
        </w:rPr>
        <w:t xml:space="preserve">De conformidad con lo establecido en los artículos 50 y 51 de la Ley de Transparencia </w:t>
      </w:r>
      <w:r w:rsidRPr="002F366B">
        <w:rPr>
          <w:rFonts w:ascii="Palatino Linotype" w:hAnsi="Palatino Linotype" w:cs="Arial"/>
          <w:sz w:val="24"/>
          <w:szCs w:val="24"/>
          <w:lang w:val="es-ES"/>
        </w:rPr>
        <w:lastRenderedPageBreak/>
        <w:t xml:space="preserve">y Acceso a la Información Pública del Estado de México y Municipios, los </w:t>
      </w:r>
      <w:r w:rsidRPr="002F366B">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AA609F" w:rsidRPr="002F366B" w:rsidRDefault="00AA609F" w:rsidP="00AA609F">
      <w:pPr>
        <w:widowControl w:val="0"/>
        <w:tabs>
          <w:tab w:val="left" w:pos="1276"/>
        </w:tabs>
        <w:spacing w:line="360" w:lineRule="auto"/>
        <w:jc w:val="both"/>
        <w:rPr>
          <w:rFonts w:ascii="Palatino Linotype" w:eastAsia="Palatino Linotype" w:hAnsi="Palatino Linotype" w:cs="Palatino Linotype"/>
          <w:sz w:val="24"/>
          <w:szCs w:val="24"/>
        </w:rPr>
      </w:pPr>
    </w:p>
    <w:p w:rsidR="00AA609F" w:rsidRPr="002F366B" w:rsidRDefault="00AA609F" w:rsidP="00AA609F">
      <w:pPr>
        <w:widowControl w:val="0"/>
        <w:tabs>
          <w:tab w:val="left" w:pos="1276"/>
        </w:tabs>
        <w:spacing w:line="360" w:lineRule="auto"/>
        <w:jc w:val="both"/>
        <w:rPr>
          <w:rFonts w:ascii="Palatino Linotype" w:eastAsia="Palatino Linotype" w:hAnsi="Palatino Linotype" w:cs="Palatino Linotype"/>
          <w:sz w:val="24"/>
          <w:szCs w:val="24"/>
        </w:rPr>
      </w:pPr>
      <w:r w:rsidRPr="002F366B">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AA609F" w:rsidRPr="002F366B" w:rsidRDefault="00AA609F" w:rsidP="00AA609F">
      <w:pPr>
        <w:widowControl w:val="0"/>
        <w:tabs>
          <w:tab w:val="left" w:pos="1276"/>
        </w:tabs>
        <w:spacing w:line="360" w:lineRule="auto"/>
        <w:jc w:val="both"/>
        <w:rPr>
          <w:rFonts w:ascii="Palatino Linotype" w:eastAsia="Palatino Linotype" w:hAnsi="Palatino Linotype" w:cs="Palatino Linotype"/>
          <w:sz w:val="24"/>
          <w:szCs w:val="24"/>
        </w:rPr>
      </w:pPr>
    </w:p>
    <w:p w:rsidR="00AA609F" w:rsidRPr="002F366B" w:rsidRDefault="00AA609F" w:rsidP="00AA609F">
      <w:pPr>
        <w:spacing w:line="360" w:lineRule="auto"/>
        <w:jc w:val="both"/>
        <w:rPr>
          <w:rFonts w:ascii="Palatino Linotype" w:hAnsi="Palatino Linotype"/>
          <w:sz w:val="24"/>
          <w:szCs w:val="24"/>
          <w:lang w:val="es-ES" w:eastAsia="es-ES"/>
        </w:rPr>
      </w:pPr>
      <w:r w:rsidRPr="002F366B">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2F366B">
        <w:rPr>
          <w:rFonts w:ascii="Palatino Linotype" w:hAnsi="Palatino Linotype"/>
          <w:sz w:val="24"/>
          <w:szCs w:val="24"/>
          <w:lang w:val="es-ES" w:eastAsia="es-ES"/>
        </w:rPr>
        <w:t xml:space="preserve">De tal manera que la omisión del Titular de la Unidad de Transparencia, como primer responsable de </w:t>
      </w:r>
      <w:r w:rsidRPr="002F366B">
        <w:rPr>
          <w:rFonts w:ascii="Palatino Linotype" w:hAnsi="Palatino Linotype"/>
          <w:sz w:val="24"/>
          <w:szCs w:val="24"/>
          <w:lang w:val="es-ES" w:eastAsia="es-ES"/>
        </w:rPr>
        <w:lastRenderedPageBreak/>
        <w:t>atender la solicitud de información, se traduce en una conducta que ha vulnerado el derecho de acceso a la información consignado a favor del particular.</w:t>
      </w:r>
    </w:p>
    <w:p w:rsidR="00AA609F" w:rsidRPr="002F366B" w:rsidRDefault="00AA609F" w:rsidP="00AA609F">
      <w:pPr>
        <w:spacing w:line="360" w:lineRule="auto"/>
        <w:jc w:val="both"/>
        <w:rPr>
          <w:rFonts w:ascii="Palatino Linotype" w:hAnsi="Palatino Linotype" w:cs="Segoe UI"/>
        </w:rPr>
      </w:pP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Segoe UI"/>
          <w:sz w:val="24"/>
          <w:szCs w:val="24"/>
        </w:rPr>
        <w:t xml:space="preserve">Cabe señalar que </w:t>
      </w:r>
      <w:r w:rsidRPr="002F366B">
        <w:rPr>
          <w:rFonts w:ascii="Palatino Linotype" w:hAnsi="Palatino Linotype" w:cs="Segoe UI"/>
          <w:b/>
          <w:sz w:val="24"/>
          <w:szCs w:val="24"/>
        </w:rPr>
        <w:t>la Recurrente</w:t>
      </w:r>
      <w:r w:rsidRPr="002F366B">
        <w:rPr>
          <w:rFonts w:ascii="Palatino Linotype" w:hAnsi="Palatino Linotype" w:cs="Segoe UI"/>
          <w:sz w:val="24"/>
          <w:szCs w:val="24"/>
        </w:rPr>
        <w:t xml:space="preserve"> </w:t>
      </w:r>
      <w:r w:rsidRPr="002F366B">
        <w:rPr>
          <w:rFonts w:ascii="Palatino Linotype" w:hAnsi="Palatino Linotype" w:cs="Segoe UI"/>
          <w:sz w:val="24"/>
          <w:szCs w:val="24"/>
          <w:u w:val="single"/>
        </w:rPr>
        <w:t>ejerció su derecho mediante su nombre sin embargo de haberlo ejercido de manera anónima</w:t>
      </w:r>
      <w:r w:rsidRPr="002F366B">
        <w:rPr>
          <w:rFonts w:ascii="Palatino Linotype" w:hAnsi="Palatino Linotype"/>
          <w:sz w:val="24"/>
          <w:szCs w:val="24"/>
        </w:rPr>
        <w:t xml:space="preserve">, no sería motivo para desechar las </w:t>
      </w:r>
      <w:r w:rsidRPr="002F366B">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rsidR="00AA609F" w:rsidRPr="002F366B" w:rsidRDefault="00AA609F" w:rsidP="00AA609F">
      <w:pPr>
        <w:spacing w:before="240" w:line="360" w:lineRule="auto"/>
        <w:ind w:left="851" w:right="851"/>
        <w:jc w:val="both"/>
        <w:rPr>
          <w:rFonts w:ascii="Palatino Linotype" w:hAnsi="Palatino Linotype" w:cs="Arial"/>
          <w:b/>
          <w:i/>
        </w:rPr>
      </w:pPr>
      <w:r w:rsidRPr="002F366B">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F366B">
        <w:rPr>
          <w:rFonts w:ascii="Palatino Linotype" w:hAnsi="Palatino Linotype" w:cs="Arial"/>
          <w:b/>
          <w:i/>
        </w:rPr>
        <w:t>[Sic]</w:t>
      </w:r>
    </w:p>
    <w:p w:rsidR="00AA609F" w:rsidRPr="002F366B" w:rsidRDefault="00AA609F" w:rsidP="00AA609F">
      <w:pPr>
        <w:autoSpaceDE w:val="0"/>
        <w:autoSpaceDN w:val="0"/>
        <w:adjustRightInd w:val="0"/>
        <w:spacing w:line="360" w:lineRule="auto"/>
        <w:jc w:val="both"/>
        <w:rPr>
          <w:rFonts w:ascii="Palatino Linotype" w:hAnsi="Palatino Linotype"/>
          <w:sz w:val="24"/>
          <w:szCs w:val="24"/>
          <w:lang w:val="es-ES" w:eastAsia="es-ES"/>
        </w:rPr>
      </w:pPr>
      <w:r w:rsidRPr="002F366B">
        <w:rPr>
          <w:rFonts w:ascii="Palatino Linotype" w:hAnsi="Palatino Linotype" w:cs="Arial"/>
          <w:sz w:val="24"/>
          <w:szCs w:val="24"/>
          <w:lang w:eastAsia="es-ES"/>
        </w:rPr>
        <w:t xml:space="preserve">En consecuencia, </w:t>
      </w:r>
      <w:r w:rsidRPr="002F366B">
        <w:rPr>
          <w:rFonts w:ascii="Palatino Linotype" w:hAnsi="Palatino Linotype"/>
          <w:sz w:val="24"/>
          <w:szCs w:val="24"/>
          <w:lang w:val="es-ES" w:eastAsia="es-ES"/>
        </w:rPr>
        <w:t xml:space="preserve">según lo dispuesto por el artículo 150 de la Ley de Transparencia y Acceso a la Información Pública del Estado de México y Municipios, el </w:t>
      </w:r>
      <w:r w:rsidRPr="002F366B">
        <w:rPr>
          <w:rFonts w:ascii="Palatino Linotype" w:hAnsi="Palatino Linotype"/>
          <w:i/>
          <w:sz w:val="24"/>
          <w:szCs w:val="24"/>
          <w:lang w:val="es-ES" w:eastAsia="es-ES"/>
        </w:rPr>
        <w:t xml:space="preserve">procedimiento de acceso a la información es la garantía primaria del derecho en cuestión, </w:t>
      </w:r>
      <w:r w:rsidRPr="002F366B">
        <w:rPr>
          <w:rFonts w:ascii="Palatino Linotype" w:hAnsi="Palatino Linotype"/>
          <w:sz w:val="24"/>
          <w:szCs w:val="24"/>
          <w:lang w:val="es-ES" w:eastAsia="es-ES"/>
        </w:rPr>
        <w:t xml:space="preserve">por lo tanto, la falta de respuesta a una solicitud de acceso a la información constituye un incumplimiento del </w:t>
      </w:r>
      <w:r w:rsidRPr="002F366B">
        <w:rPr>
          <w:rFonts w:ascii="Palatino Linotype" w:hAnsi="Palatino Linotype"/>
          <w:b/>
          <w:sz w:val="24"/>
          <w:szCs w:val="24"/>
          <w:lang w:val="es-ES" w:eastAsia="es-ES"/>
        </w:rPr>
        <w:t>Sujeto Obligado</w:t>
      </w:r>
      <w:r w:rsidRPr="002F366B">
        <w:rPr>
          <w:rFonts w:ascii="Palatino Linotype" w:hAnsi="Palatino Linotype"/>
          <w:sz w:val="24"/>
          <w:szCs w:val="24"/>
          <w:lang w:val="es-ES" w:eastAsia="es-ES"/>
        </w:rPr>
        <w:t xml:space="preserve"> a su deber de garantizar el derecho, lo que constituye una vulneración al mismo.</w:t>
      </w:r>
    </w:p>
    <w:p w:rsidR="00AA609F" w:rsidRPr="002F366B" w:rsidRDefault="00AA609F" w:rsidP="00AA609F">
      <w:pPr>
        <w:autoSpaceDE w:val="0"/>
        <w:autoSpaceDN w:val="0"/>
        <w:adjustRightInd w:val="0"/>
        <w:spacing w:line="360" w:lineRule="auto"/>
        <w:jc w:val="both"/>
        <w:rPr>
          <w:rFonts w:ascii="Palatino Linotype" w:hAnsi="Palatino Linotype"/>
          <w:sz w:val="24"/>
          <w:szCs w:val="24"/>
          <w:lang w:val="es-ES" w:eastAsia="es-ES"/>
        </w:rPr>
      </w:pPr>
      <w:r w:rsidRPr="002F366B">
        <w:rPr>
          <w:rFonts w:ascii="Palatino Linotype" w:hAnsi="Palatino Linotype"/>
          <w:sz w:val="24"/>
          <w:szCs w:val="24"/>
          <w:lang w:val="es-ES" w:eastAsia="es-ES"/>
        </w:rPr>
        <w:t xml:space="preserve">Por lo anterior es de establecerse que el Recurrente solicito lo siguiente; </w:t>
      </w:r>
    </w:p>
    <w:p w:rsidR="00AA609F" w:rsidRPr="002F366B" w:rsidRDefault="00AA609F" w:rsidP="00AA609F">
      <w:pPr>
        <w:pStyle w:val="Prrafodelista"/>
        <w:numPr>
          <w:ilvl w:val="0"/>
          <w:numId w:val="13"/>
        </w:numPr>
        <w:autoSpaceDE w:val="0"/>
        <w:autoSpaceDN w:val="0"/>
        <w:adjustRightInd w:val="0"/>
        <w:spacing w:after="0" w:line="360" w:lineRule="auto"/>
        <w:jc w:val="both"/>
        <w:rPr>
          <w:rFonts w:ascii="Palatino Linotype" w:hAnsi="Palatino Linotype" w:cs="Arial"/>
        </w:rPr>
      </w:pPr>
      <w:r w:rsidRPr="002F366B">
        <w:rPr>
          <w:rFonts w:ascii="Palatino Linotype" w:hAnsi="Palatino Linotype" w:cs="Arial"/>
        </w:rPr>
        <w:t xml:space="preserve">De los ejercicios 2025 </w:t>
      </w:r>
      <w:r w:rsidRPr="002F366B">
        <w:rPr>
          <w:rFonts w:ascii="Palatino Linotype" w:hAnsi="Palatino Linotype"/>
          <w:color w:val="000000"/>
          <w:sz w:val="24"/>
          <w:szCs w:val="24"/>
        </w:rPr>
        <w:t>y 2026;</w:t>
      </w:r>
    </w:p>
    <w:p w:rsidR="00AA609F" w:rsidRPr="002F366B" w:rsidRDefault="00AA609F" w:rsidP="00AA609F">
      <w:pPr>
        <w:pStyle w:val="Prrafodelista"/>
        <w:autoSpaceDE w:val="0"/>
        <w:autoSpaceDN w:val="0"/>
        <w:adjustRightInd w:val="0"/>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a) Listado completo de contratos, pedidos y adquisiciones celebrados por el Ayuntamiento de Tepotzotlán. </w:t>
      </w:r>
    </w:p>
    <w:p w:rsidR="00AA609F" w:rsidRPr="002F366B" w:rsidRDefault="00AA609F" w:rsidP="00AA609F">
      <w:pPr>
        <w:pStyle w:val="Prrafodelista"/>
        <w:autoSpaceDE w:val="0"/>
        <w:autoSpaceDN w:val="0"/>
        <w:adjustRightInd w:val="0"/>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lastRenderedPageBreak/>
        <w:t xml:space="preserve">b) Procedimiento de contratación utilizado en cada caso. </w:t>
      </w:r>
    </w:p>
    <w:p w:rsidR="00AA609F" w:rsidRPr="002F366B" w:rsidRDefault="00AA609F" w:rsidP="00AA609F">
      <w:pPr>
        <w:pStyle w:val="Prrafodelista"/>
        <w:autoSpaceDE w:val="0"/>
        <w:autoSpaceDN w:val="0"/>
        <w:adjustRightInd w:val="0"/>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c) Justificación y fundamento legal de las adjudicaciones directas. </w:t>
      </w:r>
    </w:p>
    <w:p w:rsidR="00AA609F" w:rsidRPr="002F366B" w:rsidRDefault="00AA609F" w:rsidP="00AA609F">
      <w:pPr>
        <w:pStyle w:val="Prrafodelista"/>
        <w:autoSpaceDE w:val="0"/>
        <w:autoSpaceDN w:val="0"/>
        <w:adjustRightInd w:val="0"/>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d) Identificación del área solicitante y servidor público responsable.</w:t>
      </w:r>
    </w:p>
    <w:p w:rsidR="00AA609F" w:rsidRPr="002F366B" w:rsidRDefault="00AA609F" w:rsidP="00AA609F">
      <w:pPr>
        <w:pStyle w:val="Prrafodelista"/>
        <w:autoSpaceDE w:val="0"/>
        <w:autoSpaceDN w:val="0"/>
        <w:adjustRightInd w:val="0"/>
        <w:spacing w:after="0" w:line="360" w:lineRule="auto"/>
        <w:jc w:val="both"/>
        <w:rPr>
          <w:rFonts w:ascii="Palatino Linotype" w:hAnsi="Palatino Linotype" w:cs="Arial"/>
        </w:rPr>
      </w:pPr>
      <w:r w:rsidRPr="002F366B">
        <w:rPr>
          <w:rFonts w:ascii="Palatino Linotype" w:hAnsi="Palatino Linotype"/>
          <w:color w:val="000000"/>
          <w:sz w:val="24"/>
          <w:szCs w:val="24"/>
        </w:rPr>
        <w:t>e) Copia de los contratos en versión pública.</w:t>
      </w:r>
    </w:p>
    <w:p w:rsidR="00AA609F" w:rsidRPr="002F366B" w:rsidRDefault="00AA609F" w:rsidP="00AA609F">
      <w:pPr>
        <w:pStyle w:val="Prrafodelista"/>
        <w:autoSpaceDE w:val="0"/>
        <w:autoSpaceDN w:val="0"/>
        <w:adjustRightInd w:val="0"/>
        <w:spacing w:after="0" w:line="360" w:lineRule="auto"/>
        <w:contextualSpacing w:val="0"/>
        <w:jc w:val="both"/>
        <w:rPr>
          <w:rFonts w:ascii="Palatino Linotype" w:hAnsi="Palatino Linotype" w:cs="Arial"/>
        </w:rPr>
      </w:pPr>
    </w:p>
    <w:p w:rsidR="00AA609F" w:rsidRPr="002F366B" w:rsidRDefault="00AA609F" w:rsidP="00AA609F">
      <w:pPr>
        <w:autoSpaceDE w:val="0"/>
        <w:autoSpaceDN w:val="0"/>
        <w:adjustRightInd w:val="0"/>
        <w:spacing w:line="360" w:lineRule="auto"/>
        <w:jc w:val="both"/>
        <w:rPr>
          <w:rFonts w:ascii="Palatino Linotype" w:hAnsi="Palatino Linotype" w:cs="Arial"/>
          <w:bCs/>
          <w:sz w:val="24"/>
          <w:szCs w:val="24"/>
        </w:rPr>
      </w:pPr>
      <w:r w:rsidRPr="002F366B">
        <w:rPr>
          <w:rFonts w:ascii="Palatino Linotype" w:hAnsi="Palatino Linotype" w:cs="Arial"/>
          <w:sz w:val="24"/>
          <w:szCs w:val="24"/>
          <w:lang w:val="es-ES" w:eastAsia="es-ES"/>
        </w:rPr>
        <w:t>Por lo que, mediante informe justificado el Sujeto Obligado pretendió subsanar la vulneración del derecho al acceso a la información del Recurrente mediante los siguientes archivos electrónicos;</w:t>
      </w:r>
    </w:p>
    <w:p w:rsidR="00AA609F" w:rsidRPr="002F366B" w:rsidRDefault="00AA609F" w:rsidP="00AA609F">
      <w:pPr>
        <w:pStyle w:val="Prrafodelista"/>
        <w:numPr>
          <w:ilvl w:val="0"/>
          <w:numId w:val="3"/>
        </w:numPr>
        <w:autoSpaceDE w:val="0"/>
        <w:autoSpaceDN w:val="0"/>
        <w:adjustRightInd w:val="0"/>
        <w:spacing w:line="360" w:lineRule="auto"/>
        <w:jc w:val="both"/>
        <w:rPr>
          <w:rFonts w:ascii="Palatino Linotype" w:hAnsi="Palatino Linotype" w:cs="Arial"/>
          <w:bCs/>
          <w:sz w:val="24"/>
          <w:szCs w:val="24"/>
        </w:rPr>
      </w:pPr>
      <w:r w:rsidRPr="002F366B">
        <w:rPr>
          <w:rFonts w:ascii="Palatino Linotype" w:hAnsi="Palatino Linotype" w:cs="Arial"/>
          <w:b/>
          <w:bCs/>
          <w:sz w:val="24"/>
          <w:szCs w:val="24"/>
        </w:rPr>
        <w:t>ADQ-037-2026.pdf</w:t>
      </w:r>
      <w:r w:rsidRPr="002F366B">
        <w:rPr>
          <w:rFonts w:ascii="Palatino Linotype" w:hAnsi="Palatino Linotype"/>
          <w:b/>
          <w:bCs/>
          <w:sz w:val="24"/>
          <w:szCs w:val="24"/>
        </w:rPr>
        <w:t xml:space="preserve">: </w:t>
      </w:r>
      <w:r w:rsidRPr="002F366B">
        <w:rPr>
          <w:rFonts w:ascii="Palatino Linotype" w:hAnsi="Palatino Linotype"/>
          <w:bCs/>
          <w:sz w:val="24"/>
          <w:szCs w:val="24"/>
        </w:rPr>
        <w:t xml:space="preserve">Soporte documental que consta de dos fojas en formato PDF de fecha nueve de febrero de dos mil veintiséis por medio del cual la jefa de adquisiciones manifiesta que después de una búsqueda exhaustiva y razonable en los archivos de la jefatura de adquisiciones </w:t>
      </w:r>
      <w:r w:rsidRPr="002F366B">
        <w:rPr>
          <w:rFonts w:ascii="Palatino Linotype" w:hAnsi="Palatino Linotype"/>
          <w:b/>
          <w:bCs/>
          <w:sz w:val="24"/>
          <w:szCs w:val="24"/>
        </w:rPr>
        <w:t xml:space="preserve"> no existe información toda vez que el ayuntamiento de Tepotzotlán no está facultado para realizar adquisiciones de bienes y servicios.</w:t>
      </w:r>
    </w:p>
    <w:p w:rsidR="00187E9E" w:rsidRPr="002F366B" w:rsidRDefault="00187E9E" w:rsidP="00AA609F">
      <w:pPr>
        <w:spacing w:after="0" w:line="360" w:lineRule="auto"/>
        <w:jc w:val="both"/>
        <w:rPr>
          <w:rFonts w:ascii="Palatino Linotype" w:hAnsi="Palatino Linotype"/>
          <w:sz w:val="24"/>
          <w:szCs w:val="24"/>
        </w:rPr>
      </w:pPr>
    </w:p>
    <w:p w:rsidR="00187E9E" w:rsidRPr="002F366B" w:rsidRDefault="00187E9E"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 xml:space="preserve">De lo anterior es de precisarse que si bien la Recurrente manifestó requerir información de los ejercicios 2025 y </w:t>
      </w:r>
      <w:r w:rsidRPr="002F366B">
        <w:rPr>
          <w:rFonts w:ascii="Palatino Linotype" w:hAnsi="Palatino Linotype"/>
          <w:b/>
          <w:sz w:val="24"/>
          <w:szCs w:val="24"/>
        </w:rPr>
        <w:t xml:space="preserve">2026 </w:t>
      </w:r>
      <w:r w:rsidRPr="002F366B">
        <w:rPr>
          <w:rFonts w:ascii="Palatino Linotype" w:hAnsi="Palatino Linotype"/>
          <w:sz w:val="24"/>
          <w:szCs w:val="24"/>
        </w:rPr>
        <w:t xml:space="preserve"> también lo es que respecto este último debe ajustarse la temporalidad del derecho al acceso a la información pues de lo contrario nos encontraríamos ante hechos futuros los cuales son materialmente imposibles de requerir por lo que </w:t>
      </w:r>
      <w:r w:rsidRPr="002F366B">
        <w:rPr>
          <w:rFonts w:ascii="Palatino Linotype" w:hAnsi="Palatino Linotype"/>
          <w:sz w:val="24"/>
          <w:szCs w:val="24"/>
          <w:u w:val="single"/>
        </w:rPr>
        <w:t>respecto el ejercicio 2026 en lo sucesivo se ajusta la temporalidad a la fecha en que se ejerció el derecho al acceso a la información es decir, del primero de enero al veintiséis de enero de dos mil veintiséis</w:t>
      </w:r>
      <w:r w:rsidRPr="002F366B">
        <w:rPr>
          <w:rFonts w:ascii="Palatino Linotype" w:hAnsi="Palatino Linotype"/>
          <w:sz w:val="24"/>
          <w:szCs w:val="24"/>
        </w:rPr>
        <w:t xml:space="preserve">. </w:t>
      </w:r>
    </w:p>
    <w:p w:rsidR="00187E9E" w:rsidRPr="002F366B" w:rsidRDefault="00187E9E" w:rsidP="00AA609F">
      <w:pPr>
        <w:spacing w:after="0" w:line="360" w:lineRule="auto"/>
        <w:jc w:val="both"/>
        <w:rPr>
          <w:rFonts w:ascii="Palatino Linotype" w:hAnsi="Palatino Linotype"/>
          <w:sz w:val="24"/>
          <w:szCs w:val="24"/>
        </w:rPr>
      </w:pPr>
    </w:p>
    <w:p w:rsidR="00AA609F" w:rsidRPr="002F366B" w:rsidRDefault="00AA609F" w:rsidP="00AA609F">
      <w:pPr>
        <w:spacing w:after="0" w:line="360" w:lineRule="auto"/>
        <w:jc w:val="both"/>
        <w:rPr>
          <w:rFonts w:ascii="Palatino Linotype" w:eastAsia="Times New Roman" w:hAnsi="Palatino Linotype" w:cs="Calibri"/>
          <w:sz w:val="24"/>
          <w:szCs w:val="24"/>
          <w:lang w:val="es-ES_tradnl" w:eastAsia="es-MX"/>
        </w:rPr>
      </w:pPr>
      <w:r w:rsidRPr="002F366B">
        <w:rPr>
          <w:rFonts w:ascii="Palatino Linotype" w:hAnsi="Palatino Linotype"/>
          <w:sz w:val="24"/>
          <w:szCs w:val="24"/>
        </w:rPr>
        <w:lastRenderedPageBreak/>
        <w:t>En este tenor, en alusión al requerimiento formulado por el particular, resulta oportuno traer a colación los artículos 23, 24, fracción XII de la Ley de Transparencia y Acceso a la Información Pública del Estado de México y Municipios, dispositivos jurídicos que disponen a la literalidad lo siguiente:</w:t>
      </w:r>
    </w:p>
    <w:p w:rsidR="00AA609F" w:rsidRPr="002F366B" w:rsidRDefault="00AA609F" w:rsidP="00AA609F">
      <w:pPr>
        <w:spacing w:after="0" w:line="360" w:lineRule="auto"/>
        <w:ind w:left="708"/>
        <w:jc w:val="both"/>
        <w:rPr>
          <w:rFonts w:ascii="Palatino Linotype" w:eastAsia="Times New Roman" w:hAnsi="Palatino Linotype" w:cs="Calibri"/>
          <w:i/>
          <w:sz w:val="24"/>
          <w:lang w:val="es-ES_tradnl" w:eastAsia="es-MX"/>
        </w:rPr>
      </w:pPr>
      <w:r w:rsidRPr="002F366B">
        <w:rPr>
          <w:rFonts w:ascii="Palatino Linotype" w:hAnsi="Palatino Linotype"/>
          <w:b/>
          <w:i/>
        </w:rPr>
        <w:t>Artículo 23. Son sujetos obligados a transparentar y permitir el acceso a su información y proteger los datos personales que obren en su poder</w:t>
      </w:r>
      <w:r w:rsidRPr="002F366B">
        <w:rPr>
          <w:rFonts w:ascii="Palatino Linotype" w:hAnsi="Palatino Linotype"/>
          <w:i/>
        </w:rPr>
        <w:t>: cualquier autoridad, entidad, órgano y organismo de los Poderes Ejecutivo, Legislativo y Judicial, órganos autónomos, partidos políticos, fideicomisos y fondos públicos, así como cualquier persona física, moral o sindicato que reciba y ejerza recursos públicos o realice actos de autoridad en los ámbitos federal, de las Entidades Federativas y municipal</w:t>
      </w:r>
    </w:p>
    <w:p w:rsidR="00AA609F" w:rsidRPr="002F366B" w:rsidRDefault="00AA609F" w:rsidP="00AA609F">
      <w:pPr>
        <w:spacing w:after="0" w:line="360" w:lineRule="auto"/>
        <w:jc w:val="both"/>
        <w:rPr>
          <w:rFonts w:ascii="Palatino Linotype" w:hAnsi="Palatino Linotype"/>
          <w:i/>
        </w:rPr>
      </w:pPr>
    </w:p>
    <w:p w:rsidR="00AA609F" w:rsidRPr="002F366B" w:rsidRDefault="00AA609F" w:rsidP="00AA609F">
      <w:pPr>
        <w:spacing w:after="0" w:line="360" w:lineRule="auto"/>
        <w:ind w:left="708"/>
        <w:jc w:val="both"/>
        <w:rPr>
          <w:rFonts w:ascii="Palatino Linotype" w:hAnsi="Palatino Linotype"/>
          <w:i/>
        </w:rPr>
      </w:pPr>
      <w:r w:rsidRPr="002F366B">
        <w:rPr>
          <w:rFonts w:ascii="Palatino Linotype" w:hAnsi="Palatino Linotype"/>
          <w:b/>
          <w:i/>
        </w:rPr>
        <w:t>Artículo 24</w:t>
      </w:r>
      <w:r w:rsidRPr="002F366B">
        <w:rPr>
          <w:rFonts w:ascii="Palatino Linotype" w:hAnsi="Palatino Linotype"/>
          <w:i/>
        </w:rPr>
        <w:t>. Para el cumplimiento de los objetivos de esta Ley, los sujetos obligados deberán cumplir con las siguientes obligaciones, según corresponda, de acuerdo a su naturaleza:</w:t>
      </w:r>
    </w:p>
    <w:p w:rsidR="00AA609F" w:rsidRPr="002F366B" w:rsidRDefault="00AA609F" w:rsidP="00AA609F">
      <w:pPr>
        <w:spacing w:after="0" w:line="360" w:lineRule="auto"/>
        <w:ind w:left="708"/>
        <w:jc w:val="both"/>
        <w:rPr>
          <w:rFonts w:ascii="Palatino Linotype" w:hAnsi="Palatino Linotype"/>
          <w:i/>
        </w:rPr>
      </w:pPr>
    </w:p>
    <w:p w:rsidR="00AA609F" w:rsidRPr="002F366B" w:rsidRDefault="00AA609F" w:rsidP="00187E9E">
      <w:pPr>
        <w:spacing w:after="0" w:line="360" w:lineRule="auto"/>
        <w:ind w:left="708"/>
        <w:jc w:val="both"/>
        <w:rPr>
          <w:rFonts w:ascii="Palatino Linotype" w:eastAsia="Times New Roman" w:hAnsi="Palatino Linotype" w:cs="Calibri"/>
          <w:i/>
          <w:sz w:val="24"/>
          <w:lang w:val="es-ES_tradnl" w:eastAsia="es-MX"/>
        </w:rPr>
      </w:pPr>
      <w:r w:rsidRPr="002F366B">
        <w:rPr>
          <w:rFonts w:ascii="Palatino Linotype" w:hAnsi="Palatino Linotype"/>
          <w:b/>
          <w:i/>
        </w:rPr>
        <w:t>XII</w:t>
      </w:r>
      <w:r w:rsidRPr="002F366B">
        <w:rPr>
          <w:rFonts w:ascii="Palatino Linotype" w:hAnsi="Palatino Linotype"/>
          <w:i/>
        </w:rPr>
        <w:t>. Difundir proactivamente información de interés público;</w:t>
      </w:r>
    </w:p>
    <w:p w:rsidR="00AA609F" w:rsidRPr="002F366B" w:rsidRDefault="00AA609F" w:rsidP="00AA609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2F366B">
        <w:rPr>
          <w:rFonts w:ascii="Palatino Linotype" w:hAnsi="Palatino Linotype"/>
          <w:sz w:val="24"/>
          <w:szCs w:val="24"/>
          <w:lang w:val="es-ES"/>
        </w:rPr>
        <w:t xml:space="preserve">Previo a iniciar el análisis de la información solicitada, se considera </w:t>
      </w:r>
      <w:r w:rsidRPr="002F366B">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2F366B">
        <w:rPr>
          <w:rFonts w:ascii="Palatino Linotype" w:eastAsia="Palatino Linotype" w:hAnsi="Palatino Linotype" w:cs="Palatino Linotype"/>
          <w:i/>
        </w:rPr>
        <w:t xml:space="preserve"> “De conformidad con los artículos antes referidos, el derecho de acceso a la información pública, se define en cuanto a su alcance y </w:t>
      </w:r>
      <w:r w:rsidRPr="002F366B">
        <w:rPr>
          <w:rFonts w:ascii="Palatino Linotype" w:eastAsia="Palatino Linotype" w:hAnsi="Palatino Linotype" w:cs="Palatino Linotype"/>
          <w:i/>
        </w:rPr>
        <w:lastRenderedPageBreak/>
        <w:t>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i/>
        </w:rPr>
        <w:t>En consecuencia el acceso a la información se refiere a que se cumplan cualquiera de los siguientes tres supuestos:</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AA609F" w:rsidRPr="002F366B" w:rsidRDefault="00AA609F" w:rsidP="00AA609F">
      <w:pPr>
        <w:spacing w:line="276" w:lineRule="auto"/>
        <w:ind w:left="567" w:right="567"/>
        <w:jc w:val="both"/>
        <w:rPr>
          <w:rFonts w:ascii="Palatino Linotype" w:eastAsia="Palatino Linotype" w:hAnsi="Palatino Linotype" w:cs="Palatino Linotype"/>
        </w:rPr>
      </w:pPr>
      <w:r w:rsidRPr="002F366B">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AA609F" w:rsidRPr="002F366B" w:rsidRDefault="00AA609F" w:rsidP="00AA609F">
      <w:pPr>
        <w:pStyle w:val="Prrafodelista"/>
        <w:tabs>
          <w:tab w:val="left" w:pos="426"/>
        </w:tabs>
        <w:spacing w:before="240" w:after="240"/>
        <w:ind w:left="0" w:right="51"/>
        <w:rPr>
          <w:rFonts w:ascii="Palatino Linotype" w:hAnsi="Palatino Linotype"/>
          <w:color w:val="000000" w:themeColor="text1"/>
          <w:sz w:val="24"/>
          <w:szCs w:val="24"/>
        </w:rPr>
      </w:pPr>
    </w:p>
    <w:p w:rsidR="00AA609F" w:rsidRPr="002F366B" w:rsidRDefault="00AA609F" w:rsidP="00AA609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2F366B">
        <w:rPr>
          <w:rFonts w:ascii="Palatino Linotype" w:hAnsi="Palatino Linotype"/>
          <w:color w:val="000000" w:themeColor="text1"/>
          <w:sz w:val="24"/>
          <w:szCs w:val="24"/>
        </w:rPr>
        <w:t xml:space="preserve">El </w:t>
      </w:r>
      <w:r w:rsidRPr="002F366B">
        <w:rPr>
          <w:rFonts w:ascii="Palatino Linotype" w:eastAsia="Palatino Linotype" w:hAnsi="Palatino Linotype" w:cs="Palatino Linotype"/>
          <w:color w:val="000000"/>
          <w:sz w:val="24"/>
          <w:szCs w:val="24"/>
        </w:rPr>
        <w:t>derecho de acceso a la información encuentra su materia elemental en los documentos, y la Ley de Transparencia local nos brinda el siguiente concepto</w:t>
      </w:r>
      <w:r w:rsidRPr="002F366B">
        <w:rPr>
          <w:rFonts w:ascii="Palatino Linotype" w:eastAsia="Palatino Linotype" w:hAnsi="Palatino Linotype" w:cs="Palatino Linotype"/>
          <w:color w:val="000000"/>
          <w:sz w:val="24"/>
          <w:szCs w:val="24"/>
          <w:vertAlign w:val="superscript"/>
        </w:rPr>
        <w:footnoteReference w:id="1"/>
      </w:r>
      <w:r w:rsidRPr="002F366B">
        <w:rPr>
          <w:rFonts w:ascii="Palatino Linotype" w:eastAsia="Palatino Linotype" w:hAnsi="Palatino Linotype" w:cs="Palatino Linotype"/>
          <w:color w:val="000000"/>
          <w:sz w:val="24"/>
          <w:szCs w:val="24"/>
        </w:rPr>
        <w:t>, para darnos un mejor panorama:</w:t>
      </w:r>
    </w:p>
    <w:p w:rsidR="00AA609F" w:rsidRPr="002F366B" w:rsidRDefault="00AA609F" w:rsidP="00AA609F">
      <w:pPr>
        <w:spacing w:line="360"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b/>
          <w:i/>
        </w:rPr>
        <w:t xml:space="preserve">“XI. Documento: </w:t>
      </w:r>
      <w:r w:rsidRPr="002F366B">
        <w:rPr>
          <w:rFonts w:ascii="Palatino Linotype" w:eastAsia="Palatino Linotype" w:hAnsi="Palatino Linotype" w:cs="Palatino Linotype"/>
          <w:b/>
          <w:bCs/>
          <w:i/>
        </w:rPr>
        <w:t>Los expedientes, reportes, estudios,</w:t>
      </w:r>
      <w:r w:rsidRPr="002F366B">
        <w:rPr>
          <w:rFonts w:ascii="Palatino Linotype" w:eastAsia="Palatino Linotype" w:hAnsi="Palatino Linotype" w:cs="Palatino Linotype"/>
          <w:b/>
          <w:i/>
        </w:rPr>
        <w:t xml:space="preserve"> actas, resoluciones, oficios, correspondencia, acuerdos, directivas, directrices, circulares, contratos, convenios, instructivos, notas, memorandos, estadísticas o</w:t>
      </w:r>
      <w:r w:rsidRPr="002F366B">
        <w:rPr>
          <w:rFonts w:ascii="Palatino Linotype" w:eastAsia="Palatino Linotype" w:hAnsi="Palatino Linotype" w:cs="Palatino Linotype"/>
          <w:i/>
        </w:rPr>
        <w:t xml:space="preserve"> bien, </w:t>
      </w:r>
      <w:r w:rsidRPr="002F366B">
        <w:rPr>
          <w:rFonts w:ascii="Palatino Linotype" w:eastAsia="Palatino Linotype" w:hAnsi="Palatino Linotype" w:cs="Palatino Linotype"/>
          <w:b/>
          <w:bCs/>
          <w:i/>
        </w:rPr>
        <w:t>cualquier</w:t>
      </w:r>
      <w:r w:rsidRPr="002F366B">
        <w:rPr>
          <w:rFonts w:ascii="Palatino Linotype" w:eastAsia="Palatino Linotype" w:hAnsi="Palatino Linotype" w:cs="Palatino Linotype"/>
          <w:i/>
        </w:rPr>
        <w:t xml:space="preserve"> otro </w:t>
      </w:r>
      <w:r w:rsidRPr="002F366B">
        <w:rPr>
          <w:rFonts w:ascii="Palatino Linotype" w:eastAsia="Palatino Linotype" w:hAnsi="Palatino Linotype" w:cs="Palatino Linotype"/>
          <w:b/>
          <w:bCs/>
          <w:i/>
        </w:rPr>
        <w:t>registro que documente el ejercicio de las facultades, funciones y competencias de los</w:t>
      </w:r>
      <w:r w:rsidRPr="002F366B">
        <w:rPr>
          <w:rFonts w:ascii="Palatino Linotype" w:eastAsia="Palatino Linotype" w:hAnsi="Palatino Linotype" w:cs="Palatino Linotype"/>
          <w:i/>
        </w:rPr>
        <w:t xml:space="preserve"> </w:t>
      </w:r>
      <w:r w:rsidRPr="002F366B">
        <w:rPr>
          <w:rFonts w:ascii="Palatino Linotype" w:eastAsia="Palatino Linotype" w:hAnsi="Palatino Linotype" w:cs="Palatino Linotype"/>
          <w:b/>
          <w:i/>
        </w:rPr>
        <w:t>sujetos obligados</w:t>
      </w:r>
      <w:r w:rsidRPr="002F366B">
        <w:rPr>
          <w:rFonts w:ascii="Palatino Linotype" w:eastAsia="Palatino Linotype" w:hAnsi="Palatino Linotype" w:cs="Palatino Linotype"/>
          <w:i/>
        </w:rPr>
        <w:t xml:space="preserve">, sus </w:t>
      </w:r>
      <w:r w:rsidRPr="002F366B">
        <w:rPr>
          <w:rFonts w:ascii="Palatino Linotype" w:eastAsia="Palatino Linotype" w:hAnsi="Palatino Linotype" w:cs="Palatino Linotype"/>
          <w:bCs/>
          <w:i/>
        </w:rPr>
        <w:t>servidores públicos</w:t>
      </w:r>
      <w:r w:rsidRPr="002F366B">
        <w:rPr>
          <w:rFonts w:ascii="Palatino Linotype" w:eastAsia="Palatino Linotype" w:hAnsi="Palatino Linotype" w:cs="Palatino Linotype"/>
          <w:i/>
        </w:rPr>
        <w:t xml:space="preserve"> e integrantes, sin importar su fuente o fecha de elaboración. Los documentos podrán estar en cualquier medio, sea escrito, impreso,  sonoro, visual, electrónico, informático u holográfico;”</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spacing w:line="360" w:lineRule="auto"/>
        <w:jc w:val="both"/>
        <w:rPr>
          <w:rFonts w:ascii="Palatino Linotype" w:hAnsi="Palatino Linotype" w:cs="Tahoma"/>
          <w:b/>
          <w:bCs/>
          <w:sz w:val="24"/>
          <w:szCs w:val="24"/>
          <w:lang w:val="es-ES" w:eastAsia="es-ES"/>
        </w:rPr>
      </w:pPr>
      <w:r w:rsidRPr="002F366B">
        <w:rPr>
          <w:rFonts w:ascii="Palatino Linotype" w:hAnsi="Palatino Linotype"/>
          <w:sz w:val="24"/>
          <w:szCs w:val="24"/>
        </w:rPr>
        <w:lastRenderedPageBreak/>
        <w:t xml:space="preserve">Atento a lo anterior, el </w:t>
      </w:r>
      <w:r w:rsidRPr="002F366B">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2F366B">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 xml:space="preserve">En este tenor, en alusión a los requerimientos formulados por el particular, resulta oportuno traer a colación los artículos 24, fracción XII y 92, fracciones XXIX y XXII de la Ley de Transparencia y Acceso a la Información Pública del Estado de México y Municipios, dispositivos jurídicos que disponen a la literalidad lo siguiente: </w:t>
      </w:r>
    </w:p>
    <w:p w:rsidR="00AA609F" w:rsidRPr="002F366B" w:rsidRDefault="00AA609F" w:rsidP="00AA609F">
      <w:pPr>
        <w:spacing w:line="360" w:lineRule="auto"/>
        <w:ind w:left="708"/>
        <w:jc w:val="both"/>
        <w:rPr>
          <w:rFonts w:ascii="Palatino Linotype" w:hAnsi="Palatino Linotype"/>
          <w:i/>
        </w:rPr>
      </w:pPr>
      <w:r w:rsidRPr="002F366B">
        <w:rPr>
          <w:rFonts w:ascii="Palatino Linotype" w:hAnsi="Palatino Linotype"/>
          <w:b/>
          <w:bCs/>
          <w:i/>
        </w:rPr>
        <w:t>Artículo 24</w:t>
      </w:r>
      <w:r w:rsidRPr="002F366B">
        <w:rPr>
          <w:rFonts w:ascii="Palatino Linotype" w:hAnsi="Palatino Linotype"/>
          <w:i/>
        </w:rPr>
        <w:t xml:space="preserve">. Para el cumplimiento de los objetivos de esta Ley, los sujetos obligados deberán cumplir con las siguientes obligaciones, según corresponda, de acuerdo a su naturaleza: </w:t>
      </w:r>
    </w:p>
    <w:p w:rsidR="00AA609F" w:rsidRPr="002F366B" w:rsidRDefault="00AA609F" w:rsidP="00AA609F">
      <w:pPr>
        <w:spacing w:line="360" w:lineRule="auto"/>
        <w:ind w:left="1416"/>
        <w:jc w:val="both"/>
        <w:rPr>
          <w:rFonts w:ascii="Palatino Linotype" w:hAnsi="Palatino Linotype"/>
          <w:i/>
          <w:sz w:val="24"/>
          <w:szCs w:val="24"/>
        </w:rPr>
      </w:pPr>
      <w:r w:rsidRPr="002F366B">
        <w:rPr>
          <w:rFonts w:ascii="Palatino Linotype" w:hAnsi="Palatino Linotype"/>
          <w:b/>
          <w:i/>
        </w:rPr>
        <w:t>XII.</w:t>
      </w:r>
      <w:r w:rsidRPr="002F366B">
        <w:rPr>
          <w:rFonts w:ascii="Palatino Linotype" w:hAnsi="Palatino Linotype"/>
          <w:i/>
        </w:rPr>
        <w:t xml:space="preserve"> Publicar y mantener actualizada la información relativa a las obligaciones generales de transparencia previstas en la presente Ley o determinadas así por el Instituto, y en general aquella que sea de interés público</w:t>
      </w:r>
      <w:r w:rsidRPr="002F366B">
        <w:rPr>
          <w:rFonts w:ascii="Palatino Linotype" w:hAnsi="Palatino Linotype"/>
          <w:i/>
          <w:sz w:val="24"/>
          <w:szCs w:val="24"/>
        </w:rPr>
        <w:t>;</w:t>
      </w:r>
    </w:p>
    <w:p w:rsidR="00AA609F" w:rsidRPr="002F366B" w:rsidRDefault="00AA609F" w:rsidP="00AA609F">
      <w:pPr>
        <w:spacing w:line="360" w:lineRule="auto"/>
        <w:ind w:left="708"/>
        <w:jc w:val="both"/>
        <w:rPr>
          <w:rFonts w:ascii="Palatino Linotype" w:hAnsi="Palatino Linotype"/>
          <w:i/>
          <w:sz w:val="24"/>
          <w:szCs w:val="24"/>
        </w:rPr>
      </w:pPr>
    </w:p>
    <w:p w:rsidR="00AA609F" w:rsidRPr="002F366B" w:rsidRDefault="00AA609F" w:rsidP="00AA609F">
      <w:pPr>
        <w:spacing w:line="360" w:lineRule="auto"/>
        <w:ind w:left="708"/>
        <w:jc w:val="both"/>
        <w:rPr>
          <w:rFonts w:ascii="Palatino Linotype" w:hAnsi="Palatino Linotype"/>
          <w:i/>
        </w:rPr>
      </w:pPr>
      <w:r w:rsidRPr="002F366B">
        <w:rPr>
          <w:rFonts w:ascii="Palatino Linotype" w:hAnsi="Palatino Linotype"/>
          <w:i/>
          <w:sz w:val="24"/>
          <w:szCs w:val="24"/>
        </w:rPr>
        <w:t xml:space="preserve"> </w:t>
      </w:r>
      <w:r w:rsidRPr="002F366B">
        <w:rPr>
          <w:rFonts w:ascii="Palatino Linotype" w:hAnsi="Palatino Linotype"/>
          <w:b/>
          <w:bCs/>
          <w:i/>
        </w:rPr>
        <w:t>Artículo 92.</w:t>
      </w:r>
      <w:r w:rsidRPr="002F366B">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AA609F" w:rsidRPr="002F366B" w:rsidRDefault="00AA609F" w:rsidP="00AA609F">
      <w:pPr>
        <w:spacing w:line="360" w:lineRule="auto"/>
        <w:ind w:left="708" w:firstLine="708"/>
        <w:jc w:val="both"/>
        <w:rPr>
          <w:rFonts w:ascii="Palatino Linotype" w:hAnsi="Palatino Linotype"/>
          <w:i/>
        </w:rPr>
      </w:pPr>
      <w:r w:rsidRPr="002F366B">
        <w:rPr>
          <w:rFonts w:ascii="Palatino Linotype" w:hAnsi="Palatino Linotype"/>
          <w:i/>
        </w:rPr>
        <w:t>…</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 xml:space="preserve">XXIX. La información sobre los procesos y resultados sobre procedimientos de </w:t>
      </w:r>
      <w:r w:rsidRPr="002F366B">
        <w:rPr>
          <w:rFonts w:ascii="Palatino Linotype" w:hAnsi="Palatino Linotype"/>
          <w:i/>
          <w:iCs/>
          <w:u w:val="single"/>
        </w:rPr>
        <w:t>adjudicación directa</w:t>
      </w:r>
      <w:r w:rsidRPr="002F366B">
        <w:rPr>
          <w:rFonts w:ascii="Palatino Linotype" w:hAnsi="Palatino Linotype"/>
          <w:i/>
          <w:iCs/>
        </w:rPr>
        <w:t xml:space="preserve">, invitación restringida y licitación de cualquier naturaleza, </w:t>
      </w:r>
      <w:r w:rsidRPr="002F366B">
        <w:rPr>
          <w:rFonts w:ascii="Palatino Linotype" w:hAnsi="Palatino Linotype"/>
          <w:i/>
          <w:iCs/>
        </w:rPr>
        <w:lastRenderedPageBreak/>
        <w:t>incluyendo la versión pública del expediente respectivo y de los contratos celebrados, que deberán contener, por los menos, lo siguiente:</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a) De licitaciones públicas o procedimientos de invitación restringida: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1) La convocatoria o invitación emitida, así como los fundamentos legales aplicados para llevarla a cabo;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2) Los nombres de los participantes o invitados;</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 3) El nombre del ganador y las razones que lo justifican;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4) El área solicitante y la responsable de su ejecución;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5) Las convocatorias e invitaciones emitidas; </w:t>
      </w:r>
    </w:p>
    <w:p w:rsidR="00AA609F" w:rsidRPr="002F366B" w:rsidRDefault="00AA609F" w:rsidP="00AA609F">
      <w:pPr>
        <w:spacing w:line="360" w:lineRule="auto"/>
        <w:ind w:left="1416" w:firstLine="60"/>
        <w:jc w:val="both"/>
        <w:rPr>
          <w:i/>
          <w:iCs/>
        </w:rPr>
      </w:pPr>
      <w:r w:rsidRPr="002F366B">
        <w:rPr>
          <w:rFonts w:ascii="Palatino Linotype" w:hAnsi="Palatino Linotype"/>
          <w:i/>
          <w:iCs/>
        </w:rPr>
        <w:t>6) Los dictámenes y fallo de adjudicación;</w:t>
      </w:r>
      <w:r w:rsidRPr="002F366B">
        <w:rPr>
          <w:i/>
          <w:iCs/>
        </w:rPr>
        <w:t xml:space="preserve">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7) </w:t>
      </w:r>
      <w:r w:rsidRPr="002F366B">
        <w:rPr>
          <w:rFonts w:ascii="Palatino Linotype" w:hAnsi="Palatino Linotype"/>
          <w:i/>
          <w:iCs/>
          <w:u w:val="single"/>
        </w:rPr>
        <w:t>El contrato y, en su caso, sus anexos</w:t>
      </w:r>
      <w:r w:rsidRPr="002F366B">
        <w:rPr>
          <w:rFonts w:ascii="Palatino Linotype" w:hAnsi="Palatino Linotype"/>
          <w:i/>
          <w:iCs/>
        </w:rPr>
        <w:t xml:space="preserve">;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8) Los mecanismos de vigilancia y supervisión, incluyendo en su caso, los estudios de impacto urbano y ambiental, según corresponda;</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 9) La partida presupuestal, de conformidad con el clasificador por objeto del gasto, en el caso de ser aplicable;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10) Origen de los recursos especificando si son federales, estatales o municipales, así como el tipo de fondo de participación o aportación respectiva;</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 11) Los convenios modificatorios que, en su caso, sean firmados, precisando el objeto y la fecha de celebración;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12) Los informes de avance físico y financiero sobre las obras o servicios contratados;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13) El convenio de terminación; y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lastRenderedPageBreak/>
        <w:t>14) El finiquito.</w:t>
      </w:r>
    </w:p>
    <w:p w:rsidR="00AA609F" w:rsidRPr="002F366B" w:rsidRDefault="00AA609F" w:rsidP="00AA609F">
      <w:pPr>
        <w:spacing w:line="360" w:lineRule="auto"/>
        <w:ind w:left="1416" w:firstLine="60"/>
        <w:jc w:val="both"/>
        <w:rPr>
          <w:rFonts w:ascii="Palatino Linotype" w:hAnsi="Palatino Linotype"/>
          <w:i/>
          <w:iCs/>
        </w:rPr>
      </w:pP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 b) </w:t>
      </w:r>
      <w:r w:rsidRPr="002F366B">
        <w:rPr>
          <w:rFonts w:ascii="Palatino Linotype" w:hAnsi="Palatino Linotype"/>
          <w:i/>
          <w:iCs/>
          <w:u w:val="single"/>
        </w:rPr>
        <w:t>De las adjudicaciones directas:</w:t>
      </w:r>
      <w:r w:rsidRPr="002F366B">
        <w:rPr>
          <w:rFonts w:ascii="Palatino Linotype" w:hAnsi="Palatino Linotype"/>
          <w:i/>
          <w:iCs/>
        </w:rPr>
        <w:t xml:space="preserve">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1) La propuesta enviada por el participante;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2) Los motivos y fundamentos legales aplicados para llevarla a cabo;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3) La autorización del ejercicio de la opción;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4) En su caso, las cotizaciones consideradas, especificando los nombres de los proveedores y sus montos;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 xml:space="preserve">5) El nombre de la persona física o jurídica colectiva adjudicada; </w:t>
      </w:r>
    </w:p>
    <w:p w:rsidR="00AA609F" w:rsidRPr="002F366B" w:rsidRDefault="00AA609F" w:rsidP="00AA609F">
      <w:pPr>
        <w:spacing w:line="360" w:lineRule="auto"/>
        <w:ind w:left="1416" w:firstLine="60"/>
        <w:jc w:val="both"/>
        <w:rPr>
          <w:rFonts w:ascii="Palatino Linotype" w:hAnsi="Palatino Linotype"/>
          <w:i/>
          <w:iCs/>
        </w:rPr>
      </w:pPr>
      <w:r w:rsidRPr="002F366B">
        <w:rPr>
          <w:rFonts w:ascii="Palatino Linotype" w:hAnsi="Palatino Linotype"/>
          <w:i/>
          <w:iCs/>
        </w:rPr>
        <w:t>6) La unidad administrativa solicitante y la responsable de su ejecución</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 xml:space="preserve"> 7</w:t>
      </w:r>
      <w:r w:rsidRPr="002F366B">
        <w:rPr>
          <w:rFonts w:ascii="Palatino Linotype" w:hAnsi="Palatino Linotype"/>
          <w:i/>
          <w:iCs/>
          <w:u w:val="single"/>
        </w:rPr>
        <w:t>) El número, fecha, el monto del contrato y el plazo de entrega o de ejecución de los servicios u obra;</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 xml:space="preserve"> 8) Los mecanismos de vigilancia y supervisión, incluyendo, en su caso, los estudios de impacto urbano y ambiental, según corresponda;</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 xml:space="preserve"> 9) Los informes de avance sobre las obras o servicios contratados; </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 xml:space="preserve">10) El convenio de terminación; y </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11) El finiquito.</w:t>
      </w:r>
    </w:p>
    <w:p w:rsidR="00AA609F" w:rsidRPr="002F366B" w:rsidRDefault="00AA609F" w:rsidP="00AA609F">
      <w:pPr>
        <w:spacing w:line="360" w:lineRule="auto"/>
        <w:ind w:left="708" w:firstLine="708"/>
        <w:jc w:val="both"/>
        <w:rPr>
          <w:rFonts w:ascii="Palatino Linotype" w:hAnsi="Palatino Linotype"/>
          <w:i/>
          <w:iCs/>
        </w:rPr>
      </w:pPr>
      <w:r w:rsidRPr="002F366B">
        <w:rPr>
          <w:rFonts w:ascii="Palatino Linotype" w:hAnsi="Palatino Linotype"/>
          <w:i/>
          <w:iCs/>
        </w:rPr>
        <w:t>…</w:t>
      </w:r>
    </w:p>
    <w:p w:rsidR="00AA609F" w:rsidRPr="002F366B" w:rsidRDefault="00AA609F" w:rsidP="00AA609F">
      <w:pPr>
        <w:spacing w:line="360" w:lineRule="auto"/>
        <w:ind w:left="1416"/>
        <w:jc w:val="both"/>
        <w:rPr>
          <w:rFonts w:ascii="Palatino Linotype" w:hAnsi="Palatino Linotype"/>
          <w:i/>
          <w:iCs/>
        </w:rPr>
      </w:pPr>
      <w:r w:rsidRPr="002F366B">
        <w:rPr>
          <w:rFonts w:ascii="Palatino Linotype" w:hAnsi="Palatino Linotype"/>
          <w:i/>
          <w:iCs/>
        </w:rPr>
        <w:t xml:space="preserve">XXXII. Las concesiones, </w:t>
      </w:r>
      <w:r w:rsidRPr="002F366B">
        <w:rPr>
          <w:rFonts w:ascii="Palatino Linotype" w:hAnsi="Palatino Linotype"/>
          <w:i/>
          <w:iCs/>
          <w:u w:val="single"/>
        </w:rPr>
        <w:t>contratos,</w:t>
      </w:r>
      <w:r w:rsidRPr="002F366B">
        <w:rPr>
          <w:rFonts w:ascii="Palatino Linotype" w:hAnsi="Palatino Linotype"/>
          <w:i/>
          <w:iCs/>
        </w:rPr>
        <w:t xml:space="preserve"> convenios, permisos, licencias o autorizaciones otorgados, especificando los titulares de aquéllos, debiendo publicarse su objeto, nombre o razón social del titular, vigencia, tipo, términos, condiciones, monto y modificaciones, </w:t>
      </w:r>
      <w:r w:rsidRPr="002F366B">
        <w:rPr>
          <w:rFonts w:ascii="Palatino Linotype" w:hAnsi="Palatino Linotype"/>
          <w:i/>
          <w:iCs/>
        </w:rPr>
        <w:lastRenderedPageBreak/>
        <w:t>así como si el procedimiento involucra el aprovechamiento de bienes, servicios y/o recursos públicos;</w:t>
      </w: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hAnsi="Palatino Linotype"/>
          <w:sz w:val="24"/>
          <w:szCs w:val="24"/>
        </w:rPr>
        <w:t>De lo anterior, se debe</w:t>
      </w:r>
      <w:r w:rsidRPr="002F366B">
        <w:t xml:space="preserve"> </w:t>
      </w:r>
      <w:r w:rsidRPr="002F366B">
        <w:rPr>
          <w:rFonts w:ascii="Palatino Linotype" w:hAnsi="Palatino Linotype"/>
          <w:sz w:val="24"/>
          <w:szCs w:val="24"/>
        </w:rPr>
        <w:t xml:space="preserve">señalar que el conforme los artículos 93 y 95 fracciones I y IV de la Ley Orgánica Municipal del Estado de México en los que se establece que la Tesorería es la dependencia administrativa que </w:t>
      </w:r>
      <w:r w:rsidR="00015F71" w:rsidRPr="002F366B">
        <w:rPr>
          <w:rFonts w:ascii="Palatino Linotype" w:hAnsi="Palatino Linotype"/>
          <w:sz w:val="24"/>
          <w:szCs w:val="24"/>
        </w:rPr>
        <w:t>constituye el Municipio la cual</w:t>
      </w:r>
      <w:r w:rsidRPr="002F366B">
        <w:rPr>
          <w:rFonts w:ascii="Palatino Linotype" w:hAnsi="Palatino Linotype"/>
          <w:sz w:val="24"/>
          <w:szCs w:val="24"/>
        </w:rPr>
        <w:t xml:space="preserve"> se encarga de consolidar los proyectos de presupuestos de las diferentes dependencias de la Administración Pública Municipal, proponer al Ayuntamiento por conducto del Presidente Municipal, las políticas, estrategias y campañas para incrementar los ingresos de la Hacienda Pública Municipal.</w:t>
      </w:r>
    </w:p>
    <w:p w:rsidR="00AA609F" w:rsidRPr="002F366B" w:rsidRDefault="00AA609F" w:rsidP="00AA609F">
      <w:pPr>
        <w:pStyle w:val="Prrafodelista"/>
        <w:tabs>
          <w:tab w:val="left" w:pos="426"/>
        </w:tabs>
        <w:spacing w:before="240" w:after="240" w:line="360" w:lineRule="auto"/>
        <w:ind w:left="0" w:right="51"/>
        <w:jc w:val="both"/>
        <w:rPr>
          <w:rFonts w:ascii="Palatino Linotype" w:hAnsi="Palatino Linotype" w:cs="Arial"/>
          <w:sz w:val="24"/>
          <w:szCs w:val="24"/>
        </w:rPr>
      </w:pPr>
    </w:p>
    <w:p w:rsidR="00AA609F" w:rsidRPr="002F366B" w:rsidRDefault="00AA609F" w:rsidP="00AA609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2F366B">
        <w:rPr>
          <w:rFonts w:ascii="Palatino Linotype" w:hAnsi="Palatino Linotype" w:cs="Arial"/>
          <w:sz w:val="24"/>
          <w:szCs w:val="24"/>
        </w:rPr>
        <w:t>Bajo ese contexto, es de recordarse que, p</w:t>
      </w:r>
      <w:r w:rsidRPr="002F366B">
        <w:rPr>
          <w:rFonts w:ascii="Palatino Linotype" w:hAnsi="Palatino Linotype"/>
          <w:color w:val="000000" w:themeColor="text1"/>
          <w:sz w:val="24"/>
          <w:szCs w:val="24"/>
        </w:rPr>
        <w:t xml:space="preserve">ara atender las solicitudes de información, los Sujetos Obligados contarán con un área denominada </w:t>
      </w:r>
      <w:r w:rsidRPr="002F366B">
        <w:rPr>
          <w:rFonts w:ascii="Palatino Linotype" w:hAnsi="Palatino Linotype"/>
          <w:b/>
          <w:bCs/>
          <w:color w:val="000000" w:themeColor="text1"/>
          <w:sz w:val="24"/>
          <w:szCs w:val="24"/>
        </w:rPr>
        <w:t>Unidad de Transparencia</w:t>
      </w:r>
      <w:r w:rsidRPr="002F366B">
        <w:rPr>
          <w:rFonts w:ascii="Palatino Linotype" w:hAnsi="Palatino Linotype"/>
          <w:color w:val="000000" w:themeColor="text1"/>
          <w:sz w:val="24"/>
          <w:szCs w:val="24"/>
          <w:vertAlign w:val="superscript"/>
        </w:rPr>
        <w:footnoteReference w:id="2"/>
      </w:r>
      <w:r w:rsidRPr="002F366B">
        <w:rPr>
          <w:rFonts w:ascii="Palatino Linotype" w:hAnsi="Palatino Linotype"/>
          <w:color w:val="000000" w:themeColor="text1"/>
          <w:sz w:val="24"/>
          <w:szCs w:val="24"/>
        </w:rPr>
        <w:t xml:space="preserve">, la cual será presidida por un Titular, quien fungirá como enlace entre éstos y los solicitantes. Dicha Unidad </w:t>
      </w:r>
      <w:r w:rsidRPr="002F366B">
        <w:rPr>
          <w:rFonts w:ascii="Palatino Linotype" w:hAnsi="Palatino Linotype"/>
          <w:b/>
          <w:bCs/>
          <w:color w:val="000000" w:themeColor="text1"/>
          <w:sz w:val="24"/>
          <w:szCs w:val="24"/>
        </w:rPr>
        <w:t>será la encargada de tramitar internamente la solicitud de información</w:t>
      </w:r>
      <w:r w:rsidRPr="002F366B">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2F366B">
        <w:rPr>
          <w:rFonts w:ascii="Palatino Linotype" w:hAnsi="Palatino Linotype"/>
          <w:b/>
          <w:bCs/>
          <w:color w:val="000000" w:themeColor="text1"/>
          <w:sz w:val="24"/>
          <w:szCs w:val="24"/>
        </w:rPr>
        <w:t xml:space="preserve">gestionar la atención a las solicitudes de información </w:t>
      </w:r>
      <w:r w:rsidRPr="002F366B">
        <w:rPr>
          <w:rFonts w:ascii="Palatino Linotype" w:hAnsi="Palatino Linotype"/>
          <w:color w:val="000000" w:themeColor="text1"/>
          <w:sz w:val="24"/>
          <w:szCs w:val="24"/>
        </w:rPr>
        <w:t>en los términos de la Ley General y la Ley de Transparencia y Acceso a la Información Pública del Estado de México y Municipios</w:t>
      </w:r>
      <w:r w:rsidRPr="002F366B">
        <w:rPr>
          <w:rFonts w:ascii="Palatino Linotype" w:hAnsi="Palatino Linotype"/>
          <w:color w:val="000000" w:themeColor="text1"/>
          <w:sz w:val="24"/>
          <w:szCs w:val="24"/>
          <w:vertAlign w:val="superscript"/>
        </w:rPr>
        <w:footnoteReference w:id="3"/>
      </w:r>
      <w:r w:rsidRPr="002F366B">
        <w:rPr>
          <w:rFonts w:ascii="Palatino Linotype" w:hAnsi="Palatino Linotype"/>
          <w:color w:val="000000" w:themeColor="text1"/>
          <w:sz w:val="24"/>
          <w:szCs w:val="24"/>
        </w:rPr>
        <w:t>.</w:t>
      </w:r>
    </w:p>
    <w:p w:rsidR="00AA609F" w:rsidRPr="002F366B" w:rsidRDefault="00AA609F" w:rsidP="00AA609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rsidR="00AA609F" w:rsidRPr="002F366B" w:rsidRDefault="00AA609F" w:rsidP="00AA609F">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2F366B">
        <w:rPr>
          <w:rFonts w:ascii="Palatino Linotype" w:hAnsi="Palatino Linotype"/>
          <w:sz w:val="24"/>
          <w:szCs w:val="24"/>
        </w:rPr>
        <w:lastRenderedPageBreak/>
        <w:t xml:space="preserve">De </w:t>
      </w:r>
      <w:r w:rsidRPr="002F366B">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rsidR="00AA609F" w:rsidRPr="002F366B" w:rsidRDefault="00AA609F" w:rsidP="00AA609F">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2F366B">
        <w:rPr>
          <w:rFonts w:ascii="Palatino Linotype" w:eastAsia="MS Mincho" w:hAnsi="Palatino Linotype"/>
          <w:i/>
          <w:iCs/>
          <w:color w:val="000000"/>
        </w:rPr>
        <w:t>Recibir, tramitar y dar respuesta a las solicitudes de acceso a la información;</w:t>
      </w:r>
    </w:p>
    <w:p w:rsidR="00AA609F" w:rsidRPr="002F366B" w:rsidRDefault="00AA609F" w:rsidP="00AA609F">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2F366B">
        <w:rPr>
          <w:rFonts w:ascii="Palatino Linotype" w:eastAsia="MS Mincho" w:hAnsi="Palatino Linotype"/>
          <w:i/>
          <w:iCs/>
          <w:color w:val="000000"/>
        </w:rPr>
        <w:t xml:space="preserve">Realizar, con efectividad, los trámites internos necesarios para la atención de las solicitudes de acceso a la información; </w:t>
      </w:r>
    </w:p>
    <w:p w:rsidR="00AA609F" w:rsidRPr="002F366B" w:rsidRDefault="00AA609F" w:rsidP="00AA609F">
      <w:pPr>
        <w:pStyle w:val="Prrafodelista"/>
        <w:numPr>
          <w:ilvl w:val="1"/>
          <w:numId w:val="11"/>
        </w:numPr>
        <w:tabs>
          <w:tab w:val="left" w:pos="426"/>
        </w:tabs>
        <w:spacing w:before="240" w:after="240" w:line="360" w:lineRule="auto"/>
        <w:ind w:left="1134" w:right="51"/>
        <w:jc w:val="both"/>
        <w:rPr>
          <w:rFonts w:ascii="Palatino Linotype" w:eastAsia="MS Mincho" w:hAnsi="Palatino Linotype"/>
          <w:i/>
          <w:iCs/>
          <w:color w:val="000000"/>
        </w:rPr>
      </w:pPr>
      <w:r w:rsidRPr="002F366B">
        <w:rPr>
          <w:rFonts w:ascii="Palatino Linotype" w:eastAsia="MS Mincho" w:hAnsi="Palatino Linotype"/>
          <w:i/>
          <w:iCs/>
          <w:color w:val="000000"/>
        </w:rPr>
        <w:t xml:space="preserve">Entregar, en su caso, a los particulares la información solicitada; y </w:t>
      </w:r>
    </w:p>
    <w:p w:rsidR="00AA609F" w:rsidRPr="002F366B" w:rsidRDefault="00AA609F" w:rsidP="00AA609F">
      <w:pPr>
        <w:pStyle w:val="Prrafodelista"/>
        <w:numPr>
          <w:ilvl w:val="1"/>
          <w:numId w:val="11"/>
        </w:numPr>
        <w:tabs>
          <w:tab w:val="left" w:pos="426"/>
        </w:tabs>
        <w:spacing w:before="240" w:after="240" w:line="360" w:lineRule="auto"/>
        <w:ind w:left="1134" w:right="51"/>
        <w:jc w:val="both"/>
        <w:rPr>
          <w:rFonts w:ascii="Palatino Linotype" w:hAnsi="Palatino Linotype"/>
          <w:i/>
          <w:iCs/>
          <w:color w:val="000000" w:themeColor="text1"/>
        </w:rPr>
      </w:pPr>
      <w:r w:rsidRPr="002F366B">
        <w:rPr>
          <w:rFonts w:ascii="Palatino Linotype" w:eastAsia="MS Mincho" w:hAnsi="Palatino Linotype"/>
          <w:i/>
          <w:iCs/>
          <w:color w:val="000000"/>
        </w:rPr>
        <w:t>Efectuar las notificaciones a los solicitantes.</w:t>
      </w:r>
    </w:p>
    <w:p w:rsidR="00AA609F" w:rsidRPr="002F366B" w:rsidRDefault="00AA609F" w:rsidP="00AA609F">
      <w:pPr>
        <w:spacing w:line="360" w:lineRule="auto"/>
        <w:jc w:val="both"/>
        <w:rPr>
          <w:rFonts w:ascii="Palatino Linotype" w:eastAsia="MS Mincho" w:hAnsi="Palatino Linotype"/>
          <w:color w:val="000000"/>
        </w:rPr>
      </w:pPr>
      <w:r w:rsidRPr="002F366B">
        <w:rPr>
          <w:rFonts w:ascii="Palatino Linotype" w:hAnsi="Palatino Linotype"/>
          <w:sz w:val="24"/>
          <w:szCs w:val="24"/>
        </w:rPr>
        <w:t xml:space="preserve">De tal </w:t>
      </w:r>
      <w:r w:rsidRPr="002F366B">
        <w:rPr>
          <w:rFonts w:ascii="Palatino Linotype" w:eastAsia="MS Mincho" w:hAnsi="Palatino Linotype"/>
          <w:color w:val="000000"/>
          <w:sz w:val="24"/>
          <w:szCs w:val="24"/>
        </w:rPr>
        <w:t xml:space="preserve">manera que cada una de las áreas administrativas del </w:t>
      </w:r>
      <w:r w:rsidRPr="002F366B">
        <w:rPr>
          <w:rFonts w:ascii="Palatino Linotype" w:eastAsia="MS Mincho" w:hAnsi="Palatino Linotype"/>
          <w:b/>
          <w:bCs/>
          <w:color w:val="000000"/>
          <w:sz w:val="24"/>
          <w:szCs w:val="24"/>
        </w:rPr>
        <w:t>SUJETO OBLIGADO</w:t>
      </w:r>
      <w:r w:rsidRPr="002F366B">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r w:rsidRPr="002F366B">
        <w:rPr>
          <w:rFonts w:ascii="Palatino Linotype" w:eastAsia="MS Mincho" w:hAnsi="Palatino Linotype"/>
          <w:color w:val="000000"/>
        </w:rPr>
        <w:t>.</w:t>
      </w:r>
    </w:p>
    <w:p w:rsidR="00AA609F" w:rsidRPr="002F366B" w:rsidRDefault="00AA609F" w:rsidP="00AA609F">
      <w:pPr>
        <w:spacing w:line="360" w:lineRule="auto"/>
        <w:jc w:val="both"/>
        <w:rPr>
          <w:rFonts w:ascii="Palatino Linotype" w:eastAsia="MS Mincho" w:hAnsi="Palatino Linotype"/>
          <w:color w:val="000000"/>
        </w:rPr>
      </w:pPr>
    </w:p>
    <w:p w:rsidR="00AA609F" w:rsidRPr="002F366B" w:rsidRDefault="00AA609F" w:rsidP="00AA609F">
      <w:pPr>
        <w:spacing w:line="360" w:lineRule="auto"/>
        <w:jc w:val="both"/>
        <w:rPr>
          <w:rFonts w:ascii="Palatino Linotype" w:hAnsi="Palatino Linotype"/>
          <w:sz w:val="24"/>
          <w:szCs w:val="24"/>
        </w:rPr>
      </w:pPr>
      <w:r w:rsidRPr="002F366B">
        <w:rPr>
          <w:rFonts w:ascii="Palatino Linotype" w:eastAsia="MS Mincho" w:hAnsi="Palatino Linotype"/>
          <w:color w:val="000000"/>
          <w:sz w:val="24"/>
          <w:szCs w:val="24"/>
        </w:rPr>
        <w:t xml:space="preserve">Por lo que en uso de sus atribuciones la Titular de la Unidad de Transparencia dirigió la solicitud de información a la unidad administrativa </w:t>
      </w:r>
      <w:r w:rsidR="00015F71" w:rsidRPr="002F366B">
        <w:rPr>
          <w:rFonts w:ascii="Palatino Linotype" w:eastAsia="MS Mincho" w:hAnsi="Palatino Linotype"/>
          <w:color w:val="000000"/>
          <w:sz w:val="24"/>
          <w:szCs w:val="24"/>
        </w:rPr>
        <w:t>de Adquisiciones</w:t>
      </w:r>
      <w:r w:rsidRPr="002F366B">
        <w:rPr>
          <w:rFonts w:ascii="Palatino Linotype" w:eastAsia="MS Mincho" w:hAnsi="Palatino Linotype"/>
          <w:color w:val="000000"/>
          <w:sz w:val="24"/>
          <w:szCs w:val="24"/>
        </w:rPr>
        <w:t xml:space="preserve"> sin embargo de las constancias que integran el Sistema de Acceso a la Información Mexiquense (SAIMEX) </w:t>
      </w:r>
      <w:r w:rsidRPr="002F366B">
        <w:rPr>
          <w:rFonts w:ascii="Palatino Linotype" w:eastAsia="MS Mincho" w:hAnsi="Palatino Linotype"/>
          <w:b/>
          <w:bCs/>
          <w:color w:val="000000"/>
          <w:sz w:val="24"/>
          <w:szCs w:val="24"/>
        </w:rPr>
        <w:t>no se le turno la solicitud de información</w:t>
      </w:r>
      <w:r w:rsidRPr="002F366B">
        <w:rPr>
          <w:rFonts w:ascii="Palatino Linotype" w:eastAsia="MS Mincho" w:hAnsi="Palatino Linotype"/>
          <w:color w:val="000000"/>
          <w:sz w:val="24"/>
          <w:szCs w:val="24"/>
        </w:rPr>
        <w:t xml:space="preserve"> de manera enunciativa mas no limitativa a la Tesorería Municipal así como a la Dirección de Obras Públicas pues son las unidades administrativas que en el ámbito de sus atribuciones podrían generar, poseer y administrar la información requerida por el Recurrente</w:t>
      </w:r>
      <w:r w:rsidRPr="002F366B">
        <w:rPr>
          <w:rFonts w:ascii="Palatino Linotype" w:hAnsi="Palatino Linotype"/>
          <w:sz w:val="24"/>
          <w:szCs w:val="24"/>
        </w:rPr>
        <w:t>.</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2F366B">
        <w:rPr>
          <w:rFonts w:ascii="Palatino Linotype" w:hAnsi="Palatino Linotype"/>
          <w:sz w:val="24"/>
          <w:szCs w:val="24"/>
          <w:lang w:val="es-ES"/>
        </w:rPr>
        <w:lastRenderedPageBreak/>
        <w:t xml:space="preserve">Así mismo, dada la naturaleza de la información requerida es </w:t>
      </w:r>
      <w:r w:rsidRPr="002F366B">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2F366B">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i/>
        </w:rPr>
        <w:t>En consecuencia el acceso a la información se refiere a que se cumplan cualquiera de los siguientes tres supuestos:</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AA609F" w:rsidRPr="002F366B" w:rsidRDefault="00AA609F" w:rsidP="00AA609F">
      <w:pPr>
        <w:spacing w:line="276" w:lineRule="auto"/>
        <w:ind w:left="567" w:right="567"/>
        <w:jc w:val="both"/>
        <w:rPr>
          <w:rFonts w:ascii="Palatino Linotype" w:eastAsia="Palatino Linotype" w:hAnsi="Palatino Linotype" w:cs="Palatino Linotype"/>
          <w:i/>
        </w:rPr>
      </w:pPr>
      <w:r w:rsidRPr="002F366B">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AA609F" w:rsidRPr="002F366B" w:rsidRDefault="00AA609F" w:rsidP="00AA609F">
      <w:pPr>
        <w:spacing w:line="276" w:lineRule="auto"/>
        <w:ind w:left="567" w:right="567"/>
        <w:jc w:val="both"/>
        <w:rPr>
          <w:rFonts w:ascii="Palatino Linotype" w:eastAsia="Palatino Linotype" w:hAnsi="Palatino Linotype" w:cs="Palatino Linotype"/>
        </w:rPr>
      </w:pPr>
      <w:r w:rsidRPr="002F366B">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AA609F" w:rsidRPr="002F366B" w:rsidRDefault="00AA609F" w:rsidP="00AA609F">
      <w:pPr>
        <w:pStyle w:val="Prrafodelista"/>
        <w:tabs>
          <w:tab w:val="left" w:pos="426"/>
        </w:tabs>
        <w:spacing w:before="240" w:after="240"/>
        <w:ind w:left="0" w:right="51"/>
        <w:rPr>
          <w:rFonts w:ascii="Palatino Linotype" w:hAnsi="Palatino Linotype"/>
          <w:color w:val="000000" w:themeColor="text1"/>
          <w:sz w:val="24"/>
          <w:szCs w:val="24"/>
        </w:rPr>
      </w:pPr>
    </w:p>
    <w:p w:rsidR="00AA609F" w:rsidRPr="002F366B" w:rsidRDefault="00AA609F" w:rsidP="00AA609F">
      <w:pPr>
        <w:spacing w:line="360" w:lineRule="auto"/>
        <w:jc w:val="both"/>
        <w:rPr>
          <w:rFonts w:ascii="Palatino Linotype" w:hAnsi="Palatino Linotype" w:cs="Tahoma"/>
          <w:b/>
          <w:bCs/>
          <w:sz w:val="24"/>
          <w:szCs w:val="24"/>
          <w:lang w:val="es-ES" w:eastAsia="es-ES"/>
        </w:rPr>
      </w:pPr>
      <w:r w:rsidRPr="002F366B">
        <w:rPr>
          <w:rFonts w:ascii="Palatino Linotype" w:hAnsi="Palatino Linotype"/>
          <w:sz w:val="24"/>
          <w:szCs w:val="24"/>
        </w:rPr>
        <w:t xml:space="preserve">Atento a lo anterior, el </w:t>
      </w:r>
      <w:r w:rsidRPr="002F366B">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2F366B">
        <w:rPr>
          <w:rFonts w:ascii="Palatino Linotype" w:hAnsi="Palatino Linotype" w:cs="Tahoma"/>
          <w:b/>
          <w:bCs/>
          <w:sz w:val="24"/>
          <w:szCs w:val="24"/>
          <w:lang w:val="es-ES" w:eastAsia="es-ES"/>
        </w:rPr>
        <w:t xml:space="preserve">toda la información que sea generada, obtenida, adquirida, transformada, administrada o se encuentre en </w:t>
      </w:r>
      <w:r w:rsidRPr="002F366B">
        <w:rPr>
          <w:rFonts w:ascii="Palatino Linotype" w:hAnsi="Palatino Linotype" w:cs="Tahoma"/>
          <w:b/>
          <w:bCs/>
          <w:sz w:val="24"/>
          <w:szCs w:val="24"/>
          <w:lang w:val="es-ES" w:eastAsia="es-ES"/>
        </w:rPr>
        <w:lastRenderedPageBreak/>
        <w:t>posesión de los Sujetos Obligados, reviste el carácter de pública y, por tanto, debe ser accesible a cualquier persona.</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spacing w:line="360" w:lineRule="auto"/>
        <w:jc w:val="both"/>
        <w:rPr>
          <w:rFonts w:ascii="Palatino Linotype" w:hAnsi="Palatino Linotype" w:cs="Tahoma"/>
          <w:bCs/>
          <w:sz w:val="24"/>
          <w:szCs w:val="24"/>
          <w:lang w:val="es-ES" w:eastAsia="es-ES"/>
        </w:rPr>
      </w:pPr>
      <w:r w:rsidRPr="002F366B">
        <w:rPr>
          <w:rFonts w:ascii="Palatino Linotype" w:hAnsi="Palatino Linotype" w:cs="Tahoma"/>
          <w:bCs/>
          <w:sz w:val="24"/>
          <w:szCs w:val="24"/>
          <w:lang w:val="es-ES" w:eastAsia="es-ES"/>
        </w:rPr>
        <w:t>Da la misma manera, los diversos 12 y 24 de la Ley de Transparencia Local,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rsidR="00AA609F" w:rsidRPr="002F366B" w:rsidRDefault="00AA609F" w:rsidP="00AA609F">
      <w:pPr>
        <w:pStyle w:val="Prrafodelista"/>
        <w:spacing w:line="360" w:lineRule="auto"/>
        <w:ind w:left="0"/>
        <w:jc w:val="both"/>
        <w:rPr>
          <w:rFonts w:ascii="Palatino Linotype" w:eastAsia="Palatino Linotype" w:hAnsi="Palatino Linotype" w:cs="Palatino Linotype"/>
          <w:color w:val="000000"/>
          <w:sz w:val="24"/>
          <w:szCs w:val="24"/>
        </w:rPr>
      </w:pPr>
    </w:p>
    <w:p w:rsidR="00AA609F" w:rsidRPr="002F366B" w:rsidRDefault="00AA609F" w:rsidP="00AA609F">
      <w:pPr>
        <w:pStyle w:val="Prrafodelista"/>
        <w:spacing w:line="360" w:lineRule="auto"/>
        <w:ind w:left="0"/>
        <w:jc w:val="both"/>
        <w:rPr>
          <w:rFonts w:ascii="Palatino Linotype" w:eastAsia="Calibri" w:hAnsi="Palatino Linotype" w:cs="Arial"/>
          <w:sz w:val="24"/>
          <w:szCs w:val="24"/>
        </w:rPr>
      </w:pPr>
      <w:r w:rsidRPr="002F366B">
        <w:rPr>
          <w:rFonts w:ascii="Palatino Linotype" w:eastAsia="Palatino Linotype" w:hAnsi="Palatino Linotype" w:cs="Palatino Linotype"/>
          <w:color w:val="000000"/>
          <w:sz w:val="24"/>
          <w:szCs w:val="24"/>
        </w:rPr>
        <w:t>Lo anterior ocasiona que no se acreditara la búsqueda exhaustiva y razonable de la información requerida por el Recurrente, por lo que se trae a colación el Criterio Reiterado 02/19 emitido por el Pleno de este Organismo Garante, a saber:</w:t>
      </w:r>
    </w:p>
    <w:p w:rsidR="00AA609F" w:rsidRPr="002F366B" w:rsidRDefault="00AA609F" w:rsidP="00AA609F">
      <w:pPr>
        <w:spacing w:line="360" w:lineRule="auto"/>
        <w:ind w:left="567" w:right="706"/>
        <w:jc w:val="both"/>
        <w:rPr>
          <w:rFonts w:ascii="Palatino Linotype" w:eastAsia="Palatino Linotype" w:hAnsi="Palatino Linotype" w:cs="Palatino Linotype"/>
          <w:i/>
          <w:color w:val="000000"/>
        </w:rPr>
      </w:pPr>
      <w:r w:rsidRPr="002F366B">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2F366B">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w:t>
      </w:r>
      <w:r w:rsidRPr="002F366B">
        <w:rPr>
          <w:rFonts w:ascii="Palatino Linotype" w:eastAsia="Palatino Linotype" w:hAnsi="Palatino Linotype" w:cs="Palatino Linotype"/>
          <w:i/>
          <w:color w:val="000000"/>
        </w:rPr>
        <w:lastRenderedPageBreak/>
        <w:t>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rsidR="00AA609F" w:rsidRPr="002F366B" w:rsidRDefault="00AA609F" w:rsidP="00AA609F">
      <w:pPr>
        <w:spacing w:line="360" w:lineRule="auto"/>
        <w:jc w:val="both"/>
        <w:rPr>
          <w:rFonts w:ascii="Palatino Linotype" w:eastAsia="Palatino Linotype" w:hAnsi="Palatino Linotype" w:cs="Palatino Linotype"/>
          <w:color w:val="000000"/>
          <w:sz w:val="24"/>
          <w:szCs w:val="24"/>
        </w:rPr>
      </w:pPr>
    </w:p>
    <w:p w:rsidR="00AA609F" w:rsidRPr="002F366B" w:rsidRDefault="00AA609F" w:rsidP="00AA609F">
      <w:pPr>
        <w:spacing w:line="360" w:lineRule="auto"/>
        <w:jc w:val="both"/>
        <w:rPr>
          <w:rFonts w:ascii="Palatino Linotype" w:eastAsia="Palatino Linotype" w:hAnsi="Palatino Linotype" w:cs="Palatino Linotype"/>
          <w:color w:val="000000"/>
          <w:sz w:val="24"/>
          <w:szCs w:val="24"/>
        </w:rPr>
      </w:pPr>
      <w:r w:rsidRPr="002F366B">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rsidR="00AA609F" w:rsidRPr="002F366B" w:rsidRDefault="00AA609F" w:rsidP="00AA609F">
      <w:pPr>
        <w:spacing w:line="360" w:lineRule="auto"/>
        <w:ind w:left="851" w:right="851"/>
        <w:jc w:val="both"/>
        <w:rPr>
          <w:rFonts w:ascii="Palatino Linotype" w:eastAsia="Palatino Linotype" w:hAnsi="Palatino Linotype" w:cs="Palatino Linotype"/>
          <w:i/>
          <w:color w:val="000000"/>
        </w:rPr>
      </w:pPr>
      <w:r w:rsidRPr="002F366B">
        <w:rPr>
          <w:rFonts w:ascii="Palatino Linotype" w:eastAsia="Palatino Linotype" w:hAnsi="Palatino Linotype" w:cs="Palatino Linotype"/>
          <w:b/>
          <w:i/>
          <w:color w:val="000000"/>
        </w:rPr>
        <w:t xml:space="preserve">“Congruencia y exhaustividad. Sus alcances para garantizar el derecho de acceso a la información. </w:t>
      </w:r>
      <w:r w:rsidRPr="002F366B">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2F366B">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2F366B">
        <w:rPr>
          <w:rFonts w:ascii="Palatino Linotype" w:eastAsia="Palatino Linotype" w:hAnsi="Palatino Linotype" w:cs="Palatino Linotype"/>
          <w:i/>
          <w:color w:val="000000"/>
        </w:rPr>
        <w:t xml:space="preserve">; mientras que </w:t>
      </w:r>
      <w:r w:rsidRPr="002F366B">
        <w:rPr>
          <w:rFonts w:ascii="Palatino Linotype" w:eastAsia="Palatino Linotype" w:hAnsi="Palatino Linotype" w:cs="Palatino Linotype"/>
          <w:b/>
          <w:i/>
          <w:color w:val="000000"/>
        </w:rPr>
        <w:lastRenderedPageBreak/>
        <w:t>la exhaustividad significa que dicha respuesta se refiera expresamente a cada uno de los puntos solicitados</w:t>
      </w:r>
      <w:r w:rsidRPr="002F366B">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AA609F" w:rsidRPr="002F366B" w:rsidRDefault="00AA609F" w:rsidP="00AA609F">
      <w:pPr>
        <w:spacing w:line="360" w:lineRule="auto"/>
        <w:contextualSpacing/>
        <w:jc w:val="both"/>
        <w:rPr>
          <w:rFonts w:ascii="Palatino Linotype" w:hAnsi="Palatino Linotype"/>
          <w:b/>
          <w:i/>
          <w:iCs/>
        </w:rPr>
      </w:pPr>
    </w:p>
    <w:p w:rsidR="00AA609F" w:rsidRPr="002F366B" w:rsidRDefault="00AA609F" w:rsidP="00AA609F">
      <w:pPr>
        <w:spacing w:line="360" w:lineRule="auto"/>
        <w:jc w:val="both"/>
        <w:rPr>
          <w:rFonts w:ascii="Palatino Linotype" w:hAnsi="Palatino Linotype"/>
          <w:iCs/>
          <w:color w:val="000000"/>
          <w:sz w:val="24"/>
          <w:szCs w:val="24"/>
        </w:rPr>
      </w:pPr>
      <w:r w:rsidRPr="002F366B">
        <w:rPr>
          <w:rFonts w:ascii="Palatino Linotype" w:hAnsi="Palatino Linotype"/>
          <w:iCs/>
          <w:color w:val="000000"/>
          <w:sz w:val="24"/>
          <w:szCs w:val="24"/>
        </w:rPr>
        <w:t>De lo vertido en líneas anteriores resulta dable ordenar previa búsqueda exhaustiva y razonable de la información de ser procedente en versión pública</w:t>
      </w:r>
      <w:r w:rsidR="009E0938" w:rsidRPr="002F366B">
        <w:rPr>
          <w:rFonts w:ascii="Palatino Linotype" w:hAnsi="Palatino Linotype"/>
          <w:iCs/>
          <w:color w:val="000000"/>
          <w:sz w:val="24"/>
          <w:szCs w:val="24"/>
        </w:rPr>
        <w:t xml:space="preserve"> el soporte documental que de cuenta del </w:t>
      </w:r>
      <w:r w:rsidR="00015F71" w:rsidRPr="002F366B">
        <w:rPr>
          <w:rFonts w:ascii="Palatino Linotype" w:hAnsi="Palatino Linotype"/>
          <w:iCs/>
          <w:color w:val="000000"/>
          <w:sz w:val="24"/>
          <w:szCs w:val="24"/>
        </w:rPr>
        <w:t xml:space="preserve"> l</w:t>
      </w:r>
      <w:r w:rsidR="00015F71" w:rsidRPr="002F366B">
        <w:rPr>
          <w:rFonts w:ascii="Palatino Linotype" w:hAnsi="Palatino Linotype"/>
          <w:color w:val="000000"/>
          <w:sz w:val="24"/>
          <w:szCs w:val="24"/>
        </w:rPr>
        <w:t xml:space="preserve">istado completo de contratos, pedidos y adquisiciones celebrados por el </w:t>
      </w:r>
      <w:r w:rsidR="009E0938" w:rsidRPr="002F366B">
        <w:rPr>
          <w:rFonts w:ascii="Palatino Linotype" w:hAnsi="Palatino Linotype"/>
          <w:color w:val="000000"/>
          <w:sz w:val="24"/>
          <w:szCs w:val="24"/>
        </w:rPr>
        <w:t xml:space="preserve">Sujeto Obligado, el </w:t>
      </w:r>
      <w:r w:rsidR="00015F71" w:rsidRPr="002F366B">
        <w:rPr>
          <w:rFonts w:ascii="Palatino Linotype" w:hAnsi="Palatino Linotype"/>
          <w:color w:val="000000"/>
          <w:sz w:val="24"/>
          <w:szCs w:val="24"/>
        </w:rPr>
        <w:t>Procedim</w:t>
      </w:r>
      <w:r w:rsidR="009E0938" w:rsidRPr="002F366B">
        <w:rPr>
          <w:rFonts w:ascii="Palatino Linotype" w:hAnsi="Palatino Linotype"/>
          <w:color w:val="000000"/>
          <w:sz w:val="24"/>
          <w:szCs w:val="24"/>
        </w:rPr>
        <w:t>iento de contratación utilizado, la j</w:t>
      </w:r>
      <w:r w:rsidR="00015F71" w:rsidRPr="002F366B">
        <w:rPr>
          <w:rFonts w:ascii="Palatino Linotype" w:hAnsi="Palatino Linotype"/>
          <w:color w:val="000000"/>
          <w:sz w:val="24"/>
          <w:szCs w:val="24"/>
        </w:rPr>
        <w:t>ustificación y fundamento legal de las adjudicac</w:t>
      </w:r>
      <w:r w:rsidR="009E0938" w:rsidRPr="002F366B">
        <w:rPr>
          <w:rFonts w:ascii="Palatino Linotype" w:hAnsi="Palatino Linotype"/>
          <w:color w:val="000000"/>
          <w:sz w:val="24"/>
          <w:szCs w:val="24"/>
        </w:rPr>
        <w:t xml:space="preserve">iones directas, </w:t>
      </w:r>
      <w:r w:rsidR="00015F71" w:rsidRPr="002F366B">
        <w:rPr>
          <w:rFonts w:ascii="Palatino Linotype" w:hAnsi="Palatino Linotype"/>
          <w:color w:val="000000"/>
          <w:sz w:val="24"/>
          <w:szCs w:val="24"/>
        </w:rPr>
        <w:t xml:space="preserve">Identificación del área solicitante </w:t>
      </w:r>
      <w:r w:rsidR="009E0938" w:rsidRPr="002F366B">
        <w:rPr>
          <w:rFonts w:ascii="Palatino Linotype" w:hAnsi="Palatino Linotype"/>
          <w:color w:val="000000"/>
          <w:sz w:val="24"/>
          <w:szCs w:val="24"/>
        </w:rPr>
        <w:t xml:space="preserve">y servidor público responsable, y los </w:t>
      </w:r>
      <w:r w:rsidR="00015F71" w:rsidRPr="002F366B">
        <w:rPr>
          <w:rFonts w:ascii="Palatino Linotype" w:hAnsi="Palatino Linotype"/>
          <w:color w:val="000000"/>
          <w:sz w:val="24"/>
          <w:szCs w:val="24"/>
        </w:rPr>
        <w:t>contratos en versión pública</w:t>
      </w:r>
      <w:r w:rsidR="009E0938" w:rsidRPr="002F366B">
        <w:rPr>
          <w:rFonts w:ascii="Palatino Linotype" w:hAnsi="Palatino Linotype"/>
          <w:color w:val="000000"/>
          <w:sz w:val="24"/>
          <w:szCs w:val="24"/>
        </w:rPr>
        <w:t xml:space="preserve"> del primero de enero de dos mil veinticinco al veintiséis de enero de dos mis veintiséis.</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2F366B">
        <w:rPr>
          <w:rFonts w:ascii="Palatino Linotype" w:hAnsi="Palatino Linotype"/>
          <w:sz w:val="24"/>
          <w:szCs w:val="24"/>
        </w:rPr>
        <w:t xml:space="preserve"> </w:t>
      </w:r>
      <w:r w:rsidRPr="002F366B">
        <w:rPr>
          <w:rFonts w:ascii="Palatino Linotype" w:eastAsia="Palatino Linotype" w:hAnsi="Palatino Linotype" w:cstheme="majorBidi"/>
          <w:b/>
          <w:i/>
          <w:color w:val="000000" w:themeColor="text1"/>
          <w:u w:val="single"/>
          <w:lang w:val="es-ES_tradnl" w:eastAsia="es-MX"/>
        </w:rPr>
        <w:t>DE LA VERSIÓN PÚBLICA</w:t>
      </w:r>
    </w:p>
    <w:p w:rsidR="00AA609F" w:rsidRPr="002F366B" w:rsidRDefault="00AA609F" w:rsidP="00AA609F">
      <w:pPr>
        <w:spacing w:line="360" w:lineRule="auto"/>
        <w:jc w:val="both"/>
        <w:rPr>
          <w:rFonts w:ascii="Palatino Linotype" w:eastAsia="Palatino Linotype" w:hAnsi="Palatino Linotype" w:cs="Palatino Linotype"/>
          <w:sz w:val="24"/>
          <w:szCs w:val="24"/>
          <w:lang w:val="es-ES_tradnl" w:eastAsia="es-MX"/>
        </w:rPr>
      </w:pPr>
      <w:r w:rsidRPr="002F366B">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Artículo 3.</w:t>
      </w:r>
      <w:r w:rsidRPr="002F366B">
        <w:rPr>
          <w:rFonts w:ascii="Palatino Linotype" w:eastAsia="Palatino Linotype" w:hAnsi="Palatino Linotype" w:cs="Palatino Linotype"/>
          <w:i/>
          <w:lang w:val="es-ES_tradnl" w:eastAsia="es-MX"/>
        </w:rPr>
        <w:t xml:space="preserve"> Para los efectos de la presente Ley se entenderá por:</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IX. Datos personales:</w:t>
      </w:r>
      <w:r w:rsidRPr="002F366B">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lastRenderedPageBreak/>
        <w:t>XX.</w:t>
      </w:r>
      <w:r w:rsidRPr="002F366B">
        <w:rPr>
          <w:rFonts w:ascii="Palatino Linotype" w:eastAsia="Palatino Linotype" w:hAnsi="Palatino Linotype" w:cs="Palatino Linotype"/>
          <w:i/>
          <w:lang w:val="es-ES_tradnl" w:eastAsia="es-MX"/>
        </w:rPr>
        <w:t xml:space="preserve"> </w:t>
      </w:r>
      <w:r w:rsidRPr="002F366B">
        <w:rPr>
          <w:rFonts w:ascii="Palatino Linotype" w:eastAsia="Palatino Linotype" w:hAnsi="Palatino Linotype" w:cs="Palatino Linotype"/>
          <w:b/>
          <w:i/>
          <w:lang w:val="es-ES_tradnl" w:eastAsia="es-MX"/>
        </w:rPr>
        <w:t>Información clasificada:</w:t>
      </w:r>
      <w:r w:rsidRPr="002F366B">
        <w:rPr>
          <w:rFonts w:ascii="Palatino Linotype" w:eastAsia="Palatino Linotype" w:hAnsi="Palatino Linotype" w:cs="Palatino Linotype"/>
          <w:i/>
          <w:lang w:val="es-ES_tradnl" w:eastAsia="es-MX"/>
        </w:rPr>
        <w:t xml:space="preserve"> Aquella considerada por la presente Ley como reservada o confidencial;</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XXI.</w:t>
      </w:r>
      <w:r w:rsidRPr="002F366B">
        <w:rPr>
          <w:rFonts w:ascii="Palatino Linotype" w:eastAsia="Palatino Linotype" w:hAnsi="Palatino Linotype" w:cs="Palatino Linotype"/>
          <w:i/>
          <w:lang w:val="es-ES_tradnl" w:eastAsia="es-MX"/>
        </w:rPr>
        <w:t xml:space="preserve"> </w:t>
      </w:r>
      <w:r w:rsidRPr="002F366B">
        <w:rPr>
          <w:rFonts w:ascii="Palatino Linotype" w:eastAsia="Palatino Linotype" w:hAnsi="Palatino Linotype" w:cs="Palatino Linotype"/>
          <w:b/>
          <w:i/>
          <w:lang w:val="es-ES_tradnl" w:eastAsia="es-MX"/>
        </w:rPr>
        <w:t>Información confidencial:</w:t>
      </w:r>
      <w:r w:rsidRPr="002F366B">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XLV.</w:t>
      </w:r>
      <w:r w:rsidRPr="002F366B">
        <w:rPr>
          <w:rFonts w:ascii="Palatino Linotype" w:eastAsia="Palatino Linotype" w:hAnsi="Palatino Linotype" w:cs="Palatino Linotype"/>
          <w:i/>
          <w:lang w:val="es-ES_tradnl" w:eastAsia="es-MX"/>
        </w:rPr>
        <w:t xml:space="preserve"> </w:t>
      </w:r>
      <w:r w:rsidRPr="002F366B">
        <w:rPr>
          <w:rFonts w:ascii="Palatino Linotype" w:eastAsia="Palatino Linotype" w:hAnsi="Palatino Linotype" w:cs="Palatino Linotype"/>
          <w:b/>
          <w:i/>
          <w:lang w:val="es-ES_tradnl" w:eastAsia="es-MX"/>
        </w:rPr>
        <w:t>Versión pública:</w:t>
      </w:r>
      <w:r w:rsidRPr="002F366B">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 xml:space="preserve">Artículo 91. </w:t>
      </w:r>
      <w:r w:rsidRPr="002F366B">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Artículo 132.</w:t>
      </w:r>
      <w:r w:rsidRPr="002F366B">
        <w:rPr>
          <w:rFonts w:ascii="Palatino Linotype" w:eastAsia="Palatino Linotype" w:hAnsi="Palatino Linotype" w:cs="Palatino Linotype"/>
          <w:i/>
          <w:lang w:val="es-ES_tradnl" w:eastAsia="es-MX"/>
        </w:rPr>
        <w:t xml:space="preserve"> </w:t>
      </w:r>
      <w:r w:rsidRPr="002F366B">
        <w:rPr>
          <w:rFonts w:ascii="Palatino Linotype" w:eastAsia="Palatino Linotype" w:hAnsi="Palatino Linotype" w:cs="Palatino Linotype"/>
          <w:i/>
          <w:u w:val="single"/>
          <w:lang w:val="es-ES_tradnl" w:eastAsia="es-MX"/>
        </w:rPr>
        <w:t>La clasificación de la información se llevará a cabo en el momento en que</w:t>
      </w:r>
      <w:r w:rsidRPr="002F366B">
        <w:rPr>
          <w:rFonts w:ascii="Palatino Linotype" w:eastAsia="Palatino Linotype" w:hAnsi="Palatino Linotype" w:cs="Palatino Linotype"/>
          <w:i/>
          <w:lang w:val="es-ES_tradnl" w:eastAsia="es-MX"/>
        </w:rPr>
        <w:t>:</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I.</w:t>
      </w:r>
      <w:r w:rsidRPr="002F366B">
        <w:rPr>
          <w:rFonts w:ascii="Palatino Linotype" w:eastAsia="Palatino Linotype" w:hAnsi="Palatino Linotype" w:cs="Palatino Linotype"/>
          <w:i/>
          <w:lang w:val="es-ES_tradnl" w:eastAsia="es-MX"/>
        </w:rPr>
        <w:t xml:space="preserve"> Se reciba una solicitud de acceso a la información;</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II.</w:t>
      </w:r>
      <w:r w:rsidRPr="002F366B">
        <w:rPr>
          <w:rFonts w:ascii="Palatino Linotype" w:eastAsia="Palatino Linotype" w:hAnsi="Palatino Linotype" w:cs="Palatino Linotype"/>
          <w:i/>
          <w:lang w:val="es-ES_tradnl" w:eastAsia="es-MX"/>
        </w:rPr>
        <w:t xml:space="preserve"> </w:t>
      </w:r>
      <w:r w:rsidRPr="002F366B">
        <w:rPr>
          <w:rFonts w:ascii="Palatino Linotype" w:eastAsia="Palatino Linotype" w:hAnsi="Palatino Linotype" w:cs="Palatino Linotype"/>
          <w:i/>
          <w:u w:val="single"/>
          <w:lang w:val="es-ES_tradnl" w:eastAsia="es-MX"/>
        </w:rPr>
        <w:t>Se determine mediante resolución de autoridad competente; o</w:t>
      </w:r>
    </w:p>
    <w:p w:rsidR="00AA609F" w:rsidRPr="002F366B" w:rsidRDefault="00AA609F" w:rsidP="00AA609F">
      <w:pPr>
        <w:ind w:left="567" w:right="567"/>
        <w:jc w:val="both"/>
        <w:rPr>
          <w:rFonts w:ascii="Palatino Linotype" w:eastAsia="Palatino Linotype" w:hAnsi="Palatino Linotype" w:cs="Palatino Linotype"/>
          <w:i/>
          <w:u w:val="single"/>
          <w:lang w:val="es-ES_tradnl" w:eastAsia="es-MX"/>
        </w:rPr>
      </w:pPr>
      <w:r w:rsidRPr="002F366B">
        <w:rPr>
          <w:rFonts w:ascii="Palatino Linotype" w:eastAsia="Palatino Linotype" w:hAnsi="Palatino Linotype" w:cs="Palatino Linotype"/>
          <w:b/>
          <w:i/>
          <w:lang w:val="es-ES_tradnl" w:eastAsia="es-MX"/>
        </w:rPr>
        <w:t>III.</w:t>
      </w:r>
      <w:r w:rsidRPr="002F366B">
        <w:rPr>
          <w:rFonts w:ascii="Palatino Linotype" w:eastAsia="Palatino Linotype" w:hAnsi="Palatino Linotype" w:cs="Palatino Linotype"/>
          <w:i/>
          <w:lang w:val="es-ES_tradnl" w:eastAsia="es-MX"/>
        </w:rPr>
        <w:t xml:space="preserve"> </w:t>
      </w:r>
      <w:r w:rsidRPr="002F366B">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w:t>
      </w:r>
    </w:p>
    <w:p w:rsidR="00AA609F" w:rsidRPr="002F366B" w:rsidRDefault="00AA609F" w:rsidP="00AA609F">
      <w:pPr>
        <w:spacing w:line="360" w:lineRule="auto"/>
        <w:jc w:val="both"/>
        <w:rPr>
          <w:rFonts w:ascii="Palatino Linotype" w:eastAsia="Palatino Linotype" w:hAnsi="Palatino Linotype" w:cs="Palatino Linotype"/>
          <w:i/>
          <w:lang w:val="es-ES_tradnl" w:eastAsia="es-MX"/>
        </w:rPr>
      </w:pPr>
    </w:p>
    <w:p w:rsidR="00AA609F" w:rsidRPr="002F366B" w:rsidRDefault="00AA609F" w:rsidP="00AA609F">
      <w:pPr>
        <w:spacing w:line="360" w:lineRule="auto"/>
        <w:jc w:val="both"/>
        <w:rPr>
          <w:rFonts w:ascii="Palatino Linotype" w:eastAsia="Palatino Linotype" w:hAnsi="Palatino Linotype" w:cs="Palatino Linotype"/>
          <w:sz w:val="24"/>
          <w:szCs w:val="24"/>
          <w:lang w:val="es-ES_tradnl" w:eastAsia="es-MX"/>
        </w:rPr>
      </w:pPr>
      <w:r w:rsidRPr="002F366B">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AA609F" w:rsidRPr="002F366B" w:rsidRDefault="00AA609F" w:rsidP="00AA609F">
      <w:pPr>
        <w:spacing w:line="360" w:lineRule="auto"/>
        <w:jc w:val="both"/>
        <w:rPr>
          <w:rFonts w:ascii="Palatino Linotype" w:eastAsia="Palatino Linotype" w:hAnsi="Palatino Linotype" w:cs="Palatino Linotype"/>
          <w:sz w:val="24"/>
          <w:szCs w:val="24"/>
          <w:lang w:val="es-ES_tradnl" w:eastAsia="es-MX"/>
        </w:rPr>
      </w:pPr>
    </w:p>
    <w:p w:rsidR="00AA609F" w:rsidRPr="002F366B" w:rsidRDefault="00AA609F" w:rsidP="00AA609F">
      <w:pPr>
        <w:spacing w:line="360" w:lineRule="auto"/>
        <w:jc w:val="both"/>
        <w:rPr>
          <w:rFonts w:ascii="Palatino Linotype" w:eastAsia="Palatino Linotype" w:hAnsi="Palatino Linotype" w:cs="Palatino Linotype"/>
          <w:sz w:val="24"/>
          <w:szCs w:val="24"/>
          <w:lang w:val="es-ES_tradnl" w:eastAsia="es-MX"/>
        </w:rPr>
      </w:pPr>
      <w:r w:rsidRPr="002F366B">
        <w:rPr>
          <w:rFonts w:ascii="Palatino Linotype" w:eastAsia="Palatino Linotype" w:hAnsi="Palatino Linotype" w:cs="Palatino Linotype"/>
          <w:sz w:val="24"/>
          <w:szCs w:val="24"/>
          <w:lang w:val="es-ES_tradnl" w:eastAsia="es-MX"/>
        </w:rPr>
        <w:lastRenderedPageBreak/>
        <w:t xml:space="preserve">Por otro lado, los </w:t>
      </w:r>
      <w:r w:rsidRPr="002F366B">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2F366B">
        <w:rPr>
          <w:rFonts w:ascii="Palatino Linotype" w:eastAsia="Palatino Linotype" w:hAnsi="Palatino Linotype" w:cs="Palatino Linotype"/>
          <w:sz w:val="24"/>
          <w:szCs w:val="24"/>
          <w:lang w:val="es-ES_tradnl" w:eastAsia="es-MX"/>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Cabe precisar que la información que se ordena puede tener datos personales confidenciales e incluso información que sea reservada, por tanto, para la elaboración de las versiones públicas, se deberá tomar en consideración la posibilidad de testar parcialmente la información, conforme al análisis a los siguientes:</w:t>
      </w:r>
    </w:p>
    <w:p w:rsidR="00AA609F" w:rsidRPr="002F366B" w:rsidRDefault="00AA609F" w:rsidP="00AA609F">
      <w:pPr>
        <w:numPr>
          <w:ilvl w:val="0"/>
          <w:numId w:val="10"/>
        </w:numPr>
        <w:spacing w:after="0" w:line="360" w:lineRule="auto"/>
        <w:ind w:left="714" w:hanging="357"/>
        <w:jc w:val="both"/>
        <w:rPr>
          <w:rFonts w:ascii="Palatino Linotype" w:hAnsi="Palatino Linotype"/>
          <w:b/>
          <w:bCs/>
          <w:color w:val="000000"/>
          <w:sz w:val="24"/>
          <w:szCs w:val="24"/>
        </w:rPr>
      </w:pPr>
      <w:bookmarkStart w:id="1" w:name="_heading=h.c7th8vnlnine" w:colFirst="0" w:colLast="0"/>
      <w:bookmarkEnd w:id="1"/>
      <w:r w:rsidRPr="002F366B">
        <w:rPr>
          <w:rFonts w:ascii="Palatino Linotype" w:hAnsi="Palatino Linotype"/>
          <w:b/>
          <w:bCs/>
          <w:color w:val="000000"/>
          <w:sz w:val="24"/>
          <w:szCs w:val="24"/>
        </w:rPr>
        <w:t>Clave Única de Registro de Población (CURP);</w:t>
      </w:r>
    </w:p>
    <w:p w:rsidR="00AA609F" w:rsidRPr="002F366B" w:rsidRDefault="00AA609F" w:rsidP="00AA609F">
      <w:pPr>
        <w:numPr>
          <w:ilvl w:val="0"/>
          <w:numId w:val="10"/>
        </w:numPr>
        <w:spacing w:after="0" w:line="360" w:lineRule="auto"/>
        <w:ind w:left="714" w:hanging="357"/>
        <w:jc w:val="both"/>
        <w:rPr>
          <w:rFonts w:ascii="Palatino Linotype" w:hAnsi="Palatino Linotype"/>
          <w:b/>
          <w:bCs/>
          <w:color w:val="000000"/>
          <w:sz w:val="24"/>
          <w:szCs w:val="24"/>
        </w:rPr>
      </w:pPr>
      <w:r w:rsidRPr="002F366B">
        <w:rPr>
          <w:rFonts w:ascii="Palatino Linotype" w:hAnsi="Palatino Linotype"/>
          <w:b/>
          <w:bCs/>
          <w:color w:val="000000"/>
          <w:sz w:val="24"/>
          <w:szCs w:val="24"/>
        </w:rPr>
        <w:t>Registro Federal de Contribuyentes del servidor público (RFC); y de proveedores</w:t>
      </w:r>
    </w:p>
    <w:p w:rsidR="00AA609F" w:rsidRPr="002F366B" w:rsidRDefault="00AA609F" w:rsidP="00AA609F">
      <w:pPr>
        <w:numPr>
          <w:ilvl w:val="0"/>
          <w:numId w:val="10"/>
        </w:numPr>
        <w:pBdr>
          <w:top w:val="nil"/>
          <w:left w:val="nil"/>
          <w:bottom w:val="nil"/>
          <w:right w:val="nil"/>
          <w:between w:val="nil"/>
        </w:pBdr>
        <w:spacing w:after="0" w:line="360" w:lineRule="auto"/>
        <w:ind w:left="714" w:hanging="357"/>
        <w:jc w:val="both"/>
        <w:rPr>
          <w:rFonts w:ascii="Palatino Linotype" w:hAnsi="Palatino Linotype"/>
          <w:b/>
          <w:bCs/>
          <w:color w:val="000000"/>
          <w:sz w:val="24"/>
          <w:szCs w:val="24"/>
        </w:rPr>
      </w:pPr>
      <w:r w:rsidRPr="002F366B">
        <w:rPr>
          <w:rFonts w:ascii="Palatino Linotype" w:hAnsi="Palatino Linotype"/>
          <w:b/>
          <w:bCs/>
          <w:color w:val="000000"/>
          <w:sz w:val="24"/>
          <w:szCs w:val="24"/>
        </w:rPr>
        <w:t>Sellos digitales del emisor y del Servicio de Administración Tributaria, y</w:t>
      </w:r>
    </w:p>
    <w:p w:rsidR="00AA609F" w:rsidRPr="002F366B" w:rsidRDefault="00AA609F" w:rsidP="00AA609F">
      <w:pPr>
        <w:numPr>
          <w:ilvl w:val="0"/>
          <w:numId w:val="10"/>
        </w:numPr>
        <w:spacing w:after="0" w:line="360" w:lineRule="auto"/>
        <w:ind w:left="714" w:hanging="357"/>
        <w:jc w:val="both"/>
        <w:rPr>
          <w:rFonts w:ascii="Palatino Linotype" w:hAnsi="Palatino Linotype"/>
          <w:color w:val="000000"/>
          <w:sz w:val="24"/>
          <w:szCs w:val="24"/>
        </w:rPr>
      </w:pPr>
      <w:r w:rsidRPr="002F366B">
        <w:rPr>
          <w:rFonts w:ascii="Palatino Linotype" w:hAnsi="Palatino Linotype"/>
          <w:b/>
          <w:bCs/>
          <w:color w:val="000000"/>
          <w:sz w:val="24"/>
          <w:szCs w:val="24"/>
        </w:rPr>
        <w:t>Datos Bancarios de Particulares.</w:t>
      </w:r>
    </w:p>
    <w:p w:rsidR="00AA609F" w:rsidRPr="002F366B" w:rsidRDefault="00AA609F" w:rsidP="00AA609F">
      <w:pPr>
        <w:numPr>
          <w:ilvl w:val="0"/>
          <w:numId w:val="10"/>
        </w:numPr>
        <w:pBdr>
          <w:top w:val="nil"/>
          <w:left w:val="nil"/>
          <w:bottom w:val="nil"/>
          <w:right w:val="nil"/>
          <w:between w:val="nil"/>
        </w:pBdr>
        <w:spacing w:after="0" w:line="360" w:lineRule="auto"/>
        <w:ind w:left="714" w:hanging="357"/>
        <w:jc w:val="both"/>
        <w:rPr>
          <w:rFonts w:ascii="Palatino Linotype" w:hAnsi="Palatino Linotype"/>
          <w:b/>
          <w:bCs/>
          <w:color w:val="000000"/>
          <w:sz w:val="24"/>
          <w:szCs w:val="24"/>
        </w:rPr>
      </w:pPr>
      <w:r w:rsidRPr="002F366B">
        <w:rPr>
          <w:rFonts w:ascii="Palatino Linotype" w:hAnsi="Palatino Linotype"/>
          <w:b/>
          <w:bCs/>
          <w:color w:val="000000"/>
          <w:sz w:val="24"/>
          <w:szCs w:val="24"/>
        </w:rPr>
        <w:t>Nombres de personas que no son servidores públicos ni proveedores.</w:t>
      </w:r>
    </w:p>
    <w:p w:rsidR="00AA609F" w:rsidRPr="002F366B" w:rsidRDefault="00AA609F" w:rsidP="00AA609F">
      <w:pPr>
        <w:spacing w:after="0" w:line="360" w:lineRule="auto"/>
        <w:ind w:right="-28"/>
        <w:jc w:val="both"/>
        <w:rPr>
          <w:rFonts w:ascii="Palatino Linotype" w:hAnsi="Palatino Linotype"/>
          <w:color w:val="000000"/>
          <w:sz w:val="24"/>
          <w:szCs w:val="24"/>
        </w:rPr>
      </w:pPr>
    </w:p>
    <w:p w:rsidR="00AA609F" w:rsidRPr="002F366B" w:rsidRDefault="00AA609F" w:rsidP="00AA609F">
      <w:pPr>
        <w:spacing w:after="0" w:line="360" w:lineRule="auto"/>
        <w:ind w:right="-28"/>
        <w:jc w:val="both"/>
        <w:rPr>
          <w:rFonts w:ascii="Palatino Linotype" w:hAnsi="Palatino Linotype"/>
          <w:color w:val="000000"/>
          <w:sz w:val="24"/>
          <w:szCs w:val="24"/>
        </w:rPr>
      </w:pPr>
      <w:r w:rsidRPr="002F366B">
        <w:rPr>
          <w:rFonts w:ascii="Palatino Linotype" w:hAnsi="Palatino Linotype"/>
          <w:color w:val="000000"/>
          <w:sz w:val="24"/>
          <w:szCs w:val="24"/>
        </w:rPr>
        <w:t xml:space="preserve">De lo anterior, resulta procedente analizar si dichos datos son públicos o privados; en principio, cabe mencionar que el artículo 143, fracción I, de la Ley previamente citada, </w:t>
      </w:r>
      <w:r w:rsidRPr="002F366B">
        <w:rPr>
          <w:rFonts w:ascii="Palatino Linotype" w:hAnsi="Palatino Linotype"/>
          <w:color w:val="000000"/>
          <w:sz w:val="24"/>
          <w:szCs w:val="24"/>
        </w:rPr>
        <w:lastRenderedPageBreak/>
        <w:t>establece que la información privada y los datos personales, concernientes a una persona física o jurídica colectiva identificada o identificable son confidenciales.</w:t>
      </w:r>
    </w:p>
    <w:p w:rsidR="00AA609F" w:rsidRPr="002F366B" w:rsidRDefault="00AA609F" w:rsidP="00AA609F">
      <w:pPr>
        <w:spacing w:after="0" w:line="360" w:lineRule="auto"/>
        <w:ind w:right="-28"/>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En este sentido, un dato personal es cualquier información que pueda hacer a una persona física o jurídica colectiva identificada e identificable; por lo que, bajo dicha circunstancia, se analizarán si los datos mencionados, deben ser considerados </w:t>
      </w:r>
      <w:r w:rsidRPr="002F366B">
        <w:rPr>
          <w:rFonts w:ascii="Palatino Linotype" w:hAnsi="Palatino Linotype"/>
          <w:color w:val="000000"/>
          <w:sz w:val="24"/>
          <w:szCs w:val="24"/>
        </w:rPr>
        <w:lastRenderedPageBreak/>
        <w:t>confidenciales, en términos del artículo 143, fracción I, de la Ley de Transparencia y Acceso a la Información Pública del Estado de México y Municipios, o públicos.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numPr>
          <w:ilvl w:val="0"/>
          <w:numId w:val="5"/>
        </w:numPr>
        <w:pBdr>
          <w:top w:val="nil"/>
          <w:left w:val="nil"/>
          <w:bottom w:val="nil"/>
          <w:right w:val="nil"/>
          <w:between w:val="nil"/>
        </w:pBdr>
        <w:spacing w:after="0" w:line="360" w:lineRule="auto"/>
        <w:jc w:val="both"/>
        <w:rPr>
          <w:rFonts w:ascii="Palatino Linotype" w:hAnsi="Palatino Linotype"/>
          <w:b/>
          <w:bCs/>
          <w:color w:val="000000"/>
          <w:sz w:val="24"/>
          <w:szCs w:val="24"/>
        </w:rPr>
      </w:pPr>
      <w:r w:rsidRPr="002F366B">
        <w:rPr>
          <w:rFonts w:ascii="Palatino Linotype" w:hAnsi="Palatino Linotype"/>
          <w:b/>
          <w:bCs/>
          <w:color w:val="000000"/>
          <w:sz w:val="24"/>
          <w:szCs w:val="24"/>
        </w:rPr>
        <w:t>Clave Única de Registro de Población (CURP)</w:t>
      </w: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En ese orden de ideas, la Secretaría de Gobernación en las direcciones </w:t>
      </w:r>
      <w:hyperlink r:id="rId7">
        <w:r w:rsidRPr="002F366B">
          <w:rPr>
            <w:rFonts w:ascii="Palatino Linotype" w:hAnsi="Palatino Linotype"/>
            <w:color w:val="0563C1"/>
            <w:sz w:val="24"/>
            <w:szCs w:val="24"/>
            <w:u w:val="single"/>
          </w:rPr>
          <w:t>https://consultas.curp.gob.mx/CurpSP/html/informacionecurpPS.html</w:t>
        </w:r>
      </w:hyperlink>
      <w:r w:rsidRPr="002F366B">
        <w:rPr>
          <w:rFonts w:ascii="Palatino Linotype" w:hAnsi="Palatino Linotype"/>
          <w:color w:val="000000"/>
          <w:sz w:val="24"/>
          <w:szCs w:val="24"/>
        </w:rPr>
        <w:t xml:space="preserve"> y </w:t>
      </w:r>
      <w:hyperlink r:id="rId8">
        <w:r w:rsidRPr="002F366B">
          <w:rPr>
            <w:rFonts w:ascii="Palatino Linotype" w:hAnsi="Palatino Linotype"/>
            <w:color w:val="0563C1"/>
            <w:sz w:val="24"/>
            <w:szCs w:val="24"/>
            <w:u w:val="single"/>
          </w:rPr>
          <w:t>https://www.gob.mx/segob/renapo/acciones-y-programas/clave-unica-de-registro-de-poblacion-curp-142226</w:t>
        </w:r>
      </w:hyperlink>
      <w:r w:rsidRPr="002F366B">
        <w:rPr>
          <w:rFonts w:ascii="Palatino Linotype" w:hAnsi="Palatino Linotype"/>
          <w:color w:val="000000"/>
          <w:sz w:val="24"/>
          <w:szCs w:val="24"/>
        </w:rPr>
        <w:t xml:space="preserve"> (consultadas el seis de junio de dos mil veintidós),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2F366B">
        <w:rPr>
          <w:rFonts w:ascii="Palatino Linotype" w:hAnsi="Palatino Linotype"/>
          <w:b/>
          <w:bCs/>
          <w:color w:val="000000"/>
          <w:sz w:val="24"/>
          <w:szCs w:val="24"/>
        </w:rPr>
        <w:t xml:space="preserve">se generan a partir de los datos contenidos </w:t>
      </w:r>
      <w:r w:rsidRPr="002F366B">
        <w:rPr>
          <w:rFonts w:ascii="Palatino Linotype" w:hAnsi="Palatino Linotype"/>
          <w:b/>
          <w:bCs/>
          <w:color w:val="000000"/>
          <w:sz w:val="24"/>
          <w:szCs w:val="24"/>
        </w:rPr>
        <w:lastRenderedPageBreak/>
        <w:t>en el documento probatorio de la identidad</w:t>
      </w:r>
      <w:r w:rsidRPr="002F366B">
        <w:rPr>
          <w:rFonts w:ascii="Palatino Linotype" w:hAnsi="Palatino Linotype"/>
          <w:color w:val="000000"/>
          <w:sz w:val="24"/>
          <w:szCs w:val="24"/>
        </w:rPr>
        <w:t xml:space="preserve"> </w:t>
      </w:r>
      <w:r w:rsidRPr="002F366B">
        <w:rPr>
          <w:rFonts w:ascii="Palatino Linotype" w:hAnsi="Palatino Linotype"/>
          <w:b/>
          <w:bCs/>
          <w:color w:val="000000"/>
          <w:sz w:val="24"/>
          <w:szCs w:val="24"/>
        </w:rPr>
        <w:t xml:space="preserve">del interesado </w:t>
      </w:r>
      <w:r w:rsidRPr="002F366B">
        <w:rPr>
          <w:rFonts w:ascii="Palatino Linotype" w:hAnsi="Palatino Linotype"/>
          <w:color w:val="000000"/>
          <w:sz w:val="24"/>
          <w:szCs w:val="24"/>
        </w:rPr>
        <w:t>(acta de nacimiento, carta de naturalización o documento migratorio) de la siguiente forma:</w:t>
      </w:r>
    </w:p>
    <w:p w:rsidR="00AA609F" w:rsidRPr="002F366B" w:rsidRDefault="00AA609F" w:rsidP="00AA609F">
      <w:pPr>
        <w:numPr>
          <w:ilvl w:val="0"/>
          <w:numId w:val="4"/>
        </w:num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El primero y segundo apellidos, así como al nombre de pila;</w:t>
      </w:r>
    </w:p>
    <w:p w:rsidR="00AA609F" w:rsidRPr="002F366B" w:rsidRDefault="00AA609F" w:rsidP="00AA609F">
      <w:pPr>
        <w:numPr>
          <w:ilvl w:val="0"/>
          <w:numId w:val="4"/>
        </w:num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La fecha de nacimiento;</w:t>
      </w:r>
    </w:p>
    <w:p w:rsidR="00AA609F" w:rsidRPr="002F366B" w:rsidRDefault="00AA609F" w:rsidP="00AA609F">
      <w:pPr>
        <w:numPr>
          <w:ilvl w:val="0"/>
          <w:numId w:val="4"/>
        </w:num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El sexo, y</w:t>
      </w:r>
    </w:p>
    <w:p w:rsidR="00AA609F" w:rsidRPr="002F366B" w:rsidRDefault="00AA609F" w:rsidP="00AA609F">
      <w:pPr>
        <w:numPr>
          <w:ilvl w:val="0"/>
          <w:numId w:val="4"/>
        </w:num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La entidad federativa de nacimiento.</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Los dos últimos elementos de la Clave Única de Registro de Población evitan la duplicidad de la Clave y garantizan su correcta integración. 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Situación que se robustece, con el Criterio Orientador, de la Segunda Época, con número de registro SO/018/2017, emitido por el Instituto Nacional de Transparencia, Acceso a la Información y Protección de Datos Personales, vigente a la fecha de la solicitud, que establece lo siguiente:</w:t>
      </w:r>
    </w:p>
    <w:p w:rsidR="00AA609F" w:rsidRPr="002F366B" w:rsidRDefault="00AA609F" w:rsidP="00AA609F">
      <w:pPr>
        <w:spacing w:after="0" w:line="360" w:lineRule="auto"/>
        <w:ind w:left="567" w:right="567"/>
        <w:jc w:val="both"/>
        <w:rPr>
          <w:rFonts w:ascii="Palatino Linotype" w:hAnsi="Palatino Linotype"/>
          <w:i/>
          <w:iCs/>
          <w:color w:val="000000"/>
        </w:rPr>
      </w:pPr>
      <w:r w:rsidRPr="002F366B">
        <w:rPr>
          <w:rFonts w:ascii="Palatino Linotype" w:hAnsi="Palatino Linotype"/>
          <w:b/>
          <w:bCs/>
          <w:i/>
          <w:iCs/>
          <w:color w:val="000000"/>
        </w:rPr>
        <w:t xml:space="preserve">“Clave Única de Registro de Población (CURP). </w:t>
      </w:r>
      <w:r w:rsidRPr="002F366B">
        <w:rPr>
          <w:rFonts w:ascii="Palatino Linotype" w:hAnsi="Palatino Linotype"/>
          <w:i/>
          <w:iCs/>
          <w:color w:val="00000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w:t>
      </w:r>
      <w:r w:rsidRPr="002F366B">
        <w:rPr>
          <w:rFonts w:ascii="Palatino Linotype" w:hAnsi="Palatino Linotype"/>
          <w:i/>
          <w:iCs/>
          <w:color w:val="000000"/>
        </w:rPr>
        <w:lastRenderedPageBreak/>
        <w:t xml:space="preserve">resto de los habitantes del país, por lo que la CURP está considerada como información confidencial.” </w:t>
      </w:r>
    </w:p>
    <w:p w:rsidR="00AA609F" w:rsidRPr="002F366B" w:rsidRDefault="00AA609F" w:rsidP="00AA609F">
      <w:pPr>
        <w:spacing w:after="0" w:line="360" w:lineRule="auto"/>
        <w:jc w:val="both"/>
        <w:rPr>
          <w:rFonts w:ascii="Palatino Linotype" w:hAnsi="Palatino Linotype"/>
          <w:color w:val="000000"/>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 </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numPr>
          <w:ilvl w:val="0"/>
          <w:numId w:val="6"/>
        </w:numPr>
        <w:spacing w:after="0" w:line="360" w:lineRule="auto"/>
        <w:jc w:val="both"/>
        <w:rPr>
          <w:rFonts w:ascii="Palatino Linotype" w:hAnsi="Palatino Linotype"/>
          <w:b/>
          <w:bCs/>
          <w:color w:val="000000"/>
          <w:sz w:val="24"/>
          <w:szCs w:val="24"/>
        </w:rPr>
      </w:pPr>
      <w:r w:rsidRPr="002F366B">
        <w:rPr>
          <w:rFonts w:ascii="Palatino Linotype" w:hAnsi="Palatino Linotype"/>
          <w:b/>
          <w:bCs/>
          <w:color w:val="000000"/>
          <w:sz w:val="24"/>
          <w:szCs w:val="24"/>
        </w:rPr>
        <w:t>Registro Federal de Contribuyentes (RFC) y de Proveedores</w:t>
      </w: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Ahora bien, la clave del Registro Federal de Contribuyentes, es el medio de control que tiene la Secretaría de Hacienda y Crédito Público, a través del Servicio de Administración Tributaria, para exigir y vigilar el cumplimiento de las obligaciones </w:t>
      </w:r>
      <w:r w:rsidRPr="002F366B">
        <w:rPr>
          <w:rFonts w:ascii="Palatino Linotype" w:hAnsi="Palatino Linotype"/>
          <w:color w:val="000000"/>
          <w:sz w:val="24"/>
          <w:szCs w:val="24"/>
        </w:rPr>
        <w:lastRenderedPageBreak/>
        <w:t>fiscales de los contribuyentes; mientras que los particulares tramitan dicho dato, con el único propósito de realizar mediante esa clave de identificación, operaciones o actividades de naturaleza fiscal.</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Así, el Registro Federal de Contribuyentes, es un dato personal, ya que hace a las personas físicas </w:t>
      </w:r>
      <w:r w:rsidRPr="002F366B">
        <w:rPr>
          <w:rFonts w:ascii="Palatino Linotype" w:hAnsi="Palatino Linotype"/>
          <w:sz w:val="24"/>
          <w:szCs w:val="24"/>
        </w:rPr>
        <w:t>identificadas</w:t>
      </w:r>
      <w:r w:rsidRPr="002F366B">
        <w:rPr>
          <w:rFonts w:ascii="Palatino Linotype" w:hAnsi="Palatino Linotype"/>
          <w:color w:val="000000"/>
          <w:sz w:val="24"/>
          <w:szCs w:val="24"/>
        </w:rPr>
        <w:t xml:space="preserve"> e identificables, además de que las relaciona como contribuyentes de las autoridades fiscales. Es de destacar que dicho dato únicamente sirve para efectos fiscales y pago de contribuciones, por lo que se trata de un dato relevante únicamente para las personas </w:t>
      </w:r>
      <w:r w:rsidRPr="002F366B">
        <w:rPr>
          <w:rFonts w:ascii="Palatino Linotype" w:hAnsi="Palatino Linotype"/>
          <w:sz w:val="24"/>
          <w:szCs w:val="24"/>
        </w:rPr>
        <w:t>involucradas</w:t>
      </w:r>
      <w:r w:rsidRPr="002F366B">
        <w:rPr>
          <w:rFonts w:ascii="Palatino Linotype" w:hAnsi="Palatino Linotype"/>
          <w:color w:val="000000"/>
          <w:sz w:val="24"/>
          <w:szCs w:val="24"/>
        </w:rPr>
        <w:t xml:space="preserve">, en el pago de estos, en el presente caso, del pago del Impuesto Sobre el Producto del Trabajo. </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Lo anterior, resulta congruente con el Criterio Orientador, de la Segunda Época, con número de registro SO/019/2017, emitido por el entonces Instituto Nacional de Transparencia, Acceso a la Información y Protección de Datos Personales, vigente a la fecha de la solicitud, en el cual se señala lo siguiente:</w:t>
      </w:r>
    </w:p>
    <w:p w:rsidR="00AA609F" w:rsidRPr="002F366B" w:rsidRDefault="00AA609F" w:rsidP="00AA609F">
      <w:pPr>
        <w:spacing w:after="0" w:line="360" w:lineRule="auto"/>
        <w:ind w:left="567" w:right="567"/>
        <w:jc w:val="both"/>
        <w:rPr>
          <w:rFonts w:ascii="Palatino Linotype" w:hAnsi="Palatino Linotype"/>
          <w:i/>
          <w:iCs/>
          <w:color w:val="000000"/>
        </w:rPr>
      </w:pPr>
      <w:r w:rsidRPr="002F366B">
        <w:rPr>
          <w:rFonts w:ascii="Palatino Linotype" w:hAnsi="Palatino Linotype"/>
          <w:b/>
          <w:bCs/>
          <w:i/>
          <w:iCs/>
          <w:color w:val="000000"/>
        </w:rPr>
        <w:t>“Registro Federal de Contribuyentes (RFC) de personas físicas.</w:t>
      </w:r>
      <w:r w:rsidRPr="002F366B">
        <w:rPr>
          <w:rFonts w:ascii="Palatino Linotype" w:hAnsi="Palatino Linotype"/>
          <w:i/>
          <w:iCs/>
          <w:color w:val="000000"/>
        </w:rPr>
        <w:t xml:space="preserve"> El RFC es una clave de carácter fiscal, única e irrepetible, que permite identificar al titular, su edad y fecha de nacimiento, por lo que es un dato personal de carácter confidencial.”</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w:t>
      </w:r>
      <w:r w:rsidRPr="002F366B">
        <w:rPr>
          <w:rFonts w:ascii="Palatino Linotype" w:hAnsi="Palatino Linotype"/>
          <w:color w:val="000000"/>
          <w:sz w:val="24"/>
          <w:szCs w:val="24"/>
        </w:rPr>
        <w:lastRenderedPageBreak/>
        <w:t>de la Ley de Transparencia y Acceso a la Información Pública del Estado de México y Municipios.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de pagos de sujetos obligados están vinculadas directamente con el ejercicio de recursos públicos.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Ahora bien, si fuera el caso de que el Código QR diera cuenta del RFC de una persona jurídico-colectiva proveedor de una institución pública y el pago de los conceptos se realizó con recursos públicos; lo anterior se respalda con el Criterio 1/2014, del entonces Instituto Nacional de Transparencia, Acceso a la Información y Protección de Datos Personales (INAI).</w:t>
      </w:r>
    </w:p>
    <w:p w:rsidR="00AA609F" w:rsidRPr="002F366B" w:rsidRDefault="00AA609F" w:rsidP="00AA609F">
      <w:pPr>
        <w:spacing w:after="0" w:line="360" w:lineRule="auto"/>
        <w:ind w:left="567" w:right="709"/>
        <w:jc w:val="both"/>
        <w:rPr>
          <w:rFonts w:ascii="Palatino Linotype" w:hAnsi="Palatino Linotype"/>
          <w:i/>
          <w:iCs/>
          <w:color w:val="000000"/>
        </w:rPr>
      </w:pPr>
      <w:r w:rsidRPr="002F366B">
        <w:rPr>
          <w:rFonts w:ascii="Palatino Linotype" w:hAnsi="Palatino Linotype"/>
          <w:b/>
          <w:bCs/>
          <w:i/>
          <w:iCs/>
          <w:color w:val="000000"/>
        </w:rPr>
        <w:t xml:space="preserve">“Denominación o razón social, y Registro Federal de Contribuyentes de personas morales, no constituyen información confidencial. </w:t>
      </w:r>
      <w:r w:rsidRPr="002F366B">
        <w:rPr>
          <w:rFonts w:ascii="Palatino Linotype" w:hAnsi="Palatino Linotype"/>
          <w:i/>
          <w:iCs/>
          <w:color w:val="000000"/>
        </w:rPr>
        <w:t xml:space="preserve">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w:t>
      </w:r>
      <w:r w:rsidRPr="002F366B">
        <w:rPr>
          <w:rFonts w:ascii="Palatino Linotype" w:hAnsi="Palatino Linotype"/>
          <w:i/>
          <w:iCs/>
          <w:color w:val="000000"/>
        </w:rPr>
        <w:lastRenderedPageBreak/>
        <w:t>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rsidR="00AA609F" w:rsidRPr="002F366B" w:rsidRDefault="00AA609F" w:rsidP="00AA609F">
      <w:pPr>
        <w:spacing w:after="0" w:line="360" w:lineRule="auto"/>
        <w:jc w:val="both"/>
        <w:rPr>
          <w:rFonts w:ascii="Palatino Linotype" w:hAnsi="Palatino Linotype"/>
          <w:b/>
          <w:bCs/>
          <w:color w:val="000000"/>
          <w:sz w:val="24"/>
          <w:szCs w:val="24"/>
          <w:u w:val="single"/>
        </w:rPr>
      </w:pPr>
      <w:r w:rsidRPr="002F366B">
        <w:rPr>
          <w:rFonts w:ascii="Palatino Linotype" w:hAnsi="Palatino Linotype"/>
          <w:color w:val="000000"/>
          <w:sz w:val="24"/>
          <w:szCs w:val="24"/>
        </w:rPr>
        <w:br/>
      </w:r>
      <w:r w:rsidRPr="002F366B">
        <w:rPr>
          <w:rFonts w:ascii="Palatino Linotype" w:hAnsi="Palatino Linotype"/>
          <w:b/>
          <w:bCs/>
          <w:color w:val="000000"/>
          <w:sz w:val="24"/>
          <w:szCs w:val="24"/>
          <w:u w:val="single"/>
        </w:rPr>
        <w:t xml:space="preserve">Por lo que el RFC de los proveedores de algún servicio o producto, deberá ser público ya que no actualiza el supuesto jurídico. </w:t>
      </w:r>
    </w:p>
    <w:p w:rsidR="00AA609F" w:rsidRPr="002F366B" w:rsidRDefault="00AA609F" w:rsidP="00AA609F">
      <w:pPr>
        <w:tabs>
          <w:tab w:val="center" w:pos="4522"/>
        </w:tabs>
        <w:spacing w:after="0" w:line="360" w:lineRule="auto"/>
        <w:jc w:val="both"/>
        <w:rPr>
          <w:rFonts w:ascii="Palatino Linotype" w:hAnsi="Palatino Linotype"/>
          <w:color w:val="000000"/>
          <w:sz w:val="24"/>
          <w:szCs w:val="24"/>
        </w:rPr>
      </w:pPr>
    </w:p>
    <w:p w:rsidR="00AA609F" w:rsidRPr="002F366B" w:rsidRDefault="00AA609F" w:rsidP="00AA609F">
      <w:pPr>
        <w:numPr>
          <w:ilvl w:val="0"/>
          <w:numId w:val="7"/>
        </w:numPr>
        <w:spacing w:after="0" w:line="360" w:lineRule="auto"/>
        <w:jc w:val="both"/>
        <w:rPr>
          <w:rFonts w:ascii="Palatino Linotype" w:hAnsi="Palatino Linotype"/>
          <w:sz w:val="24"/>
          <w:szCs w:val="24"/>
        </w:rPr>
      </w:pPr>
      <w:r w:rsidRPr="002F366B">
        <w:rPr>
          <w:rFonts w:ascii="Palatino Linotype" w:hAnsi="Palatino Linotype"/>
          <w:b/>
          <w:bCs/>
          <w:sz w:val="24"/>
          <w:szCs w:val="24"/>
        </w:rPr>
        <w:t>Sellos digitales del emisor y del Servicio de Administración Tributaria y cadena original del complemento de certificación digital del organismo previamente señalado</w:t>
      </w:r>
    </w:p>
    <w:p w:rsidR="00AA609F" w:rsidRPr="002F366B" w:rsidRDefault="00AA609F" w:rsidP="00AA609F">
      <w:pPr>
        <w:spacing w:after="0" w:line="360" w:lineRule="auto"/>
        <w:ind w:left="720"/>
        <w:jc w:val="both"/>
        <w:rPr>
          <w:rFonts w:ascii="Palatino Linotype" w:hAnsi="Palatino Linotype"/>
          <w:b/>
          <w:bCs/>
          <w:sz w:val="24"/>
          <w:szCs w:val="24"/>
        </w:rPr>
      </w:pP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está se encuentra encriptada como se verá a continuación.</w:t>
      </w: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lastRenderedPageBreak/>
        <w:t> </w:t>
      </w: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Las cadenas originales y sellos que se agregan a las facturas</w:t>
      </w:r>
      <w:r w:rsidRPr="002F366B">
        <w:rPr>
          <w:rFonts w:ascii="Palatino Linotype" w:hAnsi="Palatino Linotype"/>
          <w:b/>
          <w:bCs/>
          <w:sz w:val="24"/>
          <w:szCs w:val="24"/>
        </w:rPr>
        <w:t>,</w:t>
      </w:r>
      <w:r w:rsidRPr="002F366B">
        <w:rPr>
          <w:rFonts w:ascii="Palatino Linotype" w:hAnsi="Palatino Linotype"/>
          <w:sz w:val="24"/>
          <w:szCs w:val="24"/>
        </w:rPr>
        <w:t xml:space="preserve"> tienen una secuencia de generación, determinados con base en el ANEXO 20 de la Segunda Resolución de modificaciones a la Resolución Miscelánea Fiscal,  que precisa los datos de los que se componen los elementos de seguridad y se puntualiza que dicha información está encriptada.</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Elementos utilizados en la generación de Sellos Digitales:</w:t>
      </w:r>
    </w:p>
    <w:p w:rsidR="00AA609F" w:rsidRPr="002F366B" w:rsidRDefault="00AA609F" w:rsidP="00AA609F">
      <w:pPr>
        <w:spacing w:after="0" w:line="360" w:lineRule="auto"/>
        <w:ind w:left="567" w:right="539"/>
        <w:jc w:val="both"/>
        <w:rPr>
          <w:rFonts w:ascii="Palatino Linotype" w:hAnsi="Palatino Linotype"/>
          <w:i/>
          <w:iCs/>
        </w:rPr>
      </w:pP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w:t>
      </w:r>
      <w:r w:rsidRPr="002F366B">
        <w:rPr>
          <w:rFonts w:ascii="Palatino Linotype" w:hAnsi="Palatino Linotype"/>
          <w:i/>
          <w:iCs/>
        </w:rPr>
        <w:tab/>
        <w:t>Cadena Original, el elemento a sellar, en este caso de un comprobante fiscal digital a través de Internet.</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w:t>
      </w:r>
      <w:r w:rsidRPr="002F366B">
        <w:rPr>
          <w:rFonts w:ascii="Palatino Linotype" w:hAnsi="Palatino Linotype"/>
          <w:i/>
          <w:iCs/>
        </w:rPr>
        <w:tab/>
        <w:t>Certificado de Sello Digital y su correspondiente clave privada.</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w:t>
      </w:r>
      <w:r w:rsidRPr="002F366B">
        <w:rPr>
          <w:rFonts w:ascii="Palatino Linotype" w:hAnsi="Palatino Linotype"/>
          <w:i/>
          <w:iCs/>
        </w:rPr>
        <w:tab/>
        <w:t>Algoritmos de criptografía de clave pública para firma electrónica avanzada.</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w:t>
      </w:r>
      <w:r w:rsidRPr="002F366B">
        <w:rPr>
          <w:rFonts w:ascii="Palatino Linotype" w:hAnsi="Palatino Linotype"/>
          <w:i/>
          <w:iCs/>
        </w:rPr>
        <w:tab/>
        <w:t>Especificaciones de conversión de la firma electrónica avanzada a Base 64.</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Para la generación de sellos digitales se utiliza criptografía de clave pública aplicada a una cadena original.</w:t>
      </w:r>
    </w:p>
    <w:p w:rsidR="00AA609F" w:rsidRPr="002F366B" w:rsidRDefault="00AA609F" w:rsidP="00AA609F">
      <w:pPr>
        <w:spacing w:after="0" w:line="360" w:lineRule="auto"/>
        <w:ind w:left="567" w:right="539"/>
        <w:jc w:val="both"/>
        <w:rPr>
          <w:rFonts w:ascii="Palatino Linotype" w:hAnsi="Palatino Linotype"/>
          <w:i/>
          <w:iCs/>
        </w:rPr>
      </w:pP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Criptografía de la Clave Pública</w:t>
      </w:r>
    </w:p>
    <w:p w:rsidR="00AA609F" w:rsidRPr="002F366B" w:rsidRDefault="00AA609F" w:rsidP="00AA609F">
      <w:pPr>
        <w:spacing w:after="0" w:line="360" w:lineRule="auto"/>
        <w:ind w:left="567" w:right="539"/>
        <w:jc w:val="both"/>
        <w:rPr>
          <w:rFonts w:ascii="Palatino Linotype" w:hAnsi="Palatino Linotype"/>
          <w:i/>
          <w:iCs/>
        </w:rPr>
      </w:pP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AA609F" w:rsidRPr="002F366B" w:rsidRDefault="00AA609F" w:rsidP="00AA609F">
      <w:pPr>
        <w:spacing w:after="0" w:line="360" w:lineRule="auto"/>
        <w:ind w:left="567" w:right="539"/>
        <w:jc w:val="both"/>
        <w:rPr>
          <w:rFonts w:ascii="Palatino Linotype" w:hAnsi="Palatino Linotype"/>
          <w:i/>
          <w:iCs/>
        </w:rPr>
      </w:pPr>
      <w:r w:rsidRPr="002F366B">
        <w:rPr>
          <w:rFonts w:ascii="Palatino Linotype" w:hAnsi="Palatino Linotype"/>
          <w:i/>
          <w:iCs/>
        </w:rPr>
        <w:t>…”</w:t>
      </w: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lastRenderedPageBreak/>
        <w:t> </w:t>
      </w: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Es decir, por sí solos las cadenas originales y los sellos originales no contienen datos personales confidenciales,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AA609F" w:rsidRPr="002F366B" w:rsidRDefault="00AA609F" w:rsidP="00AA609F">
      <w:pPr>
        <w:spacing w:after="0" w:line="360" w:lineRule="auto"/>
        <w:jc w:val="both"/>
        <w:rPr>
          <w:rFonts w:ascii="Palatino Linotype" w:hAnsi="Palatino Linotype"/>
          <w:sz w:val="24"/>
          <w:szCs w:val="24"/>
        </w:rPr>
      </w:pP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Sin embargo, existen ocasiones que las cadenas y sellos se conforman de datos personales, tales como, la Clave Única de Registro de Población, el Registro Federal de Contribuyentes o el número de seguridad social, por lo que, en el caso de que alguno de los datos analizados se conforme de información confidencial, deberá clasificarlo en términos del artículo referido.</w:t>
      </w:r>
    </w:p>
    <w:p w:rsidR="00AA609F" w:rsidRPr="002F366B" w:rsidRDefault="00AA609F" w:rsidP="00AA609F">
      <w:pPr>
        <w:spacing w:after="0" w:line="360" w:lineRule="auto"/>
        <w:jc w:val="both"/>
        <w:rPr>
          <w:rFonts w:ascii="Palatino Linotype" w:hAnsi="Palatino Linotype"/>
          <w:b/>
          <w:bCs/>
          <w:sz w:val="24"/>
          <w:szCs w:val="24"/>
        </w:rPr>
      </w:pPr>
    </w:p>
    <w:p w:rsidR="00AA609F" w:rsidRPr="002F366B" w:rsidRDefault="00AA609F" w:rsidP="00AA609F">
      <w:pPr>
        <w:numPr>
          <w:ilvl w:val="0"/>
          <w:numId w:val="8"/>
        </w:numPr>
        <w:spacing w:after="0" w:line="360" w:lineRule="auto"/>
        <w:jc w:val="both"/>
        <w:rPr>
          <w:rFonts w:ascii="Palatino Linotype" w:hAnsi="Palatino Linotype"/>
          <w:color w:val="000000"/>
          <w:sz w:val="24"/>
          <w:szCs w:val="24"/>
        </w:rPr>
      </w:pPr>
      <w:r w:rsidRPr="002F366B">
        <w:rPr>
          <w:rFonts w:ascii="Palatino Linotype" w:hAnsi="Palatino Linotype"/>
          <w:b/>
          <w:bCs/>
          <w:color w:val="000000"/>
          <w:sz w:val="24"/>
          <w:szCs w:val="24"/>
        </w:rPr>
        <w:t>Datos Bancarios de Particulares.</w:t>
      </w: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Al respecto, se estima que dichos datos se relacionan con hechos y actos de carácter económico, pues los mismos darían cuenta, de la relación que tiene una institución financiero con un particular, inclusive dichos datos pudieran conformarse de las cuentas bancarias con las que cuenta un Particular, o bien, la clabe interbancaria; además, que con dicha información se podría obtener los recursos enviados a las órdenes de cargo, pago de nómina o a las transferencias electrónicas </w:t>
      </w:r>
      <w:r w:rsidRPr="002F366B">
        <w:rPr>
          <w:rFonts w:ascii="Palatino Linotype" w:hAnsi="Palatino Linotype"/>
          <w:sz w:val="24"/>
          <w:szCs w:val="24"/>
        </w:rPr>
        <w:t>de fondos</w:t>
      </w:r>
      <w:r w:rsidRPr="002F366B">
        <w:rPr>
          <w:rFonts w:ascii="Palatino Linotype" w:hAnsi="Palatino Linotype"/>
          <w:color w:val="000000"/>
          <w:sz w:val="24"/>
          <w:szCs w:val="24"/>
        </w:rPr>
        <w:t xml:space="preserve"> interbancarios, entre otros movimientos que sean utilizados exclusivamente en la cuenta señalada por el cliente y por lo tanto, los datos bancarios corresponden a </w:t>
      </w:r>
      <w:r w:rsidRPr="002F366B">
        <w:rPr>
          <w:rFonts w:ascii="Palatino Linotype" w:hAnsi="Palatino Linotype"/>
          <w:color w:val="000000"/>
          <w:sz w:val="24"/>
          <w:szCs w:val="24"/>
        </w:rPr>
        <w:lastRenderedPageBreak/>
        <w:t>información que se encuentra relacionada con el patrimonio de la persona titular de la cuenta.</w:t>
      </w: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 </w:t>
      </w: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A mayor abundamiento, resulta necesario traer a colación el Criterio 10/17 emitido por el Instituto Nacional de Transparencia, Acceso a la Información y Protección de Datos Personales, mismo que establece lo siguiente:</w:t>
      </w:r>
    </w:p>
    <w:p w:rsidR="00AA609F" w:rsidRPr="002F366B" w:rsidRDefault="00AA609F" w:rsidP="00AA609F">
      <w:pPr>
        <w:spacing w:after="0" w:line="360" w:lineRule="auto"/>
        <w:ind w:left="567" w:right="709"/>
        <w:jc w:val="both"/>
        <w:rPr>
          <w:rFonts w:ascii="Palatino Linotype" w:hAnsi="Palatino Linotype"/>
          <w:i/>
          <w:iCs/>
          <w:color w:val="000000"/>
        </w:rPr>
      </w:pPr>
      <w:r w:rsidRPr="002F366B">
        <w:rPr>
          <w:rFonts w:ascii="Palatino Linotype" w:hAnsi="Palatino Linotype"/>
          <w:i/>
          <w:iCs/>
          <w:color w:val="000000"/>
        </w:rPr>
        <w:t>“</w:t>
      </w:r>
      <w:r w:rsidRPr="002F366B">
        <w:rPr>
          <w:rFonts w:ascii="Palatino Linotype" w:hAnsi="Palatino Linotype"/>
          <w:b/>
          <w:bCs/>
          <w:i/>
          <w:iCs/>
          <w:color w:val="000000"/>
        </w:rPr>
        <w:t>Cuentas bancarias y/o CLABE interbancaria de personas físicas y morales privadas.</w:t>
      </w:r>
      <w:r w:rsidRPr="002F366B">
        <w:rPr>
          <w:rFonts w:ascii="Palatino Linotype" w:hAnsi="Palatino Linotype"/>
          <w:i/>
          <w:iCs/>
          <w:color w:val="000000"/>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spacing w:after="0" w:line="360" w:lineRule="auto"/>
        <w:jc w:val="both"/>
        <w:rPr>
          <w:rFonts w:ascii="Palatino Linotype" w:hAnsi="Palatino Linotype"/>
          <w:color w:val="000000"/>
          <w:sz w:val="24"/>
          <w:szCs w:val="24"/>
        </w:rPr>
      </w:pPr>
      <w:r w:rsidRPr="002F366B">
        <w:rPr>
          <w:rFonts w:ascii="Palatino Linotype" w:hAnsi="Palatino Linotype"/>
          <w:color w:val="000000"/>
          <w:sz w:val="24"/>
          <w:szCs w:val="24"/>
        </w:rPr>
        <w:t xml:space="preserve">Por lo cual, se puede colegir que dichos datos no guardan relación con el servicio público ni con los recursos públicos, pues </w:t>
      </w:r>
      <w:r w:rsidRPr="002F366B">
        <w:rPr>
          <w:rFonts w:ascii="Palatino Linotype" w:hAnsi="Palatino Linotype"/>
          <w:sz w:val="24"/>
          <w:szCs w:val="24"/>
        </w:rPr>
        <w:t>sólo</w:t>
      </w:r>
      <w:r w:rsidRPr="002F366B">
        <w:rPr>
          <w:rFonts w:ascii="Palatino Linotype" w:hAnsi="Palatino Linotype"/>
          <w:color w:val="000000"/>
          <w:sz w:val="24"/>
          <w:szCs w:val="24"/>
        </w:rPr>
        <w:t xml:space="preserve"> corresponde a información, que le atañe a la institución financiera y al cliente; por lo que este número constituye información confidencial al pertenecer exclusivamente al ámbito de la vida privada del Particular y procede su clasificación de conformidad con el artículo 143, fracción I, de la Ley de Transparencia y Acceso a la Información Pública del Estado de México y Municipios.</w:t>
      </w:r>
    </w:p>
    <w:p w:rsidR="00AA609F" w:rsidRPr="002F366B" w:rsidRDefault="00AA609F" w:rsidP="00AA609F">
      <w:pPr>
        <w:spacing w:after="0" w:line="360" w:lineRule="auto"/>
        <w:jc w:val="both"/>
        <w:rPr>
          <w:rFonts w:ascii="Palatino Linotype" w:hAnsi="Palatino Linotype"/>
          <w:color w:val="000000"/>
          <w:sz w:val="24"/>
          <w:szCs w:val="24"/>
        </w:rPr>
      </w:pPr>
    </w:p>
    <w:p w:rsidR="00AA609F" w:rsidRPr="002F366B" w:rsidRDefault="00AA609F" w:rsidP="00AA609F">
      <w:pPr>
        <w:numPr>
          <w:ilvl w:val="0"/>
          <w:numId w:val="9"/>
        </w:numPr>
        <w:pBdr>
          <w:top w:val="nil"/>
          <w:left w:val="nil"/>
          <w:bottom w:val="nil"/>
          <w:right w:val="nil"/>
          <w:between w:val="nil"/>
        </w:pBdr>
        <w:spacing w:after="0" w:line="360" w:lineRule="auto"/>
        <w:jc w:val="both"/>
        <w:rPr>
          <w:rFonts w:ascii="Palatino Linotype" w:hAnsi="Palatino Linotype"/>
          <w:b/>
          <w:bCs/>
          <w:color w:val="000000"/>
          <w:sz w:val="24"/>
          <w:szCs w:val="24"/>
        </w:rPr>
      </w:pPr>
      <w:r w:rsidRPr="002F366B">
        <w:rPr>
          <w:rFonts w:ascii="Palatino Linotype" w:hAnsi="Palatino Linotype"/>
          <w:b/>
          <w:bCs/>
          <w:color w:val="000000"/>
          <w:sz w:val="24"/>
          <w:szCs w:val="24"/>
        </w:rPr>
        <w:t>Nombres de personas que no son servidores públicos ni proveedores.</w:t>
      </w:r>
    </w:p>
    <w:p w:rsidR="00AA609F" w:rsidRPr="002F366B" w:rsidRDefault="00AA609F" w:rsidP="00AA609F">
      <w:pPr>
        <w:spacing w:after="0" w:line="360" w:lineRule="auto"/>
        <w:ind w:right="-93"/>
        <w:jc w:val="both"/>
        <w:rPr>
          <w:rFonts w:ascii="Palatino Linotype" w:hAnsi="Palatino Linotype"/>
          <w:b/>
          <w:bCs/>
          <w:sz w:val="24"/>
          <w:szCs w:val="24"/>
        </w:rPr>
      </w:pPr>
      <w:r w:rsidRPr="002F366B">
        <w:rPr>
          <w:rFonts w:ascii="Palatino Linotype" w:hAnsi="Palatino Linotype"/>
          <w:sz w:val="24"/>
          <w:szCs w:val="24"/>
        </w:rPr>
        <w:t xml:space="preserve">Al respecto, se considera que el nombre se integra con el sustantivo propio y el primer apellido de los padres, en el orden que, de común acuerdo determinen; asimismo es la </w:t>
      </w:r>
      <w:r w:rsidRPr="002F366B">
        <w:rPr>
          <w:rFonts w:ascii="Palatino Linotype" w:hAnsi="Palatino Linotype"/>
          <w:sz w:val="24"/>
          <w:szCs w:val="24"/>
        </w:rPr>
        <w:lastRenderedPageBreak/>
        <w:t xml:space="preserve">manifestación principal del derecho subjetivo a la personalidad y atributo de ésta en términos del artículo 2.3 del Código Civil del Estado de México, de tal suerte, el nombre </w:t>
      </w:r>
      <w:r w:rsidRPr="002F366B">
        <w:rPr>
          <w:rFonts w:ascii="Palatino Linotype" w:hAnsi="Palatino Linotype"/>
          <w:i/>
          <w:iCs/>
          <w:sz w:val="24"/>
          <w:szCs w:val="24"/>
        </w:rPr>
        <w:t>per se</w:t>
      </w:r>
      <w:r w:rsidRPr="002F366B">
        <w:rPr>
          <w:rFonts w:ascii="Palatino Linotype" w:hAnsi="Palatino Linotype"/>
          <w:sz w:val="24"/>
          <w:szCs w:val="24"/>
        </w:rPr>
        <w:t xml:space="preserve"> es un elemento que hace a una persona física identificada o identificable, por lo que, </w:t>
      </w:r>
      <w:r w:rsidRPr="002F366B">
        <w:rPr>
          <w:rFonts w:ascii="Palatino Linotype" w:hAnsi="Palatino Linotype"/>
          <w:b/>
          <w:bCs/>
          <w:sz w:val="24"/>
          <w:szCs w:val="24"/>
        </w:rPr>
        <w:t>se considera un dato personal.</w:t>
      </w:r>
    </w:p>
    <w:p w:rsidR="00AA609F" w:rsidRPr="002F366B" w:rsidRDefault="00AA609F" w:rsidP="00AA609F">
      <w:pPr>
        <w:spacing w:after="0" w:line="360" w:lineRule="auto"/>
        <w:jc w:val="both"/>
        <w:rPr>
          <w:rFonts w:ascii="Palatino Linotype" w:hAnsi="Palatino Linotype"/>
          <w:sz w:val="24"/>
          <w:szCs w:val="24"/>
        </w:rPr>
      </w:pP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rsidR="00AA609F" w:rsidRPr="002F366B" w:rsidRDefault="00AA609F" w:rsidP="00AA609F">
      <w:pPr>
        <w:spacing w:after="0" w:line="360" w:lineRule="auto"/>
        <w:ind w:left="567" w:right="567"/>
        <w:jc w:val="both"/>
        <w:rPr>
          <w:rFonts w:ascii="Palatino Linotype" w:hAnsi="Palatino Linotype"/>
          <w:i/>
          <w:iCs/>
          <w:sz w:val="24"/>
          <w:szCs w:val="24"/>
        </w:rPr>
      </w:pPr>
      <w:r w:rsidRPr="002F366B">
        <w:rPr>
          <w:rFonts w:ascii="Palatino Linotype" w:hAnsi="Palatino Linotype"/>
          <w:b/>
          <w:bCs/>
          <w:i/>
          <w:iCs/>
        </w:rPr>
        <w:t>“Nombre del titular de una licencia que no involucre el aprovechamiento de bienes, servicios y/o recursos públicos, constituye un dato personal susceptible de clasificar como confidencial.</w:t>
      </w:r>
      <w:r w:rsidRPr="002F366B">
        <w:rPr>
          <w:rFonts w:ascii="Palatino Linotype" w:hAnsi="Palatino Linotype"/>
          <w:i/>
          <w:iCs/>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w:t>
      </w:r>
      <w:r w:rsidRPr="002F366B">
        <w:rPr>
          <w:rFonts w:ascii="Palatino Linotype" w:hAnsi="Palatino Linotype"/>
          <w:i/>
          <w:iCs/>
        </w:rPr>
        <w:lastRenderedPageBreak/>
        <w:t>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r w:rsidRPr="002F366B">
        <w:rPr>
          <w:rFonts w:ascii="Palatino Linotype" w:hAnsi="Palatino Linotype"/>
          <w:i/>
          <w:iCs/>
          <w:sz w:val="24"/>
          <w:szCs w:val="24"/>
        </w:rPr>
        <w:t>.”</w:t>
      </w:r>
    </w:p>
    <w:p w:rsidR="00AA609F" w:rsidRPr="002F366B" w:rsidRDefault="00AA609F" w:rsidP="00AA609F">
      <w:pPr>
        <w:spacing w:after="0" w:line="360" w:lineRule="auto"/>
        <w:ind w:right="-93"/>
        <w:jc w:val="both"/>
        <w:rPr>
          <w:rFonts w:ascii="Palatino Linotype" w:hAnsi="Palatino Linotype"/>
          <w:sz w:val="24"/>
          <w:szCs w:val="24"/>
        </w:rPr>
      </w:pPr>
    </w:p>
    <w:p w:rsidR="00AA609F" w:rsidRPr="002F366B" w:rsidRDefault="00AA609F" w:rsidP="00AA609F">
      <w:pPr>
        <w:spacing w:after="0" w:line="360" w:lineRule="auto"/>
        <w:jc w:val="both"/>
        <w:rPr>
          <w:rFonts w:ascii="Palatino Linotype" w:hAnsi="Palatino Linotype"/>
          <w:sz w:val="24"/>
          <w:szCs w:val="24"/>
        </w:rPr>
      </w:pPr>
      <w:r w:rsidRPr="002F366B">
        <w:rPr>
          <w:rFonts w:ascii="Palatino Linotype" w:hAnsi="Palatino Linotype"/>
          <w:sz w:val="24"/>
          <w:szCs w:val="24"/>
        </w:rPr>
        <w:t>Con base en lo anterior, procede su eliminación de las versiones públicas, pues actualiza el supuesto previsto en el artículo 143 fracción I de la Ley de Transparencia y Acceso a la Información Pública del Estado de México y Municipios. E</w:t>
      </w:r>
      <w:r w:rsidRPr="002F366B">
        <w:rPr>
          <w:rFonts w:ascii="Palatino Linotype" w:eastAsia="Palatino Linotype" w:hAnsi="Palatino Linotype" w:cs="Palatino Linotype"/>
          <w:sz w:val="24"/>
          <w:szCs w:val="24"/>
          <w:lang w:val="es-ES_tradnl" w:eastAsia="es-MX"/>
        </w:rPr>
        <w:t>ntorno a lo que aquí nos interesa, los Lineamientos Quincuagésimo sexto, Quincuagésimo séptimo y Quincuagésimo octavo, establecen lo siguiente:</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Quincuagésimo sexto.</w:t>
      </w:r>
      <w:r w:rsidRPr="002F366B">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Quincuagésimo séptimo.</w:t>
      </w:r>
      <w:r w:rsidRPr="002F366B">
        <w:rPr>
          <w:rFonts w:ascii="Palatino Linotype" w:eastAsia="Palatino Linotype" w:hAnsi="Palatino Linotype" w:cs="Palatino Linotype"/>
          <w:i/>
          <w:lang w:val="es-ES_tradnl" w:eastAsia="es-MX"/>
        </w:rPr>
        <w:t xml:space="preserve"> Se considera, en principio, como información pública y no podrá omitirse de las versiones públicas la siguiente:</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 xml:space="preserve"> </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 xml:space="preserve">I. La relativa a las Obligaciones de Transparencia que contempla el Título V de la Ley General y las demás disposiciones legales aplicables; </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lastRenderedPageBreak/>
        <w:t xml:space="preserve">II. El nombre de los integrantes de los sujetos obligados en los documentos, y sus firmas autógrafas o digitales, cuando sean utilizados en el ejercicio de las facultades conferidas para el desempeño del servicio público, y </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i/>
          <w:lang w:val="es-ES_tradnl" w:eastAsia="es-MX"/>
        </w:rPr>
        <w:t xml:space="preserve">Lo anterior, siempre y cuando no se acredite alguna causal de clasificación, prevista en las leyes o en los tratados internacionales suscritos por el Estado mexicano. </w:t>
      </w:r>
    </w:p>
    <w:p w:rsidR="00AA609F" w:rsidRPr="002F366B" w:rsidRDefault="00AA609F" w:rsidP="00AA609F">
      <w:pPr>
        <w:ind w:left="567" w:right="567"/>
        <w:jc w:val="both"/>
        <w:rPr>
          <w:rFonts w:ascii="Palatino Linotype" w:eastAsia="Palatino Linotype" w:hAnsi="Palatino Linotype" w:cs="Palatino Linotype"/>
          <w:i/>
          <w:lang w:val="es-ES_tradnl" w:eastAsia="es-MX"/>
        </w:rPr>
      </w:pPr>
    </w:p>
    <w:p w:rsidR="00AA609F" w:rsidRPr="002F366B" w:rsidRDefault="00AA609F" w:rsidP="00AA609F">
      <w:pPr>
        <w:ind w:left="567" w:right="567"/>
        <w:jc w:val="both"/>
        <w:rPr>
          <w:rFonts w:ascii="Palatino Linotype" w:eastAsia="Palatino Linotype" w:hAnsi="Palatino Linotype" w:cs="Palatino Linotype"/>
          <w:i/>
          <w:lang w:val="es-ES_tradnl" w:eastAsia="es-MX"/>
        </w:rPr>
      </w:pPr>
      <w:r w:rsidRPr="002F366B">
        <w:rPr>
          <w:rFonts w:ascii="Palatino Linotype" w:eastAsia="Palatino Linotype" w:hAnsi="Palatino Linotype" w:cs="Palatino Linotype"/>
          <w:b/>
          <w:i/>
          <w:lang w:val="es-ES_tradnl" w:eastAsia="es-MX"/>
        </w:rPr>
        <w:t>Quincuagésimo octavo.</w:t>
      </w:r>
      <w:r w:rsidRPr="002F366B">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rsidR="00AA609F" w:rsidRPr="002F366B" w:rsidRDefault="00AA609F" w:rsidP="00AA609F">
      <w:pPr>
        <w:spacing w:line="360" w:lineRule="auto"/>
        <w:jc w:val="both"/>
        <w:rPr>
          <w:rFonts w:ascii="Palatino Linotype" w:eastAsia="Palatino Linotype" w:hAnsi="Palatino Linotype" w:cs="Palatino Linotype"/>
          <w:i/>
          <w:sz w:val="24"/>
          <w:szCs w:val="24"/>
          <w:lang w:val="es-ES_tradnl" w:eastAsia="es-MX"/>
        </w:rPr>
      </w:pPr>
    </w:p>
    <w:p w:rsidR="00AA609F" w:rsidRPr="002F366B" w:rsidRDefault="00AA609F" w:rsidP="00AA609F">
      <w:pPr>
        <w:spacing w:line="360" w:lineRule="auto"/>
        <w:jc w:val="both"/>
        <w:rPr>
          <w:rFonts w:ascii="Palatino Linotype" w:eastAsia="Palatino Linotype" w:hAnsi="Palatino Linotype" w:cs="Palatino Linotype"/>
          <w:sz w:val="24"/>
          <w:szCs w:val="24"/>
          <w:lang w:val="es-ES_tradnl" w:eastAsia="es-MX"/>
        </w:rPr>
      </w:pPr>
      <w:r w:rsidRPr="002F366B">
        <w:rPr>
          <w:rFonts w:ascii="Palatino Linotype" w:eastAsia="Palatino Linotype" w:hAnsi="Palatino Linotype" w:cs="Palatino Linotype"/>
          <w:sz w:val="24"/>
          <w:szCs w:val="24"/>
          <w:lang w:val="es-ES_tradnl" w:eastAsia="es-MX"/>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Arial"/>
          <w:sz w:val="24"/>
          <w:szCs w:val="24"/>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AA609F" w:rsidRPr="002F366B" w:rsidRDefault="00AA609F" w:rsidP="00AA609F">
      <w:pPr>
        <w:spacing w:line="360" w:lineRule="auto"/>
        <w:jc w:val="both"/>
        <w:rPr>
          <w:rFonts w:ascii="Palatino Linotype" w:hAnsi="Palatino Linotype" w:cs="Arial"/>
          <w:sz w:val="24"/>
          <w:szCs w:val="24"/>
        </w:rPr>
      </w:pP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rsidR="00AA609F" w:rsidRPr="002F366B" w:rsidRDefault="00AA609F" w:rsidP="00AA609F">
      <w:pPr>
        <w:spacing w:line="360" w:lineRule="auto"/>
        <w:ind w:left="567" w:right="567"/>
        <w:jc w:val="both"/>
        <w:rPr>
          <w:rFonts w:ascii="Palatino Linotype" w:hAnsi="Palatino Linotype" w:cs="Arial"/>
          <w:i/>
        </w:rPr>
      </w:pPr>
      <w:r w:rsidRPr="002F366B">
        <w:rPr>
          <w:rFonts w:ascii="Palatino Linotype" w:hAnsi="Palatino Linotype" w:cs="Arial"/>
          <w:b/>
          <w:i/>
        </w:rPr>
        <w:t>FUNDAMENTACIÓN Y MOTIVACIÓN</w:t>
      </w:r>
      <w:r w:rsidRPr="002F366B">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Arial"/>
          <w:sz w:val="24"/>
          <w:szCs w:val="24"/>
        </w:rPr>
        <w:lastRenderedPageBreak/>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rsidR="00AA609F" w:rsidRPr="002F366B" w:rsidRDefault="00AA609F" w:rsidP="00AA609F">
      <w:pPr>
        <w:spacing w:line="360" w:lineRule="auto"/>
        <w:jc w:val="both"/>
        <w:rPr>
          <w:rFonts w:ascii="Palatino Linotype" w:hAnsi="Palatino Linotype" w:cs="Arial"/>
          <w:sz w:val="24"/>
          <w:szCs w:val="24"/>
        </w:rPr>
      </w:pP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rsidR="00AA609F" w:rsidRPr="002F366B" w:rsidRDefault="00AA609F" w:rsidP="00AA609F">
      <w:pPr>
        <w:spacing w:line="360" w:lineRule="auto"/>
        <w:ind w:left="567" w:right="567"/>
        <w:jc w:val="both"/>
        <w:rPr>
          <w:rFonts w:ascii="Palatino Linotype" w:hAnsi="Palatino Linotype" w:cs="Arial"/>
          <w:i/>
        </w:rPr>
      </w:pPr>
      <w:r w:rsidRPr="002F366B">
        <w:rPr>
          <w:rFonts w:ascii="Palatino Linotype" w:hAnsi="Palatino Linotype" w:cs="Arial"/>
          <w:b/>
          <w:i/>
        </w:rPr>
        <w:t>FUNDAMENTACIÓN Y MOTIVACIÓN. EL ASPECTO FORMAL DE LA GARANTÍA Y SU FINALIDAD SE TRADUCEN EN EXPLICAR, JUSTIFICAR, POSIBILITAR LA DEFENSA Y COMUNICAR LA DECISIÓN.</w:t>
      </w:r>
      <w:r w:rsidRPr="002F366B">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w:t>
      </w:r>
      <w:r w:rsidRPr="002F366B">
        <w:rPr>
          <w:rFonts w:ascii="Palatino Linotype" w:hAnsi="Palatino Linotype" w:cs="Arial"/>
          <w:i/>
        </w:rPr>
        <w:lastRenderedPageBreak/>
        <w:t>el razonamiento del que se deduzca la relación de pertenencia lógica de los hechos al derecho invocado, que es la subsunción.</w:t>
      </w:r>
    </w:p>
    <w:p w:rsidR="00AA609F" w:rsidRPr="002F366B" w:rsidRDefault="00AA609F" w:rsidP="00AA609F">
      <w:pPr>
        <w:spacing w:line="360" w:lineRule="auto"/>
        <w:jc w:val="both"/>
        <w:rPr>
          <w:rFonts w:ascii="Palatino Linotype" w:hAnsi="Palatino Linotype" w:cs="Arial"/>
        </w:rPr>
      </w:pP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AA609F" w:rsidRPr="002F366B" w:rsidRDefault="00AA609F" w:rsidP="00AA609F">
      <w:pPr>
        <w:spacing w:line="360" w:lineRule="auto"/>
        <w:jc w:val="both"/>
        <w:rPr>
          <w:rFonts w:ascii="Palatino Linotype" w:hAnsi="Palatino Linotype" w:cs="Arial"/>
          <w:sz w:val="24"/>
          <w:szCs w:val="24"/>
        </w:rPr>
      </w:pPr>
    </w:p>
    <w:p w:rsidR="00AA609F" w:rsidRPr="002F366B" w:rsidRDefault="00AA609F" w:rsidP="00AA609F">
      <w:pPr>
        <w:spacing w:line="360" w:lineRule="auto"/>
        <w:jc w:val="both"/>
        <w:rPr>
          <w:rFonts w:ascii="Palatino Linotype" w:hAnsi="Palatino Linotype" w:cs="Arial"/>
          <w:sz w:val="24"/>
          <w:szCs w:val="24"/>
        </w:rPr>
      </w:pPr>
      <w:r w:rsidRPr="002F366B">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rPr>
          <w:rFonts w:ascii="Palatino Linotype" w:hAnsi="Palatino Linotype"/>
          <w:b/>
          <w:sz w:val="24"/>
          <w:szCs w:val="24"/>
        </w:rPr>
      </w:pPr>
      <w:r w:rsidRPr="002F366B">
        <w:rPr>
          <w:rFonts w:ascii="Palatino Linotype" w:hAnsi="Palatino Linotype"/>
          <w:b/>
          <w:sz w:val="24"/>
          <w:szCs w:val="24"/>
        </w:rPr>
        <w:t>De la vista a los órganos internos de control competentes.</w:t>
      </w:r>
    </w:p>
    <w:p w:rsidR="00AA609F" w:rsidRPr="002F366B" w:rsidRDefault="00AA609F" w:rsidP="00AA609F">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r w:rsidRPr="002F366B">
        <w:rPr>
          <w:rFonts w:ascii="Palatino Linotype" w:eastAsia="Palatino Linotype" w:hAnsi="Palatino Linotype" w:cs="Palatino Linotype"/>
          <w:sz w:val="24"/>
          <w:szCs w:val="24"/>
        </w:rPr>
        <w:lastRenderedPageBreak/>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AA609F" w:rsidRPr="002F366B" w:rsidRDefault="00AA609F" w:rsidP="00AA609F">
      <w:pPr>
        <w:spacing w:line="360" w:lineRule="auto"/>
        <w:jc w:val="both"/>
        <w:rPr>
          <w:rFonts w:ascii="Palatino Linotype" w:hAnsi="Palatino Linotype"/>
          <w:sz w:val="24"/>
          <w:szCs w:val="24"/>
        </w:rPr>
      </w:pP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rPr>
      </w:pPr>
      <w:r w:rsidRPr="002F366B">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2F366B">
        <w:rPr>
          <w:rFonts w:ascii="Palatino Linotype" w:hAnsi="Palatino Linotype" w:cs="Arial"/>
          <w:b/>
          <w:sz w:val="24"/>
          <w:szCs w:val="24"/>
        </w:rPr>
        <w:t>ORDENA</w:t>
      </w:r>
      <w:r w:rsidRPr="002F366B">
        <w:rPr>
          <w:rFonts w:ascii="Palatino Linotype" w:hAnsi="Palatino Linotype" w:cs="Arial"/>
          <w:sz w:val="24"/>
          <w:szCs w:val="24"/>
        </w:rPr>
        <w:t xml:space="preserve"> al </w:t>
      </w:r>
      <w:r w:rsidRPr="002F366B">
        <w:rPr>
          <w:rFonts w:ascii="Palatino Linotype" w:hAnsi="Palatino Linotype" w:cs="Arial"/>
          <w:b/>
          <w:sz w:val="24"/>
          <w:szCs w:val="24"/>
        </w:rPr>
        <w:t>Sujeto Obligado</w:t>
      </w:r>
      <w:r w:rsidRPr="002F366B">
        <w:rPr>
          <w:rFonts w:ascii="Palatino Linotype" w:hAnsi="Palatino Linotype" w:cs="Arial"/>
          <w:sz w:val="24"/>
          <w:szCs w:val="24"/>
        </w:rPr>
        <w:t>, atienda la solicitud de información</w:t>
      </w:r>
      <w:r w:rsidRPr="002F366B">
        <w:rPr>
          <w:rFonts w:ascii="Palatino Linotype" w:eastAsia="Times New Roman" w:hAnsi="Palatino Linotype" w:cs="Times New Roman"/>
          <w:b/>
          <w:bCs/>
          <w:sz w:val="24"/>
          <w:szCs w:val="24"/>
          <w:lang w:val="es-ES" w:eastAsia="es-ES"/>
        </w:rPr>
        <w:t>,</w:t>
      </w:r>
      <w:r w:rsidRPr="002F366B">
        <w:rPr>
          <w:rFonts w:ascii="Palatino Linotype" w:hAnsi="Palatino Linotype" w:cs="Arial"/>
          <w:sz w:val="24"/>
          <w:szCs w:val="24"/>
        </w:rPr>
        <w:t xml:space="preserve"> que ha sido materia del presente fallo.</w:t>
      </w:r>
    </w:p>
    <w:p w:rsidR="00AA609F" w:rsidRPr="002F366B" w:rsidRDefault="00AA609F" w:rsidP="00AA609F">
      <w:pPr>
        <w:pStyle w:val="Prrafodelista"/>
        <w:spacing w:before="240" w:after="240"/>
        <w:ind w:left="0"/>
        <w:rPr>
          <w:rFonts w:ascii="Palatino Linotype" w:hAnsi="Palatino Linotype"/>
        </w:rPr>
      </w:pPr>
      <w:r w:rsidRPr="002F366B">
        <w:rPr>
          <w:rFonts w:ascii="Palatino Linotype" w:hAnsi="Palatino Linotype"/>
        </w:rPr>
        <w:t xml:space="preserve">Por lo antes expuesto y fundado es de resolverse y, </w:t>
      </w:r>
    </w:p>
    <w:p w:rsidR="00AA609F" w:rsidRPr="002F366B" w:rsidRDefault="00AA609F" w:rsidP="00AA609F">
      <w:pPr>
        <w:pStyle w:val="Prrafodelista"/>
        <w:spacing w:before="240" w:after="240"/>
        <w:ind w:left="0"/>
        <w:rPr>
          <w:rFonts w:ascii="Palatino Linotype" w:hAnsi="Palatino Linotype"/>
        </w:rPr>
      </w:pPr>
    </w:p>
    <w:p w:rsidR="00AA609F" w:rsidRPr="002F366B" w:rsidRDefault="00AA609F" w:rsidP="00AA609F">
      <w:pPr>
        <w:pStyle w:val="Prrafodelista"/>
        <w:spacing w:before="240" w:after="240"/>
        <w:ind w:left="0"/>
        <w:rPr>
          <w:rFonts w:ascii="Palatino Linotype" w:hAnsi="Palatino Linotype"/>
        </w:rPr>
      </w:pPr>
    </w:p>
    <w:p w:rsidR="00AA609F" w:rsidRPr="002F366B" w:rsidRDefault="00AA609F" w:rsidP="00AA609F">
      <w:pPr>
        <w:spacing w:before="240" w:line="360" w:lineRule="auto"/>
        <w:jc w:val="center"/>
        <w:rPr>
          <w:rFonts w:ascii="Palatino Linotype" w:hAnsi="Palatino Linotype"/>
          <w:b/>
          <w:bCs/>
          <w:spacing w:val="60"/>
          <w:sz w:val="28"/>
          <w:szCs w:val="28"/>
          <w:lang w:val="es-ES_tradnl"/>
        </w:rPr>
      </w:pPr>
      <w:r w:rsidRPr="002F366B">
        <w:rPr>
          <w:rFonts w:ascii="Palatino Linotype" w:hAnsi="Palatino Linotype"/>
          <w:b/>
          <w:bCs/>
          <w:spacing w:val="60"/>
          <w:sz w:val="28"/>
          <w:szCs w:val="28"/>
          <w:lang w:val="es-ES_tradnl"/>
        </w:rPr>
        <w:t>SE    RESUELVE</w:t>
      </w:r>
    </w:p>
    <w:p w:rsidR="00AA609F" w:rsidRPr="002F366B" w:rsidRDefault="00AA609F" w:rsidP="00AA609F">
      <w:pPr>
        <w:spacing w:before="240" w:line="360" w:lineRule="auto"/>
        <w:rPr>
          <w:rFonts w:ascii="Palatino Linotype" w:hAnsi="Palatino Linotype"/>
          <w:b/>
          <w:bCs/>
          <w:spacing w:val="60"/>
          <w:sz w:val="28"/>
          <w:szCs w:val="28"/>
          <w:lang w:val="es-ES_tradnl"/>
        </w:rPr>
      </w:pPr>
    </w:p>
    <w:p w:rsidR="00AA609F" w:rsidRPr="002F366B" w:rsidRDefault="00AA609F" w:rsidP="00AA609F">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2F366B">
        <w:rPr>
          <w:rFonts w:ascii="Palatino Linotype" w:eastAsia="Palatino Linotype" w:hAnsi="Palatino Linotype" w:cs="Palatino Linotype"/>
          <w:b/>
          <w:sz w:val="24"/>
          <w:szCs w:val="24"/>
        </w:rPr>
        <w:t>PRIMERO.</w:t>
      </w:r>
      <w:r w:rsidRPr="002F366B">
        <w:rPr>
          <w:rFonts w:ascii="Palatino Linotype" w:eastAsia="Palatino Linotype" w:hAnsi="Palatino Linotype" w:cs="Palatino Linotype"/>
          <w:sz w:val="24"/>
          <w:szCs w:val="24"/>
        </w:rPr>
        <w:t xml:space="preserve"> Se </w:t>
      </w:r>
      <w:r w:rsidRPr="002F366B">
        <w:rPr>
          <w:rFonts w:ascii="Palatino Linotype" w:eastAsia="Palatino Linotype" w:hAnsi="Palatino Linotype" w:cs="Palatino Linotype"/>
          <w:b/>
          <w:sz w:val="24"/>
          <w:szCs w:val="24"/>
        </w:rPr>
        <w:t>ORDENA</w:t>
      </w:r>
      <w:r w:rsidRPr="002F366B">
        <w:rPr>
          <w:rFonts w:ascii="Palatino Linotype" w:eastAsia="Palatino Linotype" w:hAnsi="Palatino Linotype" w:cs="Palatino Linotype"/>
          <w:sz w:val="24"/>
          <w:szCs w:val="24"/>
        </w:rPr>
        <w:t xml:space="preserve"> al </w:t>
      </w:r>
      <w:r w:rsidRPr="002F366B">
        <w:rPr>
          <w:rFonts w:ascii="Palatino Linotype" w:eastAsia="Palatino Linotype" w:hAnsi="Palatino Linotype" w:cs="Palatino Linotype"/>
          <w:b/>
          <w:sz w:val="24"/>
          <w:szCs w:val="24"/>
        </w:rPr>
        <w:t>Sujeto Obligado</w:t>
      </w:r>
      <w:r w:rsidRPr="002F366B">
        <w:rPr>
          <w:rFonts w:ascii="Palatino Linotype" w:eastAsia="Palatino Linotype" w:hAnsi="Palatino Linotype" w:cs="Palatino Linotype"/>
          <w:sz w:val="24"/>
          <w:szCs w:val="24"/>
        </w:rPr>
        <w:t xml:space="preserve"> que, haga entrega a la parte </w:t>
      </w:r>
      <w:r w:rsidRPr="002F366B">
        <w:rPr>
          <w:rFonts w:ascii="Palatino Linotype" w:eastAsia="Palatino Linotype" w:hAnsi="Palatino Linotype" w:cs="Palatino Linotype"/>
          <w:b/>
          <w:sz w:val="24"/>
          <w:szCs w:val="24"/>
        </w:rPr>
        <w:t>Recurrente</w:t>
      </w:r>
      <w:r w:rsidRPr="002F366B">
        <w:rPr>
          <w:rFonts w:ascii="Palatino Linotype" w:eastAsia="Palatino Linotype" w:hAnsi="Palatino Linotype" w:cs="Palatino Linotype"/>
          <w:sz w:val="24"/>
          <w:szCs w:val="24"/>
        </w:rPr>
        <w:t xml:space="preserve"> mediante el Sistema de Acceso a la Información Mexiquense (</w:t>
      </w:r>
      <w:r w:rsidRPr="002F366B">
        <w:rPr>
          <w:rFonts w:ascii="Palatino Linotype" w:eastAsia="Palatino Linotype" w:hAnsi="Palatino Linotype" w:cs="Palatino Linotype"/>
          <w:b/>
          <w:sz w:val="24"/>
          <w:szCs w:val="24"/>
        </w:rPr>
        <w:t>SAIMEX</w:t>
      </w:r>
      <w:r w:rsidRPr="002F366B">
        <w:rPr>
          <w:rFonts w:ascii="Palatino Linotype" w:eastAsia="Palatino Linotype" w:hAnsi="Palatino Linotype" w:cs="Palatino Linotype"/>
          <w:sz w:val="24"/>
          <w:szCs w:val="24"/>
        </w:rPr>
        <w:t xml:space="preserve">), por resultar fundados los motivos de inconformidad argüidos por la parte Recurrente en la solicitud de información </w:t>
      </w:r>
      <w:r w:rsidR="009E0938" w:rsidRPr="002F366B">
        <w:rPr>
          <w:rFonts w:ascii="Palatino Linotype" w:hAnsi="Palatino Linotype"/>
          <w:b/>
          <w:bCs/>
        </w:rPr>
        <w:t>00480/TEPOTZOT/IP/2026</w:t>
      </w:r>
      <w:r w:rsidR="009E0938" w:rsidRPr="002F366B">
        <w:rPr>
          <w:rFonts w:ascii="Verdana" w:hAnsi="Verdana"/>
          <w:b/>
          <w:bCs/>
        </w:rPr>
        <w:t xml:space="preserve"> </w:t>
      </w:r>
      <w:r w:rsidRPr="002F366B">
        <w:rPr>
          <w:rFonts w:ascii="Palatino Linotype" w:eastAsia="Palatino Linotype" w:hAnsi="Palatino Linotype" w:cs="Palatino Linotype"/>
          <w:sz w:val="24"/>
          <w:szCs w:val="24"/>
        </w:rPr>
        <w:t>en términos del Considerando</w:t>
      </w:r>
      <w:r w:rsidRPr="002F366B">
        <w:rPr>
          <w:rFonts w:ascii="Palatino Linotype" w:eastAsia="Palatino Linotype" w:hAnsi="Palatino Linotype" w:cs="Palatino Linotype"/>
          <w:b/>
          <w:sz w:val="24"/>
          <w:szCs w:val="24"/>
        </w:rPr>
        <w:t xml:space="preserve"> </w:t>
      </w:r>
      <w:r w:rsidRPr="002F366B">
        <w:rPr>
          <w:rFonts w:ascii="Palatino Linotype" w:eastAsia="Palatino Linotype" w:hAnsi="Palatino Linotype" w:cs="Palatino Linotype"/>
          <w:b/>
          <w:sz w:val="24"/>
          <w:szCs w:val="24"/>
        </w:rPr>
        <w:lastRenderedPageBreak/>
        <w:t>TERCERO</w:t>
      </w:r>
      <w:r w:rsidRPr="002F366B">
        <w:rPr>
          <w:rFonts w:ascii="Palatino Linotype" w:eastAsia="Palatino Linotype" w:hAnsi="Palatino Linotype" w:cs="Palatino Linotype"/>
          <w:sz w:val="24"/>
          <w:szCs w:val="24"/>
        </w:rPr>
        <w:t xml:space="preserve">  de ser procedente en versión pública </w:t>
      </w:r>
      <w:r w:rsidR="009E0938" w:rsidRPr="002F366B">
        <w:rPr>
          <w:rFonts w:ascii="Palatino Linotype" w:hAnsi="Palatino Linotype"/>
          <w:color w:val="000000"/>
          <w:sz w:val="24"/>
          <w:szCs w:val="24"/>
        </w:rPr>
        <w:t>del primero de enero de dos mil veinticinco al veintiséis de enero de dos mis veintiséis</w:t>
      </w:r>
      <w:r w:rsidR="009E0938" w:rsidRPr="002F366B">
        <w:rPr>
          <w:rFonts w:ascii="Palatino Linotype" w:eastAsia="Palatino Linotype" w:hAnsi="Palatino Linotype" w:cs="Palatino Linotype"/>
          <w:sz w:val="24"/>
          <w:szCs w:val="24"/>
        </w:rPr>
        <w:t xml:space="preserve"> </w:t>
      </w:r>
      <w:r w:rsidRPr="002F366B">
        <w:rPr>
          <w:rFonts w:ascii="Palatino Linotype" w:eastAsia="Palatino Linotype" w:hAnsi="Palatino Linotype" w:cs="Palatino Linotype"/>
          <w:sz w:val="24"/>
          <w:szCs w:val="24"/>
        </w:rPr>
        <w:t>de lo siguiente:</w:t>
      </w:r>
    </w:p>
    <w:p w:rsidR="009E0938" w:rsidRPr="002F366B" w:rsidRDefault="009E0938" w:rsidP="00AA609F">
      <w:pPr>
        <w:pStyle w:val="Prrafodelista"/>
        <w:numPr>
          <w:ilvl w:val="0"/>
          <w:numId w:val="12"/>
        </w:numPr>
        <w:spacing w:line="360" w:lineRule="auto"/>
        <w:jc w:val="both"/>
        <w:rPr>
          <w:rFonts w:ascii="Palatino Linotype" w:hAnsi="Palatino Linotype"/>
          <w:i/>
        </w:rPr>
      </w:pPr>
      <w:r w:rsidRPr="002F366B">
        <w:rPr>
          <w:rFonts w:ascii="Palatino Linotype" w:hAnsi="Palatino Linotype"/>
          <w:iCs/>
          <w:color w:val="000000"/>
          <w:sz w:val="24"/>
          <w:szCs w:val="24"/>
        </w:rPr>
        <w:t>Soporte documental que dé cuenta del l</w:t>
      </w:r>
      <w:r w:rsidRPr="002F366B">
        <w:rPr>
          <w:rFonts w:ascii="Palatino Linotype" w:hAnsi="Palatino Linotype"/>
          <w:color w:val="000000"/>
          <w:sz w:val="24"/>
          <w:szCs w:val="24"/>
        </w:rPr>
        <w:t>istado de contratos, pedidos y adquisiciones celebrados por el Sujeto Obligado.</w:t>
      </w:r>
    </w:p>
    <w:p w:rsidR="009E0938" w:rsidRPr="002F366B" w:rsidRDefault="009E0938" w:rsidP="009E0938">
      <w:pPr>
        <w:pStyle w:val="Prrafodelista"/>
        <w:spacing w:line="360" w:lineRule="auto"/>
        <w:ind w:left="1080"/>
        <w:jc w:val="both"/>
        <w:rPr>
          <w:rFonts w:ascii="Palatino Linotype" w:hAnsi="Palatino Linotype"/>
          <w:i/>
        </w:rPr>
      </w:pPr>
    </w:p>
    <w:p w:rsidR="009E0938" w:rsidRPr="002F366B" w:rsidRDefault="009E0938" w:rsidP="00AA609F">
      <w:pPr>
        <w:pStyle w:val="Prrafodelista"/>
        <w:numPr>
          <w:ilvl w:val="0"/>
          <w:numId w:val="12"/>
        </w:numPr>
        <w:spacing w:line="360" w:lineRule="auto"/>
        <w:jc w:val="both"/>
        <w:rPr>
          <w:rFonts w:ascii="Palatino Linotype" w:hAnsi="Palatino Linotype"/>
          <w:i/>
        </w:rPr>
      </w:pPr>
      <w:r w:rsidRPr="002F366B">
        <w:rPr>
          <w:rFonts w:ascii="Palatino Linotype" w:hAnsi="Palatino Linotype"/>
          <w:iCs/>
          <w:color w:val="000000"/>
          <w:sz w:val="24"/>
          <w:szCs w:val="24"/>
        </w:rPr>
        <w:t>Soporte documental que dé cuenta del p</w:t>
      </w:r>
      <w:r w:rsidRPr="002F366B">
        <w:rPr>
          <w:rFonts w:ascii="Palatino Linotype" w:hAnsi="Palatino Linotype"/>
          <w:color w:val="000000"/>
          <w:sz w:val="24"/>
          <w:szCs w:val="24"/>
        </w:rPr>
        <w:t>rocedimiento de contratación utilizado.</w:t>
      </w:r>
    </w:p>
    <w:p w:rsidR="009E0938" w:rsidRPr="002F366B" w:rsidRDefault="009E0938" w:rsidP="009E0938">
      <w:pPr>
        <w:pStyle w:val="Prrafodelista"/>
        <w:rPr>
          <w:rFonts w:ascii="Palatino Linotype" w:hAnsi="Palatino Linotype"/>
          <w:color w:val="000000"/>
          <w:sz w:val="24"/>
          <w:szCs w:val="24"/>
        </w:rPr>
      </w:pPr>
    </w:p>
    <w:p w:rsidR="009E0938" w:rsidRPr="002F366B" w:rsidRDefault="009E0938" w:rsidP="00AA609F">
      <w:pPr>
        <w:pStyle w:val="Prrafodelista"/>
        <w:numPr>
          <w:ilvl w:val="0"/>
          <w:numId w:val="12"/>
        </w:numPr>
        <w:spacing w:line="360" w:lineRule="auto"/>
        <w:jc w:val="both"/>
        <w:rPr>
          <w:rFonts w:ascii="Palatino Linotype" w:hAnsi="Palatino Linotype"/>
          <w:i/>
        </w:rPr>
      </w:pPr>
      <w:r w:rsidRPr="002F366B">
        <w:rPr>
          <w:rFonts w:ascii="Palatino Linotype" w:hAnsi="Palatino Linotype"/>
          <w:iCs/>
          <w:color w:val="000000"/>
          <w:sz w:val="24"/>
          <w:szCs w:val="24"/>
        </w:rPr>
        <w:t xml:space="preserve">Soporte documental que dé cuenta de </w:t>
      </w:r>
      <w:r w:rsidRPr="002F366B">
        <w:rPr>
          <w:rFonts w:ascii="Palatino Linotype" w:hAnsi="Palatino Linotype"/>
          <w:color w:val="000000"/>
          <w:sz w:val="24"/>
          <w:szCs w:val="24"/>
        </w:rPr>
        <w:t>la justificación y fundamento legal de las adjudicaciones directas.</w:t>
      </w:r>
    </w:p>
    <w:p w:rsidR="009E0938" w:rsidRPr="002F366B" w:rsidRDefault="009E0938" w:rsidP="009E0938">
      <w:pPr>
        <w:pStyle w:val="Prrafodelista"/>
        <w:rPr>
          <w:rFonts w:ascii="Palatino Linotype" w:hAnsi="Palatino Linotype"/>
          <w:color w:val="000000"/>
          <w:sz w:val="24"/>
          <w:szCs w:val="24"/>
        </w:rPr>
      </w:pPr>
    </w:p>
    <w:p w:rsidR="009E0938" w:rsidRPr="002F366B" w:rsidRDefault="009E0938" w:rsidP="00AA609F">
      <w:pPr>
        <w:pStyle w:val="Prrafodelista"/>
        <w:numPr>
          <w:ilvl w:val="0"/>
          <w:numId w:val="12"/>
        </w:numPr>
        <w:spacing w:line="360" w:lineRule="auto"/>
        <w:jc w:val="both"/>
        <w:rPr>
          <w:rFonts w:ascii="Palatino Linotype" w:hAnsi="Palatino Linotype"/>
          <w:i/>
        </w:rPr>
      </w:pPr>
      <w:r w:rsidRPr="002F366B">
        <w:rPr>
          <w:rFonts w:ascii="Palatino Linotype" w:hAnsi="Palatino Linotype"/>
          <w:iCs/>
          <w:color w:val="000000"/>
          <w:sz w:val="24"/>
          <w:szCs w:val="24"/>
        </w:rPr>
        <w:t>Soporte documental que dé cuenta de</w:t>
      </w:r>
      <w:r w:rsidRPr="002F366B">
        <w:rPr>
          <w:rFonts w:ascii="Palatino Linotype" w:hAnsi="Palatino Linotype"/>
          <w:color w:val="000000"/>
          <w:sz w:val="24"/>
          <w:szCs w:val="24"/>
        </w:rPr>
        <w:t xml:space="preserve"> la identificación del área solicitante y servidor público responsable de contratos, pedidos y adquisiciones celebrados por el Sujeto Obligado </w:t>
      </w:r>
    </w:p>
    <w:p w:rsidR="009E0938" w:rsidRPr="002F366B" w:rsidRDefault="009E0938" w:rsidP="009E0938">
      <w:pPr>
        <w:pStyle w:val="Prrafodelista"/>
        <w:rPr>
          <w:rFonts w:ascii="Palatino Linotype" w:hAnsi="Palatino Linotype"/>
          <w:color w:val="000000"/>
          <w:sz w:val="24"/>
          <w:szCs w:val="24"/>
        </w:rPr>
      </w:pPr>
    </w:p>
    <w:p w:rsidR="00AA609F" w:rsidRPr="002F366B" w:rsidRDefault="009E0938" w:rsidP="00AA609F">
      <w:pPr>
        <w:pStyle w:val="Prrafodelista"/>
        <w:numPr>
          <w:ilvl w:val="0"/>
          <w:numId w:val="12"/>
        </w:numPr>
        <w:spacing w:line="360" w:lineRule="auto"/>
        <w:jc w:val="both"/>
        <w:rPr>
          <w:rFonts w:ascii="Palatino Linotype" w:hAnsi="Palatino Linotype"/>
          <w:i/>
        </w:rPr>
      </w:pPr>
      <w:r w:rsidRPr="002F366B">
        <w:rPr>
          <w:rFonts w:ascii="Palatino Linotype" w:hAnsi="Palatino Linotype"/>
          <w:color w:val="000000"/>
          <w:sz w:val="24"/>
          <w:szCs w:val="24"/>
        </w:rPr>
        <w:t>Contratos celebrados por el Sujeto Obligado</w:t>
      </w:r>
      <w:r w:rsidR="00AA609F" w:rsidRPr="002F366B">
        <w:rPr>
          <w:rFonts w:ascii="Palatino Linotype" w:hAnsi="Palatino Linotype"/>
          <w:iCs/>
          <w:color w:val="000000"/>
          <w:sz w:val="24"/>
          <w:szCs w:val="24"/>
        </w:rPr>
        <w:t>.</w:t>
      </w:r>
    </w:p>
    <w:p w:rsidR="00AA609F" w:rsidRPr="002F366B" w:rsidRDefault="00AA609F" w:rsidP="00AA609F">
      <w:pPr>
        <w:pStyle w:val="Prrafodelista"/>
        <w:spacing w:line="360" w:lineRule="auto"/>
        <w:ind w:left="1080"/>
        <w:jc w:val="both"/>
        <w:rPr>
          <w:rFonts w:ascii="Palatino Linotype" w:hAnsi="Palatino Linotype"/>
          <w:i/>
        </w:rPr>
      </w:pPr>
    </w:p>
    <w:p w:rsidR="00AA609F" w:rsidRPr="002F366B" w:rsidRDefault="00AA609F" w:rsidP="00AA609F">
      <w:pPr>
        <w:pStyle w:val="Prrafodelista"/>
        <w:spacing w:line="360" w:lineRule="auto"/>
        <w:jc w:val="both"/>
        <w:rPr>
          <w:rFonts w:ascii="Palatino Linotype" w:hAnsi="Palatino Linotype"/>
          <w:i/>
        </w:rPr>
      </w:pPr>
      <w:r w:rsidRPr="002F366B">
        <w:rPr>
          <w:rFonts w:ascii="Palatino Linotype" w:hAnsi="Palatino Linotype"/>
          <w:i/>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2F366B">
        <w:rPr>
          <w:rFonts w:ascii="Palatino Linotype" w:hAnsi="Palatino Linotype"/>
          <w:b/>
          <w:i/>
        </w:rPr>
        <w:t>Recurrente</w:t>
      </w:r>
      <w:r w:rsidRPr="002F366B">
        <w:rPr>
          <w:rFonts w:ascii="Palatino Linotype" w:hAnsi="Palatino Linotype"/>
          <w:i/>
        </w:rPr>
        <w:t>.</w:t>
      </w:r>
    </w:p>
    <w:p w:rsidR="00AA609F" w:rsidRPr="002F366B" w:rsidRDefault="00AA609F" w:rsidP="00AA609F">
      <w:pPr>
        <w:pStyle w:val="Prrafodelista"/>
        <w:spacing w:line="360" w:lineRule="auto"/>
        <w:jc w:val="both"/>
        <w:rPr>
          <w:rFonts w:ascii="Palatino Linotype" w:hAnsi="Palatino Linotype"/>
          <w:i/>
        </w:rPr>
      </w:pPr>
    </w:p>
    <w:p w:rsidR="00AA609F" w:rsidRPr="002F366B" w:rsidRDefault="00AA609F" w:rsidP="00AA609F">
      <w:pPr>
        <w:pStyle w:val="Prrafodelista"/>
        <w:spacing w:line="360" w:lineRule="auto"/>
        <w:jc w:val="both"/>
        <w:rPr>
          <w:rFonts w:ascii="Palatino Linotype" w:hAnsi="Palatino Linotype"/>
          <w:i/>
        </w:rPr>
      </w:pPr>
      <w:r w:rsidRPr="002F366B">
        <w:rPr>
          <w:rFonts w:ascii="Palatino Linotype" w:hAnsi="Palatino Linotype"/>
          <w:i/>
        </w:rPr>
        <w:t xml:space="preserve">De ser el caso que el sujeto Obligado </w:t>
      </w:r>
      <w:r w:rsidR="009E0938" w:rsidRPr="002F366B">
        <w:rPr>
          <w:rFonts w:ascii="Palatino Linotype" w:hAnsi="Palatino Linotype"/>
          <w:b/>
          <w:i/>
        </w:rPr>
        <w:t xml:space="preserve">no </w:t>
      </w:r>
      <w:r w:rsidRPr="002F366B">
        <w:rPr>
          <w:rFonts w:ascii="Palatino Linotype" w:hAnsi="Palatino Linotype"/>
          <w:b/>
          <w:i/>
        </w:rPr>
        <w:t xml:space="preserve">haya celebrado </w:t>
      </w:r>
      <w:r w:rsidR="009E0938" w:rsidRPr="002F366B">
        <w:rPr>
          <w:rFonts w:ascii="Palatino Linotype" w:hAnsi="Palatino Linotype"/>
          <w:b/>
          <w:i/>
        </w:rPr>
        <w:t>contratos, pedidos o adquisiciones del primero de enero al veintiséis de enero de dos mil veintiséis</w:t>
      </w:r>
      <w:r w:rsidRPr="002F366B">
        <w:rPr>
          <w:rFonts w:ascii="Palatino Linotype" w:hAnsi="Palatino Linotype"/>
          <w:i/>
        </w:rPr>
        <w:t xml:space="preserve"> bastara con que así lo </w:t>
      </w:r>
      <w:r w:rsidRPr="002F366B">
        <w:rPr>
          <w:rFonts w:ascii="Palatino Linotype" w:hAnsi="Palatino Linotype"/>
          <w:i/>
        </w:rPr>
        <w:lastRenderedPageBreak/>
        <w:t>manifieste en términos de lo establecido por el segundo párrafo del artículo 19 de la Ley de Transparencia Local</w:t>
      </w:r>
    </w:p>
    <w:p w:rsidR="00AA609F" w:rsidRPr="002F366B" w:rsidRDefault="00AA609F" w:rsidP="00AA609F">
      <w:pPr>
        <w:spacing w:line="360" w:lineRule="auto"/>
        <w:jc w:val="both"/>
        <w:rPr>
          <w:rFonts w:ascii="Palatino Linotype" w:eastAsia="Palatino Linotype" w:hAnsi="Palatino Linotype" w:cs="Palatino Linotype"/>
          <w:i/>
        </w:rPr>
      </w:pPr>
    </w:p>
    <w:p w:rsidR="00AA609F" w:rsidRPr="002F366B" w:rsidRDefault="00AA609F" w:rsidP="00AA609F">
      <w:pPr>
        <w:spacing w:line="360" w:lineRule="auto"/>
        <w:jc w:val="both"/>
        <w:rPr>
          <w:rFonts w:ascii="Palatino Linotype" w:hAnsi="Palatino Linotype" w:cs="Tahoma"/>
          <w:sz w:val="24"/>
          <w:szCs w:val="24"/>
          <w:lang w:eastAsia="es-ES"/>
        </w:rPr>
      </w:pPr>
      <w:r w:rsidRPr="002F366B">
        <w:rPr>
          <w:rFonts w:ascii="Palatino Linotype" w:eastAsia="Palatino Linotype" w:hAnsi="Palatino Linotype" w:cs="Palatino Linotype"/>
          <w:b/>
          <w:sz w:val="24"/>
          <w:szCs w:val="24"/>
        </w:rPr>
        <w:t xml:space="preserve">SEGUNDO. </w:t>
      </w:r>
      <w:r w:rsidRPr="002F366B">
        <w:rPr>
          <w:rFonts w:ascii="Palatino Linotype" w:hAnsi="Palatino Linotype" w:cs="Tahoma"/>
          <w:b/>
          <w:sz w:val="24"/>
          <w:szCs w:val="24"/>
          <w:lang w:eastAsia="es-ES"/>
        </w:rPr>
        <w:t xml:space="preserve">NOTIFÍQUESE </w:t>
      </w:r>
      <w:r w:rsidRPr="002F366B">
        <w:rPr>
          <w:rFonts w:ascii="Palatino Linotype" w:hAnsi="Palatino Linotype" w:cs="Tahoma"/>
          <w:sz w:val="24"/>
          <w:szCs w:val="24"/>
          <w:lang w:eastAsia="es-ES"/>
        </w:rPr>
        <w:t xml:space="preserve">la presente resolución al Titular de la Unidad de Transparencia del Sujeto Obligado, vía </w:t>
      </w:r>
      <w:r w:rsidRPr="002F366B">
        <w:rPr>
          <w:rFonts w:ascii="Palatino Linotype" w:eastAsia="Palatino Linotype" w:hAnsi="Palatino Linotype" w:cs="Palatino Linotype"/>
          <w:sz w:val="24"/>
          <w:szCs w:val="24"/>
        </w:rPr>
        <w:t>Sistema de Acceso a la Información Mexiquense (</w:t>
      </w:r>
      <w:r w:rsidRPr="002F366B">
        <w:rPr>
          <w:rFonts w:ascii="Palatino Linotype" w:eastAsia="Palatino Linotype" w:hAnsi="Palatino Linotype" w:cs="Palatino Linotype"/>
          <w:b/>
          <w:sz w:val="24"/>
          <w:szCs w:val="24"/>
        </w:rPr>
        <w:t>SAIMEX</w:t>
      </w:r>
      <w:r w:rsidRPr="002F366B">
        <w:rPr>
          <w:rFonts w:ascii="Palatino Linotype" w:eastAsia="Palatino Linotype" w:hAnsi="Palatino Linotype" w:cs="Palatino Linotype"/>
          <w:sz w:val="24"/>
          <w:szCs w:val="24"/>
        </w:rPr>
        <w:t xml:space="preserve">) </w:t>
      </w:r>
      <w:r w:rsidRPr="002F366B">
        <w:rPr>
          <w:rFonts w:ascii="Palatino Linotype" w:hAnsi="Palatino Linotype" w:cs="Tahoma"/>
          <w:sz w:val="24"/>
          <w:szCs w:val="24"/>
          <w:lang w:eastAsia="es-ES"/>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A609F" w:rsidRPr="002F366B" w:rsidRDefault="00AA609F" w:rsidP="00AA609F">
      <w:pPr>
        <w:spacing w:line="360" w:lineRule="auto"/>
        <w:jc w:val="both"/>
        <w:rPr>
          <w:rFonts w:ascii="Palatino Linotype" w:hAnsi="Palatino Linotype" w:cs="Tahoma"/>
          <w:sz w:val="24"/>
          <w:szCs w:val="24"/>
          <w:lang w:eastAsia="es-ES"/>
        </w:rPr>
      </w:pPr>
    </w:p>
    <w:p w:rsidR="00AA609F" w:rsidRPr="002F366B" w:rsidRDefault="00AA609F" w:rsidP="00AA609F">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2F366B">
        <w:rPr>
          <w:rFonts w:ascii="Palatino Linotype" w:eastAsia="Palatino Linotype" w:hAnsi="Palatino Linotype" w:cs="Palatino Linotype"/>
          <w:b/>
          <w:sz w:val="24"/>
          <w:szCs w:val="24"/>
        </w:rPr>
        <w:t xml:space="preserve">TERCERO. </w:t>
      </w:r>
      <w:r w:rsidRPr="002F366B">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AA609F" w:rsidRPr="002F366B" w:rsidRDefault="00AA609F" w:rsidP="00AA609F">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rsidR="00AA609F" w:rsidRPr="002F366B" w:rsidRDefault="00AA609F" w:rsidP="00AA609F">
      <w:pPr>
        <w:autoSpaceDE w:val="0"/>
        <w:autoSpaceDN w:val="0"/>
        <w:adjustRightInd w:val="0"/>
        <w:spacing w:line="360" w:lineRule="auto"/>
        <w:jc w:val="both"/>
        <w:rPr>
          <w:rFonts w:ascii="Palatino Linotype" w:hAnsi="Palatino Linotype"/>
          <w:b/>
          <w:sz w:val="24"/>
          <w:szCs w:val="24"/>
        </w:rPr>
      </w:pPr>
      <w:r w:rsidRPr="002F366B">
        <w:rPr>
          <w:rFonts w:ascii="Palatino Linotype" w:hAnsi="Palatino Linotype"/>
          <w:b/>
          <w:sz w:val="24"/>
          <w:szCs w:val="24"/>
        </w:rPr>
        <w:t xml:space="preserve">CUARTO. </w:t>
      </w:r>
      <w:r w:rsidRPr="002F366B">
        <w:rPr>
          <w:rFonts w:ascii="Palatino Linotype" w:hAnsi="Palatino Linotype" w:cstheme="minorHAnsi"/>
          <w:sz w:val="24"/>
          <w:szCs w:val="24"/>
          <w:lang w:eastAsia="es-ES_tradnl"/>
        </w:rPr>
        <w:t xml:space="preserve">Se hace del conocimiento de la parte Recurrente que, de conformidad con lo establecido en el segundo párrafo del artículo 179 de la Ley de Transparencia y </w:t>
      </w:r>
      <w:r w:rsidRPr="002F366B">
        <w:rPr>
          <w:rFonts w:ascii="Palatino Linotype" w:hAnsi="Palatino Linotype" w:cstheme="minorHAnsi"/>
          <w:sz w:val="24"/>
          <w:szCs w:val="24"/>
          <w:lang w:eastAsia="es-ES_tradnl"/>
        </w:rPr>
        <w:lastRenderedPageBreak/>
        <w:t>Acceso a la Información Pública del Estado de México y Municipios, tiene derecho a interponer nuevamente Recurso de Revisión ante este Instituto, por la respuesta que proporcione el Sujeto Obligado en cumplimiento a esta Resolución</w:t>
      </w:r>
    </w:p>
    <w:p w:rsidR="00AA609F" w:rsidRPr="002F366B" w:rsidRDefault="00AA609F" w:rsidP="00AA609F">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p>
    <w:p w:rsidR="00AA609F" w:rsidRPr="002F366B" w:rsidRDefault="00AA609F" w:rsidP="00AA609F">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2F366B">
        <w:rPr>
          <w:rFonts w:ascii="Palatino Linotype" w:eastAsia="Palatino Linotype" w:hAnsi="Palatino Linotype" w:cs="Palatino Linotype"/>
          <w:b/>
          <w:color w:val="000000"/>
          <w:sz w:val="24"/>
          <w:szCs w:val="24"/>
        </w:rPr>
        <w:t xml:space="preserve">QUINTO. </w:t>
      </w:r>
      <w:r w:rsidRPr="002F366B">
        <w:rPr>
          <w:rFonts w:ascii="Palatino Linotype" w:hAnsi="Palatino Linotype" w:cs="Arial"/>
          <w:b/>
          <w:sz w:val="24"/>
          <w:szCs w:val="24"/>
        </w:rPr>
        <w:t>NOTIFÍQUESE</w:t>
      </w:r>
      <w:r w:rsidRPr="002F366B">
        <w:rPr>
          <w:rFonts w:ascii="Palatino Linotype" w:hAnsi="Palatino Linotype" w:cs="Arial"/>
          <w:sz w:val="24"/>
          <w:szCs w:val="24"/>
        </w:rPr>
        <w:t xml:space="preserve"> a través del Sistema de Acceso a la Información Mexiquense (SAIMEX) a la </w:t>
      </w:r>
      <w:r w:rsidRPr="002F366B">
        <w:rPr>
          <w:rFonts w:ascii="Palatino Linotype" w:hAnsi="Palatino Linotype" w:cs="Arial"/>
          <w:b/>
          <w:sz w:val="24"/>
          <w:szCs w:val="24"/>
        </w:rPr>
        <w:t>Recurrente</w:t>
      </w:r>
      <w:r w:rsidRPr="002F366B">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rPr>
      </w:pPr>
      <w:r w:rsidRPr="002F366B">
        <w:rPr>
          <w:rFonts w:ascii="Palatino Linotype" w:hAnsi="Palatino Linotype" w:cs="Arial"/>
          <w:sz w:val="24"/>
          <w:szCs w:val="24"/>
        </w:rPr>
        <w:t xml:space="preserve">Antecedente </w:t>
      </w:r>
    </w:p>
    <w:p w:rsidR="00AA609F" w:rsidRPr="002F366B" w:rsidRDefault="00AA609F" w:rsidP="00AA609F">
      <w:pPr>
        <w:autoSpaceDE w:val="0"/>
        <w:autoSpaceDN w:val="0"/>
        <w:adjustRightInd w:val="0"/>
        <w:spacing w:line="360" w:lineRule="auto"/>
        <w:jc w:val="both"/>
        <w:rPr>
          <w:rFonts w:ascii="Palatino Linotype" w:hAnsi="Palatino Linotype" w:cs="Arial"/>
          <w:sz w:val="24"/>
          <w:szCs w:val="24"/>
        </w:rPr>
      </w:pPr>
    </w:p>
    <w:p w:rsidR="00AA609F" w:rsidRPr="002F366B" w:rsidRDefault="00AA609F" w:rsidP="00AA609F">
      <w:pPr>
        <w:tabs>
          <w:tab w:val="left" w:pos="284"/>
        </w:tabs>
        <w:spacing w:line="360" w:lineRule="auto"/>
        <w:jc w:val="both"/>
        <w:rPr>
          <w:rFonts w:ascii="Palatino Linotype" w:hAnsi="Palatino Linotype"/>
          <w:sz w:val="24"/>
          <w:szCs w:val="24"/>
          <w:lang w:eastAsia="es-ES_tradnl"/>
        </w:rPr>
      </w:pPr>
      <w:r w:rsidRPr="002F366B">
        <w:rPr>
          <w:rFonts w:ascii="Palatino Linotype" w:eastAsia="Times New Roman" w:hAnsi="Palatino Linotype" w:cs="Arial"/>
          <w:b/>
          <w:sz w:val="24"/>
          <w:szCs w:val="24"/>
          <w:lang w:val="es-ES" w:eastAsia="es-ES"/>
        </w:rPr>
        <w:t xml:space="preserve">SEXTO. </w:t>
      </w:r>
      <w:r w:rsidRPr="002F366B">
        <w:rPr>
          <w:rFonts w:ascii="Palatino Linotype" w:hAnsi="Palatino Linotype" w:cs="Times New Roman"/>
          <w:b/>
          <w:sz w:val="24"/>
          <w:szCs w:val="24"/>
          <w:lang w:eastAsia="es-ES_tradnl"/>
        </w:rPr>
        <w:t xml:space="preserve">- </w:t>
      </w:r>
      <w:r w:rsidRPr="002F366B">
        <w:rPr>
          <w:rFonts w:ascii="Palatino Linotype" w:eastAsia="Palatino Linotype" w:hAnsi="Palatino Linotype" w:cs="Palatino Linotype"/>
          <w:b/>
          <w:sz w:val="24"/>
          <w:szCs w:val="24"/>
        </w:rPr>
        <w:t xml:space="preserve">Gírese </w:t>
      </w:r>
      <w:r w:rsidRPr="002F366B">
        <w:rPr>
          <w:rFonts w:ascii="Palatino Linotype" w:eastAsia="Palatino Linotype" w:hAnsi="Palatino Linotype" w:cs="Palatino Linotype"/>
          <w:bCs/>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2F366B">
        <w:rPr>
          <w:rFonts w:ascii="Palatino Linotype" w:eastAsia="Palatino Linotype" w:hAnsi="Palatino Linotype" w:cs="Palatino Linotype"/>
          <w:b/>
          <w:sz w:val="24"/>
          <w:szCs w:val="24"/>
        </w:rPr>
        <w:t xml:space="preserve"> Considerando TERCERO </w:t>
      </w:r>
      <w:r w:rsidRPr="002F366B">
        <w:rPr>
          <w:rFonts w:ascii="Palatino Linotype" w:eastAsia="Palatino Linotype" w:hAnsi="Palatino Linotype" w:cs="Palatino Linotype"/>
          <w:bCs/>
          <w:sz w:val="24"/>
          <w:szCs w:val="24"/>
        </w:rPr>
        <w:t>de la presente resolución</w:t>
      </w:r>
      <w:r w:rsidRPr="002F366B">
        <w:rPr>
          <w:rFonts w:ascii="Palatino Linotype" w:hAnsi="Palatino Linotype"/>
          <w:sz w:val="24"/>
          <w:szCs w:val="24"/>
          <w:lang w:eastAsia="es-ES_tradnl"/>
        </w:rPr>
        <w:t>.</w:t>
      </w:r>
    </w:p>
    <w:p w:rsidR="00AA609F" w:rsidRPr="002F366B" w:rsidRDefault="00AA609F" w:rsidP="00AA609F">
      <w:pPr>
        <w:spacing w:before="240" w:line="360" w:lineRule="auto"/>
        <w:rPr>
          <w:rFonts w:ascii="Palatino Linotype" w:hAnsi="Palatino Linotype"/>
          <w:b/>
          <w:bCs/>
          <w:spacing w:val="60"/>
          <w:sz w:val="28"/>
          <w:szCs w:val="28"/>
          <w:lang w:val="es-ES_tradnl"/>
        </w:rPr>
      </w:pPr>
    </w:p>
    <w:p w:rsidR="00AA609F" w:rsidRPr="002F366B" w:rsidRDefault="00AA609F" w:rsidP="00AA609F">
      <w:pPr>
        <w:autoSpaceDE w:val="0"/>
        <w:autoSpaceDN w:val="0"/>
        <w:adjustRightInd w:val="0"/>
        <w:spacing w:line="360" w:lineRule="auto"/>
        <w:jc w:val="both"/>
        <w:rPr>
          <w:rFonts w:ascii="Palatino Linotype" w:hAnsi="Palatino Linotype" w:cs="Arial"/>
        </w:rPr>
      </w:pPr>
      <w:r w:rsidRPr="002F366B">
        <w:rPr>
          <w:rFonts w:ascii="Palatino Linotype" w:hAnsi="Palatino Linotype" w:cs="Arial"/>
          <w:sz w:val="24"/>
        </w:rPr>
        <w:t xml:space="preserve">ASÍ LO ACORDÓ, POR </w:t>
      </w:r>
      <w:r w:rsidRPr="002F366B">
        <w:rPr>
          <w:rFonts w:ascii="Palatino Linotype" w:hAnsi="Palatino Linotype" w:cs="Arial"/>
          <w:b/>
          <w:sz w:val="24"/>
        </w:rPr>
        <w:t>UNANIMIDAD DE VOTOS</w:t>
      </w:r>
      <w:r w:rsidRPr="002F366B">
        <w:rPr>
          <w:rFonts w:ascii="Palatino Linotype" w:hAnsi="Palatino Linotype" w:cs="Arial"/>
          <w:sz w:val="24"/>
        </w:rPr>
        <w:t>, EL PLENO DEL</w:t>
      </w:r>
      <w:r w:rsidRPr="002F366B">
        <w:rPr>
          <w:rFonts w:ascii="Palatino Linotype" w:eastAsia="Arial Unicode MS" w:hAnsi="Palatino Linotype" w:cs="Arial"/>
          <w:sz w:val="24"/>
        </w:rPr>
        <w:t xml:space="preserve"> INSTITUTO DE TRANSPARENCIA, ACCESO A LA INFORMACIÓN PÚBLICA Y PROTECCIÓN DE DATOS PERSONALES DEL ESTADO DE MÉXICO Y MUNICIPIOS</w:t>
      </w:r>
      <w:r w:rsidRPr="002F366B">
        <w:rPr>
          <w:rFonts w:ascii="Palatino Linotype" w:hAnsi="Palatino Linotype" w:cs="Arial"/>
          <w:sz w:val="24"/>
        </w:rPr>
        <w:t xml:space="preserve">, </w:t>
      </w:r>
      <w:r w:rsidRPr="002F366B">
        <w:rPr>
          <w:rFonts w:ascii="Palatino Linotype" w:hAnsi="Palatino Linotype" w:cs="Arial"/>
          <w:sz w:val="24"/>
        </w:rPr>
        <w:lastRenderedPageBreak/>
        <w:t xml:space="preserve">CONFORMADO POR LOS COMISIONADOS JOSÉ MARTÍNEZ VILCHIS, MARÍA DEL ROSARIO MEJÍA AYALA, SHARON CRISTINA MORALES MARTÍNEZ, LUIS GUSTAVO PARRA NORIEGA Y GUADALUPE RAMÍREZ PEÑA EN LA </w:t>
      </w:r>
      <w:r w:rsidR="007D5A18" w:rsidRPr="002F366B">
        <w:rPr>
          <w:rFonts w:ascii="Palatino Linotype" w:hAnsi="Palatino Linotype" w:cs="Arial"/>
          <w:b/>
          <w:sz w:val="24"/>
        </w:rPr>
        <w:t>DÉCIMA TERCERA</w:t>
      </w:r>
      <w:r w:rsidRPr="002F366B">
        <w:rPr>
          <w:rFonts w:ascii="Palatino Linotype" w:hAnsi="Palatino Linotype" w:cs="Arial"/>
          <w:b/>
          <w:sz w:val="24"/>
        </w:rPr>
        <w:t xml:space="preserve"> SESIÓN ORDINARIA CELEBRADA EL </w:t>
      </w:r>
      <w:r w:rsidR="007D5A18" w:rsidRPr="002F366B">
        <w:rPr>
          <w:rFonts w:ascii="Palatino Linotype" w:hAnsi="Palatino Linotype" w:cs="Arial"/>
          <w:b/>
          <w:sz w:val="24"/>
        </w:rPr>
        <w:t>QUINCE DE ABRIL DE DOS MIL VEINTISÉIS</w:t>
      </w:r>
      <w:r w:rsidRPr="002F366B">
        <w:rPr>
          <w:rFonts w:ascii="Palatino Linotype" w:hAnsi="Palatino Linotype" w:cs="Arial"/>
          <w:sz w:val="24"/>
        </w:rPr>
        <w:t>, ANTE EL SECRETARIO TÉCNICO DEL PLENO, ALEXIS TAPIA RAMÍREZ. ----------------------------------------------------------------------------------------</w:t>
      </w:r>
      <w:r w:rsidRPr="002F366B">
        <w:rPr>
          <w:rFonts w:ascii="Palatino Linotype" w:hAnsi="Palatino Linotype" w:cs="Arial"/>
        </w:rPr>
        <w:t>-----------------------------------------------------------------------------------------------------------------------------------------------------------------------------------------------------------------------------------------------------------------------------</w:t>
      </w:r>
    </w:p>
    <w:p w:rsidR="00AA609F" w:rsidRPr="00ED3150" w:rsidRDefault="00AA609F" w:rsidP="00AA609F">
      <w:pPr>
        <w:autoSpaceDE w:val="0"/>
        <w:autoSpaceDN w:val="0"/>
        <w:adjustRightInd w:val="0"/>
        <w:spacing w:line="360" w:lineRule="auto"/>
        <w:jc w:val="both"/>
        <w:rPr>
          <w:rFonts w:ascii="Palatino Linotype" w:hAnsi="Palatino Linotype"/>
          <w:sz w:val="20"/>
        </w:rPr>
      </w:pPr>
      <w:r w:rsidRPr="002F366B">
        <w:rPr>
          <w:rFonts w:ascii="Palatino Linotype" w:hAnsi="Palatino Linotype"/>
          <w:bCs/>
          <w:sz w:val="16"/>
          <w:szCs w:val="18"/>
        </w:rPr>
        <w:t>JMV/CCR/ NJMB</w:t>
      </w: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Pr="00ED3150" w:rsidRDefault="00AA609F" w:rsidP="00AA609F">
      <w:pPr>
        <w:rPr>
          <w:rFonts w:ascii="Palatino Linotype" w:hAnsi="Palatino Linotype"/>
        </w:rPr>
      </w:pPr>
    </w:p>
    <w:p w:rsidR="00AA609F" w:rsidRDefault="00AA609F" w:rsidP="00AA609F"/>
    <w:p w:rsidR="00AA609F" w:rsidRDefault="00AA609F" w:rsidP="00AA609F"/>
    <w:p w:rsidR="00FD6E92" w:rsidRDefault="00FD6E92"/>
    <w:sectPr w:rsidR="00FD6E92" w:rsidSect="00AA609F">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D3E" w:rsidRDefault="00A53D3E" w:rsidP="00AA609F">
      <w:pPr>
        <w:spacing w:after="0" w:line="240" w:lineRule="auto"/>
      </w:pPr>
      <w:r>
        <w:separator/>
      </w:r>
    </w:p>
  </w:endnote>
  <w:endnote w:type="continuationSeparator" w:id="0">
    <w:p w:rsidR="00A53D3E" w:rsidRDefault="00A53D3E" w:rsidP="00AA6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09F" w:rsidRPr="000B69FA" w:rsidRDefault="00AA609F" w:rsidP="00AA60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F54C6">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F54C6">
      <w:rPr>
        <w:rFonts w:ascii="Palatino Linotype" w:hAnsi="Palatino Linotype"/>
        <w:bCs/>
        <w:noProof/>
        <w:sz w:val="20"/>
      </w:rPr>
      <w:t>47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09F" w:rsidRPr="000B69FA" w:rsidRDefault="00AA609F" w:rsidP="00AA60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7F54C6">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7F54C6">
      <w:rPr>
        <w:rFonts w:ascii="Palatino Linotype" w:hAnsi="Palatino Linotype"/>
        <w:bCs/>
        <w:noProof/>
        <w:sz w:val="20"/>
      </w:rPr>
      <w:t>47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D3E" w:rsidRDefault="00A53D3E" w:rsidP="00AA609F">
      <w:pPr>
        <w:spacing w:after="0" w:line="240" w:lineRule="auto"/>
      </w:pPr>
      <w:r>
        <w:separator/>
      </w:r>
    </w:p>
  </w:footnote>
  <w:footnote w:type="continuationSeparator" w:id="0">
    <w:p w:rsidR="00A53D3E" w:rsidRDefault="00A53D3E" w:rsidP="00AA609F">
      <w:pPr>
        <w:spacing w:after="0" w:line="240" w:lineRule="auto"/>
      </w:pPr>
      <w:r>
        <w:continuationSeparator/>
      </w:r>
    </w:p>
  </w:footnote>
  <w:footnote w:id="1">
    <w:p w:rsidR="00AA609F" w:rsidRDefault="00AA609F" w:rsidP="00AA609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3, fracción XI, Ley de Transparencia y Acceso a la Información Pública del Estado de México y Municipios.</w:t>
      </w:r>
    </w:p>
  </w:footnote>
  <w:footnote w:id="2">
    <w:p w:rsidR="00AA609F" w:rsidRPr="00FA182C" w:rsidRDefault="00AA609F" w:rsidP="00AA609F">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rsidR="00AA609F" w:rsidRDefault="00AA609F" w:rsidP="00AA609F">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609F" w:rsidRDefault="00AA609F">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ADEA1FC" wp14:editId="09F9021D">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AA609F" w:rsidTr="00AA609F">
      <w:trPr>
        <w:trHeight w:val="227"/>
      </w:trPr>
      <w:tc>
        <w:tcPr>
          <w:tcW w:w="5529" w:type="dxa"/>
          <w:hideMark/>
        </w:tcPr>
        <w:p w:rsidR="00AA609F" w:rsidRDefault="00AA609F" w:rsidP="00AA60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rsidR="00AA609F" w:rsidRPr="00B4142F" w:rsidRDefault="00AA609F" w:rsidP="00AA609F">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02305/INFOEM/IP/RR/2026</w:t>
          </w:r>
        </w:p>
      </w:tc>
    </w:tr>
    <w:tr w:rsidR="00AA609F" w:rsidTr="00AA609F">
      <w:trPr>
        <w:trHeight w:val="242"/>
      </w:trPr>
      <w:tc>
        <w:tcPr>
          <w:tcW w:w="5529" w:type="dxa"/>
          <w:hideMark/>
        </w:tcPr>
        <w:p w:rsidR="00AA609F" w:rsidRDefault="00AA609F" w:rsidP="00AA60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rsidR="00AA609F" w:rsidRPr="004076B3" w:rsidRDefault="00AA609F" w:rsidP="00AA609F">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AA609F" w:rsidTr="00AA609F">
      <w:trPr>
        <w:trHeight w:val="342"/>
      </w:trPr>
      <w:tc>
        <w:tcPr>
          <w:tcW w:w="5529" w:type="dxa"/>
          <w:hideMark/>
        </w:tcPr>
        <w:p w:rsidR="00AA609F" w:rsidRDefault="00AA609F" w:rsidP="00AA60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rsidR="00AA609F" w:rsidRDefault="00AA609F" w:rsidP="00AA609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rsidR="00AA609F" w:rsidRDefault="00AA60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AA609F" w:rsidTr="00AA609F">
      <w:trPr>
        <w:trHeight w:val="227"/>
      </w:trPr>
      <w:tc>
        <w:tcPr>
          <w:tcW w:w="5529" w:type="dxa"/>
          <w:hideMark/>
        </w:tcPr>
        <w:p w:rsidR="00AA609F" w:rsidRDefault="00AA609F" w:rsidP="00AA60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rsidR="00AA609F" w:rsidRPr="00B4142F" w:rsidRDefault="00AA609F" w:rsidP="00AA609F">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02305/INFOEM/IP/RR/2026</w:t>
          </w:r>
        </w:p>
      </w:tc>
    </w:tr>
    <w:tr w:rsidR="00AA609F" w:rsidTr="00AA609F">
      <w:trPr>
        <w:trHeight w:val="227"/>
      </w:trPr>
      <w:tc>
        <w:tcPr>
          <w:tcW w:w="5529" w:type="dxa"/>
        </w:tcPr>
        <w:p w:rsidR="00AA609F" w:rsidRDefault="00AA609F" w:rsidP="00AA609F">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rsidR="00AA609F" w:rsidRDefault="007F54C6" w:rsidP="00AA609F">
          <w:pPr>
            <w:spacing w:after="120" w:line="256" w:lineRule="auto"/>
            <w:ind w:left="639" w:right="214"/>
            <w:jc w:val="both"/>
            <w:rPr>
              <w:rFonts w:ascii="Palatino Linotype" w:hAnsi="Palatino Linotype" w:cs="Arial"/>
              <w:bCs/>
              <w:sz w:val="24"/>
              <w:lang w:eastAsia="es-MX"/>
            </w:rPr>
          </w:pPr>
          <w:r>
            <w:rPr>
              <w:rFonts w:ascii="Palatino Linotype" w:hAnsi="Palatino Linotype" w:cs="Arial"/>
              <w:bCs/>
              <w:sz w:val="24"/>
              <w:lang w:eastAsia="es-MX"/>
            </w:rPr>
            <w:t>xxxxxxxxxxxxxxxxxxxxx</w:t>
          </w:r>
        </w:p>
      </w:tc>
    </w:tr>
    <w:tr w:rsidR="00AA609F" w:rsidTr="00AA609F">
      <w:trPr>
        <w:trHeight w:val="242"/>
      </w:trPr>
      <w:tc>
        <w:tcPr>
          <w:tcW w:w="5529" w:type="dxa"/>
          <w:hideMark/>
        </w:tcPr>
        <w:p w:rsidR="00AA609F" w:rsidRDefault="00AA609F" w:rsidP="00AA60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rsidR="00AA609F" w:rsidRPr="004076B3" w:rsidRDefault="00AA609F" w:rsidP="00AA609F">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AA609F" w:rsidTr="00AA609F">
      <w:trPr>
        <w:trHeight w:val="342"/>
      </w:trPr>
      <w:tc>
        <w:tcPr>
          <w:tcW w:w="5529" w:type="dxa"/>
          <w:hideMark/>
        </w:tcPr>
        <w:p w:rsidR="00AA609F" w:rsidRDefault="00AA609F" w:rsidP="00AA60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rsidR="00AA609F" w:rsidRDefault="00AA609F" w:rsidP="00AA609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rsidR="00AA609F" w:rsidRDefault="00AA609F">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0D2C38A" wp14:editId="20A45708">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695BDA"/>
    <w:multiLevelType w:val="hybridMultilevel"/>
    <w:tmpl w:val="E5D25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9339F4"/>
    <w:multiLevelType w:val="hybridMultilevel"/>
    <w:tmpl w:val="DDF6CC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AE3519"/>
    <w:multiLevelType w:val="hybridMultilevel"/>
    <w:tmpl w:val="5BDC740C"/>
    <w:lvl w:ilvl="0" w:tplc="E9CAA4A2">
      <w:start w:val="1"/>
      <w:numFmt w:val="decimal"/>
      <w:lvlText w:val="%1."/>
      <w:lvlJc w:val="left"/>
      <w:pPr>
        <w:ind w:left="1080" w:hanging="360"/>
      </w:pPr>
      <w:rPr>
        <w:rFonts w:hint="default"/>
        <w:i w:val="0"/>
        <w:color w:val="00000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B2E72CB"/>
    <w:multiLevelType w:val="hybridMultilevel"/>
    <w:tmpl w:val="293E7ACC"/>
    <w:lvl w:ilvl="0" w:tplc="4956CFD4">
      <w:start w:val="1"/>
      <w:numFmt w:val="decimal"/>
      <w:lvlText w:val="%1."/>
      <w:lvlJc w:val="left"/>
      <w:pPr>
        <w:ind w:left="720" w:hanging="360"/>
      </w:pPr>
      <w:rPr>
        <w:rFonts w:ascii="Palatino Linotype" w:hAnsi="Palatino Linotype" w:hint="default"/>
        <w:color w:val="000000"/>
        <w:sz w:val="24"/>
        <w:szCs w:val="24"/>
      </w:rPr>
    </w:lvl>
    <w:lvl w:ilvl="1" w:tplc="70780964">
      <w:start w:val="1"/>
      <w:numFmt w:val="upperRoman"/>
      <w:lvlText w:val="%2."/>
      <w:lvlJc w:val="left"/>
      <w:pPr>
        <w:ind w:left="1800" w:hanging="720"/>
      </w:pPr>
      <w:rPr>
        <w:rFonts w:hint="default"/>
      </w:rPr>
    </w:lvl>
    <w:lvl w:ilvl="2" w:tplc="080A001B">
      <w:start w:val="1"/>
      <w:numFmt w:val="lowerRoman"/>
      <w:lvlText w:val="%3."/>
      <w:lvlJc w:val="right"/>
      <w:pPr>
        <w:ind w:left="2160" w:hanging="180"/>
      </w:pPr>
    </w:lvl>
    <w:lvl w:ilvl="3" w:tplc="DF1236DA">
      <w:numFmt w:val="bullet"/>
      <w:lvlText w:val="-"/>
      <w:lvlJc w:val="left"/>
      <w:pPr>
        <w:ind w:left="2880" w:hanging="360"/>
      </w:pPr>
      <w:rPr>
        <w:rFonts w:ascii="Palatino Linotype" w:eastAsiaTheme="majorEastAsia" w:hAnsi="Palatino Linotype" w:cs="Arial" w:hint="default"/>
        <w:b/>
      </w:rPr>
    </w:lvl>
    <w:lvl w:ilvl="4" w:tplc="080A0019">
      <w:start w:val="1"/>
      <w:numFmt w:val="lowerLetter"/>
      <w:lvlText w:val="%5."/>
      <w:lvlJc w:val="left"/>
      <w:pPr>
        <w:ind w:left="3600" w:hanging="360"/>
      </w:pPr>
    </w:lvl>
    <w:lvl w:ilvl="5" w:tplc="7D02342C">
      <w:start w:val="144"/>
      <w:numFmt w:val="bullet"/>
      <w:lvlText w:val=""/>
      <w:lvlJc w:val="left"/>
      <w:pPr>
        <w:ind w:left="4500" w:hanging="360"/>
      </w:pPr>
      <w:rPr>
        <w:rFonts w:ascii="Symbol" w:eastAsiaTheme="minorHAnsi" w:hAnsi="Symbol" w:cstheme="minorBidi"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2"/>
  </w:num>
  <w:num w:numId="3">
    <w:abstractNumId w:val="1"/>
  </w:num>
  <w:num w:numId="4">
    <w:abstractNumId w:val="8"/>
  </w:num>
  <w:num w:numId="5">
    <w:abstractNumId w:val="5"/>
  </w:num>
  <w:num w:numId="6">
    <w:abstractNumId w:val="9"/>
  </w:num>
  <w:num w:numId="7">
    <w:abstractNumId w:val="10"/>
  </w:num>
  <w:num w:numId="8">
    <w:abstractNumId w:val="11"/>
  </w:num>
  <w:num w:numId="9">
    <w:abstractNumId w:val="2"/>
  </w:num>
  <w:num w:numId="10">
    <w:abstractNumId w:val="3"/>
  </w:num>
  <w:num w:numId="11">
    <w:abstractNumId w:val="6"/>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09F"/>
    <w:rsid w:val="00015F71"/>
    <w:rsid w:val="00113C43"/>
    <w:rsid w:val="00187E9E"/>
    <w:rsid w:val="002F366B"/>
    <w:rsid w:val="007D5A18"/>
    <w:rsid w:val="007F54C6"/>
    <w:rsid w:val="009E0938"/>
    <w:rsid w:val="00A20081"/>
    <w:rsid w:val="00A53D3E"/>
    <w:rsid w:val="00AA609F"/>
    <w:rsid w:val="00C82870"/>
    <w:rsid w:val="00D8212D"/>
    <w:rsid w:val="00FA3FDB"/>
    <w:rsid w:val="00FD6E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F82AC-2BDE-4C82-933B-A0409A8CB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09F"/>
  </w:style>
  <w:style w:type="paragraph" w:styleId="Ttulo2">
    <w:name w:val="heading 2"/>
    <w:aliases w:val="Subtítulos"/>
    <w:basedOn w:val="Normal"/>
    <w:next w:val="Normal"/>
    <w:link w:val="Ttulo2Car"/>
    <w:uiPriority w:val="9"/>
    <w:unhideWhenUsed/>
    <w:qFormat/>
    <w:rsid w:val="00AA609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AA609F"/>
    <w:rPr>
      <w:rFonts w:asciiTheme="majorHAnsi" w:eastAsiaTheme="majorEastAsia" w:hAnsiTheme="majorHAnsi" w:cstheme="majorBidi"/>
      <w:color w:val="2E74B5" w:themeColor="accent1" w:themeShade="BF"/>
      <w:sz w:val="32"/>
      <w:szCs w:val="3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AA609F"/>
    <w:pPr>
      <w:ind w:left="720"/>
      <w:contextualSpacing/>
    </w:pPr>
  </w:style>
  <w:style w:type="paragraph" w:styleId="Encabezado">
    <w:name w:val="header"/>
    <w:basedOn w:val="Normal"/>
    <w:link w:val="EncabezadoCar"/>
    <w:uiPriority w:val="99"/>
    <w:unhideWhenUsed/>
    <w:rsid w:val="00AA609F"/>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AA609F"/>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AA609F"/>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609F"/>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AA609F"/>
  </w:style>
  <w:style w:type="paragraph" w:customStyle="1" w:styleId="infoemcitas">
    <w:name w:val="infoem citas"/>
    <w:basedOn w:val="Normal"/>
    <w:qFormat/>
    <w:rsid w:val="00AA609F"/>
    <w:pPr>
      <w:spacing w:before="240" w:line="360" w:lineRule="auto"/>
      <w:ind w:left="851" w:right="851"/>
      <w:jc w:val="both"/>
    </w:pPr>
    <w:rPr>
      <w:rFonts w:ascii="Palatino Linotype" w:hAnsi="Palatino Linotype"/>
      <w:i/>
    </w:rPr>
  </w:style>
  <w:style w:type="paragraph" w:customStyle="1" w:styleId="INFOEM">
    <w:name w:val="INFOEM"/>
    <w:basedOn w:val="Normal"/>
    <w:qFormat/>
    <w:rsid w:val="00AA609F"/>
    <w:pPr>
      <w:spacing w:before="240" w:line="360" w:lineRule="auto"/>
      <w:ind w:left="851" w:right="851"/>
      <w:jc w:val="both"/>
    </w:pPr>
    <w:rPr>
      <w:rFonts w:ascii="Palatino Linotype" w:hAnsi="Palatino Linotype"/>
      <w:i/>
      <w:szCs w:val="1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AA609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A609F"/>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AA609F"/>
    <w:rPr>
      <w:vertAlign w:val="superscript"/>
    </w:rPr>
  </w:style>
  <w:style w:type="character" w:styleId="Hipervnculo">
    <w:name w:val="Hyperlink"/>
    <w:basedOn w:val="Fuentedeprrafopredeter"/>
    <w:uiPriority w:val="99"/>
    <w:semiHidden/>
    <w:unhideWhenUsed/>
    <w:rsid w:val="00AA60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segob/renapo/acciones-y-programas/clave-unica-de-registro-de-poblacion-curp-1422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sultas.curp.gob.mx/CurpSP/html/informacionecurpPS.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47</Pages>
  <Words>10966</Words>
  <Characters>60316</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2026-04-17T15:37:00Z</cp:lastPrinted>
  <dcterms:created xsi:type="dcterms:W3CDTF">2026-04-15T22:18:00Z</dcterms:created>
  <dcterms:modified xsi:type="dcterms:W3CDTF">2026-04-24T15:54:00Z</dcterms:modified>
</cp:coreProperties>
</file>