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58C9" w:rsidRDefault="009158C9">
      <w:pPr>
        <w:widowControl w:val="0"/>
        <w:pBdr>
          <w:top w:val="nil"/>
          <w:left w:val="nil"/>
          <w:bottom w:val="nil"/>
          <w:right w:val="nil"/>
          <w:between w:val="nil"/>
        </w:pBdr>
        <w:spacing w:line="276" w:lineRule="auto"/>
      </w:pPr>
    </w:p>
    <w:p w:rsidR="009158C9" w:rsidRDefault="009158C9">
      <w:pPr>
        <w:widowControl w:val="0"/>
        <w:pBdr>
          <w:top w:val="nil"/>
          <w:left w:val="nil"/>
          <w:bottom w:val="nil"/>
          <w:right w:val="nil"/>
          <w:between w:val="nil"/>
        </w:pBdr>
        <w:spacing w:line="360" w:lineRule="auto"/>
      </w:pPr>
    </w:p>
    <w:p w:rsidR="009158C9" w:rsidRDefault="009158C9">
      <w:pPr>
        <w:keepNext/>
        <w:keepLines/>
        <w:pBdr>
          <w:top w:val="nil"/>
          <w:left w:val="nil"/>
          <w:bottom w:val="nil"/>
          <w:right w:val="nil"/>
          <w:between w:val="nil"/>
        </w:pBdr>
        <w:spacing w:line="360" w:lineRule="auto"/>
        <w:rPr>
          <w:rFonts w:ascii="Palatino Linotype" w:eastAsia="Palatino Linotype" w:hAnsi="Palatino Linotype" w:cs="Palatino Linotype"/>
          <w:color w:val="000000"/>
          <w:sz w:val="22"/>
          <w:szCs w:val="22"/>
        </w:rPr>
      </w:pPr>
      <w:bookmarkStart w:id="0" w:name="_heading=h.868p2eu4u30v" w:colFirst="0" w:colLast="0"/>
      <w:bookmarkEnd w:id="0"/>
    </w:p>
    <w:p w:rsidR="009158C9" w:rsidRDefault="00FC5202">
      <w:pPr>
        <w:keepNext/>
        <w:keepLines/>
        <w:pBdr>
          <w:top w:val="nil"/>
          <w:left w:val="nil"/>
          <w:bottom w:val="nil"/>
          <w:right w:val="nil"/>
          <w:between w:val="nil"/>
        </w:pBdr>
        <w:spacing w:line="360" w:lineRule="auto"/>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RESOLUCIÓN DEL RECURSO DE REVISIÓN 10146/INFOEM/IP/RR/2025</w:t>
      </w:r>
    </w:p>
    <w:p w:rsidR="009158C9" w:rsidRDefault="009158C9">
      <w:pPr>
        <w:keepNext/>
        <w:keepLines/>
        <w:pBdr>
          <w:top w:val="nil"/>
          <w:left w:val="nil"/>
          <w:bottom w:val="nil"/>
          <w:right w:val="nil"/>
          <w:between w:val="nil"/>
        </w:pBdr>
        <w:spacing w:line="360" w:lineRule="auto"/>
        <w:rPr>
          <w:rFonts w:ascii="Palatino Linotype" w:eastAsia="Palatino Linotype" w:hAnsi="Palatino Linotype" w:cs="Palatino Linotype"/>
          <w:color w:val="000000"/>
          <w:sz w:val="22"/>
          <w:szCs w:val="22"/>
        </w:rPr>
      </w:pPr>
    </w:p>
    <w:sdt>
      <w:sdtPr>
        <w:rPr>
          <w:sz w:val="20"/>
          <w:szCs w:val="20"/>
          <w:lang w:val="es-ES"/>
        </w:rPr>
        <w:id w:val="-1179419859"/>
        <w:docPartObj>
          <w:docPartGallery w:val="Table of Contents"/>
          <w:docPartUnique/>
        </w:docPartObj>
      </w:sdtPr>
      <w:sdtEndPr>
        <w:rPr>
          <w:b/>
          <w:bCs/>
        </w:rPr>
      </w:sdtEndPr>
      <w:sdtContent>
        <w:p w:rsidR="000D0DA7" w:rsidRDefault="000D0DA7">
          <w:pPr>
            <w:pStyle w:val="TtulodeTDC"/>
          </w:pPr>
        </w:p>
        <w:p w:rsidR="00D070E2" w:rsidRPr="00D070E2" w:rsidRDefault="000D0DA7">
          <w:pPr>
            <w:pStyle w:val="TDC1"/>
            <w:tabs>
              <w:tab w:val="right" w:leader="dot" w:pos="8828"/>
            </w:tabs>
            <w:rPr>
              <w:rFonts w:cstheme="minorBidi"/>
              <w:noProof/>
            </w:rPr>
          </w:pPr>
          <w:r>
            <w:rPr>
              <w:b/>
              <w:bCs/>
              <w:lang w:val="es-ES"/>
            </w:rPr>
            <w:fldChar w:fldCharType="begin"/>
          </w:r>
          <w:r>
            <w:rPr>
              <w:b/>
              <w:bCs/>
              <w:lang w:val="es-ES"/>
            </w:rPr>
            <w:instrText xml:space="preserve"> TOC \o "1-3" \h \z \u </w:instrText>
          </w:r>
          <w:r>
            <w:rPr>
              <w:b/>
              <w:bCs/>
              <w:lang w:val="es-ES"/>
            </w:rPr>
            <w:fldChar w:fldCharType="separate"/>
          </w:r>
          <w:hyperlink w:anchor="_Toc220597166" w:history="1">
            <w:r w:rsidR="00D070E2" w:rsidRPr="00D070E2">
              <w:rPr>
                <w:rStyle w:val="Hipervnculo"/>
                <w:rFonts w:ascii="Palatino Linotype" w:eastAsia="Palatino Linotype" w:hAnsi="Palatino Linotype" w:cs="Palatino Linotype"/>
                <w:bCs/>
                <w:noProof/>
              </w:rPr>
              <w:t>A N T E C E D E N T E S</w:t>
            </w:r>
            <w:r w:rsidR="00D070E2" w:rsidRPr="00D070E2">
              <w:rPr>
                <w:noProof/>
                <w:webHidden/>
              </w:rPr>
              <w:tab/>
            </w:r>
            <w:r w:rsidR="00D070E2" w:rsidRPr="00D070E2">
              <w:rPr>
                <w:noProof/>
                <w:webHidden/>
              </w:rPr>
              <w:fldChar w:fldCharType="begin"/>
            </w:r>
            <w:r w:rsidR="00D070E2" w:rsidRPr="00D070E2">
              <w:rPr>
                <w:noProof/>
                <w:webHidden/>
              </w:rPr>
              <w:instrText xml:space="preserve"> PAGEREF _Toc220597166 \h </w:instrText>
            </w:r>
            <w:r w:rsidR="00D070E2" w:rsidRPr="00D070E2">
              <w:rPr>
                <w:noProof/>
                <w:webHidden/>
              </w:rPr>
            </w:r>
            <w:r w:rsidR="00D070E2" w:rsidRPr="00D070E2">
              <w:rPr>
                <w:noProof/>
                <w:webHidden/>
              </w:rPr>
              <w:fldChar w:fldCharType="separate"/>
            </w:r>
            <w:r w:rsidR="00E84B11">
              <w:rPr>
                <w:noProof/>
                <w:webHidden/>
              </w:rPr>
              <w:t>2</w:t>
            </w:r>
            <w:r w:rsidR="00D070E2" w:rsidRPr="00D070E2">
              <w:rPr>
                <w:noProof/>
                <w:webHidden/>
              </w:rPr>
              <w:fldChar w:fldCharType="end"/>
            </w:r>
          </w:hyperlink>
        </w:p>
        <w:p w:rsidR="00D070E2" w:rsidRPr="00D070E2" w:rsidRDefault="0081609C">
          <w:pPr>
            <w:pStyle w:val="TDC2"/>
            <w:rPr>
              <w:rFonts w:cstheme="minorBidi"/>
              <w:noProof/>
            </w:rPr>
          </w:pPr>
          <w:hyperlink w:anchor="_Toc220597167" w:history="1">
            <w:r w:rsidR="00D070E2" w:rsidRPr="00D070E2">
              <w:rPr>
                <w:rStyle w:val="Hipervnculo"/>
                <w:rFonts w:ascii="Palatino Linotype" w:eastAsia="Palatino Linotype" w:hAnsi="Palatino Linotype" w:cs="Palatino Linotype"/>
                <w:bCs/>
                <w:noProof/>
              </w:rPr>
              <w:t>I. Presentación de la solicitud de información</w:t>
            </w:r>
            <w:r w:rsidR="00D070E2" w:rsidRPr="00D070E2">
              <w:rPr>
                <w:noProof/>
                <w:webHidden/>
              </w:rPr>
              <w:tab/>
            </w:r>
            <w:r w:rsidR="00D070E2" w:rsidRPr="00D070E2">
              <w:rPr>
                <w:noProof/>
                <w:webHidden/>
              </w:rPr>
              <w:fldChar w:fldCharType="begin"/>
            </w:r>
            <w:r w:rsidR="00D070E2" w:rsidRPr="00D070E2">
              <w:rPr>
                <w:noProof/>
                <w:webHidden/>
              </w:rPr>
              <w:instrText xml:space="preserve"> PAGEREF _Toc220597167 \h </w:instrText>
            </w:r>
            <w:r w:rsidR="00D070E2" w:rsidRPr="00D070E2">
              <w:rPr>
                <w:noProof/>
                <w:webHidden/>
              </w:rPr>
            </w:r>
            <w:r w:rsidR="00D070E2" w:rsidRPr="00D070E2">
              <w:rPr>
                <w:noProof/>
                <w:webHidden/>
              </w:rPr>
              <w:fldChar w:fldCharType="separate"/>
            </w:r>
            <w:r w:rsidR="00E84B11">
              <w:rPr>
                <w:noProof/>
                <w:webHidden/>
              </w:rPr>
              <w:t>2</w:t>
            </w:r>
            <w:r w:rsidR="00D070E2" w:rsidRPr="00D070E2">
              <w:rPr>
                <w:noProof/>
                <w:webHidden/>
              </w:rPr>
              <w:fldChar w:fldCharType="end"/>
            </w:r>
          </w:hyperlink>
        </w:p>
        <w:p w:rsidR="00D070E2" w:rsidRPr="00D070E2" w:rsidRDefault="0081609C">
          <w:pPr>
            <w:pStyle w:val="TDC2"/>
            <w:rPr>
              <w:rFonts w:cstheme="minorBidi"/>
              <w:noProof/>
            </w:rPr>
          </w:pPr>
          <w:hyperlink w:anchor="_Toc220597168" w:history="1">
            <w:r w:rsidR="00D070E2" w:rsidRPr="00D070E2">
              <w:rPr>
                <w:rStyle w:val="Hipervnculo"/>
                <w:rFonts w:ascii="Palatino Linotype" w:eastAsia="Palatino Linotype" w:hAnsi="Palatino Linotype" w:cs="Palatino Linotype"/>
                <w:bCs/>
                <w:noProof/>
              </w:rPr>
              <w:t>II. Respuesta del Sujeto Obligado</w:t>
            </w:r>
            <w:r w:rsidR="00D070E2" w:rsidRPr="00D070E2">
              <w:rPr>
                <w:noProof/>
                <w:webHidden/>
              </w:rPr>
              <w:tab/>
            </w:r>
            <w:r w:rsidR="00D070E2" w:rsidRPr="00D070E2">
              <w:rPr>
                <w:noProof/>
                <w:webHidden/>
              </w:rPr>
              <w:fldChar w:fldCharType="begin"/>
            </w:r>
            <w:r w:rsidR="00D070E2" w:rsidRPr="00D070E2">
              <w:rPr>
                <w:noProof/>
                <w:webHidden/>
              </w:rPr>
              <w:instrText xml:space="preserve"> PAGEREF _Toc220597168 \h </w:instrText>
            </w:r>
            <w:r w:rsidR="00D070E2" w:rsidRPr="00D070E2">
              <w:rPr>
                <w:noProof/>
                <w:webHidden/>
              </w:rPr>
            </w:r>
            <w:r w:rsidR="00D070E2" w:rsidRPr="00D070E2">
              <w:rPr>
                <w:noProof/>
                <w:webHidden/>
              </w:rPr>
              <w:fldChar w:fldCharType="separate"/>
            </w:r>
            <w:r w:rsidR="00E84B11">
              <w:rPr>
                <w:noProof/>
                <w:webHidden/>
              </w:rPr>
              <w:t>3</w:t>
            </w:r>
            <w:r w:rsidR="00D070E2" w:rsidRPr="00D070E2">
              <w:rPr>
                <w:noProof/>
                <w:webHidden/>
              </w:rPr>
              <w:fldChar w:fldCharType="end"/>
            </w:r>
          </w:hyperlink>
        </w:p>
        <w:p w:rsidR="00D070E2" w:rsidRPr="00D070E2" w:rsidRDefault="0081609C">
          <w:pPr>
            <w:pStyle w:val="TDC2"/>
            <w:rPr>
              <w:rFonts w:cstheme="minorBidi"/>
              <w:noProof/>
            </w:rPr>
          </w:pPr>
          <w:hyperlink w:anchor="_Toc220597169" w:history="1">
            <w:r w:rsidR="00D070E2" w:rsidRPr="00D070E2">
              <w:rPr>
                <w:rStyle w:val="Hipervnculo"/>
                <w:rFonts w:ascii="Palatino Linotype" w:eastAsia="Palatino Linotype" w:hAnsi="Palatino Linotype" w:cs="Palatino Linotype"/>
                <w:bCs/>
                <w:noProof/>
              </w:rPr>
              <w:t>III. Interposición del Recurso de Revisión</w:t>
            </w:r>
            <w:r w:rsidR="00D070E2" w:rsidRPr="00D070E2">
              <w:rPr>
                <w:noProof/>
                <w:webHidden/>
              </w:rPr>
              <w:tab/>
            </w:r>
            <w:r w:rsidR="00D070E2" w:rsidRPr="00D070E2">
              <w:rPr>
                <w:noProof/>
                <w:webHidden/>
              </w:rPr>
              <w:fldChar w:fldCharType="begin"/>
            </w:r>
            <w:r w:rsidR="00D070E2" w:rsidRPr="00D070E2">
              <w:rPr>
                <w:noProof/>
                <w:webHidden/>
              </w:rPr>
              <w:instrText xml:space="preserve"> PAGEREF _Toc220597169 \h </w:instrText>
            </w:r>
            <w:r w:rsidR="00D070E2" w:rsidRPr="00D070E2">
              <w:rPr>
                <w:noProof/>
                <w:webHidden/>
              </w:rPr>
            </w:r>
            <w:r w:rsidR="00D070E2" w:rsidRPr="00D070E2">
              <w:rPr>
                <w:noProof/>
                <w:webHidden/>
              </w:rPr>
              <w:fldChar w:fldCharType="separate"/>
            </w:r>
            <w:r w:rsidR="00E84B11">
              <w:rPr>
                <w:noProof/>
                <w:webHidden/>
              </w:rPr>
              <w:t>4</w:t>
            </w:r>
            <w:r w:rsidR="00D070E2" w:rsidRPr="00D070E2">
              <w:rPr>
                <w:noProof/>
                <w:webHidden/>
              </w:rPr>
              <w:fldChar w:fldCharType="end"/>
            </w:r>
          </w:hyperlink>
        </w:p>
        <w:p w:rsidR="00D070E2" w:rsidRPr="00D070E2" w:rsidRDefault="0081609C">
          <w:pPr>
            <w:pStyle w:val="TDC2"/>
            <w:rPr>
              <w:rFonts w:cstheme="minorBidi"/>
              <w:noProof/>
            </w:rPr>
          </w:pPr>
          <w:hyperlink w:anchor="_Toc220597170" w:history="1">
            <w:r w:rsidR="00D070E2" w:rsidRPr="00D070E2">
              <w:rPr>
                <w:rStyle w:val="Hipervnculo"/>
                <w:rFonts w:ascii="Palatino Linotype" w:eastAsia="Palatino Linotype" w:hAnsi="Palatino Linotype" w:cs="Palatino Linotype"/>
                <w:bCs/>
                <w:noProof/>
              </w:rPr>
              <w:t>IV. Trámite del Recurso de Revisión ante este Instituto</w:t>
            </w:r>
            <w:r w:rsidR="00D070E2" w:rsidRPr="00D070E2">
              <w:rPr>
                <w:noProof/>
                <w:webHidden/>
              </w:rPr>
              <w:tab/>
            </w:r>
            <w:r w:rsidR="00D070E2" w:rsidRPr="00D070E2">
              <w:rPr>
                <w:noProof/>
                <w:webHidden/>
              </w:rPr>
              <w:fldChar w:fldCharType="begin"/>
            </w:r>
            <w:r w:rsidR="00D070E2" w:rsidRPr="00D070E2">
              <w:rPr>
                <w:noProof/>
                <w:webHidden/>
              </w:rPr>
              <w:instrText xml:space="preserve"> PAGEREF _Toc220597170 \h </w:instrText>
            </w:r>
            <w:r w:rsidR="00D070E2" w:rsidRPr="00D070E2">
              <w:rPr>
                <w:noProof/>
                <w:webHidden/>
              </w:rPr>
            </w:r>
            <w:r w:rsidR="00D070E2" w:rsidRPr="00D070E2">
              <w:rPr>
                <w:noProof/>
                <w:webHidden/>
              </w:rPr>
              <w:fldChar w:fldCharType="separate"/>
            </w:r>
            <w:r w:rsidR="00E84B11">
              <w:rPr>
                <w:noProof/>
                <w:webHidden/>
              </w:rPr>
              <w:t>4</w:t>
            </w:r>
            <w:r w:rsidR="00D070E2" w:rsidRPr="00D070E2">
              <w:rPr>
                <w:noProof/>
                <w:webHidden/>
              </w:rPr>
              <w:fldChar w:fldCharType="end"/>
            </w:r>
          </w:hyperlink>
        </w:p>
        <w:p w:rsidR="00D070E2" w:rsidRPr="00D070E2" w:rsidRDefault="0081609C">
          <w:pPr>
            <w:pStyle w:val="TDC1"/>
            <w:tabs>
              <w:tab w:val="right" w:leader="dot" w:pos="8828"/>
            </w:tabs>
            <w:rPr>
              <w:rFonts w:cstheme="minorBidi"/>
              <w:noProof/>
            </w:rPr>
          </w:pPr>
          <w:hyperlink w:anchor="_Toc220597171" w:history="1">
            <w:r w:rsidR="00D070E2" w:rsidRPr="00D070E2">
              <w:rPr>
                <w:rStyle w:val="Hipervnculo"/>
                <w:rFonts w:ascii="Palatino Linotype" w:eastAsia="Palatino Linotype" w:hAnsi="Palatino Linotype" w:cs="Palatino Linotype"/>
                <w:bCs/>
                <w:noProof/>
              </w:rPr>
              <w:t>C O N S I D E R A N D O S</w:t>
            </w:r>
            <w:r w:rsidR="00D070E2" w:rsidRPr="00D070E2">
              <w:rPr>
                <w:noProof/>
                <w:webHidden/>
              </w:rPr>
              <w:tab/>
            </w:r>
            <w:r w:rsidR="00D070E2" w:rsidRPr="00D070E2">
              <w:rPr>
                <w:noProof/>
                <w:webHidden/>
              </w:rPr>
              <w:fldChar w:fldCharType="begin"/>
            </w:r>
            <w:r w:rsidR="00D070E2" w:rsidRPr="00D070E2">
              <w:rPr>
                <w:noProof/>
                <w:webHidden/>
              </w:rPr>
              <w:instrText xml:space="preserve"> PAGEREF _Toc220597171 \h </w:instrText>
            </w:r>
            <w:r w:rsidR="00D070E2" w:rsidRPr="00D070E2">
              <w:rPr>
                <w:noProof/>
                <w:webHidden/>
              </w:rPr>
            </w:r>
            <w:r w:rsidR="00D070E2" w:rsidRPr="00D070E2">
              <w:rPr>
                <w:noProof/>
                <w:webHidden/>
              </w:rPr>
              <w:fldChar w:fldCharType="separate"/>
            </w:r>
            <w:r w:rsidR="00E84B11">
              <w:rPr>
                <w:noProof/>
                <w:webHidden/>
              </w:rPr>
              <w:t>6</w:t>
            </w:r>
            <w:r w:rsidR="00D070E2" w:rsidRPr="00D070E2">
              <w:rPr>
                <w:noProof/>
                <w:webHidden/>
              </w:rPr>
              <w:fldChar w:fldCharType="end"/>
            </w:r>
          </w:hyperlink>
        </w:p>
        <w:p w:rsidR="00D070E2" w:rsidRPr="00D070E2" w:rsidRDefault="0081609C">
          <w:pPr>
            <w:pStyle w:val="TDC2"/>
            <w:rPr>
              <w:rFonts w:cstheme="minorBidi"/>
              <w:noProof/>
            </w:rPr>
          </w:pPr>
          <w:hyperlink w:anchor="_Toc220597172" w:history="1">
            <w:r w:rsidR="00D070E2" w:rsidRPr="00D070E2">
              <w:rPr>
                <w:rStyle w:val="Hipervnculo"/>
                <w:rFonts w:ascii="Palatino Linotype" w:eastAsia="Palatino Linotype" w:hAnsi="Palatino Linotype" w:cs="Palatino Linotype"/>
                <w:bCs/>
                <w:noProof/>
              </w:rPr>
              <w:t>PRIMERO. Competencia</w:t>
            </w:r>
            <w:r w:rsidR="00D070E2" w:rsidRPr="00D070E2">
              <w:rPr>
                <w:noProof/>
                <w:webHidden/>
              </w:rPr>
              <w:tab/>
            </w:r>
            <w:r w:rsidR="00D070E2" w:rsidRPr="00D070E2">
              <w:rPr>
                <w:noProof/>
                <w:webHidden/>
              </w:rPr>
              <w:fldChar w:fldCharType="begin"/>
            </w:r>
            <w:r w:rsidR="00D070E2" w:rsidRPr="00D070E2">
              <w:rPr>
                <w:noProof/>
                <w:webHidden/>
              </w:rPr>
              <w:instrText xml:space="preserve"> PAGEREF _Toc220597172 \h </w:instrText>
            </w:r>
            <w:r w:rsidR="00D070E2" w:rsidRPr="00D070E2">
              <w:rPr>
                <w:noProof/>
                <w:webHidden/>
              </w:rPr>
            </w:r>
            <w:r w:rsidR="00D070E2" w:rsidRPr="00D070E2">
              <w:rPr>
                <w:noProof/>
                <w:webHidden/>
              </w:rPr>
              <w:fldChar w:fldCharType="separate"/>
            </w:r>
            <w:r w:rsidR="00E84B11">
              <w:rPr>
                <w:noProof/>
                <w:webHidden/>
              </w:rPr>
              <w:t>6</w:t>
            </w:r>
            <w:r w:rsidR="00D070E2" w:rsidRPr="00D070E2">
              <w:rPr>
                <w:noProof/>
                <w:webHidden/>
              </w:rPr>
              <w:fldChar w:fldCharType="end"/>
            </w:r>
          </w:hyperlink>
        </w:p>
        <w:p w:rsidR="00D070E2" w:rsidRPr="00D070E2" w:rsidRDefault="0081609C">
          <w:pPr>
            <w:pStyle w:val="TDC2"/>
            <w:rPr>
              <w:rFonts w:cstheme="minorBidi"/>
              <w:noProof/>
            </w:rPr>
          </w:pPr>
          <w:hyperlink w:anchor="_Toc220597173" w:history="1">
            <w:r w:rsidR="00D070E2" w:rsidRPr="00D070E2">
              <w:rPr>
                <w:rStyle w:val="Hipervnculo"/>
                <w:rFonts w:ascii="Palatino Linotype" w:eastAsia="Palatino Linotype" w:hAnsi="Palatino Linotype" w:cs="Palatino Linotype"/>
                <w:bCs/>
                <w:noProof/>
              </w:rPr>
              <w:t>SEGUNDO. Causales de improcedencia y sobreseimiento</w:t>
            </w:r>
            <w:r w:rsidR="00D070E2" w:rsidRPr="00D070E2">
              <w:rPr>
                <w:noProof/>
                <w:webHidden/>
              </w:rPr>
              <w:tab/>
            </w:r>
            <w:r w:rsidR="00D070E2" w:rsidRPr="00D070E2">
              <w:rPr>
                <w:noProof/>
                <w:webHidden/>
              </w:rPr>
              <w:fldChar w:fldCharType="begin"/>
            </w:r>
            <w:r w:rsidR="00D070E2" w:rsidRPr="00D070E2">
              <w:rPr>
                <w:noProof/>
                <w:webHidden/>
              </w:rPr>
              <w:instrText xml:space="preserve"> PAGEREF _Toc220597173 \h </w:instrText>
            </w:r>
            <w:r w:rsidR="00D070E2" w:rsidRPr="00D070E2">
              <w:rPr>
                <w:noProof/>
                <w:webHidden/>
              </w:rPr>
            </w:r>
            <w:r w:rsidR="00D070E2" w:rsidRPr="00D070E2">
              <w:rPr>
                <w:noProof/>
                <w:webHidden/>
              </w:rPr>
              <w:fldChar w:fldCharType="separate"/>
            </w:r>
            <w:r w:rsidR="00E84B11">
              <w:rPr>
                <w:noProof/>
                <w:webHidden/>
              </w:rPr>
              <w:t>6</w:t>
            </w:r>
            <w:r w:rsidR="00D070E2" w:rsidRPr="00D070E2">
              <w:rPr>
                <w:noProof/>
                <w:webHidden/>
              </w:rPr>
              <w:fldChar w:fldCharType="end"/>
            </w:r>
          </w:hyperlink>
        </w:p>
        <w:p w:rsidR="00D070E2" w:rsidRPr="00D070E2" w:rsidRDefault="0081609C">
          <w:pPr>
            <w:pStyle w:val="TDC2"/>
            <w:rPr>
              <w:rFonts w:cstheme="minorBidi"/>
              <w:noProof/>
            </w:rPr>
          </w:pPr>
          <w:hyperlink w:anchor="_Toc220597174" w:history="1">
            <w:r w:rsidR="00D070E2" w:rsidRPr="00D070E2">
              <w:rPr>
                <w:rStyle w:val="Hipervnculo"/>
                <w:rFonts w:ascii="Palatino Linotype" w:eastAsia="Palatino Linotype" w:hAnsi="Palatino Linotype" w:cs="Palatino Linotype"/>
                <w:bCs/>
                <w:noProof/>
              </w:rPr>
              <w:t>TERCERO. Determinación de la Controversia</w:t>
            </w:r>
            <w:r w:rsidR="00D070E2" w:rsidRPr="00D070E2">
              <w:rPr>
                <w:noProof/>
                <w:webHidden/>
              </w:rPr>
              <w:tab/>
            </w:r>
            <w:r w:rsidR="00D070E2" w:rsidRPr="00D070E2">
              <w:rPr>
                <w:noProof/>
                <w:webHidden/>
              </w:rPr>
              <w:fldChar w:fldCharType="begin"/>
            </w:r>
            <w:r w:rsidR="00D070E2" w:rsidRPr="00D070E2">
              <w:rPr>
                <w:noProof/>
                <w:webHidden/>
              </w:rPr>
              <w:instrText xml:space="preserve"> PAGEREF _Toc220597174 \h </w:instrText>
            </w:r>
            <w:r w:rsidR="00D070E2" w:rsidRPr="00D070E2">
              <w:rPr>
                <w:noProof/>
                <w:webHidden/>
              </w:rPr>
            </w:r>
            <w:r w:rsidR="00D070E2" w:rsidRPr="00D070E2">
              <w:rPr>
                <w:noProof/>
                <w:webHidden/>
              </w:rPr>
              <w:fldChar w:fldCharType="separate"/>
            </w:r>
            <w:r w:rsidR="00E84B11">
              <w:rPr>
                <w:noProof/>
                <w:webHidden/>
              </w:rPr>
              <w:t>8</w:t>
            </w:r>
            <w:r w:rsidR="00D070E2" w:rsidRPr="00D070E2">
              <w:rPr>
                <w:noProof/>
                <w:webHidden/>
              </w:rPr>
              <w:fldChar w:fldCharType="end"/>
            </w:r>
          </w:hyperlink>
        </w:p>
        <w:p w:rsidR="00D070E2" w:rsidRPr="00D070E2" w:rsidRDefault="0081609C">
          <w:pPr>
            <w:pStyle w:val="TDC2"/>
            <w:rPr>
              <w:rFonts w:cstheme="minorBidi"/>
              <w:noProof/>
            </w:rPr>
          </w:pPr>
          <w:hyperlink w:anchor="_Toc220597175" w:history="1">
            <w:r w:rsidR="00D070E2" w:rsidRPr="00D070E2">
              <w:rPr>
                <w:rStyle w:val="Hipervnculo"/>
                <w:rFonts w:ascii="Palatino Linotype" w:eastAsia="Palatino Linotype" w:hAnsi="Palatino Linotype" w:cs="Palatino Linotype"/>
                <w:bCs/>
                <w:noProof/>
              </w:rPr>
              <w:t>CUARTO. Marco normativo aplicable en materia de transparencia y acceso a la información pública</w:t>
            </w:r>
            <w:r w:rsidR="00D070E2" w:rsidRPr="00D070E2">
              <w:rPr>
                <w:noProof/>
                <w:webHidden/>
              </w:rPr>
              <w:tab/>
            </w:r>
            <w:r w:rsidR="00D070E2" w:rsidRPr="00D070E2">
              <w:rPr>
                <w:noProof/>
                <w:webHidden/>
              </w:rPr>
              <w:fldChar w:fldCharType="begin"/>
            </w:r>
            <w:r w:rsidR="00D070E2" w:rsidRPr="00D070E2">
              <w:rPr>
                <w:noProof/>
                <w:webHidden/>
              </w:rPr>
              <w:instrText xml:space="preserve"> PAGEREF _Toc220597175 \h </w:instrText>
            </w:r>
            <w:r w:rsidR="00D070E2" w:rsidRPr="00D070E2">
              <w:rPr>
                <w:noProof/>
                <w:webHidden/>
              </w:rPr>
            </w:r>
            <w:r w:rsidR="00D070E2" w:rsidRPr="00D070E2">
              <w:rPr>
                <w:noProof/>
                <w:webHidden/>
              </w:rPr>
              <w:fldChar w:fldCharType="separate"/>
            </w:r>
            <w:r w:rsidR="00E84B11">
              <w:rPr>
                <w:noProof/>
                <w:webHidden/>
              </w:rPr>
              <w:t>9</w:t>
            </w:r>
            <w:r w:rsidR="00D070E2" w:rsidRPr="00D070E2">
              <w:rPr>
                <w:noProof/>
                <w:webHidden/>
              </w:rPr>
              <w:fldChar w:fldCharType="end"/>
            </w:r>
          </w:hyperlink>
        </w:p>
        <w:p w:rsidR="00D070E2" w:rsidRPr="00D070E2" w:rsidRDefault="0081609C">
          <w:pPr>
            <w:pStyle w:val="TDC2"/>
            <w:rPr>
              <w:rFonts w:cstheme="minorBidi"/>
              <w:noProof/>
            </w:rPr>
          </w:pPr>
          <w:hyperlink w:anchor="_Toc220597176" w:history="1">
            <w:r w:rsidR="00D070E2" w:rsidRPr="00D070E2">
              <w:rPr>
                <w:rStyle w:val="Hipervnculo"/>
                <w:rFonts w:ascii="Palatino Linotype" w:eastAsia="Palatino Linotype" w:hAnsi="Palatino Linotype" w:cs="Palatino Linotype"/>
                <w:bCs/>
                <w:noProof/>
              </w:rPr>
              <w:t>QUINTO. Estudio de Fondo</w:t>
            </w:r>
            <w:r w:rsidR="00D070E2" w:rsidRPr="00D070E2">
              <w:rPr>
                <w:noProof/>
                <w:webHidden/>
              </w:rPr>
              <w:tab/>
            </w:r>
            <w:r w:rsidR="00D070E2" w:rsidRPr="00D070E2">
              <w:rPr>
                <w:noProof/>
                <w:webHidden/>
              </w:rPr>
              <w:fldChar w:fldCharType="begin"/>
            </w:r>
            <w:r w:rsidR="00D070E2" w:rsidRPr="00D070E2">
              <w:rPr>
                <w:noProof/>
                <w:webHidden/>
              </w:rPr>
              <w:instrText xml:space="preserve"> PAGEREF _Toc220597176 \h </w:instrText>
            </w:r>
            <w:r w:rsidR="00D070E2" w:rsidRPr="00D070E2">
              <w:rPr>
                <w:noProof/>
                <w:webHidden/>
              </w:rPr>
            </w:r>
            <w:r w:rsidR="00D070E2" w:rsidRPr="00D070E2">
              <w:rPr>
                <w:noProof/>
                <w:webHidden/>
              </w:rPr>
              <w:fldChar w:fldCharType="separate"/>
            </w:r>
            <w:r w:rsidR="00E84B11">
              <w:rPr>
                <w:noProof/>
                <w:webHidden/>
              </w:rPr>
              <w:t>10</w:t>
            </w:r>
            <w:r w:rsidR="00D070E2" w:rsidRPr="00D070E2">
              <w:rPr>
                <w:noProof/>
                <w:webHidden/>
              </w:rPr>
              <w:fldChar w:fldCharType="end"/>
            </w:r>
          </w:hyperlink>
        </w:p>
        <w:p w:rsidR="00D070E2" w:rsidRPr="00D070E2" w:rsidRDefault="0081609C">
          <w:pPr>
            <w:pStyle w:val="TDC2"/>
            <w:rPr>
              <w:rFonts w:cstheme="minorBidi"/>
              <w:noProof/>
            </w:rPr>
          </w:pPr>
          <w:hyperlink w:anchor="_Toc220597177" w:history="1">
            <w:r w:rsidR="00D070E2" w:rsidRPr="00D070E2">
              <w:rPr>
                <w:rStyle w:val="Hipervnculo"/>
                <w:rFonts w:ascii="Palatino Linotype" w:eastAsia="Palatino Linotype" w:hAnsi="Palatino Linotype" w:cs="Palatino Linotype"/>
                <w:bCs/>
                <w:noProof/>
              </w:rPr>
              <w:t>SEXTO. Decisión</w:t>
            </w:r>
            <w:r w:rsidR="00D070E2" w:rsidRPr="00D070E2">
              <w:rPr>
                <w:noProof/>
                <w:webHidden/>
              </w:rPr>
              <w:tab/>
            </w:r>
            <w:r w:rsidR="00D070E2" w:rsidRPr="00D070E2">
              <w:rPr>
                <w:noProof/>
                <w:webHidden/>
              </w:rPr>
              <w:fldChar w:fldCharType="begin"/>
            </w:r>
            <w:r w:rsidR="00D070E2" w:rsidRPr="00D070E2">
              <w:rPr>
                <w:noProof/>
                <w:webHidden/>
              </w:rPr>
              <w:instrText xml:space="preserve"> PAGEREF _Toc220597177 \h </w:instrText>
            </w:r>
            <w:r w:rsidR="00D070E2" w:rsidRPr="00D070E2">
              <w:rPr>
                <w:noProof/>
                <w:webHidden/>
              </w:rPr>
            </w:r>
            <w:r w:rsidR="00D070E2" w:rsidRPr="00D070E2">
              <w:rPr>
                <w:noProof/>
                <w:webHidden/>
              </w:rPr>
              <w:fldChar w:fldCharType="separate"/>
            </w:r>
            <w:r w:rsidR="00E84B11">
              <w:rPr>
                <w:noProof/>
                <w:webHidden/>
              </w:rPr>
              <w:t>22</w:t>
            </w:r>
            <w:r w:rsidR="00D070E2" w:rsidRPr="00D070E2">
              <w:rPr>
                <w:noProof/>
                <w:webHidden/>
              </w:rPr>
              <w:fldChar w:fldCharType="end"/>
            </w:r>
          </w:hyperlink>
        </w:p>
        <w:p w:rsidR="00D070E2" w:rsidRPr="00D070E2" w:rsidRDefault="0081609C">
          <w:pPr>
            <w:pStyle w:val="TDC1"/>
            <w:tabs>
              <w:tab w:val="right" w:leader="dot" w:pos="8828"/>
            </w:tabs>
            <w:rPr>
              <w:rFonts w:cstheme="minorBidi"/>
              <w:noProof/>
            </w:rPr>
          </w:pPr>
          <w:hyperlink w:anchor="_Toc220597178" w:history="1">
            <w:r w:rsidR="00D070E2" w:rsidRPr="00D070E2">
              <w:rPr>
                <w:rStyle w:val="Hipervnculo"/>
                <w:rFonts w:ascii="Palatino Linotype" w:eastAsia="Palatino Linotype" w:hAnsi="Palatino Linotype" w:cs="Palatino Linotype"/>
                <w:bCs/>
                <w:noProof/>
              </w:rPr>
              <w:t>R E S U E L V E</w:t>
            </w:r>
            <w:r w:rsidR="00D070E2" w:rsidRPr="00D070E2">
              <w:rPr>
                <w:noProof/>
                <w:webHidden/>
              </w:rPr>
              <w:tab/>
            </w:r>
            <w:r w:rsidR="00D070E2" w:rsidRPr="00D070E2">
              <w:rPr>
                <w:noProof/>
                <w:webHidden/>
              </w:rPr>
              <w:fldChar w:fldCharType="begin"/>
            </w:r>
            <w:r w:rsidR="00D070E2" w:rsidRPr="00D070E2">
              <w:rPr>
                <w:noProof/>
                <w:webHidden/>
              </w:rPr>
              <w:instrText xml:space="preserve"> PAGEREF _Toc220597178 \h </w:instrText>
            </w:r>
            <w:r w:rsidR="00D070E2" w:rsidRPr="00D070E2">
              <w:rPr>
                <w:noProof/>
                <w:webHidden/>
              </w:rPr>
            </w:r>
            <w:r w:rsidR="00D070E2" w:rsidRPr="00D070E2">
              <w:rPr>
                <w:noProof/>
                <w:webHidden/>
              </w:rPr>
              <w:fldChar w:fldCharType="separate"/>
            </w:r>
            <w:r w:rsidR="00E84B11">
              <w:rPr>
                <w:noProof/>
                <w:webHidden/>
              </w:rPr>
              <w:t>23</w:t>
            </w:r>
            <w:r w:rsidR="00D070E2" w:rsidRPr="00D070E2">
              <w:rPr>
                <w:noProof/>
                <w:webHidden/>
              </w:rPr>
              <w:fldChar w:fldCharType="end"/>
            </w:r>
          </w:hyperlink>
        </w:p>
        <w:p w:rsidR="000D0DA7" w:rsidRDefault="000D0DA7">
          <w:r>
            <w:rPr>
              <w:b/>
              <w:bCs/>
              <w:lang w:val="es-ES"/>
            </w:rPr>
            <w:fldChar w:fldCharType="end"/>
          </w:r>
        </w:p>
      </w:sdtContent>
    </w:sdt>
    <w:p w:rsidR="009158C9" w:rsidRDefault="009158C9">
      <w:pPr>
        <w:pBdr>
          <w:top w:val="nil"/>
          <w:left w:val="nil"/>
          <w:bottom w:val="nil"/>
          <w:right w:val="nil"/>
          <w:between w:val="nil"/>
        </w:pBdr>
        <w:spacing w:before="240"/>
        <w:rPr>
          <w:color w:val="000000"/>
          <w:sz w:val="32"/>
          <w:szCs w:val="32"/>
        </w:rPr>
      </w:pPr>
    </w:p>
    <w:p w:rsidR="009158C9" w:rsidRDefault="009158C9">
      <w:pPr>
        <w:spacing w:line="360" w:lineRule="auto"/>
        <w:jc w:val="both"/>
      </w:pPr>
    </w:p>
    <w:p w:rsidR="000D0DA7" w:rsidRDefault="000D0DA7">
      <w:pPr>
        <w:spacing w:line="360" w:lineRule="auto"/>
        <w:jc w:val="both"/>
      </w:pPr>
    </w:p>
    <w:p w:rsidR="000D0DA7" w:rsidRDefault="000D0DA7">
      <w:pPr>
        <w:spacing w:line="360" w:lineRule="auto"/>
        <w:jc w:val="both"/>
      </w:pPr>
    </w:p>
    <w:p w:rsidR="000D0DA7" w:rsidRDefault="000D0DA7">
      <w:pPr>
        <w:spacing w:line="360" w:lineRule="auto"/>
        <w:jc w:val="both"/>
      </w:pPr>
    </w:p>
    <w:p w:rsidR="000D0DA7" w:rsidRDefault="000D0DA7">
      <w:pPr>
        <w:spacing w:line="360" w:lineRule="auto"/>
        <w:jc w:val="both"/>
      </w:pPr>
    </w:p>
    <w:p w:rsidR="000D0DA7" w:rsidRDefault="000D0DA7">
      <w:pPr>
        <w:spacing w:line="360" w:lineRule="auto"/>
        <w:jc w:val="both"/>
      </w:pPr>
    </w:p>
    <w:p w:rsidR="009158C9" w:rsidRDefault="009158C9">
      <w:pPr>
        <w:spacing w:line="360" w:lineRule="auto"/>
        <w:jc w:val="both"/>
        <w:rPr>
          <w:rFonts w:ascii="Palatino Linotype" w:eastAsia="Palatino Linotype" w:hAnsi="Palatino Linotype" w:cs="Palatino Linotype"/>
          <w:sz w:val="22"/>
          <w:szCs w:val="22"/>
        </w:rPr>
      </w:pPr>
    </w:p>
    <w:p w:rsidR="009158C9" w:rsidRDefault="00FC520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Resolución del Pleno del Instituto de Transparencia, Acceso a la Información Pública y Protección de Datos Personales del Estado de México y Municipios, con domicilio en Metepec, Estado de México, del veintiocho de enero de dos mil veintiséis.</w:t>
      </w:r>
    </w:p>
    <w:p w:rsidR="009158C9" w:rsidRDefault="009158C9">
      <w:pPr>
        <w:spacing w:line="360" w:lineRule="auto"/>
        <w:rPr>
          <w:rFonts w:ascii="Palatino Linotype" w:eastAsia="Palatino Linotype" w:hAnsi="Palatino Linotype" w:cs="Palatino Linotype"/>
          <w:sz w:val="22"/>
          <w:szCs w:val="22"/>
        </w:rPr>
      </w:pPr>
    </w:p>
    <w:p w:rsidR="009158C9" w:rsidRDefault="00FC520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color w:val="0D0D0D"/>
          <w:sz w:val="22"/>
          <w:szCs w:val="22"/>
        </w:rPr>
        <w:t xml:space="preserve">VISTO </w:t>
      </w:r>
      <w:r>
        <w:rPr>
          <w:rFonts w:ascii="Palatino Linotype" w:eastAsia="Palatino Linotype" w:hAnsi="Palatino Linotype" w:cs="Palatino Linotype"/>
          <w:color w:val="0D0D0D"/>
          <w:sz w:val="22"/>
          <w:szCs w:val="22"/>
        </w:rPr>
        <w:t xml:space="preserve">el expediente conformado con motivo del Recurso de Revisión </w:t>
      </w:r>
      <w:r w:rsidRPr="00361816">
        <w:rPr>
          <w:rFonts w:ascii="Palatino Linotype" w:eastAsia="Palatino Linotype" w:hAnsi="Palatino Linotype" w:cs="Palatino Linotype"/>
          <w:b/>
          <w:sz w:val="22"/>
          <w:szCs w:val="22"/>
        </w:rPr>
        <w:t>10146/INFOEM/IP/RR/2025</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color w:val="0D0D0D"/>
          <w:sz w:val="22"/>
          <w:szCs w:val="22"/>
        </w:rPr>
        <w:t xml:space="preserve">interpuesto, en lo sucesivo </w:t>
      </w:r>
      <w:r>
        <w:rPr>
          <w:rFonts w:ascii="Palatino Linotype" w:eastAsia="Palatino Linotype" w:hAnsi="Palatino Linotype" w:cs="Palatino Linotype"/>
          <w:sz w:val="22"/>
          <w:szCs w:val="22"/>
        </w:rPr>
        <w:t xml:space="preserve">la </w:t>
      </w:r>
      <w:r>
        <w:rPr>
          <w:rFonts w:ascii="Palatino Linotype" w:eastAsia="Palatino Linotype" w:hAnsi="Palatino Linotype" w:cs="Palatino Linotype"/>
          <w:color w:val="0D0D0D"/>
          <w:sz w:val="22"/>
          <w:szCs w:val="22"/>
        </w:rPr>
        <w:t xml:space="preserve">Recurrente o Particular, en contra de la respuesta del Sujeto Obligado, </w:t>
      </w:r>
      <w:bookmarkStart w:id="1" w:name="_GoBack"/>
      <w:r w:rsidRPr="00361816">
        <w:rPr>
          <w:rFonts w:ascii="Palatino Linotype" w:eastAsia="Palatino Linotype" w:hAnsi="Palatino Linotype" w:cs="Palatino Linotype"/>
          <w:b/>
          <w:sz w:val="22"/>
          <w:szCs w:val="22"/>
        </w:rPr>
        <w:t>Secretaría de la Contraloría</w:t>
      </w:r>
      <w:bookmarkEnd w:id="1"/>
      <w:r>
        <w:rPr>
          <w:rFonts w:ascii="Palatino Linotype" w:eastAsia="Palatino Linotype" w:hAnsi="Palatino Linotype" w:cs="Palatino Linotype"/>
          <w:color w:val="0D0D0D"/>
          <w:sz w:val="22"/>
          <w:szCs w:val="22"/>
        </w:rPr>
        <w:t xml:space="preserve">, a la solicitud de acceso a la información </w:t>
      </w:r>
      <w:proofErr w:type="gramStart"/>
      <w:r>
        <w:rPr>
          <w:rFonts w:ascii="Palatino Linotype" w:eastAsia="Palatino Linotype" w:hAnsi="Palatino Linotype" w:cs="Palatino Linotype"/>
          <w:color w:val="0D0D0D"/>
          <w:sz w:val="22"/>
          <w:szCs w:val="22"/>
        </w:rPr>
        <w:t xml:space="preserve">pública </w:t>
      </w:r>
      <w:r>
        <w:rPr>
          <w:rFonts w:ascii="Palatino Linotype" w:eastAsia="Palatino Linotype" w:hAnsi="Palatino Linotype" w:cs="Palatino Linotype"/>
          <w:sz w:val="22"/>
          <w:szCs w:val="22"/>
        </w:rPr>
        <w:t xml:space="preserve"> 00304</w:t>
      </w:r>
      <w:proofErr w:type="gramEnd"/>
      <w:r>
        <w:rPr>
          <w:rFonts w:ascii="Palatino Linotype" w:eastAsia="Palatino Linotype" w:hAnsi="Palatino Linotype" w:cs="Palatino Linotype"/>
          <w:sz w:val="22"/>
          <w:szCs w:val="22"/>
        </w:rPr>
        <w:t>/SECOGEM/IP/2025</w:t>
      </w:r>
      <w:r>
        <w:rPr>
          <w:rFonts w:ascii="Palatino Linotype" w:eastAsia="Palatino Linotype" w:hAnsi="Palatino Linotype" w:cs="Palatino Linotype"/>
          <w:color w:val="0D0D0D"/>
          <w:sz w:val="22"/>
          <w:szCs w:val="22"/>
        </w:rPr>
        <w:t>, se emite la presente Resolución, con base en los Antecedentes y C</w:t>
      </w:r>
      <w:r>
        <w:rPr>
          <w:rFonts w:ascii="Palatino Linotype" w:eastAsia="Palatino Linotype" w:hAnsi="Palatino Linotype" w:cs="Palatino Linotype"/>
          <w:sz w:val="22"/>
          <w:szCs w:val="22"/>
        </w:rPr>
        <w:t>onsiderandos que a continuación se exponen:</w:t>
      </w:r>
    </w:p>
    <w:p w:rsidR="009158C9" w:rsidRDefault="009158C9">
      <w:pPr>
        <w:spacing w:line="360" w:lineRule="auto"/>
        <w:jc w:val="both"/>
        <w:rPr>
          <w:rFonts w:ascii="Palatino Linotype" w:eastAsia="Palatino Linotype" w:hAnsi="Palatino Linotype" w:cs="Palatino Linotype"/>
          <w:sz w:val="22"/>
          <w:szCs w:val="22"/>
        </w:rPr>
      </w:pPr>
    </w:p>
    <w:p w:rsidR="009158C9" w:rsidRDefault="00FC5202">
      <w:pPr>
        <w:pStyle w:val="Ttulo1"/>
        <w:spacing w:before="0" w:after="0" w:line="360" w:lineRule="auto"/>
        <w:jc w:val="center"/>
        <w:rPr>
          <w:rFonts w:ascii="Palatino Linotype" w:eastAsia="Palatino Linotype" w:hAnsi="Palatino Linotype" w:cs="Palatino Linotype"/>
          <w:b/>
          <w:bCs/>
          <w:color w:val="000000"/>
          <w:sz w:val="22"/>
          <w:szCs w:val="22"/>
        </w:rPr>
      </w:pPr>
      <w:bookmarkStart w:id="2" w:name="_Toc220597166"/>
      <w:r>
        <w:rPr>
          <w:rFonts w:ascii="Palatino Linotype" w:eastAsia="Palatino Linotype" w:hAnsi="Palatino Linotype" w:cs="Palatino Linotype"/>
          <w:b/>
          <w:bCs/>
          <w:color w:val="000000"/>
          <w:sz w:val="22"/>
          <w:szCs w:val="22"/>
        </w:rPr>
        <w:t>A N T E C E D E N T E S</w:t>
      </w:r>
      <w:bookmarkEnd w:id="2"/>
    </w:p>
    <w:p w:rsidR="009158C9" w:rsidRDefault="009158C9">
      <w:pPr>
        <w:spacing w:line="360" w:lineRule="auto"/>
      </w:pPr>
    </w:p>
    <w:p w:rsidR="009158C9" w:rsidRDefault="00FC5202">
      <w:pPr>
        <w:pStyle w:val="Ttulo2"/>
        <w:spacing w:before="0" w:after="0" w:line="360" w:lineRule="auto"/>
        <w:rPr>
          <w:rFonts w:ascii="Palatino Linotype" w:eastAsia="Palatino Linotype" w:hAnsi="Palatino Linotype" w:cs="Palatino Linotype"/>
          <w:b/>
          <w:bCs/>
          <w:color w:val="000000"/>
          <w:sz w:val="22"/>
          <w:szCs w:val="22"/>
        </w:rPr>
      </w:pPr>
      <w:bookmarkStart w:id="3" w:name="_Toc220597167"/>
      <w:r>
        <w:rPr>
          <w:rFonts w:ascii="Palatino Linotype" w:eastAsia="Palatino Linotype" w:hAnsi="Palatino Linotype" w:cs="Palatino Linotype"/>
          <w:b/>
          <w:bCs/>
          <w:color w:val="000000"/>
          <w:sz w:val="22"/>
          <w:szCs w:val="22"/>
        </w:rPr>
        <w:t>I. Presentación de la solicitud de información</w:t>
      </w:r>
      <w:bookmarkEnd w:id="3"/>
    </w:p>
    <w:p w:rsidR="009158C9" w:rsidRDefault="009158C9">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rPr>
      </w:pPr>
    </w:p>
    <w:p w:rsidR="009158C9" w:rsidRDefault="00FC5202">
      <w:pPr>
        <w:tabs>
          <w:tab w:val="left" w:pos="567"/>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 fecha trece de agosto de dos mil veinticinco, el Particular presentó una solicitud de acceso a la información pública, a través del SAIMEX, ante la Secretaría de la Contraloría, mediante la cual requirió lo siguiente:</w:t>
      </w:r>
    </w:p>
    <w:p w:rsidR="009158C9" w:rsidRDefault="009158C9">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b/>
          <w:bCs/>
          <w:color w:val="000000"/>
        </w:rPr>
      </w:pPr>
    </w:p>
    <w:p w:rsidR="009158C9" w:rsidRDefault="00FC5202">
      <w:pPr>
        <w:tabs>
          <w:tab w:val="left" w:pos="4667"/>
        </w:tabs>
        <w:spacing w:line="360" w:lineRule="auto"/>
        <w:ind w:left="567" w:right="567"/>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“DESCRIPCIÓN CLARA Y PRECISA DE LA INFORMACIÓN SOLICITADA</w:t>
      </w:r>
    </w:p>
    <w:p w:rsidR="009158C9" w:rsidRDefault="00FC5202">
      <w:pPr>
        <w:spacing w:line="360" w:lineRule="auto"/>
        <w:ind w:left="567" w:right="567"/>
        <w:jc w:val="both"/>
        <w:rPr>
          <w:rFonts w:ascii="Palatino Linotype" w:eastAsia="Palatino Linotype" w:hAnsi="Palatino Linotype" w:cs="Palatino Linotype"/>
          <w:i/>
          <w:iCs/>
        </w:rPr>
      </w:pPr>
      <w:proofErr w:type="gramStart"/>
      <w:r>
        <w:rPr>
          <w:rFonts w:ascii="Palatino Linotype" w:eastAsia="Palatino Linotype" w:hAnsi="Palatino Linotype" w:cs="Palatino Linotype"/>
          <w:i/>
          <w:iCs/>
        </w:rPr>
        <w:t>recibos</w:t>
      </w:r>
      <w:proofErr w:type="gramEnd"/>
      <w:r>
        <w:rPr>
          <w:rFonts w:ascii="Palatino Linotype" w:eastAsia="Palatino Linotype" w:hAnsi="Palatino Linotype" w:cs="Palatino Linotype"/>
          <w:i/>
          <w:iCs/>
        </w:rPr>
        <w:t xml:space="preserve"> </w:t>
      </w:r>
      <w:proofErr w:type="spellStart"/>
      <w:r>
        <w:rPr>
          <w:rFonts w:ascii="Palatino Linotype" w:eastAsia="Palatino Linotype" w:hAnsi="Palatino Linotype" w:cs="Palatino Linotype"/>
          <w:i/>
          <w:iCs/>
        </w:rPr>
        <w:t>cfdi</w:t>
      </w:r>
      <w:proofErr w:type="spellEnd"/>
      <w:r>
        <w:rPr>
          <w:rFonts w:ascii="Palatino Linotype" w:eastAsia="Palatino Linotype" w:hAnsi="Palatino Linotype" w:cs="Palatino Linotype"/>
          <w:i/>
          <w:iCs/>
        </w:rPr>
        <w:t xml:space="preserve"> correspondientes al pago de la primera quincena del mes de julio, pago de </w:t>
      </w:r>
      <w:proofErr w:type="spellStart"/>
      <w:r>
        <w:rPr>
          <w:rFonts w:ascii="Palatino Linotype" w:eastAsia="Palatino Linotype" w:hAnsi="Palatino Linotype" w:cs="Palatino Linotype"/>
          <w:i/>
          <w:iCs/>
        </w:rPr>
        <w:t>prestacion</w:t>
      </w:r>
      <w:proofErr w:type="spellEnd"/>
      <w:r>
        <w:rPr>
          <w:rFonts w:ascii="Palatino Linotype" w:eastAsia="Palatino Linotype" w:hAnsi="Palatino Linotype" w:cs="Palatino Linotype"/>
          <w:i/>
          <w:iCs/>
        </w:rPr>
        <w:t xml:space="preserve"> </w:t>
      </w:r>
      <w:proofErr w:type="spellStart"/>
      <w:r>
        <w:rPr>
          <w:rFonts w:ascii="Palatino Linotype" w:eastAsia="Palatino Linotype" w:hAnsi="Palatino Linotype" w:cs="Palatino Linotype"/>
          <w:i/>
          <w:iCs/>
        </w:rPr>
        <w:t>ejectudada</w:t>
      </w:r>
      <w:proofErr w:type="spellEnd"/>
      <w:r>
        <w:rPr>
          <w:rFonts w:ascii="Palatino Linotype" w:eastAsia="Palatino Linotype" w:hAnsi="Palatino Linotype" w:cs="Palatino Linotype"/>
          <w:i/>
          <w:iCs/>
        </w:rPr>
        <w:t xml:space="preserve"> en julio de todo el personal que labora en la </w:t>
      </w:r>
      <w:proofErr w:type="spellStart"/>
      <w:r>
        <w:rPr>
          <w:rFonts w:ascii="Palatino Linotype" w:eastAsia="Palatino Linotype" w:hAnsi="Palatino Linotype" w:cs="Palatino Linotype"/>
          <w:i/>
          <w:iCs/>
        </w:rPr>
        <w:t>contraloria</w:t>
      </w:r>
      <w:proofErr w:type="spellEnd"/>
      <w:r>
        <w:rPr>
          <w:rFonts w:ascii="Palatino Linotype" w:eastAsia="Palatino Linotype" w:hAnsi="Palatino Linotype" w:cs="Palatino Linotype"/>
          <w:i/>
          <w:iCs/>
        </w:rPr>
        <w:t>, englobando, direcciones, coordinaciones, jefaturas.” (Sic).</w:t>
      </w:r>
    </w:p>
    <w:p w:rsidR="009158C9" w:rsidRDefault="00FC5202">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b/>
          <w:bCs/>
          <w:i/>
          <w:iCs/>
          <w:color w:val="000000"/>
        </w:rPr>
        <w:tab/>
      </w:r>
    </w:p>
    <w:p w:rsidR="009158C9" w:rsidRDefault="00FC5202">
      <w:pPr>
        <w:tabs>
          <w:tab w:val="left" w:pos="4667"/>
        </w:tabs>
        <w:spacing w:line="360" w:lineRule="auto"/>
        <w:ind w:left="567" w:right="567"/>
        <w:jc w:val="both"/>
        <w:rPr>
          <w:rFonts w:ascii="Palatino Linotype" w:eastAsia="Palatino Linotype" w:hAnsi="Palatino Linotype" w:cs="Palatino Linotype"/>
          <w:b/>
          <w:bCs/>
          <w:i/>
          <w:iCs/>
        </w:rPr>
      </w:pPr>
      <w:bookmarkStart w:id="4" w:name="_heading=h.kxv932q4x3f6" w:colFirst="0" w:colLast="0"/>
      <w:bookmarkEnd w:id="4"/>
      <w:r>
        <w:rPr>
          <w:rFonts w:ascii="Palatino Linotype" w:eastAsia="Palatino Linotype" w:hAnsi="Palatino Linotype" w:cs="Palatino Linotype"/>
          <w:b/>
          <w:bCs/>
          <w:i/>
          <w:iCs/>
        </w:rPr>
        <w:t>Modalidad de Entrega</w:t>
      </w:r>
    </w:p>
    <w:p w:rsidR="009158C9" w:rsidRDefault="00FC5202">
      <w:pPr>
        <w:tabs>
          <w:tab w:val="left" w:pos="4667"/>
        </w:tabs>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A través del SAIMEX.</w:t>
      </w:r>
    </w:p>
    <w:p w:rsidR="009158C9" w:rsidRDefault="009158C9">
      <w:pPr>
        <w:tabs>
          <w:tab w:val="left" w:pos="4667"/>
        </w:tabs>
        <w:spacing w:line="360" w:lineRule="auto"/>
        <w:ind w:left="567" w:right="567"/>
        <w:jc w:val="both"/>
        <w:rPr>
          <w:rFonts w:ascii="Palatino Linotype" w:eastAsia="Palatino Linotype" w:hAnsi="Palatino Linotype" w:cs="Palatino Linotype"/>
          <w:i/>
          <w:iCs/>
        </w:rPr>
      </w:pPr>
    </w:p>
    <w:p w:rsidR="009158C9" w:rsidRDefault="009158C9">
      <w:pPr>
        <w:tabs>
          <w:tab w:val="left" w:pos="4667"/>
        </w:tabs>
        <w:spacing w:line="360" w:lineRule="auto"/>
        <w:ind w:left="567" w:right="567"/>
        <w:jc w:val="both"/>
        <w:rPr>
          <w:rFonts w:ascii="Palatino Linotype" w:eastAsia="Palatino Linotype" w:hAnsi="Palatino Linotype" w:cs="Palatino Linotype"/>
          <w:i/>
          <w:iCs/>
        </w:rPr>
      </w:pPr>
    </w:p>
    <w:p w:rsidR="009158C9" w:rsidRDefault="009158C9">
      <w:pPr>
        <w:tabs>
          <w:tab w:val="left" w:pos="4667"/>
        </w:tabs>
        <w:spacing w:line="360" w:lineRule="auto"/>
        <w:ind w:left="567" w:right="567"/>
        <w:jc w:val="both"/>
        <w:rPr>
          <w:rFonts w:ascii="Palatino Linotype" w:eastAsia="Palatino Linotype" w:hAnsi="Palatino Linotype" w:cs="Palatino Linotype"/>
          <w:i/>
          <w:iCs/>
        </w:rPr>
      </w:pPr>
    </w:p>
    <w:p w:rsidR="009158C9" w:rsidRDefault="009158C9">
      <w:pPr>
        <w:tabs>
          <w:tab w:val="left" w:pos="4667"/>
        </w:tabs>
        <w:spacing w:line="360" w:lineRule="auto"/>
        <w:ind w:left="567" w:right="567"/>
        <w:jc w:val="both"/>
        <w:rPr>
          <w:rFonts w:ascii="Palatino Linotype" w:eastAsia="Palatino Linotype" w:hAnsi="Palatino Linotype" w:cs="Palatino Linotype"/>
          <w:i/>
          <w:iCs/>
        </w:rPr>
      </w:pPr>
    </w:p>
    <w:p w:rsidR="009158C9" w:rsidRDefault="00FC5202">
      <w:pPr>
        <w:pStyle w:val="Ttulo2"/>
        <w:spacing w:before="0" w:after="0" w:line="360" w:lineRule="auto"/>
        <w:rPr>
          <w:rFonts w:ascii="Palatino Linotype" w:eastAsia="Palatino Linotype" w:hAnsi="Palatino Linotype" w:cs="Palatino Linotype"/>
          <w:b/>
          <w:bCs/>
          <w:color w:val="000000"/>
          <w:sz w:val="22"/>
          <w:szCs w:val="22"/>
        </w:rPr>
      </w:pPr>
      <w:bookmarkStart w:id="5" w:name="_Toc220597168"/>
      <w:r>
        <w:rPr>
          <w:rFonts w:ascii="Palatino Linotype" w:eastAsia="Palatino Linotype" w:hAnsi="Palatino Linotype" w:cs="Palatino Linotype"/>
          <w:b/>
          <w:bCs/>
          <w:color w:val="000000"/>
          <w:sz w:val="22"/>
          <w:szCs w:val="22"/>
        </w:rPr>
        <w:t>II. Respuesta del Sujeto Obligado</w:t>
      </w:r>
      <w:bookmarkEnd w:id="5"/>
    </w:p>
    <w:p w:rsidR="009158C9" w:rsidRDefault="00FC5202">
      <w:pPr>
        <w:tabs>
          <w:tab w:val="left" w:pos="4667"/>
        </w:tabs>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w:t>
      </w:r>
    </w:p>
    <w:p w:rsidR="009158C9" w:rsidRDefault="00FC5202">
      <w:pPr>
        <w:tabs>
          <w:tab w:val="left" w:pos="4667"/>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 fecha veintiocho de agosto de dos mil veinticinco, el Sujeto Obligado dio respuesta a la solicitud de acceso a la información a través del Sistema de Acceso a la Información Mexiquense (SAIMEX), a través de la digitalización de los documentos siguientes:</w:t>
      </w:r>
    </w:p>
    <w:p w:rsidR="009158C9" w:rsidRDefault="009158C9">
      <w:pPr>
        <w:tabs>
          <w:tab w:val="left" w:pos="4667"/>
        </w:tabs>
        <w:spacing w:line="360" w:lineRule="auto"/>
        <w:jc w:val="both"/>
        <w:rPr>
          <w:rFonts w:ascii="Palatino Linotype" w:eastAsia="Palatino Linotype" w:hAnsi="Palatino Linotype" w:cs="Palatino Linotype"/>
          <w:sz w:val="22"/>
          <w:szCs w:val="22"/>
        </w:rPr>
      </w:pPr>
    </w:p>
    <w:p w:rsidR="009158C9" w:rsidRDefault="00FC5202">
      <w:pPr>
        <w:tabs>
          <w:tab w:val="left" w:pos="4667"/>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i) Oficio sin número de fecha veintiséis de agosto de dos mil veinticinco, suscrito por el Titular de la Unidad de Prevención de la Corrupción y responsable de la Unidad de Transparencia, dirigido al Solicitante, por medio del cual manifiesta que daba contestación a la solicitud.</w:t>
      </w:r>
    </w:p>
    <w:p w:rsidR="009158C9" w:rsidRDefault="009158C9">
      <w:pPr>
        <w:tabs>
          <w:tab w:val="left" w:pos="4667"/>
        </w:tabs>
        <w:spacing w:line="360" w:lineRule="auto"/>
        <w:jc w:val="both"/>
        <w:rPr>
          <w:rFonts w:ascii="Palatino Linotype" w:eastAsia="Palatino Linotype" w:hAnsi="Palatino Linotype" w:cs="Palatino Linotype"/>
          <w:sz w:val="22"/>
          <w:szCs w:val="22"/>
        </w:rPr>
      </w:pPr>
    </w:p>
    <w:p w:rsidR="009158C9" w:rsidRDefault="00FC5202">
      <w:pPr>
        <w:tabs>
          <w:tab w:val="left" w:pos="4667"/>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ii) Oficio número 21800005S-001219/2025, del veinte de agosto de la presente anualidad, suscrito por el Encargado de la Coordinación Administrativa, dirigido al Titular de la Unidad de Prevención de la Corrupción y responsable de la Unidad de Transparencia, a través del cual manifiesta y expone lo siguiente:</w:t>
      </w:r>
    </w:p>
    <w:p w:rsidR="009158C9" w:rsidRDefault="009158C9">
      <w:pPr>
        <w:tabs>
          <w:tab w:val="left" w:pos="4667"/>
        </w:tabs>
        <w:spacing w:line="360" w:lineRule="auto"/>
        <w:jc w:val="both"/>
        <w:rPr>
          <w:rFonts w:ascii="Palatino Linotype" w:eastAsia="Palatino Linotype" w:hAnsi="Palatino Linotype" w:cs="Palatino Linotype"/>
          <w:sz w:val="22"/>
          <w:szCs w:val="22"/>
        </w:rPr>
      </w:pPr>
    </w:p>
    <w:p w:rsidR="009158C9" w:rsidRDefault="00FC5202">
      <w:pPr>
        <w:tabs>
          <w:tab w:val="left" w:pos="4667"/>
        </w:tabs>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w:t>
      </w:r>
    </w:p>
    <w:p w:rsidR="009158C9" w:rsidRDefault="00FC5202">
      <w:pPr>
        <w:tabs>
          <w:tab w:val="left" w:pos="4667"/>
        </w:tabs>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…me permito comentar que  esta coordinación administrativa de la Secretaria no cuenta con registros o guarda información impresa de los archivos de los recibos de nómina, toda vez que la información solicitada es consultada únicamente por el servidor público interesado y se encuentra alojada en el Portal de Gestión Interna G2G, portal al cual se tiene acceso mediante una contraseña única y personal que es generada por cada persona servidora pública y a la cual, solo ellos pueden tener acceso para consultar su información y documentos personales.</w:t>
      </w:r>
    </w:p>
    <w:p w:rsidR="009158C9" w:rsidRDefault="009158C9">
      <w:pPr>
        <w:tabs>
          <w:tab w:val="left" w:pos="4667"/>
        </w:tabs>
        <w:spacing w:line="360" w:lineRule="auto"/>
        <w:ind w:left="567" w:right="567"/>
        <w:jc w:val="both"/>
        <w:rPr>
          <w:rFonts w:ascii="Palatino Linotype" w:eastAsia="Palatino Linotype" w:hAnsi="Palatino Linotype" w:cs="Palatino Linotype"/>
          <w:i/>
          <w:iCs/>
        </w:rPr>
      </w:pPr>
    </w:p>
    <w:p w:rsidR="009158C9" w:rsidRDefault="00FC5202">
      <w:pPr>
        <w:tabs>
          <w:tab w:val="left" w:pos="4667"/>
        </w:tabs>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w:t>
      </w:r>
    </w:p>
    <w:p w:rsidR="009158C9" w:rsidRDefault="009158C9">
      <w:pPr>
        <w:tabs>
          <w:tab w:val="left" w:pos="4667"/>
        </w:tabs>
        <w:spacing w:line="360" w:lineRule="auto"/>
        <w:ind w:left="567" w:right="567"/>
        <w:jc w:val="both"/>
        <w:rPr>
          <w:rFonts w:ascii="Palatino Linotype" w:eastAsia="Palatino Linotype" w:hAnsi="Palatino Linotype" w:cs="Palatino Linotype"/>
          <w:i/>
          <w:iCs/>
        </w:rPr>
      </w:pPr>
    </w:p>
    <w:p w:rsidR="009158C9" w:rsidRDefault="00FC5202">
      <w:pPr>
        <w:numPr>
          <w:ilvl w:val="0"/>
          <w:numId w:val="3"/>
        </w:numPr>
        <w:pBdr>
          <w:top w:val="nil"/>
          <w:left w:val="nil"/>
          <w:bottom w:val="nil"/>
          <w:right w:val="nil"/>
          <w:between w:val="nil"/>
        </w:pBdr>
        <w:tabs>
          <w:tab w:val="left" w:pos="4667"/>
        </w:tabs>
        <w:spacing w:line="360" w:lineRule="auto"/>
        <w:ind w:right="567"/>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Adjunta los pasos para acceder al Portal de Gestión Interna G2G.</w:t>
      </w:r>
    </w:p>
    <w:p w:rsidR="009158C9" w:rsidRDefault="009158C9">
      <w:pPr>
        <w:tabs>
          <w:tab w:val="left" w:pos="4667"/>
        </w:tabs>
        <w:spacing w:line="360" w:lineRule="auto"/>
        <w:jc w:val="both"/>
        <w:rPr>
          <w:rFonts w:ascii="Palatino Linotype" w:eastAsia="Palatino Linotype" w:hAnsi="Palatino Linotype" w:cs="Palatino Linotype"/>
          <w:sz w:val="22"/>
          <w:szCs w:val="22"/>
        </w:rPr>
      </w:pPr>
    </w:p>
    <w:p w:rsidR="009158C9" w:rsidRDefault="009158C9">
      <w:pPr>
        <w:tabs>
          <w:tab w:val="left" w:pos="4667"/>
        </w:tabs>
        <w:spacing w:line="360" w:lineRule="auto"/>
        <w:jc w:val="both"/>
        <w:rPr>
          <w:rFonts w:ascii="Palatino Linotype" w:eastAsia="Palatino Linotype" w:hAnsi="Palatino Linotype" w:cs="Palatino Linotype"/>
          <w:sz w:val="22"/>
          <w:szCs w:val="22"/>
        </w:rPr>
      </w:pPr>
    </w:p>
    <w:p w:rsidR="009158C9" w:rsidRDefault="00FC5202">
      <w:pPr>
        <w:pStyle w:val="Ttulo2"/>
        <w:spacing w:before="0" w:after="0" w:line="360" w:lineRule="auto"/>
        <w:rPr>
          <w:rFonts w:ascii="Palatino Linotype" w:eastAsia="Palatino Linotype" w:hAnsi="Palatino Linotype" w:cs="Palatino Linotype"/>
          <w:b/>
          <w:bCs/>
          <w:color w:val="000000"/>
          <w:sz w:val="22"/>
          <w:szCs w:val="22"/>
        </w:rPr>
      </w:pPr>
      <w:bookmarkStart w:id="6" w:name="_Toc220597169"/>
      <w:r>
        <w:rPr>
          <w:rFonts w:ascii="Palatino Linotype" w:eastAsia="Palatino Linotype" w:hAnsi="Palatino Linotype" w:cs="Palatino Linotype"/>
          <w:b/>
          <w:bCs/>
          <w:color w:val="000000"/>
          <w:sz w:val="22"/>
          <w:szCs w:val="22"/>
        </w:rPr>
        <w:t>III. Interposición del Recurso de Revisión</w:t>
      </w:r>
      <w:bookmarkEnd w:id="6"/>
    </w:p>
    <w:p w:rsidR="009158C9" w:rsidRDefault="009158C9">
      <w:pPr>
        <w:spacing w:line="360" w:lineRule="auto"/>
        <w:jc w:val="both"/>
        <w:rPr>
          <w:rFonts w:ascii="Palatino Linotype" w:eastAsia="Palatino Linotype" w:hAnsi="Palatino Linotype" w:cs="Palatino Linotype"/>
          <w:sz w:val="22"/>
          <w:szCs w:val="22"/>
        </w:rPr>
      </w:pPr>
    </w:p>
    <w:p w:rsidR="009158C9" w:rsidRDefault="00FC520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 fecha veintiocho de agosto de dos mil veinticinco, se recibió en este Instituto, a través del SAIMEX, el Recurso de Revisión interpuesto por la parte Recurrente, en contra de la respuesta de la Secretaria de la Contraloría, en los siguientes términos:</w:t>
      </w:r>
    </w:p>
    <w:p w:rsidR="009158C9" w:rsidRDefault="009158C9">
      <w:pPr>
        <w:spacing w:line="360" w:lineRule="auto"/>
        <w:jc w:val="both"/>
        <w:rPr>
          <w:rFonts w:ascii="Palatino Linotype" w:eastAsia="Palatino Linotype" w:hAnsi="Palatino Linotype" w:cs="Palatino Linotype"/>
          <w:b/>
          <w:bCs/>
          <w:sz w:val="22"/>
          <w:szCs w:val="22"/>
        </w:rPr>
      </w:pPr>
    </w:p>
    <w:p w:rsidR="009158C9" w:rsidRDefault="00FC5202">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b/>
          <w:bCs/>
          <w:i/>
          <w:iCs/>
        </w:rPr>
        <w:t>ACTO IMPUGNADO</w:t>
      </w:r>
    </w:p>
    <w:p w:rsidR="009158C9" w:rsidRDefault="00FC5202">
      <w:pPr>
        <w:spacing w:line="360" w:lineRule="auto"/>
        <w:ind w:left="567" w:right="567"/>
        <w:jc w:val="both"/>
        <w:rPr>
          <w:rFonts w:ascii="Palatino Linotype" w:eastAsia="Palatino Linotype" w:hAnsi="Palatino Linotype" w:cs="Palatino Linotype"/>
          <w:i/>
          <w:iCs/>
        </w:rPr>
      </w:pPr>
      <w:proofErr w:type="gramStart"/>
      <w:r>
        <w:rPr>
          <w:rFonts w:ascii="Palatino Linotype" w:eastAsia="Palatino Linotype" w:hAnsi="Palatino Linotype" w:cs="Palatino Linotype"/>
          <w:i/>
          <w:iCs/>
        </w:rPr>
        <w:t>negativa</w:t>
      </w:r>
      <w:proofErr w:type="gramEnd"/>
      <w:r>
        <w:rPr>
          <w:rFonts w:ascii="Palatino Linotype" w:eastAsia="Palatino Linotype" w:hAnsi="Palatino Linotype" w:cs="Palatino Linotype"/>
          <w:i/>
          <w:iCs/>
        </w:rPr>
        <w:t xml:space="preserve"> a la entrega de información</w:t>
      </w:r>
      <w:r>
        <w:rPr>
          <w:rFonts w:ascii="Palatino Linotype" w:eastAsia="Palatino Linotype" w:hAnsi="Palatino Linotype" w:cs="Palatino Linotype"/>
          <w:i/>
          <w:iCs/>
          <w:color w:val="000000"/>
        </w:rPr>
        <w:t>.</w:t>
      </w:r>
      <w:r>
        <w:rPr>
          <w:rFonts w:ascii="Palatino Linotype" w:eastAsia="Palatino Linotype" w:hAnsi="Palatino Linotype" w:cs="Palatino Linotype"/>
          <w:i/>
          <w:iCs/>
        </w:rPr>
        <w:t>” (Sic)</w:t>
      </w:r>
    </w:p>
    <w:p w:rsidR="009158C9" w:rsidRDefault="009158C9">
      <w:pPr>
        <w:spacing w:line="360" w:lineRule="auto"/>
        <w:ind w:left="567" w:right="567"/>
        <w:jc w:val="both"/>
        <w:rPr>
          <w:rFonts w:ascii="Palatino Linotype" w:eastAsia="Palatino Linotype" w:hAnsi="Palatino Linotype" w:cs="Palatino Linotype"/>
          <w:i/>
          <w:iCs/>
        </w:rPr>
      </w:pPr>
    </w:p>
    <w:p w:rsidR="009158C9" w:rsidRDefault="00FC5202">
      <w:pPr>
        <w:spacing w:line="360" w:lineRule="auto"/>
        <w:ind w:left="567" w:right="567"/>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RAZONES O MOTIVOS DE LA INCONFORMIDAD</w:t>
      </w:r>
    </w:p>
    <w:p w:rsidR="009158C9" w:rsidRDefault="00FC5202">
      <w:pPr>
        <w:spacing w:line="360" w:lineRule="auto"/>
        <w:ind w:left="567"/>
        <w:jc w:val="both"/>
        <w:rPr>
          <w:rFonts w:ascii="Palatino Linotype" w:eastAsia="Palatino Linotype" w:hAnsi="Palatino Linotype" w:cs="Palatino Linotype"/>
          <w:i/>
          <w:iCs/>
        </w:rPr>
      </w:pPr>
      <w:proofErr w:type="gramStart"/>
      <w:r>
        <w:rPr>
          <w:rFonts w:ascii="Palatino Linotype" w:eastAsia="Palatino Linotype" w:hAnsi="Palatino Linotype" w:cs="Palatino Linotype"/>
          <w:i/>
          <w:iCs/>
          <w:color w:val="000000"/>
        </w:rPr>
        <w:t>negativa</w:t>
      </w:r>
      <w:proofErr w:type="gramEnd"/>
      <w:r>
        <w:rPr>
          <w:rFonts w:ascii="Palatino Linotype" w:eastAsia="Palatino Linotype" w:hAnsi="Palatino Linotype" w:cs="Palatino Linotype"/>
          <w:i/>
          <w:iCs/>
          <w:color w:val="000000"/>
        </w:rPr>
        <w:t xml:space="preserve"> a la entrega de información.</w:t>
      </w:r>
      <w:r>
        <w:rPr>
          <w:rFonts w:ascii="Palatino Linotype" w:eastAsia="Palatino Linotype" w:hAnsi="Palatino Linotype" w:cs="Palatino Linotype"/>
          <w:i/>
          <w:iCs/>
        </w:rPr>
        <w:t>” (Sic)</w:t>
      </w:r>
    </w:p>
    <w:p w:rsidR="009158C9" w:rsidRDefault="009158C9">
      <w:pPr>
        <w:spacing w:line="360" w:lineRule="auto"/>
        <w:ind w:right="567"/>
        <w:jc w:val="both"/>
        <w:rPr>
          <w:rFonts w:ascii="Palatino Linotype" w:eastAsia="Palatino Linotype" w:hAnsi="Palatino Linotype" w:cs="Palatino Linotype"/>
          <w:i/>
          <w:iCs/>
        </w:rPr>
      </w:pPr>
    </w:p>
    <w:p w:rsidR="009158C9" w:rsidRDefault="00FC5202">
      <w:pPr>
        <w:pStyle w:val="Ttulo2"/>
        <w:spacing w:before="0" w:after="0" w:line="360" w:lineRule="auto"/>
        <w:rPr>
          <w:rFonts w:ascii="Palatino Linotype" w:eastAsia="Palatino Linotype" w:hAnsi="Palatino Linotype" w:cs="Palatino Linotype"/>
          <w:b/>
          <w:bCs/>
          <w:color w:val="000000"/>
          <w:sz w:val="22"/>
          <w:szCs w:val="22"/>
        </w:rPr>
      </w:pPr>
      <w:bookmarkStart w:id="7" w:name="_Toc220597170"/>
      <w:r>
        <w:rPr>
          <w:rFonts w:ascii="Palatino Linotype" w:eastAsia="Palatino Linotype" w:hAnsi="Palatino Linotype" w:cs="Palatino Linotype"/>
          <w:b/>
          <w:bCs/>
          <w:color w:val="000000"/>
          <w:sz w:val="22"/>
          <w:szCs w:val="22"/>
        </w:rPr>
        <w:t>IV. Trámite del Recurso de Revisión ante este Instituto</w:t>
      </w:r>
      <w:bookmarkEnd w:id="7"/>
    </w:p>
    <w:p w:rsidR="009158C9" w:rsidRDefault="009158C9">
      <w:pPr>
        <w:spacing w:line="360" w:lineRule="auto"/>
        <w:jc w:val="both"/>
        <w:rPr>
          <w:rFonts w:ascii="Palatino Linotype" w:eastAsia="Palatino Linotype" w:hAnsi="Palatino Linotype" w:cs="Palatino Linotype"/>
          <w:b/>
          <w:bCs/>
          <w:sz w:val="22"/>
          <w:szCs w:val="22"/>
        </w:rPr>
      </w:pPr>
    </w:p>
    <w:p w:rsidR="009158C9" w:rsidRDefault="00FC520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a) Turno del Recurso de Revisión. </w:t>
      </w:r>
      <w:r>
        <w:rPr>
          <w:rFonts w:ascii="Palatino Linotype" w:eastAsia="Palatino Linotype" w:hAnsi="Palatino Linotype" w:cs="Palatino Linotype"/>
          <w:sz w:val="22"/>
          <w:szCs w:val="22"/>
        </w:rPr>
        <w:t xml:space="preserve">El veintiocho de agosto de dos mil veinticinco, el SAIMEX, asignó el número de expediente </w:t>
      </w:r>
      <w:r>
        <w:rPr>
          <w:rFonts w:ascii="Palatino Linotype" w:eastAsia="Palatino Linotype" w:hAnsi="Palatino Linotype" w:cs="Palatino Linotype"/>
          <w:b/>
          <w:bCs/>
          <w:sz w:val="22"/>
          <w:szCs w:val="22"/>
        </w:rPr>
        <w:t>10146/INFOEM/IP/RR/2025</w:t>
      </w:r>
      <w:r>
        <w:rPr>
          <w:rFonts w:ascii="Palatino Linotype" w:eastAsia="Palatino Linotype" w:hAnsi="Palatino Linotype" w:cs="Palatino Linotype"/>
          <w:sz w:val="22"/>
          <w:szCs w:val="22"/>
        </w:rPr>
        <w:t xml:space="preserve"> al medio de impugnación que nos ocupa, con base en el sistema aprobado por el Pleno de este Organismo Garante y lo turnó al Comisionado </w:t>
      </w:r>
      <w:r>
        <w:rPr>
          <w:rFonts w:ascii="Palatino Linotype" w:eastAsia="Palatino Linotype" w:hAnsi="Palatino Linotype" w:cs="Palatino Linotype"/>
          <w:b/>
          <w:bCs/>
          <w:sz w:val="22"/>
          <w:szCs w:val="22"/>
        </w:rPr>
        <w:t>Luis Gustavo Parra Noriega</w:t>
      </w:r>
      <w:r>
        <w:rPr>
          <w:rFonts w:ascii="Palatino Linotype" w:eastAsia="Palatino Linotype" w:hAnsi="Palatino Linotype" w:cs="Palatino Linotype"/>
          <w:sz w:val="22"/>
          <w:szCs w:val="22"/>
        </w:rPr>
        <w:t>, para los efectos del artículo 185, fracción I, de la Ley de Transparencia y Acceso a la Información Pública del Estado de México y Municipios.</w:t>
      </w:r>
    </w:p>
    <w:p w:rsidR="009158C9" w:rsidRDefault="009158C9">
      <w:pPr>
        <w:spacing w:line="360" w:lineRule="auto"/>
        <w:jc w:val="both"/>
        <w:rPr>
          <w:rFonts w:ascii="Palatino Linotype" w:eastAsia="Palatino Linotype" w:hAnsi="Palatino Linotype" w:cs="Palatino Linotype"/>
          <w:b/>
          <w:bCs/>
          <w:sz w:val="22"/>
          <w:szCs w:val="22"/>
        </w:rPr>
      </w:pPr>
    </w:p>
    <w:p w:rsidR="009158C9" w:rsidRDefault="00FC520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b) Admisión del Recurso de Revisión. </w:t>
      </w:r>
      <w:r>
        <w:rPr>
          <w:rFonts w:ascii="Palatino Linotype" w:eastAsia="Palatino Linotype" w:hAnsi="Palatino Linotype" w:cs="Palatino Linotype"/>
          <w:sz w:val="22"/>
          <w:szCs w:val="22"/>
        </w:rPr>
        <w:t xml:space="preserve">El dos de septiembre de dos mil veinticinco, se acordó la admisión del Recurso de Revisión, interpuesto por la Recurrente, en contra del </w:t>
      </w:r>
      <w:r>
        <w:rPr>
          <w:rFonts w:ascii="Palatino Linotype" w:eastAsia="Palatino Linotype" w:hAnsi="Palatino Linotype" w:cs="Palatino Linotype"/>
          <w:sz w:val="22"/>
          <w:szCs w:val="22"/>
        </w:rPr>
        <w:lastRenderedPageBreak/>
        <w:t>Sujeto Obligado, en términos del artículo 185, fracciones I y II, de la Ley de Transparencia y Acceso a la Información Pública del Estado de México y Municipios, el cual fue notificado a las partes el mismo día, a través del SAIMEX, en el que se les otorgó un plazo de siete días hábiles posteriores a la misma, para que manifestaran lo que a su derecho conviniera y formularan alegatos.</w:t>
      </w:r>
    </w:p>
    <w:p w:rsidR="009158C9" w:rsidRDefault="009158C9">
      <w:pPr>
        <w:spacing w:line="360" w:lineRule="auto"/>
        <w:jc w:val="both"/>
        <w:rPr>
          <w:rFonts w:ascii="Palatino Linotype" w:eastAsia="Palatino Linotype" w:hAnsi="Palatino Linotype" w:cs="Palatino Linotype"/>
          <w:sz w:val="22"/>
          <w:szCs w:val="22"/>
        </w:rPr>
      </w:pPr>
    </w:p>
    <w:p w:rsidR="009158C9" w:rsidRDefault="00FC520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c) Informe Justificado. </w:t>
      </w:r>
      <w:r>
        <w:rPr>
          <w:rFonts w:ascii="Palatino Linotype" w:eastAsia="Palatino Linotype" w:hAnsi="Palatino Linotype" w:cs="Palatino Linotype"/>
          <w:sz w:val="22"/>
          <w:szCs w:val="22"/>
        </w:rPr>
        <w:t>El nueve de septiembre de dos mil veinticinco, se recibió, a través del SAIMEX, el informe justificado</w:t>
      </w:r>
      <w:r>
        <w:rPr>
          <w:rFonts w:ascii="Palatino Linotype" w:eastAsia="Palatino Linotype" w:hAnsi="Palatino Linotype" w:cs="Palatino Linotype"/>
          <w:color w:val="0D0D0D"/>
          <w:sz w:val="22"/>
          <w:szCs w:val="22"/>
        </w:rPr>
        <w:t xml:space="preserve"> por parte del Sujeto Obligado, dentro del cual ratifica su respuesta inicial</w:t>
      </w:r>
      <w:r>
        <w:rPr>
          <w:rFonts w:ascii="Palatino Linotype" w:eastAsia="Palatino Linotype" w:hAnsi="Palatino Linotype" w:cs="Palatino Linotype"/>
          <w:sz w:val="22"/>
          <w:szCs w:val="22"/>
        </w:rPr>
        <w:t>.</w:t>
      </w:r>
    </w:p>
    <w:p w:rsidR="009158C9" w:rsidRDefault="009158C9">
      <w:pPr>
        <w:spacing w:line="360" w:lineRule="auto"/>
        <w:jc w:val="both"/>
        <w:rPr>
          <w:rFonts w:ascii="Palatino Linotype" w:eastAsia="Palatino Linotype" w:hAnsi="Palatino Linotype" w:cs="Palatino Linotype"/>
          <w:sz w:val="22"/>
          <w:szCs w:val="22"/>
        </w:rPr>
      </w:pPr>
      <w:bookmarkStart w:id="8" w:name="_heading=h.7fdrmzv8qwxb" w:colFirst="0" w:colLast="0"/>
      <w:bookmarkEnd w:id="8"/>
    </w:p>
    <w:p w:rsidR="009158C9" w:rsidRDefault="00FC5202">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d) Vista del informe justificado. </w:t>
      </w:r>
      <w:r>
        <w:rPr>
          <w:rFonts w:ascii="Palatino Linotype" w:eastAsia="Palatino Linotype" w:hAnsi="Palatino Linotype" w:cs="Palatino Linotype"/>
          <w:sz w:val="22"/>
          <w:szCs w:val="22"/>
        </w:rPr>
        <w:t>El veintidós de enero de dos mil veintiséis, se dictó acuerdo mediante el cual se puso a la vista del Particular, el Informe Justificado entregado por el Sujeto Obligado, el cual fue notificado, a través del SAIMEX, el mismo día.</w:t>
      </w:r>
      <w:r>
        <w:rPr>
          <w:rFonts w:ascii="Palatino Linotype" w:eastAsia="Palatino Linotype" w:hAnsi="Palatino Linotype" w:cs="Palatino Linotype"/>
          <w:b/>
          <w:bCs/>
          <w:sz w:val="22"/>
          <w:szCs w:val="22"/>
        </w:rPr>
        <w:t xml:space="preserve"> Cabe mencionar que el Recurrente fue omiso en emitir alguna manifestación o alegato.</w:t>
      </w:r>
    </w:p>
    <w:p w:rsidR="009158C9" w:rsidRDefault="009158C9">
      <w:pPr>
        <w:spacing w:line="360" w:lineRule="auto"/>
        <w:jc w:val="both"/>
        <w:rPr>
          <w:rFonts w:ascii="Palatino Linotype" w:eastAsia="Palatino Linotype" w:hAnsi="Palatino Linotype" w:cs="Palatino Linotype"/>
          <w:b/>
          <w:bCs/>
          <w:sz w:val="22"/>
          <w:szCs w:val="22"/>
        </w:rPr>
      </w:pPr>
    </w:p>
    <w:p w:rsidR="009158C9" w:rsidRDefault="00FC520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e) Ampliación de plazo para resolver. </w:t>
      </w:r>
      <w:r>
        <w:rPr>
          <w:rFonts w:ascii="Palatino Linotype" w:eastAsia="Palatino Linotype" w:hAnsi="Palatino Linotype" w:cs="Palatino Linotype"/>
          <w:sz w:val="22"/>
          <w:szCs w:val="22"/>
        </w:rPr>
        <w:t>El veintiséis de enero de dos mil veintiséis, el Comisionado Ponente, con fundamento en lo dispuesto por el artículo 181, párrafo tercero, de la Ley de Transparencia y Acceso a la Información Pública del Estado de México y Municipios, acordó ampliar por un periodo razonable, el plazo para resolver el Recurso de Revisión que nos ocupa; acto que fue notificado a las partes el mismo día mediante el SAIMEX.</w:t>
      </w:r>
    </w:p>
    <w:p w:rsidR="009158C9" w:rsidRDefault="009158C9">
      <w:pPr>
        <w:spacing w:line="360" w:lineRule="auto"/>
        <w:jc w:val="both"/>
        <w:rPr>
          <w:rFonts w:ascii="Palatino Linotype" w:eastAsia="Palatino Linotype" w:hAnsi="Palatino Linotype" w:cs="Palatino Linotype"/>
          <w:sz w:val="22"/>
          <w:szCs w:val="22"/>
        </w:rPr>
      </w:pPr>
    </w:p>
    <w:p w:rsidR="009158C9" w:rsidRDefault="00FC5202">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f) Cierre de instrucción.</w:t>
      </w:r>
      <w:r>
        <w:rPr>
          <w:rFonts w:ascii="Palatino Linotype" w:eastAsia="Palatino Linotype" w:hAnsi="Palatino Linotype" w:cs="Palatino Linotype"/>
          <w:sz w:val="22"/>
          <w:szCs w:val="22"/>
        </w:rPr>
        <w:t xml:space="preserve"> El veintinueve de enero de dos mil veintiséis,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w:t>
      </w:r>
      <w:r>
        <w:rPr>
          <w:rFonts w:ascii="Palatino Linotype" w:eastAsia="Palatino Linotype" w:hAnsi="Palatino Linotype" w:cs="Palatino Linotype"/>
          <w:sz w:val="22"/>
          <w:szCs w:val="22"/>
        </w:rPr>
        <w:lastRenderedPageBreak/>
        <w:t>Información Pública del Estado de México y Municipios, acto que fue notificado a las partes, mediante el SAIMEX, el mismo día.</w:t>
      </w:r>
    </w:p>
    <w:p w:rsidR="009158C9" w:rsidRDefault="009158C9">
      <w:pPr>
        <w:spacing w:line="360" w:lineRule="auto"/>
        <w:jc w:val="both"/>
        <w:rPr>
          <w:rFonts w:ascii="Palatino Linotype" w:eastAsia="Palatino Linotype" w:hAnsi="Palatino Linotype" w:cs="Palatino Linotype"/>
          <w:b/>
          <w:bCs/>
          <w:sz w:val="22"/>
          <w:szCs w:val="22"/>
        </w:rPr>
      </w:pPr>
    </w:p>
    <w:p w:rsidR="009158C9" w:rsidRDefault="00FC5202">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En razón de que fue debidamente sustanciado el expediente electrónico y no existe diligencia pendiente de desahogo, se emite la resolución que conforme a Derecho proceda, de acuerdo a los siguientes: </w:t>
      </w:r>
    </w:p>
    <w:p w:rsidR="009158C9" w:rsidRDefault="009158C9">
      <w:pPr>
        <w:spacing w:line="360" w:lineRule="auto"/>
        <w:jc w:val="both"/>
        <w:rPr>
          <w:rFonts w:ascii="Palatino Linotype" w:eastAsia="Palatino Linotype" w:hAnsi="Palatino Linotype" w:cs="Palatino Linotype"/>
          <w:color w:val="000000"/>
          <w:sz w:val="22"/>
          <w:szCs w:val="22"/>
        </w:rPr>
      </w:pPr>
    </w:p>
    <w:p w:rsidR="009158C9" w:rsidRDefault="009158C9">
      <w:pPr>
        <w:spacing w:line="360" w:lineRule="auto"/>
        <w:jc w:val="both"/>
        <w:rPr>
          <w:rFonts w:ascii="Palatino Linotype" w:eastAsia="Palatino Linotype" w:hAnsi="Palatino Linotype" w:cs="Palatino Linotype"/>
          <w:color w:val="000000"/>
          <w:sz w:val="22"/>
          <w:szCs w:val="22"/>
        </w:rPr>
      </w:pPr>
    </w:p>
    <w:p w:rsidR="009158C9" w:rsidRDefault="00FC5202">
      <w:pPr>
        <w:pStyle w:val="Ttulo1"/>
        <w:spacing w:before="0" w:after="0" w:line="360" w:lineRule="auto"/>
        <w:jc w:val="center"/>
        <w:rPr>
          <w:rFonts w:ascii="Palatino Linotype" w:eastAsia="Palatino Linotype" w:hAnsi="Palatino Linotype" w:cs="Palatino Linotype"/>
          <w:b/>
          <w:bCs/>
          <w:color w:val="000000"/>
          <w:sz w:val="22"/>
          <w:szCs w:val="22"/>
        </w:rPr>
      </w:pPr>
      <w:bookmarkStart w:id="9" w:name="_Toc220597171"/>
      <w:r>
        <w:rPr>
          <w:rFonts w:ascii="Palatino Linotype" w:eastAsia="Palatino Linotype" w:hAnsi="Palatino Linotype" w:cs="Palatino Linotype"/>
          <w:b/>
          <w:bCs/>
          <w:color w:val="000000"/>
          <w:sz w:val="22"/>
          <w:szCs w:val="22"/>
        </w:rPr>
        <w:t>C O N S I D E R A N D O S</w:t>
      </w:r>
      <w:bookmarkEnd w:id="9"/>
    </w:p>
    <w:p w:rsidR="009158C9" w:rsidRDefault="009158C9">
      <w:pPr>
        <w:rPr>
          <w:sz w:val="22"/>
          <w:szCs w:val="22"/>
        </w:rPr>
      </w:pPr>
    </w:p>
    <w:p w:rsidR="009158C9" w:rsidRDefault="00FC5202">
      <w:pPr>
        <w:pStyle w:val="Ttulo2"/>
        <w:spacing w:before="0" w:after="0" w:line="360" w:lineRule="auto"/>
        <w:rPr>
          <w:rFonts w:ascii="Palatino Linotype" w:eastAsia="Palatino Linotype" w:hAnsi="Palatino Linotype" w:cs="Palatino Linotype"/>
          <w:b/>
          <w:bCs/>
          <w:color w:val="000000"/>
          <w:sz w:val="22"/>
          <w:szCs w:val="22"/>
        </w:rPr>
      </w:pPr>
      <w:bookmarkStart w:id="10" w:name="_Toc220597172"/>
      <w:r>
        <w:rPr>
          <w:rFonts w:ascii="Palatino Linotype" w:eastAsia="Palatino Linotype" w:hAnsi="Palatino Linotype" w:cs="Palatino Linotype"/>
          <w:b/>
          <w:bCs/>
          <w:color w:val="000000"/>
          <w:sz w:val="22"/>
          <w:szCs w:val="22"/>
        </w:rPr>
        <w:t>PRIMERO. Competencia</w:t>
      </w:r>
      <w:bookmarkEnd w:id="10"/>
    </w:p>
    <w:p w:rsidR="009158C9" w:rsidRDefault="009158C9">
      <w:pPr>
        <w:spacing w:line="360" w:lineRule="auto"/>
        <w:jc w:val="both"/>
        <w:rPr>
          <w:rFonts w:ascii="Palatino Linotype" w:eastAsia="Palatino Linotype" w:hAnsi="Palatino Linotype" w:cs="Palatino Linotype"/>
          <w:sz w:val="22"/>
          <w:szCs w:val="22"/>
        </w:rPr>
      </w:pPr>
    </w:p>
    <w:p w:rsidR="009158C9" w:rsidRDefault="00FC520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rsidR="009158C9" w:rsidRDefault="009158C9">
      <w:pPr>
        <w:pStyle w:val="Ttulo2"/>
        <w:spacing w:before="0" w:after="0" w:line="360" w:lineRule="auto"/>
        <w:rPr>
          <w:rFonts w:ascii="Palatino Linotype" w:eastAsia="Palatino Linotype" w:hAnsi="Palatino Linotype" w:cs="Palatino Linotype"/>
          <w:b/>
          <w:bCs/>
          <w:color w:val="000000"/>
          <w:sz w:val="22"/>
          <w:szCs w:val="22"/>
        </w:rPr>
      </w:pPr>
    </w:p>
    <w:p w:rsidR="009158C9" w:rsidRDefault="00FC5202">
      <w:pPr>
        <w:pStyle w:val="Ttulo2"/>
        <w:spacing w:before="0" w:after="0" w:line="360" w:lineRule="auto"/>
        <w:rPr>
          <w:rFonts w:ascii="Palatino Linotype" w:eastAsia="Palatino Linotype" w:hAnsi="Palatino Linotype" w:cs="Palatino Linotype"/>
          <w:b/>
          <w:bCs/>
          <w:color w:val="000000"/>
          <w:sz w:val="22"/>
          <w:szCs w:val="22"/>
        </w:rPr>
      </w:pPr>
      <w:bookmarkStart w:id="11" w:name="_Toc220597173"/>
      <w:r>
        <w:rPr>
          <w:rFonts w:ascii="Palatino Linotype" w:eastAsia="Palatino Linotype" w:hAnsi="Palatino Linotype" w:cs="Palatino Linotype"/>
          <w:b/>
          <w:bCs/>
          <w:color w:val="000000"/>
          <w:sz w:val="22"/>
          <w:szCs w:val="22"/>
        </w:rPr>
        <w:t>SEGUNDO. Causales de improcedencia y sobreseimiento</w:t>
      </w:r>
      <w:bookmarkEnd w:id="11"/>
    </w:p>
    <w:p w:rsidR="009158C9" w:rsidRDefault="009158C9">
      <w:pPr>
        <w:spacing w:line="360" w:lineRule="auto"/>
        <w:jc w:val="both"/>
        <w:rPr>
          <w:rFonts w:ascii="Palatino Linotype" w:eastAsia="Palatino Linotype" w:hAnsi="Palatino Linotype" w:cs="Palatino Linotype"/>
          <w:sz w:val="22"/>
          <w:szCs w:val="22"/>
        </w:rPr>
      </w:pPr>
    </w:p>
    <w:p w:rsidR="009158C9" w:rsidRDefault="00FC520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 xml:space="preserve">De las constancias que forma parte del Recurso de Revisión que se analiza, se advierte que previo al estudio del fondo de la </w:t>
      </w:r>
      <w:proofErr w:type="spellStart"/>
      <w:r>
        <w:rPr>
          <w:rFonts w:ascii="Palatino Linotype" w:eastAsia="Palatino Linotype" w:hAnsi="Palatino Linotype" w:cs="Palatino Linotype"/>
          <w:i/>
          <w:iCs/>
          <w:sz w:val="22"/>
          <w:szCs w:val="22"/>
        </w:rPr>
        <w:t>litis</w:t>
      </w:r>
      <w:proofErr w:type="spellEnd"/>
      <w:r>
        <w:rPr>
          <w:rFonts w:ascii="Palatino Linotype" w:eastAsia="Palatino Linotype" w:hAnsi="Palatino Linotype" w:cs="Palatino Linotype"/>
          <w:sz w:val="22"/>
          <w:szCs w:val="22"/>
        </w:rPr>
        <w:t>, es necesario estudiar las causales de improcedencia y sobreseimiento que se adviertan, para determinar lo que en Derecho proceda.</w:t>
      </w:r>
    </w:p>
    <w:p w:rsidR="009158C9" w:rsidRDefault="009158C9">
      <w:pPr>
        <w:spacing w:line="360" w:lineRule="auto"/>
        <w:jc w:val="both"/>
        <w:rPr>
          <w:rFonts w:ascii="Palatino Linotype" w:eastAsia="Palatino Linotype" w:hAnsi="Palatino Linotype" w:cs="Palatino Linotype"/>
          <w:b/>
          <w:bCs/>
          <w:color w:val="000000"/>
          <w:sz w:val="22"/>
          <w:szCs w:val="22"/>
        </w:rPr>
      </w:pPr>
    </w:p>
    <w:p w:rsidR="009158C9" w:rsidRDefault="00FC5202">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Causales de improcedencia</w:t>
      </w:r>
    </w:p>
    <w:p w:rsidR="009158C9" w:rsidRDefault="009158C9">
      <w:pPr>
        <w:spacing w:line="360" w:lineRule="auto"/>
        <w:jc w:val="both"/>
        <w:rPr>
          <w:rFonts w:ascii="Palatino Linotype" w:eastAsia="Palatino Linotype" w:hAnsi="Palatino Linotype" w:cs="Palatino Linotype"/>
          <w:sz w:val="22"/>
          <w:szCs w:val="22"/>
        </w:rPr>
      </w:pPr>
    </w:p>
    <w:p w:rsidR="009158C9" w:rsidRDefault="00FC520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009158C9" w:rsidRDefault="009158C9">
      <w:pPr>
        <w:spacing w:line="360" w:lineRule="auto"/>
        <w:jc w:val="both"/>
        <w:rPr>
          <w:rFonts w:ascii="Palatino Linotype" w:eastAsia="Palatino Linotype" w:hAnsi="Palatino Linotype" w:cs="Palatino Linotype"/>
          <w:sz w:val="22"/>
          <w:szCs w:val="22"/>
        </w:rPr>
      </w:pPr>
    </w:p>
    <w:p w:rsidR="009158C9" w:rsidRDefault="00FC520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el presente caso, no se actualiza ninguna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la Recurrente ante otra instancia; no existió prevención alguna; la veracidad de la respuesta no formó parte del agravio; ni se realizó una consulta o ampliación a los alcances del requerimiento informativo.</w:t>
      </w:r>
    </w:p>
    <w:p w:rsidR="009158C9" w:rsidRDefault="009158C9">
      <w:pPr>
        <w:spacing w:line="360" w:lineRule="auto"/>
        <w:jc w:val="both"/>
        <w:rPr>
          <w:rFonts w:ascii="Palatino Linotype" w:eastAsia="Palatino Linotype" w:hAnsi="Palatino Linotype" w:cs="Palatino Linotype"/>
          <w:sz w:val="22"/>
          <w:szCs w:val="22"/>
        </w:rPr>
      </w:pPr>
    </w:p>
    <w:p w:rsidR="009158C9" w:rsidRDefault="00FC520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Asimismo, se actualiza la causal de procedencia del Recurso de Revisión establecida en el artículo 179, fracción I, de la Ley de Transparencia y Acceso a la Información Pública del Estado de México y Municipios, referente a la negativa de la información.</w:t>
      </w:r>
    </w:p>
    <w:p w:rsidR="009158C9" w:rsidRDefault="009158C9">
      <w:pPr>
        <w:spacing w:line="360" w:lineRule="auto"/>
        <w:jc w:val="both"/>
        <w:rPr>
          <w:rFonts w:ascii="Palatino Linotype" w:eastAsia="Palatino Linotype" w:hAnsi="Palatino Linotype" w:cs="Palatino Linotype"/>
          <w:sz w:val="22"/>
          <w:szCs w:val="22"/>
        </w:rPr>
      </w:pPr>
    </w:p>
    <w:p w:rsidR="009158C9" w:rsidRDefault="00FC520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Causales de sobreseimiento</w:t>
      </w:r>
    </w:p>
    <w:p w:rsidR="009158C9" w:rsidRDefault="009158C9">
      <w:pPr>
        <w:spacing w:line="360" w:lineRule="auto"/>
        <w:jc w:val="both"/>
        <w:rPr>
          <w:rFonts w:ascii="Palatino Linotype" w:eastAsia="Palatino Linotype" w:hAnsi="Palatino Linotype" w:cs="Palatino Linotype"/>
          <w:sz w:val="22"/>
          <w:szCs w:val="22"/>
        </w:rPr>
      </w:pPr>
    </w:p>
    <w:p w:rsidR="009158C9" w:rsidRDefault="00FC520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ser de previo y especial pronunciamiento, este Instituto analiza si se actualiza alguna causal de sobreseimiento.</w:t>
      </w:r>
    </w:p>
    <w:p w:rsidR="009158C9" w:rsidRDefault="009158C9">
      <w:pPr>
        <w:spacing w:line="360" w:lineRule="auto"/>
        <w:jc w:val="both"/>
        <w:rPr>
          <w:rFonts w:ascii="Palatino Linotype" w:eastAsia="Palatino Linotype" w:hAnsi="Palatino Linotype" w:cs="Palatino Linotype"/>
          <w:sz w:val="22"/>
          <w:szCs w:val="22"/>
        </w:rPr>
      </w:pPr>
    </w:p>
    <w:p w:rsidR="009158C9" w:rsidRDefault="00FC520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El artículo 192 de la Ley Transparencia y Acceso a la Información Pública del Estado de México y Municipios, señala las causales por las cuales se puede sobreseer en todo o en parte, el Recurso de Revisión; así, del análisis realizado por este Instituto, se advierte que </w:t>
      </w:r>
      <w:r w:rsidRPr="003475EF">
        <w:rPr>
          <w:rFonts w:ascii="Palatino Linotype" w:eastAsia="Palatino Linotype" w:hAnsi="Palatino Linotype" w:cs="Palatino Linotype"/>
          <w:b/>
          <w:bCs/>
          <w:color w:val="000000"/>
          <w:sz w:val="22"/>
          <w:szCs w:val="22"/>
        </w:rPr>
        <w:t>no se actualiza algún supuesto de sobreseimiento; lo anterior, en virtud de que no hay</w:t>
      </w:r>
      <w:r>
        <w:rPr>
          <w:rFonts w:ascii="Palatino Linotype" w:eastAsia="Palatino Linotype" w:hAnsi="Palatino Linotype" w:cs="Palatino Linotype"/>
          <w:sz w:val="22"/>
          <w:szCs w:val="22"/>
        </w:rPr>
        <w:t xml:space="preserve"> constancias en el expediente en que se actúa, de que el Recurrente se haya desistido del recurso, haya fallecido, sobreviniera alguna causal de improcedencia, que el Sujeto Obligado hubiese modificado o revocado el acto impugnado o bien, haya quedado sin materia.</w:t>
      </w:r>
    </w:p>
    <w:p w:rsidR="009158C9" w:rsidRDefault="009158C9">
      <w:pPr>
        <w:spacing w:line="360" w:lineRule="auto"/>
        <w:jc w:val="both"/>
        <w:rPr>
          <w:rFonts w:ascii="Palatino Linotype" w:eastAsia="Palatino Linotype" w:hAnsi="Palatino Linotype" w:cs="Palatino Linotype"/>
          <w:sz w:val="22"/>
          <w:szCs w:val="22"/>
        </w:rPr>
      </w:pPr>
    </w:p>
    <w:p w:rsidR="009158C9" w:rsidRDefault="00FC5202">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Por tales motivos, se considera procedente entrar al fondo del presente asunto. </w:t>
      </w:r>
    </w:p>
    <w:p w:rsidR="009158C9" w:rsidRDefault="009158C9">
      <w:pPr>
        <w:tabs>
          <w:tab w:val="left" w:pos="4962"/>
        </w:tabs>
        <w:spacing w:line="360" w:lineRule="auto"/>
        <w:jc w:val="both"/>
        <w:rPr>
          <w:rFonts w:ascii="Palatino Linotype" w:eastAsia="Palatino Linotype" w:hAnsi="Palatino Linotype" w:cs="Palatino Linotype"/>
          <w:sz w:val="22"/>
          <w:szCs w:val="22"/>
        </w:rPr>
      </w:pPr>
    </w:p>
    <w:p w:rsidR="009158C9" w:rsidRDefault="00FC5202">
      <w:pPr>
        <w:pStyle w:val="Ttulo2"/>
        <w:spacing w:before="0" w:after="0" w:line="360" w:lineRule="auto"/>
        <w:rPr>
          <w:rFonts w:ascii="Palatino Linotype" w:eastAsia="Palatino Linotype" w:hAnsi="Palatino Linotype" w:cs="Palatino Linotype"/>
          <w:b/>
          <w:bCs/>
          <w:color w:val="000000"/>
          <w:sz w:val="22"/>
          <w:szCs w:val="22"/>
        </w:rPr>
      </w:pPr>
      <w:bookmarkStart w:id="12" w:name="_Toc220597174"/>
      <w:r>
        <w:rPr>
          <w:rFonts w:ascii="Palatino Linotype" w:eastAsia="Palatino Linotype" w:hAnsi="Palatino Linotype" w:cs="Palatino Linotype"/>
          <w:b/>
          <w:bCs/>
          <w:color w:val="000000"/>
          <w:sz w:val="22"/>
          <w:szCs w:val="22"/>
        </w:rPr>
        <w:t>TERCERO. Determinación de la Controversia</w:t>
      </w:r>
      <w:bookmarkEnd w:id="12"/>
    </w:p>
    <w:p w:rsidR="009158C9" w:rsidRDefault="009158C9">
      <w:pPr>
        <w:spacing w:line="360" w:lineRule="auto"/>
        <w:jc w:val="both"/>
        <w:rPr>
          <w:rFonts w:ascii="Palatino Linotype" w:eastAsia="Palatino Linotype" w:hAnsi="Palatino Linotype" w:cs="Palatino Linotype"/>
          <w:sz w:val="22"/>
          <w:szCs w:val="22"/>
        </w:rPr>
      </w:pPr>
    </w:p>
    <w:p w:rsidR="009158C9" w:rsidRDefault="00FC5202">
      <w:pPr>
        <w:spacing w:line="360" w:lineRule="auto"/>
        <w:jc w:val="both"/>
        <w:rPr>
          <w:rFonts w:ascii="Palatino Linotype" w:eastAsia="Palatino Linotype" w:hAnsi="Palatino Linotype" w:cs="Palatino Linotype"/>
          <w:sz w:val="22"/>
          <w:szCs w:val="22"/>
        </w:rPr>
      </w:pPr>
      <w:bookmarkStart w:id="13" w:name="_heading=h.an1321r34f0" w:colFirst="0" w:colLast="0"/>
      <w:bookmarkEnd w:id="13"/>
      <w:r>
        <w:rPr>
          <w:rFonts w:ascii="Palatino Linotype" w:eastAsia="Palatino Linotype" w:hAnsi="Palatino Linotype" w:cs="Palatino Linotype"/>
          <w:sz w:val="22"/>
          <w:szCs w:val="22"/>
        </w:rPr>
        <w:t xml:space="preserve">Una vez realizado el estudio de las constancias que integran el expediente en que se actúa, se desprende que el Particular requirió los recibos </w:t>
      </w:r>
      <w:proofErr w:type="spellStart"/>
      <w:r>
        <w:rPr>
          <w:rFonts w:ascii="Palatino Linotype" w:eastAsia="Palatino Linotype" w:hAnsi="Palatino Linotype" w:cs="Palatino Linotype"/>
          <w:sz w:val="22"/>
          <w:szCs w:val="22"/>
        </w:rPr>
        <w:t>cfdi</w:t>
      </w:r>
      <w:proofErr w:type="spellEnd"/>
      <w:r>
        <w:rPr>
          <w:rFonts w:ascii="Palatino Linotype" w:eastAsia="Palatino Linotype" w:hAnsi="Palatino Linotype" w:cs="Palatino Linotype"/>
          <w:sz w:val="22"/>
          <w:szCs w:val="22"/>
        </w:rPr>
        <w:t xml:space="preserve"> o nómina y los pagos de prestaciones ejecutadas, de todo el personal adscrito a la Secretaria de la Contraloría incluyendo mandos medios y superiores, del primero al quince de julio de dos mil veinticinco.</w:t>
      </w:r>
    </w:p>
    <w:p w:rsidR="009158C9" w:rsidRDefault="009158C9">
      <w:pPr>
        <w:spacing w:line="360" w:lineRule="auto"/>
        <w:jc w:val="both"/>
        <w:rPr>
          <w:rFonts w:ascii="Palatino Linotype" w:eastAsia="Palatino Linotype" w:hAnsi="Palatino Linotype" w:cs="Palatino Linotype"/>
          <w:sz w:val="22"/>
          <w:szCs w:val="22"/>
        </w:rPr>
      </w:pPr>
    </w:p>
    <w:p w:rsidR="009158C9" w:rsidRDefault="00FC520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respuesta, el Sujeto Obligado a través de la Coordinación Administrativa señaló </w:t>
      </w:r>
      <w:r>
        <w:rPr>
          <w:rFonts w:ascii="Palatino Linotype" w:eastAsia="Palatino Linotype" w:hAnsi="Palatino Linotype" w:cs="Palatino Linotype"/>
          <w:color w:val="000000"/>
          <w:sz w:val="22"/>
          <w:szCs w:val="22"/>
        </w:rPr>
        <w:t xml:space="preserve">refirió que las documentales, son generadas por cada servidor público a través del Sistema de </w:t>
      </w:r>
      <w:r>
        <w:rPr>
          <w:rFonts w:ascii="Palatino Linotype" w:eastAsia="Palatino Linotype" w:hAnsi="Palatino Linotype" w:cs="Palatino Linotype"/>
          <w:color w:val="000000"/>
          <w:sz w:val="22"/>
          <w:szCs w:val="22"/>
        </w:rPr>
        <w:lastRenderedPageBreak/>
        <w:t>Nómina del Sector Central del Poder Ejecutivo (g2g), por lo tanto en los archivos de la Secretaría de la Contraloría, no obra documental alguna, en el entendido que cada servidor público cuenta con usuario y contraseña único para ingresar a dicho sistema, a lo cual pueden acceder a diversa información afín, a su relación laboral en el sector central del gobierno, entre la que se pueden encontrar datos personales que únicamente atañen a la vida privada de los mismos, aun</w:t>
      </w:r>
      <w:r>
        <w:rPr>
          <w:rFonts w:ascii="Palatino Linotype" w:eastAsia="Palatino Linotype" w:hAnsi="Palatino Linotype" w:cs="Palatino Linotype"/>
          <w:sz w:val="22"/>
          <w:szCs w:val="22"/>
        </w:rPr>
        <w:t>ado a que adjunto dicho procedimiento que realiza el servidor público para acceder a dicho portal</w:t>
      </w:r>
      <w:r>
        <w:rPr>
          <w:rFonts w:ascii="Palatino Linotype" w:eastAsia="Palatino Linotype" w:hAnsi="Palatino Linotype" w:cs="Palatino Linotype"/>
          <w:color w:val="000000"/>
          <w:sz w:val="22"/>
          <w:szCs w:val="22"/>
        </w:rPr>
        <w:t>; ante dicha circunstancia, el Particular se inconformó de la negativa de la información, lo cual actualiza la causal de procedencia prevista en la fracción I, del artículo 179 de la Ley de Transparencia y Acceso a la Información Pública del Estado de México y Municipios. Así las cosas, una vez admitido y notificado a las partes los Medio de Impugnación, el Sujeto Obligado ratificó la respuesta inicial.</w:t>
      </w:r>
    </w:p>
    <w:p w:rsidR="009158C9" w:rsidRDefault="009158C9">
      <w:pPr>
        <w:spacing w:line="360" w:lineRule="auto"/>
        <w:jc w:val="both"/>
        <w:rPr>
          <w:rFonts w:ascii="Palatino Linotype" w:eastAsia="Palatino Linotype" w:hAnsi="Palatino Linotype" w:cs="Palatino Linotype"/>
          <w:sz w:val="22"/>
          <w:szCs w:val="22"/>
        </w:rPr>
      </w:pPr>
      <w:bookmarkStart w:id="14" w:name="_heading=h.5hrkwrbn09ux" w:colFirst="0" w:colLast="0"/>
      <w:bookmarkEnd w:id="14"/>
    </w:p>
    <w:p w:rsidR="009158C9" w:rsidRDefault="00FC520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Lo anterior, se desprende de las documentales que obran en el expediente de referencia, materia de la presente resolución, consistentes en la solicitud de acceso a la información, la respuesta, el escrito </w:t>
      </w:r>
      <w:proofErr w:type="spellStart"/>
      <w:r>
        <w:rPr>
          <w:rFonts w:ascii="Palatino Linotype" w:eastAsia="Palatino Linotype" w:hAnsi="Palatino Linotype" w:cs="Palatino Linotype"/>
          <w:sz w:val="22"/>
          <w:szCs w:val="22"/>
        </w:rPr>
        <w:t>recursal</w:t>
      </w:r>
      <w:proofErr w:type="spellEnd"/>
      <w:r>
        <w:rPr>
          <w:rFonts w:ascii="Palatino Linotype" w:eastAsia="Palatino Linotype" w:hAnsi="Palatino Linotype" w:cs="Palatino Linotype"/>
          <w:sz w:val="22"/>
          <w:szCs w:val="22"/>
        </w:rPr>
        <w:t xml:space="preserve"> y el Informe Justificado, instrumentales que se toman en cuenta a efecto de resolver el presente medio de impugnación, conforme a lo dispuesto por el artículo 185, fracción IV, de la Ley de Transparencia y Acceso a la Información Pública del Estado de México y Municipios. </w:t>
      </w:r>
    </w:p>
    <w:p w:rsidR="009158C9" w:rsidRDefault="009158C9">
      <w:pPr>
        <w:spacing w:line="360" w:lineRule="auto"/>
        <w:jc w:val="both"/>
        <w:rPr>
          <w:rFonts w:ascii="Palatino Linotype" w:eastAsia="Palatino Linotype" w:hAnsi="Palatino Linotype" w:cs="Palatino Linotype"/>
          <w:color w:val="000000"/>
          <w:sz w:val="22"/>
          <w:szCs w:val="22"/>
        </w:rPr>
      </w:pPr>
    </w:p>
    <w:p w:rsidR="009158C9" w:rsidRDefault="00FC5202">
      <w:pPr>
        <w:pStyle w:val="Ttulo2"/>
        <w:spacing w:before="0" w:after="0" w:line="360" w:lineRule="auto"/>
        <w:jc w:val="both"/>
        <w:rPr>
          <w:rFonts w:ascii="Palatino Linotype" w:eastAsia="Palatino Linotype" w:hAnsi="Palatino Linotype" w:cs="Palatino Linotype"/>
          <w:b/>
          <w:bCs/>
          <w:color w:val="000000"/>
          <w:sz w:val="22"/>
          <w:szCs w:val="22"/>
        </w:rPr>
      </w:pPr>
      <w:bookmarkStart w:id="15" w:name="_Toc220597175"/>
      <w:r>
        <w:rPr>
          <w:rFonts w:ascii="Palatino Linotype" w:eastAsia="Palatino Linotype" w:hAnsi="Palatino Linotype" w:cs="Palatino Linotype"/>
          <w:b/>
          <w:bCs/>
          <w:color w:val="000000"/>
          <w:sz w:val="22"/>
          <w:szCs w:val="22"/>
        </w:rPr>
        <w:t>CUARTO. Marco normativo aplicable en materia de transparencia y acceso a la información pública</w:t>
      </w:r>
      <w:bookmarkEnd w:id="15"/>
    </w:p>
    <w:p w:rsidR="009158C9" w:rsidRDefault="009158C9">
      <w:pPr>
        <w:widowControl w:val="0"/>
        <w:spacing w:line="360" w:lineRule="auto"/>
        <w:jc w:val="both"/>
        <w:rPr>
          <w:rFonts w:ascii="Palatino Linotype" w:eastAsia="Palatino Linotype" w:hAnsi="Palatino Linotype" w:cs="Palatino Linotype"/>
          <w:sz w:val="22"/>
          <w:szCs w:val="22"/>
        </w:rPr>
      </w:pPr>
    </w:p>
    <w:p w:rsidR="009158C9" w:rsidRDefault="00FC5202">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rsidR="009158C9" w:rsidRDefault="009158C9">
      <w:pPr>
        <w:widowControl w:val="0"/>
        <w:spacing w:line="360" w:lineRule="auto"/>
        <w:jc w:val="both"/>
        <w:rPr>
          <w:rFonts w:ascii="Palatino Linotype" w:eastAsia="Palatino Linotype" w:hAnsi="Palatino Linotype" w:cs="Palatino Linotype"/>
          <w:sz w:val="22"/>
          <w:szCs w:val="22"/>
        </w:rPr>
      </w:pPr>
    </w:p>
    <w:p w:rsidR="009158C9" w:rsidRDefault="00FC520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su parte, 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009158C9" w:rsidRDefault="009158C9">
      <w:pPr>
        <w:widowControl w:val="0"/>
        <w:spacing w:line="360" w:lineRule="auto"/>
        <w:jc w:val="both"/>
        <w:rPr>
          <w:rFonts w:ascii="Palatino Linotype" w:eastAsia="Palatino Linotype" w:hAnsi="Palatino Linotype" w:cs="Palatino Linotype"/>
          <w:sz w:val="22"/>
          <w:szCs w:val="22"/>
        </w:rPr>
      </w:pPr>
    </w:p>
    <w:p w:rsidR="009158C9" w:rsidRDefault="00FC5202">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su parte, la Ley de Transparencia y Acceso a la Información Pública del Estado de México y Municipios (Reglamentaria del artículo 5° de la Constitución Local), establece lo siguiente:</w:t>
      </w:r>
    </w:p>
    <w:p w:rsidR="009158C9" w:rsidRDefault="009158C9">
      <w:pPr>
        <w:widowControl w:val="0"/>
        <w:spacing w:line="360" w:lineRule="auto"/>
        <w:jc w:val="both"/>
        <w:rPr>
          <w:rFonts w:ascii="Palatino Linotype" w:eastAsia="Palatino Linotype" w:hAnsi="Palatino Linotype" w:cs="Palatino Linotype"/>
          <w:sz w:val="22"/>
          <w:szCs w:val="22"/>
        </w:rPr>
      </w:pPr>
    </w:p>
    <w:p w:rsidR="009158C9" w:rsidRDefault="00FC5202">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12, que, quienes generen, recopilen, administren, manejen, procesen, archiven o conserven información pública serán responsables de la misma.</w:t>
      </w:r>
    </w:p>
    <w:p w:rsidR="009158C9" w:rsidRDefault="009158C9">
      <w:pPr>
        <w:widowControl w:val="0"/>
        <w:spacing w:line="360" w:lineRule="auto"/>
        <w:jc w:val="both"/>
        <w:rPr>
          <w:rFonts w:ascii="Palatino Linotype" w:eastAsia="Palatino Linotype" w:hAnsi="Palatino Linotype" w:cs="Palatino Linotype"/>
          <w:sz w:val="22"/>
          <w:szCs w:val="22"/>
        </w:rPr>
      </w:pPr>
    </w:p>
    <w:p w:rsidR="009158C9" w:rsidRDefault="00FC5202">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rsidR="009158C9" w:rsidRDefault="009158C9">
      <w:pPr>
        <w:widowControl w:val="0"/>
        <w:spacing w:line="360" w:lineRule="auto"/>
        <w:jc w:val="both"/>
        <w:rPr>
          <w:rFonts w:ascii="Palatino Linotype" w:eastAsia="Palatino Linotype" w:hAnsi="Palatino Linotype" w:cs="Palatino Linotype"/>
          <w:sz w:val="22"/>
          <w:szCs w:val="22"/>
        </w:rPr>
      </w:pPr>
    </w:p>
    <w:p w:rsidR="009158C9" w:rsidRDefault="00FC5202">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9158C9" w:rsidRDefault="009158C9">
      <w:pPr>
        <w:widowControl w:val="0"/>
        <w:spacing w:line="360" w:lineRule="auto"/>
        <w:jc w:val="both"/>
        <w:rPr>
          <w:rFonts w:ascii="Palatino Linotype" w:eastAsia="Palatino Linotype" w:hAnsi="Palatino Linotype" w:cs="Palatino Linotype"/>
          <w:sz w:val="22"/>
          <w:szCs w:val="22"/>
        </w:rPr>
      </w:pPr>
    </w:p>
    <w:p w:rsidR="009158C9" w:rsidRDefault="00FC5202">
      <w:pPr>
        <w:pStyle w:val="Ttulo2"/>
        <w:spacing w:before="0" w:after="0" w:line="360" w:lineRule="auto"/>
        <w:rPr>
          <w:rFonts w:ascii="Palatino Linotype" w:eastAsia="Palatino Linotype" w:hAnsi="Palatino Linotype" w:cs="Palatino Linotype"/>
          <w:b/>
          <w:bCs/>
          <w:color w:val="000000"/>
          <w:sz w:val="22"/>
          <w:szCs w:val="22"/>
        </w:rPr>
      </w:pPr>
      <w:bookmarkStart w:id="16" w:name="_Toc220597176"/>
      <w:r>
        <w:rPr>
          <w:rFonts w:ascii="Palatino Linotype" w:eastAsia="Palatino Linotype" w:hAnsi="Palatino Linotype" w:cs="Palatino Linotype"/>
          <w:b/>
          <w:bCs/>
          <w:color w:val="000000"/>
          <w:sz w:val="22"/>
          <w:szCs w:val="22"/>
        </w:rPr>
        <w:t>QUINTO. Estudio de Fondo</w:t>
      </w:r>
      <w:bookmarkEnd w:id="16"/>
    </w:p>
    <w:p w:rsidR="009158C9" w:rsidRDefault="009158C9">
      <w:pPr>
        <w:spacing w:line="360" w:lineRule="auto"/>
        <w:jc w:val="both"/>
        <w:rPr>
          <w:rFonts w:ascii="Palatino Linotype" w:eastAsia="Palatino Linotype" w:hAnsi="Palatino Linotype" w:cs="Palatino Linotype"/>
          <w:b/>
          <w:bCs/>
          <w:sz w:val="22"/>
          <w:szCs w:val="22"/>
        </w:rPr>
      </w:pPr>
    </w:p>
    <w:p w:rsidR="009158C9" w:rsidRDefault="00FC5202">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Expuestas las posturas de las partes, se procede a realizar el análisis del agravio hecho valer por el ahora Recurrente, concerniente a la negativa de la información, por lo que, en principio, resulta necesario contextualizar la solicitud de información.</w:t>
      </w:r>
    </w:p>
    <w:p w:rsidR="009158C9" w:rsidRDefault="009158C9">
      <w:pPr>
        <w:widowControl w:val="0"/>
        <w:spacing w:line="360" w:lineRule="auto"/>
        <w:jc w:val="both"/>
        <w:rPr>
          <w:rFonts w:ascii="Palatino Linotype" w:eastAsia="Palatino Linotype" w:hAnsi="Palatino Linotype" w:cs="Palatino Linotype"/>
          <w:sz w:val="22"/>
          <w:szCs w:val="22"/>
        </w:rPr>
      </w:pPr>
    </w:p>
    <w:p w:rsidR="009158C9" w:rsidRDefault="00FC5202">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Sobre el tema, el artículo 147 de la Constitución Política del Estado Libre y Soberano de México, que establece que los trabajadores al servicio del Estado, recibirán una remuneración adecuada e irrenunciable por el desempeño de su empleo, cargo o comisión, que será determinada en el presupuesto de egresos que corresponda.</w:t>
      </w:r>
    </w:p>
    <w:p w:rsidR="009158C9" w:rsidRDefault="009158C9">
      <w:pPr>
        <w:spacing w:line="360" w:lineRule="auto"/>
        <w:ind w:right="-28"/>
        <w:jc w:val="both"/>
        <w:rPr>
          <w:rFonts w:ascii="Palatino Linotype" w:eastAsia="Palatino Linotype" w:hAnsi="Palatino Linotype" w:cs="Palatino Linotype"/>
          <w:sz w:val="22"/>
          <w:szCs w:val="22"/>
        </w:rPr>
      </w:pPr>
    </w:p>
    <w:p w:rsidR="009158C9" w:rsidRDefault="00FC5202">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Además, el artículo 4°, fracción VI, de la Ley del Trabajo de los servidores públicos del Estado y Municipios, precisa que son </w:t>
      </w:r>
      <w:r>
        <w:rPr>
          <w:rFonts w:ascii="Palatino Linotype" w:eastAsia="Palatino Linotype" w:hAnsi="Palatino Linotype" w:cs="Palatino Linotype"/>
          <w:b/>
          <w:bCs/>
          <w:sz w:val="22"/>
          <w:szCs w:val="22"/>
        </w:rPr>
        <w:t>servidores públicos</w:t>
      </w:r>
      <w:r>
        <w:rPr>
          <w:rFonts w:ascii="Palatino Linotype" w:eastAsia="Palatino Linotype" w:hAnsi="Palatino Linotype" w:cs="Palatino Linotype"/>
          <w:sz w:val="22"/>
          <w:szCs w:val="22"/>
        </w:rPr>
        <w:t>, todas las personas físicas que preste a una institución pública un trabajo personal subordinado, mediante el pago de un sueldo.</w:t>
      </w:r>
    </w:p>
    <w:p w:rsidR="009158C9" w:rsidRDefault="00FC5202">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rsidR="009158C9" w:rsidRDefault="00FC5202">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rsidR="009158C9" w:rsidRDefault="00FC5202">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rsidR="009158C9" w:rsidRDefault="00FC5202">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contexto, el artículo 92, fracción VIII, de la Ley de Transparencia y Acceso a la Información Pública del Estado de México y Municipios, establece que los Sujetos Obligados deberán poner a disposición del público de manera permanente y actualizada, las remuneraciones brutas y netas de todos los servidores públicos, que incluya todas las percepciones, entre las cuales, se encuentran los sueldos, prestaciones, gratificaciones, primas, comisiones, dietas, bonos, estímulos, ingresos, entre otros.</w:t>
      </w:r>
    </w:p>
    <w:p w:rsidR="009158C9" w:rsidRDefault="00FC5202">
      <w:pPr>
        <w:spacing w:line="360" w:lineRule="auto"/>
        <w:ind w:right="-28"/>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w:t>
      </w:r>
    </w:p>
    <w:p w:rsidR="009158C9" w:rsidRDefault="00FC5202">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En ese orden de ideas, el Glosario localizado en la página de Transparencia Presupuestaria de la Secretaría de Hacienda y Crédito Público (</w:t>
      </w:r>
      <w:hyperlink r:id="rId9">
        <w:r>
          <w:rPr>
            <w:rFonts w:ascii="Palatino Linotype" w:eastAsia="Palatino Linotype" w:hAnsi="Palatino Linotype" w:cs="Palatino Linotype"/>
            <w:color w:val="0563C1"/>
            <w:sz w:val="22"/>
            <w:szCs w:val="22"/>
            <w:u w:val="single"/>
          </w:rPr>
          <w:t>http://www.transparenciapresupuestaria.gob.mx/es/PTP/Glosario</w:t>
        </w:r>
      </w:hyperlink>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bCs/>
          <w:sz w:val="22"/>
          <w:szCs w:val="22"/>
        </w:rPr>
        <w:t>establece que la nómina</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bCs/>
          <w:sz w:val="22"/>
          <w:szCs w:val="22"/>
        </w:rPr>
        <w:t>es el documento contable que contiene la relación de los trabajadores con las percepciones monetarias de cada uno; además, que también se refiere al recibo individual y justificativo que indica los sueldos de los trabajadores, incluyendo las prestaciones y deducciones correspondientes.</w:t>
      </w:r>
    </w:p>
    <w:p w:rsidR="009158C9" w:rsidRDefault="00FC5202">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rsidR="009158C9" w:rsidRDefault="00FC5202">
      <w:pPr>
        <w:spacing w:line="360" w:lineRule="auto"/>
        <w:ind w:right="-28"/>
        <w:jc w:val="both"/>
        <w:rPr>
          <w:rFonts w:ascii="Palatino Linotype" w:eastAsia="Palatino Linotype" w:hAnsi="Palatino Linotype" w:cs="Palatino Linotype"/>
          <w:b/>
          <w:bCs/>
          <w:sz w:val="22"/>
          <w:szCs w:val="22"/>
        </w:rPr>
      </w:pPr>
      <w:r>
        <w:rPr>
          <w:rFonts w:ascii="Palatino Linotype" w:eastAsia="Palatino Linotype" w:hAnsi="Palatino Linotype" w:cs="Palatino Linotype"/>
          <w:sz w:val="22"/>
          <w:szCs w:val="22"/>
        </w:rPr>
        <w:t>De la misma manera, el Glosario de términos más usuales en la Administración Pública Federal, emitido por la Secretaría de Hacienda y Crédito Público (</w:t>
      </w:r>
      <w:hyperlink r:id="rId10">
        <w:r>
          <w:rPr>
            <w:rFonts w:ascii="Palatino Linotype" w:eastAsia="Palatino Linotype" w:hAnsi="Palatino Linotype" w:cs="Palatino Linotype"/>
            <w:color w:val="0563C1"/>
            <w:sz w:val="22"/>
            <w:szCs w:val="22"/>
            <w:u w:val="single"/>
          </w:rPr>
          <w:t>http://www.apartados.hacienda.gob.mx/contabilidad/documentos/informe_cuenta/1998/cuenta_publica/Glosario/n.htm</w:t>
        </w:r>
      </w:hyperlink>
      <w:r>
        <w:rPr>
          <w:rFonts w:ascii="Palatino Linotype" w:eastAsia="Palatino Linotype" w:hAnsi="Palatino Linotype" w:cs="Palatino Linotype"/>
          <w:sz w:val="22"/>
          <w:szCs w:val="22"/>
        </w:rPr>
        <w:t xml:space="preserve">, establece que la </w:t>
      </w:r>
      <w:r>
        <w:rPr>
          <w:rFonts w:ascii="Palatino Linotype" w:eastAsia="Palatino Linotype" w:hAnsi="Palatino Linotype" w:cs="Palatino Linotype"/>
          <w:b/>
          <w:bCs/>
          <w:sz w:val="22"/>
          <w:szCs w:val="22"/>
        </w:rPr>
        <w:t>nómina es un listado general de los trabajadores de una institución, en el cual se asientan las percepciones brutas, deducciones y alcance neto de las mismas.</w:t>
      </w:r>
    </w:p>
    <w:p w:rsidR="009158C9" w:rsidRDefault="00FC5202">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rsidR="009158C9" w:rsidRDefault="00FC5202">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Conforme a lo anterior, se puede advertir que la nómina se puede referir a lo siguiente:</w:t>
      </w:r>
    </w:p>
    <w:p w:rsidR="009158C9" w:rsidRDefault="00FC5202">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rsidR="009158C9" w:rsidRDefault="00FC5202">
      <w:pPr>
        <w:numPr>
          <w:ilvl w:val="0"/>
          <w:numId w:val="1"/>
        </w:num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Relación de trabajadores con las percepciones monetarias de cada uno.</w:t>
      </w:r>
    </w:p>
    <w:p w:rsidR="009158C9" w:rsidRDefault="00FC5202">
      <w:pPr>
        <w:numPr>
          <w:ilvl w:val="0"/>
          <w:numId w:val="1"/>
        </w:num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Recibo individual que contiene las prestaciones y deducciones de un trabajador.</w:t>
      </w:r>
    </w:p>
    <w:p w:rsidR="009158C9" w:rsidRDefault="00FC5202">
      <w:pPr>
        <w:numPr>
          <w:ilvl w:val="0"/>
          <w:numId w:val="1"/>
        </w:num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u w:val="single"/>
        </w:rPr>
        <w:t>Listado general de los servidores públicos de una institución o dependencia, en el cual se asientan las percepciones brutas, deducciones y alcance neto de las mismas</w:t>
      </w:r>
      <w:r>
        <w:rPr>
          <w:rFonts w:ascii="Palatino Linotype" w:eastAsia="Palatino Linotype" w:hAnsi="Palatino Linotype" w:cs="Palatino Linotype"/>
          <w:sz w:val="22"/>
          <w:szCs w:val="22"/>
        </w:rPr>
        <w:t>.</w:t>
      </w:r>
    </w:p>
    <w:p w:rsidR="009158C9" w:rsidRDefault="009158C9">
      <w:pPr>
        <w:spacing w:line="360" w:lineRule="auto"/>
        <w:ind w:right="-28"/>
        <w:jc w:val="both"/>
        <w:rPr>
          <w:rFonts w:ascii="Palatino Linotype" w:eastAsia="Palatino Linotype" w:hAnsi="Palatino Linotype" w:cs="Palatino Linotype"/>
          <w:sz w:val="22"/>
          <w:szCs w:val="22"/>
        </w:rPr>
      </w:pPr>
    </w:p>
    <w:p w:rsidR="009158C9" w:rsidRDefault="00FC5202">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Asimismo, respecto de los recibos de nómina, la Ley del Trabajo de los Servidores Públicos del Estado y Municipios, en su artículo 220 K, fracciones II y IV, establece los documentos que tiene la obligación de conservar el Sujeto Obligado, entre los que se encuentra los recibos de pago de salarios o las constancias documentales del pago de sueldos, cuando sea por </w:t>
      </w:r>
      <w:r>
        <w:rPr>
          <w:rFonts w:ascii="Palatino Linotype" w:eastAsia="Palatino Linotype" w:hAnsi="Palatino Linotype" w:cs="Palatino Linotype"/>
          <w:sz w:val="22"/>
          <w:szCs w:val="22"/>
        </w:rPr>
        <w:lastRenderedPageBreak/>
        <w:t xml:space="preserve">depósito o mediante información electrónica; así como los recibos o constancias de depósito o del medio de información magnética o electrónica que sean utilizadas para el pago de salarios, prima vacacional, aguinaldo y demás prestaciones. </w:t>
      </w:r>
    </w:p>
    <w:p w:rsidR="009158C9" w:rsidRDefault="009158C9">
      <w:pPr>
        <w:widowControl w:val="0"/>
        <w:spacing w:line="360" w:lineRule="auto"/>
        <w:jc w:val="both"/>
        <w:rPr>
          <w:rFonts w:ascii="Palatino Linotype" w:eastAsia="Palatino Linotype" w:hAnsi="Palatino Linotype" w:cs="Palatino Linotype"/>
          <w:sz w:val="22"/>
          <w:szCs w:val="22"/>
        </w:rPr>
      </w:pPr>
    </w:p>
    <w:p w:rsidR="009158C9" w:rsidRDefault="00FC5202">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Lo anterior, toma sustento en la Tesis aislada número I.6o.T.154 L (10a.), emitida por los Tribunales Colegiados de Circuito, publicada el abril de dos mil dieciséis, en la Gaceta del Semanario Judicial de la Federación, en su Libro 29, Tomo III, misma que señala lo siguiente:</w:t>
      </w:r>
    </w:p>
    <w:p w:rsidR="009158C9" w:rsidRDefault="009158C9">
      <w:pPr>
        <w:widowControl w:val="0"/>
        <w:spacing w:line="360" w:lineRule="auto"/>
        <w:jc w:val="both"/>
        <w:rPr>
          <w:rFonts w:ascii="Palatino Linotype" w:eastAsia="Palatino Linotype" w:hAnsi="Palatino Linotype" w:cs="Palatino Linotype"/>
          <w:sz w:val="22"/>
          <w:szCs w:val="22"/>
        </w:rPr>
      </w:pPr>
    </w:p>
    <w:p w:rsidR="009158C9" w:rsidRDefault="00FC5202">
      <w:pPr>
        <w:widowControl w:val="0"/>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b/>
          <w:bCs/>
          <w:i/>
          <w:iCs/>
        </w:rPr>
        <w:t>“RECIBOS DE PAGO EMITIDOS POR MEDIOS ELECTRÓNICOS SIN FIRMA DEL TRABAJADOR. SON VÁLIDOS PARA ACREDITAR LOS CONCEPTOS Y MONTOS QUE EN ELLOS SE INSERTAN (APLICACIÓN SUPLETORIA DEL ARTÍCULO 776, FRACCIONES II Y VIII, DE LA LEY FEDERAL DEL TRABAJO, A LA LEY FEDERAL DE LOS TRABAJADORES AL SERVICIO DEL ESTADO).</w:t>
      </w:r>
      <w:r>
        <w:rPr>
          <w:rFonts w:ascii="Palatino Linotype" w:eastAsia="Palatino Linotype" w:hAnsi="Palatino Linotype" w:cs="Palatino Linotype"/>
          <w:i/>
          <w:iCs/>
        </w:rPr>
        <w:t xml:space="preserve"> En materia burocrática los recibos de pago que se obtienen por medios electrónicos son válidos para acreditar los conceptos y montos que en ellos se insertan, en términos del artículo 776, fracciones II y VIII, de la Ley Federal del Trabajo, aplicada supletoriamente a la Ley Federal de los Trabajadores al Servicio del Estado; lo anterior por no ser contrarios a la moral ni al derecho, por lo que la falta de firma de esos documentos, no les resta convicción plena, porque el avance de la ciencia y la necesidad propia de evitar pagos en efectivo, han impuesto al patrón-Estado pagar a sus trabajadores por la vía electrónica; por tanto, si para demostrar las percepciones y montos los recibos correspondientes se exhiben de esta forma sin prueba en contrario que los desvirtúe, entonces no hay razón jurídica para condicionar su eficacia probatoria a que deban adminicularse con otras pruebas; resolver en contrario, implicaría desatender el artículo 137 de la referida Ley Federal de los Trabajadores al Servicio del Estado.”</w:t>
      </w:r>
    </w:p>
    <w:p w:rsidR="009158C9" w:rsidRDefault="009158C9">
      <w:pPr>
        <w:widowControl w:val="0"/>
        <w:spacing w:line="360" w:lineRule="auto"/>
        <w:jc w:val="both"/>
        <w:rPr>
          <w:rFonts w:ascii="Palatino Linotype" w:eastAsia="Palatino Linotype" w:hAnsi="Palatino Linotype" w:cs="Palatino Linotype"/>
          <w:sz w:val="22"/>
          <w:szCs w:val="22"/>
        </w:rPr>
      </w:pPr>
    </w:p>
    <w:p w:rsidR="009158C9" w:rsidRDefault="00FC5202">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la tesis transcrita, se desprende que en materia burocrática los recibos de pago acreditan los conceptos y montos que en ellos se insertan, y constituyen prueba para demostrar las percepciones y montos que reciben los servidores públicos.</w:t>
      </w:r>
    </w:p>
    <w:p w:rsidR="009158C9" w:rsidRDefault="009158C9">
      <w:pPr>
        <w:spacing w:line="360" w:lineRule="auto"/>
        <w:ind w:right="-28"/>
        <w:jc w:val="both"/>
        <w:rPr>
          <w:rFonts w:ascii="Palatino Linotype" w:eastAsia="Palatino Linotype" w:hAnsi="Palatino Linotype" w:cs="Palatino Linotype"/>
          <w:sz w:val="22"/>
          <w:szCs w:val="22"/>
        </w:rPr>
      </w:pPr>
    </w:p>
    <w:p w:rsidR="009158C9" w:rsidRDefault="00FC520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Conforme a lo anterior, se logra vislumbrar que la pretensión del ahora Recurrente, es obtener los recibos de nómina y los pagos de prestaciones de todo el personal adscrito a la Secretaría de la Contraloría, incluyendo mandos medios y superiores, correspondientes a la primera quincena de julio de dos mil veinticinco.</w:t>
      </w:r>
    </w:p>
    <w:p w:rsidR="009158C9" w:rsidRDefault="009158C9">
      <w:pPr>
        <w:spacing w:line="360" w:lineRule="auto"/>
        <w:ind w:right="-28"/>
        <w:jc w:val="both"/>
        <w:rPr>
          <w:rFonts w:ascii="Palatino Linotype" w:eastAsia="Palatino Linotype" w:hAnsi="Palatino Linotype" w:cs="Palatino Linotype"/>
          <w:sz w:val="22"/>
          <w:szCs w:val="22"/>
        </w:rPr>
      </w:pPr>
    </w:p>
    <w:p w:rsidR="009158C9" w:rsidRDefault="00FC5202">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Establecida dicha circunstancia, se procede analizar la respuesta entregada, para lo cual, es de señalar que la Coordinación Administrativa, fue el área que dio respuesta a la solicitud; así, resulta necesario hacer referencia al procedimiento de búsqueda que deben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w:t>
      </w:r>
    </w:p>
    <w:p w:rsidR="009158C9" w:rsidRDefault="00FC5202">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rsidR="009158C9" w:rsidRDefault="00FC5202">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Dicho lo anterior, es necesario traer al estudio el numeral 21800005000000S , </w:t>
      </w:r>
      <w:r>
        <w:rPr>
          <w:rFonts w:ascii="Palatino Linotype" w:eastAsia="Palatino Linotype" w:hAnsi="Palatino Linotype" w:cs="Palatino Linotype"/>
          <w:b/>
          <w:bCs/>
          <w:sz w:val="22"/>
          <w:szCs w:val="22"/>
          <w:u w:val="single"/>
        </w:rPr>
        <w:t>Coordinación Administrativa</w:t>
      </w:r>
      <w:r>
        <w:rPr>
          <w:rFonts w:ascii="Palatino Linotype" w:eastAsia="Palatino Linotype" w:hAnsi="Palatino Linotype" w:cs="Palatino Linotype"/>
          <w:sz w:val="22"/>
          <w:szCs w:val="22"/>
          <w:u w:val="single"/>
        </w:rPr>
        <w:t>,</w:t>
      </w:r>
      <w:r>
        <w:rPr>
          <w:rFonts w:ascii="Palatino Linotype" w:eastAsia="Palatino Linotype" w:hAnsi="Palatino Linotype" w:cs="Palatino Linotype"/>
          <w:sz w:val="22"/>
          <w:szCs w:val="22"/>
        </w:rPr>
        <w:t xml:space="preserve"> del Manual de Organización de la Secretaría de la Contraloría de dos mil veinticinco, en el que se establece  que  se encargará de administrar de manera legal, eficiente, eficaz y transparente el suministro de los recursos humanos, materiales, financieros, técnicos, así  como los servicios generales que requieran las unidades administrativas y el órgano desconcentrado de la Secretaría de la Contraloría, para  el mejor desempeño de sus funciones con base en la normatividad vigente</w:t>
      </w:r>
    </w:p>
    <w:p w:rsidR="009158C9" w:rsidRDefault="009158C9">
      <w:pPr>
        <w:spacing w:line="360" w:lineRule="auto"/>
        <w:ind w:right="-28"/>
        <w:jc w:val="both"/>
        <w:rPr>
          <w:rFonts w:ascii="Palatino Linotype" w:eastAsia="Palatino Linotype" w:hAnsi="Palatino Linotype" w:cs="Palatino Linotype"/>
          <w:sz w:val="22"/>
          <w:szCs w:val="22"/>
        </w:rPr>
      </w:pPr>
    </w:p>
    <w:p w:rsidR="009158C9" w:rsidRDefault="00FC5202">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 xml:space="preserve">Además de que la </w:t>
      </w:r>
      <w:r>
        <w:rPr>
          <w:rFonts w:ascii="Palatino Linotype" w:eastAsia="Palatino Linotype" w:hAnsi="Palatino Linotype" w:cs="Palatino Linotype"/>
          <w:b/>
          <w:bCs/>
          <w:sz w:val="22"/>
          <w:szCs w:val="22"/>
          <w:u w:val="single"/>
        </w:rPr>
        <w:t>Subdirección de Personal</w:t>
      </w:r>
      <w:r>
        <w:rPr>
          <w:rFonts w:ascii="Palatino Linotype" w:eastAsia="Palatino Linotype" w:hAnsi="Palatino Linotype" w:cs="Palatino Linotype"/>
          <w:sz w:val="22"/>
          <w:szCs w:val="22"/>
        </w:rPr>
        <w:t xml:space="preserve"> en el numeral 21800005010100S, del Manual de Organización en comento, se encargará de ejercer el presupuesto autorizado de servicios personales, así como solicitar los movimientos presupuestales por ampliación, reducción  y transferencias; además, la </w:t>
      </w:r>
      <w:r>
        <w:rPr>
          <w:rFonts w:ascii="Palatino Linotype" w:eastAsia="Palatino Linotype" w:hAnsi="Palatino Linotype" w:cs="Palatino Linotype"/>
          <w:b/>
          <w:bCs/>
          <w:sz w:val="22"/>
          <w:szCs w:val="22"/>
          <w:u w:val="single"/>
        </w:rPr>
        <w:t xml:space="preserve">Delegación Administrativa </w:t>
      </w:r>
      <w:r>
        <w:rPr>
          <w:rFonts w:ascii="Palatino Linotype" w:eastAsia="Palatino Linotype" w:hAnsi="Palatino Linotype" w:cs="Palatino Linotype"/>
          <w:sz w:val="22"/>
          <w:szCs w:val="22"/>
        </w:rPr>
        <w:t xml:space="preserve">en el numeral 21800004000100L del mismo ordenamiento, se encargar de gestionar los servicios de reparación, adaptación y conservación de los bienes muebles e inmuebles, así como los de fotocopiado,  impresión, dotación de gasolina, vehículos, estacionamiento, apoyo a eventos especiales, pago de nómina y otros.  </w:t>
      </w:r>
    </w:p>
    <w:p w:rsidR="009158C9" w:rsidRDefault="009158C9">
      <w:pPr>
        <w:spacing w:line="360" w:lineRule="auto"/>
        <w:ind w:right="-28"/>
        <w:jc w:val="both"/>
        <w:rPr>
          <w:rFonts w:ascii="Palatino Linotype" w:eastAsia="Palatino Linotype" w:hAnsi="Palatino Linotype" w:cs="Palatino Linotype"/>
          <w:sz w:val="22"/>
          <w:szCs w:val="22"/>
        </w:rPr>
      </w:pPr>
    </w:p>
    <w:p w:rsidR="009158C9" w:rsidRDefault="00FC5202">
      <w:pPr>
        <w:spacing w:line="360" w:lineRule="auto"/>
        <w:ind w:right="-2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sz w:val="22"/>
          <w:szCs w:val="22"/>
        </w:rPr>
        <w:t xml:space="preserve">Así, </w:t>
      </w:r>
      <w:r>
        <w:rPr>
          <w:rFonts w:ascii="Palatino Linotype" w:eastAsia="Palatino Linotype" w:hAnsi="Palatino Linotype" w:cs="Palatino Linotype"/>
          <w:color w:val="000000"/>
          <w:sz w:val="22"/>
          <w:szCs w:val="22"/>
        </w:rPr>
        <w:t>se logra colegir que el Sujeto Obligado no cumplió con el procedimiento de búsqueda establecido en el artículo 162 de la Ley de Transparencia y Acceso a la Información Pública del Estado de México y Municipios, pues omitió turnar el requerimiento de información a la subdirección de Personal y delegación administrativa, áreas que también son competentes para conocer de lo peticionado</w:t>
      </w:r>
      <w:r>
        <w:rPr>
          <w:rFonts w:ascii="Palatino Linotype" w:eastAsia="Palatino Linotype" w:hAnsi="Palatino Linotype" w:cs="Palatino Linotype"/>
          <w:sz w:val="22"/>
          <w:szCs w:val="22"/>
        </w:rPr>
        <w:t>.</w:t>
      </w:r>
    </w:p>
    <w:p w:rsidR="009158C9" w:rsidRDefault="009158C9">
      <w:pPr>
        <w:tabs>
          <w:tab w:val="left" w:pos="7080"/>
        </w:tabs>
        <w:spacing w:line="360" w:lineRule="auto"/>
        <w:jc w:val="both"/>
        <w:rPr>
          <w:rFonts w:ascii="Palatino Linotype" w:eastAsia="Palatino Linotype" w:hAnsi="Palatino Linotype" w:cs="Palatino Linotype"/>
          <w:sz w:val="22"/>
          <w:szCs w:val="22"/>
        </w:rPr>
      </w:pPr>
    </w:p>
    <w:p w:rsidR="009158C9" w:rsidRDefault="00FC5202">
      <w:pPr>
        <w:tabs>
          <w:tab w:val="left" w:pos="7080"/>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Ahora bien, dicha área, en respuesta, como en Informe Justificado informó que en no contaba con los recibos, toda vez que correspondía a cada servidor público generar sus  propios recibos a través del Portal Electrónico del Gobierno del Estado de México, es decir precisaron que no contaban con los recibos de nómina del personal adscrito a sus  dependencias, a los cuales tenían acceso únicamente los servidores públicos, a través del Portal Electrónico  del Gobierno del Estado de México, en específico del Portal de Gestión Interna g2g, en el cual, los servidores públicos podían descargar sus recibos.</w:t>
      </w:r>
    </w:p>
    <w:p w:rsidR="009158C9" w:rsidRDefault="009158C9">
      <w:pPr>
        <w:tabs>
          <w:tab w:val="left" w:pos="7080"/>
        </w:tabs>
        <w:spacing w:line="360" w:lineRule="auto"/>
        <w:jc w:val="both"/>
        <w:rPr>
          <w:rFonts w:ascii="Palatino Linotype" w:eastAsia="Palatino Linotype" w:hAnsi="Palatino Linotype" w:cs="Palatino Linotype"/>
          <w:sz w:val="22"/>
          <w:szCs w:val="22"/>
        </w:rPr>
      </w:pPr>
    </w:p>
    <w:p w:rsidR="009158C9" w:rsidRDefault="00FC5202">
      <w:pPr>
        <w:tabs>
          <w:tab w:val="left" w:pos="7080"/>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Ahora bien, los comprobantes de percepciones y deducciones de los servidores públicos, son obtenidos por ellos mismos, ingresando a la página del Gobierno del Estado de México </w:t>
      </w:r>
      <w:r>
        <w:rPr>
          <w:rFonts w:ascii="Palatino Linotype" w:eastAsia="Palatino Linotype" w:hAnsi="Palatino Linotype" w:cs="Palatino Linotype"/>
          <w:sz w:val="22"/>
          <w:szCs w:val="22"/>
        </w:rPr>
        <w:lastRenderedPageBreak/>
        <w:t>denominado Portal de Gestión Interna G2G, mediante una clave personal confidencial que es creada por ellos mismos, tal como se muestra a continuación:</w:t>
      </w:r>
    </w:p>
    <w:p w:rsidR="009158C9" w:rsidRDefault="009158C9">
      <w:pPr>
        <w:tabs>
          <w:tab w:val="left" w:pos="7080"/>
        </w:tabs>
        <w:spacing w:line="360" w:lineRule="auto"/>
        <w:jc w:val="both"/>
        <w:rPr>
          <w:rFonts w:ascii="Palatino Linotype" w:eastAsia="Palatino Linotype" w:hAnsi="Palatino Linotype" w:cs="Palatino Linotype"/>
          <w:sz w:val="22"/>
          <w:szCs w:val="22"/>
        </w:rPr>
      </w:pPr>
    </w:p>
    <w:p w:rsidR="009158C9" w:rsidRDefault="00FC5202">
      <w:pPr>
        <w:tabs>
          <w:tab w:val="left" w:pos="7080"/>
        </w:tabs>
        <w:spacing w:line="360" w:lineRule="auto"/>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drawing>
          <wp:inline distT="0" distB="0" distL="0" distR="0">
            <wp:extent cx="2564562" cy="2069945"/>
            <wp:effectExtent l="0" t="0" r="0" b="0"/>
            <wp:docPr id="30647865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t="17473"/>
                    <a:stretch>
                      <a:fillRect/>
                    </a:stretch>
                  </pic:blipFill>
                  <pic:spPr>
                    <a:xfrm>
                      <a:off x="0" y="0"/>
                      <a:ext cx="2564562" cy="2069945"/>
                    </a:xfrm>
                    <a:prstGeom prst="rect">
                      <a:avLst/>
                    </a:prstGeom>
                    <a:ln/>
                  </pic:spPr>
                </pic:pic>
              </a:graphicData>
            </a:graphic>
          </wp:inline>
        </w:drawing>
      </w:r>
    </w:p>
    <w:p w:rsidR="009158C9" w:rsidRDefault="00FC5202">
      <w:pPr>
        <w:tabs>
          <w:tab w:val="left" w:pos="7080"/>
        </w:tabs>
        <w:spacing w:line="360" w:lineRule="auto"/>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drawing>
          <wp:inline distT="0" distB="0" distL="0" distR="0">
            <wp:extent cx="3773594" cy="2717886"/>
            <wp:effectExtent l="0" t="0" r="0" b="0"/>
            <wp:docPr id="30647865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3773594" cy="2717886"/>
                    </a:xfrm>
                    <a:prstGeom prst="rect">
                      <a:avLst/>
                    </a:prstGeom>
                    <a:ln/>
                  </pic:spPr>
                </pic:pic>
              </a:graphicData>
            </a:graphic>
          </wp:inline>
        </w:drawing>
      </w:r>
    </w:p>
    <w:p w:rsidR="009158C9" w:rsidRDefault="009158C9">
      <w:pPr>
        <w:tabs>
          <w:tab w:val="left" w:pos="7080"/>
        </w:tabs>
        <w:spacing w:line="360" w:lineRule="auto"/>
        <w:jc w:val="center"/>
        <w:rPr>
          <w:rFonts w:ascii="Palatino Linotype" w:eastAsia="Palatino Linotype" w:hAnsi="Palatino Linotype" w:cs="Palatino Linotype"/>
          <w:sz w:val="22"/>
          <w:szCs w:val="22"/>
        </w:rPr>
      </w:pPr>
    </w:p>
    <w:p w:rsidR="009158C9" w:rsidRDefault="00FC5202">
      <w:pPr>
        <w:tabs>
          <w:tab w:val="left" w:pos="7080"/>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Conforme a lo anterior, se logra vislumbrar que la Secretaría de la Contraloría, no cuenta con </w:t>
      </w:r>
      <w:proofErr w:type="gramStart"/>
      <w:r>
        <w:rPr>
          <w:rFonts w:ascii="Palatino Linotype" w:eastAsia="Palatino Linotype" w:hAnsi="Palatino Linotype" w:cs="Palatino Linotype"/>
          <w:color w:val="000000"/>
          <w:sz w:val="22"/>
          <w:szCs w:val="22"/>
        </w:rPr>
        <w:t>los  recibos</w:t>
      </w:r>
      <w:proofErr w:type="gramEnd"/>
      <w:r>
        <w:rPr>
          <w:rFonts w:ascii="Palatino Linotype" w:eastAsia="Palatino Linotype" w:hAnsi="Palatino Linotype" w:cs="Palatino Linotype"/>
          <w:color w:val="000000"/>
          <w:sz w:val="22"/>
          <w:szCs w:val="22"/>
        </w:rPr>
        <w:t xml:space="preserve"> de nómina de sus servidores públicos; sobre el tema, el artículo 19, segundo  párrafo, de la Ley de Transparencia y Acceso a la Información Pública del Estado de México  y Municipios, establece que en el caso de que ciertas facultades, competencias o funciones </w:t>
      </w:r>
      <w:r>
        <w:rPr>
          <w:rFonts w:ascii="Palatino Linotype" w:eastAsia="Palatino Linotype" w:hAnsi="Palatino Linotype" w:cs="Palatino Linotype"/>
          <w:color w:val="000000"/>
          <w:sz w:val="22"/>
          <w:szCs w:val="22"/>
        </w:rPr>
        <w:lastRenderedPageBreak/>
        <w:t xml:space="preserve">no  se hayan ejercido, se debe motivar la respuesta en función de las causas que motiven tal  circunstancia.  </w:t>
      </w:r>
    </w:p>
    <w:p w:rsidR="009158C9" w:rsidRDefault="009158C9">
      <w:pPr>
        <w:tabs>
          <w:tab w:val="left" w:pos="7080"/>
        </w:tabs>
        <w:spacing w:line="360" w:lineRule="auto"/>
        <w:jc w:val="both"/>
        <w:rPr>
          <w:rFonts w:ascii="Palatino Linotype" w:eastAsia="Palatino Linotype" w:hAnsi="Palatino Linotype" w:cs="Palatino Linotype"/>
          <w:color w:val="000000"/>
          <w:sz w:val="22"/>
          <w:szCs w:val="22"/>
        </w:rPr>
      </w:pPr>
    </w:p>
    <w:p w:rsidR="009158C9" w:rsidRDefault="00FC5202">
      <w:pPr>
        <w:tabs>
          <w:tab w:val="left" w:pos="7080"/>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Es decir, cuando los sujetos obligados no cuenten con cierta información, deberán señalar las razones que justifican dicha situación; lo cual aconteció en el presente caso, pues la Coordinación Administrativa, precisó que no generaba los recibos de nómina de su personal, pues son obtenidos por ellos mismos, ingresando a la página del Gobierno del Estado de México.</w:t>
      </w:r>
    </w:p>
    <w:p w:rsidR="009158C9" w:rsidRDefault="009158C9">
      <w:pPr>
        <w:tabs>
          <w:tab w:val="left" w:pos="7080"/>
        </w:tabs>
        <w:spacing w:line="360" w:lineRule="auto"/>
        <w:jc w:val="both"/>
        <w:rPr>
          <w:rFonts w:ascii="Palatino Linotype" w:eastAsia="Palatino Linotype" w:hAnsi="Palatino Linotype" w:cs="Palatino Linotype"/>
          <w:color w:val="000000"/>
          <w:sz w:val="22"/>
          <w:szCs w:val="22"/>
        </w:rPr>
      </w:pPr>
    </w:p>
    <w:p w:rsidR="009158C9" w:rsidRDefault="00FC5202">
      <w:pPr>
        <w:tabs>
          <w:tab w:val="left" w:pos="7080"/>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Sin embargo, es necesario precisar que en el presente caso, se trata de las remuneraciones de los servidores públicos que laboran para una institución pública, es decir, que dicha información se busca acreditar la manera en que se ejercieron determinados recursos públicos; sobre el tema, según Arizmendi, Guillermo (2016), en la “Ley General de Transparencia y Acceso a la Información Pública Comentada” (p. 240 y 241), los recursos  públicos, deber ser administrados con responsabilidad y transparencia.</w:t>
      </w:r>
    </w:p>
    <w:p w:rsidR="009158C9" w:rsidRDefault="009158C9">
      <w:pPr>
        <w:tabs>
          <w:tab w:val="left" w:pos="7080"/>
        </w:tabs>
        <w:spacing w:line="360" w:lineRule="auto"/>
        <w:jc w:val="both"/>
        <w:rPr>
          <w:rFonts w:ascii="Palatino Linotype" w:eastAsia="Palatino Linotype" w:hAnsi="Palatino Linotype" w:cs="Palatino Linotype"/>
          <w:color w:val="000000"/>
          <w:sz w:val="22"/>
          <w:szCs w:val="22"/>
        </w:rPr>
      </w:pPr>
    </w:p>
    <w:p w:rsidR="009158C9" w:rsidRDefault="00FC5202">
      <w:pPr>
        <w:tabs>
          <w:tab w:val="left" w:pos="7080"/>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En ese orden de ideas, según Trujillo, Humberto (2019), en el “Diccionario de Transparencia y Acceso a la Información Pública” (p. 276), los recursos públicos son los ingresos económicos, que obtiene el Estado y que asigna (a partir del presupuesto) al ejercicio de sus actividades, los cuales deben ser asignados de manera transparente y bajo un sistema de rendición de cuentas, para que las personas puedan monitorear, evaluar y cuestionar su gasto. </w:t>
      </w:r>
    </w:p>
    <w:p w:rsidR="009158C9" w:rsidRDefault="009158C9">
      <w:pPr>
        <w:tabs>
          <w:tab w:val="left" w:pos="7080"/>
        </w:tabs>
        <w:spacing w:line="360" w:lineRule="auto"/>
        <w:jc w:val="both"/>
        <w:rPr>
          <w:rFonts w:ascii="Palatino Linotype" w:eastAsia="Palatino Linotype" w:hAnsi="Palatino Linotype" w:cs="Palatino Linotype"/>
          <w:color w:val="000000"/>
          <w:sz w:val="22"/>
          <w:szCs w:val="22"/>
        </w:rPr>
      </w:pPr>
    </w:p>
    <w:p w:rsidR="009158C9" w:rsidRDefault="00FC5202">
      <w:pPr>
        <w:tabs>
          <w:tab w:val="left" w:pos="7080"/>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En ese orden de ideas, los artículos 134 de la Constitución Política de los Estados Unidos  Mexicanos y el 129 de la Constitución Política del Estado Libre y Soberano de México,  establecen que los recursos públicos de que dispongan, entre otros, los Municipios, se  </w:t>
      </w:r>
      <w:r>
        <w:rPr>
          <w:rFonts w:ascii="Palatino Linotype" w:eastAsia="Palatino Linotype" w:hAnsi="Palatino Linotype" w:cs="Palatino Linotype"/>
          <w:color w:val="000000"/>
          <w:sz w:val="22"/>
          <w:szCs w:val="22"/>
        </w:rPr>
        <w:lastRenderedPageBreak/>
        <w:t>administrarán con eficiencia, eficacia, economía, transparencia y honradez; sobre lo referido, la Tesis número 1a.CXLV/2009, Novena Época, publicada en el Semanario Judicial de la Federación, Tomo XXX, de septiembre de dos mil nueve, (p. 2712), establece lo siguiente:</w:t>
      </w:r>
    </w:p>
    <w:p w:rsidR="009158C9" w:rsidRDefault="009158C9">
      <w:pPr>
        <w:tabs>
          <w:tab w:val="left" w:pos="7080"/>
        </w:tabs>
        <w:spacing w:line="360" w:lineRule="auto"/>
        <w:jc w:val="both"/>
        <w:rPr>
          <w:rFonts w:ascii="Palatino Linotype" w:eastAsia="Palatino Linotype" w:hAnsi="Palatino Linotype" w:cs="Palatino Linotype"/>
          <w:color w:val="000000"/>
          <w:sz w:val="22"/>
          <w:szCs w:val="22"/>
        </w:rPr>
      </w:pPr>
    </w:p>
    <w:p w:rsidR="009158C9" w:rsidRDefault="00FC5202">
      <w:pPr>
        <w:pBdr>
          <w:top w:val="nil"/>
          <w:left w:val="nil"/>
          <w:bottom w:val="nil"/>
          <w:right w:val="nil"/>
          <w:between w:val="nil"/>
        </w:pBdr>
        <w:spacing w:line="360" w:lineRule="auto"/>
        <w:ind w:left="567" w:right="56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w:t>
      </w:r>
      <w:r>
        <w:rPr>
          <w:rFonts w:ascii="Palatino Linotype" w:eastAsia="Palatino Linotype" w:hAnsi="Palatino Linotype" w:cs="Palatino Linotype"/>
          <w:b/>
          <w:bCs/>
          <w:i/>
          <w:iCs/>
          <w:color w:val="000000"/>
        </w:rPr>
        <w:t xml:space="preserve">GASTO PÚBLICO. EL ARTÍCULO 134 DE LA CONSTITUCIÓN POLÍTICA DE </w:t>
      </w:r>
      <w:proofErr w:type="gramStart"/>
      <w:r>
        <w:rPr>
          <w:rFonts w:ascii="Palatino Linotype" w:eastAsia="Palatino Linotype" w:hAnsi="Palatino Linotype" w:cs="Palatino Linotype"/>
          <w:b/>
          <w:bCs/>
          <w:i/>
          <w:iCs/>
          <w:color w:val="000000"/>
        </w:rPr>
        <w:t>LOS  ESTADOS</w:t>
      </w:r>
      <w:proofErr w:type="gramEnd"/>
      <w:r>
        <w:rPr>
          <w:rFonts w:ascii="Palatino Linotype" w:eastAsia="Palatino Linotype" w:hAnsi="Palatino Linotype" w:cs="Palatino Linotype"/>
          <w:b/>
          <w:bCs/>
          <w:i/>
          <w:iCs/>
          <w:color w:val="000000"/>
        </w:rPr>
        <w:t xml:space="preserve"> UNIDOS MEXICANOS ELEVA A RANGO CONSTITUCIONAL LOS  PRINCIPIOS DE LEGALIDAD, EFICIENCIA, EFICACIA, ECONOMÍA,  TRANSPARENCIA Y HONRADEZ EN ESTA MATERIA.</w:t>
      </w:r>
      <w:r>
        <w:rPr>
          <w:rFonts w:ascii="Palatino Linotype" w:eastAsia="Palatino Linotype" w:hAnsi="Palatino Linotype" w:cs="Palatino Linotype"/>
          <w:i/>
          <w:iCs/>
          <w:color w:val="000000"/>
        </w:rPr>
        <w:t xml:space="preserve"> Del citado precepto constitucional  se advierte que el correcto ejercicio del gasto público se salvaguarda por los siguientes principios:</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i/>
          <w:iCs/>
          <w:color w:val="000000"/>
        </w:rPr>
        <w:t>1. Legalidad, en tanto que debe estar prescrito en el Presupuesto de Egresos o, en su defecto, en  una ley expedida por el Congreso de la Unión, lo cual significa la sujeción de las autoridades a un  modelo normativo previamente establecido; 2. Honradez, pues implica que no debe llevarse a cabo  de manera abusiva, ni para un destino diverso al programado; 3. Eficiencia, en el entendido de que  las autoridades deben disponer de los medios que estimen convenientes para que el ejercicio del</w:t>
      </w:r>
      <w:r>
        <w:rPr>
          <w:rFonts w:ascii="Palatino Linotype" w:eastAsia="Palatino Linotype" w:hAnsi="Palatino Linotype" w:cs="Palatino Linotype"/>
          <w:color w:val="000000"/>
        </w:rPr>
        <w:t xml:space="preserve"> gasto </w:t>
      </w:r>
      <w:r>
        <w:rPr>
          <w:rFonts w:ascii="Palatino Linotype" w:eastAsia="Palatino Linotype" w:hAnsi="Palatino Linotype" w:cs="Palatino Linotype"/>
          <w:i/>
          <w:iCs/>
          <w:color w:val="000000"/>
        </w:rPr>
        <w:t>público logre el fin para el cual se programó y destinó; 4. Eficacia, ya que es indispensable contar con la capacidad suficiente para lograr las metas estimadas; 5. Economía, en el sentido de que el gasto público debe ejercerse recta y prudentemente, lo cual implica que los servidores públicos siempre deben buscar las mejores condiciones de contratación para el Estado, y 6. Transparencia, para permitir hacer del conocimiento público el ejercicio del gasto estatal.”</w:t>
      </w:r>
      <w:r>
        <w:rPr>
          <w:rFonts w:ascii="Palatino Linotype" w:eastAsia="Palatino Linotype" w:hAnsi="Palatino Linotype" w:cs="Palatino Linotype"/>
          <w:color w:val="000000"/>
        </w:rPr>
        <w:t xml:space="preserve"> </w:t>
      </w:r>
    </w:p>
    <w:p w:rsidR="009158C9" w:rsidRDefault="009158C9">
      <w:pPr>
        <w:spacing w:line="360" w:lineRule="auto"/>
        <w:jc w:val="both"/>
        <w:rPr>
          <w:rFonts w:ascii="Palatino Linotype" w:eastAsia="Palatino Linotype" w:hAnsi="Palatino Linotype" w:cs="Palatino Linotype"/>
          <w:color w:val="000000"/>
          <w:sz w:val="22"/>
          <w:szCs w:val="22"/>
        </w:rPr>
      </w:pPr>
    </w:p>
    <w:p w:rsidR="009158C9" w:rsidRDefault="00FC5202">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Como se logra observar, el ejercicio de recursos públicos por parte de los tres niveles de Gobierno, que incluye a los Municipios, debe seguir el Principio de Transparencia, que implica permitir a la ciudadanía conocer en la forma en que se gasta el Estado, los recursos  con los que cuenta para el cumplimiento de sus obligaciones y atribuciones.  </w:t>
      </w:r>
    </w:p>
    <w:p w:rsidR="009158C9" w:rsidRDefault="009158C9">
      <w:pPr>
        <w:spacing w:line="360" w:lineRule="auto"/>
        <w:jc w:val="both"/>
        <w:rPr>
          <w:rFonts w:ascii="Palatino Linotype" w:eastAsia="Palatino Linotype" w:hAnsi="Palatino Linotype" w:cs="Palatino Linotype"/>
          <w:color w:val="000000"/>
          <w:sz w:val="22"/>
          <w:szCs w:val="22"/>
        </w:rPr>
      </w:pPr>
    </w:p>
    <w:p w:rsidR="009158C9" w:rsidRDefault="00FC5202">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 xml:space="preserve">Al respecto, según Merino, Mauricio (2019), en el “Diccionario de Transparencia y Acceso a la Información Pública” (p. 276), la rendición de cuentas, es un ejercicio de transparencia e información pública; es un medio a través del cual los gobiernos informan al público de sus actividades, de los recursos que han ejercido y de los resultados obtenidos.  </w:t>
      </w:r>
    </w:p>
    <w:p w:rsidR="009158C9" w:rsidRDefault="009158C9">
      <w:pPr>
        <w:spacing w:line="360" w:lineRule="auto"/>
        <w:jc w:val="both"/>
        <w:rPr>
          <w:rFonts w:ascii="Palatino Linotype" w:eastAsia="Palatino Linotype" w:hAnsi="Palatino Linotype" w:cs="Palatino Linotype"/>
          <w:color w:val="000000"/>
          <w:sz w:val="22"/>
          <w:szCs w:val="22"/>
        </w:rPr>
      </w:pPr>
    </w:p>
    <w:p w:rsidR="009158C9" w:rsidRDefault="00FC5202">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Conforme a lo anterior, se logra vislumbrar que cualquier tipo de erogación de recursos por parte de las instituciones públicas, guarda la naturaleza de pública; por lo que, las remuneraciones, sueldos y prestaciones de los servidores públicos, rinde cuentas de los recursos utilizados por la Secretaría de la Contraloría para el pago de personal.  </w:t>
      </w:r>
    </w:p>
    <w:p w:rsidR="009158C9" w:rsidRDefault="009158C9">
      <w:pPr>
        <w:spacing w:line="360" w:lineRule="auto"/>
        <w:jc w:val="both"/>
        <w:rPr>
          <w:rFonts w:ascii="Palatino Linotype" w:eastAsia="Palatino Linotype" w:hAnsi="Palatino Linotype" w:cs="Palatino Linotype"/>
          <w:color w:val="000000"/>
          <w:sz w:val="22"/>
          <w:szCs w:val="22"/>
        </w:rPr>
      </w:pPr>
    </w:p>
    <w:p w:rsidR="009158C9" w:rsidRDefault="00FC5202">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Además, este Instituto considera que la Secretaria de la Contraloría, debe de contar con algún documento que dé cuenta de las remuneraciones pagadas a los servidores públicos, es decir, aquel que contenga los sueldos, prestaciones y de deducciones; pues del propio </w:t>
      </w:r>
      <w:r>
        <w:rPr>
          <w:rFonts w:ascii="Palatino Linotype" w:eastAsia="Palatino Linotype" w:hAnsi="Palatino Linotype" w:cs="Palatino Linotype"/>
          <w:sz w:val="22"/>
          <w:szCs w:val="22"/>
        </w:rPr>
        <w:t>Portal de Gestión Interna G2G, se logra vislumbrar un apartado para las Coordinaciones Administrativas, entre las cuáles se encuentra la del Sujeto Obligado y el cual precisa que dicha área puede obtener los siguientes documentos:</w:t>
      </w:r>
    </w:p>
    <w:p w:rsidR="009158C9" w:rsidRDefault="009158C9">
      <w:pPr>
        <w:spacing w:line="360" w:lineRule="auto"/>
        <w:jc w:val="both"/>
        <w:rPr>
          <w:rFonts w:ascii="Palatino Linotype" w:eastAsia="Palatino Linotype" w:hAnsi="Palatino Linotype" w:cs="Palatino Linotype"/>
          <w:color w:val="000000"/>
          <w:sz w:val="22"/>
          <w:szCs w:val="22"/>
        </w:rPr>
      </w:pPr>
    </w:p>
    <w:p w:rsidR="009158C9" w:rsidRDefault="00FC5202">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noProof/>
          <w:color w:val="000000"/>
          <w:sz w:val="22"/>
          <w:szCs w:val="22"/>
        </w:rPr>
        <w:drawing>
          <wp:inline distT="0" distB="0" distL="0" distR="0">
            <wp:extent cx="5612130" cy="2446020"/>
            <wp:effectExtent l="0" t="0" r="0" b="0"/>
            <wp:docPr id="30647865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612130" cy="2446020"/>
                    </a:xfrm>
                    <a:prstGeom prst="rect">
                      <a:avLst/>
                    </a:prstGeom>
                    <a:ln/>
                  </pic:spPr>
                </pic:pic>
              </a:graphicData>
            </a:graphic>
          </wp:inline>
        </w:drawing>
      </w:r>
    </w:p>
    <w:p w:rsidR="009158C9" w:rsidRDefault="009158C9">
      <w:pPr>
        <w:spacing w:line="360" w:lineRule="auto"/>
        <w:jc w:val="both"/>
        <w:rPr>
          <w:rFonts w:ascii="Palatino Linotype" w:eastAsia="Palatino Linotype" w:hAnsi="Palatino Linotype" w:cs="Palatino Linotype"/>
          <w:color w:val="000000"/>
          <w:sz w:val="22"/>
          <w:szCs w:val="22"/>
        </w:rPr>
      </w:pPr>
    </w:p>
    <w:p w:rsidR="009158C9" w:rsidRDefault="00FC5202">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Conforme a lo anterior, existen documentos a los que puede acceder el Sujeto Obligado y que dan cuenta de la información peticionada, tal como lo es el Comprobante de percepciones y deducciones, así como, la Constancia quincenal de percepciones y deducciones, los cuáles conforme al portal mencionado, tienen validez oficial.</w:t>
      </w:r>
    </w:p>
    <w:p w:rsidR="009158C9" w:rsidRDefault="009158C9">
      <w:pPr>
        <w:spacing w:line="360" w:lineRule="auto"/>
        <w:jc w:val="both"/>
        <w:rPr>
          <w:rFonts w:ascii="Palatino Linotype" w:eastAsia="Palatino Linotype" w:hAnsi="Palatino Linotype" w:cs="Palatino Linotype"/>
          <w:color w:val="000000"/>
          <w:sz w:val="22"/>
          <w:szCs w:val="22"/>
        </w:rPr>
      </w:pPr>
    </w:p>
    <w:p w:rsidR="009158C9" w:rsidRDefault="00FC5202">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Por lo que, es claro que el Sujeto Obligado debe contar en sus archivos con documentos que den cuenta de la información solicitad</w:t>
      </w:r>
      <w:r>
        <w:rPr>
          <w:rFonts w:ascii="Palatino Linotype" w:eastAsia="Palatino Linotype" w:hAnsi="Palatino Linotype" w:cs="Palatino Linotype"/>
          <w:sz w:val="22"/>
          <w:szCs w:val="22"/>
        </w:rPr>
        <w:t xml:space="preserve">a </w:t>
      </w:r>
      <w:r>
        <w:rPr>
          <w:rFonts w:ascii="Palatino Linotype" w:eastAsia="Palatino Linotype" w:hAnsi="Palatino Linotype" w:cs="Palatino Linotype"/>
          <w:color w:val="000000"/>
          <w:sz w:val="22"/>
          <w:szCs w:val="22"/>
        </w:rPr>
        <w:t xml:space="preserve">y que haga las veces de recibos de pago; dicha situación toma sustento en el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misma, ni  presentarla conforme al interés del Solicitante.  </w:t>
      </w:r>
    </w:p>
    <w:p w:rsidR="009158C9" w:rsidRDefault="009158C9">
      <w:pPr>
        <w:spacing w:line="360" w:lineRule="auto"/>
        <w:jc w:val="both"/>
        <w:rPr>
          <w:rFonts w:ascii="Palatino Linotype" w:eastAsia="Palatino Linotype" w:hAnsi="Palatino Linotype" w:cs="Palatino Linotype"/>
          <w:color w:val="000000"/>
          <w:sz w:val="22"/>
          <w:szCs w:val="22"/>
        </w:rPr>
      </w:pPr>
    </w:p>
    <w:p w:rsidR="009158C9" w:rsidRDefault="00FC5202">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De esta manera, el derecho de acceso a la información pública se satisface en aquellos casos en que se entregue el soporte documental en el que conste la información solicitada, sin necesidad de elaborar documentos ad hoc; lo cual, de conformidad con en el artículo 160 de la Ley de Transparencia y Acceso a la Información Pública del Estado de México y Municipios, el cual refiere que los sujetos obligados deberán entregar la información que obre en sus archivos. </w:t>
      </w:r>
    </w:p>
    <w:p w:rsidR="009158C9" w:rsidRDefault="00FC5202">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 </w:t>
      </w:r>
    </w:p>
    <w:p w:rsidR="009158C9" w:rsidRDefault="00FC5202">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Además, resulta aplicable el Criterio Orientador SO/003/2017, de la Segunda Época, emitido por el entonces Instituto Nacional de Transparencia, Acceso a la Información y Protección de Datos Personales que a continuación se cita:  </w:t>
      </w:r>
    </w:p>
    <w:p w:rsidR="009158C9" w:rsidRDefault="009158C9">
      <w:pPr>
        <w:spacing w:line="360" w:lineRule="auto"/>
        <w:jc w:val="both"/>
        <w:rPr>
          <w:rFonts w:ascii="Palatino Linotype" w:eastAsia="Palatino Linotype" w:hAnsi="Palatino Linotype" w:cs="Palatino Linotype"/>
          <w:color w:val="000000"/>
          <w:sz w:val="22"/>
          <w:szCs w:val="22"/>
        </w:rPr>
      </w:pPr>
    </w:p>
    <w:p w:rsidR="009158C9" w:rsidRDefault="00FC5202">
      <w:pPr>
        <w:pBdr>
          <w:top w:val="nil"/>
          <w:left w:val="nil"/>
          <w:bottom w:val="nil"/>
          <w:right w:val="nil"/>
          <w:between w:val="nil"/>
        </w:pBdr>
        <w:spacing w:line="360" w:lineRule="auto"/>
        <w:ind w:left="567" w:right="567"/>
        <w:jc w:val="both"/>
        <w:rPr>
          <w:rFonts w:ascii="Palatino Linotype" w:eastAsia="Palatino Linotype" w:hAnsi="Palatino Linotype" w:cs="Palatino Linotype"/>
          <w:color w:val="000000"/>
        </w:rPr>
      </w:pPr>
      <w:r>
        <w:rPr>
          <w:rFonts w:ascii="Palatino Linotype" w:eastAsia="Palatino Linotype" w:hAnsi="Palatino Linotype" w:cs="Palatino Linotype"/>
          <w:b/>
          <w:bCs/>
          <w:i/>
          <w:iCs/>
          <w:color w:val="000000"/>
        </w:rPr>
        <w:lastRenderedPageBreak/>
        <w:t>“No existe obligación de elaborar documentos ad hoc para atender las solicitudes de acceso a la información</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i/>
          <w:iCs/>
          <w:color w:val="000000"/>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r>
        <w:rPr>
          <w:rFonts w:ascii="Palatino Linotype" w:eastAsia="Palatino Linotype" w:hAnsi="Palatino Linotype" w:cs="Palatino Linotype"/>
          <w:color w:val="000000"/>
        </w:rPr>
        <w:t xml:space="preserve">  </w:t>
      </w:r>
    </w:p>
    <w:p w:rsidR="009158C9" w:rsidRDefault="009158C9">
      <w:pPr>
        <w:spacing w:line="360" w:lineRule="auto"/>
        <w:jc w:val="both"/>
        <w:rPr>
          <w:rFonts w:ascii="Palatino Linotype" w:eastAsia="Palatino Linotype" w:hAnsi="Palatino Linotype" w:cs="Palatino Linotype"/>
          <w:color w:val="000000"/>
          <w:sz w:val="22"/>
          <w:szCs w:val="22"/>
        </w:rPr>
      </w:pPr>
    </w:p>
    <w:p w:rsidR="009158C9" w:rsidRDefault="00FC520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tales circunstancias, se concluye que los sujetos obligados únicamente se encuentran constreñidos a proporcionar los documentos que den cuenta de la información solicitada, como obren en sus archivos, sin tener que elaborarlos a las necesidades del Recurrente.</w:t>
      </w:r>
    </w:p>
    <w:p w:rsidR="009158C9" w:rsidRDefault="009158C9">
      <w:pPr>
        <w:spacing w:line="360" w:lineRule="auto"/>
        <w:jc w:val="both"/>
        <w:rPr>
          <w:rFonts w:ascii="Palatino Linotype" w:eastAsia="Palatino Linotype" w:hAnsi="Palatino Linotype" w:cs="Palatino Linotype"/>
          <w:color w:val="000000"/>
          <w:sz w:val="22"/>
          <w:szCs w:val="22"/>
        </w:rPr>
      </w:pPr>
    </w:p>
    <w:p w:rsidR="009158C9" w:rsidRDefault="00FC520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Así, se concluye que el agravio del Particular es </w:t>
      </w:r>
      <w:r>
        <w:rPr>
          <w:rFonts w:ascii="Palatino Linotype" w:eastAsia="Palatino Linotype" w:hAnsi="Palatino Linotype" w:cs="Palatino Linotype"/>
          <w:b/>
          <w:bCs/>
          <w:sz w:val="22"/>
          <w:szCs w:val="22"/>
        </w:rPr>
        <w:t xml:space="preserve">PARCIALMENTE FUNDADO, </w:t>
      </w:r>
      <w:r>
        <w:rPr>
          <w:rFonts w:ascii="Palatino Linotype" w:eastAsia="Palatino Linotype" w:hAnsi="Palatino Linotype" w:cs="Palatino Linotype"/>
          <w:sz w:val="22"/>
          <w:szCs w:val="22"/>
        </w:rPr>
        <w:t>ya que, si bien en los archivos del Sujeto Obligado no obran los recibos de nómina, lo cierto es que debe generar documentos que den cuenta de lo solicitado, es decir, que su contenido sea el mismo, en otras palabras, que contenga los sueldos, prestaciones y deducciones.</w:t>
      </w:r>
    </w:p>
    <w:p w:rsidR="009158C9" w:rsidRDefault="009158C9">
      <w:pPr>
        <w:spacing w:line="360" w:lineRule="auto"/>
        <w:jc w:val="both"/>
        <w:rPr>
          <w:rFonts w:ascii="Palatino Linotype" w:eastAsia="Palatino Linotype" w:hAnsi="Palatino Linotype" w:cs="Palatino Linotype"/>
          <w:sz w:val="22"/>
          <w:szCs w:val="22"/>
        </w:rPr>
      </w:pPr>
    </w:p>
    <w:p w:rsidR="009158C9" w:rsidRDefault="00FC520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lo que, para atender el requerimiento, deberá realizar una búsqueda exhaustiva y razonable, en todos los archivos de las unidades administrativa competentes, y no deberá omitir a la subdirección de Personal y delegación administrativa a efecto de proporcionar aquellos donde conste el pago de remuneraciones de todos los servidores públicos (sueldos, prestaciones y deducciones), para dar cumplimiento a los artículos 12, 160 y 162 de la Ley de Transparencia y Acceso a la Información Pública del Estado de México y Municipios.</w:t>
      </w:r>
    </w:p>
    <w:p w:rsidR="009158C9" w:rsidRDefault="009158C9">
      <w:pPr>
        <w:spacing w:line="360" w:lineRule="auto"/>
        <w:jc w:val="both"/>
        <w:rPr>
          <w:rFonts w:ascii="Palatino Linotype" w:eastAsia="Palatino Linotype" w:hAnsi="Palatino Linotype" w:cs="Palatino Linotype"/>
          <w:color w:val="000000"/>
          <w:sz w:val="22"/>
          <w:szCs w:val="22"/>
        </w:rPr>
      </w:pPr>
    </w:p>
    <w:p w:rsidR="009158C9" w:rsidRDefault="00FC5202">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 xml:space="preserve">Finalmente, no pasa desapercibido para este Instituto que los documentos que atiendan la solicitud pudieran contener datos personales confidenciales, tales como la </w:t>
      </w:r>
      <w:r>
        <w:rPr>
          <w:rFonts w:ascii="Palatino Linotype" w:eastAsia="Palatino Linotype" w:hAnsi="Palatino Linotype" w:cs="Palatino Linotype"/>
          <w:sz w:val="22"/>
          <w:szCs w:val="22"/>
        </w:rPr>
        <w:t>Clave</w:t>
      </w:r>
      <w:r>
        <w:rPr>
          <w:rFonts w:ascii="Palatino Linotype" w:eastAsia="Palatino Linotype" w:hAnsi="Palatino Linotype" w:cs="Palatino Linotype"/>
          <w:color w:val="000000"/>
          <w:sz w:val="22"/>
          <w:szCs w:val="22"/>
        </w:rPr>
        <w:t xml:space="preserve"> Única de </w:t>
      </w:r>
    </w:p>
    <w:p w:rsidR="009158C9" w:rsidRDefault="00FC5202">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Registro de Población, el Registro Federal de Contribuyentes, el número de seguridad social y las deducciones personales, los cuales se precisan de manera enunciativa, más no limitativa, en términos del artículo 143, fracción I de la Ley de la materia; al respecto,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  </w:t>
      </w:r>
    </w:p>
    <w:p w:rsidR="009158C9" w:rsidRDefault="009158C9">
      <w:pPr>
        <w:spacing w:line="360" w:lineRule="auto"/>
        <w:jc w:val="both"/>
        <w:rPr>
          <w:rFonts w:ascii="Palatino Linotype" w:eastAsia="Palatino Linotype" w:hAnsi="Palatino Linotype" w:cs="Palatino Linotype"/>
          <w:color w:val="000000"/>
          <w:sz w:val="22"/>
          <w:szCs w:val="22"/>
        </w:rPr>
      </w:pPr>
    </w:p>
    <w:p w:rsidR="009158C9" w:rsidRDefault="00FC5202">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Por lo que, para atender el requerimiento deberá proporcionar los documentos señalados en la presente Resolución, en versión pública, tomando en consideración lo analizado en párrafos previos; 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rsidR="009158C9" w:rsidRDefault="009158C9">
      <w:pPr>
        <w:spacing w:line="360" w:lineRule="auto"/>
        <w:jc w:val="both"/>
        <w:rPr>
          <w:rFonts w:ascii="Palatino Linotype" w:eastAsia="Palatino Linotype" w:hAnsi="Palatino Linotype" w:cs="Palatino Linotype"/>
          <w:sz w:val="22"/>
          <w:szCs w:val="22"/>
        </w:rPr>
      </w:pPr>
    </w:p>
    <w:p w:rsidR="009158C9" w:rsidRDefault="00FC5202">
      <w:pPr>
        <w:pStyle w:val="Ttulo2"/>
        <w:spacing w:before="0" w:after="0" w:line="360" w:lineRule="auto"/>
        <w:rPr>
          <w:rFonts w:ascii="Palatino Linotype" w:eastAsia="Palatino Linotype" w:hAnsi="Palatino Linotype" w:cs="Palatino Linotype"/>
          <w:b/>
          <w:bCs/>
          <w:color w:val="000000"/>
          <w:sz w:val="22"/>
          <w:szCs w:val="22"/>
        </w:rPr>
      </w:pPr>
      <w:bookmarkStart w:id="17" w:name="_Toc220597177"/>
      <w:r>
        <w:rPr>
          <w:rFonts w:ascii="Palatino Linotype" w:eastAsia="Palatino Linotype" w:hAnsi="Palatino Linotype" w:cs="Palatino Linotype"/>
          <w:b/>
          <w:bCs/>
          <w:color w:val="000000"/>
          <w:sz w:val="22"/>
          <w:szCs w:val="22"/>
        </w:rPr>
        <w:t>SEXTO. Decisión</w:t>
      </w:r>
      <w:bookmarkEnd w:id="17"/>
    </w:p>
    <w:p w:rsidR="009158C9" w:rsidRDefault="009158C9">
      <w:pPr>
        <w:spacing w:line="360" w:lineRule="auto"/>
        <w:rPr>
          <w:rFonts w:ascii="Palatino Linotype" w:eastAsia="Palatino Linotype" w:hAnsi="Palatino Linotype" w:cs="Palatino Linotype"/>
          <w:b/>
          <w:bCs/>
        </w:rPr>
      </w:pPr>
    </w:p>
    <w:p w:rsidR="009158C9" w:rsidRDefault="00FC5202">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Con fundamento en el artículo 186, fracción III, de la Ley de Transparencia y Acceso a la Información Pública del Estado de México y Municipios, este Instituto considera procedente </w:t>
      </w:r>
      <w:r>
        <w:rPr>
          <w:rFonts w:ascii="Palatino Linotype" w:eastAsia="Palatino Linotype" w:hAnsi="Palatino Linotype" w:cs="Palatino Linotype"/>
          <w:b/>
          <w:bCs/>
          <w:sz w:val="22"/>
          <w:szCs w:val="22"/>
        </w:rPr>
        <w:t>MODIFICAR</w:t>
      </w:r>
      <w:r>
        <w:rPr>
          <w:rFonts w:ascii="Palatino Linotype" w:eastAsia="Palatino Linotype" w:hAnsi="Palatino Linotype" w:cs="Palatino Linotype"/>
          <w:sz w:val="22"/>
          <w:szCs w:val="22"/>
        </w:rPr>
        <w:t xml:space="preserve"> la respuesta otorgada a la solicitud de información 00304/SECOGEM/IP/2025, a efecto de que, proporcione versión pública la información solicitada.</w:t>
      </w:r>
    </w:p>
    <w:p w:rsidR="009158C9" w:rsidRDefault="009158C9">
      <w:pPr>
        <w:spacing w:line="360" w:lineRule="auto"/>
        <w:jc w:val="both"/>
        <w:rPr>
          <w:rFonts w:ascii="Palatino Linotype" w:eastAsia="Palatino Linotype" w:hAnsi="Palatino Linotype" w:cs="Palatino Linotype"/>
          <w:b/>
          <w:bCs/>
          <w:sz w:val="22"/>
          <w:szCs w:val="22"/>
        </w:rPr>
      </w:pPr>
    </w:p>
    <w:p w:rsidR="009158C9" w:rsidRDefault="00FC5202">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Términos de la Resolución para conocimiento del Particular</w:t>
      </w:r>
    </w:p>
    <w:p w:rsidR="009158C9" w:rsidRDefault="009158C9">
      <w:pPr>
        <w:spacing w:line="360" w:lineRule="auto"/>
        <w:jc w:val="both"/>
        <w:rPr>
          <w:rFonts w:ascii="Palatino Linotype" w:eastAsia="Palatino Linotype" w:hAnsi="Palatino Linotype" w:cs="Palatino Linotype"/>
          <w:b/>
          <w:bCs/>
          <w:sz w:val="22"/>
          <w:szCs w:val="22"/>
        </w:rPr>
      </w:pPr>
    </w:p>
    <w:p w:rsidR="009158C9" w:rsidRDefault="00FC5202">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Se le hace del conocimiento a la persona Recurrente que, en el presente asunto, se le da </w:t>
      </w:r>
      <w:proofErr w:type="gramStart"/>
      <w:r>
        <w:rPr>
          <w:rFonts w:ascii="Palatino Linotype" w:eastAsia="Palatino Linotype" w:hAnsi="Palatino Linotype" w:cs="Palatino Linotype"/>
          <w:color w:val="000000"/>
          <w:sz w:val="22"/>
          <w:szCs w:val="22"/>
        </w:rPr>
        <w:t>la  razón</w:t>
      </w:r>
      <w:proofErr w:type="gramEnd"/>
      <w:r>
        <w:rPr>
          <w:rFonts w:ascii="Palatino Linotype" w:eastAsia="Palatino Linotype" w:hAnsi="Palatino Linotype" w:cs="Palatino Linotype"/>
          <w:color w:val="000000"/>
          <w:sz w:val="22"/>
          <w:szCs w:val="22"/>
        </w:rPr>
        <w:t>, pues el Sujeto Obligado no proporcionó documento alguno que diera cuenta de las  remuneraciones brutas y netas del personal adscrito, por lo que, deberá entregar dicha información. La labor del Instituto es apoyar a la población a acceder a la información pública y garantizar la protección de sus datos personales.</w:t>
      </w:r>
    </w:p>
    <w:p w:rsidR="009158C9" w:rsidRDefault="009158C9">
      <w:pPr>
        <w:spacing w:line="360" w:lineRule="auto"/>
        <w:jc w:val="both"/>
        <w:rPr>
          <w:rFonts w:ascii="Palatino Linotype" w:eastAsia="Palatino Linotype" w:hAnsi="Palatino Linotype" w:cs="Palatino Linotype"/>
          <w:color w:val="000000"/>
          <w:sz w:val="22"/>
          <w:szCs w:val="22"/>
        </w:rPr>
      </w:pPr>
    </w:p>
    <w:p w:rsidR="009158C9" w:rsidRDefault="00FC5202">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Por lo expuesto y fundado, este Pleno:</w:t>
      </w:r>
    </w:p>
    <w:p w:rsidR="009158C9" w:rsidRDefault="009158C9">
      <w:pPr>
        <w:spacing w:line="360" w:lineRule="auto"/>
        <w:jc w:val="both"/>
        <w:rPr>
          <w:rFonts w:ascii="Palatino Linotype" w:eastAsia="Palatino Linotype" w:hAnsi="Palatino Linotype" w:cs="Palatino Linotype"/>
          <w:color w:val="000000"/>
          <w:sz w:val="22"/>
          <w:szCs w:val="22"/>
        </w:rPr>
      </w:pPr>
    </w:p>
    <w:p w:rsidR="009158C9" w:rsidRDefault="00FC5202">
      <w:pPr>
        <w:pStyle w:val="Ttulo1"/>
        <w:spacing w:before="0" w:after="0" w:line="360" w:lineRule="auto"/>
        <w:jc w:val="center"/>
        <w:rPr>
          <w:rFonts w:ascii="Palatino Linotype" w:eastAsia="Palatino Linotype" w:hAnsi="Palatino Linotype" w:cs="Palatino Linotype"/>
          <w:b/>
          <w:bCs/>
          <w:color w:val="000000"/>
          <w:sz w:val="22"/>
          <w:szCs w:val="22"/>
        </w:rPr>
      </w:pPr>
      <w:bookmarkStart w:id="18" w:name="_Toc220597178"/>
      <w:r>
        <w:rPr>
          <w:rFonts w:ascii="Palatino Linotype" w:eastAsia="Palatino Linotype" w:hAnsi="Palatino Linotype" w:cs="Palatino Linotype"/>
          <w:b/>
          <w:bCs/>
          <w:color w:val="000000"/>
          <w:sz w:val="22"/>
          <w:szCs w:val="22"/>
        </w:rPr>
        <w:t>R E S U E L V E</w:t>
      </w:r>
      <w:bookmarkEnd w:id="18"/>
    </w:p>
    <w:p w:rsidR="009158C9" w:rsidRDefault="009158C9">
      <w:pPr>
        <w:spacing w:line="360" w:lineRule="auto"/>
        <w:ind w:right="-28"/>
        <w:jc w:val="both"/>
        <w:rPr>
          <w:rFonts w:ascii="Palatino Linotype" w:eastAsia="Palatino Linotype" w:hAnsi="Palatino Linotype" w:cs="Palatino Linotype"/>
          <w:b/>
          <w:bCs/>
          <w:sz w:val="22"/>
          <w:szCs w:val="22"/>
        </w:rPr>
      </w:pPr>
    </w:p>
    <w:p w:rsidR="009158C9" w:rsidRDefault="00FC5202">
      <w:pPr>
        <w:widowControl w:val="0"/>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PRIMERO. </w:t>
      </w:r>
      <w:r>
        <w:rPr>
          <w:rFonts w:ascii="Palatino Linotype" w:eastAsia="Palatino Linotype" w:hAnsi="Palatino Linotype" w:cs="Palatino Linotype"/>
          <w:sz w:val="22"/>
          <w:szCs w:val="22"/>
        </w:rPr>
        <w:t xml:space="preserve">Se </w:t>
      </w:r>
      <w:r>
        <w:rPr>
          <w:rFonts w:ascii="Palatino Linotype" w:eastAsia="Palatino Linotype" w:hAnsi="Palatino Linotype" w:cs="Palatino Linotype"/>
          <w:b/>
          <w:bCs/>
          <w:sz w:val="22"/>
          <w:szCs w:val="22"/>
        </w:rPr>
        <w:t xml:space="preserve">MODIFICA </w:t>
      </w:r>
      <w:r>
        <w:rPr>
          <w:rFonts w:ascii="Palatino Linotype" w:eastAsia="Palatino Linotype" w:hAnsi="Palatino Linotype" w:cs="Palatino Linotype"/>
          <w:sz w:val="22"/>
          <w:szCs w:val="22"/>
        </w:rPr>
        <w:t>la</w:t>
      </w:r>
      <w:r>
        <w:rPr>
          <w:rFonts w:ascii="Palatino Linotype" w:eastAsia="Palatino Linotype" w:hAnsi="Palatino Linotype" w:cs="Palatino Linotype"/>
          <w:b/>
          <w:bCs/>
          <w:sz w:val="22"/>
          <w:szCs w:val="22"/>
        </w:rPr>
        <w:t xml:space="preserve"> </w:t>
      </w:r>
      <w:r>
        <w:rPr>
          <w:rFonts w:ascii="Palatino Linotype" w:eastAsia="Palatino Linotype" w:hAnsi="Palatino Linotype" w:cs="Palatino Linotype"/>
          <w:sz w:val="22"/>
          <w:szCs w:val="22"/>
        </w:rPr>
        <w:t xml:space="preserve">respuesta entregada por el Sujeto Obligado, por resultar </w:t>
      </w:r>
      <w:r>
        <w:rPr>
          <w:rFonts w:ascii="Palatino Linotype" w:eastAsia="Palatino Linotype" w:hAnsi="Palatino Linotype" w:cs="Palatino Linotype"/>
          <w:b/>
          <w:bCs/>
          <w:smallCaps/>
          <w:sz w:val="22"/>
          <w:szCs w:val="22"/>
        </w:rPr>
        <w:t>FUNDADAS</w:t>
      </w:r>
      <w:r>
        <w:rPr>
          <w:rFonts w:ascii="Palatino Linotype" w:eastAsia="Palatino Linotype" w:hAnsi="Palatino Linotype" w:cs="Palatino Linotype"/>
          <w:sz w:val="22"/>
          <w:szCs w:val="22"/>
        </w:rPr>
        <w:t xml:space="preserve"> las razones o motivos de inconformidad hechos valer por el Recurrente en la solicitud de información 00304/SECOGEM/IP/2025, en términos de los considerandos QUINTO y SEXTO de la presente Resolución.</w:t>
      </w:r>
    </w:p>
    <w:p w:rsidR="009158C9" w:rsidRDefault="009158C9">
      <w:pPr>
        <w:widowControl w:val="0"/>
        <w:spacing w:line="360" w:lineRule="auto"/>
        <w:jc w:val="both"/>
        <w:rPr>
          <w:rFonts w:ascii="Palatino Linotype" w:eastAsia="Palatino Linotype" w:hAnsi="Palatino Linotype" w:cs="Palatino Linotype"/>
          <w:sz w:val="22"/>
          <w:szCs w:val="22"/>
        </w:rPr>
      </w:pPr>
    </w:p>
    <w:p w:rsidR="009158C9" w:rsidRDefault="00FC5202">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color w:val="000000"/>
          <w:sz w:val="22"/>
          <w:szCs w:val="22"/>
        </w:rPr>
        <w:t xml:space="preserve">SEGUNDO. Se ORDENA </w:t>
      </w:r>
      <w:r>
        <w:rPr>
          <w:rFonts w:ascii="Palatino Linotype" w:eastAsia="Palatino Linotype" w:hAnsi="Palatino Linotype" w:cs="Palatino Linotype"/>
          <w:color w:val="000000"/>
          <w:sz w:val="22"/>
          <w:szCs w:val="22"/>
        </w:rPr>
        <w:t>al Sujeto Obligado, a efecto de que previa búsqueda exhaustiva y razonable en los archivos de las unidades administrativas competentes, entregue a través del Sistema de Acceso a la Información Mexiquense (SAIMEX), en versión pública, los documentos donde conste lo siguiente:</w:t>
      </w:r>
    </w:p>
    <w:p w:rsidR="009158C9" w:rsidRDefault="00FC5202">
      <w:pPr>
        <w:spacing w:line="360" w:lineRule="auto"/>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ab/>
      </w:r>
    </w:p>
    <w:p w:rsidR="009158C9" w:rsidRDefault="00FC5202">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Las remuneraciones pagadas a todos los servidores públicos adscritos a la Secretaría de la Contraloría, de la primera quincena de julio de dos mil veinticinco.</w:t>
      </w:r>
    </w:p>
    <w:p w:rsidR="009158C9" w:rsidRDefault="009158C9">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sz w:val="22"/>
          <w:szCs w:val="22"/>
        </w:rPr>
      </w:pPr>
    </w:p>
    <w:p w:rsidR="009158C9" w:rsidRDefault="00FC5202">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Las prestaciones distintas a la nómina, pagadas a todos los servidores públicos adscritos a la Secretaría de la Contraloría, del primero al treinta y uno de julio de dos mil veinticinco.</w:t>
      </w:r>
    </w:p>
    <w:p w:rsidR="009158C9" w:rsidRDefault="009158C9">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rsidR="009158C9" w:rsidRDefault="00FC520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Además, deberá proporcionar el Acuerdo de Clasificación donde el Comité de Transparencia, confirme la eliminación de los datos o información, en la versión pública, de conformidad con los artículos 49, fracciones II y VIII, y 132, fracción II, de la Ley de Transparencia y Acceso a la Información Pública del Estado de México y Municipios.</w:t>
      </w:r>
    </w:p>
    <w:p w:rsidR="009158C9" w:rsidRDefault="009158C9">
      <w:pPr>
        <w:spacing w:line="360" w:lineRule="auto"/>
        <w:jc w:val="both"/>
        <w:rPr>
          <w:rFonts w:ascii="Palatino Linotype" w:eastAsia="Palatino Linotype" w:hAnsi="Palatino Linotype" w:cs="Palatino Linotype"/>
          <w:sz w:val="22"/>
          <w:szCs w:val="22"/>
        </w:rPr>
      </w:pPr>
    </w:p>
    <w:p w:rsidR="009158C9" w:rsidRDefault="00FC5202">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Para el caso de no contar con el punto 2 por no haberse pagado prestaciones distintas a la nómina en ese periodo, </w:t>
      </w:r>
      <w:r>
        <w:rPr>
          <w:rFonts w:ascii="Palatino Linotype" w:eastAsia="Palatino Linotype" w:hAnsi="Palatino Linotype" w:cs="Palatino Linotype"/>
          <w:sz w:val="22"/>
          <w:szCs w:val="22"/>
        </w:rPr>
        <w:t>bastará</w:t>
      </w:r>
      <w:r>
        <w:rPr>
          <w:rFonts w:ascii="Palatino Linotype" w:eastAsia="Palatino Linotype" w:hAnsi="Palatino Linotype" w:cs="Palatino Linotype"/>
          <w:color w:val="000000"/>
          <w:sz w:val="22"/>
          <w:szCs w:val="22"/>
        </w:rPr>
        <w:t xml:space="preserve"> con que lo haga de manera clara y precisa al particular.</w:t>
      </w:r>
    </w:p>
    <w:p w:rsidR="009158C9" w:rsidRDefault="009158C9">
      <w:pPr>
        <w:spacing w:line="360" w:lineRule="auto"/>
        <w:jc w:val="both"/>
        <w:rPr>
          <w:rFonts w:ascii="Palatino Linotype" w:eastAsia="Palatino Linotype" w:hAnsi="Palatino Linotype" w:cs="Palatino Linotype"/>
          <w:b/>
          <w:bCs/>
          <w:sz w:val="22"/>
          <w:szCs w:val="22"/>
        </w:rPr>
      </w:pPr>
    </w:p>
    <w:p w:rsidR="009158C9" w:rsidRDefault="00FC520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TERCERO. NOTIFÍQUESE POR SAIMEX</w:t>
      </w:r>
      <w:r>
        <w:rPr>
          <w:rFonts w:ascii="Palatino Linotype" w:eastAsia="Palatino Linotype" w:hAnsi="Palatino Linotype" w:cs="Palatino Linotype"/>
          <w:sz w:val="22"/>
          <w:szCs w:val="22"/>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 </w:t>
      </w:r>
    </w:p>
    <w:p w:rsidR="009158C9" w:rsidRDefault="009158C9">
      <w:pPr>
        <w:spacing w:line="360" w:lineRule="auto"/>
        <w:jc w:val="both"/>
        <w:rPr>
          <w:rFonts w:ascii="Palatino Linotype" w:eastAsia="Palatino Linotype" w:hAnsi="Palatino Linotype" w:cs="Palatino Linotype"/>
          <w:sz w:val="22"/>
          <w:szCs w:val="22"/>
        </w:rPr>
      </w:pPr>
    </w:p>
    <w:p w:rsidR="009158C9" w:rsidRDefault="00FC520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conformidad con el artículo 198 de la Ley de la materia, de considerarlo procedente, el Sujeto Obligado de manera fundada y motivada, podrá solicitar una ampliación de plazo para el cumplimiento de la presente Resolución.</w:t>
      </w:r>
    </w:p>
    <w:p w:rsidR="009158C9" w:rsidRDefault="00FC520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rsidR="009158C9" w:rsidRDefault="00FC520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lastRenderedPageBreak/>
        <w:t xml:space="preserve">CUARTO. NOTIFÍQUESE POR SAIMEX </w:t>
      </w:r>
      <w:r>
        <w:rPr>
          <w:rFonts w:ascii="Palatino Linotype" w:eastAsia="Palatino Linotype" w:hAnsi="Palatino Linotype" w:cs="Palatino Linotype"/>
          <w:sz w:val="22"/>
          <w:szCs w:val="22"/>
        </w:rPr>
        <w:t>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009158C9" w:rsidRDefault="009158C9">
      <w:pPr>
        <w:spacing w:line="360" w:lineRule="auto"/>
        <w:jc w:val="both"/>
        <w:rPr>
          <w:rFonts w:ascii="Palatino Linotype" w:eastAsia="Palatino Linotype" w:hAnsi="Palatino Linotype" w:cs="Palatino Linotype"/>
          <w:sz w:val="22"/>
          <w:szCs w:val="22"/>
        </w:rPr>
      </w:pPr>
    </w:p>
    <w:p w:rsidR="009158C9" w:rsidRDefault="00FC520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ASÍ LO RESUELVE, POR </w:t>
      </w:r>
      <w:r>
        <w:rPr>
          <w:rFonts w:ascii="Palatino Linotype" w:eastAsia="Palatino Linotype" w:hAnsi="Palatino Linotype" w:cs="Palatino Linotype"/>
          <w:b/>
          <w:bCs/>
          <w:sz w:val="22"/>
          <w:szCs w:val="22"/>
        </w:rPr>
        <w:t>UNANIMIDAD</w:t>
      </w:r>
      <w:r>
        <w:rPr>
          <w:rFonts w:ascii="Palatino Linotype" w:eastAsia="Palatino Linotype" w:hAnsi="Palatino Linotype" w:cs="Palatino Linotype"/>
          <w:sz w:val="22"/>
          <w:szCs w:val="22"/>
        </w:rPr>
        <w:t xml:space="preserve"> DE VOTOS EL PLENO DEL INSTITUTO DE TRANSPARENCIA, ACCESO A LA INFORMACIÓN PÚBLICA Y PROTECCIÓN DE DATOS PERSONALES DEL ESTADO DE MÉXICO Y MUNICIPIOS, CONFORMADO POR LOS COMISIONADOS JOSÉ MARTÍNEZ VILCHIS, MARÍA DEL ROSARIO MEJÍA AYALA, (AUSENCIA JUSTIFICADA), SHARON CRISTINA MORALES MARTÍNEZ, LUIS GUSTAVO PARRA NORIEGA Y GUADALUPE RAMÍREZ PEÑA, EN LA TERCERA SESIÓN ORDINARIA, CELEBRADA EL VEINTIOCHO DE ENERO DE DOS MIL VEINTISÉIS, ANTE EL SECRETARIO TÉCNICO DEL PLENO, ALEXIS TAPIA RAMÍREZ.</w:t>
      </w:r>
    </w:p>
    <w:p w:rsidR="009158C9" w:rsidRDefault="009158C9">
      <w:pPr>
        <w:spacing w:line="360" w:lineRule="auto"/>
        <w:rPr>
          <w:rFonts w:ascii="Palatino Linotype" w:eastAsia="Palatino Linotype" w:hAnsi="Palatino Linotype" w:cs="Palatino Linotype"/>
        </w:rPr>
      </w:pPr>
    </w:p>
    <w:p w:rsidR="009158C9" w:rsidRDefault="009158C9">
      <w:pPr>
        <w:spacing w:line="360" w:lineRule="auto"/>
        <w:rPr>
          <w:rFonts w:ascii="Palatino Linotype" w:eastAsia="Palatino Linotype" w:hAnsi="Palatino Linotype" w:cs="Palatino Linotype"/>
        </w:rPr>
      </w:pPr>
    </w:p>
    <w:p w:rsidR="009158C9" w:rsidRDefault="009158C9">
      <w:pPr>
        <w:spacing w:line="360" w:lineRule="auto"/>
        <w:rPr>
          <w:rFonts w:ascii="Palatino Linotype" w:eastAsia="Palatino Linotype" w:hAnsi="Palatino Linotype" w:cs="Palatino Linotype"/>
        </w:rPr>
      </w:pPr>
    </w:p>
    <w:p w:rsidR="009158C9" w:rsidRDefault="009158C9">
      <w:pPr>
        <w:spacing w:line="360" w:lineRule="auto"/>
        <w:rPr>
          <w:rFonts w:ascii="Palatino Linotype" w:eastAsia="Palatino Linotype" w:hAnsi="Palatino Linotype" w:cs="Palatino Linotype"/>
        </w:rPr>
      </w:pPr>
    </w:p>
    <w:p w:rsidR="009158C9" w:rsidRDefault="009158C9">
      <w:pPr>
        <w:spacing w:line="360" w:lineRule="auto"/>
        <w:rPr>
          <w:rFonts w:ascii="Palatino Linotype" w:eastAsia="Palatino Linotype" w:hAnsi="Palatino Linotype" w:cs="Palatino Linotype"/>
        </w:rPr>
      </w:pPr>
    </w:p>
    <w:p w:rsidR="009158C9" w:rsidRDefault="009158C9">
      <w:pPr>
        <w:spacing w:line="360" w:lineRule="auto"/>
        <w:rPr>
          <w:rFonts w:ascii="Palatino Linotype" w:eastAsia="Palatino Linotype" w:hAnsi="Palatino Linotype" w:cs="Palatino Linotype"/>
        </w:rPr>
      </w:pPr>
    </w:p>
    <w:p w:rsidR="009158C9" w:rsidRDefault="009158C9">
      <w:pPr>
        <w:spacing w:line="360" w:lineRule="auto"/>
        <w:rPr>
          <w:rFonts w:ascii="Palatino Linotype" w:eastAsia="Palatino Linotype" w:hAnsi="Palatino Linotype" w:cs="Palatino Linotype"/>
        </w:rPr>
      </w:pPr>
    </w:p>
    <w:p w:rsidR="009158C9" w:rsidRDefault="009158C9">
      <w:pPr>
        <w:spacing w:line="360" w:lineRule="auto"/>
      </w:pPr>
    </w:p>
    <w:p w:rsidR="009158C9" w:rsidRDefault="009158C9">
      <w:pPr>
        <w:spacing w:line="360" w:lineRule="auto"/>
      </w:pPr>
    </w:p>
    <w:p w:rsidR="009158C9" w:rsidRDefault="009158C9">
      <w:pPr>
        <w:spacing w:line="360" w:lineRule="auto"/>
      </w:pPr>
    </w:p>
    <w:p w:rsidR="009158C9" w:rsidRDefault="009158C9">
      <w:pPr>
        <w:spacing w:line="360" w:lineRule="auto"/>
      </w:pPr>
    </w:p>
    <w:p w:rsidR="009158C9" w:rsidRDefault="009158C9">
      <w:pPr>
        <w:spacing w:line="360" w:lineRule="auto"/>
      </w:pPr>
    </w:p>
    <w:p w:rsidR="009158C9" w:rsidRDefault="009158C9">
      <w:pPr>
        <w:spacing w:line="360" w:lineRule="auto"/>
      </w:pPr>
    </w:p>
    <w:p w:rsidR="009158C9" w:rsidRDefault="009158C9">
      <w:pPr>
        <w:spacing w:line="360" w:lineRule="auto"/>
      </w:pPr>
    </w:p>
    <w:p w:rsidR="009158C9" w:rsidRDefault="009158C9">
      <w:pPr>
        <w:spacing w:line="360" w:lineRule="auto"/>
      </w:pPr>
    </w:p>
    <w:p w:rsidR="009158C9" w:rsidRDefault="009158C9">
      <w:pPr>
        <w:spacing w:line="360" w:lineRule="auto"/>
      </w:pPr>
    </w:p>
    <w:p w:rsidR="009158C9" w:rsidRDefault="009158C9">
      <w:pPr>
        <w:spacing w:line="360" w:lineRule="auto"/>
      </w:pPr>
    </w:p>
    <w:p w:rsidR="009158C9" w:rsidRDefault="009158C9">
      <w:pPr>
        <w:spacing w:line="360" w:lineRule="auto"/>
      </w:pPr>
    </w:p>
    <w:p w:rsidR="009158C9" w:rsidRDefault="009158C9">
      <w:pPr>
        <w:spacing w:line="360" w:lineRule="auto"/>
      </w:pPr>
    </w:p>
    <w:p w:rsidR="009158C9" w:rsidRDefault="009158C9">
      <w:pPr>
        <w:spacing w:line="360" w:lineRule="auto"/>
      </w:pPr>
    </w:p>
    <w:p w:rsidR="009158C9" w:rsidRDefault="009158C9">
      <w:pPr>
        <w:spacing w:line="360" w:lineRule="auto"/>
      </w:pPr>
    </w:p>
    <w:p w:rsidR="009158C9" w:rsidRDefault="009158C9">
      <w:pPr>
        <w:spacing w:line="360" w:lineRule="auto"/>
      </w:pPr>
    </w:p>
    <w:p w:rsidR="009158C9" w:rsidRDefault="009158C9">
      <w:pPr>
        <w:spacing w:line="360" w:lineRule="auto"/>
      </w:pPr>
    </w:p>
    <w:p w:rsidR="009158C9" w:rsidRDefault="009158C9">
      <w:pPr>
        <w:spacing w:line="360" w:lineRule="auto"/>
      </w:pPr>
    </w:p>
    <w:p w:rsidR="009158C9" w:rsidRDefault="009158C9">
      <w:pPr>
        <w:spacing w:line="360" w:lineRule="auto"/>
      </w:pPr>
    </w:p>
    <w:p w:rsidR="009158C9" w:rsidRDefault="009158C9">
      <w:pPr>
        <w:spacing w:line="360" w:lineRule="auto"/>
      </w:pPr>
    </w:p>
    <w:p w:rsidR="009158C9" w:rsidRDefault="009158C9">
      <w:pPr>
        <w:spacing w:line="360" w:lineRule="auto"/>
      </w:pPr>
    </w:p>
    <w:p w:rsidR="009158C9" w:rsidRDefault="009158C9">
      <w:pPr>
        <w:spacing w:line="360" w:lineRule="auto"/>
      </w:pPr>
      <w:bookmarkStart w:id="19" w:name="_heading=h.6co1rs6dtbva" w:colFirst="0" w:colLast="0"/>
      <w:bookmarkEnd w:id="19"/>
    </w:p>
    <w:sectPr w:rsidR="009158C9">
      <w:headerReference w:type="even" r:id="rId14"/>
      <w:headerReference w:type="default" r:id="rId15"/>
      <w:footerReference w:type="even" r:id="rId16"/>
      <w:footerReference w:type="default" r:id="rId17"/>
      <w:headerReference w:type="first" r:id="rId18"/>
      <w:footerReference w:type="first" r:id="rId19"/>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609C" w:rsidRDefault="0081609C">
      <w:r>
        <w:separator/>
      </w:r>
    </w:p>
  </w:endnote>
  <w:endnote w:type="continuationSeparator" w:id="0">
    <w:p w:rsidR="0081609C" w:rsidRDefault="008160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embedRegular r:id="rId1" w:fontKey="{9DF0E0BC-22B0-4640-B847-469BCC6C65F9}"/>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FD7F9EBF-9454-465F-88AC-F1D0827BDCE2}"/>
    <w:embedBold r:id="rId3" w:fontKey="{62C12AFE-72A9-4CA7-AA31-22F37D95B931}"/>
    <w:embedItalic r:id="rId4" w:fontKey="{9C655223-6DA2-42BB-8E8F-C823CFB7A430}"/>
    <w:embedBoldItalic r:id="rId5" w:fontKey="{5A859B63-E1BF-4CA1-81E5-662454B7C733}"/>
  </w:font>
  <w:font w:name="Calibri">
    <w:panose1 w:val="020F0502020204030204"/>
    <w:charset w:val="00"/>
    <w:family w:val="swiss"/>
    <w:pitch w:val="variable"/>
    <w:sig w:usb0="E4002EFF" w:usb1="C200247B" w:usb2="00000009" w:usb3="00000000" w:csb0="000001FF" w:csb1="00000000"/>
    <w:embedRegular r:id="rId6" w:fontKey="{01F5A5D9-EF01-466A-A87F-539411AF154B}"/>
    <w:embedBold r:id="rId7" w:fontKey="{AD38C3E8-E499-400D-BDE7-02CAD863C8E3}"/>
  </w:font>
  <w:font w:name="Calibri Light">
    <w:panose1 w:val="020F0302020204030204"/>
    <w:charset w:val="00"/>
    <w:family w:val="swiss"/>
    <w:pitch w:val="variable"/>
    <w:sig w:usb0="E4002EFF" w:usb1="C200247B" w:usb2="00000009" w:usb3="00000000" w:csb0="000001FF" w:csb1="00000000"/>
    <w:embedRegular r:id="rId8" w:fontKey="{98E74351-74A1-4746-86FF-562500BD066E}"/>
  </w:font>
  <w:font w:name="Georgia">
    <w:panose1 w:val="02040502050405020303"/>
    <w:charset w:val="00"/>
    <w:family w:val="roman"/>
    <w:pitch w:val="variable"/>
    <w:sig w:usb0="00000287" w:usb1="00000000" w:usb2="00000000" w:usb3="00000000" w:csb0="0000009F" w:csb1="00000000"/>
    <w:embedItalic r:id="rId9" w:fontKey="{38CAC75B-0FFD-4032-8805-BDF734C2645D}"/>
  </w:font>
  <w:font w:name="Garamond">
    <w:panose1 w:val="02020404030301010803"/>
    <w:charset w:val="00"/>
    <w:family w:val="roman"/>
    <w:pitch w:val="variable"/>
    <w:sig w:usb0="00000287" w:usb1="00000000" w:usb2="00000000" w:usb3="00000000" w:csb0="0000009F" w:csb1="00000000"/>
    <w:embedRegular r:id="rId10" w:fontKey="{63D39AE3-EBFC-4986-ABEC-D2446E1C0CB7}"/>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58C9" w:rsidRDefault="00FC5202">
    <w:pPr>
      <w:pBdr>
        <w:top w:val="nil"/>
        <w:left w:val="nil"/>
        <w:bottom w:val="nil"/>
        <w:right w:val="nil"/>
        <w:between w:val="nil"/>
      </w:pBdr>
      <w:tabs>
        <w:tab w:val="center" w:pos="4419"/>
        <w:tab w:val="right" w:pos="8838"/>
      </w:tabs>
      <w:jc w:val="right"/>
      <w:rPr>
        <w:color w:val="000000"/>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b/>
        <w:bCs/>
        <w:color w:val="000000"/>
        <w:sz w:val="22"/>
        <w:szCs w:val="22"/>
      </w:rPr>
      <w:fldChar w:fldCharType="begin"/>
    </w:r>
    <w:r>
      <w:rPr>
        <w:rFonts w:ascii="Palatino Linotype" w:eastAsia="Palatino Linotype" w:hAnsi="Palatino Linotype" w:cs="Palatino Linotype"/>
        <w:b/>
        <w:bCs/>
        <w:color w:val="000000"/>
        <w:sz w:val="22"/>
        <w:szCs w:val="22"/>
      </w:rPr>
      <w:instrText>PAGE</w:instrText>
    </w:r>
    <w:r>
      <w:rPr>
        <w:rFonts w:ascii="Palatino Linotype" w:eastAsia="Palatino Linotype" w:hAnsi="Palatino Linotype" w:cs="Palatino Linotype"/>
        <w:b/>
        <w:bCs/>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bCs/>
        <w:color w:val="000000"/>
        <w:sz w:val="22"/>
        <w:szCs w:val="22"/>
      </w:rPr>
      <w:fldChar w:fldCharType="begin"/>
    </w:r>
    <w:r>
      <w:rPr>
        <w:rFonts w:ascii="Palatino Linotype" w:eastAsia="Palatino Linotype" w:hAnsi="Palatino Linotype" w:cs="Palatino Linotype"/>
        <w:b/>
        <w:bCs/>
        <w:color w:val="000000"/>
        <w:sz w:val="22"/>
        <w:szCs w:val="22"/>
      </w:rPr>
      <w:instrText>NUMPAGES</w:instrText>
    </w:r>
    <w:r w:rsidR="00E84B11">
      <w:rPr>
        <w:rFonts w:ascii="Palatino Linotype" w:eastAsia="Palatino Linotype" w:hAnsi="Palatino Linotype" w:cs="Palatino Linotype"/>
        <w:b/>
        <w:bCs/>
        <w:color w:val="000000"/>
        <w:sz w:val="22"/>
        <w:szCs w:val="22"/>
      </w:rPr>
      <w:fldChar w:fldCharType="separate"/>
    </w:r>
    <w:r w:rsidR="00E84B11">
      <w:rPr>
        <w:rFonts w:ascii="Palatino Linotype" w:eastAsia="Palatino Linotype" w:hAnsi="Palatino Linotype" w:cs="Palatino Linotype"/>
        <w:b/>
        <w:bCs/>
        <w:noProof/>
        <w:color w:val="000000"/>
        <w:sz w:val="22"/>
        <w:szCs w:val="22"/>
      </w:rPr>
      <w:t>26</w:t>
    </w:r>
    <w:r>
      <w:rPr>
        <w:rFonts w:ascii="Palatino Linotype" w:eastAsia="Palatino Linotype" w:hAnsi="Palatino Linotype" w:cs="Palatino Linotype"/>
        <w:b/>
        <w:bCs/>
        <w:color w:val="000000"/>
        <w:sz w:val="22"/>
        <w:szCs w:val="22"/>
      </w:rPr>
      <w:fldChar w:fldCharType="end"/>
    </w:r>
  </w:p>
  <w:p w:rsidR="009158C9" w:rsidRDefault="009158C9">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58C9" w:rsidRDefault="00FC5202">
    <w:pPr>
      <w:pBdr>
        <w:top w:val="nil"/>
        <w:left w:val="nil"/>
        <w:bottom w:val="nil"/>
        <w:right w:val="nil"/>
        <w:between w:val="nil"/>
      </w:pBdr>
      <w:tabs>
        <w:tab w:val="center" w:pos="4419"/>
        <w:tab w:val="right" w:pos="8838"/>
      </w:tabs>
      <w:jc w:val="right"/>
      <w:rPr>
        <w:color w:val="000000"/>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b/>
        <w:bCs/>
        <w:color w:val="000000"/>
        <w:sz w:val="22"/>
        <w:szCs w:val="22"/>
      </w:rPr>
      <w:fldChar w:fldCharType="begin"/>
    </w:r>
    <w:r>
      <w:rPr>
        <w:rFonts w:ascii="Palatino Linotype" w:eastAsia="Palatino Linotype" w:hAnsi="Palatino Linotype" w:cs="Palatino Linotype"/>
        <w:b/>
        <w:bCs/>
        <w:color w:val="000000"/>
        <w:sz w:val="22"/>
        <w:szCs w:val="22"/>
      </w:rPr>
      <w:instrText>PAGE</w:instrText>
    </w:r>
    <w:r>
      <w:rPr>
        <w:rFonts w:ascii="Palatino Linotype" w:eastAsia="Palatino Linotype" w:hAnsi="Palatino Linotype" w:cs="Palatino Linotype"/>
        <w:b/>
        <w:bCs/>
        <w:color w:val="000000"/>
        <w:sz w:val="22"/>
        <w:szCs w:val="22"/>
      </w:rPr>
      <w:fldChar w:fldCharType="separate"/>
    </w:r>
    <w:r w:rsidR="00E84B11">
      <w:rPr>
        <w:rFonts w:ascii="Palatino Linotype" w:eastAsia="Palatino Linotype" w:hAnsi="Palatino Linotype" w:cs="Palatino Linotype"/>
        <w:b/>
        <w:bCs/>
        <w:noProof/>
        <w:color w:val="000000"/>
        <w:sz w:val="22"/>
        <w:szCs w:val="22"/>
      </w:rPr>
      <w:t>25</w:t>
    </w:r>
    <w:r>
      <w:rPr>
        <w:rFonts w:ascii="Palatino Linotype" w:eastAsia="Palatino Linotype" w:hAnsi="Palatino Linotype" w:cs="Palatino Linotype"/>
        <w:b/>
        <w:bCs/>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bCs/>
        <w:color w:val="000000"/>
        <w:sz w:val="22"/>
        <w:szCs w:val="22"/>
      </w:rPr>
      <w:fldChar w:fldCharType="begin"/>
    </w:r>
    <w:r>
      <w:rPr>
        <w:rFonts w:ascii="Palatino Linotype" w:eastAsia="Palatino Linotype" w:hAnsi="Palatino Linotype" w:cs="Palatino Linotype"/>
        <w:b/>
        <w:bCs/>
        <w:color w:val="000000"/>
        <w:sz w:val="22"/>
        <w:szCs w:val="22"/>
      </w:rPr>
      <w:instrText>NUMPAGES</w:instrText>
    </w:r>
    <w:r>
      <w:rPr>
        <w:rFonts w:ascii="Palatino Linotype" w:eastAsia="Palatino Linotype" w:hAnsi="Palatino Linotype" w:cs="Palatino Linotype"/>
        <w:b/>
        <w:bCs/>
        <w:color w:val="000000"/>
        <w:sz w:val="22"/>
        <w:szCs w:val="22"/>
      </w:rPr>
      <w:fldChar w:fldCharType="separate"/>
    </w:r>
    <w:r w:rsidR="00E84B11">
      <w:rPr>
        <w:rFonts w:ascii="Palatino Linotype" w:eastAsia="Palatino Linotype" w:hAnsi="Palatino Linotype" w:cs="Palatino Linotype"/>
        <w:b/>
        <w:bCs/>
        <w:noProof/>
        <w:color w:val="000000"/>
        <w:sz w:val="22"/>
        <w:szCs w:val="22"/>
      </w:rPr>
      <w:t>26</w:t>
    </w:r>
    <w:r>
      <w:rPr>
        <w:rFonts w:ascii="Palatino Linotype" w:eastAsia="Palatino Linotype" w:hAnsi="Palatino Linotype" w:cs="Palatino Linotype"/>
        <w:b/>
        <w:bCs/>
        <w:color w:val="000000"/>
        <w:sz w:val="22"/>
        <w:szCs w:val="22"/>
      </w:rPr>
      <w:fldChar w:fldCharType="end"/>
    </w:r>
  </w:p>
  <w:p w:rsidR="009158C9" w:rsidRDefault="009158C9">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58C9" w:rsidRDefault="00FC5202">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b/>
        <w:bCs/>
        <w:color w:val="000000"/>
        <w:sz w:val="22"/>
        <w:szCs w:val="22"/>
      </w:rPr>
      <w:fldChar w:fldCharType="begin"/>
    </w:r>
    <w:r>
      <w:rPr>
        <w:rFonts w:ascii="Palatino Linotype" w:eastAsia="Palatino Linotype" w:hAnsi="Palatino Linotype" w:cs="Palatino Linotype"/>
        <w:b/>
        <w:bCs/>
        <w:color w:val="000000"/>
        <w:sz w:val="22"/>
        <w:szCs w:val="22"/>
      </w:rPr>
      <w:instrText>PAGE</w:instrText>
    </w:r>
    <w:r>
      <w:rPr>
        <w:rFonts w:ascii="Palatino Linotype" w:eastAsia="Palatino Linotype" w:hAnsi="Palatino Linotype" w:cs="Palatino Linotype"/>
        <w:b/>
        <w:bCs/>
        <w:color w:val="000000"/>
        <w:sz w:val="22"/>
        <w:szCs w:val="22"/>
      </w:rPr>
      <w:fldChar w:fldCharType="separate"/>
    </w:r>
    <w:r w:rsidR="00E84B11">
      <w:rPr>
        <w:rFonts w:ascii="Palatino Linotype" w:eastAsia="Palatino Linotype" w:hAnsi="Palatino Linotype" w:cs="Palatino Linotype"/>
        <w:b/>
        <w:bCs/>
        <w:noProof/>
        <w:color w:val="000000"/>
        <w:sz w:val="22"/>
        <w:szCs w:val="22"/>
      </w:rPr>
      <w:t>1</w:t>
    </w:r>
    <w:r>
      <w:rPr>
        <w:rFonts w:ascii="Palatino Linotype" w:eastAsia="Palatino Linotype" w:hAnsi="Palatino Linotype" w:cs="Palatino Linotype"/>
        <w:b/>
        <w:bCs/>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bCs/>
        <w:color w:val="000000"/>
        <w:sz w:val="22"/>
        <w:szCs w:val="22"/>
      </w:rPr>
      <w:fldChar w:fldCharType="begin"/>
    </w:r>
    <w:r>
      <w:rPr>
        <w:rFonts w:ascii="Palatino Linotype" w:eastAsia="Palatino Linotype" w:hAnsi="Palatino Linotype" w:cs="Palatino Linotype"/>
        <w:b/>
        <w:bCs/>
        <w:color w:val="000000"/>
        <w:sz w:val="22"/>
        <w:szCs w:val="22"/>
      </w:rPr>
      <w:instrText>NUMPAGES</w:instrText>
    </w:r>
    <w:r>
      <w:rPr>
        <w:rFonts w:ascii="Palatino Linotype" w:eastAsia="Palatino Linotype" w:hAnsi="Palatino Linotype" w:cs="Palatino Linotype"/>
        <w:b/>
        <w:bCs/>
        <w:color w:val="000000"/>
        <w:sz w:val="22"/>
        <w:szCs w:val="22"/>
      </w:rPr>
      <w:fldChar w:fldCharType="separate"/>
    </w:r>
    <w:r w:rsidR="00E84B11">
      <w:rPr>
        <w:rFonts w:ascii="Palatino Linotype" w:eastAsia="Palatino Linotype" w:hAnsi="Palatino Linotype" w:cs="Palatino Linotype"/>
        <w:b/>
        <w:bCs/>
        <w:noProof/>
        <w:color w:val="000000"/>
        <w:sz w:val="22"/>
        <w:szCs w:val="22"/>
      </w:rPr>
      <w:t>26</w:t>
    </w:r>
    <w:r>
      <w:rPr>
        <w:rFonts w:ascii="Palatino Linotype" w:eastAsia="Palatino Linotype" w:hAnsi="Palatino Linotype" w:cs="Palatino Linotype"/>
        <w:b/>
        <w:bCs/>
        <w:color w:val="000000"/>
        <w:sz w:val="22"/>
        <w:szCs w:val="22"/>
      </w:rPr>
      <w:fldChar w:fldCharType="end"/>
    </w:r>
  </w:p>
  <w:p w:rsidR="009158C9" w:rsidRDefault="009158C9">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609C" w:rsidRDefault="0081609C">
      <w:r>
        <w:separator/>
      </w:r>
    </w:p>
  </w:footnote>
  <w:footnote w:type="continuationSeparator" w:id="0">
    <w:p w:rsidR="0081609C" w:rsidRDefault="008160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58C9" w:rsidRDefault="009158C9">
    <w:pPr>
      <w:widowControl w:val="0"/>
      <w:pBdr>
        <w:top w:val="nil"/>
        <w:left w:val="nil"/>
        <w:bottom w:val="nil"/>
        <w:right w:val="nil"/>
        <w:between w:val="nil"/>
      </w:pBdr>
      <w:spacing w:line="276" w:lineRule="auto"/>
    </w:pPr>
  </w:p>
  <w:tbl>
    <w:tblPr>
      <w:tblStyle w:val="a5"/>
      <w:tblW w:w="9705" w:type="dxa"/>
      <w:tblInd w:w="0" w:type="dxa"/>
      <w:tblLayout w:type="fixed"/>
      <w:tblLook w:val="0400" w:firstRow="0" w:lastRow="0" w:firstColumn="0" w:lastColumn="0" w:noHBand="0" w:noVBand="1"/>
    </w:tblPr>
    <w:tblGrid>
      <w:gridCol w:w="2972"/>
      <w:gridCol w:w="6733"/>
    </w:tblGrid>
    <w:tr w:rsidR="009158C9">
      <w:trPr>
        <w:trHeight w:val="1435"/>
      </w:trPr>
      <w:tc>
        <w:tcPr>
          <w:tcW w:w="0" w:type="auto"/>
        </w:tcPr>
        <w:p w:rsidR="009158C9" w:rsidRDefault="009158C9">
          <w:pPr>
            <w:tabs>
              <w:tab w:val="right" w:pos="4273"/>
            </w:tabs>
            <w:spacing w:line="256" w:lineRule="auto"/>
            <w:rPr>
              <w:rFonts w:ascii="Garamond" w:eastAsia="Garamond" w:hAnsi="Garamond" w:cs="Garamond"/>
              <w:sz w:val="22"/>
              <w:szCs w:val="22"/>
            </w:rPr>
          </w:pPr>
        </w:p>
      </w:tc>
      <w:tc>
        <w:tcPr>
          <w:tcW w:w="0" w:type="auto"/>
        </w:tcPr>
        <w:p w:rsidR="009158C9" w:rsidRDefault="009158C9">
          <w:pPr>
            <w:widowControl w:val="0"/>
            <w:pBdr>
              <w:top w:val="nil"/>
              <w:left w:val="nil"/>
              <w:bottom w:val="nil"/>
              <w:right w:val="nil"/>
              <w:between w:val="nil"/>
            </w:pBdr>
            <w:spacing w:line="276" w:lineRule="auto"/>
            <w:rPr>
              <w:rFonts w:ascii="Garamond" w:eastAsia="Garamond" w:hAnsi="Garamond" w:cs="Garamond"/>
              <w:sz w:val="22"/>
              <w:szCs w:val="22"/>
            </w:rPr>
          </w:pPr>
        </w:p>
        <w:tbl>
          <w:tblPr>
            <w:tblStyle w:val="a6"/>
            <w:tblW w:w="5535" w:type="dxa"/>
            <w:tblInd w:w="322" w:type="dxa"/>
            <w:tblBorders>
              <w:top w:val="nil"/>
              <w:left w:val="nil"/>
              <w:bottom w:val="nil"/>
              <w:right w:val="nil"/>
              <w:insideH w:val="nil"/>
              <w:insideV w:val="nil"/>
            </w:tblBorders>
            <w:tblLayout w:type="fixed"/>
            <w:tblLook w:val="0400" w:firstRow="0" w:lastRow="0" w:firstColumn="0" w:lastColumn="0" w:noHBand="0" w:noVBand="1"/>
          </w:tblPr>
          <w:tblGrid>
            <w:gridCol w:w="2447"/>
            <w:gridCol w:w="3088"/>
          </w:tblGrid>
          <w:tr w:rsidR="009158C9">
            <w:trPr>
              <w:trHeight w:val="144"/>
            </w:trPr>
            <w:tc>
              <w:tcPr>
                <w:tcW w:w="0" w:type="auto"/>
              </w:tcPr>
              <w:p w:rsidR="009158C9" w:rsidRDefault="00FC5202">
                <w:pPr>
                  <w:tabs>
                    <w:tab w:val="right" w:pos="8838"/>
                  </w:tabs>
                  <w:ind w:left="-69"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0" w:type="auto"/>
              </w:tcPr>
              <w:p w:rsidR="009158C9" w:rsidRDefault="00FC5202">
                <w:pPr>
                  <w:tabs>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02946/INFOEM/IP/RR/2021</w:t>
                </w:r>
              </w:p>
            </w:tc>
          </w:tr>
          <w:tr w:rsidR="009158C9">
            <w:trPr>
              <w:trHeight w:val="283"/>
            </w:trPr>
            <w:tc>
              <w:tcPr>
                <w:tcW w:w="0" w:type="auto"/>
              </w:tcPr>
              <w:p w:rsidR="009158C9" w:rsidRDefault="00FC5202">
                <w:pPr>
                  <w:tabs>
                    <w:tab w:val="right" w:pos="8838"/>
                  </w:tabs>
                  <w:ind w:left="-74"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0" w:type="auto"/>
              </w:tcPr>
              <w:p w:rsidR="009158C9" w:rsidRDefault="00FC5202">
                <w:pPr>
                  <w:tabs>
                    <w:tab w:val="left" w:pos="2834"/>
                    <w:tab w:val="right" w:pos="8838"/>
                  </w:tabs>
                  <w:ind w:left="-74" w:right="-105"/>
                  <w:jc w:val="both"/>
                  <w:rPr>
                    <w:rFonts w:ascii="Palatino Linotype" w:eastAsia="Palatino Linotype" w:hAnsi="Palatino Linotype" w:cs="Palatino Linotype"/>
                    <w:b/>
                    <w:bCs/>
                    <w:sz w:val="22"/>
                    <w:szCs w:val="22"/>
                  </w:rPr>
                </w:pPr>
                <w:r>
                  <w:rPr>
                    <w:rFonts w:ascii="Palatino Linotype" w:eastAsia="Palatino Linotype" w:hAnsi="Palatino Linotype" w:cs="Palatino Linotype"/>
                    <w:sz w:val="22"/>
                    <w:szCs w:val="22"/>
                  </w:rPr>
                  <w:t>Ayuntamiento de San Antonio la Isla</w:t>
                </w:r>
              </w:p>
            </w:tc>
          </w:tr>
          <w:tr w:rsidR="009158C9">
            <w:trPr>
              <w:trHeight w:val="283"/>
            </w:trPr>
            <w:tc>
              <w:tcPr>
                <w:tcW w:w="0" w:type="auto"/>
              </w:tcPr>
              <w:p w:rsidR="009158C9" w:rsidRDefault="00FC5202">
                <w:pPr>
                  <w:tabs>
                    <w:tab w:val="right" w:pos="8838"/>
                  </w:tabs>
                  <w:ind w:left="-74"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Comisionado Ponente:</w:t>
                </w:r>
              </w:p>
            </w:tc>
            <w:tc>
              <w:tcPr>
                <w:tcW w:w="0" w:type="auto"/>
              </w:tcPr>
              <w:p w:rsidR="009158C9" w:rsidRDefault="00FC5202">
                <w:pPr>
                  <w:tabs>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p w:rsidR="009158C9" w:rsidRDefault="009158C9">
                <w:pPr>
                  <w:tabs>
                    <w:tab w:val="right" w:pos="8838"/>
                  </w:tabs>
                  <w:ind w:left="-74" w:right="-105"/>
                  <w:jc w:val="both"/>
                  <w:rPr>
                    <w:rFonts w:ascii="Palatino Linotype" w:eastAsia="Palatino Linotype" w:hAnsi="Palatino Linotype" w:cs="Palatino Linotype"/>
                    <w:b/>
                    <w:bCs/>
                    <w:sz w:val="22"/>
                    <w:szCs w:val="22"/>
                  </w:rPr>
                </w:pPr>
              </w:p>
            </w:tc>
          </w:tr>
        </w:tbl>
        <w:p w:rsidR="009158C9" w:rsidRDefault="009158C9">
          <w:pPr>
            <w:tabs>
              <w:tab w:val="right" w:pos="8838"/>
            </w:tabs>
            <w:spacing w:line="256" w:lineRule="auto"/>
            <w:ind w:left="-28"/>
            <w:jc w:val="both"/>
            <w:rPr>
              <w:rFonts w:ascii="Arial" w:eastAsia="Arial" w:hAnsi="Arial" w:cs="Arial"/>
              <w:b/>
              <w:bCs/>
              <w:sz w:val="22"/>
              <w:szCs w:val="22"/>
            </w:rPr>
          </w:pPr>
        </w:p>
      </w:tc>
    </w:tr>
  </w:tbl>
  <w:p w:rsidR="009158C9" w:rsidRDefault="00FC5202">
    <w:pPr>
      <w:pBdr>
        <w:top w:val="nil"/>
        <w:left w:val="nil"/>
        <w:bottom w:val="nil"/>
        <w:right w:val="nil"/>
        <w:between w:val="nil"/>
      </w:pBdr>
      <w:tabs>
        <w:tab w:val="center" w:pos="4419"/>
        <w:tab w:val="right" w:pos="8838"/>
      </w:tabs>
      <w:rPr>
        <w:color w:val="000000"/>
      </w:rPr>
    </w:pPr>
    <w:r>
      <w:rPr>
        <w:rFonts w:ascii="Garamond" w:eastAsia="Garamond" w:hAnsi="Garamond" w:cs="Garamond"/>
        <w:noProof/>
        <w:color w:val="000000"/>
        <w:sz w:val="22"/>
        <w:szCs w:val="22"/>
      </w:rPr>
      <w:drawing>
        <wp:anchor distT="0" distB="0" distL="0" distR="0" simplePos="0" relativeHeight="251657728" behindDoc="1" locked="0" layoutInCell="1" hidden="0" allowOverlap="1">
          <wp:simplePos x="0" y="0"/>
          <wp:positionH relativeFrom="margin">
            <wp:posOffset>-1381123</wp:posOffset>
          </wp:positionH>
          <wp:positionV relativeFrom="margin">
            <wp:posOffset>-1611628</wp:posOffset>
          </wp:positionV>
          <wp:extent cx="5612130" cy="7308215"/>
          <wp:effectExtent l="0" t="0" r="0" b="0"/>
          <wp:wrapNone/>
          <wp:docPr id="30647865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612130" cy="7308215"/>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58C9" w:rsidRDefault="009158C9">
    <w:pPr>
      <w:widowControl w:val="0"/>
      <w:pBdr>
        <w:top w:val="nil"/>
        <w:left w:val="nil"/>
        <w:bottom w:val="nil"/>
        <w:right w:val="nil"/>
        <w:between w:val="nil"/>
      </w:pBdr>
      <w:spacing w:line="276" w:lineRule="auto"/>
      <w:rPr>
        <w:color w:val="000000"/>
      </w:rPr>
    </w:pPr>
  </w:p>
  <w:tbl>
    <w:tblPr>
      <w:tblStyle w:val="a7"/>
      <w:tblW w:w="9073" w:type="dxa"/>
      <w:tblInd w:w="0" w:type="dxa"/>
      <w:tblLayout w:type="fixed"/>
      <w:tblLook w:val="0400" w:firstRow="0" w:lastRow="0" w:firstColumn="0" w:lastColumn="0" w:noHBand="0" w:noVBand="1"/>
    </w:tblPr>
    <w:tblGrid>
      <w:gridCol w:w="1276"/>
      <w:gridCol w:w="7797"/>
    </w:tblGrid>
    <w:tr w:rsidR="009158C9">
      <w:trPr>
        <w:trHeight w:val="1435"/>
      </w:trPr>
      <w:tc>
        <w:tcPr>
          <w:tcW w:w="1276" w:type="dxa"/>
        </w:tcPr>
        <w:p w:rsidR="009158C9" w:rsidRDefault="009158C9">
          <w:pPr>
            <w:tabs>
              <w:tab w:val="right" w:pos="4273"/>
            </w:tabs>
            <w:spacing w:line="256" w:lineRule="auto"/>
            <w:rPr>
              <w:rFonts w:ascii="Garamond" w:eastAsia="Garamond" w:hAnsi="Garamond" w:cs="Garamond"/>
              <w:sz w:val="22"/>
              <w:szCs w:val="22"/>
            </w:rPr>
          </w:pPr>
        </w:p>
      </w:tc>
      <w:tc>
        <w:tcPr>
          <w:tcW w:w="7797" w:type="dxa"/>
        </w:tcPr>
        <w:p w:rsidR="009158C9" w:rsidRDefault="009158C9">
          <w:pPr>
            <w:rPr>
              <w:sz w:val="28"/>
              <w:szCs w:val="28"/>
            </w:rPr>
          </w:pPr>
        </w:p>
        <w:tbl>
          <w:tblPr>
            <w:tblStyle w:val="a8"/>
            <w:tblW w:w="8495" w:type="dxa"/>
            <w:tblInd w:w="1449" w:type="dxa"/>
            <w:tblBorders>
              <w:top w:val="nil"/>
              <w:left w:val="nil"/>
              <w:bottom w:val="nil"/>
              <w:right w:val="nil"/>
              <w:insideH w:val="nil"/>
              <w:insideV w:val="nil"/>
            </w:tblBorders>
            <w:tblLayout w:type="fixed"/>
            <w:tblLook w:val="0400" w:firstRow="0" w:lastRow="0" w:firstColumn="0" w:lastColumn="0" w:noHBand="0" w:noVBand="1"/>
          </w:tblPr>
          <w:tblGrid>
            <w:gridCol w:w="3263"/>
            <w:gridCol w:w="2836"/>
            <w:gridCol w:w="2396"/>
          </w:tblGrid>
          <w:tr w:rsidR="009158C9">
            <w:trPr>
              <w:trHeight w:val="194"/>
            </w:trPr>
            <w:tc>
              <w:tcPr>
                <w:tcW w:w="3263" w:type="dxa"/>
              </w:tcPr>
              <w:p w:rsidR="009158C9" w:rsidRDefault="00FC5202">
                <w:pPr>
                  <w:tabs>
                    <w:tab w:val="right" w:pos="8838"/>
                  </w:tabs>
                  <w:ind w:left="-114"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Recurso de Revisión:</w:t>
                </w:r>
              </w:p>
            </w:tc>
            <w:tc>
              <w:tcPr>
                <w:tcW w:w="2836" w:type="dxa"/>
              </w:tcPr>
              <w:p w:rsidR="009158C9" w:rsidRDefault="00FC5202">
                <w:pPr>
                  <w:tabs>
                    <w:tab w:val="right" w:pos="8838"/>
                  </w:tabs>
                  <w:ind w:left="-11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10146/INFOEM/IP/RR/2025</w:t>
                </w:r>
              </w:p>
            </w:tc>
            <w:tc>
              <w:tcPr>
                <w:tcW w:w="2396" w:type="dxa"/>
              </w:tcPr>
              <w:p w:rsidR="009158C9" w:rsidRDefault="009158C9">
                <w:pPr>
                  <w:tabs>
                    <w:tab w:val="right" w:pos="8838"/>
                  </w:tabs>
                  <w:ind w:left="-114" w:right="-105"/>
                  <w:jc w:val="both"/>
                  <w:rPr>
                    <w:rFonts w:ascii="Palatino Linotype" w:eastAsia="Palatino Linotype" w:hAnsi="Palatino Linotype" w:cs="Palatino Linotype"/>
                    <w:sz w:val="22"/>
                    <w:szCs w:val="22"/>
                  </w:rPr>
                </w:pPr>
              </w:p>
            </w:tc>
          </w:tr>
          <w:tr w:rsidR="009158C9">
            <w:trPr>
              <w:trHeight w:val="88"/>
            </w:trPr>
            <w:tc>
              <w:tcPr>
                <w:tcW w:w="3263" w:type="dxa"/>
              </w:tcPr>
              <w:p w:rsidR="009158C9" w:rsidRDefault="00FC5202">
                <w:pPr>
                  <w:tabs>
                    <w:tab w:val="right" w:pos="8838"/>
                  </w:tabs>
                  <w:ind w:left="-114"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Sujeto Obligado:</w:t>
                </w:r>
              </w:p>
            </w:tc>
            <w:tc>
              <w:tcPr>
                <w:tcW w:w="2836" w:type="dxa"/>
              </w:tcPr>
              <w:p w:rsidR="009158C9" w:rsidRDefault="00FC5202">
                <w:pPr>
                  <w:tabs>
                    <w:tab w:val="left" w:pos="2834"/>
                    <w:tab w:val="right" w:pos="8838"/>
                  </w:tabs>
                  <w:ind w:left="-114"/>
                  <w:jc w:val="both"/>
                  <w:rPr>
                    <w:rFonts w:ascii="Palatino Linotype" w:eastAsia="Palatino Linotype" w:hAnsi="Palatino Linotype" w:cs="Palatino Linotype"/>
                    <w:b/>
                    <w:bCs/>
                    <w:sz w:val="32"/>
                    <w:szCs w:val="32"/>
                  </w:rPr>
                </w:pPr>
                <w:r>
                  <w:rPr>
                    <w:rFonts w:ascii="Palatino Linotype" w:eastAsia="Palatino Linotype" w:hAnsi="Palatino Linotype" w:cs="Palatino Linotype"/>
                    <w:sz w:val="22"/>
                    <w:szCs w:val="22"/>
                  </w:rPr>
                  <w:t>Secretaría de la Contraloría</w:t>
                </w:r>
              </w:p>
            </w:tc>
            <w:tc>
              <w:tcPr>
                <w:tcW w:w="2396" w:type="dxa"/>
              </w:tcPr>
              <w:p w:rsidR="009158C9" w:rsidRDefault="009158C9">
                <w:pPr>
                  <w:tabs>
                    <w:tab w:val="left" w:pos="2834"/>
                    <w:tab w:val="right" w:pos="8838"/>
                  </w:tabs>
                  <w:ind w:left="-114"/>
                  <w:jc w:val="both"/>
                  <w:rPr>
                    <w:rFonts w:ascii="Palatino Linotype" w:eastAsia="Palatino Linotype" w:hAnsi="Palatino Linotype" w:cs="Palatino Linotype"/>
                    <w:sz w:val="22"/>
                    <w:szCs w:val="22"/>
                  </w:rPr>
                </w:pPr>
              </w:p>
            </w:tc>
          </w:tr>
          <w:tr w:rsidR="009158C9">
            <w:trPr>
              <w:trHeight w:val="383"/>
            </w:trPr>
            <w:tc>
              <w:tcPr>
                <w:tcW w:w="3263" w:type="dxa"/>
              </w:tcPr>
              <w:p w:rsidR="009158C9" w:rsidRDefault="00FC5202">
                <w:pPr>
                  <w:tabs>
                    <w:tab w:val="right" w:pos="8838"/>
                  </w:tabs>
                  <w:ind w:left="-114"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Comisionado Ponente:</w:t>
                </w:r>
              </w:p>
            </w:tc>
            <w:tc>
              <w:tcPr>
                <w:tcW w:w="2836" w:type="dxa"/>
              </w:tcPr>
              <w:p w:rsidR="009158C9" w:rsidRDefault="00FC5202">
                <w:pPr>
                  <w:tabs>
                    <w:tab w:val="right" w:pos="8838"/>
                  </w:tabs>
                  <w:ind w:left="-11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tc>
            <w:tc>
              <w:tcPr>
                <w:tcW w:w="2396" w:type="dxa"/>
              </w:tcPr>
              <w:p w:rsidR="009158C9" w:rsidRDefault="009158C9">
                <w:pPr>
                  <w:tabs>
                    <w:tab w:val="right" w:pos="8838"/>
                  </w:tabs>
                  <w:ind w:left="-114" w:right="-105"/>
                  <w:jc w:val="both"/>
                  <w:rPr>
                    <w:rFonts w:ascii="Palatino Linotype" w:eastAsia="Palatino Linotype" w:hAnsi="Palatino Linotype" w:cs="Palatino Linotype"/>
                    <w:sz w:val="22"/>
                    <w:szCs w:val="22"/>
                  </w:rPr>
                </w:pPr>
              </w:p>
            </w:tc>
          </w:tr>
        </w:tbl>
        <w:p w:rsidR="009158C9" w:rsidRDefault="009158C9">
          <w:pPr>
            <w:tabs>
              <w:tab w:val="right" w:pos="8838"/>
            </w:tabs>
            <w:spacing w:line="256" w:lineRule="auto"/>
            <w:ind w:left="-28"/>
            <w:jc w:val="both"/>
            <w:rPr>
              <w:rFonts w:ascii="Arial" w:eastAsia="Arial" w:hAnsi="Arial" w:cs="Arial"/>
              <w:b/>
              <w:bCs/>
              <w:sz w:val="22"/>
              <w:szCs w:val="22"/>
            </w:rPr>
          </w:pPr>
        </w:p>
      </w:tc>
    </w:tr>
  </w:tbl>
  <w:p w:rsidR="009158C9" w:rsidRDefault="00FC5202">
    <w:pPr>
      <w:pBdr>
        <w:top w:val="nil"/>
        <w:left w:val="nil"/>
        <w:bottom w:val="nil"/>
        <w:right w:val="nil"/>
        <w:between w:val="nil"/>
      </w:pBdr>
      <w:tabs>
        <w:tab w:val="center" w:pos="4419"/>
        <w:tab w:val="right" w:pos="8838"/>
      </w:tabs>
      <w:rPr>
        <w:color w:val="000000"/>
      </w:rPr>
    </w:pPr>
    <w:r>
      <w:rPr>
        <w:rFonts w:ascii="Garamond" w:eastAsia="Garamond" w:hAnsi="Garamond" w:cs="Garamond"/>
        <w:noProof/>
        <w:color w:val="000000"/>
        <w:sz w:val="22"/>
        <w:szCs w:val="22"/>
      </w:rPr>
      <w:drawing>
        <wp:anchor distT="0" distB="0" distL="0" distR="0" simplePos="0" relativeHeight="251656704" behindDoc="1" locked="0" layoutInCell="1" hidden="0" allowOverlap="1">
          <wp:simplePos x="0" y="0"/>
          <wp:positionH relativeFrom="margin">
            <wp:posOffset>-1153157</wp:posOffset>
          </wp:positionH>
          <wp:positionV relativeFrom="margin">
            <wp:posOffset>-1539238</wp:posOffset>
          </wp:positionV>
          <wp:extent cx="7835900" cy="10203815"/>
          <wp:effectExtent l="0" t="0" r="0" b="0"/>
          <wp:wrapNone/>
          <wp:docPr id="30647865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835900" cy="10203815"/>
                  </a:xfrm>
                  <a:prstGeom prst="rect">
                    <a:avLst/>
                  </a:prstGeom>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58C9" w:rsidRDefault="0081609C">
    <w:pPr>
      <w:widowControl w:val="0"/>
      <w:pBdr>
        <w:top w:val="nil"/>
        <w:left w:val="nil"/>
        <w:bottom w:val="nil"/>
        <w:right w:val="nil"/>
        <w:between w:val="nil"/>
      </w:pBdr>
      <w:spacing w:line="276" w:lineRule="auto"/>
      <w:rPr>
        <w:color w:val="000000"/>
      </w:rPr>
    </w:pPr>
    <w:r>
      <w:rPr>
        <w:rFonts w:ascii="Garamond" w:eastAsia="Garamond" w:hAnsi="Garamond" w:cs="Garamond"/>
        <w:color w:val="000000"/>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85.8pt;margin-top:-120.95pt;width:663.5pt;height:12in;z-index:-251657728;mso-position-horizontal:absolute;mso-position-horizontal-relative:margin;mso-position-vertical:absolute;mso-position-vertical-relative:margin">
          <v:imagedata r:id="rId1" o:title="image1"/>
          <w10:wrap anchorx="margin" anchory="margin"/>
        </v:shape>
      </w:pict>
    </w:r>
  </w:p>
  <w:tbl>
    <w:tblPr>
      <w:tblStyle w:val="a9"/>
      <w:tblW w:w="9214" w:type="dxa"/>
      <w:tblInd w:w="0" w:type="dxa"/>
      <w:tblLayout w:type="fixed"/>
      <w:tblLook w:val="0400" w:firstRow="0" w:lastRow="0" w:firstColumn="0" w:lastColumn="0" w:noHBand="0" w:noVBand="1"/>
    </w:tblPr>
    <w:tblGrid>
      <w:gridCol w:w="1560"/>
      <w:gridCol w:w="7654"/>
    </w:tblGrid>
    <w:tr w:rsidR="009158C9">
      <w:trPr>
        <w:trHeight w:val="1435"/>
      </w:trPr>
      <w:tc>
        <w:tcPr>
          <w:tcW w:w="1560" w:type="dxa"/>
        </w:tcPr>
        <w:p w:rsidR="009158C9" w:rsidRDefault="009158C9">
          <w:pPr>
            <w:tabs>
              <w:tab w:val="right" w:pos="4273"/>
            </w:tabs>
            <w:spacing w:line="256" w:lineRule="auto"/>
            <w:rPr>
              <w:rFonts w:ascii="Garamond" w:eastAsia="Garamond" w:hAnsi="Garamond" w:cs="Garamond"/>
              <w:sz w:val="22"/>
              <w:szCs w:val="22"/>
            </w:rPr>
          </w:pPr>
        </w:p>
      </w:tc>
      <w:tc>
        <w:tcPr>
          <w:tcW w:w="7654" w:type="dxa"/>
        </w:tcPr>
        <w:p w:rsidR="009158C9" w:rsidRDefault="009158C9">
          <w:pPr>
            <w:widowControl w:val="0"/>
            <w:pBdr>
              <w:top w:val="nil"/>
              <w:left w:val="nil"/>
              <w:bottom w:val="nil"/>
              <w:right w:val="nil"/>
              <w:between w:val="nil"/>
            </w:pBdr>
            <w:spacing w:line="276" w:lineRule="auto"/>
            <w:rPr>
              <w:rFonts w:ascii="Garamond" w:eastAsia="Garamond" w:hAnsi="Garamond" w:cs="Garamond"/>
              <w:sz w:val="22"/>
              <w:szCs w:val="22"/>
            </w:rPr>
          </w:pPr>
        </w:p>
        <w:tbl>
          <w:tblPr>
            <w:tblStyle w:val="aa"/>
            <w:tblW w:w="7111" w:type="dxa"/>
            <w:tblInd w:w="607" w:type="dxa"/>
            <w:tblBorders>
              <w:top w:val="nil"/>
              <w:left w:val="nil"/>
              <w:bottom w:val="nil"/>
              <w:right w:val="nil"/>
              <w:insideH w:val="nil"/>
              <w:insideV w:val="nil"/>
            </w:tblBorders>
            <w:tblLayout w:type="fixed"/>
            <w:tblLook w:val="0400" w:firstRow="0" w:lastRow="0" w:firstColumn="0" w:lastColumn="0" w:noHBand="0" w:noVBand="1"/>
          </w:tblPr>
          <w:tblGrid>
            <w:gridCol w:w="3820"/>
            <w:gridCol w:w="2832"/>
            <w:gridCol w:w="459"/>
          </w:tblGrid>
          <w:tr w:rsidR="009158C9">
            <w:trPr>
              <w:gridAfter w:val="1"/>
              <w:wAfter w:w="459" w:type="dxa"/>
              <w:trHeight w:val="132"/>
            </w:trPr>
            <w:tc>
              <w:tcPr>
                <w:tcW w:w="3820" w:type="dxa"/>
              </w:tcPr>
              <w:p w:rsidR="009158C9" w:rsidRDefault="00FC5202">
                <w:pPr>
                  <w:tabs>
                    <w:tab w:val="right" w:pos="8838"/>
                  </w:tabs>
                  <w:ind w:left="-69"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Recurso de Revisión:</w:t>
                </w:r>
              </w:p>
            </w:tc>
            <w:tc>
              <w:tcPr>
                <w:tcW w:w="2832" w:type="dxa"/>
              </w:tcPr>
              <w:p w:rsidR="009158C9" w:rsidRDefault="00FC5202">
                <w:pPr>
                  <w:tabs>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10146/INFOEM/IP/RR/2025 </w:t>
                </w:r>
              </w:p>
            </w:tc>
          </w:tr>
          <w:tr w:rsidR="009158C9">
            <w:trPr>
              <w:gridAfter w:val="1"/>
              <w:wAfter w:w="459" w:type="dxa"/>
              <w:trHeight w:val="132"/>
            </w:trPr>
            <w:tc>
              <w:tcPr>
                <w:tcW w:w="3820" w:type="dxa"/>
              </w:tcPr>
              <w:p w:rsidR="009158C9" w:rsidRDefault="00FC5202">
                <w:pPr>
                  <w:tabs>
                    <w:tab w:val="right" w:pos="8838"/>
                  </w:tabs>
                  <w:ind w:left="-74"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Recurrente:</w:t>
                </w:r>
              </w:p>
            </w:tc>
            <w:tc>
              <w:tcPr>
                <w:tcW w:w="2832" w:type="dxa"/>
              </w:tcPr>
              <w:p w:rsidR="009158C9" w:rsidRDefault="009158C9">
                <w:pPr>
                  <w:tabs>
                    <w:tab w:val="left" w:pos="3122"/>
                    <w:tab w:val="right" w:pos="8838"/>
                  </w:tabs>
                  <w:ind w:left="-74" w:right="-105"/>
                  <w:jc w:val="both"/>
                  <w:rPr>
                    <w:rFonts w:ascii="Palatino Linotype" w:eastAsia="Palatino Linotype" w:hAnsi="Palatino Linotype" w:cs="Palatino Linotype"/>
                    <w:sz w:val="22"/>
                    <w:szCs w:val="22"/>
                  </w:rPr>
                </w:pPr>
              </w:p>
            </w:tc>
          </w:tr>
          <w:tr w:rsidR="009158C9">
            <w:trPr>
              <w:gridAfter w:val="1"/>
              <w:wAfter w:w="459" w:type="dxa"/>
              <w:trHeight w:val="261"/>
            </w:trPr>
            <w:tc>
              <w:tcPr>
                <w:tcW w:w="3820" w:type="dxa"/>
              </w:tcPr>
              <w:p w:rsidR="009158C9" w:rsidRDefault="00FC5202">
                <w:pPr>
                  <w:tabs>
                    <w:tab w:val="right" w:pos="8838"/>
                  </w:tabs>
                  <w:ind w:left="-74"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Sujeto Obligado:</w:t>
                </w:r>
              </w:p>
            </w:tc>
            <w:tc>
              <w:tcPr>
                <w:tcW w:w="2832" w:type="dxa"/>
              </w:tcPr>
              <w:p w:rsidR="009158C9" w:rsidRDefault="00FC5202">
                <w:pPr>
                  <w:tabs>
                    <w:tab w:val="left" w:pos="2834"/>
                    <w:tab w:val="right" w:pos="8838"/>
                  </w:tabs>
                  <w:ind w:left="-74"/>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Secretaria de la Contraloría</w:t>
                </w:r>
              </w:p>
            </w:tc>
          </w:tr>
          <w:tr w:rsidR="009158C9">
            <w:trPr>
              <w:trHeight w:val="261"/>
            </w:trPr>
            <w:tc>
              <w:tcPr>
                <w:tcW w:w="3820" w:type="dxa"/>
              </w:tcPr>
              <w:p w:rsidR="009158C9" w:rsidRDefault="00FC5202">
                <w:pPr>
                  <w:tabs>
                    <w:tab w:val="right" w:pos="8838"/>
                  </w:tabs>
                  <w:ind w:left="-74"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Comisionado Ponente:</w:t>
                </w:r>
              </w:p>
            </w:tc>
            <w:tc>
              <w:tcPr>
                <w:tcW w:w="3291" w:type="dxa"/>
                <w:gridSpan w:val="2"/>
              </w:tcPr>
              <w:p w:rsidR="009158C9" w:rsidRDefault="00FC5202">
                <w:pPr>
                  <w:tabs>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tc>
          </w:tr>
        </w:tbl>
        <w:p w:rsidR="009158C9" w:rsidRDefault="009158C9">
          <w:pPr>
            <w:tabs>
              <w:tab w:val="right" w:pos="8838"/>
            </w:tabs>
            <w:spacing w:line="256" w:lineRule="auto"/>
            <w:ind w:left="-28"/>
            <w:jc w:val="both"/>
            <w:rPr>
              <w:rFonts w:ascii="Arial" w:eastAsia="Arial" w:hAnsi="Arial" w:cs="Arial"/>
              <w:b/>
              <w:bCs/>
              <w:sz w:val="22"/>
              <w:szCs w:val="22"/>
            </w:rPr>
          </w:pPr>
        </w:p>
      </w:tc>
    </w:tr>
  </w:tbl>
  <w:p w:rsidR="009158C9" w:rsidRDefault="009158C9">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2946B6"/>
    <w:multiLevelType w:val="multilevel"/>
    <w:tmpl w:val="021C62B0"/>
    <w:lvl w:ilvl="0">
      <w:start w:val="1"/>
      <w:numFmt w:val="lowerLetter"/>
      <w:lvlText w:val="%1)"/>
      <w:lvlJc w:val="left"/>
      <w:pPr>
        <w:ind w:left="720" w:hanging="360"/>
      </w:pPr>
      <w:rPr>
        <w:rFonts w:ascii="Times New Roman" w:eastAsia="Times New Roman" w:hAnsi="Times New Roman" w:cs="Times New Roman"/>
        <w:b/>
        <w:bCs/>
        <w:sz w:val="22"/>
        <w:szCs w:val="22"/>
      </w:rPr>
    </w:lvl>
    <w:lvl w:ilvl="1">
      <w:start w:val="1"/>
      <w:numFmt w:val="lowerLetter"/>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left"/>
      <w:pPr>
        <w:ind w:left="3600" w:hanging="360"/>
      </w:pPr>
      <w:rPr>
        <w:rFonts w:ascii="Times New Roman" w:eastAsia="Times New Roman" w:hAnsi="Times New Roman" w:cs="Times New Roman"/>
      </w:rPr>
    </w:lvl>
    <w:lvl w:ilvl="5">
      <w:start w:val="1"/>
      <w:numFmt w:val="lowerRoman"/>
      <w:lvlText w:val="%6."/>
      <w:lvlJc w:val="right"/>
      <w:pPr>
        <w:ind w:left="4320" w:hanging="18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left"/>
      <w:pPr>
        <w:ind w:left="5760" w:hanging="360"/>
      </w:pPr>
      <w:rPr>
        <w:rFonts w:ascii="Times New Roman" w:eastAsia="Times New Roman" w:hAnsi="Times New Roman" w:cs="Times New Roman"/>
      </w:rPr>
    </w:lvl>
    <w:lvl w:ilvl="8">
      <w:start w:val="1"/>
      <w:numFmt w:val="lowerRoman"/>
      <w:lvlText w:val="%9."/>
      <w:lvlJc w:val="right"/>
      <w:pPr>
        <w:ind w:left="6480" w:hanging="180"/>
      </w:pPr>
      <w:rPr>
        <w:rFonts w:ascii="Times New Roman" w:eastAsia="Times New Roman" w:hAnsi="Times New Roman" w:cs="Times New Roman"/>
      </w:rPr>
    </w:lvl>
  </w:abstractNum>
  <w:abstractNum w:abstractNumId="1" w15:restartNumberingAfterBreak="0">
    <w:nsid w:val="38B94B54"/>
    <w:multiLevelType w:val="multilevel"/>
    <w:tmpl w:val="48DA6B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59644CA"/>
    <w:multiLevelType w:val="multilevel"/>
    <w:tmpl w:val="55E47EAA"/>
    <w:lvl w:ilvl="0">
      <w:start w:val="2"/>
      <w:numFmt w:val="bullet"/>
      <w:lvlText w:val="-"/>
      <w:lvlJc w:val="left"/>
      <w:pPr>
        <w:ind w:left="927" w:hanging="360"/>
      </w:pPr>
      <w:rPr>
        <w:rFonts w:ascii="Palatino Linotype" w:eastAsia="Palatino Linotype" w:hAnsi="Palatino Linotype" w:cs="Palatino Linotype"/>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58C9"/>
    <w:rsid w:val="000D0DA7"/>
    <w:rsid w:val="003475EF"/>
    <w:rsid w:val="00361816"/>
    <w:rsid w:val="005C1CCC"/>
    <w:rsid w:val="0081609C"/>
    <w:rsid w:val="009158C9"/>
    <w:rsid w:val="00D070E2"/>
    <w:rsid w:val="00E84B11"/>
    <w:rsid w:val="00FC52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7142C7C3-4E54-46AB-A414-FCDF16C90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360" w:after="80"/>
      <w:outlineLvl w:val="0"/>
    </w:pPr>
    <w:rPr>
      <w:rFonts w:ascii="Calibri" w:eastAsia="Calibri" w:hAnsi="Calibri" w:cs="Calibri"/>
      <w:color w:val="2E75B5"/>
      <w:sz w:val="40"/>
      <w:szCs w:val="40"/>
    </w:rPr>
  </w:style>
  <w:style w:type="paragraph" w:styleId="Ttulo2">
    <w:name w:val="heading 2"/>
    <w:basedOn w:val="Normal"/>
    <w:next w:val="Normal"/>
    <w:pPr>
      <w:keepNext/>
      <w:keepLines/>
      <w:spacing w:before="160" w:after="80"/>
      <w:outlineLvl w:val="1"/>
    </w:pPr>
    <w:rPr>
      <w:rFonts w:ascii="Calibri" w:eastAsia="Calibri" w:hAnsi="Calibri" w:cs="Calibri"/>
      <w:color w:val="2E75B5"/>
      <w:sz w:val="32"/>
      <w:szCs w:val="32"/>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character" w:customStyle="1" w:styleId="Ttulo1Car">
    <w:name w:val="Título 1 Car"/>
    <w:basedOn w:val="Fuentedeprrafopredeter"/>
    <w:uiPriority w:val="9"/>
    <w:rsid w:val="00A120EB"/>
    <w:rPr>
      <w:rFonts w:asciiTheme="majorHAnsi" w:eastAsiaTheme="majorEastAsia" w:hAnsiTheme="majorHAnsi" w:cstheme="majorBidi"/>
      <w:color w:val="2E74B5" w:themeColor="accent1" w:themeShade="BF"/>
      <w:sz w:val="40"/>
      <w:szCs w:val="40"/>
      <w:lang w:eastAsia="es-ES"/>
    </w:rPr>
  </w:style>
  <w:style w:type="character" w:customStyle="1" w:styleId="Ttulo2Car">
    <w:name w:val="Título 2 Car"/>
    <w:basedOn w:val="Fuentedeprrafopredeter"/>
    <w:uiPriority w:val="9"/>
    <w:rsid w:val="00A120EB"/>
    <w:rPr>
      <w:rFonts w:asciiTheme="majorHAnsi" w:eastAsiaTheme="majorEastAsia" w:hAnsiTheme="majorHAnsi" w:cstheme="majorBidi"/>
      <w:color w:val="2E74B5" w:themeColor="accent1" w:themeShade="BF"/>
      <w:sz w:val="32"/>
      <w:szCs w:val="32"/>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120EB"/>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A120EB"/>
    <w:rPr>
      <w:rFonts w:ascii="Times New Roman" w:eastAsia="Times New Roman" w:hAnsi="Times New Roman" w:cs="Times New Roman"/>
      <w:sz w:val="20"/>
      <w:szCs w:val="20"/>
      <w:lang w:eastAsia="es-ES"/>
    </w:rPr>
  </w:style>
  <w:style w:type="table" w:styleId="Tablaconcuadrcula">
    <w:name w:val="Table Grid"/>
    <w:basedOn w:val="Tablanormal"/>
    <w:uiPriority w:val="39"/>
    <w:rsid w:val="00A120EB"/>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A120EB"/>
    <w:pPr>
      <w:tabs>
        <w:tab w:val="center" w:pos="4419"/>
        <w:tab w:val="right" w:pos="8838"/>
      </w:tabs>
    </w:pPr>
  </w:style>
  <w:style w:type="character" w:customStyle="1" w:styleId="EncabezadoCar">
    <w:name w:val="Encabezado Car"/>
    <w:basedOn w:val="Fuentedeprrafopredeter"/>
    <w:link w:val="Encabezado"/>
    <w:uiPriority w:val="99"/>
    <w:rsid w:val="00A120EB"/>
    <w:rPr>
      <w:rFonts w:ascii="Times New Roman" w:eastAsia="Times New Roman" w:hAnsi="Times New Roman" w:cs="Times New Roman"/>
      <w:sz w:val="20"/>
      <w:szCs w:val="20"/>
      <w:lang w:eastAsia="es-ES"/>
    </w:rPr>
  </w:style>
  <w:style w:type="paragraph" w:styleId="Piedepgina">
    <w:name w:val="footer"/>
    <w:basedOn w:val="Normal"/>
    <w:link w:val="PiedepginaCar"/>
    <w:uiPriority w:val="99"/>
    <w:unhideWhenUsed/>
    <w:rsid w:val="00A120EB"/>
    <w:pPr>
      <w:tabs>
        <w:tab w:val="center" w:pos="4419"/>
        <w:tab w:val="right" w:pos="8838"/>
      </w:tabs>
    </w:pPr>
  </w:style>
  <w:style w:type="character" w:customStyle="1" w:styleId="PiedepginaCar">
    <w:name w:val="Pie de página Car"/>
    <w:basedOn w:val="Fuentedeprrafopredeter"/>
    <w:link w:val="Piedepgina"/>
    <w:uiPriority w:val="99"/>
    <w:rsid w:val="00A120EB"/>
    <w:rPr>
      <w:rFonts w:ascii="Times New Roman" w:eastAsia="Times New Roman" w:hAnsi="Times New Roman" w:cs="Times New Roman"/>
      <w:sz w:val="20"/>
      <w:szCs w:val="20"/>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A120EB"/>
    <w:rPr>
      <w:color w:val="0563C1" w:themeColor="hyperlink"/>
      <w:u w:val="single"/>
    </w:rPr>
  </w:style>
  <w:style w:type="paragraph" w:styleId="TtulodeTDC">
    <w:name w:val="TOC Heading"/>
    <w:next w:val="Normal"/>
    <w:uiPriority w:val="39"/>
    <w:unhideWhenUsed/>
    <w:qFormat/>
    <w:rsid w:val="00A120EB"/>
    <w:pPr>
      <w:spacing w:before="240"/>
    </w:pPr>
    <w:rPr>
      <w:sz w:val="32"/>
      <w:szCs w:val="32"/>
    </w:rPr>
  </w:style>
  <w:style w:type="paragraph" w:styleId="TDC2">
    <w:name w:val="toc 2"/>
    <w:basedOn w:val="Normal"/>
    <w:next w:val="Normal"/>
    <w:autoRedefine/>
    <w:uiPriority w:val="39"/>
    <w:unhideWhenUsed/>
    <w:rsid w:val="00A120EB"/>
    <w:pPr>
      <w:tabs>
        <w:tab w:val="right" w:leader="dot" w:pos="8828"/>
      </w:tabs>
      <w:spacing w:after="100" w:line="360" w:lineRule="auto"/>
      <w:ind w:left="221"/>
      <w:contextualSpacing/>
      <w:jc w:val="both"/>
    </w:pPr>
    <w:rPr>
      <w:rFonts w:asciiTheme="minorHAnsi" w:eastAsiaTheme="minorEastAsia" w:hAnsiTheme="minorHAnsi"/>
      <w:sz w:val="22"/>
      <w:szCs w:val="22"/>
    </w:rPr>
  </w:style>
  <w:style w:type="paragraph" w:styleId="TDC1">
    <w:name w:val="toc 1"/>
    <w:basedOn w:val="Normal"/>
    <w:next w:val="Normal"/>
    <w:autoRedefine/>
    <w:uiPriority w:val="39"/>
    <w:unhideWhenUsed/>
    <w:rsid w:val="00A120EB"/>
    <w:pPr>
      <w:spacing w:after="100" w:line="259" w:lineRule="auto"/>
    </w:pPr>
    <w:rPr>
      <w:rFonts w:asciiTheme="minorHAnsi" w:eastAsiaTheme="minorEastAsia" w:hAnsiTheme="minorHAnsi"/>
      <w:sz w:val="22"/>
      <w:szCs w:val="22"/>
    </w:rPr>
  </w:style>
  <w:style w:type="character" w:customStyle="1" w:styleId="Mencinsinresolver1">
    <w:name w:val="Mención sin resolver1"/>
    <w:basedOn w:val="Fuentedeprrafopredeter"/>
    <w:uiPriority w:val="99"/>
    <w:semiHidden/>
    <w:unhideWhenUsed/>
    <w:rsid w:val="00A47EB0"/>
    <w:rPr>
      <w:color w:val="605E5C"/>
      <w:shd w:val="clear" w:color="auto" w:fill="E1DFDD"/>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08" w:type="dxa"/>
        <w:bottom w:w="0" w:type="dxa"/>
        <w:right w:w="108" w:type="dxa"/>
      </w:tblCellMar>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08" w:type="dxa"/>
        <w:bottom w:w="0" w:type="dxa"/>
        <w:right w:w="108"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08" w:type="dxa"/>
        <w:bottom w:w="0" w:type="dxa"/>
        <w:right w:w="108"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 w:type="table" w:customStyle="1" w:styleId="aa">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www.apartados.hacienda.gob.mx/contabilidad/documentos/informe_cuenta/1998/cuenta_publica/Glosario/n.htm" TargetMode="External"/><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hyperlink" Target="http://www.transparenciapresupuestaria.gob.mx/es/PTP/Glosario"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CdaAqMyIE2B+BIl5RyQkO9KPDA==">CgMxLjAyDmguODY4cDJldTR1MzB2Mg5oLnFyZXY3NHk3N3EwZjIOaC5wNnU0emg1ZDZ4cXoyDmgua3h2OTMycTR4M2Y2Mg5oLjF2N3VzbGo0OXh2cTIOaC5zeHc5dGltbHJxYjMyDmgudTF0MDAzYWRueWlrMg5oLjdmZHJtenY4cXd4YjIOaC5ibmU0a2k1ZDZlbHYyDmguZW9sbGhxa2I2azRjMg5oLnE5eG1kNnN4am45ZzIOaC5yZzR4a3I5bm1uemkyDWguYW4xMzIxcjM0ZjAyDmguNWhya3dyYm4wOXV4Mg5oLnFvaGt0ODd1dGljcjIOaC5mZTI2enVodDBpN3gyDmgubjQzN3M2OGtnaXhhMg5oLm1yb3lkMG0zaGQycjIOaC42Y28xcnM2ZHRidmE4AHIhMVFZb3REZWpBclJFWTBoWm5ucGNaUldXMHl5V1lpdGx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4896F74-DC42-4BA3-95E8-1DD858F16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6013</Words>
  <Characters>33076</Characters>
  <Application>Microsoft Office Word</Application>
  <DocSecurity>0</DocSecurity>
  <Lines>275</Lines>
  <Paragraphs>78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39011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INFOEM500</dc:creator>
  <cp:lastModifiedBy>USUARIO</cp:lastModifiedBy>
  <cp:revision>3</cp:revision>
  <cp:lastPrinted>2026-01-30T16:38:00Z</cp:lastPrinted>
  <dcterms:created xsi:type="dcterms:W3CDTF">2026-01-30T16:38:00Z</dcterms:created>
  <dcterms:modified xsi:type="dcterms:W3CDTF">2026-01-30T16:38:00Z</dcterms:modified>
</cp:coreProperties>
</file>