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7A52DC"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7A52DC">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7A52DC">
        <w:rPr>
          <w:rFonts w:ascii="Palatino Linotype" w:eastAsia="Palatino Linotype" w:hAnsi="Palatino Linotype" w:cs="Palatino Linotype"/>
          <w:sz w:val="22"/>
          <w:szCs w:val="22"/>
        </w:rPr>
        <w:t>diecisiete</w:t>
      </w:r>
      <w:r w:rsidR="00032509" w:rsidRPr="007A52DC">
        <w:rPr>
          <w:rFonts w:ascii="Palatino Linotype" w:eastAsia="Palatino Linotype" w:hAnsi="Palatino Linotype" w:cs="Palatino Linotype"/>
          <w:sz w:val="22"/>
          <w:szCs w:val="22"/>
        </w:rPr>
        <w:t xml:space="preserve"> de septiembre</w:t>
      </w:r>
      <w:r w:rsidR="00E55CFA" w:rsidRPr="007A52DC">
        <w:rPr>
          <w:rFonts w:ascii="Palatino Linotype" w:eastAsia="Palatino Linotype" w:hAnsi="Palatino Linotype" w:cs="Palatino Linotype"/>
          <w:sz w:val="22"/>
          <w:szCs w:val="22"/>
        </w:rPr>
        <w:t xml:space="preserve"> de dos mil veintiséis</w:t>
      </w:r>
      <w:r w:rsidRPr="007A52DC">
        <w:rPr>
          <w:rFonts w:ascii="Palatino Linotype" w:eastAsia="Palatino Linotype" w:hAnsi="Palatino Linotype" w:cs="Palatino Linotype"/>
          <w:sz w:val="22"/>
          <w:szCs w:val="22"/>
        </w:rPr>
        <w:t xml:space="preserve">. </w:t>
      </w:r>
    </w:p>
    <w:p w14:paraId="13FC4B2B" w14:textId="77777777" w:rsidR="00532AE4" w:rsidRPr="007A52DC" w:rsidRDefault="00532AE4">
      <w:pPr>
        <w:spacing w:line="360" w:lineRule="auto"/>
        <w:jc w:val="both"/>
        <w:rPr>
          <w:rFonts w:ascii="Palatino Linotype" w:eastAsia="Palatino Linotype" w:hAnsi="Palatino Linotype" w:cs="Palatino Linotype"/>
          <w:b/>
          <w:sz w:val="22"/>
          <w:szCs w:val="22"/>
        </w:rPr>
      </w:pPr>
    </w:p>
    <w:p w14:paraId="50DC799A" w14:textId="6C58303F"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Visto </w:t>
      </w:r>
      <w:r w:rsidRPr="007A52DC">
        <w:rPr>
          <w:rFonts w:ascii="Palatino Linotype" w:eastAsia="Palatino Linotype" w:hAnsi="Palatino Linotype" w:cs="Palatino Linotype"/>
          <w:sz w:val="22"/>
          <w:szCs w:val="22"/>
        </w:rPr>
        <w:t xml:space="preserve">el expediente relativo al recurso de revisión </w:t>
      </w:r>
      <w:r w:rsidR="008C1E2D" w:rsidRPr="007A52DC">
        <w:rPr>
          <w:rFonts w:ascii="Palatino Linotype" w:eastAsia="Palatino Linotype" w:hAnsi="Palatino Linotype" w:cs="Palatino Linotype"/>
          <w:b/>
          <w:sz w:val="22"/>
          <w:szCs w:val="22"/>
        </w:rPr>
        <w:t>0</w:t>
      </w:r>
      <w:r w:rsidR="00AC2BDE" w:rsidRPr="007A52DC">
        <w:rPr>
          <w:rFonts w:ascii="Palatino Linotype" w:eastAsia="Palatino Linotype" w:hAnsi="Palatino Linotype" w:cs="Palatino Linotype"/>
          <w:b/>
          <w:sz w:val="22"/>
          <w:szCs w:val="22"/>
        </w:rPr>
        <w:t>827</w:t>
      </w:r>
      <w:r w:rsidR="00150206" w:rsidRPr="007A52DC">
        <w:rPr>
          <w:rFonts w:ascii="Palatino Linotype" w:eastAsia="Palatino Linotype" w:hAnsi="Palatino Linotype" w:cs="Palatino Linotype"/>
          <w:b/>
          <w:sz w:val="22"/>
          <w:szCs w:val="22"/>
        </w:rPr>
        <w:t>4</w:t>
      </w:r>
      <w:r w:rsidR="000C05BE" w:rsidRPr="007A52DC">
        <w:rPr>
          <w:rFonts w:ascii="Palatino Linotype" w:eastAsia="Palatino Linotype" w:hAnsi="Palatino Linotype" w:cs="Palatino Linotype"/>
          <w:b/>
          <w:sz w:val="22"/>
          <w:szCs w:val="22"/>
        </w:rPr>
        <w:t>/INFOEM/IP/RR/2026</w:t>
      </w:r>
      <w:r w:rsidRPr="007A52DC">
        <w:rPr>
          <w:rFonts w:ascii="Palatino Linotype" w:eastAsia="Palatino Linotype" w:hAnsi="Palatino Linotype" w:cs="Palatino Linotype"/>
          <w:sz w:val="22"/>
          <w:szCs w:val="22"/>
        </w:rPr>
        <w:t xml:space="preserve">, interpuesto </w:t>
      </w:r>
      <w:r w:rsidR="0061438F" w:rsidRPr="007A52DC">
        <w:rPr>
          <w:rFonts w:ascii="Palatino Linotype" w:eastAsia="Palatino Linotype" w:hAnsi="Palatino Linotype" w:cs="Palatino Linotype"/>
          <w:sz w:val="22"/>
          <w:szCs w:val="22"/>
        </w:rPr>
        <w:t xml:space="preserve">por </w:t>
      </w:r>
      <w:r w:rsidR="00EB3334">
        <w:rPr>
          <w:rFonts w:ascii="Palatino Linotype" w:eastAsia="Palatino Linotype" w:hAnsi="Palatino Linotype" w:cs="Palatino Linotype"/>
          <w:b/>
          <w:sz w:val="21"/>
          <w:szCs w:val="21"/>
        </w:rPr>
        <w:t xml:space="preserve">XXXXXX XXXXX XXXXXXX XX </w:t>
      </w:r>
      <w:r w:rsidR="00EB3334">
        <w:rPr>
          <w:rFonts w:ascii="Palatino Linotype" w:eastAsia="Palatino Linotype" w:hAnsi="Palatino Linotype" w:cs="Palatino Linotype"/>
          <w:b/>
          <w:sz w:val="21"/>
          <w:szCs w:val="21"/>
        </w:rPr>
        <w:t>XXX</w:t>
      </w:r>
      <w:r w:rsidR="00EB3334">
        <w:rPr>
          <w:rFonts w:ascii="Palatino Linotype" w:eastAsia="Palatino Linotype" w:hAnsi="Palatino Linotype" w:cs="Palatino Linotype"/>
          <w:sz w:val="22"/>
          <w:szCs w:val="22"/>
        </w:rPr>
        <w:t xml:space="preserve"> en</w:t>
      </w:r>
      <w:r w:rsidRPr="007A52DC">
        <w:rPr>
          <w:rFonts w:ascii="Palatino Linotype" w:eastAsia="Palatino Linotype" w:hAnsi="Palatino Linotype" w:cs="Palatino Linotype"/>
          <w:sz w:val="22"/>
          <w:szCs w:val="22"/>
        </w:rPr>
        <w:t xml:space="preserve"> lo sucesivo la parte </w:t>
      </w:r>
      <w:r w:rsidRPr="007A52DC">
        <w:rPr>
          <w:rFonts w:ascii="Palatino Linotype" w:eastAsia="Palatino Linotype" w:hAnsi="Palatino Linotype" w:cs="Palatino Linotype"/>
          <w:b/>
          <w:sz w:val="22"/>
          <w:szCs w:val="22"/>
        </w:rPr>
        <w:t xml:space="preserve">RECURRENTE, </w:t>
      </w:r>
      <w:r w:rsidRPr="007A52DC">
        <w:rPr>
          <w:rFonts w:ascii="Palatino Linotype" w:eastAsia="Palatino Linotype" w:hAnsi="Palatino Linotype" w:cs="Palatino Linotype"/>
          <w:sz w:val="22"/>
          <w:szCs w:val="22"/>
        </w:rPr>
        <w:t>en contra de la falta de respuesta a la solicitud de acceso a la información con número de folio</w:t>
      </w:r>
      <w:r w:rsidRPr="007A52DC">
        <w:rPr>
          <w:rFonts w:ascii="Verdana" w:eastAsia="Verdana" w:hAnsi="Verdana" w:cs="Verdana"/>
          <w:b/>
          <w:sz w:val="22"/>
          <w:szCs w:val="22"/>
        </w:rPr>
        <w:t> </w:t>
      </w:r>
      <w:r w:rsidR="00AC2BDE" w:rsidRPr="007A52DC">
        <w:rPr>
          <w:rFonts w:ascii="Palatino Linotype" w:eastAsia="Palatino Linotype" w:hAnsi="Palatino Linotype" w:cs="Palatino Linotype"/>
          <w:b/>
          <w:sz w:val="22"/>
          <w:szCs w:val="22"/>
        </w:rPr>
        <w:t>00011/IDEMEX/IP/2026</w:t>
      </w:r>
      <w:r w:rsidR="00EF743D" w:rsidRPr="007A52DC">
        <w:rPr>
          <w:rFonts w:ascii="Palatino Linotype" w:eastAsia="Palatino Linotype" w:hAnsi="Palatino Linotype" w:cs="Palatino Linotype"/>
          <w:b/>
          <w:sz w:val="22"/>
          <w:szCs w:val="22"/>
        </w:rPr>
        <w:t xml:space="preserve">, </w:t>
      </w:r>
      <w:r w:rsidRPr="007A52DC">
        <w:rPr>
          <w:rFonts w:ascii="Palatino Linotype" w:eastAsia="Palatino Linotype" w:hAnsi="Palatino Linotype" w:cs="Palatino Linotype"/>
          <w:sz w:val="22"/>
          <w:szCs w:val="22"/>
        </w:rPr>
        <w:t xml:space="preserve">por parte del </w:t>
      </w:r>
      <w:r w:rsidR="00AC2BDE" w:rsidRPr="007A52DC">
        <w:rPr>
          <w:rFonts w:ascii="Palatino Linotype" w:eastAsia="Palatino Linotype" w:hAnsi="Palatino Linotype" w:cs="Palatino Linotype"/>
          <w:b/>
          <w:sz w:val="22"/>
          <w:szCs w:val="22"/>
        </w:rPr>
        <w:t>Instituto del Deporte del Estado de México</w:t>
      </w:r>
      <w:r w:rsidR="00390FDA" w:rsidRPr="007A52DC">
        <w:rPr>
          <w:rFonts w:ascii="Palatino Linotype" w:eastAsia="Palatino Linotype" w:hAnsi="Palatino Linotype" w:cs="Palatino Linotype"/>
          <w:b/>
          <w:sz w:val="22"/>
          <w:szCs w:val="22"/>
        </w:rPr>
        <w:t>,</w:t>
      </w:r>
      <w:r w:rsidRPr="007A52DC">
        <w:rPr>
          <w:rFonts w:ascii="Palatino Linotype" w:eastAsia="Palatino Linotype" w:hAnsi="Palatino Linotype" w:cs="Palatino Linotype"/>
          <w:sz w:val="22"/>
          <w:szCs w:val="22"/>
        </w:rPr>
        <w:t xml:space="preserve"> en lo sucesivo el </w:t>
      </w:r>
      <w:r w:rsidRPr="007A52DC">
        <w:rPr>
          <w:rFonts w:ascii="Palatino Linotype" w:eastAsia="Palatino Linotype" w:hAnsi="Palatino Linotype" w:cs="Palatino Linotype"/>
          <w:b/>
          <w:sz w:val="22"/>
          <w:szCs w:val="22"/>
        </w:rPr>
        <w:t xml:space="preserve">SUJETO OBLIGADO; </w:t>
      </w:r>
      <w:r w:rsidRPr="007A52DC">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7A52DC"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A N T E C E D E N T E S:</w:t>
      </w:r>
    </w:p>
    <w:p w14:paraId="77D7A248" w14:textId="77777777" w:rsidR="00532AE4" w:rsidRPr="007A52DC"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24BF8D11"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1. Solicitud de acceso a la información. </w:t>
      </w:r>
      <w:r w:rsidR="00EE5E30" w:rsidRPr="007A52DC">
        <w:rPr>
          <w:rFonts w:ascii="Palatino Linotype" w:eastAsia="Palatino Linotype" w:hAnsi="Palatino Linotype" w:cs="Palatino Linotype"/>
          <w:sz w:val="22"/>
          <w:szCs w:val="22"/>
        </w:rPr>
        <w:t xml:space="preserve">Con fecha </w:t>
      </w:r>
      <w:r w:rsidR="00AC2BDE" w:rsidRPr="007A52DC">
        <w:rPr>
          <w:rFonts w:ascii="Palatino Linotype" w:eastAsia="Palatino Linotype" w:hAnsi="Palatino Linotype" w:cs="Palatino Linotype"/>
          <w:b/>
          <w:sz w:val="22"/>
          <w:szCs w:val="22"/>
        </w:rPr>
        <w:t>nueve</w:t>
      </w:r>
      <w:r w:rsidR="00150206" w:rsidRPr="007A52DC">
        <w:rPr>
          <w:rFonts w:ascii="Palatino Linotype" w:eastAsia="Palatino Linotype" w:hAnsi="Palatino Linotype" w:cs="Palatino Linotype"/>
          <w:b/>
          <w:sz w:val="22"/>
          <w:szCs w:val="22"/>
        </w:rPr>
        <w:t xml:space="preserve"> de julio</w:t>
      </w:r>
      <w:r w:rsidR="0084271D" w:rsidRPr="007A52DC">
        <w:rPr>
          <w:rFonts w:ascii="Palatino Linotype" w:eastAsia="Palatino Linotype" w:hAnsi="Palatino Linotype" w:cs="Palatino Linotype"/>
          <w:b/>
          <w:sz w:val="22"/>
          <w:szCs w:val="22"/>
        </w:rPr>
        <w:t xml:space="preserve"> de dos mil veintiséis</w:t>
      </w:r>
      <w:r w:rsidRPr="007A52DC">
        <w:rPr>
          <w:rFonts w:ascii="Palatino Linotype" w:eastAsia="Palatino Linotype" w:hAnsi="Palatino Linotype" w:cs="Palatino Linotype"/>
          <w:sz w:val="22"/>
          <w:szCs w:val="22"/>
        </w:rPr>
        <w:t xml:space="preserve">, la parte </w:t>
      </w:r>
      <w:r w:rsidRPr="007A52DC">
        <w:rPr>
          <w:rFonts w:ascii="Palatino Linotype" w:eastAsia="Palatino Linotype" w:hAnsi="Palatino Linotype" w:cs="Palatino Linotype"/>
          <w:b/>
          <w:sz w:val="22"/>
          <w:szCs w:val="22"/>
        </w:rPr>
        <w:t xml:space="preserve">RECURRENTE </w:t>
      </w:r>
      <w:r w:rsidRPr="007A52DC">
        <w:rPr>
          <w:rFonts w:ascii="Palatino Linotype" w:eastAsia="Palatino Linotype" w:hAnsi="Palatino Linotype" w:cs="Palatino Linotype"/>
          <w:sz w:val="22"/>
          <w:szCs w:val="22"/>
        </w:rPr>
        <w:t xml:space="preserve">formuló a través del Sistema de Acceso a la Información Mexiquense, en adelante </w:t>
      </w:r>
      <w:r w:rsidRPr="007A52DC">
        <w:rPr>
          <w:rFonts w:ascii="Palatino Linotype" w:eastAsia="Palatino Linotype" w:hAnsi="Palatino Linotype" w:cs="Palatino Linotype"/>
          <w:b/>
          <w:sz w:val="22"/>
          <w:szCs w:val="22"/>
        </w:rPr>
        <w:t>SAIMEX,</w:t>
      </w:r>
      <w:r w:rsidRPr="007A52DC">
        <w:rPr>
          <w:rFonts w:ascii="Palatino Linotype" w:eastAsia="Palatino Linotype" w:hAnsi="Palatino Linotype" w:cs="Palatino Linotype"/>
          <w:sz w:val="22"/>
          <w:szCs w:val="22"/>
        </w:rPr>
        <w:t xml:space="preserve"> solicitud de información al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requiriéndole lo siguiente:</w:t>
      </w:r>
    </w:p>
    <w:p w14:paraId="59CC0872" w14:textId="68200746" w:rsidR="009B6117" w:rsidRPr="007A52DC" w:rsidRDefault="009B6117" w:rsidP="00724155">
      <w:pPr>
        <w:ind w:right="616"/>
        <w:jc w:val="both"/>
        <w:rPr>
          <w:rFonts w:ascii="Palatino Linotype" w:eastAsia="Palatino Linotype" w:hAnsi="Palatino Linotype" w:cs="Palatino Linotype"/>
          <w:i/>
          <w:sz w:val="22"/>
          <w:szCs w:val="22"/>
          <w:lang w:val="es-ES"/>
        </w:rPr>
      </w:pPr>
    </w:p>
    <w:p w14:paraId="0F87CB2C" w14:textId="705B3C19" w:rsidR="00532AE4" w:rsidRPr="007A52DC" w:rsidRDefault="0004402A" w:rsidP="00CF4355">
      <w:pPr>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w:t>
      </w:r>
      <w:r w:rsidR="00AC2BDE" w:rsidRPr="007A52DC">
        <w:rPr>
          <w:rFonts w:ascii="Palatino Linotype" w:eastAsia="Palatino Linotype" w:hAnsi="Palatino Linotype" w:cs="Palatino Linotype"/>
          <w:i/>
          <w:sz w:val="22"/>
          <w:szCs w:val="22"/>
        </w:rPr>
        <w:t xml:space="preserve">solicito a </w:t>
      </w:r>
      <w:proofErr w:type="spellStart"/>
      <w:r w:rsidR="00AC2BDE" w:rsidRPr="007A52DC">
        <w:rPr>
          <w:rFonts w:ascii="Palatino Linotype" w:eastAsia="Palatino Linotype" w:hAnsi="Palatino Linotype" w:cs="Palatino Linotype"/>
          <w:i/>
          <w:sz w:val="22"/>
          <w:szCs w:val="22"/>
        </w:rPr>
        <w:t>travez</w:t>
      </w:r>
      <w:proofErr w:type="spellEnd"/>
      <w:r w:rsidR="00AC2BDE" w:rsidRPr="007A52DC">
        <w:rPr>
          <w:rFonts w:ascii="Palatino Linotype" w:eastAsia="Palatino Linotype" w:hAnsi="Palatino Linotype" w:cs="Palatino Linotype"/>
          <w:i/>
          <w:sz w:val="22"/>
          <w:szCs w:val="22"/>
        </w:rPr>
        <w:t xml:space="preserve"> la siguiente </w:t>
      </w:r>
      <w:proofErr w:type="spellStart"/>
      <w:r w:rsidR="00AC2BDE" w:rsidRPr="007A52DC">
        <w:rPr>
          <w:rFonts w:ascii="Palatino Linotype" w:eastAsia="Palatino Linotype" w:hAnsi="Palatino Linotype" w:cs="Palatino Linotype"/>
          <w:i/>
          <w:sz w:val="22"/>
          <w:szCs w:val="22"/>
        </w:rPr>
        <w:t>informacion</w:t>
      </w:r>
      <w:proofErr w:type="spellEnd"/>
      <w:r w:rsidR="00AC2BDE" w:rsidRPr="007A52DC">
        <w:rPr>
          <w:rFonts w:ascii="Palatino Linotype" w:eastAsia="Palatino Linotype" w:hAnsi="Palatino Linotype" w:cs="Palatino Linotype"/>
          <w:i/>
          <w:sz w:val="22"/>
          <w:szCs w:val="22"/>
        </w:rPr>
        <w:t xml:space="preserve"> en versión </w:t>
      </w:r>
      <w:proofErr w:type="spellStart"/>
      <w:r w:rsidR="00AC2BDE" w:rsidRPr="007A52DC">
        <w:rPr>
          <w:rFonts w:ascii="Palatino Linotype" w:eastAsia="Palatino Linotype" w:hAnsi="Palatino Linotype" w:cs="Palatino Linotype"/>
          <w:i/>
          <w:sz w:val="22"/>
          <w:szCs w:val="22"/>
        </w:rPr>
        <w:t>publica</w:t>
      </w:r>
      <w:proofErr w:type="spellEnd"/>
      <w:r w:rsidR="00AC2BDE" w:rsidRPr="007A52DC">
        <w:rPr>
          <w:rFonts w:ascii="Palatino Linotype" w:eastAsia="Palatino Linotype" w:hAnsi="Palatino Linotype" w:cs="Palatino Linotype"/>
          <w:i/>
          <w:sz w:val="22"/>
          <w:szCs w:val="22"/>
        </w:rPr>
        <w:t xml:space="preserve">. la lista Nominal del Instituto del Deporte del Estado de </w:t>
      </w:r>
      <w:proofErr w:type="spellStart"/>
      <w:r w:rsidR="00AC2BDE" w:rsidRPr="007A52DC">
        <w:rPr>
          <w:rFonts w:ascii="Palatino Linotype" w:eastAsia="Palatino Linotype" w:hAnsi="Palatino Linotype" w:cs="Palatino Linotype"/>
          <w:i/>
          <w:sz w:val="22"/>
          <w:szCs w:val="22"/>
        </w:rPr>
        <w:t>Mexico</w:t>
      </w:r>
      <w:proofErr w:type="spellEnd"/>
      <w:r w:rsidR="00137E5A" w:rsidRPr="007A52DC">
        <w:rPr>
          <w:rFonts w:ascii="Palatino Linotype" w:eastAsia="Palatino Linotype" w:hAnsi="Palatino Linotype" w:cs="Palatino Linotype"/>
          <w:i/>
          <w:sz w:val="22"/>
          <w:szCs w:val="22"/>
        </w:rPr>
        <w:t xml:space="preserve">” </w:t>
      </w:r>
      <w:r w:rsidR="00A76F12" w:rsidRPr="007A52DC">
        <w:rPr>
          <w:rFonts w:ascii="Palatino Linotype" w:eastAsia="Palatino Linotype" w:hAnsi="Palatino Linotype" w:cs="Palatino Linotype"/>
          <w:i/>
          <w:sz w:val="22"/>
          <w:szCs w:val="22"/>
        </w:rPr>
        <w:t>(Sic)</w:t>
      </w:r>
      <w:r w:rsidR="00CE1553" w:rsidRPr="007A52DC">
        <w:rPr>
          <w:rFonts w:ascii="Palatino Linotype" w:eastAsia="Palatino Linotype" w:hAnsi="Palatino Linotype" w:cs="Palatino Linotype"/>
          <w:b/>
          <w:sz w:val="22"/>
          <w:szCs w:val="22"/>
        </w:rPr>
        <w:tab/>
      </w:r>
    </w:p>
    <w:p w14:paraId="6697AE7A" w14:textId="77777777" w:rsidR="00147A44" w:rsidRPr="007A52DC"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7A52DC" w:rsidRDefault="00A76F12" w:rsidP="00FD5905">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Modalidad elegida para la entrega de la información: </w:t>
      </w:r>
      <w:r w:rsidRPr="007A52DC">
        <w:rPr>
          <w:rFonts w:ascii="Palatino Linotype" w:eastAsia="Palatino Linotype" w:hAnsi="Palatino Linotype" w:cs="Palatino Linotype"/>
          <w:sz w:val="22"/>
          <w:szCs w:val="22"/>
        </w:rPr>
        <w:t>a través del SAIMEX.</w:t>
      </w:r>
    </w:p>
    <w:p w14:paraId="1227E94F" w14:textId="77777777" w:rsidR="00D60C04" w:rsidRPr="007A52DC"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7A52DC" w:rsidRDefault="00FD5905">
      <w:pPr>
        <w:spacing w:line="360" w:lineRule="auto"/>
        <w:jc w:val="both"/>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2</w:t>
      </w:r>
      <w:r w:rsidR="00D763D8" w:rsidRPr="007A52DC">
        <w:rPr>
          <w:rFonts w:ascii="Palatino Linotype" w:eastAsia="Palatino Linotype" w:hAnsi="Palatino Linotype" w:cs="Palatino Linotype"/>
          <w:b/>
          <w:sz w:val="22"/>
          <w:szCs w:val="22"/>
        </w:rPr>
        <w:t xml:space="preserve">. </w:t>
      </w:r>
      <w:r w:rsidR="00A76F12" w:rsidRPr="007A52DC">
        <w:rPr>
          <w:rFonts w:ascii="Palatino Linotype" w:eastAsia="Palatino Linotype" w:hAnsi="Palatino Linotype" w:cs="Palatino Linotype"/>
          <w:b/>
          <w:sz w:val="22"/>
          <w:szCs w:val="22"/>
        </w:rPr>
        <w:t xml:space="preserve">Respuesta. </w:t>
      </w:r>
      <w:r w:rsidR="00A76F12" w:rsidRPr="007A52DC">
        <w:rPr>
          <w:rFonts w:ascii="Palatino Linotype" w:eastAsia="Palatino Linotype" w:hAnsi="Palatino Linotype" w:cs="Palatino Linotype"/>
          <w:sz w:val="22"/>
          <w:szCs w:val="22"/>
        </w:rPr>
        <w:t xml:space="preserve">El </w:t>
      </w:r>
      <w:r w:rsidR="00A76F12" w:rsidRPr="007A52DC">
        <w:rPr>
          <w:rFonts w:ascii="Palatino Linotype" w:eastAsia="Palatino Linotype" w:hAnsi="Palatino Linotype" w:cs="Palatino Linotype"/>
          <w:b/>
          <w:sz w:val="22"/>
          <w:szCs w:val="22"/>
        </w:rPr>
        <w:t xml:space="preserve">SUJETO OBLIGADO </w:t>
      </w:r>
      <w:r w:rsidR="00A76F12" w:rsidRPr="007A52DC">
        <w:rPr>
          <w:rFonts w:ascii="Palatino Linotype" w:eastAsia="Palatino Linotype" w:hAnsi="Palatino Linotype" w:cs="Palatino Linotype"/>
          <w:sz w:val="22"/>
          <w:szCs w:val="22"/>
        </w:rPr>
        <w:t xml:space="preserve">fue omiso en proporcionar respuesta. </w:t>
      </w:r>
    </w:p>
    <w:p w14:paraId="66730054"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64E077EC" w14:textId="52F4245B" w:rsidR="00532AE4" w:rsidRPr="007A52DC" w:rsidRDefault="00FD5905">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lastRenderedPageBreak/>
        <w:t>3</w:t>
      </w:r>
      <w:r w:rsidR="00A01FAB" w:rsidRPr="007A52DC">
        <w:rPr>
          <w:rFonts w:ascii="Palatino Linotype" w:eastAsia="Palatino Linotype" w:hAnsi="Palatino Linotype" w:cs="Palatino Linotype"/>
          <w:b/>
          <w:sz w:val="22"/>
          <w:szCs w:val="22"/>
        </w:rPr>
        <w:t>.</w:t>
      </w:r>
      <w:r w:rsidR="00A76F12" w:rsidRPr="007A52DC">
        <w:rPr>
          <w:rFonts w:ascii="Palatino Linotype" w:eastAsia="Palatino Linotype" w:hAnsi="Palatino Linotype" w:cs="Palatino Linotype"/>
          <w:b/>
          <w:sz w:val="22"/>
          <w:szCs w:val="22"/>
        </w:rPr>
        <w:t xml:space="preserve">Interposición del recurso de revisión. </w:t>
      </w:r>
      <w:r w:rsidR="00A76F12" w:rsidRPr="007A52DC">
        <w:rPr>
          <w:rFonts w:ascii="Palatino Linotype" w:eastAsia="Palatino Linotype" w:hAnsi="Palatino Linotype" w:cs="Palatino Linotype"/>
          <w:sz w:val="22"/>
          <w:szCs w:val="22"/>
        </w:rPr>
        <w:t xml:space="preserve">Inconforme la parte solicitante con la falta de respuesta del </w:t>
      </w:r>
      <w:r w:rsidR="00A76F12" w:rsidRPr="007A52DC">
        <w:rPr>
          <w:rFonts w:ascii="Palatino Linotype" w:eastAsia="Palatino Linotype" w:hAnsi="Palatino Linotype" w:cs="Palatino Linotype"/>
          <w:b/>
          <w:sz w:val="22"/>
          <w:szCs w:val="22"/>
        </w:rPr>
        <w:t>SUJETO OBLIGADO</w:t>
      </w:r>
      <w:r w:rsidR="00A76F12" w:rsidRPr="007A52DC">
        <w:rPr>
          <w:rFonts w:ascii="Palatino Linotype" w:eastAsia="Palatino Linotype" w:hAnsi="Palatino Linotype" w:cs="Palatino Linotype"/>
          <w:sz w:val="22"/>
          <w:szCs w:val="22"/>
        </w:rPr>
        <w:t xml:space="preserve">, interpuso recurso de revisión a través del SAIMEX en fecha </w:t>
      </w:r>
      <w:r w:rsidR="0042141B" w:rsidRPr="007A52DC">
        <w:rPr>
          <w:rFonts w:ascii="Palatino Linotype" w:eastAsia="Palatino Linotype" w:hAnsi="Palatino Linotype" w:cs="Palatino Linotype"/>
          <w:b/>
          <w:sz w:val="22"/>
          <w:szCs w:val="22"/>
        </w:rPr>
        <w:t>treinta y uno</w:t>
      </w:r>
      <w:r w:rsidR="00326E2A" w:rsidRPr="007A52DC">
        <w:rPr>
          <w:rFonts w:ascii="Palatino Linotype" w:eastAsia="Palatino Linotype" w:hAnsi="Palatino Linotype" w:cs="Palatino Linotype"/>
          <w:b/>
          <w:sz w:val="22"/>
          <w:szCs w:val="22"/>
        </w:rPr>
        <w:t xml:space="preserve"> de agosto</w:t>
      </w:r>
      <w:r w:rsidR="00401731" w:rsidRPr="007A52DC">
        <w:rPr>
          <w:rFonts w:ascii="Palatino Linotype" w:eastAsia="Palatino Linotype" w:hAnsi="Palatino Linotype" w:cs="Palatino Linotype"/>
          <w:b/>
          <w:sz w:val="22"/>
          <w:szCs w:val="22"/>
        </w:rPr>
        <w:t xml:space="preserve"> de dos mil veintiséis</w:t>
      </w:r>
      <w:r w:rsidR="00A76F12" w:rsidRPr="007A52DC">
        <w:rPr>
          <w:rFonts w:ascii="Palatino Linotype" w:eastAsia="Palatino Linotype" w:hAnsi="Palatino Linotype" w:cs="Palatino Linotype"/>
          <w:sz w:val="22"/>
          <w:szCs w:val="22"/>
        </w:rPr>
        <w:t>, expresando lo siguiente:</w:t>
      </w:r>
    </w:p>
    <w:p w14:paraId="126577AC"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59ACBA47" w14:textId="71C4F179" w:rsidR="00532AE4" w:rsidRPr="007A52DC" w:rsidRDefault="00A76F12" w:rsidP="00AE6242">
      <w:pPr>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sz w:val="22"/>
          <w:szCs w:val="22"/>
        </w:rPr>
        <w:t>a) Acto impugnado</w:t>
      </w:r>
      <w:r w:rsidRPr="007A52DC">
        <w:rPr>
          <w:rFonts w:ascii="Palatino Linotype" w:eastAsia="Palatino Linotype" w:hAnsi="Palatino Linotype" w:cs="Palatino Linotype"/>
          <w:b/>
          <w:i/>
          <w:sz w:val="22"/>
          <w:szCs w:val="22"/>
        </w:rPr>
        <w:t xml:space="preserve">. </w:t>
      </w:r>
      <w:r w:rsidR="00EB74FD" w:rsidRPr="007A52DC">
        <w:rPr>
          <w:rFonts w:ascii="Palatino Linotype" w:eastAsia="Palatino Linotype" w:hAnsi="Palatino Linotype" w:cs="Palatino Linotype"/>
          <w:i/>
          <w:sz w:val="22"/>
          <w:szCs w:val="22"/>
        </w:rPr>
        <w:t>“</w:t>
      </w:r>
      <w:r w:rsidR="009749F0" w:rsidRPr="007A52DC">
        <w:rPr>
          <w:rFonts w:ascii="Palatino Linotype" w:eastAsia="Palatino Linotype" w:hAnsi="Palatino Linotype" w:cs="Palatino Linotype"/>
          <w:i/>
          <w:sz w:val="22"/>
          <w:szCs w:val="22"/>
        </w:rPr>
        <w:t>ACTO QUE SE IMPUGNA: La omisión total de respuesta por parte del Sujeto Obligado (Instituto del Deporte del Estado de México) dentro del plazo estrictamente establecido por la ley.</w:t>
      </w:r>
      <w:r w:rsidR="009B6117" w:rsidRPr="007A52DC">
        <w:rPr>
          <w:rFonts w:ascii="Palatino Linotype" w:eastAsia="Palatino Linotype" w:hAnsi="Palatino Linotype" w:cs="Palatino Linotype"/>
          <w:i/>
          <w:sz w:val="22"/>
          <w:szCs w:val="22"/>
        </w:rPr>
        <w:t xml:space="preserve">” </w:t>
      </w:r>
      <w:r w:rsidRPr="007A52DC">
        <w:rPr>
          <w:rFonts w:ascii="Palatino Linotype" w:eastAsia="Palatino Linotype" w:hAnsi="Palatino Linotype" w:cs="Palatino Linotype"/>
          <w:i/>
          <w:sz w:val="22"/>
          <w:szCs w:val="22"/>
        </w:rPr>
        <w:t>(Sic)</w:t>
      </w:r>
    </w:p>
    <w:p w14:paraId="527329DB" w14:textId="77777777" w:rsidR="00532AE4" w:rsidRPr="007A52DC" w:rsidRDefault="00532AE4" w:rsidP="00AE6242">
      <w:pPr>
        <w:spacing w:line="276" w:lineRule="auto"/>
        <w:ind w:left="567" w:right="616"/>
        <w:rPr>
          <w:rFonts w:ascii="Palatino Linotype" w:eastAsia="Palatino Linotype" w:hAnsi="Palatino Linotype" w:cs="Palatino Linotype"/>
          <w:b/>
          <w:sz w:val="22"/>
          <w:szCs w:val="22"/>
        </w:rPr>
      </w:pPr>
    </w:p>
    <w:p w14:paraId="27199E43" w14:textId="35C8BEC4" w:rsidR="00532AE4" w:rsidRPr="007A52DC" w:rsidRDefault="00A76F12" w:rsidP="00AE6242">
      <w:pPr>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sz w:val="22"/>
          <w:szCs w:val="22"/>
        </w:rPr>
        <w:t xml:space="preserve">b) Motivos de inconformidad. </w:t>
      </w:r>
      <w:r w:rsidRPr="007A52DC">
        <w:rPr>
          <w:rFonts w:ascii="Palatino Linotype" w:eastAsia="Palatino Linotype" w:hAnsi="Palatino Linotype" w:cs="Palatino Linotype"/>
          <w:i/>
          <w:sz w:val="22"/>
          <w:szCs w:val="22"/>
        </w:rPr>
        <w:t>“</w:t>
      </w:r>
      <w:r w:rsidR="009749F0" w:rsidRPr="007A52DC">
        <w:rPr>
          <w:rFonts w:ascii="Palatino Linotype" w:eastAsia="Palatino Linotype" w:hAnsi="Palatino Linotype" w:cs="Palatino Linotype"/>
          <w:i/>
          <w:sz w:val="22"/>
          <w:szCs w:val="22"/>
        </w:rPr>
        <w:t xml:space="preserve">MOTIVO DE LA </w:t>
      </w:r>
      <w:proofErr w:type="spellStart"/>
      <w:r w:rsidR="009749F0" w:rsidRPr="007A52DC">
        <w:rPr>
          <w:rFonts w:ascii="Palatino Linotype" w:eastAsia="Palatino Linotype" w:hAnsi="Palatino Linotype" w:cs="Palatino Linotype"/>
          <w:i/>
          <w:sz w:val="22"/>
          <w:szCs w:val="22"/>
        </w:rPr>
        <w:t>INCONFORMIDAD:Con</w:t>
      </w:r>
      <w:proofErr w:type="spellEnd"/>
      <w:r w:rsidR="009749F0" w:rsidRPr="007A52DC">
        <w:rPr>
          <w:rFonts w:ascii="Palatino Linotype" w:eastAsia="Palatino Linotype" w:hAnsi="Palatino Linotype" w:cs="Palatino Linotype"/>
          <w:i/>
          <w:sz w:val="22"/>
          <w:szCs w:val="22"/>
        </w:rPr>
        <w:t xml:space="preserve"> fundamento en los artículos 179 y 182 de la Ley de Transparencia y Acceso a la Información Pública del Estado de México y Municipios, interpongo el presente Recurso de Revisión en virtud de que el Sujeto Obligado ha dejado vencer en exceso el plazo legal de quince días hábiles para dar respuesta a mi solicitud de información, sin que medie notificación de prórroga alguna ni respuesta de ningún tipo en el sistema </w:t>
      </w:r>
      <w:proofErr w:type="spellStart"/>
      <w:r w:rsidR="009749F0" w:rsidRPr="007A52DC">
        <w:rPr>
          <w:rFonts w:ascii="Palatino Linotype" w:eastAsia="Palatino Linotype" w:hAnsi="Palatino Linotype" w:cs="Palatino Linotype"/>
          <w:i/>
          <w:sz w:val="22"/>
          <w:szCs w:val="22"/>
        </w:rPr>
        <w:t>SAIMEX.El</w:t>
      </w:r>
      <w:proofErr w:type="spellEnd"/>
      <w:r w:rsidR="009749F0" w:rsidRPr="007A52DC">
        <w:rPr>
          <w:rFonts w:ascii="Palatino Linotype" w:eastAsia="Palatino Linotype" w:hAnsi="Palatino Linotype" w:cs="Palatino Linotype"/>
          <w:i/>
          <w:sz w:val="22"/>
          <w:szCs w:val="22"/>
        </w:rPr>
        <w:t xml:space="preserve"> Sujeto Obligado vulnera de manera flagrante mi derecho constitucional de acceso a la información pública, incurriendo en una falta de transparencia absoluta y en una omisión reiterada de sus obligaciones legales en la </w:t>
      </w:r>
      <w:proofErr w:type="spellStart"/>
      <w:r w:rsidR="009749F0" w:rsidRPr="007A52DC">
        <w:rPr>
          <w:rFonts w:ascii="Palatino Linotype" w:eastAsia="Palatino Linotype" w:hAnsi="Palatino Linotype" w:cs="Palatino Linotype"/>
          <w:i/>
          <w:sz w:val="22"/>
          <w:szCs w:val="22"/>
        </w:rPr>
        <w:t>materia.Por</w:t>
      </w:r>
      <w:proofErr w:type="spellEnd"/>
      <w:r w:rsidR="009749F0" w:rsidRPr="007A52DC">
        <w:rPr>
          <w:rFonts w:ascii="Palatino Linotype" w:eastAsia="Palatino Linotype" w:hAnsi="Palatino Linotype" w:cs="Palatino Linotype"/>
          <w:i/>
          <w:sz w:val="22"/>
          <w:szCs w:val="22"/>
        </w:rPr>
        <w:t xml:space="preserve"> lo anterior, solicito formalmente al Pleno de este Instituto (INFOEM):ADMITIR el presente recurso de revisión por resultar totalmente procedente ante la falta de respuesta del Sujeto </w:t>
      </w:r>
      <w:proofErr w:type="spellStart"/>
      <w:r w:rsidR="009749F0" w:rsidRPr="007A52DC">
        <w:rPr>
          <w:rFonts w:ascii="Palatino Linotype" w:eastAsia="Palatino Linotype" w:hAnsi="Palatino Linotype" w:cs="Palatino Linotype"/>
          <w:i/>
          <w:sz w:val="22"/>
          <w:szCs w:val="22"/>
        </w:rPr>
        <w:t>Obligado.ORDENAR</w:t>
      </w:r>
      <w:proofErr w:type="spellEnd"/>
      <w:r w:rsidR="009749F0" w:rsidRPr="007A52DC">
        <w:rPr>
          <w:rFonts w:ascii="Palatino Linotype" w:eastAsia="Palatino Linotype" w:hAnsi="Palatino Linotype" w:cs="Palatino Linotype"/>
          <w:i/>
          <w:sz w:val="22"/>
          <w:szCs w:val="22"/>
        </w:rPr>
        <w:t xml:space="preserve"> al Instituto del Deporte del Estado de México la entrega inmediata, incondicional y gratuita de la información pública </w:t>
      </w:r>
      <w:proofErr w:type="spellStart"/>
      <w:r w:rsidR="009749F0" w:rsidRPr="007A52DC">
        <w:rPr>
          <w:rFonts w:ascii="Palatino Linotype" w:eastAsia="Palatino Linotype" w:hAnsi="Palatino Linotype" w:cs="Palatino Linotype"/>
          <w:i/>
          <w:sz w:val="22"/>
          <w:szCs w:val="22"/>
        </w:rPr>
        <w:t>solicitada.INICIAR</w:t>
      </w:r>
      <w:proofErr w:type="spellEnd"/>
      <w:r w:rsidR="009749F0" w:rsidRPr="007A52DC">
        <w:rPr>
          <w:rFonts w:ascii="Palatino Linotype" w:eastAsia="Palatino Linotype" w:hAnsi="Palatino Linotype" w:cs="Palatino Linotype"/>
          <w:i/>
          <w:sz w:val="22"/>
          <w:szCs w:val="22"/>
        </w:rPr>
        <w:t xml:space="preserve"> EL PROCEDIMIENTO SANCIONADOR correspondiente en contra del titular de la Unidad de Transparencia y/o de los servidores públicos responsables del Instituto del Deporte del Estado de México, de conformidad con el Título Décimo Primero de la Ley de Transparencia local, imponiendo las medidas de apremio y sanciones administrativas y económicas aplicables por la gravedad de la omisión y el desacato deliberado a los plazos legales.</w:t>
      </w:r>
      <w:r w:rsidR="002D134E" w:rsidRPr="007A52DC">
        <w:rPr>
          <w:rFonts w:ascii="Palatino Linotype" w:eastAsia="Palatino Linotype" w:hAnsi="Palatino Linotype" w:cs="Palatino Linotype"/>
          <w:i/>
          <w:sz w:val="22"/>
          <w:szCs w:val="22"/>
        </w:rPr>
        <w:t>”</w:t>
      </w:r>
      <w:r w:rsidRPr="007A52DC">
        <w:rPr>
          <w:rFonts w:ascii="Palatino Linotype" w:eastAsia="Palatino Linotype" w:hAnsi="Palatino Linotype" w:cs="Palatino Linotype"/>
          <w:i/>
          <w:sz w:val="22"/>
          <w:szCs w:val="22"/>
        </w:rPr>
        <w:t>(Sic)</w:t>
      </w:r>
    </w:p>
    <w:p w14:paraId="1CD932CE" w14:textId="0DD1EB9D" w:rsidR="00532AE4" w:rsidRPr="007A52DC"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7A52DC" w:rsidRDefault="00A01FAB">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4</w:t>
      </w:r>
      <w:r w:rsidR="00A76F12" w:rsidRPr="007A52DC">
        <w:rPr>
          <w:rFonts w:ascii="Palatino Linotype" w:eastAsia="Palatino Linotype" w:hAnsi="Palatino Linotype" w:cs="Palatino Linotype"/>
          <w:b/>
          <w:sz w:val="22"/>
          <w:szCs w:val="22"/>
        </w:rPr>
        <w:t xml:space="preserve">. Turno. </w:t>
      </w:r>
      <w:r w:rsidR="00A76F12" w:rsidRPr="007A52DC">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7A52DC">
        <w:rPr>
          <w:rFonts w:ascii="Palatino Linotype" w:eastAsia="Palatino Linotype" w:hAnsi="Palatino Linotype" w:cs="Palatino Linotype"/>
          <w:b/>
          <w:sz w:val="22"/>
          <w:szCs w:val="22"/>
        </w:rPr>
        <w:lastRenderedPageBreak/>
        <w:t>Guadalupe Ramírez Peña</w:t>
      </w:r>
      <w:r w:rsidR="00A76F12" w:rsidRPr="007A52DC">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7A52DC" w:rsidRDefault="00285CBA">
      <w:pPr>
        <w:spacing w:line="360" w:lineRule="auto"/>
        <w:jc w:val="both"/>
        <w:rPr>
          <w:rFonts w:ascii="Palatino Linotype" w:eastAsia="Palatino Linotype" w:hAnsi="Palatino Linotype" w:cs="Palatino Linotype"/>
          <w:sz w:val="22"/>
          <w:szCs w:val="22"/>
        </w:rPr>
      </w:pPr>
    </w:p>
    <w:p w14:paraId="6F47DF3C" w14:textId="65B43C0F" w:rsidR="00532AE4" w:rsidRPr="007A52DC" w:rsidRDefault="00417D9F">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5</w:t>
      </w:r>
      <w:r w:rsidR="00A76F12" w:rsidRPr="007A52DC">
        <w:rPr>
          <w:rFonts w:ascii="Palatino Linotype" w:eastAsia="Palatino Linotype" w:hAnsi="Palatino Linotype" w:cs="Palatino Linotype"/>
          <w:b/>
          <w:sz w:val="22"/>
          <w:szCs w:val="22"/>
        </w:rPr>
        <w:t xml:space="preserve">. Admisión. </w:t>
      </w:r>
      <w:r w:rsidR="003E2501" w:rsidRPr="007A52DC">
        <w:rPr>
          <w:rFonts w:ascii="Palatino Linotype" w:eastAsia="Palatino Linotype" w:hAnsi="Palatino Linotype" w:cs="Palatino Linotype"/>
          <w:sz w:val="22"/>
          <w:szCs w:val="22"/>
        </w:rPr>
        <w:t>En</w:t>
      </w:r>
      <w:r w:rsidR="000F363F" w:rsidRPr="007A52DC">
        <w:rPr>
          <w:rFonts w:ascii="Palatino Linotype" w:eastAsia="Palatino Linotype" w:hAnsi="Palatino Linotype" w:cs="Palatino Linotype"/>
          <w:sz w:val="22"/>
          <w:szCs w:val="22"/>
        </w:rPr>
        <w:t xml:space="preserve"> </w:t>
      </w:r>
      <w:r w:rsidR="00A8506B" w:rsidRPr="007A52DC">
        <w:rPr>
          <w:rFonts w:ascii="Palatino Linotype" w:eastAsia="Palatino Linotype" w:hAnsi="Palatino Linotype" w:cs="Palatino Linotype"/>
          <w:sz w:val="22"/>
          <w:szCs w:val="22"/>
        </w:rPr>
        <w:t xml:space="preserve">fecha </w:t>
      </w:r>
      <w:r w:rsidR="009749F0" w:rsidRPr="007A52DC">
        <w:rPr>
          <w:rFonts w:ascii="Palatino Linotype" w:eastAsia="Palatino Linotype" w:hAnsi="Palatino Linotype" w:cs="Palatino Linotype"/>
          <w:b/>
          <w:sz w:val="22"/>
          <w:szCs w:val="22"/>
        </w:rPr>
        <w:t>uno de septiembre</w:t>
      </w:r>
      <w:r w:rsidR="003E2501" w:rsidRPr="007A52DC">
        <w:rPr>
          <w:rFonts w:ascii="Palatino Linotype" w:eastAsia="Palatino Linotype" w:hAnsi="Palatino Linotype" w:cs="Palatino Linotype"/>
          <w:b/>
          <w:sz w:val="22"/>
          <w:szCs w:val="22"/>
        </w:rPr>
        <w:t xml:space="preserve"> de dos mil veintiséis</w:t>
      </w:r>
      <w:r w:rsidR="00044D36" w:rsidRPr="007A52DC">
        <w:rPr>
          <w:rFonts w:ascii="Palatino Linotype" w:eastAsia="Palatino Linotype" w:hAnsi="Palatino Linotype" w:cs="Palatino Linotype"/>
          <w:sz w:val="22"/>
          <w:szCs w:val="22"/>
        </w:rPr>
        <w:t xml:space="preserve">, </w:t>
      </w:r>
      <w:r w:rsidR="00A76F12" w:rsidRPr="007A52DC">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7A52DC" w:rsidRDefault="00417D9F">
      <w:pPr>
        <w:widowControl w:val="0"/>
        <w:spacing w:line="360" w:lineRule="auto"/>
        <w:ind w:right="49"/>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6</w:t>
      </w:r>
      <w:r w:rsidR="00A76F12" w:rsidRPr="007A52DC">
        <w:rPr>
          <w:rFonts w:ascii="Palatino Linotype" w:eastAsia="Palatino Linotype" w:hAnsi="Palatino Linotype" w:cs="Palatino Linotype"/>
          <w:b/>
          <w:sz w:val="22"/>
          <w:szCs w:val="22"/>
        </w:rPr>
        <w:t>. Manifestaciones</w:t>
      </w:r>
      <w:r w:rsidR="008B25A4" w:rsidRPr="007A52DC">
        <w:rPr>
          <w:rFonts w:ascii="Palatino Linotype" w:eastAsia="Palatino Linotype" w:hAnsi="Palatino Linotype" w:cs="Palatino Linotype"/>
          <w:sz w:val="22"/>
          <w:szCs w:val="22"/>
        </w:rPr>
        <w:t xml:space="preserve">. </w:t>
      </w:r>
      <w:r w:rsidR="006614E2" w:rsidRPr="007A52DC">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44F5B9AC" w:rsidR="006614E2" w:rsidRPr="007A52DC" w:rsidRDefault="00726B4A">
      <w:pPr>
        <w:spacing w:line="360" w:lineRule="auto"/>
        <w:jc w:val="both"/>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noProof/>
          <w:sz w:val="22"/>
          <w:szCs w:val="22"/>
          <w:lang w:val="es-MX"/>
        </w:rPr>
        <w:drawing>
          <wp:inline distT="0" distB="0" distL="0" distR="0" wp14:anchorId="21E0DDDE" wp14:editId="4E36C486">
            <wp:extent cx="5612130" cy="167894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678940"/>
                    </a:xfrm>
                    <a:prstGeom prst="rect">
                      <a:avLst/>
                    </a:prstGeom>
                  </pic:spPr>
                </pic:pic>
              </a:graphicData>
            </a:graphic>
          </wp:inline>
        </w:drawing>
      </w:r>
    </w:p>
    <w:p w14:paraId="59D90F90" w14:textId="77777777" w:rsidR="006614E2" w:rsidRPr="007A52DC" w:rsidRDefault="006614E2">
      <w:pPr>
        <w:spacing w:line="360" w:lineRule="auto"/>
        <w:jc w:val="both"/>
        <w:rPr>
          <w:rFonts w:ascii="Palatino Linotype" w:eastAsia="Palatino Linotype" w:hAnsi="Palatino Linotype" w:cs="Palatino Linotype"/>
          <w:b/>
          <w:sz w:val="22"/>
          <w:szCs w:val="22"/>
        </w:rPr>
      </w:pPr>
    </w:p>
    <w:p w14:paraId="2DD31F10" w14:textId="56997830" w:rsidR="00532AE4" w:rsidRPr="007A52DC" w:rsidRDefault="00417D9F">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7</w:t>
      </w:r>
      <w:r w:rsidR="00A76F12" w:rsidRPr="007A52DC">
        <w:rPr>
          <w:rFonts w:ascii="Palatino Linotype" w:eastAsia="Palatino Linotype" w:hAnsi="Palatino Linotype" w:cs="Palatino Linotype"/>
          <w:b/>
          <w:sz w:val="22"/>
          <w:szCs w:val="22"/>
        </w:rPr>
        <w:t xml:space="preserve">. Cierre de instrucción. </w:t>
      </w:r>
      <w:r w:rsidR="00A76F12" w:rsidRPr="007A52DC">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726B4A" w:rsidRPr="007A52DC">
        <w:rPr>
          <w:rFonts w:ascii="Palatino Linotype" w:eastAsia="Palatino Linotype" w:hAnsi="Palatino Linotype" w:cs="Palatino Linotype"/>
          <w:b/>
          <w:sz w:val="22"/>
          <w:szCs w:val="22"/>
        </w:rPr>
        <w:t xml:space="preserve">once </w:t>
      </w:r>
      <w:r w:rsidR="008E5D58" w:rsidRPr="007A52DC">
        <w:rPr>
          <w:rFonts w:ascii="Palatino Linotype" w:eastAsia="Palatino Linotype" w:hAnsi="Palatino Linotype" w:cs="Palatino Linotype"/>
          <w:b/>
          <w:sz w:val="22"/>
          <w:szCs w:val="22"/>
        </w:rPr>
        <w:t>de septiembre</w:t>
      </w:r>
      <w:r w:rsidR="007E7839" w:rsidRPr="007A52DC">
        <w:rPr>
          <w:rFonts w:ascii="Palatino Linotype" w:eastAsia="Palatino Linotype" w:hAnsi="Palatino Linotype" w:cs="Palatino Linotype"/>
          <w:b/>
          <w:sz w:val="22"/>
          <w:szCs w:val="22"/>
        </w:rPr>
        <w:t xml:space="preserve"> de dos mil veintiséis</w:t>
      </w:r>
      <w:r w:rsidR="00A76F12" w:rsidRPr="007A52DC">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7A52DC" w:rsidRDefault="00A76F12">
      <w:pPr>
        <w:widowControl w:val="0"/>
        <w:spacing w:line="360" w:lineRule="auto"/>
        <w:jc w:val="center"/>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II. C O N S I D E R A N D O S</w:t>
      </w:r>
    </w:p>
    <w:p w14:paraId="04E1DD04" w14:textId="77777777" w:rsidR="00532AE4" w:rsidRPr="007A52DC"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7A52DC" w:rsidRDefault="00A76F12" w:rsidP="005231DC">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Primero. Competencia.</w:t>
      </w:r>
      <w:r w:rsidRPr="007A52DC">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7A52DC">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7A52DC">
        <w:rPr>
          <w:rFonts w:ascii="Palatino Linotype" w:eastAsia="Palatino Linotype" w:hAnsi="Palatino Linotype" w:cs="Palatino Linotype"/>
          <w:sz w:val="22"/>
          <w:szCs w:val="22"/>
        </w:rPr>
        <w:t>;</w:t>
      </w:r>
      <w:r w:rsidR="005231DC" w:rsidRPr="007A52DC">
        <w:rPr>
          <w:rFonts w:ascii="Palatino Linotype" w:eastAsia="Palatino Linotype" w:hAnsi="Palatino Linotype" w:cs="Palatino Linotype"/>
          <w:sz w:val="22"/>
          <w:szCs w:val="22"/>
        </w:rPr>
        <w:t xml:space="preserve"> </w:t>
      </w:r>
      <w:r w:rsidRPr="007A52DC">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Segundo. Oportunidad y Procedibilidad del Recurso de Revisión. </w:t>
      </w:r>
      <w:r w:rsidRPr="007A52DC">
        <w:rPr>
          <w:rFonts w:ascii="Palatino Linotype" w:eastAsia="Palatino Linotype" w:hAnsi="Palatino Linotype" w:cs="Palatino Linotype"/>
          <w:sz w:val="22"/>
          <w:szCs w:val="22"/>
        </w:rPr>
        <w:t>Por cuanto hace a la oportunidad del recurso de revisión</w:t>
      </w:r>
      <w:r w:rsidRPr="007A52DC">
        <w:rPr>
          <w:rFonts w:ascii="Palatino Linotype" w:eastAsia="Palatino Linotype" w:hAnsi="Palatino Linotype" w:cs="Palatino Linotype"/>
          <w:b/>
          <w:sz w:val="22"/>
          <w:szCs w:val="22"/>
        </w:rPr>
        <w:t xml:space="preserve"> </w:t>
      </w:r>
      <w:r w:rsidRPr="007A52DC">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Derivado de lo anterior, se constituye la figura jurídica de la </w:t>
      </w:r>
      <w:r w:rsidRPr="007A52DC">
        <w:rPr>
          <w:rFonts w:ascii="Palatino Linotype" w:eastAsia="Palatino Linotype" w:hAnsi="Palatino Linotype" w:cs="Palatino Linotype"/>
          <w:b/>
          <w:sz w:val="22"/>
          <w:szCs w:val="22"/>
        </w:rPr>
        <w:t>NEGATIVA FICTA</w:t>
      </w:r>
      <w:r w:rsidRPr="007A52DC">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De tal manera, en el presente recurso de revisión se actualizó la negativa ficta por parte del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al no haber respondido a la parte </w:t>
      </w:r>
      <w:r w:rsidRPr="007A52DC">
        <w:rPr>
          <w:rFonts w:ascii="Palatino Linotype" w:eastAsia="Palatino Linotype" w:hAnsi="Palatino Linotype" w:cs="Palatino Linotype"/>
          <w:b/>
          <w:sz w:val="22"/>
          <w:szCs w:val="22"/>
        </w:rPr>
        <w:t>RECURRENTE</w:t>
      </w:r>
      <w:r w:rsidRPr="007A52DC">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Si a ello se le suma lo previsto en el párrafo segundo del artículo 178, párrafo segundo</w:t>
      </w:r>
      <w:r w:rsidRPr="007A52DC">
        <w:rPr>
          <w:rFonts w:ascii="Palatino Linotype" w:eastAsia="Palatino Linotype" w:hAnsi="Palatino Linotype" w:cs="Palatino Linotype"/>
          <w:sz w:val="22"/>
          <w:szCs w:val="22"/>
          <w:vertAlign w:val="superscript"/>
        </w:rPr>
        <w:footnoteReference w:id="1"/>
      </w:r>
      <w:r w:rsidRPr="007A52DC">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7A52DC" w:rsidRDefault="00532AE4">
      <w:pPr>
        <w:spacing w:line="360" w:lineRule="auto"/>
        <w:jc w:val="both"/>
        <w:rPr>
          <w:i/>
          <w:sz w:val="22"/>
          <w:szCs w:val="22"/>
        </w:rPr>
      </w:pPr>
    </w:p>
    <w:p w14:paraId="4BB01BE0" w14:textId="77777777" w:rsidR="00532AE4" w:rsidRPr="007A52DC" w:rsidRDefault="00A76F12">
      <w:pPr>
        <w:ind w:left="567" w:right="616"/>
        <w:jc w:val="both"/>
        <w:rPr>
          <w:rFonts w:ascii="Palatino Linotype" w:eastAsia="Palatino Linotype" w:hAnsi="Palatino Linotype" w:cs="Palatino Linotype"/>
          <w:b/>
          <w:i/>
          <w:sz w:val="22"/>
          <w:szCs w:val="22"/>
        </w:rPr>
      </w:pPr>
      <w:r w:rsidRPr="007A52DC">
        <w:rPr>
          <w:rFonts w:ascii="Palatino Linotype" w:eastAsia="Palatino Linotype" w:hAnsi="Palatino Linotype" w:cs="Palatino Linotype"/>
          <w:i/>
          <w:sz w:val="22"/>
          <w:szCs w:val="22"/>
        </w:rPr>
        <w:lastRenderedPageBreak/>
        <w:t>“</w:t>
      </w:r>
      <w:r w:rsidRPr="007A52DC">
        <w:rPr>
          <w:rFonts w:ascii="Palatino Linotype" w:eastAsia="Palatino Linotype" w:hAnsi="Palatino Linotype" w:cs="Palatino Linotype"/>
          <w:b/>
          <w:i/>
          <w:sz w:val="22"/>
          <w:szCs w:val="22"/>
        </w:rPr>
        <w:t>CRITERIO 0001-15 NEGATIVA FICTA. PLAZO PARA INTERPONER EL RECURSO DE REVISIÓN TRATÁNDOSE DE</w:t>
      </w:r>
      <w:r w:rsidRPr="007A52DC">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7A52DC" w:rsidRDefault="00532AE4">
      <w:pPr>
        <w:ind w:left="567" w:right="851"/>
        <w:jc w:val="both"/>
        <w:rPr>
          <w:rFonts w:ascii="Palatino Linotype" w:eastAsia="Palatino Linotype" w:hAnsi="Palatino Linotype" w:cs="Palatino Linotype"/>
          <w:i/>
          <w:sz w:val="22"/>
          <w:szCs w:val="22"/>
        </w:rPr>
      </w:pPr>
    </w:p>
    <w:p w14:paraId="76E26C4F" w14:textId="169CE5C8" w:rsidR="00532AE4" w:rsidRPr="007A52DC"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7A52DC">
        <w:rPr>
          <w:rFonts w:ascii="Palatino Linotype" w:eastAsia="Palatino Linotype" w:hAnsi="Palatino Linotype" w:cs="Palatino Linotype"/>
          <w:b/>
          <w:sz w:val="22"/>
          <w:szCs w:val="22"/>
        </w:rPr>
        <w:t>EL</w:t>
      </w:r>
      <w:r w:rsidRPr="007A52DC">
        <w:rPr>
          <w:rFonts w:ascii="Palatino Linotype" w:eastAsia="Palatino Linotype" w:hAnsi="Palatino Linotype" w:cs="Palatino Linotype"/>
          <w:sz w:val="22"/>
          <w:szCs w:val="22"/>
        </w:rPr>
        <w:t xml:space="preserve"> </w:t>
      </w:r>
      <w:r w:rsidRPr="007A52DC">
        <w:rPr>
          <w:rFonts w:ascii="Palatino Linotype" w:eastAsia="Palatino Linotype" w:hAnsi="Palatino Linotype" w:cs="Palatino Linotype"/>
          <w:b/>
          <w:sz w:val="22"/>
          <w:szCs w:val="22"/>
        </w:rPr>
        <w:t>SAIMEX</w:t>
      </w:r>
      <w:r w:rsidRPr="007A52DC">
        <w:rPr>
          <w:rFonts w:ascii="Palatino Linotype" w:eastAsia="Palatino Linotype" w:hAnsi="Palatino Linotype" w:cs="Palatino Linotype"/>
          <w:sz w:val="22"/>
          <w:szCs w:val="22"/>
        </w:rPr>
        <w:t>.</w:t>
      </w:r>
    </w:p>
    <w:p w14:paraId="1C27DB56" w14:textId="40163621" w:rsidR="00B503D1" w:rsidRPr="007A52DC"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7A52DC">
        <w:rPr>
          <w:rFonts w:ascii="Palatino Linotype" w:eastAsia="Palatino Linotype" w:hAnsi="Palatino Linotype" w:cs="Palatino Linotype"/>
          <w:b/>
          <w:sz w:val="22"/>
          <w:szCs w:val="22"/>
        </w:rPr>
        <w:t>RECURRENTE</w:t>
      </w:r>
      <w:r w:rsidRPr="007A52DC">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7A52DC" w:rsidRDefault="00A76F12">
      <w:pPr>
        <w:ind w:left="567" w:right="616"/>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i/>
          <w:sz w:val="22"/>
          <w:szCs w:val="22"/>
        </w:rPr>
        <w:t>“</w:t>
      </w:r>
      <w:r w:rsidRPr="007A52DC">
        <w:rPr>
          <w:rFonts w:ascii="Palatino Linotype" w:eastAsia="Palatino Linotype" w:hAnsi="Palatino Linotype" w:cs="Palatino Linotype"/>
          <w:b/>
          <w:sz w:val="22"/>
          <w:szCs w:val="22"/>
        </w:rPr>
        <w:t>Artículo 179.</w:t>
      </w:r>
      <w:r w:rsidRPr="007A52DC">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7A52DC">
        <w:rPr>
          <w:rFonts w:ascii="Palatino Linotype" w:eastAsia="Palatino Linotype" w:hAnsi="Palatino Linotype" w:cs="Palatino Linotype"/>
          <w:sz w:val="22"/>
          <w:szCs w:val="22"/>
        </w:rPr>
        <w:t> </w:t>
      </w:r>
    </w:p>
    <w:p w14:paraId="7ACAE181" w14:textId="77777777" w:rsidR="00532AE4" w:rsidRPr="007A52DC" w:rsidRDefault="00A76F12">
      <w:pPr>
        <w:ind w:left="567" w:right="616"/>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w:t>
      </w:r>
    </w:p>
    <w:p w14:paraId="543A0FF7" w14:textId="77777777" w:rsidR="00532AE4" w:rsidRPr="007A52DC" w:rsidRDefault="00A76F12">
      <w:pPr>
        <w:numPr>
          <w:ilvl w:val="0"/>
          <w:numId w:val="4"/>
        </w:numPr>
        <w:ind w:left="567" w:right="616" w:firstLine="0"/>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7A52DC"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7A52DC" w:rsidRDefault="00A76F12">
      <w:pPr>
        <w:tabs>
          <w:tab w:val="left" w:pos="8647"/>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Tercero. Materia de la revisión. </w:t>
      </w:r>
      <w:r w:rsidRPr="007A52DC">
        <w:rPr>
          <w:rFonts w:ascii="Palatino Linotype" w:eastAsia="Palatino Linotype" w:hAnsi="Palatino Linotype" w:cs="Palatino Linotype"/>
          <w:sz w:val="22"/>
          <w:szCs w:val="22"/>
        </w:rPr>
        <w:t xml:space="preserve">Este Organismo Garante procede del análisis de los agravios hechos valer por la parte </w:t>
      </w:r>
      <w:r w:rsidRPr="007A52DC">
        <w:rPr>
          <w:rFonts w:ascii="Palatino Linotype" w:eastAsia="Palatino Linotype" w:hAnsi="Palatino Linotype" w:cs="Palatino Linotype"/>
          <w:b/>
          <w:sz w:val="22"/>
          <w:szCs w:val="22"/>
        </w:rPr>
        <w:t>Recurrente</w:t>
      </w:r>
      <w:r w:rsidRPr="007A52DC">
        <w:rPr>
          <w:rFonts w:ascii="Palatino Linotype" w:eastAsia="Palatino Linotype" w:hAnsi="Palatino Linotype" w:cs="Palatino Linotype"/>
          <w:sz w:val="22"/>
          <w:szCs w:val="22"/>
        </w:rPr>
        <w:t xml:space="preserve">, a fin de determinar si se violenta en perjuicio </w:t>
      </w:r>
      <w:r w:rsidRPr="007A52DC">
        <w:rPr>
          <w:rFonts w:ascii="Palatino Linotype" w:eastAsia="Palatino Linotype" w:hAnsi="Palatino Linotype" w:cs="Palatino Linotype"/>
          <w:sz w:val="22"/>
          <w:szCs w:val="22"/>
        </w:rPr>
        <w:lastRenderedPageBreak/>
        <w:t xml:space="preserve">de este, el derecho de acceso a la información previsto en la Constitución Política de los Estados Unidos Mexicanos y en la Constitución Política del Estado Libre y Soberano de México. </w:t>
      </w:r>
    </w:p>
    <w:p w14:paraId="1B5D8226" w14:textId="77777777" w:rsidR="00532AE4" w:rsidRPr="007A52DC"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Cuarto. Estudio del asunto. </w:t>
      </w:r>
      <w:r w:rsidRPr="007A52DC">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7A52DC">
        <w:rPr>
          <w:rFonts w:ascii="Palatino Linotype" w:eastAsia="Palatino Linotype" w:hAnsi="Palatino Linotype" w:cs="Palatino Linotype"/>
          <w:b/>
          <w:sz w:val="22"/>
          <w:szCs w:val="22"/>
        </w:rPr>
        <w:t xml:space="preserve">Sujeto Obligado </w:t>
      </w:r>
      <w:r w:rsidRPr="007A52DC">
        <w:rPr>
          <w:rFonts w:ascii="Palatino Linotype" w:eastAsia="Palatino Linotype" w:hAnsi="Palatino Linotype" w:cs="Palatino Linotype"/>
          <w:sz w:val="22"/>
          <w:szCs w:val="22"/>
        </w:rPr>
        <w:t xml:space="preserve">no dio respuesta a la solicitud de información planteada por la parte </w:t>
      </w:r>
      <w:r w:rsidRPr="007A52DC">
        <w:rPr>
          <w:rFonts w:ascii="Palatino Linotype" w:eastAsia="Palatino Linotype" w:hAnsi="Palatino Linotype" w:cs="Palatino Linotype"/>
          <w:b/>
          <w:sz w:val="22"/>
          <w:szCs w:val="22"/>
        </w:rPr>
        <w:t>Recurrente</w:t>
      </w:r>
      <w:r w:rsidRPr="007A52DC">
        <w:rPr>
          <w:rFonts w:ascii="Palatino Linotype" w:eastAsia="Palatino Linotype" w:hAnsi="Palatino Linotype" w:cs="Palatino Linotype"/>
          <w:sz w:val="22"/>
          <w:szCs w:val="22"/>
        </w:rPr>
        <w:t xml:space="preserve">, lo que se traduce como la configuración de la </w:t>
      </w:r>
      <w:r w:rsidRPr="007A52DC">
        <w:rPr>
          <w:rFonts w:ascii="Palatino Linotype" w:eastAsia="Palatino Linotype" w:hAnsi="Palatino Linotype" w:cs="Palatino Linotype"/>
          <w:b/>
          <w:sz w:val="22"/>
          <w:szCs w:val="22"/>
        </w:rPr>
        <w:t>negativa ficta</w:t>
      </w:r>
      <w:r w:rsidRPr="007A52DC">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7A52DC">
        <w:rPr>
          <w:rFonts w:ascii="Palatino Linotype" w:eastAsia="Palatino Linotype" w:hAnsi="Palatino Linotype" w:cs="Palatino Linotype"/>
          <w:b/>
          <w:sz w:val="22"/>
          <w:szCs w:val="22"/>
        </w:rPr>
        <w:t>Recurrente</w:t>
      </w:r>
      <w:r w:rsidRPr="007A52DC">
        <w:rPr>
          <w:rFonts w:ascii="Palatino Linotype" w:eastAsia="Palatino Linotype" w:hAnsi="Palatino Linotype" w:cs="Palatino Linotype"/>
          <w:sz w:val="22"/>
          <w:szCs w:val="22"/>
        </w:rPr>
        <w:t xml:space="preserve">, se advierte que requirió al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le proporcionara, información consistente en lo siguiente:</w:t>
      </w:r>
    </w:p>
    <w:p w14:paraId="35279DFB" w14:textId="26A242AF" w:rsidR="00532AE4" w:rsidRPr="007A52DC" w:rsidRDefault="00B82C51" w:rsidP="007276F5">
      <w:pPr>
        <w:jc w:val="both"/>
        <w:rPr>
          <w:rFonts w:ascii="Palatino Linotype" w:eastAsia="Palatino Linotype" w:hAnsi="Palatino Linotype"/>
          <w:i/>
          <w:sz w:val="22"/>
          <w:szCs w:val="22"/>
        </w:rPr>
      </w:pPr>
      <w:r w:rsidRPr="007A52DC">
        <w:rPr>
          <w:rFonts w:ascii="Palatino Linotype" w:eastAsia="Palatino Linotype" w:hAnsi="Palatino Linotype"/>
          <w:i/>
          <w:sz w:val="22"/>
          <w:szCs w:val="22"/>
        </w:rPr>
        <w:t>“</w:t>
      </w:r>
      <w:r w:rsidR="00D6388C" w:rsidRPr="007A52DC">
        <w:rPr>
          <w:rFonts w:ascii="Palatino Linotype" w:eastAsia="Palatino Linotype" w:hAnsi="Palatino Linotype"/>
          <w:i/>
          <w:sz w:val="22"/>
          <w:szCs w:val="22"/>
        </w:rPr>
        <w:t xml:space="preserve">solicito a </w:t>
      </w:r>
      <w:proofErr w:type="spellStart"/>
      <w:r w:rsidR="00D6388C" w:rsidRPr="007A52DC">
        <w:rPr>
          <w:rFonts w:ascii="Palatino Linotype" w:eastAsia="Palatino Linotype" w:hAnsi="Palatino Linotype"/>
          <w:i/>
          <w:sz w:val="22"/>
          <w:szCs w:val="22"/>
        </w:rPr>
        <w:t>travez</w:t>
      </w:r>
      <w:proofErr w:type="spellEnd"/>
      <w:r w:rsidR="00D6388C" w:rsidRPr="007A52DC">
        <w:rPr>
          <w:rFonts w:ascii="Palatino Linotype" w:eastAsia="Palatino Linotype" w:hAnsi="Palatino Linotype"/>
          <w:i/>
          <w:sz w:val="22"/>
          <w:szCs w:val="22"/>
        </w:rPr>
        <w:t xml:space="preserve"> la siguiente </w:t>
      </w:r>
      <w:proofErr w:type="spellStart"/>
      <w:r w:rsidR="00D6388C" w:rsidRPr="007A52DC">
        <w:rPr>
          <w:rFonts w:ascii="Palatino Linotype" w:eastAsia="Palatino Linotype" w:hAnsi="Palatino Linotype"/>
          <w:i/>
          <w:sz w:val="22"/>
          <w:szCs w:val="22"/>
        </w:rPr>
        <w:t>informacion</w:t>
      </w:r>
      <w:proofErr w:type="spellEnd"/>
      <w:r w:rsidR="00D6388C" w:rsidRPr="007A52DC">
        <w:rPr>
          <w:rFonts w:ascii="Palatino Linotype" w:eastAsia="Palatino Linotype" w:hAnsi="Palatino Linotype"/>
          <w:i/>
          <w:sz w:val="22"/>
          <w:szCs w:val="22"/>
        </w:rPr>
        <w:t xml:space="preserve"> en versión </w:t>
      </w:r>
      <w:proofErr w:type="spellStart"/>
      <w:r w:rsidR="00D6388C" w:rsidRPr="007A52DC">
        <w:rPr>
          <w:rFonts w:ascii="Palatino Linotype" w:eastAsia="Palatino Linotype" w:hAnsi="Palatino Linotype"/>
          <w:i/>
          <w:sz w:val="22"/>
          <w:szCs w:val="22"/>
        </w:rPr>
        <w:t>publica</w:t>
      </w:r>
      <w:proofErr w:type="spellEnd"/>
      <w:r w:rsidR="00D6388C" w:rsidRPr="007A52DC">
        <w:rPr>
          <w:rFonts w:ascii="Palatino Linotype" w:eastAsia="Palatino Linotype" w:hAnsi="Palatino Linotype"/>
          <w:i/>
          <w:sz w:val="22"/>
          <w:szCs w:val="22"/>
        </w:rPr>
        <w:t xml:space="preserve">. la lista Nominal del Instituto del Deporte del Estado de </w:t>
      </w:r>
      <w:proofErr w:type="spellStart"/>
      <w:r w:rsidR="00D6388C" w:rsidRPr="007A52DC">
        <w:rPr>
          <w:rFonts w:ascii="Palatino Linotype" w:eastAsia="Palatino Linotype" w:hAnsi="Palatino Linotype"/>
          <w:i/>
          <w:sz w:val="22"/>
          <w:szCs w:val="22"/>
        </w:rPr>
        <w:t>Mexico</w:t>
      </w:r>
      <w:proofErr w:type="spellEnd"/>
      <w:r w:rsidR="009C3B23" w:rsidRPr="007A52DC">
        <w:rPr>
          <w:rFonts w:ascii="Palatino Linotype" w:eastAsia="Palatino Linotype" w:hAnsi="Palatino Linotype"/>
          <w:i/>
          <w:sz w:val="22"/>
          <w:szCs w:val="22"/>
        </w:rPr>
        <w:t>”</w:t>
      </w:r>
      <w:r w:rsidR="00223CD6" w:rsidRPr="007A52DC">
        <w:rPr>
          <w:rFonts w:ascii="Palatino Linotype" w:eastAsia="Palatino Linotype" w:hAnsi="Palatino Linotype"/>
          <w:i/>
          <w:sz w:val="22"/>
          <w:szCs w:val="22"/>
        </w:rPr>
        <w:t xml:space="preserve"> (</w:t>
      </w:r>
      <w:r w:rsidR="00A76F12" w:rsidRPr="007A52DC">
        <w:rPr>
          <w:rFonts w:ascii="Palatino Linotype" w:eastAsia="Palatino Linotype" w:hAnsi="Palatino Linotype"/>
          <w:i/>
          <w:sz w:val="22"/>
          <w:szCs w:val="22"/>
        </w:rPr>
        <w:t>Sic)</w:t>
      </w:r>
    </w:p>
    <w:p w14:paraId="4BE46D97" w14:textId="77777777" w:rsidR="00532AE4" w:rsidRPr="007A52DC"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7A52DC" w:rsidRDefault="00A76F12">
      <w:pPr>
        <w:tabs>
          <w:tab w:val="left" w:pos="709"/>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7A52DC"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7A52DC"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7A52DC">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7A52DC"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7A52DC">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7A52DC"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7A52DC">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7A52DC"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w:t>
      </w:r>
    </w:p>
    <w:p w14:paraId="54E0C206"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“Artículo 6o.</w:t>
      </w:r>
    </w:p>
    <w:p w14:paraId="4D803AB1"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w:t>
      </w:r>
    </w:p>
    <w:p w14:paraId="4B588253"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A. Para el ejercicio del derecho de acceso a la información, la Federación y </w:t>
      </w:r>
      <w:r w:rsidRPr="007A52DC">
        <w:rPr>
          <w:rFonts w:ascii="Palatino Linotype" w:eastAsia="Palatino Linotype" w:hAnsi="Palatino Linotype" w:cs="Palatino Linotype"/>
          <w:b/>
          <w:i/>
          <w:sz w:val="22"/>
          <w:szCs w:val="22"/>
          <w:u w:val="single"/>
        </w:rPr>
        <w:t>las entidades federativas</w:t>
      </w:r>
      <w:r w:rsidRPr="007A52DC">
        <w:rPr>
          <w:rFonts w:ascii="Palatino Linotype" w:eastAsia="Palatino Linotype" w:hAnsi="Palatino Linotype" w:cs="Palatino Linotype"/>
          <w:b/>
          <w:i/>
          <w:sz w:val="22"/>
          <w:szCs w:val="22"/>
        </w:rPr>
        <w:t>,</w:t>
      </w:r>
      <w:r w:rsidRPr="007A52DC">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 </w:t>
      </w:r>
      <w:r w:rsidRPr="007A52DC">
        <w:rPr>
          <w:rFonts w:ascii="Palatino Linotype" w:eastAsia="Palatino Linotype" w:hAnsi="Palatino Linotype" w:cs="Palatino Linotype"/>
          <w:b/>
          <w:i/>
          <w:sz w:val="22"/>
          <w:szCs w:val="22"/>
          <w:u w:val="single"/>
        </w:rPr>
        <w:t>Toda la información en posesión de cualquier autoridad, entidad, órgano y organismo de los Poderes</w:t>
      </w:r>
      <w:r w:rsidRPr="007A52DC">
        <w:rPr>
          <w:rFonts w:ascii="Palatino Linotype" w:eastAsia="Palatino Linotype" w:hAnsi="Palatino Linotype" w:cs="Palatino Linotype"/>
          <w:i/>
          <w:sz w:val="22"/>
          <w:szCs w:val="22"/>
        </w:rPr>
        <w:t xml:space="preserve"> Ejecutivo, Legislativo </w:t>
      </w:r>
      <w:r w:rsidRPr="007A52DC">
        <w:rPr>
          <w:rFonts w:ascii="Palatino Linotype" w:eastAsia="Palatino Linotype" w:hAnsi="Palatino Linotype" w:cs="Palatino Linotype"/>
          <w:b/>
          <w:i/>
          <w:sz w:val="22"/>
          <w:szCs w:val="22"/>
          <w:u w:val="single"/>
        </w:rPr>
        <w:t>y Judicial</w:t>
      </w:r>
      <w:r w:rsidRPr="007A52DC">
        <w:rPr>
          <w:rFonts w:ascii="Palatino Linotype" w:eastAsia="Palatino Linotype" w:hAnsi="Palatino Linotype" w:cs="Palatino Linotype"/>
          <w:i/>
          <w:sz w:val="22"/>
          <w:szCs w:val="22"/>
        </w:rPr>
        <w:t xml:space="preserve">, órganos autónomos, </w:t>
      </w:r>
      <w:r w:rsidRPr="007A52DC">
        <w:rPr>
          <w:rFonts w:ascii="Palatino Linotype" w:eastAsia="Palatino Linotype" w:hAnsi="Palatino Linotype" w:cs="Palatino Linotype"/>
          <w:i/>
          <w:sz w:val="22"/>
          <w:szCs w:val="22"/>
        </w:rPr>
        <w:lastRenderedPageBreak/>
        <w:t xml:space="preserve">partidos políticos, fideicomisos y fondos públicos, así como de cualquier persona física, moral o sindicato que reciba y ejerza recursos públicos o realice actos de autoridad en el ámbito federal, estatal y municipal, </w:t>
      </w:r>
      <w:r w:rsidRPr="007A52DC">
        <w:rPr>
          <w:rFonts w:ascii="Palatino Linotype" w:eastAsia="Palatino Linotype" w:hAnsi="Palatino Linotype" w:cs="Palatino Linotype"/>
          <w:b/>
          <w:i/>
          <w:sz w:val="22"/>
          <w:szCs w:val="22"/>
        </w:rPr>
        <w:t>es pública y sólo podrá ser reservada temporalmente por razones de interés público y seguridad nacional,</w:t>
      </w:r>
      <w:r w:rsidRPr="007A52DC">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7A52DC" w:rsidRDefault="00A76F12">
      <w:pPr>
        <w:spacing w:line="276" w:lineRule="auto"/>
        <w:ind w:left="567" w:right="851"/>
        <w:jc w:val="both"/>
        <w:rPr>
          <w:rFonts w:ascii="Palatino Linotype" w:eastAsia="Palatino Linotype" w:hAnsi="Palatino Linotype" w:cs="Palatino Linotype"/>
          <w:b/>
          <w:i/>
          <w:sz w:val="22"/>
          <w:szCs w:val="22"/>
        </w:rPr>
      </w:pPr>
      <w:r w:rsidRPr="007A52DC">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III. </w:t>
      </w:r>
      <w:r w:rsidRPr="007A52DC">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7A52DC">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IV.</w:t>
      </w:r>
      <w:r w:rsidRPr="007A52DC">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7A52DC" w:rsidRDefault="00A76F12">
      <w:pPr>
        <w:spacing w:line="276" w:lineRule="auto"/>
        <w:ind w:left="567" w:right="851"/>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V. </w:t>
      </w:r>
      <w:r w:rsidRPr="007A52DC">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7A52DC"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7A52DC"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7A52DC" w:rsidRDefault="00A76F12">
      <w:pPr>
        <w:tabs>
          <w:tab w:val="left" w:pos="709"/>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7A52DC"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lastRenderedPageBreak/>
        <w:t>En ese orden de ideas, la Ley de Transparencia y Acceso a la Información Pública del Estado de México y Municipios, prevé en su artículo 23, lo siguiente:</w:t>
      </w:r>
    </w:p>
    <w:p w14:paraId="77A91B3C"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w:t>
      </w:r>
      <w:r w:rsidRPr="007A52DC">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7A52DC">
        <w:rPr>
          <w:rFonts w:ascii="Palatino Linotype" w:eastAsia="Palatino Linotype" w:hAnsi="Palatino Linotype" w:cs="Palatino Linotype"/>
          <w:i/>
          <w:sz w:val="22"/>
          <w:szCs w:val="22"/>
        </w:rPr>
        <w:t>:</w:t>
      </w:r>
    </w:p>
    <w:p w14:paraId="275F2B94"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7A52DC">
        <w:rPr>
          <w:rFonts w:ascii="Palatino Linotype" w:eastAsia="Palatino Linotype" w:hAnsi="Palatino Linotype" w:cs="Palatino Linotype"/>
          <w:b/>
          <w:i/>
          <w:sz w:val="22"/>
          <w:szCs w:val="22"/>
        </w:rPr>
        <w:t>I.</w:t>
      </w:r>
      <w:r w:rsidRPr="007A52DC">
        <w:rPr>
          <w:rFonts w:ascii="Palatino Linotype" w:eastAsia="Palatino Linotype" w:hAnsi="Palatino Linotype" w:cs="Palatino Linotype"/>
          <w:i/>
          <w:sz w:val="22"/>
          <w:szCs w:val="22"/>
        </w:rPr>
        <w:t xml:space="preserve"> El Poder Ejecutivo del Estado de México, las dependencias, organismos auxiliares,</w:t>
      </w:r>
      <w:r w:rsidRPr="007A52DC">
        <w:rPr>
          <w:rFonts w:ascii="Palatino Linotype" w:eastAsia="Palatino Linotype" w:hAnsi="Palatino Linotype" w:cs="Palatino Linotype"/>
          <w:b/>
          <w:i/>
          <w:sz w:val="22"/>
          <w:szCs w:val="22"/>
        </w:rPr>
        <w:t xml:space="preserve"> </w:t>
      </w:r>
      <w:r w:rsidRPr="007A52DC">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II.</w:t>
      </w:r>
      <w:r w:rsidRPr="007A52DC">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III.</w:t>
      </w:r>
      <w:r w:rsidRPr="007A52DC">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7A52DC">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V.</w:t>
      </w:r>
      <w:r w:rsidRPr="007A52DC">
        <w:rPr>
          <w:rFonts w:ascii="Palatino Linotype" w:eastAsia="Palatino Linotype" w:hAnsi="Palatino Linotype" w:cs="Palatino Linotype"/>
          <w:i/>
          <w:sz w:val="22"/>
          <w:szCs w:val="22"/>
        </w:rPr>
        <w:t xml:space="preserve"> Los órganos autónomos;</w:t>
      </w:r>
    </w:p>
    <w:p w14:paraId="47FBCC3D"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VI.</w:t>
      </w:r>
      <w:r w:rsidRPr="007A52DC">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VII.</w:t>
      </w:r>
      <w:r w:rsidRPr="007A52DC">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VIII.</w:t>
      </w:r>
      <w:r w:rsidRPr="007A52DC">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IX.</w:t>
      </w:r>
      <w:r w:rsidRPr="007A52DC">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X.</w:t>
      </w:r>
      <w:r w:rsidRPr="007A52DC">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XI.</w:t>
      </w:r>
      <w:r w:rsidRPr="007A52DC">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7A52DC"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7A52DC">
        <w:rPr>
          <w:rFonts w:ascii="Palatino Linotype" w:eastAsia="Palatino Linotype" w:hAnsi="Palatino Linotype" w:cs="Palatino Linotype"/>
          <w:i/>
          <w:sz w:val="22"/>
          <w:szCs w:val="22"/>
        </w:rPr>
        <w:t>.”</w:t>
      </w:r>
    </w:p>
    <w:p w14:paraId="6AA3AC33"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lastRenderedPageBreak/>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7A52DC"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7A52DC"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7A52DC"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Asimismo, el diverso artículo 54 de la Ley de Transparencia y Acceso a la Información Pública del Estado de México y Municipios establece que cuando alguna área de los Sujetos Obligados se negara a colaborar con la Unidad de Transparencia, ésta dará aviso al superior </w:t>
      </w:r>
      <w:r w:rsidRPr="007A52DC">
        <w:rPr>
          <w:rFonts w:ascii="Palatino Linotype" w:eastAsia="Palatino Linotype" w:hAnsi="Palatino Linotype" w:cs="Palatino Linotype"/>
          <w:sz w:val="22"/>
          <w:szCs w:val="22"/>
        </w:rPr>
        <w:lastRenderedPageBreak/>
        <w:t>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7A52DC"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7A52DC"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Sirve de sustento a lo anterior, el precepto legal en cita:</w:t>
      </w:r>
    </w:p>
    <w:p w14:paraId="0E6F8D37"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7A52DC" w:rsidRDefault="00A76F12">
      <w:pPr>
        <w:spacing w:line="276" w:lineRule="auto"/>
        <w:ind w:left="567" w:right="902"/>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w:t>
      </w:r>
      <w:r w:rsidRPr="007A52DC">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7A52DC">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7A52DC" w:rsidRDefault="00A76F12">
      <w:pPr>
        <w:spacing w:line="276" w:lineRule="auto"/>
        <w:ind w:left="567" w:right="902"/>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7A52DC"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 mérito de lo expuesto, es claro que en este caso 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7A52DC">
        <w:rPr>
          <w:rFonts w:ascii="Palatino Linotype" w:eastAsia="Palatino Linotype" w:hAnsi="Palatino Linotype" w:cs="Palatino Linotype"/>
          <w:b/>
          <w:sz w:val="22"/>
          <w:szCs w:val="22"/>
        </w:rPr>
        <w:t>el Sujeto Obligado</w:t>
      </w:r>
      <w:r w:rsidRPr="007A52DC">
        <w:rPr>
          <w:rFonts w:ascii="Palatino Linotype" w:eastAsia="Palatino Linotype" w:hAnsi="Palatino Linotype" w:cs="Palatino Linotype"/>
          <w:sz w:val="22"/>
          <w:szCs w:val="22"/>
        </w:rPr>
        <w:t>; por lo que, en caso de no atender de manera positiva</w:t>
      </w:r>
      <w:r w:rsidRPr="007A52DC">
        <w:rPr>
          <w:rFonts w:ascii="Palatino Linotype" w:eastAsia="Palatino Linotype" w:hAnsi="Palatino Linotype" w:cs="Palatino Linotype"/>
          <w:sz w:val="22"/>
          <w:szCs w:val="22"/>
          <w:vertAlign w:val="superscript"/>
        </w:rPr>
        <w:footnoteReference w:id="2"/>
      </w:r>
      <w:r w:rsidRPr="007A52DC">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7A52DC"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De la clasificación de la información.</w:t>
      </w:r>
    </w:p>
    <w:p w14:paraId="7CB72775" w14:textId="77777777" w:rsidR="00532AE4" w:rsidRPr="007A52DC"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7A52DC" w:rsidRDefault="00A76F12">
      <w:pPr>
        <w:spacing w:line="360" w:lineRule="auto"/>
        <w:ind w:right="5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lastRenderedPageBreak/>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7A52DC"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7A52DC" w:rsidRDefault="00A76F12">
      <w:pPr>
        <w:spacing w:line="276" w:lineRule="auto"/>
        <w:ind w:left="851" w:right="900"/>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“Artículo 91. </w:t>
      </w:r>
      <w:r w:rsidRPr="007A52DC">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7A52DC"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7A52DC"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“Artículo 140. </w:t>
      </w:r>
      <w:r w:rsidRPr="007A52DC">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 </w:t>
      </w:r>
      <w:r w:rsidRPr="007A52DC">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II. </w:t>
      </w:r>
      <w:r w:rsidRPr="007A52DC">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lastRenderedPageBreak/>
        <w:t xml:space="preserve">III. </w:t>
      </w:r>
      <w:r w:rsidRPr="007A52DC">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IV. </w:t>
      </w:r>
      <w:r w:rsidRPr="007A52DC">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V. </w:t>
      </w:r>
      <w:r w:rsidRPr="007A52DC">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1. </w:t>
      </w:r>
      <w:r w:rsidRPr="007A52DC">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2. </w:t>
      </w:r>
      <w:r w:rsidRPr="007A52DC">
        <w:rPr>
          <w:rFonts w:ascii="Palatino Linotype" w:eastAsia="Palatino Linotype" w:hAnsi="Palatino Linotype" w:cs="Palatino Linotype"/>
          <w:i/>
          <w:sz w:val="22"/>
          <w:szCs w:val="22"/>
        </w:rPr>
        <w:t>La recaudación de las contribuciones.</w:t>
      </w:r>
    </w:p>
    <w:p w14:paraId="4CD54AA9"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VI. </w:t>
      </w:r>
      <w:r w:rsidRPr="007A52DC">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VII. </w:t>
      </w:r>
      <w:r w:rsidRPr="007A52DC">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VIII</w:t>
      </w:r>
      <w:r w:rsidRPr="007A52DC">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7A52DC">
        <w:rPr>
          <w:rFonts w:ascii="Palatino Linotype" w:eastAsia="Palatino Linotype" w:hAnsi="Palatino Linotype" w:cs="Palatino Linotype"/>
          <w:b/>
          <w:i/>
          <w:sz w:val="22"/>
          <w:szCs w:val="22"/>
        </w:rPr>
        <w:t>;</w:t>
      </w:r>
    </w:p>
    <w:p w14:paraId="20A105A2"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IX. </w:t>
      </w:r>
      <w:r w:rsidRPr="007A52DC">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X. </w:t>
      </w:r>
      <w:r w:rsidRPr="007A52DC">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XI. </w:t>
      </w:r>
      <w:r w:rsidRPr="007A52DC">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lastRenderedPageBreak/>
        <w:t>(…)</w:t>
      </w:r>
    </w:p>
    <w:p w14:paraId="7E7180B7"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Artículo 143. </w:t>
      </w:r>
      <w:r w:rsidRPr="007A52DC">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 </w:t>
      </w:r>
      <w:r w:rsidRPr="007A52DC">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II. </w:t>
      </w:r>
      <w:r w:rsidRPr="007A52DC">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III. </w:t>
      </w:r>
      <w:r w:rsidRPr="007A52DC">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7A52DC"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7A52DC"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7A52DC"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Se reciba una solicitud de acceso a la información;</w:t>
      </w:r>
    </w:p>
    <w:p w14:paraId="54E32C40" w14:textId="77777777" w:rsidR="00532AE4" w:rsidRPr="007A52DC"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Se determine mediante resolución de autoridad competente; y/o</w:t>
      </w:r>
    </w:p>
    <w:p w14:paraId="2A2574F5" w14:textId="77777777" w:rsidR="00532AE4" w:rsidRPr="007A52DC"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7A52DC"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7A52DC" w:rsidRDefault="00A76F12">
      <w:pPr>
        <w:spacing w:line="360" w:lineRule="auto"/>
        <w:ind w:right="5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cuando clasifique algún documento o información, ya sea todo o en parte, atienda lo dispuesto por la Ley de la </w:t>
      </w:r>
      <w:r w:rsidRPr="007A52DC">
        <w:rPr>
          <w:rFonts w:ascii="Palatino Linotype" w:eastAsia="Palatino Linotype" w:hAnsi="Palatino Linotype" w:cs="Palatino Linotype"/>
          <w:sz w:val="22"/>
          <w:szCs w:val="22"/>
        </w:rPr>
        <w:lastRenderedPageBreak/>
        <w:t xml:space="preserve">materia, siendo que dicha clasificación es un trabajo en conjunto tanto de los Servidores Públicos Habilitados, de las Unidades de Transparencia y del Comité de Transparencia del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7A52DC">
        <w:rPr>
          <w:rFonts w:ascii="Palatino Linotype" w:eastAsia="Palatino Linotype" w:hAnsi="Palatino Linotype" w:cs="Palatino Linotype"/>
          <w:sz w:val="22"/>
          <w:szCs w:val="22"/>
          <w:vertAlign w:val="superscript"/>
        </w:rPr>
        <w:footnoteReference w:id="3"/>
      </w:r>
      <w:r w:rsidRPr="007A52DC">
        <w:rPr>
          <w:rFonts w:ascii="Palatino Linotype" w:eastAsia="Palatino Linotype" w:hAnsi="Palatino Linotype" w:cs="Palatino Linotype"/>
          <w:sz w:val="22"/>
          <w:szCs w:val="22"/>
        </w:rPr>
        <w:t>, 53 fracción X</w:t>
      </w:r>
      <w:r w:rsidRPr="007A52DC">
        <w:rPr>
          <w:rFonts w:ascii="Palatino Linotype" w:eastAsia="Palatino Linotype" w:hAnsi="Palatino Linotype" w:cs="Palatino Linotype"/>
          <w:sz w:val="22"/>
          <w:szCs w:val="22"/>
          <w:vertAlign w:val="superscript"/>
        </w:rPr>
        <w:footnoteReference w:id="4"/>
      </w:r>
      <w:r w:rsidRPr="007A52DC">
        <w:rPr>
          <w:rFonts w:ascii="Palatino Linotype" w:eastAsia="Palatino Linotype" w:hAnsi="Palatino Linotype" w:cs="Palatino Linotype"/>
          <w:sz w:val="22"/>
          <w:szCs w:val="22"/>
        </w:rPr>
        <w:t>, y 49 fracciones II y VIII</w:t>
      </w:r>
      <w:r w:rsidRPr="007A52DC">
        <w:rPr>
          <w:rFonts w:ascii="Palatino Linotype" w:eastAsia="Palatino Linotype" w:hAnsi="Palatino Linotype" w:cs="Palatino Linotype"/>
          <w:sz w:val="22"/>
          <w:szCs w:val="22"/>
          <w:vertAlign w:val="superscript"/>
        </w:rPr>
        <w:footnoteReference w:id="5"/>
      </w:r>
      <w:r w:rsidRPr="007A52DC">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7A52DC"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Bajo tales consideraciones, este Organismo Garante no omite señalar que, si 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advierte que la información solicitada contiene </w:t>
      </w:r>
      <w:r w:rsidRPr="007A52DC">
        <w:rPr>
          <w:rFonts w:ascii="Palatino Linotype" w:eastAsia="Palatino Linotype" w:hAnsi="Palatino Linotype" w:cs="Palatino Linotype"/>
          <w:b/>
          <w:sz w:val="22"/>
          <w:szCs w:val="22"/>
        </w:rPr>
        <w:t>datos personales</w:t>
      </w:r>
      <w:r w:rsidRPr="007A52DC">
        <w:rPr>
          <w:rFonts w:ascii="Palatino Linotype" w:eastAsia="Palatino Linotype" w:hAnsi="Palatino Linotype" w:cs="Palatino Linotype"/>
          <w:sz w:val="22"/>
          <w:szCs w:val="22"/>
        </w:rPr>
        <w:t xml:space="preserve"> que sean susceptibles de ser </w:t>
      </w:r>
      <w:r w:rsidRPr="007A52DC">
        <w:rPr>
          <w:rFonts w:ascii="Palatino Linotype" w:eastAsia="Palatino Linotype" w:hAnsi="Palatino Linotype" w:cs="Palatino Linotype"/>
          <w:b/>
          <w:sz w:val="22"/>
          <w:szCs w:val="22"/>
        </w:rPr>
        <w:t xml:space="preserve">clasificados como confidenciales, </w:t>
      </w:r>
      <w:r w:rsidRPr="007A52DC">
        <w:rPr>
          <w:rFonts w:ascii="Palatino Linotype" w:eastAsia="Palatino Linotype" w:hAnsi="Palatino Linotype" w:cs="Palatino Linotype"/>
          <w:sz w:val="22"/>
          <w:szCs w:val="22"/>
        </w:rPr>
        <w:t>o, si por otro lado</w:t>
      </w:r>
      <w:r w:rsidRPr="007A52DC">
        <w:rPr>
          <w:rFonts w:ascii="Palatino Linotype" w:eastAsia="Palatino Linotype" w:hAnsi="Palatino Linotype" w:cs="Palatino Linotype"/>
          <w:b/>
          <w:sz w:val="22"/>
          <w:szCs w:val="22"/>
        </w:rPr>
        <w:t>, por su propia y especial naturaleza,</w:t>
      </w:r>
      <w:r w:rsidRPr="007A52DC">
        <w:rPr>
          <w:rFonts w:ascii="Palatino Linotype" w:eastAsia="Palatino Linotype" w:hAnsi="Palatino Linotype" w:cs="Palatino Linotype"/>
          <w:sz w:val="22"/>
          <w:szCs w:val="22"/>
        </w:rPr>
        <w:t xml:space="preserve"> encuadra en alguno de los </w:t>
      </w:r>
      <w:r w:rsidRPr="007A52DC">
        <w:rPr>
          <w:rFonts w:ascii="Palatino Linotype" w:eastAsia="Palatino Linotype" w:hAnsi="Palatino Linotype" w:cs="Palatino Linotype"/>
          <w:b/>
          <w:sz w:val="22"/>
          <w:szCs w:val="22"/>
        </w:rPr>
        <w:t>supuestos de reserva o de confidencialidad en su totalidad</w:t>
      </w:r>
      <w:r w:rsidRPr="007A52DC">
        <w:rPr>
          <w:rFonts w:ascii="Palatino Linotype" w:eastAsia="Palatino Linotype" w:hAnsi="Palatino Linotype" w:cs="Palatino Linotype"/>
          <w:sz w:val="22"/>
          <w:szCs w:val="22"/>
        </w:rPr>
        <w:t>, deberá emitir, un</w:t>
      </w:r>
      <w:r w:rsidRPr="007A52DC">
        <w:rPr>
          <w:rFonts w:ascii="Palatino Linotype" w:eastAsia="Palatino Linotype" w:hAnsi="Palatino Linotype" w:cs="Palatino Linotype"/>
          <w:b/>
          <w:sz w:val="22"/>
          <w:szCs w:val="22"/>
        </w:rPr>
        <w:t xml:space="preserve"> Acuerdo de Clasificación </w:t>
      </w:r>
      <w:r w:rsidRPr="007A52DC">
        <w:rPr>
          <w:rFonts w:ascii="Palatino Linotype" w:eastAsia="Palatino Linotype" w:hAnsi="Palatino Linotype" w:cs="Palatino Linotype"/>
          <w:sz w:val="22"/>
          <w:szCs w:val="22"/>
        </w:rPr>
        <w:t>debidamente fundado y motivado que</w:t>
      </w:r>
      <w:r w:rsidRPr="007A52DC">
        <w:rPr>
          <w:rFonts w:ascii="Palatino Linotype" w:eastAsia="Palatino Linotype" w:hAnsi="Palatino Linotype" w:cs="Palatino Linotype"/>
          <w:b/>
          <w:sz w:val="22"/>
          <w:szCs w:val="22"/>
        </w:rPr>
        <w:t xml:space="preserve"> sustente la clasificación parcial, a través de la versión pública que emita,</w:t>
      </w:r>
      <w:r w:rsidRPr="007A52DC">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7A52DC"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De la clasificación parcial de la información.</w:t>
      </w:r>
    </w:p>
    <w:p w14:paraId="6CDBD4F4" w14:textId="77777777" w:rsidR="00532AE4" w:rsidRPr="007A52DC"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lastRenderedPageBreak/>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7A52DC"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De la clasificación de información como reservada.</w:t>
      </w:r>
    </w:p>
    <w:p w14:paraId="2F50165E" w14:textId="77777777" w:rsidR="00532AE4" w:rsidRPr="007A52DC"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7A52DC" w:rsidRDefault="00A76F12">
      <w:pPr>
        <w:spacing w:line="360" w:lineRule="auto"/>
        <w:ind w:right="5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7A52DC"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w:t>
      </w:r>
      <w:r w:rsidRPr="007A52DC">
        <w:rPr>
          <w:rFonts w:ascii="Palatino Linotype" w:eastAsia="Palatino Linotype" w:hAnsi="Palatino Linotype" w:cs="Palatino Linotype"/>
          <w:sz w:val="22"/>
          <w:szCs w:val="22"/>
        </w:rPr>
        <w:lastRenderedPageBreak/>
        <w:t xml:space="preserve">de la Ley de Transparencia y Acceso a la Información pública del Estado de México y Municipios, para lo cual, los Sujetos Obligados deberán considerar que: </w:t>
      </w:r>
    </w:p>
    <w:p w14:paraId="13C920F9"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7A52DC"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La divulgación de la información representa un </w:t>
      </w:r>
      <w:r w:rsidRPr="007A52DC">
        <w:rPr>
          <w:rFonts w:ascii="Palatino Linotype" w:eastAsia="Palatino Linotype" w:hAnsi="Palatino Linotype" w:cs="Palatino Linotype"/>
          <w:b/>
          <w:sz w:val="22"/>
          <w:szCs w:val="22"/>
        </w:rPr>
        <w:t>riesgo real, demostrable e identificable del perjuicio significativo al interés público o a la seguridad pública</w:t>
      </w:r>
      <w:r w:rsidRPr="007A52DC">
        <w:rPr>
          <w:rFonts w:ascii="Palatino Linotype" w:eastAsia="Palatino Linotype" w:hAnsi="Palatino Linotype" w:cs="Palatino Linotype"/>
          <w:sz w:val="22"/>
          <w:szCs w:val="22"/>
        </w:rPr>
        <w:t>;</w:t>
      </w:r>
    </w:p>
    <w:p w14:paraId="4FC20933" w14:textId="77777777" w:rsidR="00532AE4" w:rsidRPr="007A52DC"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7A52DC"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7A52DC"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Siendo pertinente aclarar que, la información que se clasifica bajo la premisa de reservada, </w:t>
      </w:r>
      <w:r w:rsidRPr="007A52DC">
        <w:rPr>
          <w:rFonts w:ascii="Palatino Linotype" w:eastAsia="Palatino Linotype" w:hAnsi="Palatino Linotype" w:cs="Palatino Linotype"/>
          <w:b/>
          <w:sz w:val="22"/>
          <w:szCs w:val="22"/>
        </w:rPr>
        <w:t>no pierde el carácter de pública</w:t>
      </w:r>
      <w:r w:rsidRPr="007A52DC">
        <w:rPr>
          <w:rFonts w:ascii="Palatino Linotype" w:eastAsia="Palatino Linotype" w:hAnsi="Palatino Linotype" w:cs="Palatino Linotype"/>
          <w:sz w:val="22"/>
          <w:szCs w:val="22"/>
        </w:rPr>
        <w:t xml:space="preserve">, sino que </w:t>
      </w:r>
      <w:r w:rsidRPr="007A52DC">
        <w:rPr>
          <w:rFonts w:ascii="Palatino Linotype" w:eastAsia="Palatino Linotype" w:hAnsi="Palatino Linotype" w:cs="Palatino Linotype"/>
          <w:b/>
          <w:sz w:val="22"/>
          <w:szCs w:val="22"/>
        </w:rPr>
        <w:t>se reserva temporalmente</w:t>
      </w:r>
      <w:r w:rsidRPr="007A52DC">
        <w:rPr>
          <w:rFonts w:ascii="Palatino Linotype" w:eastAsia="Palatino Linotype" w:hAnsi="Palatino Linotype" w:cs="Palatino Linotype"/>
          <w:sz w:val="22"/>
          <w:szCs w:val="22"/>
        </w:rPr>
        <w:t xml:space="preserve"> </w:t>
      </w:r>
      <w:r w:rsidRPr="007A52DC">
        <w:rPr>
          <w:rFonts w:ascii="Palatino Linotype" w:eastAsia="Palatino Linotype" w:hAnsi="Palatino Linotype" w:cs="Palatino Linotype"/>
          <w:b/>
          <w:sz w:val="22"/>
          <w:szCs w:val="22"/>
        </w:rPr>
        <w:t>del conocimiento público</w:t>
      </w:r>
      <w:r w:rsidRPr="007A52DC">
        <w:rPr>
          <w:rFonts w:ascii="Palatino Linotype" w:eastAsia="Palatino Linotype" w:hAnsi="Palatino Linotype" w:cs="Palatino Linotype"/>
          <w:sz w:val="22"/>
          <w:szCs w:val="22"/>
        </w:rPr>
        <w:t xml:space="preserve">, es decir, que, </w:t>
      </w:r>
      <w:r w:rsidRPr="007A52DC">
        <w:rPr>
          <w:rFonts w:ascii="Palatino Linotype" w:eastAsia="Palatino Linotype" w:hAnsi="Palatino Linotype" w:cs="Palatino Linotype"/>
          <w:b/>
          <w:sz w:val="22"/>
          <w:szCs w:val="22"/>
        </w:rPr>
        <w:t>por un tiempo determinado</w:t>
      </w:r>
      <w:r w:rsidRPr="007A52DC">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7A52DC"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7A52DC"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7A52DC" w:rsidRDefault="00A76F12">
      <w:pPr>
        <w:tabs>
          <w:tab w:val="left" w:pos="709"/>
        </w:tabs>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w:t>
      </w:r>
      <w:r w:rsidRPr="007A52DC">
        <w:rPr>
          <w:rFonts w:ascii="Palatino Linotype" w:eastAsia="Palatino Linotype" w:hAnsi="Palatino Linotype" w:cs="Palatino Linotype"/>
          <w:sz w:val="22"/>
          <w:szCs w:val="22"/>
        </w:rPr>
        <w:lastRenderedPageBreak/>
        <w:t>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7A52DC"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7A52DC" w:rsidRDefault="00A76F12">
      <w:pPr>
        <w:spacing w:line="360" w:lineRule="auto"/>
        <w:ind w:right="5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7A52DC">
        <w:rPr>
          <w:rFonts w:ascii="Palatino Linotype" w:eastAsia="Palatino Linotype" w:hAnsi="Palatino Linotype" w:cs="Palatino Linotype"/>
          <w:sz w:val="22"/>
          <w:szCs w:val="22"/>
          <w:vertAlign w:val="superscript"/>
        </w:rPr>
        <w:footnoteReference w:id="6"/>
      </w:r>
      <w:r w:rsidRPr="007A52DC">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7A52DC"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7A52DC"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De la declaratoria de inexistencia de la información</w:t>
      </w:r>
      <w:r w:rsidRPr="007A52DC">
        <w:rPr>
          <w:rFonts w:ascii="Palatino Linotype" w:eastAsia="Palatino Linotype" w:hAnsi="Palatino Linotype" w:cs="Palatino Linotype"/>
          <w:sz w:val="22"/>
          <w:szCs w:val="22"/>
        </w:rPr>
        <w:t>.</w:t>
      </w:r>
    </w:p>
    <w:p w14:paraId="2CE06287" w14:textId="77777777" w:rsidR="00532AE4" w:rsidRPr="007A52DC"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lastRenderedPageBreak/>
        <w:t xml:space="preserve">Por otro lado, estima prudente señalar al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7A52DC" w:rsidRDefault="00A76F12">
      <w:pPr>
        <w:spacing w:line="276" w:lineRule="auto"/>
        <w:ind w:left="567" w:right="902"/>
        <w:jc w:val="both"/>
        <w:rPr>
          <w:rFonts w:ascii="Palatino Linotype" w:eastAsia="Palatino Linotype" w:hAnsi="Palatino Linotype" w:cs="Palatino Linotype"/>
          <w:i/>
          <w:sz w:val="22"/>
          <w:szCs w:val="22"/>
        </w:rPr>
      </w:pPr>
      <w:r w:rsidRPr="007A52DC">
        <w:rPr>
          <w:rFonts w:ascii="Palatino Linotype" w:eastAsia="Palatino Linotype" w:hAnsi="Palatino Linotype" w:cs="Palatino Linotype"/>
          <w:b/>
          <w:i/>
          <w:sz w:val="22"/>
          <w:szCs w:val="22"/>
        </w:rPr>
        <w:t xml:space="preserve">“INEXISTENCIA DE LA INFORMACIÓN. SUPUESTOS PARA EMITIR LA RESOLUCIÓN DE LA. </w:t>
      </w:r>
      <w:r w:rsidRPr="007A52DC">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w:t>
      </w:r>
      <w:r w:rsidRPr="007A52DC">
        <w:rPr>
          <w:rFonts w:ascii="Palatino Linotype" w:eastAsia="Palatino Linotype" w:hAnsi="Palatino Linotype" w:cs="Palatino Linotype"/>
          <w:i/>
          <w:sz w:val="22"/>
          <w:szCs w:val="22"/>
        </w:rPr>
        <w:lastRenderedPageBreak/>
        <w:t>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7A52DC"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 xml:space="preserve">En mérito de todo lo expuesto, ante lo </w:t>
      </w:r>
      <w:r w:rsidRPr="007A52DC">
        <w:rPr>
          <w:rFonts w:ascii="Palatino Linotype" w:eastAsia="Palatino Linotype" w:hAnsi="Palatino Linotype" w:cs="Palatino Linotype"/>
          <w:b/>
          <w:sz w:val="22"/>
          <w:szCs w:val="22"/>
        </w:rPr>
        <w:t>FUNDADO</w:t>
      </w:r>
      <w:r w:rsidRPr="007A52DC">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7A52DC">
        <w:rPr>
          <w:rFonts w:ascii="Palatino Linotype" w:eastAsia="Palatino Linotype" w:hAnsi="Palatino Linotype" w:cs="Palatino Linotype"/>
          <w:b/>
          <w:sz w:val="22"/>
          <w:szCs w:val="22"/>
        </w:rPr>
        <w:t>ORDENAR</w:t>
      </w:r>
      <w:r w:rsidRPr="007A52DC">
        <w:rPr>
          <w:rFonts w:ascii="Palatino Linotype" w:eastAsia="Palatino Linotype" w:hAnsi="Palatino Linotype" w:cs="Palatino Linotype"/>
          <w:sz w:val="22"/>
          <w:szCs w:val="22"/>
        </w:rPr>
        <w:t xml:space="preserve"> al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7A52DC" w:rsidRDefault="00A76F12">
      <w:pPr>
        <w:spacing w:line="360" w:lineRule="auto"/>
        <w:ind w:right="49"/>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sz w:val="22"/>
          <w:szCs w:val="22"/>
        </w:rPr>
        <w:t>Finalmente, es de señalar que, como ya se mencionó el</w:t>
      </w:r>
      <w:r w:rsidRPr="007A52DC">
        <w:rPr>
          <w:rFonts w:ascii="Palatino Linotype" w:eastAsia="Palatino Linotype" w:hAnsi="Palatino Linotype" w:cs="Palatino Linotype"/>
          <w:b/>
          <w:sz w:val="22"/>
          <w:szCs w:val="22"/>
        </w:rPr>
        <w:t xml:space="preserve"> Sujeto Obligado</w:t>
      </w:r>
      <w:r w:rsidRPr="007A52DC">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7A52DC">
        <w:rPr>
          <w:rFonts w:ascii="Palatino Linotype" w:eastAsia="Palatino Linotype" w:hAnsi="Palatino Linotype" w:cs="Palatino Linotype"/>
          <w:b/>
          <w:sz w:val="22"/>
          <w:szCs w:val="22"/>
        </w:rPr>
        <w:t xml:space="preserve"> </w:t>
      </w:r>
      <w:r w:rsidRPr="007A52DC">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7A52DC"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7A52DC"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7A52DC">
        <w:rPr>
          <w:rFonts w:ascii="Palatino Linotype" w:eastAsia="Palatino Linotype" w:hAnsi="Palatino Linotype" w:cs="Palatino Linotype"/>
          <w:sz w:val="22"/>
          <w:szCs w:val="22"/>
        </w:rPr>
        <w:t xml:space="preserve">Así, con fundamento en lo prescrito en los artículos </w:t>
      </w:r>
      <w:r w:rsidR="009100C5" w:rsidRPr="007A52DC">
        <w:rPr>
          <w:rFonts w:ascii="Palatino Linotype" w:eastAsia="Palatino Linotype" w:hAnsi="Palatino Linotype" w:cs="Palatino Linotype"/>
          <w:sz w:val="22"/>
          <w:szCs w:val="22"/>
        </w:rPr>
        <w:t xml:space="preserve">5 párrafos cuadragésimo cuarto, cuadragésimo quinto y cuadragésimo sexto, fracciones IV y V de la Constitución Política del </w:t>
      </w:r>
      <w:r w:rsidR="009100C5" w:rsidRPr="007A52DC">
        <w:rPr>
          <w:rFonts w:ascii="Palatino Linotype" w:eastAsia="Palatino Linotype" w:hAnsi="Palatino Linotype" w:cs="Palatino Linotype"/>
          <w:sz w:val="22"/>
          <w:szCs w:val="22"/>
        </w:rPr>
        <w:lastRenderedPageBreak/>
        <w:t>Estado Libre y Soberano de México; transitorio Cuarto del Decreto número 198 de la “LXII” Legislatura del Estado de México</w:t>
      </w:r>
      <w:r w:rsidRPr="007A52DC">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7A52DC"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7A52DC"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III. R E S U E L V E</w:t>
      </w:r>
    </w:p>
    <w:p w14:paraId="170B47A5" w14:textId="77777777" w:rsidR="00532AE4" w:rsidRPr="007A52DC"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7A52DC" w:rsidRDefault="00A76F12">
      <w:pPr>
        <w:spacing w:line="360" w:lineRule="auto"/>
        <w:ind w:right="49"/>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Primero. </w:t>
      </w:r>
      <w:r w:rsidRPr="007A52DC">
        <w:rPr>
          <w:rFonts w:ascii="Palatino Linotype" w:eastAsia="Palatino Linotype" w:hAnsi="Palatino Linotype" w:cs="Palatino Linotype"/>
          <w:sz w:val="22"/>
          <w:szCs w:val="22"/>
        </w:rPr>
        <w:t xml:space="preserve">Resultan </w:t>
      </w:r>
      <w:r w:rsidRPr="007A52DC">
        <w:rPr>
          <w:rFonts w:ascii="Palatino Linotype" w:eastAsia="Palatino Linotype" w:hAnsi="Palatino Linotype" w:cs="Palatino Linotype"/>
          <w:b/>
          <w:sz w:val="22"/>
          <w:szCs w:val="22"/>
        </w:rPr>
        <w:t>FUNDADOS</w:t>
      </w:r>
      <w:r w:rsidRPr="007A52DC">
        <w:rPr>
          <w:rFonts w:ascii="Palatino Linotype" w:eastAsia="Palatino Linotype" w:hAnsi="Palatino Linotype" w:cs="Palatino Linotype"/>
          <w:sz w:val="22"/>
          <w:szCs w:val="22"/>
        </w:rPr>
        <w:t xml:space="preserve"> los motivos de inconformidad de la parte </w:t>
      </w:r>
      <w:r w:rsidRPr="007A52DC">
        <w:rPr>
          <w:rFonts w:ascii="Palatino Linotype" w:eastAsia="Palatino Linotype" w:hAnsi="Palatino Linotype" w:cs="Palatino Linotype"/>
          <w:b/>
          <w:sz w:val="22"/>
          <w:szCs w:val="22"/>
        </w:rPr>
        <w:t>Recurrente</w:t>
      </w:r>
      <w:r w:rsidRPr="007A52DC">
        <w:rPr>
          <w:rFonts w:ascii="Palatino Linotype" w:eastAsia="Palatino Linotype" w:hAnsi="Palatino Linotype" w:cs="Palatino Linotype"/>
          <w:sz w:val="22"/>
          <w:szCs w:val="22"/>
        </w:rPr>
        <w:t xml:space="preserve">, en términos del </w:t>
      </w:r>
      <w:r w:rsidRPr="007A52DC">
        <w:rPr>
          <w:rFonts w:ascii="Palatino Linotype" w:eastAsia="Palatino Linotype" w:hAnsi="Palatino Linotype" w:cs="Palatino Linotype"/>
          <w:b/>
          <w:sz w:val="22"/>
          <w:szCs w:val="22"/>
        </w:rPr>
        <w:t>Considerando Cuarto</w:t>
      </w:r>
      <w:r w:rsidRPr="007A52DC">
        <w:rPr>
          <w:rFonts w:ascii="Palatino Linotype" w:eastAsia="Palatino Linotype" w:hAnsi="Palatino Linotype" w:cs="Palatino Linotype"/>
          <w:sz w:val="22"/>
          <w:szCs w:val="22"/>
        </w:rPr>
        <w:t xml:space="preserve"> de la presente resolución.</w:t>
      </w:r>
    </w:p>
    <w:p w14:paraId="6A06B418" w14:textId="77777777" w:rsidR="00532AE4" w:rsidRPr="007A52DC" w:rsidRDefault="00532AE4">
      <w:pPr>
        <w:spacing w:line="360" w:lineRule="auto"/>
        <w:ind w:right="49"/>
        <w:jc w:val="both"/>
        <w:rPr>
          <w:rFonts w:ascii="Palatino Linotype" w:eastAsia="Palatino Linotype" w:hAnsi="Palatino Linotype" w:cs="Palatino Linotype"/>
          <w:sz w:val="22"/>
          <w:szCs w:val="22"/>
        </w:rPr>
      </w:pPr>
    </w:p>
    <w:p w14:paraId="1E37E133" w14:textId="471EBA1E" w:rsidR="00532AE4" w:rsidRPr="007A52DC"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7A52DC">
        <w:rPr>
          <w:rFonts w:ascii="Palatino Linotype" w:eastAsia="Palatino Linotype" w:hAnsi="Palatino Linotype" w:cs="Palatino Linotype"/>
          <w:b/>
          <w:sz w:val="22"/>
          <w:szCs w:val="22"/>
        </w:rPr>
        <w:t>Segundo.</w:t>
      </w:r>
      <w:r w:rsidRPr="007A52DC">
        <w:rPr>
          <w:rFonts w:ascii="Palatino Linotype" w:eastAsia="Palatino Linotype" w:hAnsi="Palatino Linotype" w:cs="Palatino Linotype"/>
          <w:sz w:val="22"/>
          <w:szCs w:val="22"/>
        </w:rPr>
        <w:t xml:space="preserve"> Se</w:t>
      </w:r>
      <w:r w:rsidRPr="007A52DC">
        <w:rPr>
          <w:rFonts w:ascii="Palatino Linotype" w:eastAsia="Palatino Linotype" w:hAnsi="Palatino Linotype" w:cs="Palatino Linotype"/>
          <w:b/>
          <w:sz w:val="22"/>
          <w:szCs w:val="22"/>
        </w:rPr>
        <w:t xml:space="preserve"> Ordena </w:t>
      </w:r>
      <w:r w:rsidRPr="007A52DC">
        <w:rPr>
          <w:rFonts w:ascii="Palatino Linotype" w:eastAsia="Palatino Linotype" w:hAnsi="Palatino Linotype" w:cs="Palatino Linotype"/>
          <w:sz w:val="22"/>
          <w:szCs w:val="22"/>
        </w:rPr>
        <w:t xml:space="preserve">al </w:t>
      </w:r>
      <w:r w:rsidRPr="007A52DC">
        <w:rPr>
          <w:rFonts w:ascii="Palatino Linotype" w:eastAsia="Palatino Linotype" w:hAnsi="Palatino Linotype" w:cs="Palatino Linotype"/>
          <w:b/>
          <w:sz w:val="22"/>
          <w:szCs w:val="22"/>
        </w:rPr>
        <w:t xml:space="preserve">Sujeto Obligado </w:t>
      </w:r>
      <w:r w:rsidRPr="007A52DC">
        <w:rPr>
          <w:rFonts w:ascii="Palatino Linotype" w:eastAsia="Palatino Linotype" w:hAnsi="Palatino Linotype" w:cs="Palatino Linotype"/>
          <w:sz w:val="22"/>
          <w:szCs w:val="22"/>
        </w:rPr>
        <w:t xml:space="preserve">dé trámite, vía </w:t>
      </w:r>
      <w:r w:rsidRPr="007A52DC">
        <w:rPr>
          <w:rFonts w:ascii="Palatino Linotype" w:eastAsia="Palatino Linotype" w:hAnsi="Palatino Linotype" w:cs="Palatino Linotype"/>
          <w:b/>
          <w:sz w:val="22"/>
          <w:szCs w:val="22"/>
        </w:rPr>
        <w:t xml:space="preserve">Sistema de Acceso a la Información Mexiquense </w:t>
      </w:r>
      <w:r w:rsidRPr="007A52DC">
        <w:rPr>
          <w:rFonts w:ascii="Palatino Linotype" w:eastAsia="Palatino Linotype" w:hAnsi="Palatino Linotype" w:cs="Palatino Linotype"/>
          <w:sz w:val="22"/>
          <w:szCs w:val="22"/>
        </w:rPr>
        <w:t xml:space="preserve">a la solicitud de acceso a la información pública </w:t>
      </w:r>
      <w:r w:rsidR="00D144C8" w:rsidRPr="007A52DC">
        <w:rPr>
          <w:rFonts w:ascii="Palatino Linotype" w:eastAsia="Palatino Linotype" w:hAnsi="Palatino Linotype" w:cs="Palatino Linotype"/>
          <w:b/>
          <w:sz w:val="22"/>
          <w:szCs w:val="22"/>
        </w:rPr>
        <w:t xml:space="preserve"> </w:t>
      </w:r>
      <w:r w:rsidR="005D3CA2" w:rsidRPr="007A52DC">
        <w:rPr>
          <w:rFonts w:ascii="Palatino Linotype" w:eastAsia="Palatino Linotype" w:hAnsi="Palatino Linotype" w:cs="Palatino Linotype"/>
          <w:b/>
          <w:sz w:val="22"/>
          <w:szCs w:val="22"/>
        </w:rPr>
        <w:t xml:space="preserve"> </w:t>
      </w:r>
      <w:r w:rsidR="00D6388C" w:rsidRPr="007A52DC">
        <w:rPr>
          <w:rFonts w:ascii="Palatino Linotype" w:eastAsia="Palatino Linotype" w:hAnsi="Palatino Linotype" w:cs="Palatino Linotype"/>
          <w:b/>
          <w:sz w:val="22"/>
          <w:szCs w:val="22"/>
        </w:rPr>
        <w:t xml:space="preserve">00011/IDEMEX/IP/2026 </w:t>
      </w:r>
      <w:r w:rsidRPr="007A52DC">
        <w:rPr>
          <w:rFonts w:ascii="Palatino Linotype" w:eastAsia="Palatino Linotype" w:hAnsi="Palatino Linotype" w:cs="Palatino Linotype"/>
          <w:sz w:val="22"/>
          <w:szCs w:val="22"/>
        </w:rPr>
        <w:t xml:space="preserve">que dio origen al recurso de revisión </w:t>
      </w:r>
      <w:r w:rsidR="00AE446C" w:rsidRPr="007A52DC">
        <w:rPr>
          <w:rFonts w:ascii="Palatino Linotype" w:eastAsia="Palatino Linotype" w:hAnsi="Palatino Linotype" w:cs="Palatino Linotype"/>
          <w:b/>
          <w:sz w:val="22"/>
          <w:szCs w:val="22"/>
        </w:rPr>
        <w:t>0</w:t>
      </w:r>
      <w:r w:rsidR="00D6388C" w:rsidRPr="007A52DC">
        <w:rPr>
          <w:rFonts w:ascii="Palatino Linotype" w:eastAsia="Palatino Linotype" w:hAnsi="Palatino Linotype" w:cs="Palatino Linotype"/>
          <w:b/>
          <w:sz w:val="22"/>
          <w:szCs w:val="22"/>
        </w:rPr>
        <w:t>827</w:t>
      </w:r>
      <w:r w:rsidR="006922B3" w:rsidRPr="007A52DC">
        <w:rPr>
          <w:rFonts w:ascii="Palatino Linotype" w:eastAsia="Palatino Linotype" w:hAnsi="Palatino Linotype" w:cs="Palatino Linotype"/>
          <w:b/>
          <w:sz w:val="22"/>
          <w:szCs w:val="22"/>
        </w:rPr>
        <w:t>4</w:t>
      </w:r>
      <w:r w:rsidR="000F4794" w:rsidRPr="007A52DC">
        <w:rPr>
          <w:rFonts w:ascii="Palatino Linotype" w:eastAsia="Palatino Linotype" w:hAnsi="Palatino Linotype" w:cs="Palatino Linotype"/>
          <w:b/>
          <w:sz w:val="22"/>
          <w:szCs w:val="22"/>
        </w:rPr>
        <w:t xml:space="preserve">/INFOEM/IP/RR/2026 </w:t>
      </w:r>
      <w:r w:rsidRPr="007A52DC">
        <w:rPr>
          <w:rFonts w:ascii="Palatino Linotype" w:eastAsia="Palatino Linotype" w:hAnsi="Palatino Linotype" w:cs="Palatino Linotype"/>
          <w:sz w:val="22"/>
          <w:szCs w:val="22"/>
        </w:rPr>
        <w:t xml:space="preserve">en términos del </w:t>
      </w:r>
      <w:r w:rsidRPr="007A52DC">
        <w:rPr>
          <w:rFonts w:ascii="Palatino Linotype" w:eastAsia="Palatino Linotype" w:hAnsi="Palatino Linotype" w:cs="Palatino Linotype"/>
          <w:b/>
          <w:sz w:val="22"/>
          <w:szCs w:val="22"/>
        </w:rPr>
        <w:t>Considerando Cuarto</w:t>
      </w:r>
      <w:r w:rsidRPr="007A52DC">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7A52DC"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7A52DC">
        <w:rPr>
          <w:rFonts w:ascii="Palatino Linotype" w:eastAsia="Palatino Linotype" w:hAnsi="Palatino Linotype" w:cs="Palatino Linotype"/>
          <w:b/>
          <w:sz w:val="22"/>
          <w:szCs w:val="22"/>
        </w:rPr>
        <w:t>Tercero.</w:t>
      </w:r>
      <w:r w:rsidRPr="007A52DC">
        <w:rPr>
          <w:rFonts w:ascii="Palatino Linotype" w:eastAsia="Palatino Linotype" w:hAnsi="Palatino Linotype" w:cs="Palatino Linotype"/>
          <w:sz w:val="22"/>
          <w:szCs w:val="22"/>
        </w:rPr>
        <w:t xml:space="preserve"> </w:t>
      </w:r>
      <w:r w:rsidRPr="007A52DC">
        <w:rPr>
          <w:rFonts w:ascii="Palatino Linotype" w:eastAsia="Palatino Linotype" w:hAnsi="Palatino Linotype" w:cs="Palatino Linotype"/>
          <w:b/>
          <w:sz w:val="22"/>
          <w:szCs w:val="22"/>
        </w:rPr>
        <w:t xml:space="preserve">Notifíquese vía Sistema de Acceso a la Información Mexiquense </w:t>
      </w:r>
      <w:r w:rsidRPr="007A52DC">
        <w:rPr>
          <w:rFonts w:ascii="Palatino Linotype" w:eastAsia="Palatino Linotype" w:hAnsi="Palatino Linotype" w:cs="Palatino Linotype"/>
          <w:sz w:val="22"/>
          <w:szCs w:val="22"/>
        </w:rPr>
        <w:t>la presente resolución al T</w:t>
      </w:r>
      <w:r w:rsidRPr="007A52DC">
        <w:rPr>
          <w:rFonts w:ascii="Palatino Linotype" w:eastAsia="Palatino Linotype" w:hAnsi="Palatino Linotype" w:cs="Palatino Linotype"/>
          <w:b/>
          <w:sz w:val="22"/>
          <w:szCs w:val="22"/>
        </w:rPr>
        <w:t xml:space="preserve">itular de la Unidad de Transparencia </w:t>
      </w:r>
      <w:r w:rsidRPr="007A52DC">
        <w:rPr>
          <w:rFonts w:ascii="Palatino Linotype" w:eastAsia="Palatino Linotype" w:hAnsi="Palatino Linotype" w:cs="Palatino Linotype"/>
          <w:sz w:val="22"/>
          <w:szCs w:val="22"/>
        </w:rPr>
        <w:t xml:space="preserve">del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w:t>
      </w:r>
      <w:r w:rsidRPr="007A52DC">
        <w:rPr>
          <w:rFonts w:ascii="Palatino Linotype" w:eastAsia="Palatino Linotype" w:hAnsi="Palatino Linotype" w:cs="Palatino Linotype"/>
          <w:sz w:val="22"/>
          <w:szCs w:val="22"/>
        </w:rPr>
        <w:lastRenderedPageBreak/>
        <w:t>artículos 198, 200, fracción III; 214, 215 y 216 de la Ley  de Transparencia y Acceso a la Información Pública del Estado de México y Municipios.</w:t>
      </w:r>
    </w:p>
    <w:p w14:paraId="6D15A12F" w14:textId="77777777" w:rsidR="00532AE4" w:rsidRPr="007A52DC"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Cuarto. Notifíquese</w:t>
      </w:r>
      <w:r w:rsidRPr="007A52DC">
        <w:rPr>
          <w:rFonts w:ascii="Palatino Linotype" w:eastAsia="Palatino Linotype" w:hAnsi="Palatino Linotype" w:cs="Palatino Linotype"/>
          <w:sz w:val="22"/>
          <w:szCs w:val="22"/>
        </w:rPr>
        <w:t>,</w:t>
      </w:r>
      <w:r w:rsidRPr="007A52DC">
        <w:rPr>
          <w:rFonts w:ascii="Palatino Linotype" w:eastAsia="Palatino Linotype" w:hAnsi="Palatino Linotype" w:cs="Palatino Linotype"/>
          <w:b/>
          <w:sz w:val="22"/>
          <w:szCs w:val="22"/>
        </w:rPr>
        <w:t xml:space="preserve"> </w:t>
      </w:r>
      <w:r w:rsidRPr="007A52DC">
        <w:rPr>
          <w:rFonts w:ascii="Palatino Linotype" w:eastAsia="Palatino Linotype" w:hAnsi="Palatino Linotype" w:cs="Palatino Linotype"/>
          <w:sz w:val="22"/>
          <w:szCs w:val="22"/>
        </w:rPr>
        <w:t xml:space="preserve">vía </w:t>
      </w:r>
      <w:r w:rsidRPr="007A52DC">
        <w:rPr>
          <w:rFonts w:ascii="Palatino Linotype" w:eastAsia="Palatino Linotype" w:hAnsi="Palatino Linotype" w:cs="Palatino Linotype"/>
          <w:b/>
          <w:sz w:val="22"/>
          <w:szCs w:val="22"/>
        </w:rPr>
        <w:t>Sistema de Acceso a la Información Mexiquense</w:t>
      </w:r>
      <w:r w:rsidRPr="007A52DC">
        <w:rPr>
          <w:rFonts w:ascii="Palatino Linotype" w:eastAsia="Palatino Linotype" w:hAnsi="Palatino Linotype" w:cs="Palatino Linotype"/>
          <w:sz w:val="22"/>
          <w:szCs w:val="22"/>
        </w:rPr>
        <w:t xml:space="preserve">, a la parte </w:t>
      </w:r>
      <w:r w:rsidRPr="007A52DC">
        <w:rPr>
          <w:rFonts w:ascii="Palatino Linotype" w:eastAsia="Palatino Linotype" w:hAnsi="Palatino Linotype" w:cs="Palatino Linotype"/>
          <w:b/>
          <w:sz w:val="22"/>
          <w:szCs w:val="22"/>
        </w:rPr>
        <w:t xml:space="preserve">Recurrente </w:t>
      </w:r>
      <w:r w:rsidRPr="007A52DC">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7A52DC"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7A52DC" w:rsidRDefault="00A76F12">
      <w:pPr>
        <w:spacing w:line="360" w:lineRule="auto"/>
        <w:jc w:val="both"/>
        <w:rPr>
          <w:rFonts w:ascii="Palatino Linotype" w:eastAsia="Palatino Linotype" w:hAnsi="Palatino Linotype" w:cs="Palatino Linotype"/>
          <w:sz w:val="22"/>
          <w:szCs w:val="22"/>
        </w:rPr>
      </w:pPr>
      <w:r w:rsidRPr="007A52DC">
        <w:rPr>
          <w:rFonts w:ascii="Palatino Linotype" w:eastAsia="Palatino Linotype" w:hAnsi="Palatino Linotype" w:cs="Palatino Linotype"/>
          <w:b/>
          <w:sz w:val="22"/>
          <w:szCs w:val="22"/>
        </w:rPr>
        <w:t xml:space="preserve">Quinto. Notifíquese </w:t>
      </w:r>
      <w:r w:rsidRPr="007A52DC">
        <w:rPr>
          <w:rFonts w:ascii="Palatino Linotype" w:eastAsia="Palatino Linotype" w:hAnsi="Palatino Linotype" w:cs="Palatino Linotype"/>
          <w:sz w:val="22"/>
          <w:szCs w:val="22"/>
        </w:rPr>
        <w:t xml:space="preserve">a la parte </w:t>
      </w:r>
      <w:r w:rsidRPr="007A52DC">
        <w:rPr>
          <w:rFonts w:ascii="Palatino Linotype" w:eastAsia="Palatino Linotype" w:hAnsi="Palatino Linotype" w:cs="Palatino Linotype"/>
          <w:b/>
          <w:sz w:val="22"/>
          <w:szCs w:val="22"/>
        </w:rPr>
        <w:t xml:space="preserve">Recurrente </w:t>
      </w:r>
      <w:r w:rsidRPr="007A52DC">
        <w:rPr>
          <w:rFonts w:ascii="Palatino Linotype" w:eastAsia="Palatino Linotype" w:hAnsi="Palatino Linotype" w:cs="Palatino Linotype"/>
          <w:sz w:val="22"/>
          <w:szCs w:val="22"/>
        </w:rPr>
        <w:t xml:space="preserve">que la respuesta que dé el </w:t>
      </w:r>
      <w:r w:rsidRPr="007A52DC">
        <w:rPr>
          <w:rFonts w:ascii="Palatino Linotype" w:eastAsia="Palatino Linotype" w:hAnsi="Palatino Linotype" w:cs="Palatino Linotype"/>
          <w:b/>
          <w:sz w:val="22"/>
          <w:szCs w:val="22"/>
        </w:rPr>
        <w:t>Sujeto Obligado</w:t>
      </w:r>
      <w:r w:rsidRPr="007A52DC">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7A52DC"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7A52DC" w:rsidRDefault="00A76F12">
      <w:pPr>
        <w:spacing w:line="360" w:lineRule="auto"/>
        <w:jc w:val="both"/>
        <w:rPr>
          <w:rFonts w:ascii="Palatino Linotype" w:eastAsia="Palatino Linotype" w:hAnsi="Palatino Linotype" w:cs="Palatino Linotype"/>
          <w:b/>
          <w:sz w:val="22"/>
          <w:szCs w:val="22"/>
        </w:rPr>
      </w:pPr>
      <w:r w:rsidRPr="007A52DC">
        <w:rPr>
          <w:rFonts w:ascii="Palatino Linotype" w:eastAsia="Palatino Linotype" w:hAnsi="Palatino Linotype" w:cs="Palatino Linotype"/>
          <w:b/>
          <w:sz w:val="22"/>
          <w:szCs w:val="22"/>
        </w:rPr>
        <w:t xml:space="preserve">Sexto. Gírese </w:t>
      </w:r>
      <w:r w:rsidRPr="007A52DC">
        <w:rPr>
          <w:rFonts w:ascii="Palatino Linotype" w:eastAsia="Palatino Linotype" w:hAnsi="Palatino Linotype" w:cs="Palatino Linotype"/>
          <w:sz w:val="22"/>
          <w:szCs w:val="22"/>
        </w:rPr>
        <w:t xml:space="preserve">oficio a la </w:t>
      </w:r>
      <w:r w:rsidRPr="007A52DC">
        <w:rPr>
          <w:rFonts w:ascii="Palatino Linotype" w:eastAsia="Palatino Linotype" w:hAnsi="Palatino Linotype" w:cs="Palatino Linotype"/>
          <w:b/>
          <w:sz w:val="22"/>
          <w:szCs w:val="22"/>
        </w:rPr>
        <w:t>Secretaría Técnica del Pleno</w:t>
      </w:r>
      <w:r w:rsidRPr="007A52DC">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7A52DC">
        <w:rPr>
          <w:rFonts w:ascii="Palatino Linotype" w:eastAsia="Palatino Linotype" w:hAnsi="Palatino Linotype" w:cs="Palatino Linotype"/>
          <w:b/>
          <w:sz w:val="22"/>
          <w:szCs w:val="22"/>
        </w:rPr>
        <w:t xml:space="preserve"> </w:t>
      </w:r>
      <w:r w:rsidRPr="007A52DC">
        <w:rPr>
          <w:rFonts w:ascii="Palatino Linotype" w:eastAsia="Palatino Linotype" w:hAnsi="Palatino Linotype" w:cs="Palatino Linotype"/>
          <w:sz w:val="22"/>
          <w:szCs w:val="22"/>
        </w:rPr>
        <w:t>de la presente resolución.</w:t>
      </w:r>
      <w:r w:rsidRPr="007A52DC">
        <w:rPr>
          <w:rFonts w:ascii="Palatino Linotype" w:eastAsia="Palatino Linotype" w:hAnsi="Palatino Linotype" w:cs="Palatino Linotype"/>
          <w:b/>
          <w:sz w:val="22"/>
          <w:szCs w:val="22"/>
        </w:rPr>
        <w:t xml:space="preserve"> </w:t>
      </w:r>
    </w:p>
    <w:p w14:paraId="7F049394" w14:textId="77777777" w:rsidR="00532AE4" w:rsidRPr="007A52DC"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AE6242" w:rsidRDefault="00A76F12">
      <w:pPr>
        <w:spacing w:line="360" w:lineRule="auto"/>
        <w:ind w:right="49"/>
        <w:jc w:val="both"/>
        <w:rPr>
          <w:rFonts w:ascii="Palatino Linotype" w:eastAsia="Palatino Linotype" w:hAnsi="Palatino Linotype" w:cs="Palatino Linotype"/>
          <w:sz w:val="22"/>
          <w:szCs w:val="22"/>
        </w:rPr>
        <w:sectPr w:rsidR="00532AE4" w:rsidRPr="00AE6242">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7A52DC">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7A52DC">
        <w:rPr>
          <w:rFonts w:ascii="Palatino Linotype" w:eastAsia="Palatino Linotype" w:hAnsi="Palatino Linotype" w:cs="Palatino Linotype"/>
          <w:sz w:val="22"/>
          <w:szCs w:val="22"/>
        </w:rPr>
        <w:t xml:space="preserve">MEJÍA AYALA </w:t>
      </w:r>
      <w:r w:rsidRPr="007A52DC">
        <w:rPr>
          <w:rFonts w:ascii="Palatino Linotype" w:eastAsia="Palatino Linotype" w:hAnsi="Palatino Linotype" w:cs="Palatino Linotype"/>
          <w:sz w:val="22"/>
          <w:szCs w:val="22"/>
        </w:rPr>
        <w:t xml:space="preserve">Y GUADALUPE RAMÍREZ PEÑA; EN LA </w:t>
      </w:r>
      <w:r w:rsidR="00135C3B" w:rsidRPr="007A52DC">
        <w:rPr>
          <w:rFonts w:ascii="Palatino Linotype" w:eastAsia="Palatino Linotype" w:hAnsi="Palatino Linotype" w:cs="Palatino Linotype"/>
          <w:sz w:val="22"/>
          <w:szCs w:val="22"/>
        </w:rPr>
        <w:t>TR</w:t>
      </w:r>
      <w:r w:rsidR="00C36278" w:rsidRPr="007A52DC">
        <w:rPr>
          <w:rFonts w:ascii="Palatino Linotype" w:eastAsia="Palatino Linotype" w:hAnsi="Palatino Linotype" w:cs="Palatino Linotype"/>
          <w:sz w:val="22"/>
          <w:szCs w:val="22"/>
        </w:rPr>
        <w:t xml:space="preserve">IGÉSIMA </w:t>
      </w:r>
      <w:r w:rsidR="00AE3DD5" w:rsidRPr="007A52DC">
        <w:rPr>
          <w:rFonts w:ascii="Palatino Linotype" w:eastAsia="Palatino Linotype" w:hAnsi="Palatino Linotype" w:cs="Palatino Linotype"/>
          <w:sz w:val="22"/>
          <w:szCs w:val="22"/>
        </w:rPr>
        <w:t>TERC</w:t>
      </w:r>
      <w:r w:rsidR="003D2CDB" w:rsidRPr="007A52DC">
        <w:rPr>
          <w:rFonts w:ascii="Palatino Linotype" w:eastAsia="Palatino Linotype" w:hAnsi="Palatino Linotype" w:cs="Palatino Linotype"/>
          <w:sz w:val="22"/>
          <w:szCs w:val="22"/>
        </w:rPr>
        <w:t xml:space="preserve">ERA </w:t>
      </w:r>
      <w:r w:rsidRPr="007A52DC">
        <w:rPr>
          <w:rFonts w:ascii="Palatino Linotype" w:eastAsia="Palatino Linotype" w:hAnsi="Palatino Linotype" w:cs="Palatino Linotype"/>
          <w:sz w:val="22"/>
          <w:szCs w:val="22"/>
        </w:rPr>
        <w:t xml:space="preserve">SESIÓN </w:t>
      </w:r>
      <w:r w:rsidRPr="007A52DC">
        <w:rPr>
          <w:rFonts w:ascii="Palatino Linotype" w:eastAsia="Palatino Linotype" w:hAnsi="Palatino Linotype" w:cs="Palatino Linotype"/>
          <w:sz w:val="22"/>
          <w:szCs w:val="22"/>
        </w:rPr>
        <w:lastRenderedPageBreak/>
        <w:t xml:space="preserve">ORDINARIA CELEBRADA EL </w:t>
      </w:r>
      <w:r w:rsidR="00AE3DD5" w:rsidRPr="007A52DC">
        <w:rPr>
          <w:rFonts w:ascii="Palatino Linotype" w:eastAsia="Palatino Linotype" w:hAnsi="Palatino Linotype" w:cs="Palatino Linotype"/>
          <w:sz w:val="22"/>
          <w:szCs w:val="22"/>
        </w:rPr>
        <w:t>DIECISIETE</w:t>
      </w:r>
      <w:r w:rsidR="003D2CDB" w:rsidRPr="007A52DC">
        <w:rPr>
          <w:rFonts w:ascii="Palatino Linotype" w:eastAsia="Palatino Linotype" w:hAnsi="Palatino Linotype" w:cs="Palatino Linotype"/>
          <w:sz w:val="22"/>
          <w:szCs w:val="22"/>
        </w:rPr>
        <w:t xml:space="preserve"> DE SEPTIEMBRE</w:t>
      </w:r>
      <w:r w:rsidR="00DF5516" w:rsidRPr="007A52DC">
        <w:rPr>
          <w:rFonts w:ascii="Palatino Linotype" w:eastAsia="Palatino Linotype" w:hAnsi="Palatino Linotype" w:cs="Palatino Linotype"/>
          <w:sz w:val="22"/>
          <w:szCs w:val="22"/>
        </w:rPr>
        <w:t xml:space="preserve"> DE DOS MIL VEINTISÉIS</w:t>
      </w:r>
      <w:r w:rsidRPr="007A52DC">
        <w:rPr>
          <w:rFonts w:ascii="Palatino Linotype" w:eastAsia="Palatino Linotype" w:hAnsi="Palatino Linotype" w:cs="Palatino Linotype"/>
          <w:sz w:val="22"/>
          <w:szCs w:val="22"/>
        </w:rPr>
        <w:t>, ANTE EL SECRETARIO TÉCNICO DEL PLENO ALEXIS TAPIA RAMÍREZ.</w:t>
      </w:r>
      <w:r w:rsidRPr="00AE6242">
        <w:rPr>
          <w:rFonts w:ascii="Palatino Linotype" w:eastAsia="Palatino Linotype" w:hAnsi="Palatino Linotype" w:cs="Palatino Linotype"/>
          <w:sz w:val="22"/>
          <w:szCs w:val="22"/>
        </w:rPr>
        <w:t xml:space="preserve"> </w:t>
      </w:r>
    </w:p>
    <w:p w14:paraId="74E02134" w14:textId="77777777" w:rsidR="00532AE4" w:rsidRPr="00AE6242"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AE6242" w:rsidRDefault="00532AE4">
      <w:pPr>
        <w:rPr>
          <w:sz w:val="22"/>
          <w:szCs w:val="22"/>
        </w:rPr>
      </w:pPr>
    </w:p>
    <w:sectPr w:rsidR="00532AE4" w:rsidRPr="00AE6242">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7D68C" w14:textId="77777777" w:rsidR="00C003BC" w:rsidRDefault="00C003BC">
      <w:r>
        <w:separator/>
      </w:r>
    </w:p>
  </w:endnote>
  <w:endnote w:type="continuationSeparator" w:id="0">
    <w:p w14:paraId="73A78879" w14:textId="77777777" w:rsidR="00C003BC" w:rsidRDefault="00C00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5F486C86"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7A52DC">
      <w:rPr>
        <w:rFonts w:ascii="Arial" w:eastAsia="Arial" w:hAnsi="Arial" w:cs="Arial"/>
        <w:b/>
        <w:noProof/>
        <w:color w:val="000000"/>
        <w:sz w:val="20"/>
        <w:szCs w:val="20"/>
      </w:rPr>
      <w:t>24</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7A52DC">
      <w:rPr>
        <w:rFonts w:ascii="Arial" w:eastAsia="Arial" w:hAnsi="Arial" w:cs="Arial"/>
        <w:b/>
        <w:noProof/>
        <w:color w:val="000000"/>
        <w:sz w:val="20"/>
        <w:szCs w:val="20"/>
      </w:rPr>
      <w:t>26</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44E95300"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7A52DC">
      <w:rPr>
        <w:rFonts w:ascii="Arial" w:eastAsia="Arial" w:hAnsi="Arial" w:cs="Arial"/>
        <w:b/>
        <w:noProof/>
        <w:color w:val="000000"/>
        <w:sz w:val="20"/>
        <w:szCs w:val="20"/>
      </w:rPr>
      <w:t>26</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7A52DC">
      <w:rPr>
        <w:rFonts w:ascii="Arial" w:eastAsia="Arial" w:hAnsi="Arial" w:cs="Arial"/>
        <w:b/>
        <w:noProof/>
        <w:color w:val="000000"/>
        <w:sz w:val="20"/>
        <w:szCs w:val="20"/>
      </w:rPr>
      <w:t>26</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60FA" w14:textId="77777777" w:rsidR="00C003BC" w:rsidRDefault="00C003BC">
      <w:r>
        <w:separator/>
      </w:r>
    </w:p>
  </w:footnote>
  <w:footnote w:type="continuationSeparator" w:id="0">
    <w:p w14:paraId="799016AC" w14:textId="77777777" w:rsidR="00C003BC" w:rsidRDefault="00C003BC">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5FFCB9DD"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AC2BDE">
            <w:rPr>
              <w:rFonts w:ascii="Palatino Linotype" w:eastAsia="Palatino Linotype" w:hAnsi="Palatino Linotype" w:cs="Palatino Linotype"/>
              <w:b/>
              <w:sz w:val="21"/>
              <w:szCs w:val="21"/>
            </w:rPr>
            <w:t>827</w:t>
          </w:r>
          <w:r w:rsidR="00150206">
            <w:rPr>
              <w:rFonts w:ascii="Palatino Linotype" w:eastAsia="Palatino Linotype" w:hAnsi="Palatino Linotype" w:cs="Palatino Linotype"/>
              <w:b/>
              <w:sz w:val="21"/>
              <w:szCs w:val="21"/>
            </w:rPr>
            <w:t>4</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53CE0D9B" w:rsidR="00532AE4" w:rsidRDefault="00AC2BDE" w:rsidP="00150206">
          <w:pPr>
            <w:jc w:val="both"/>
            <w:rPr>
              <w:rFonts w:ascii="Palatino Linotype" w:eastAsia="Palatino Linotype" w:hAnsi="Palatino Linotype" w:cs="Palatino Linotype"/>
              <w:b/>
              <w:sz w:val="21"/>
              <w:szCs w:val="21"/>
            </w:rPr>
          </w:pPr>
          <w:r w:rsidRPr="00AC2BDE">
            <w:rPr>
              <w:rFonts w:ascii="Palatino Linotype" w:eastAsia="Palatino Linotype" w:hAnsi="Palatino Linotype" w:cs="Palatino Linotype"/>
              <w:b/>
              <w:sz w:val="21"/>
              <w:szCs w:val="21"/>
            </w:rPr>
            <w:t>Instituto del Deporte del Estado de México</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17916E6E"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AC2BDE">
            <w:rPr>
              <w:rFonts w:ascii="Palatino Linotype" w:eastAsia="Palatino Linotype" w:hAnsi="Palatino Linotype" w:cs="Palatino Linotype"/>
              <w:b/>
              <w:sz w:val="21"/>
              <w:szCs w:val="21"/>
            </w:rPr>
            <w:t>8274</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6D0ACE24" w:rsidR="00532AE4" w:rsidRDefault="00EB3334">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XXXXXX XXXXX XXXXXXX</w:t>
          </w:r>
          <w:r>
            <w:rPr>
              <w:rFonts w:ascii="Palatino Linotype" w:eastAsia="Palatino Linotype" w:hAnsi="Palatino Linotype" w:cs="Palatino Linotype"/>
              <w:b/>
              <w:sz w:val="21"/>
              <w:szCs w:val="21"/>
            </w:rPr>
            <w:t xml:space="preserve"> XX XXX</w:t>
          </w:r>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27800B8F" w:rsidR="00532AE4" w:rsidRDefault="00AC2BDE" w:rsidP="00150206">
          <w:pPr>
            <w:ind w:right="452"/>
            <w:jc w:val="both"/>
            <w:rPr>
              <w:rFonts w:ascii="Palatino Linotype" w:eastAsia="Palatino Linotype" w:hAnsi="Palatino Linotype" w:cs="Palatino Linotype"/>
              <w:b/>
              <w:sz w:val="21"/>
              <w:szCs w:val="21"/>
            </w:rPr>
          </w:pPr>
          <w:r w:rsidRPr="00AC2BDE">
            <w:rPr>
              <w:rFonts w:ascii="Palatino Linotype" w:eastAsia="Palatino Linotype" w:hAnsi="Palatino Linotype" w:cs="Palatino Linotype"/>
              <w:b/>
              <w:sz w:val="21"/>
              <w:szCs w:val="21"/>
            </w:rPr>
            <w:t>Instituto del Deporte del Estado de México</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9090695">
    <w:abstractNumId w:val="2"/>
  </w:num>
  <w:num w:numId="2" w16cid:durableId="2027637902">
    <w:abstractNumId w:val="4"/>
  </w:num>
  <w:num w:numId="3" w16cid:durableId="1237394691">
    <w:abstractNumId w:val="0"/>
  </w:num>
  <w:num w:numId="4" w16cid:durableId="837577716">
    <w:abstractNumId w:val="1"/>
  </w:num>
  <w:num w:numId="5" w16cid:durableId="1359307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091"/>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6B4A"/>
    <w:rsid w:val="007276F5"/>
    <w:rsid w:val="00744B5C"/>
    <w:rsid w:val="007576B0"/>
    <w:rsid w:val="007623E7"/>
    <w:rsid w:val="007729BB"/>
    <w:rsid w:val="00773F12"/>
    <w:rsid w:val="00773F7E"/>
    <w:rsid w:val="00777216"/>
    <w:rsid w:val="00790A8C"/>
    <w:rsid w:val="007968D0"/>
    <w:rsid w:val="007A09D5"/>
    <w:rsid w:val="007A52DC"/>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D197C"/>
    <w:rsid w:val="009E503C"/>
    <w:rsid w:val="00A01FAB"/>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6B80"/>
    <w:rsid w:val="00AD14F5"/>
    <w:rsid w:val="00AD43F4"/>
    <w:rsid w:val="00AD6661"/>
    <w:rsid w:val="00AE0B9D"/>
    <w:rsid w:val="00AE3DD5"/>
    <w:rsid w:val="00AE446C"/>
    <w:rsid w:val="00AE6242"/>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233E"/>
    <w:rsid w:val="00B64FEA"/>
    <w:rsid w:val="00B76CCE"/>
    <w:rsid w:val="00B81E44"/>
    <w:rsid w:val="00B82C51"/>
    <w:rsid w:val="00B86A3D"/>
    <w:rsid w:val="00BB1677"/>
    <w:rsid w:val="00BB1882"/>
    <w:rsid w:val="00BC6C53"/>
    <w:rsid w:val="00BD2189"/>
    <w:rsid w:val="00BD3609"/>
    <w:rsid w:val="00BE3596"/>
    <w:rsid w:val="00BE3FD2"/>
    <w:rsid w:val="00C003BC"/>
    <w:rsid w:val="00C112BE"/>
    <w:rsid w:val="00C1235A"/>
    <w:rsid w:val="00C13FF2"/>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3334"/>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532423981">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7A672EA9-A5B5-4375-80D9-6E3834EA60B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6624</Words>
  <Characters>36433</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2026-09-18T20:53:00Z</cp:lastPrinted>
  <dcterms:created xsi:type="dcterms:W3CDTF">2026-09-22T21:45:00Z</dcterms:created>
  <dcterms:modified xsi:type="dcterms:W3CDTF">2026-09-22T21:45:00Z</dcterms:modified>
</cp:coreProperties>
</file>