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73D" w:rsidRDefault="0060062E">
      <w:pPr>
        <w:tabs>
          <w:tab w:val="left" w:pos="3465"/>
        </w:tabs>
        <w:spacing w:line="360" w:lineRule="auto"/>
        <w:ind w:right="-839"/>
        <w:jc w:val="both"/>
        <w:rPr>
          <w:rFonts w:ascii="Palatino Linotype" w:eastAsia="Palatino Linotype" w:hAnsi="Palatino Linotype" w:cs="Palatino Linotype"/>
          <w:b/>
          <w:bCs/>
        </w:rPr>
      </w:pPr>
      <w:r>
        <w:rPr>
          <w:rFonts w:ascii="Palatino Linotype" w:eastAsia="Palatino Linotype" w:hAnsi="Palatino Linotype" w:cs="Palatino Linotype"/>
        </w:rPr>
        <w:t>Resolución del Pleno del Instituto de Transparencia,</w:t>
      </w:r>
      <w:bookmarkStart w:id="0" w:name="_GoBack"/>
      <w:bookmarkEnd w:id="0"/>
      <w:r>
        <w:rPr>
          <w:rFonts w:ascii="Palatino Linotype" w:eastAsia="Palatino Linotype" w:hAnsi="Palatino Linotype" w:cs="Palatino Linotype"/>
        </w:rPr>
        <w:t xml:space="preserve"> Acceso a la Información Pública y Protección de Datos Personales del Estado de México y Municipios, con domicilio en Metepec, Estado de México; de </w:t>
      </w:r>
      <w:r>
        <w:rPr>
          <w:rFonts w:ascii="Palatino Linotype" w:eastAsia="Palatino Linotype" w:hAnsi="Palatino Linotype" w:cs="Palatino Linotype"/>
          <w:b/>
          <w:bCs/>
        </w:rPr>
        <w:t>fecha diez (10) de junio de dos mil veintiséis.</w:t>
      </w:r>
    </w:p>
    <w:p w:rsidR="0070273D" w:rsidRDefault="0070273D">
      <w:pPr>
        <w:tabs>
          <w:tab w:val="left" w:pos="3465"/>
        </w:tabs>
        <w:spacing w:line="360" w:lineRule="auto"/>
        <w:ind w:right="-839"/>
        <w:jc w:val="both"/>
        <w:rPr>
          <w:rFonts w:ascii="Palatino Linotype" w:eastAsia="Palatino Linotype" w:hAnsi="Palatino Linotype" w:cs="Palatino Linotype"/>
        </w:rPr>
      </w:pPr>
    </w:p>
    <w:p w:rsidR="0070273D" w:rsidRDefault="0060062E">
      <w:pPr>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13183/INFOEM/IP/RR/2025, </w:t>
      </w:r>
      <w:r>
        <w:rPr>
          <w:rFonts w:ascii="Palatino Linotype" w:eastAsia="Palatino Linotype" w:hAnsi="Palatino Linotype" w:cs="Palatino Linotype"/>
        </w:rPr>
        <w:t>promovido por</w:t>
      </w:r>
      <w:r>
        <w:rPr>
          <w:rFonts w:ascii="Palatino Linotype" w:eastAsia="Palatino Linotype" w:hAnsi="Palatino Linotype" w:cs="Palatino Linotype"/>
          <w:b/>
          <w:bCs/>
        </w:rPr>
        <w:t xml:space="preserve"> una persona que no aportó datos de identificación</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LA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Ecatepec de Morelos,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70273D" w:rsidRDefault="0070273D">
      <w:pPr>
        <w:spacing w:line="360" w:lineRule="auto"/>
        <w:ind w:right="-839"/>
        <w:jc w:val="both"/>
        <w:rPr>
          <w:rFonts w:ascii="Palatino Linotype" w:eastAsia="Palatino Linotype" w:hAnsi="Palatino Linotype" w:cs="Palatino Linotype"/>
          <w:b/>
          <w:bCs/>
        </w:rPr>
      </w:pPr>
    </w:p>
    <w:p w:rsidR="0070273D" w:rsidRDefault="0060062E">
      <w:pPr>
        <w:pStyle w:val="Ttulo1"/>
        <w:spacing w:before="0" w:line="360" w:lineRule="auto"/>
        <w:ind w:right="-839"/>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70273D" w:rsidRDefault="0070273D">
      <w:pPr>
        <w:spacing w:line="360" w:lineRule="auto"/>
        <w:ind w:right="-839"/>
        <w:rPr>
          <w:rFonts w:ascii="Palatino Linotype" w:eastAsia="Palatino Linotype" w:hAnsi="Palatino Linotype" w:cs="Palatino Linotype"/>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dieciocho de noviembre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(SAIMEX), la solicitud de información pública registrada con el número</w:t>
      </w:r>
      <w:r>
        <w:rPr>
          <w:rFonts w:ascii="Palatino Linotype" w:eastAsia="Palatino Linotype" w:hAnsi="Palatino Linotype" w:cs="Palatino Linotype"/>
          <w:b/>
          <w:bCs/>
          <w:color w:val="000000"/>
        </w:rPr>
        <w:t xml:space="preserve">  00918/ECATEPEC/IP/2025;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requirió la siguiente información:</w:t>
      </w:r>
    </w:p>
    <w:p w:rsidR="0070273D" w:rsidRDefault="0070273D">
      <w:pPr>
        <w:pBdr>
          <w:top w:val="nil"/>
          <w:left w:val="nil"/>
          <w:bottom w:val="nil"/>
          <w:right w:val="nil"/>
          <w:between w:val="nil"/>
        </w:pBdr>
        <w:spacing w:line="360" w:lineRule="auto"/>
        <w:ind w:left="360" w:right="-839"/>
        <w:jc w:val="both"/>
        <w:rPr>
          <w:rFonts w:ascii="Palatino Linotype" w:eastAsia="Palatino Linotype" w:hAnsi="Palatino Linotype" w:cs="Palatino Linotype"/>
          <w:color w:val="000000"/>
        </w:rPr>
      </w:pPr>
    </w:p>
    <w:p w:rsidR="0070273D" w:rsidRDefault="0060062E">
      <w:pPr>
        <w:pBdr>
          <w:top w:val="nil"/>
          <w:left w:val="nil"/>
          <w:bottom w:val="nil"/>
          <w:right w:val="nil"/>
          <w:between w:val="nil"/>
        </w:pBd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“Quiero conocer el contrato celebrado para realizar los exámenes de control y confianza a los policias de ecatepec, es decir los que hacemos para el toxicologico y etc”</w:t>
      </w:r>
    </w:p>
    <w:p w:rsidR="0070273D" w:rsidRDefault="0070273D">
      <w:pPr>
        <w:pBdr>
          <w:top w:val="nil"/>
          <w:left w:val="nil"/>
          <w:bottom w:val="nil"/>
          <w:right w:val="nil"/>
          <w:between w:val="nil"/>
        </w:pBdr>
        <w:spacing w:line="360" w:lineRule="auto"/>
        <w:ind w:left="851" w:right="-839"/>
        <w:jc w:val="both"/>
        <w:rPr>
          <w:rFonts w:ascii="Palatino Linotype" w:eastAsia="Palatino Linotype" w:hAnsi="Palatino Linotype" w:cs="Palatino Linotype"/>
          <w:b/>
          <w:bCs/>
          <w:color w:val="000000"/>
        </w:rPr>
      </w:pPr>
    </w:p>
    <w:p w:rsidR="0070273D" w:rsidRDefault="0060062E">
      <w:pPr>
        <w:numPr>
          <w:ilvl w:val="0"/>
          <w:numId w:val="3"/>
        </w:numPr>
        <w:pBdr>
          <w:top w:val="nil"/>
          <w:left w:val="nil"/>
          <w:bottom w:val="nil"/>
          <w:right w:val="nil"/>
          <w:between w:val="nil"/>
        </w:pBdr>
        <w:spacing w:line="360" w:lineRule="auto"/>
        <w:ind w:left="851" w:right="-839"/>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 eligió como modalidad de entrega: </w:t>
      </w:r>
      <w:r>
        <w:rPr>
          <w:rFonts w:ascii="Palatino Linotype" w:eastAsia="Palatino Linotype" w:hAnsi="Palatino Linotype" w:cs="Palatino Linotype"/>
          <w:b/>
          <w:bCs/>
          <w:color w:val="000000"/>
        </w:rPr>
        <w:t>SAIMEX.</w:t>
      </w:r>
    </w:p>
    <w:p w:rsidR="0070273D" w:rsidRDefault="0070273D">
      <w:pPr>
        <w:pBdr>
          <w:top w:val="nil"/>
          <w:left w:val="nil"/>
          <w:bottom w:val="nil"/>
          <w:right w:val="nil"/>
          <w:between w:val="nil"/>
        </w:pBdr>
        <w:spacing w:line="360" w:lineRule="auto"/>
        <w:ind w:left="1724" w:right="-839"/>
        <w:jc w:val="both"/>
        <w:rPr>
          <w:rFonts w:ascii="Palatino Linotype" w:eastAsia="Palatino Linotype" w:hAnsi="Palatino Linotype" w:cs="Palatino Linotype"/>
          <w:b/>
          <w:bCs/>
        </w:rPr>
      </w:pPr>
    </w:p>
    <w:p w:rsidR="0070273D" w:rsidRDefault="0060062E">
      <w:pPr>
        <w:numPr>
          <w:ilvl w:val="0"/>
          <w:numId w:val="1"/>
        </w:numPr>
        <w:pBdr>
          <w:top w:val="nil"/>
          <w:left w:val="nil"/>
          <w:bottom w:val="nil"/>
          <w:right w:val="nil"/>
          <w:between w:val="nil"/>
        </w:pBdr>
        <w:tabs>
          <w:tab w:val="left" w:pos="0"/>
        </w:tabs>
        <w:spacing w:line="360" w:lineRule="auto"/>
        <w:ind w:left="0" w:right="-83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diecinueve de noviembre de dos mil veinticinco</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la solicitud, mediante un archivo denominado </w:t>
      </w:r>
      <w:r>
        <w:rPr>
          <w:rFonts w:ascii="Palatino Linotype" w:eastAsia="Palatino Linotype" w:hAnsi="Palatino Linotype" w:cs="Palatino Linotype"/>
          <w:b/>
          <w:bCs/>
          <w:i/>
          <w:iCs/>
          <w:color w:val="000000"/>
        </w:rPr>
        <w:t xml:space="preserve">CT_UT_ECA_1275_2025 </w:t>
      </w:r>
      <w:r>
        <w:rPr>
          <w:rFonts w:ascii="Palatino Linotype" w:eastAsia="Palatino Linotype" w:hAnsi="Palatino Linotype" w:cs="Palatino Linotype"/>
          <w:b/>
          <w:bCs/>
          <w:i/>
          <w:iCs/>
          <w:color w:val="000000"/>
        </w:rPr>
        <w:lastRenderedPageBreak/>
        <w:t xml:space="preserve">incompetencia total a sol. 0918.pdf, </w:t>
      </w:r>
      <w:r>
        <w:rPr>
          <w:rFonts w:ascii="Palatino Linotype" w:eastAsia="Palatino Linotype" w:hAnsi="Palatino Linotype" w:cs="Palatino Linotype"/>
          <w:color w:val="000000"/>
        </w:rPr>
        <w:t xml:space="preserve">cuyo contenido corresponde a un oficio signado por la Titular de la Unidad de Transparencia, a través del cual informa, que no es competencia de ese Sujeto Obligado dar atención a la solicitud ya que dicha información, eventualmente la puede otorgar el Centro de Evaluación y Control de Confianza Estatal (CECC), que depende de la Secretaría de Seguridad Pública Estatal o de la </w:t>
      </w:r>
      <w:r>
        <w:rPr>
          <w:rFonts w:ascii="Palatino Linotype" w:eastAsia="Palatino Linotype" w:hAnsi="Palatino Linotype" w:cs="Palatino Linotype"/>
        </w:rPr>
        <w:t>Secretaría</w:t>
      </w:r>
      <w:r>
        <w:rPr>
          <w:rFonts w:ascii="Palatino Linotype" w:eastAsia="Palatino Linotype" w:hAnsi="Palatino Linotype" w:cs="Palatino Linotype"/>
          <w:color w:val="000000"/>
        </w:rPr>
        <w:t xml:space="preserve"> de la Contraloría, por lo que orienta al particular a ingresar una nueva solicitud de información.</w:t>
      </w:r>
    </w:p>
    <w:p w:rsidR="0070273D" w:rsidRDefault="0070273D">
      <w:pPr>
        <w:pBdr>
          <w:top w:val="nil"/>
          <w:left w:val="nil"/>
          <w:bottom w:val="nil"/>
          <w:right w:val="nil"/>
          <w:between w:val="nil"/>
        </w:pBdr>
        <w:tabs>
          <w:tab w:val="left" w:pos="0"/>
        </w:tabs>
        <w:spacing w:line="360" w:lineRule="auto"/>
        <w:ind w:right="-839"/>
        <w:jc w:val="both"/>
        <w:rPr>
          <w:rFonts w:ascii="Palatino Linotype" w:eastAsia="Palatino Linotype" w:hAnsi="Palatino Linotype" w:cs="Palatino Linotype"/>
          <w:color w:val="000000"/>
        </w:rPr>
      </w:pPr>
    </w:p>
    <w:p w:rsidR="0070273D" w:rsidRDefault="0060062E">
      <w:pPr>
        <w:numPr>
          <w:ilvl w:val="0"/>
          <w:numId w:val="1"/>
        </w:numPr>
        <w:pBdr>
          <w:top w:val="nil"/>
          <w:left w:val="nil"/>
          <w:bottom w:val="nil"/>
          <w:right w:val="nil"/>
          <w:between w:val="nil"/>
        </w:pBdr>
        <w:tabs>
          <w:tab w:val="left" w:pos="0"/>
        </w:tabs>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la respuesta el </w:t>
      </w:r>
      <w:r>
        <w:rPr>
          <w:rFonts w:ascii="Palatino Linotype" w:eastAsia="Palatino Linotype" w:hAnsi="Palatino Linotype" w:cs="Palatino Linotype"/>
          <w:b/>
          <w:bCs/>
          <w:color w:val="000000"/>
        </w:rPr>
        <w:t>veintitrés de noviembre de dos mil veinticinco</w:t>
      </w:r>
      <w:r>
        <w:rPr>
          <w:rFonts w:ascii="Palatino Linotype" w:eastAsia="Palatino Linotype" w:hAnsi="Palatino Linotype" w:cs="Palatino Linotype"/>
          <w:color w:val="000000"/>
        </w:rPr>
        <w:t>, la solicitante interpuso el recurso de revisión en contra de la respuesta, manifestando las siguientes razones o motivos de inconformidad:</w:t>
      </w:r>
    </w:p>
    <w:p w:rsidR="0070273D" w:rsidRDefault="0070273D">
      <w:pPr>
        <w:pBdr>
          <w:top w:val="nil"/>
          <w:left w:val="nil"/>
          <w:bottom w:val="nil"/>
          <w:right w:val="nil"/>
          <w:between w:val="nil"/>
        </w:pBdr>
        <w:tabs>
          <w:tab w:val="left" w:pos="0"/>
        </w:tabs>
        <w:spacing w:line="360" w:lineRule="auto"/>
        <w:ind w:right="-839"/>
        <w:jc w:val="both"/>
        <w:rPr>
          <w:rFonts w:ascii="Palatino Linotype" w:eastAsia="Palatino Linotype" w:hAnsi="Palatino Linotype" w:cs="Palatino Linotype"/>
          <w:color w:val="000000"/>
        </w:rPr>
      </w:pPr>
    </w:p>
    <w:p w:rsidR="0070273D" w:rsidRDefault="0060062E">
      <w:pPr>
        <w:numPr>
          <w:ilvl w:val="0"/>
          <w:numId w:val="3"/>
        </w:numPr>
        <w:pBdr>
          <w:top w:val="nil"/>
          <w:left w:val="nil"/>
          <w:bottom w:val="nil"/>
          <w:right w:val="nil"/>
          <w:between w:val="nil"/>
        </w:pBdr>
        <w:spacing w:line="360" w:lineRule="auto"/>
        <w:ind w:left="1134" w:right="-839"/>
        <w:jc w:val="both"/>
        <w:rPr>
          <w:rFonts w:ascii="Palatino Linotype" w:eastAsia="Palatino Linotype" w:hAnsi="Palatino Linotype" w:cs="Palatino Linotype"/>
          <w:i/>
          <w:i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“no me quieren dar el contrato”</w:t>
      </w:r>
    </w:p>
    <w:p w:rsidR="0070273D" w:rsidRDefault="0070273D">
      <w:pPr>
        <w:pBdr>
          <w:top w:val="nil"/>
          <w:left w:val="nil"/>
          <w:bottom w:val="nil"/>
          <w:right w:val="nil"/>
          <w:between w:val="nil"/>
        </w:pBdr>
        <w:spacing w:line="360" w:lineRule="auto"/>
        <w:ind w:left="1134" w:right="-839"/>
        <w:jc w:val="both"/>
        <w:rPr>
          <w:rFonts w:ascii="Palatino Linotype" w:eastAsia="Palatino Linotype" w:hAnsi="Palatino Linotype" w:cs="Palatino Linotype"/>
          <w:i/>
          <w:iCs/>
          <w:color w:val="000000"/>
        </w:rPr>
      </w:pPr>
    </w:p>
    <w:p w:rsidR="0070273D" w:rsidRDefault="0060062E">
      <w:pPr>
        <w:numPr>
          <w:ilvl w:val="0"/>
          <w:numId w:val="3"/>
        </w:numPr>
        <w:pBdr>
          <w:top w:val="nil"/>
          <w:left w:val="nil"/>
          <w:bottom w:val="nil"/>
          <w:right w:val="nil"/>
          <w:between w:val="nil"/>
        </w:pBdr>
        <w:spacing w:line="360" w:lineRule="auto"/>
        <w:ind w:left="1134"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i/>
          <w:iCs/>
          <w:color w:val="000000"/>
        </w:rPr>
        <w:t xml:space="preserve"> “no me quieren darel contrato”</w:t>
      </w:r>
    </w:p>
    <w:p w:rsidR="0070273D" w:rsidRDefault="0070273D">
      <w:pPr>
        <w:pBdr>
          <w:top w:val="nil"/>
          <w:left w:val="nil"/>
          <w:bottom w:val="nil"/>
          <w:right w:val="nil"/>
          <w:between w:val="nil"/>
        </w:pBdr>
        <w:spacing w:line="360" w:lineRule="auto"/>
        <w:ind w:left="709" w:right="-839"/>
        <w:jc w:val="both"/>
        <w:rPr>
          <w:rFonts w:ascii="Palatino Linotype" w:eastAsia="Palatino Linotype" w:hAnsi="Palatino Linotype" w:cs="Palatino Linotype"/>
          <w:i/>
          <w:iCs/>
          <w:color w:val="000000"/>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uno de diciembre de 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70273D" w:rsidRDefault="0070273D">
      <w:pPr>
        <w:pBdr>
          <w:top w:val="nil"/>
          <w:left w:val="nil"/>
          <w:bottom w:val="nil"/>
          <w:right w:val="nil"/>
          <w:between w:val="nil"/>
        </w:pBdr>
        <w:spacing w:line="360" w:lineRule="auto"/>
        <w:ind w:right="-839"/>
        <w:jc w:val="both"/>
        <w:rPr>
          <w:rFonts w:ascii="Palatino Linotype" w:eastAsia="Palatino Linotype" w:hAnsi="Palatino Linotype" w:cs="Palatino Linotype"/>
          <w:color w:val="000000"/>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rindió informe justificado el día </w:t>
      </w:r>
      <w:r>
        <w:rPr>
          <w:rFonts w:ascii="Palatino Linotype" w:eastAsia="Palatino Linotype" w:hAnsi="Palatino Linotype" w:cs="Palatino Linotype"/>
          <w:b/>
          <w:bCs/>
          <w:color w:val="000000"/>
        </w:rPr>
        <w:t>dos de diciembre dos mil veintiséis</w:t>
      </w:r>
      <w:r>
        <w:rPr>
          <w:rFonts w:ascii="Palatino Linotype" w:eastAsia="Palatino Linotype" w:hAnsi="Palatino Linotype" w:cs="Palatino Linotype"/>
          <w:color w:val="000000"/>
        </w:rPr>
        <w:t xml:space="preserve">, mediante oficio signado por la Titular de la Unidad de </w:t>
      </w:r>
      <w:r>
        <w:rPr>
          <w:rFonts w:ascii="Palatino Linotype" w:eastAsia="Palatino Linotype" w:hAnsi="Palatino Linotype" w:cs="Palatino Linotype"/>
          <w:color w:val="000000"/>
        </w:rPr>
        <w:lastRenderedPageBreak/>
        <w:t>Transparencia, a través del cual refiere que nunca se negó el acceso a la información, así como tampoco existió una falta de respuesta, solicitando se confirme la respuesta inicial emitida.</w:t>
      </w:r>
    </w:p>
    <w:p w:rsidR="0070273D" w:rsidRDefault="0070273D">
      <w:pPr>
        <w:spacing w:line="360" w:lineRule="auto"/>
        <w:ind w:right="-839"/>
        <w:jc w:val="center"/>
        <w:rPr>
          <w:rFonts w:ascii="Palatino Linotype" w:eastAsia="Palatino Linotype" w:hAnsi="Palatino Linotype" w:cs="Palatino Linotype"/>
          <w:color w:val="000000"/>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color w:val="000000"/>
        </w:rPr>
        <w:t xml:space="preserve">Seguidamente, mediante acuerdos de fecha </w:t>
      </w:r>
      <w:r>
        <w:rPr>
          <w:rFonts w:ascii="Palatino Linotype" w:eastAsia="Palatino Linotype" w:hAnsi="Palatino Linotype" w:cs="Palatino Linotype"/>
          <w:b/>
          <w:bCs/>
          <w:color w:val="000000"/>
        </w:rPr>
        <w:t xml:space="preserve">uno de junio de dos mil veintiséis </w:t>
      </w:r>
      <w:r>
        <w:rPr>
          <w:rFonts w:ascii="Palatino Linotype" w:eastAsia="Palatino Linotype" w:hAnsi="Palatino Linotype" w:cs="Palatino Linotype"/>
          <w:color w:val="000000"/>
        </w:rPr>
        <w:t>se amplió el término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Consecutivamente al no existir pendiente o diligencia por desahogar, se decretó el cierre de instrucción en fecha </w:t>
      </w:r>
      <w:r>
        <w:rPr>
          <w:rFonts w:ascii="Palatino Linotype" w:eastAsia="Palatino Linotype" w:hAnsi="Palatino Linotype" w:cs="Palatino Linotype"/>
          <w:b/>
          <w:bCs/>
          <w:color w:val="000000"/>
        </w:rPr>
        <w:t>ocho de junio de dos mil veintiséis</w:t>
      </w:r>
      <w:r>
        <w:rPr>
          <w:rFonts w:ascii="Palatino Linotype" w:eastAsia="Palatino Linotype" w:hAnsi="Palatino Linotype" w:cs="Palatino Linotype"/>
          <w:color w:val="000000"/>
        </w:rPr>
        <w:t>, por lo que no habiendo más que hacer constar, y</w:t>
      </w:r>
    </w:p>
    <w:p w:rsidR="0070273D" w:rsidRDefault="0070273D">
      <w:pPr>
        <w:pBdr>
          <w:top w:val="nil"/>
          <w:left w:val="nil"/>
          <w:bottom w:val="nil"/>
          <w:right w:val="nil"/>
          <w:between w:val="nil"/>
        </w:pBdr>
        <w:spacing w:line="360" w:lineRule="auto"/>
        <w:ind w:right="-839"/>
        <w:jc w:val="center"/>
        <w:rPr>
          <w:rFonts w:ascii="Palatino Linotype" w:eastAsia="Palatino Linotype" w:hAnsi="Palatino Linotype" w:cs="Palatino Linotype"/>
          <w:b/>
          <w:bCs/>
          <w:color w:val="000000"/>
        </w:rPr>
      </w:pPr>
    </w:p>
    <w:p w:rsidR="0070273D" w:rsidRDefault="0060062E">
      <w:pPr>
        <w:pBdr>
          <w:top w:val="nil"/>
          <w:left w:val="nil"/>
          <w:bottom w:val="nil"/>
          <w:right w:val="nil"/>
          <w:between w:val="nil"/>
        </w:pBdr>
        <w:spacing w:line="360" w:lineRule="auto"/>
        <w:ind w:right="-83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70273D" w:rsidRDefault="0070273D">
      <w:pPr>
        <w:pBdr>
          <w:top w:val="nil"/>
          <w:left w:val="nil"/>
          <w:bottom w:val="nil"/>
          <w:right w:val="nil"/>
          <w:between w:val="nil"/>
        </w:pBdr>
        <w:spacing w:line="360" w:lineRule="auto"/>
        <w:ind w:right="-839"/>
        <w:jc w:val="center"/>
        <w:rPr>
          <w:rFonts w:ascii="Palatino Linotype" w:eastAsia="Palatino Linotype" w:hAnsi="Palatino Linotype" w:cs="Palatino Linotype"/>
          <w:b/>
          <w:bCs/>
          <w:color w:val="000000"/>
        </w:rPr>
      </w:pPr>
    </w:p>
    <w:p w:rsidR="0070273D" w:rsidRDefault="0060062E">
      <w:pPr>
        <w:pStyle w:val="Ttulo2"/>
        <w:spacing w:before="0" w:line="360" w:lineRule="auto"/>
        <w:ind w:right="-839"/>
        <w:rPr>
          <w:rFonts w:ascii="Palatino Linotype" w:eastAsia="Palatino Linotype" w:hAnsi="Palatino Linotype" w:cs="Palatino Linotype"/>
          <w:b/>
          <w:bCs/>
          <w:color w:val="000000"/>
          <w:sz w:val="24"/>
          <w:szCs w:val="24"/>
        </w:rPr>
      </w:pPr>
      <w:bookmarkStart w:id="4" w:name="_heading=h.3znysh7" w:colFirst="0" w:colLast="0"/>
      <w:bookmarkEnd w:id="4"/>
      <w:r>
        <w:rPr>
          <w:rFonts w:ascii="Palatino Linotype" w:eastAsia="Palatino Linotype" w:hAnsi="Palatino Linotype" w:cs="Palatino Linotype"/>
          <w:b/>
          <w:bCs/>
          <w:color w:val="000000"/>
          <w:sz w:val="24"/>
          <w:szCs w:val="24"/>
        </w:rPr>
        <w:t>PRIMERO. De la competencia</w:t>
      </w: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w:t>
      </w:r>
      <w:r>
        <w:rPr>
          <w:rFonts w:ascii="Palatino Linotype" w:eastAsia="Palatino Linotype" w:hAnsi="Palatino Linotype" w:cs="Palatino Linotype"/>
        </w:rPr>
        <w:lastRenderedPageBreak/>
        <w:t>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70273D" w:rsidRDefault="0070273D">
      <w:pPr>
        <w:pBdr>
          <w:top w:val="nil"/>
          <w:left w:val="nil"/>
          <w:bottom w:val="nil"/>
          <w:right w:val="nil"/>
          <w:between w:val="nil"/>
        </w:pBdr>
        <w:spacing w:line="360" w:lineRule="auto"/>
        <w:ind w:right="-839"/>
        <w:jc w:val="both"/>
        <w:rPr>
          <w:rFonts w:ascii="Palatino Linotype" w:eastAsia="Palatino Linotype" w:hAnsi="Palatino Linotype" w:cs="Palatino Linotype"/>
          <w:b/>
          <w:bCs/>
          <w:color w:val="000000"/>
        </w:rPr>
      </w:pPr>
    </w:p>
    <w:p w:rsidR="0070273D" w:rsidRDefault="0060062E">
      <w:pPr>
        <w:pStyle w:val="Ttulo2"/>
        <w:spacing w:before="0" w:line="360" w:lineRule="auto"/>
        <w:ind w:right="-839"/>
        <w:rPr>
          <w:rFonts w:ascii="Palatino Linotype" w:eastAsia="Palatino Linotype" w:hAnsi="Palatino Linotype" w:cs="Palatino Linotype"/>
          <w:b/>
          <w:bCs/>
          <w:color w:val="000000"/>
          <w:sz w:val="24"/>
          <w:szCs w:val="24"/>
        </w:rPr>
      </w:pPr>
      <w:bookmarkStart w:id="5" w:name="_heading=h.2et92p0" w:colFirst="0" w:colLast="0"/>
      <w:bookmarkEnd w:id="5"/>
      <w:r>
        <w:rPr>
          <w:rFonts w:ascii="Palatino Linotype" w:eastAsia="Palatino Linotype" w:hAnsi="Palatino Linotype" w:cs="Palatino Linotype"/>
          <w:b/>
          <w:bCs/>
          <w:color w:val="000000"/>
          <w:sz w:val="24"/>
          <w:szCs w:val="24"/>
        </w:rPr>
        <w:t>SEGUNDO. De la oportunidad y procedencia.</w:t>
      </w: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procedencia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70273D" w:rsidRDefault="0070273D">
      <w:pPr>
        <w:pBdr>
          <w:top w:val="nil"/>
          <w:left w:val="nil"/>
          <w:bottom w:val="nil"/>
          <w:right w:val="nil"/>
          <w:between w:val="nil"/>
        </w:pBdr>
        <w:spacing w:line="360" w:lineRule="auto"/>
        <w:ind w:left="786" w:right="-839"/>
        <w:jc w:val="both"/>
        <w:rPr>
          <w:rFonts w:ascii="Palatino Linotype" w:eastAsia="Palatino Linotype" w:hAnsi="Palatino Linotype" w:cs="Palatino Linotype"/>
          <w:color w:val="000000"/>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otro </w:t>
      </w:r>
      <w:r>
        <w:rPr>
          <w:rFonts w:ascii="Palatino Linotype" w:eastAsia="Palatino Linotype" w:hAnsi="Palatino Linotype" w:cs="Palatino Linotype"/>
        </w:rPr>
        <w:t>lado</w:t>
      </w:r>
      <w:r>
        <w:rPr>
          <w:rFonts w:ascii="Palatino Linotype" w:eastAsia="Palatino Linotype" w:hAnsi="Palatino Linotype" w:cs="Palatino Linotype"/>
          <w:color w:val="000000"/>
        </w:rPr>
        <w:t xml:space="preserve">, es de suma importancia señalar que la parte recurrente no proporciona un </w:t>
      </w:r>
      <w:r>
        <w:rPr>
          <w:rFonts w:ascii="Palatino Linotype" w:eastAsia="Palatino Linotype" w:hAnsi="Palatino Linotype" w:cs="Palatino Linotype"/>
          <w:color w:val="000000"/>
          <w:u w:val="single"/>
        </w:rPr>
        <w:t>nombre completo</w:t>
      </w:r>
      <w:r>
        <w:rPr>
          <w:rFonts w:ascii="Palatino Linotype" w:eastAsia="Palatino Linotype" w:hAnsi="Palatino Linotype" w:cs="Palatino Linotype"/>
          <w:color w:val="000000"/>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70273D" w:rsidRDefault="0060062E">
      <w:pPr>
        <w:spacing w:line="360" w:lineRule="auto"/>
        <w:ind w:left="567"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70273D" w:rsidRDefault="0070273D">
      <w:pPr>
        <w:pBdr>
          <w:top w:val="nil"/>
          <w:left w:val="nil"/>
          <w:bottom w:val="nil"/>
          <w:right w:val="nil"/>
          <w:between w:val="nil"/>
        </w:pBdr>
        <w:spacing w:line="360" w:lineRule="auto"/>
        <w:ind w:right="-839"/>
        <w:jc w:val="both"/>
        <w:rPr>
          <w:rFonts w:ascii="Palatino Linotype" w:eastAsia="Palatino Linotype" w:hAnsi="Palatino Linotype" w:cs="Palatino Linotype"/>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Consecuencia de lo anterior, este Órgano Garante advierte que el escrito contiene las </w:t>
      </w:r>
      <w:r>
        <w:rPr>
          <w:rFonts w:ascii="Palatino Linotype" w:eastAsia="Palatino Linotype" w:hAnsi="Palatino Linotype" w:cs="Palatino Linotype"/>
        </w:rPr>
        <w:t>formalidades</w:t>
      </w:r>
      <w:r>
        <w:rPr>
          <w:rFonts w:ascii="Palatino Linotype" w:eastAsia="Palatino Linotype" w:hAnsi="Palatino Linotype" w:cs="Palatino Linotype"/>
          <w:color w:val="000000"/>
        </w:rPr>
        <w:t xml:space="preserve"> previstas por el artículo 180 último párrafo de la Ley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y Acceso </w:t>
      </w:r>
      <w:r>
        <w:rPr>
          <w:rFonts w:ascii="Palatino Linotype" w:eastAsia="Palatino Linotype" w:hAnsi="Palatino Linotype" w:cs="Palatino Linotype"/>
          <w:color w:val="000000"/>
        </w:rPr>
        <w:lastRenderedPageBreak/>
        <w:t xml:space="preserve">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pStyle w:val="Ttulo1"/>
        <w:spacing w:before="0" w:line="360" w:lineRule="auto"/>
        <w:ind w:right="-839"/>
        <w:rPr>
          <w:rFonts w:ascii="Palatino Linotype" w:eastAsia="Palatino Linotype" w:hAnsi="Palatino Linotype" w:cs="Palatino Linotype"/>
          <w:b/>
          <w:bCs/>
          <w:color w:val="000000"/>
          <w:sz w:val="24"/>
          <w:szCs w:val="24"/>
        </w:rPr>
      </w:pPr>
      <w:bookmarkStart w:id="6" w:name="_heading=h.tyjcwt" w:colFirst="0" w:colLast="0"/>
      <w:bookmarkEnd w:id="6"/>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70273D" w:rsidRDefault="0060062E">
      <w:pPr>
        <w:numPr>
          <w:ilvl w:val="0"/>
          <w:numId w:val="1"/>
        </w:numPr>
        <w:pBdr>
          <w:top w:val="nil"/>
          <w:left w:val="nil"/>
          <w:bottom w:val="nil"/>
          <w:right w:val="nil"/>
          <w:between w:val="nil"/>
        </w:pBd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que a continuación se desagrega vía SAIMEX:</w:t>
      </w:r>
    </w:p>
    <w:p w:rsidR="0070273D" w:rsidRDefault="0060062E">
      <w:pPr>
        <w:numPr>
          <w:ilvl w:val="0"/>
          <w:numId w:val="4"/>
        </w:numPr>
        <w:pBdr>
          <w:top w:val="nil"/>
          <w:left w:val="nil"/>
          <w:bottom w:val="nil"/>
          <w:right w:val="nil"/>
          <w:between w:val="nil"/>
        </w:pBdr>
        <w:tabs>
          <w:tab w:val="left" w:pos="7797"/>
        </w:tabs>
        <w:spacing w:line="360" w:lineRule="auto"/>
        <w:ind w:left="709" w:right="-83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Contrato celebrado para realizar exámenes de control y confianza, a policías adscritos al Ayuntamiento de Ecatepec.</w:t>
      </w:r>
    </w:p>
    <w:p w:rsidR="0070273D" w:rsidRDefault="0070273D">
      <w:pPr>
        <w:pBdr>
          <w:top w:val="nil"/>
          <w:left w:val="nil"/>
          <w:bottom w:val="nil"/>
          <w:right w:val="nil"/>
          <w:between w:val="nil"/>
        </w:pBdr>
        <w:tabs>
          <w:tab w:val="left" w:pos="7797"/>
        </w:tabs>
        <w:spacing w:line="360" w:lineRule="auto"/>
        <w:ind w:left="993" w:right="-839"/>
        <w:jc w:val="both"/>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remitió la información ya descrita en el párrafo 2. Inconforme con la misma, se interpuso recurso de revisión en contra de la negativa a la entrega de la información; por lo tanto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 xml:space="preserve">Ley de </w:t>
      </w:r>
      <w:r>
        <w:rPr>
          <w:rFonts w:ascii="Palatino Linotype" w:eastAsia="Palatino Linotype" w:hAnsi="Palatino Linotype" w:cs="Palatino Linotype"/>
        </w:rPr>
        <w:t>Transparencia</w:t>
      </w:r>
      <w:r>
        <w:rPr>
          <w:rFonts w:ascii="Palatino Linotype" w:eastAsia="Palatino Linotype" w:hAnsi="Palatino Linotype" w:cs="Palatino Linotype"/>
          <w:b/>
          <w:bCs/>
        </w:rPr>
        <w:t xml:space="preserve"> y Acceso a la Información Pública del Estado de México y Municipios</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fracción que determina la hipótesis jurídica relativa a la entrega de la información incompleta; contexto del cual se dolió </w:t>
      </w:r>
      <w:r>
        <w:rPr>
          <w:rFonts w:ascii="Palatino Linotype" w:eastAsia="Palatino Linotype" w:hAnsi="Palatino Linotype" w:cs="Palatino Linotype"/>
          <w:b/>
          <w:bCs/>
        </w:rPr>
        <w:t xml:space="preserve">LA RECURRENTE </w:t>
      </w:r>
      <w:r>
        <w:rPr>
          <w:rFonts w:ascii="Palatino Linotype" w:eastAsia="Palatino Linotype" w:hAnsi="Palatino Linotype" w:cs="Palatino Linotype"/>
        </w:rPr>
        <w:t>al momento de interponer su inconformidad.</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70273D" w:rsidRDefault="0060062E">
      <w:pPr>
        <w:pStyle w:val="Ttulo2"/>
        <w:spacing w:before="0" w:line="360" w:lineRule="auto"/>
        <w:ind w:right="-839"/>
        <w:rPr>
          <w:rFonts w:ascii="Palatino Linotype" w:eastAsia="Palatino Linotype" w:hAnsi="Palatino Linotype" w:cs="Palatino Linotype"/>
          <w:b/>
          <w:bCs/>
          <w:color w:val="000000"/>
          <w:sz w:val="24"/>
          <w:szCs w:val="24"/>
        </w:rPr>
      </w:pPr>
      <w:bookmarkStart w:id="7" w:name="_heading=h.3dy6vkm" w:colFirst="0" w:colLast="0"/>
      <w:bookmarkEnd w:id="7"/>
      <w:r>
        <w:rPr>
          <w:rFonts w:ascii="Palatino Linotype" w:eastAsia="Palatino Linotype" w:hAnsi="Palatino Linotype" w:cs="Palatino Linotype"/>
          <w:b/>
          <w:bCs/>
          <w:color w:val="000000"/>
          <w:sz w:val="24"/>
          <w:szCs w:val="24"/>
        </w:rPr>
        <w:lastRenderedPageBreak/>
        <w:t>CUARTO. Del estudio y resolución del asunto.</w:t>
      </w: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Pr>
          <w:rFonts w:ascii="Palatino Linotype" w:eastAsia="Palatino Linotype" w:hAnsi="Palatino Linotype" w:cs="Palatino Linotype"/>
          <w:color w:val="000000"/>
        </w:rPr>
        <w:t>determina</w:t>
      </w:r>
      <w:r>
        <w:rPr>
          <w:rFonts w:ascii="Palatino Linotype" w:eastAsia="Palatino Linotype" w:hAnsi="Palatino Linotype" w:cs="Palatino Linotype"/>
        </w:rPr>
        <w:t>,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0273D" w:rsidRDefault="0070273D">
      <w:pPr>
        <w:pBdr>
          <w:top w:val="nil"/>
          <w:left w:val="nil"/>
          <w:bottom w:val="nil"/>
          <w:right w:val="nil"/>
          <w:between w:val="nil"/>
        </w:pBdr>
        <w:ind w:left="720" w:right="-839"/>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w:t>
      </w:r>
      <w:r>
        <w:rPr>
          <w:rFonts w:ascii="Palatino Linotype" w:eastAsia="Palatino Linotype" w:hAnsi="Palatino Linotype" w:cs="Palatino Linotype"/>
        </w:rPr>
        <w:lastRenderedPageBreak/>
        <w:t>cualquier medio de difusión o porque la requieren a través de una solicitud de acceso a la información, siempre y cuando no encuadre en una de las excepciones contempladas por la ley.</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Una vez sentado lo anterior, resulta oportuno traer a contexto la respuesta emitida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quien declina su competencia de manera total ante otro sujeto obligado diverso. Contexto que resulta parcialmente procedente por las siguientes consideraciones.</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Si bien es cierto que en el Estado de México, los exámenes de control de confianza para integrantes y aspirantes de las instituciones de seguridad pública y privadas son realizados por el Centro de Control de Confianza del Estado de México (CCCEM), organismo sectorizado a la Secretaría de Seguridad estatal, por contar con la facultad legal de aplicar las evaluaciones y emitir, en su caso, la certificación correspondiente, ello no es óbice para que el Ayuntamiento cuente con lo que se solicite, como lo es el contrato o documento análogo.</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Al respecto, es de señalar que en estricto sentido no corresponde a un contrato; sino a un convenio o acuerdo específico de colaboración entre el CCCEM y la institución pública que solicita las evaluaciones.</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De hecho, el propio CCCEM informa que ha celebrado convenios con municipios, instituciones públicas y privadas para establecer las bases de coordinación que permitan la aplicación de las evaluaciones de control de confianza.</w:t>
      </w:r>
    </w:p>
    <w:p w:rsidR="0070273D" w:rsidRDefault="0070273D">
      <w:pPr>
        <w:spacing w:line="360" w:lineRule="auto"/>
        <w:ind w:left="786"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esa tesitura, es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debió dar atención a la solicitud de información, otorgando una expresión documental de lo solicitado remitiendo para tal efecto, el documento análogo que pudiera colmar la pretensión del particular; toda vez que los solicitantes eventualmente no son expertos en la materia, no siendo además, su obligación conocer los nombres técnicos, administrativos o jurídicos de los documentos a los que desean acceder. </w:t>
      </w:r>
    </w:p>
    <w:p w:rsidR="0070273D" w:rsidRDefault="0070273D">
      <w:pPr>
        <w:pBdr>
          <w:top w:val="nil"/>
          <w:left w:val="nil"/>
          <w:bottom w:val="nil"/>
          <w:right w:val="nil"/>
          <w:between w:val="nil"/>
        </w:pBdr>
        <w:spacing w:line="360" w:lineRule="auto"/>
        <w:ind w:left="720" w:right="-839"/>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Lo anterior con fundamento a </w:t>
      </w:r>
      <w:r>
        <w:rPr>
          <w:rFonts w:ascii="Palatino Linotype" w:eastAsia="Palatino Linotype" w:hAnsi="Palatino Linotype" w:cs="Palatino Linotype"/>
          <w:color w:val="000000"/>
        </w:rPr>
        <w:t xml:space="preserve">lo dispuesto por el Criterio </w:t>
      </w:r>
      <w:r>
        <w:rPr>
          <w:rFonts w:ascii="Palatino Linotype" w:eastAsia="Palatino Linotype" w:hAnsi="Palatino Linotype" w:cs="Palatino Linotype"/>
          <w:b/>
          <w:bCs/>
          <w:color w:val="000000"/>
        </w:rPr>
        <w:t>028-10</w:t>
      </w:r>
      <w:r>
        <w:rPr>
          <w:rFonts w:ascii="Palatino Linotype" w:eastAsia="Palatino Linotype" w:hAnsi="Palatino Linotype" w:cs="Palatino Linotype"/>
          <w:color w:val="000000"/>
        </w:rPr>
        <w:t xml:space="preserve"> emitido por el Pleno del entonces llamado Instituto Federal de Acceso a la Información y Protección de Datos, y entonces 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aunque el particular lleve a cabo una solicitud de información sin identificar de forma precisa la documentación, </w:t>
      </w:r>
      <w:r>
        <w:rPr>
          <w:rFonts w:ascii="Palatino Linotype" w:eastAsia="Palatino Linotype" w:hAnsi="Palatino Linotype" w:cs="Palatino Linotype"/>
          <w:b/>
          <w:bCs/>
          <w:color w:val="000000"/>
        </w:rPr>
        <w:t xml:space="preserve">EL SUJETO OBLIGADO </w:t>
      </w:r>
      <w:r>
        <w:rPr>
          <w:rFonts w:ascii="Palatino Linotype" w:eastAsia="Palatino Linotype" w:hAnsi="Palatino Linotype" w:cs="Palatino Linotype"/>
          <w:color w:val="000000"/>
        </w:rPr>
        <w:t>deberá hacer entrega del mismo al solicitante mismo que a continuación se cita:</w:t>
      </w:r>
    </w:p>
    <w:p w:rsidR="0070273D" w:rsidRDefault="0060062E">
      <w:pPr>
        <w:pStyle w:val="Puesto"/>
        <w:spacing w:before="0" w:after="0" w:line="360" w:lineRule="auto"/>
        <w:ind w:left="284"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lastRenderedPageBreak/>
        <w:t xml:space="preserve">“CUANDO EN UNA SOLICITUD DE INFORMACIÓN NO SE IDENTIFIQUE UN DOCUMENTO EN ESPECÍFICO, SI ÉSTA TIENE UNA EXPRESIÓN DOCUMENTAL, EL SUJETO OBLIGADO DEBERÁ ENTREGAR AL PARTICULAR EL DOCUMENTO EN ESPECÍFICO. </w:t>
      </w:r>
    </w:p>
    <w:p w:rsidR="0070273D" w:rsidRDefault="0060062E">
      <w:pPr>
        <w:pStyle w:val="Puesto"/>
        <w:spacing w:before="0" w:after="0" w:line="360" w:lineRule="auto"/>
        <w:ind w:left="284"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t>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rsidR="0070273D" w:rsidRDefault="0070273D">
      <w:pPr>
        <w:spacing w:line="360" w:lineRule="auto"/>
        <w:ind w:right="-839"/>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como el Criterio 16/17, emitido por el entonces Instituto Nacional de Transparencia, Acceso a la Información y Protección de Datos Personales, INAI, que establece lo siguiente: </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pStyle w:val="Puesto"/>
        <w:spacing w:before="0" w:after="0" w:line="360" w:lineRule="auto"/>
        <w:ind w:left="425"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lastRenderedPageBreak/>
        <w:t xml:space="preserve"> “Expresión documental.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70273D" w:rsidRDefault="0070273D">
      <w:pPr>
        <w:spacing w:line="360" w:lineRule="auto"/>
        <w:ind w:right="-839"/>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En el entendido que, el derecho de acceso a la información consiste en que la información solicitada conste en un soporte documental en cualquiera de sus formas, a saber: expedientes, reportes, estudios, actas</w:t>
      </w:r>
      <w:r>
        <w:rPr>
          <w:rFonts w:ascii="Palatino Linotype" w:eastAsia="Palatino Linotype" w:hAnsi="Palatino Linotype" w:cs="Palatino Linotype"/>
          <w:b/>
          <w:bCs/>
        </w:rPr>
        <w:t>,</w:t>
      </w:r>
      <w:r>
        <w:rPr>
          <w:rFonts w:ascii="Palatino Linotype" w:eastAsia="Palatino Linotype" w:hAnsi="Palatino Linotype" w:cs="Palatino Linotype"/>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70273D" w:rsidRDefault="0060062E">
      <w:pPr>
        <w:pStyle w:val="Puesto"/>
        <w:spacing w:before="0" w:after="0" w:line="360" w:lineRule="auto"/>
        <w:ind w:left="425"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t>“Artículo 3. Para los efectos de la presente Ley se entenderá por:</w:t>
      </w:r>
    </w:p>
    <w:p w:rsidR="0070273D" w:rsidRDefault="0060062E">
      <w:pPr>
        <w:pStyle w:val="Puesto"/>
        <w:spacing w:before="0" w:after="0" w:line="360" w:lineRule="auto"/>
        <w:ind w:left="425"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t>…</w:t>
      </w:r>
    </w:p>
    <w:p w:rsidR="0070273D" w:rsidRDefault="0060062E">
      <w:pPr>
        <w:pStyle w:val="Puesto"/>
        <w:spacing w:before="0" w:after="0" w:line="360" w:lineRule="auto"/>
        <w:ind w:left="425"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t>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0273D" w:rsidRDefault="0070273D">
      <w:pPr>
        <w:spacing w:line="360" w:lineRule="auto"/>
        <w:ind w:left="1134" w:right="-839"/>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“CRITERIO 0002-11</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0273D" w:rsidRDefault="0060062E">
      <w:pPr>
        <w:pStyle w:val="Puesto"/>
        <w:spacing w:before="0" w:after="0" w:line="360" w:lineRule="auto"/>
        <w:ind w:left="425"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t>En consecuencia el acceso a la información se refiere a que se cumplan cualquiera de los siguientes tres supuestos:</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1) Que se trate de información registrada en cualquier soporte documental, que en ejercicio de las atribuciones conferidas, sea generada por los Sujetos Obligados;</w:t>
      </w:r>
    </w:p>
    <w:p w:rsidR="0070273D" w:rsidRDefault="0060062E">
      <w:pPr>
        <w:pStyle w:val="Puesto"/>
        <w:spacing w:before="0" w:after="0" w:line="360" w:lineRule="auto"/>
        <w:ind w:left="425"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t>2) Que se trate de información registrada en cualquier soporte documental, que en ejercicio de las atribuciones conferidas, sea administrada por los Sujetos Obligados, y</w:t>
      </w:r>
    </w:p>
    <w:p w:rsidR="0070273D" w:rsidRDefault="0060062E">
      <w:pPr>
        <w:pStyle w:val="Puesto"/>
        <w:spacing w:before="0" w:after="0" w:line="360" w:lineRule="auto"/>
        <w:ind w:left="425" w:right="-839"/>
        <w:jc w:val="both"/>
        <w:rPr>
          <w:rFonts w:ascii="Palatino Linotype" w:eastAsia="Palatino Linotype" w:hAnsi="Palatino Linotype" w:cs="Palatino Linotype"/>
          <w:b w:val="0"/>
          <w:bCs w:val="0"/>
          <w:i/>
          <w:iCs/>
          <w:sz w:val="24"/>
          <w:szCs w:val="24"/>
        </w:rPr>
      </w:pPr>
      <w:r>
        <w:rPr>
          <w:rFonts w:ascii="Palatino Linotype" w:eastAsia="Palatino Linotype" w:hAnsi="Palatino Linotype" w:cs="Palatino Linotype"/>
          <w:b w:val="0"/>
          <w:bCs w:val="0"/>
          <w:i/>
          <w:iCs/>
          <w:sz w:val="24"/>
          <w:szCs w:val="24"/>
        </w:rPr>
        <w:t xml:space="preserve">3) Que se trate de información registrada en cualquier soporte documental, que en ejercicio de las atribuciones conferidas, se encuentre en posesión de los Sujetos Obligados.” </w:t>
      </w:r>
    </w:p>
    <w:p w:rsidR="0070273D" w:rsidRDefault="0070273D">
      <w:pPr>
        <w:spacing w:line="360" w:lineRule="auto"/>
        <w:ind w:right="-839"/>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sentido, en términos generales, para que sea posible el ejercicio del Derecho de Acceso a la Información Pública, los requerimientos deben consistir en información que se </w:t>
      </w:r>
      <w:r>
        <w:rPr>
          <w:rFonts w:ascii="Palatino Linotype" w:eastAsia="Palatino Linotype" w:hAnsi="Palatino Linotype" w:cs="Palatino Linotype"/>
        </w:rPr>
        <w:lastRenderedPageBreak/>
        <w:t xml:space="preserve">encuentre registrada en cualquier soporte documental; ya sea, porque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la generó </w:t>
      </w:r>
      <w:r>
        <w:rPr>
          <w:rFonts w:ascii="Palatino Linotype" w:eastAsia="Palatino Linotype" w:hAnsi="Palatino Linotype" w:cs="Palatino Linotype"/>
          <w:b/>
          <w:bCs/>
          <w:u w:val="single"/>
        </w:rPr>
        <w:t>o porque como parte del ejercicio de sus funciones la recibió y por consiguiente, la administra y posee</w:t>
      </w:r>
      <w:r>
        <w:rPr>
          <w:rFonts w:ascii="Palatino Linotype" w:eastAsia="Palatino Linotype" w:hAnsi="Palatino Linotype" w:cs="Palatino Linotype"/>
        </w:rPr>
        <w:t xml:space="preserve">. </w:t>
      </w:r>
    </w:p>
    <w:p w:rsidR="0070273D" w:rsidRDefault="0070273D">
      <w:pPr>
        <w:spacing w:line="360" w:lineRule="auto"/>
        <w:ind w:right="-839"/>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Luego entonces, al no haberse otorgado una expresión documental y haber entregado el documento similar o análogo que pudiera colmar la solicitud de información, lo dable en el presente proveído es realizar una suplencia de la queja respecto del contrato solicitado a, el convenio de colaboración; figura que prevé la ley de la materia para subsanar errores técnicos o la eventual falta de conocimientos del ciudadano, </w:t>
      </w:r>
      <w:r>
        <w:rPr>
          <w:rFonts w:ascii="Palatino Linotype" w:eastAsia="Palatino Linotype" w:hAnsi="Palatino Linotype" w:cs="Palatino Linotype"/>
          <w:b/>
          <w:bCs/>
        </w:rPr>
        <w:t>garantizando así que el acceso a la información sea efectivo y no meramente formal</w:t>
      </w:r>
      <w:r>
        <w:rPr>
          <w:rFonts w:ascii="Palatino Linotype" w:eastAsia="Palatino Linotype" w:hAnsi="Palatino Linotype" w:cs="Palatino Linotype"/>
        </w:rPr>
        <w:t>.</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En ese contexto, la Ley de Transparencia y Acceso a la información Pública del Estado de México y Municipios contempla la suplencia de la deficiencia para garantizar el derecho de acceso de acceso a la información pública a favor del recurrente, sin que se cambien los hechos expuestos por éste; lo cual, encuentra sustento en la jurisprudencia emitida por la Suprema Corte de Justicia de la Nación que a continuación se inserta:</w:t>
      </w:r>
    </w:p>
    <w:p w:rsidR="0070273D" w:rsidRDefault="0060062E">
      <w:pPr>
        <w:spacing w:line="360" w:lineRule="auto"/>
        <w:ind w:left="426" w:right="-83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“SUPLENCIA DE LA QUEJA DEFICIENTE. DEBE HACERSE A PARTIR DE LOS CONCEPTOS DE VIOLACIÓN O, EN SU CASO, DE LOS AGRAVIOS EXPRESADOS, POR LO TANTO NO ES ILIMITADA. </w:t>
      </w:r>
      <w:r>
        <w:rPr>
          <w:rFonts w:ascii="Palatino Linotype" w:eastAsia="Palatino Linotype" w:hAnsi="Palatino Linotype" w:cs="Palatino Linotype"/>
          <w:i/>
          <w:iCs/>
        </w:rPr>
        <w:t xml:space="preserve">El artículo 76 bis de la Ley de Amparo señala que la suplencia de la queja deficiente se entiende referida a los conceptos de violación y, en su caso, a los agravios, es decir, a la materia misma del juicio de garantías, por lo que debe considerarse que dicho precepto limita el ámbito de aplicación de tal figura a las cuestiones relacionadas con el fondo del asunto, de ahí que dicha suplencia no sea aplicable a la procedencia del juicio de amparo. En ese tenor, a excepción de la materia penal, el órgano de control constitucional no puede libremente </w:t>
      </w:r>
      <w:r>
        <w:rPr>
          <w:rFonts w:ascii="Palatino Linotype" w:eastAsia="Palatino Linotype" w:hAnsi="Palatino Linotype" w:cs="Palatino Linotype"/>
          <w:i/>
          <w:iCs/>
        </w:rPr>
        <w:lastRenderedPageBreak/>
        <w:t>realizar el examen del precepto legal reclamado o de la resolución recurrida, sino que debe hacerlo a partir de lo expresado en los conceptos de violación o, en su caso, en los agravios, de manera que sin la existencia de un mínimo razonamiento expresado en la demanda, esto es, sin la elemental causa de pedir, el juzgador no se encuentra en aptitud de resolver si el acto reclamado es o no violatorio de garantías, porque la suplencia de la queja deficiente es una institución procesal que si bien fue establecida con la finalidad de hacer prevalecer las garantías que otorga la Constitución Federal, no deja de estar sujeta a los requisitos previstos al efecto, tanto en la Ley Fundamental como en la Ley de Amparo.”</w:t>
      </w:r>
    </w:p>
    <w:p w:rsidR="0070273D" w:rsidRDefault="0070273D">
      <w:pPr>
        <w:spacing w:line="360" w:lineRule="auto"/>
        <w:ind w:left="851" w:right="-839"/>
        <w:jc w:val="both"/>
        <w:rPr>
          <w:rFonts w:ascii="Palatino Linotype" w:eastAsia="Palatino Linotype" w:hAnsi="Palatino Linotype" w:cs="Palatino Linotype"/>
          <w:i/>
          <w:iCs/>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De modo tal que debe interpretarse la solicitud de información atendiendo el principio de interpretación más favorable a la persona</w:t>
      </w:r>
      <w:r>
        <w:rPr>
          <w:rFonts w:ascii="Palatino Linotype" w:eastAsia="Palatino Linotype" w:hAnsi="Palatino Linotype" w:cs="Palatino Linotype"/>
          <w:color w:val="222222"/>
          <w:vertAlign w:val="superscript"/>
        </w:rPr>
        <w:footnoteReference w:id="1"/>
      </w:r>
      <w:r>
        <w:rPr>
          <w:rFonts w:ascii="Palatino Linotype" w:eastAsia="Palatino Linotype" w:hAnsi="Palatino Linotype" w:cs="Palatino Linotype"/>
          <w:color w:val="222222"/>
        </w:rPr>
        <w:t>, con fundamento en los artículos 13 y 181 cuarto párrafo de la Ley de la Materia, que rezan así:</w:t>
      </w:r>
    </w:p>
    <w:p w:rsidR="0070273D" w:rsidRDefault="0060062E">
      <w:pPr>
        <w:spacing w:line="360" w:lineRule="auto"/>
        <w:ind w:left="851" w:right="-839"/>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“Artículo 13.</w:t>
      </w:r>
      <w:r>
        <w:rPr>
          <w:rFonts w:ascii="Palatino Linotype" w:eastAsia="Palatino Linotype" w:hAnsi="Palatino Linotype" w:cs="Palatino Linotype"/>
          <w:i/>
          <w:iCs/>
          <w:color w:val="222222"/>
        </w:rPr>
        <w:t xml:space="preserve"> El Instituto, en el ámbito de sus atribuciones, deberá suplir cualquier deficiencia para garantizar el ejercicio del derecho de acceso a la información.</w:t>
      </w:r>
    </w:p>
    <w:p w:rsidR="0070273D" w:rsidRDefault="0070273D">
      <w:pPr>
        <w:spacing w:line="360" w:lineRule="auto"/>
        <w:ind w:left="851" w:right="-839"/>
        <w:jc w:val="both"/>
        <w:rPr>
          <w:rFonts w:ascii="Palatino Linotype" w:eastAsia="Palatino Linotype" w:hAnsi="Palatino Linotype" w:cs="Palatino Linotype"/>
          <w:i/>
          <w:iCs/>
          <w:color w:val="222222"/>
        </w:rPr>
      </w:pPr>
    </w:p>
    <w:p w:rsidR="0070273D" w:rsidRDefault="0060062E">
      <w:pPr>
        <w:spacing w:line="360" w:lineRule="auto"/>
        <w:ind w:left="851" w:right="-839"/>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lastRenderedPageBreak/>
        <w:t>Artículo 181.</w:t>
      </w:r>
      <w:r>
        <w:rPr>
          <w:rFonts w:ascii="Palatino Linotype" w:eastAsia="Palatino Linotype" w:hAnsi="Palatino Linotype" w:cs="Palatino Linotype"/>
          <w:i/>
          <w:iCs/>
          <w:color w:val="222222"/>
        </w:rPr>
        <w:t xml:space="preserve"> …</w:t>
      </w:r>
      <w:r>
        <w:rPr>
          <w:rFonts w:ascii="Palatino Linotype" w:eastAsia="Palatino Linotype" w:hAnsi="Palatino Linotype" w:cs="Palatino Linotype"/>
          <w:i/>
          <w:iCs/>
        </w:rPr>
        <w:t xml:space="preserve"> </w:t>
      </w:r>
      <w:r>
        <w:rPr>
          <w:rFonts w:ascii="Palatino Linotype" w:eastAsia="Palatino Linotype" w:hAnsi="Palatino Linotype" w:cs="Palatino Linotype"/>
          <w:i/>
          <w:iCs/>
          <w:color w:val="222222"/>
        </w:rPr>
        <w:t>Durante el procedimiento deberá aplicarse la suplencia de la queja a favor del recurrente, sin cambiar los hechos expuestos, asegurándose de que las partes puedan presentar, de manera oral o escrita, los argumentos que funden y motiven sus pretensiones.”</w:t>
      </w:r>
    </w:p>
    <w:p w:rsidR="0070273D" w:rsidRDefault="0070273D">
      <w:pPr>
        <w:spacing w:line="360" w:lineRule="auto"/>
        <w:ind w:left="851" w:right="-839"/>
        <w:jc w:val="both"/>
        <w:rPr>
          <w:rFonts w:ascii="Palatino Linotype" w:eastAsia="Palatino Linotype" w:hAnsi="Palatino Linotype" w:cs="Palatino Linotype"/>
          <w:i/>
          <w:iCs/>
          <w:color w:val="222222"/>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En ese contexto, si bien este </w:t>
      </w:r>
      <w:r>
        <w:rPr>
          <w:rFonts w:ascii="Palatino Linotype" w:eastAsia="Palatino Linotype" w:hAnsi="Palatino Linotype" w:cs="Palatino Linotype"/>
        </w:rPr>
        <w:t xml:space="preserve">Instituto de Transparencia como Órgano Garante de la difusión, protección y respeto al derecho de acceso a la información pública y a la protección de </w:t>
      </w:r>
      <w:r>
        <w:rPr>
          <w:rFonts w:ascii="Palatino Linotype" w:eastAsia="Palatino Linotype" w:hAnsi="Palatino Linotype" w:cs="Palatino Linotype"/>
          <w:color w:val="222222"/>
        </w:rPr>
        <w:t>datos</w:t>
      </w:r>
      <w:r>
        <w:rPr>
          <w:rFonts w:ascii="Palatino Linotype" w:eastAsia="Palatino Linotype" w:hAnsi="Palatino Linotype" w:cs="Palatino Linotype"/>
        </w:rPr>
        <w:t xml:space="preserve"> personales, conforme a su naturaleza jurídica y a las atribuciones previstas en los artículos 29 y 36 de la Ley de Transparencia y Acceso a la Información Pública del Estado de México y Municipios, es competente para resolver los recursos de revisión, cuando se niegue la información solicitada, se les entregue la información incompleta, no corresponda a la solicitada y/o el particular considere que la respuesta es desfavorable a su solicitud.</w:t>
      </w:r>
    </w:p>
    <w:p w:rsidR="0070273D" w:rsidRDefault="0070273D">
      <w:pPr>
        <w:spacing w:line="360" w:lineRule="auto"/>
        <w:ind w:right="-839"/>
        <w:jc w:val="both"/>
        <w:rPr>
          <w:rFonts w:ascii="Palatino Linotype" w:eastAsia="Palatino Linotype" w:hAnsi="Palatino Linotype" w:cs="Palatino Linotype"/>
          <w:color w:val="222222"/>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color w:val="222222"/>
        </w:rPr>
        <w:t xml:space="preserve">Luego entonces supliendo la deficiencia de la queja en favor del particular, resulta procedente que la solicitud de información verse respecto del denominado </w:t>
      </w:r>
      <w:r>
        <w:rPr>
          <w:rFonts w:ascii="Palatino Linotype" w:eastAsia="Palatino Linotype" w:hAnsi="Palatino Linotype" w:cs="Palatino Linotype"/>
          <w:u w:val="single"/>
        </w:rPr>
        <w:t>convenio de colaboración</w:t>
      </w:r>
      <w:r>
        <w:rPr>
          <w:rFonts w:ascii="Palatino Linotype" w:eastAsia="Palatino Linotype" w:hAnsi="Palatino Linotype" w:cs="Palatino Linotype"/>
        </w:rPr>
        <w:t>, lo que no cambia los hechos expuestos de manera inicial.</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Ello en virtud que la Ley de Seguridad del Estado de México, en su artículo 8 fracción V, prevé al caso concreto lo siguiente:</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8. Conforme a las bases que establece el artículo 21 de la Constitución Federal, las Instituciones de Seguridad Pública, deberán coordinarse con las instituciones de la Federación, las Entidades Federativas, los Municipios y Alcaldías de la Ciudad de México, en el ámbito de su competencia, en los términos de esta Ley, para cumplir con los fines de la seguridad pública, debiendo garantizar el cumplimiento de sus objetivos bajo los principios de igualdad sustantiva y no discriminación, con un enfoque integral que priorice la prevención, investigación y sanción de </w:t>
      </w:r>
      <w:r>
        <w:rPr>
          <w:rFonts w:ascii="Palatino Linotype" w:eastAsia="Palatino Linotype" w:hAnsi="Palatino Linotype" w:cs="Palatino Linotype"/>
          <w:i/>
          <w:iCs/>
        </w:rPr>
        <w:lastRenderedPageBreak/>
        <w:t>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V. Regular los procedimientos de selección, ingreso, formación, actualización, capacitación, permanencia, evaluación, reconocimiento, certificación y registro de los servidores públicos de las Instituciones de Seguridad Pública;</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0273D" w:rsidRDefault="0070273D">
      <w:pPr>
        <w:spacing w:line="360" w:lineRule="auto"/>
        <w:ind w:left="425" w:right="-839"/>
        <w:jc w:val="both"/>
        <w:rPr>
          <w:rFonts w:ascii="Palatino Linotype" w:eastAsia="Palatino Linotype" w:hAnsi="Palatino Linotype" w:cs="Palatino Linotype"/>
          <w:i/>
          <w:iCs/>
        </w:rPr>
      </w:pP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“Artículo 109. La certificación individual es el proceso por el que las personas integrantes de las Instituciones de Seguridad Pública se someten a las evaluaciones para comprobar conocimientos, habilidades, aptitudes y competencias, para el correcto desempeño de sus labores conforme a los perfiles establecidos por el Secretariado Ejecutivo del Sistema Nacional.</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aspirante deberá contar con la evaluación de control de confianza aprobada y vigente expedida por el Centro.</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Ninguna persona podrá ingresar o reingresar a las Instituciones Policiales si no ha sido debidamente evaluada y registrada en el registro nacional correspondiente.</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Las evaluaciones de control de confianza comprenderán los exámenes médico, toxicológico, psicológico, poligráfico, estudio socioeconómico y los demás que se consideren necesarios de conformidad con la normatividad aplicable.</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Los resultados de los procesos de evaluación y los expedientes que se formen con los mismos serán confidenciales, salvo en aquellos casos en que deban presentarse en procedimientos administrativos o judiciales y se mantendrán en reserva en los términos de las disposiciones aplicables.”</w:t>
      </w:r>
    </w:p>
    <w:p w:rsidR="0070273D" w:rsidRDefault="0070273D">
      <w:pPr>
        <w:spacing w:line="360" w:lineRule="auto"/>
        <w:ind w:left="425" w:right="-839"/>
        <w:jc w:val="both"/>
        <w:rPr>
          <w:rFonts w:ascii="Palatino Linotype" w:eastAsia="Palatino Linotype" w:hAnsi="Palatino Linotype" w:cs="Palatino Linotype"/>
          <w:i/>
          <w:iCs/>
        </w:rPr>
      </w:pP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“Artículo 21.- Son atribuciones de los Presidentes Municipales</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XVIII. Verificar que los integrantes de las instituciones policiales a su cargo se sometan a las evaluaciones de control de confianza y cuenten con el Certificado Único Policial, de conformidad con las disposiciones legales aplicables;</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XIX. Solicitar al Centro las evaluaciones de control de confianza para el ingreso, promoción y permanencia de los integrantes de las instituciones policiales a su cargo;</w:t>
      </w:r>
    </w:p>
    <w:p w:rsidR="0070273D" w:rsidRDefault="0060062E">
      <w:pPr>
        <w:spacing w:line="360" w:lineRule="auto"/>
        <w:ind w:left="425" w:right="-83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el CCCEM es un organismo público descentralizado encargado de realizar las evaluaciones de control de confianza a aspirantes e integrantes de las instituciones de seguridad pública estatal, municipal y privada y, que para el cumplimiento de esas atribuciones, el propio CCCEM ha formalizado acuerdos específicos de colaboración con instituciones de seguridad pública estatales, municipales y de seguridad privada para establecer las bases de coordinación necesarias para la aplicación de las evaluaciones. </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El propio CCCEM reconoce expresamente esta figura jurídica en su portal institucional, como se observa:</w:t>
      </w:r>
    </w:p>
    <w:p w:rsidR="0070273D" w:rsidRDefault="0060062E">
      <w:pPr>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5671185" cy="265303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671185" cy="2653030"/>
                    </a:xfrm>
                    <a:prstGeom prst="rect">
                      <a:avLst/>
                    </a:prstGeom>
                    <a:ln/>
                  </pic:spPr>
                </pic:pic>
              </a:graphicData>
            </a:graphic>
          </wp:inline>
        </w:drawing>
      </w:r>
    </w:p>
    <w:p w:rsidR="0070273D" w:rsidRDefault="0060062E">
      <w:pPr>
        <w:spacing w:line="360" w:lineRule="auto"/>
        <w:ind w:right="-839"/>
        <w:jc w:val="center"/>
        <w:rPr>
          <w:rFonts w:ascii="Palatino Linotype" w:eastAsia="Palatino Linotype" w:hAnsi="Palatino Linotype" w:cs="Palatino Linotype"/>
          <w:b/>
          <w:bCs/>
        </w:rPr>
      </w:pPr>
      <w:r>
        <w:rPr>
          <w:rFonts w:ascii="Palatino Linotype" w:eastAsia="Palatino Linotype" w:hAnsi="Palatino Linotype" w:cs="Palatino Linotype"/>
          <w:b/>
          <w:bCs/>
        </w:rPr>
        <w:t>(…)</w:t>
      </w:r>
    </w:p>
    <w:p w:rsidR="0070273D" w:rsidRDefault="0070273D">
      <w:pPr>
        <w:spacing w:line="360" w:lineRule="auto"/>
        <w:ind w:right="-839"/>
        <w:jc w:val="both"/>
        <w:rPr>
          <w:rFonts w:ascii="Palatino Linotype" w:eastAsia="Palatino Linotype" w:hAnsi="Palatino Linotype" w:cs="Palatino Linotype"/>
        </w:rPr>
      </w:pPr>
    </w:p>
    <w:p w:rsidR="0070273D" w:rsidRDefault="0070273D">
      <w:pPr>
        <w:spacing w:line="360" w:lineRule="auto"/>
        <w:ind w:right="-839"/>
        <w:jc w:val="both"/>
        <w:rPr>
          <w:rFonts w:ascii="Palatino Linotype" w:eastAsia="Palatino Linotype" w:hAnsi="Palatino Linotype" w:cs="Palatino Linotype"/>
        </w:rPr>
      </w:pPr>
    </w:p>
    <w:p w:rsidR="0070273D" w:rsidRDefault="0060062E">
      <w:pPr>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5671185" cy="127063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671185" cy="1270635"/>
                    </a:xfrm>
                    <a:prstGeom prst="rect">
                      <a:avLst/>
                    </a:prstGeom>
                    <a:ln/>
                  </pic:spPr>
                </pic:pic>
              </a:graphicData>
            </a:graphic>
          </wp:inline>
        </w:drawing>
      </w:r>
    </w:p>
    <w:p w:rsidR="0070273D" w:rsidRDefault="0060062E">
      <w:pPr>
        <w:spacing w:line="360" w:lineRule="auto"/>
        <w:ind w:right="-839"/>
        <w:jc w:val="center"/>
        <w:rPr>
          <w:rFonts w:ascii="Palatino Linotype" w:eastAsia="Palatino Linotype" w:hAnsi="Palatino Linotype" w:cs="Palatino Linotype"/>
          <w:b/>
          <w:bCs/>
        </w:rPr>
      </w:pPr>
      <w:r>
        <w:rPr>
          <w:rFonts w:ascii="Palatino Linotype" w:eastAsia="Palatino Linotype" w:hAnsi="Palatino Linotype" w:cs="Palatino Linotype"/>
          <w:b/>
          <w:bCs/>
        </w:rPr>
        <w:t>(…)</w:t>
      </w:r>
    </w:p>
    <w:p w:rsidR="0070273D" w:rsidRDefault="0070273D">
      <w:pPr>
        <w:spacing w:line="360" w:lineRule="auto"/>
        <w:ind w:right="-839"/>
        <w:jc w:val="both"/>
        <w:rPr>
          <w:rFonts w:ascii="Palatino Linotype" w:eastAsia="Palatino Linotype" w:hAnsi="Palatino Linotype" w:cs="Palatino Linotype"/>
        </w:rPr>
      </w:pPr>
    </w:p>
    <w:p w:rsidR="0070273D" w:rsidRDefault="0070273D">
      <w:pPr>
        <w:spacing w:line="360" w:lineRule="auto"/>
        <w:ind w:right="-839"/>
        <w:jc w:val="both"/>
        <w:rPr>
          <w:rFonts w:ascii="Palatino Linotype" w:eastAsia="Palatino Linotype" w:hAnsi="Palatino Linotype" w:cs="Palatino Linotype"/>
        </w:rPr>
      </w:pPr>
    </w:p>
    <w:p w:rsidR="0070273D" w:rsidRDefault="0060062E">
      <w:pPr>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noProof/>
          <w:lang w:val="es-MX"/>
        </w:rPr>
        <w:lastRenderedPageBreak/>
        <w:drawing>
          <wp:inline distT="0" distB="0" distL="0" distR="0">
            <wp:extent cx="5671185" cy="32702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671185" cy="3270250"/>
                    </a:xfrm>
                    <a:prstGeom prst="rect">
                      <a:avLst/>
                    </a:prstGeom>
                    <a:ln/>
                  </pic:spPr>
                </pic:pic>
              </a:graphicData>
            </a:graphic>
          </wp:inline>
        </w:drawing>
      </w:r>
    </w:p>
    <w:p w:rsidR="0070273D" w:rsidRDefault="0060062E">
      <w:pPr>
        <w:spacing w:line="360" w:lineRule="auto"/>
        <w:ind w:right="-839"/>
        <w:jc w:val="center"/>
        <w:rPr>
          <w:rFonts w:ascii="Palatino Linotype" w:eastAsia="Palatino Linotype" w:hAnsi="Palatino Linotype" w:cs="Palatino Linotype"/>
          <w:b/>
          <w:bCs/>
        </w:rPr>
      </w:pPr>
      <w:r>
        <w:rPr>
          <w:rFonts w:ascii="Palatino Linotype" w:eastAsia="Palatino Linotype" w:hAnsi="Palatino Linotype" w:cs="Palatino Linotype"/>
          <w:b/>
          <w:bCs/>
        </w:rPr>
        <w:t>(…)</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Luego entonces, se concluye que la aplicación de evaluaciones de control y confianza por el Centro de Control de Confianza del Estado de México se instrumenta mediante acuerdos de colaboración celebrados con las instituciones de seguridad pública correspondientes, derivados de las atribuciones conferidas al CCCEM por los artículos 222, 223 y 224 de la ya citada Ley de Seguridad del Estado de México, a saber:</w:t>
      </w:r>
    </w:p>
    <w:p w:rsidR="0070273D" w:rsidRDefault="0060062E">
      <w:pPr>
        <w:spacing w:line="360" w:lineRule="auto"/>
        <w:ind w:left="426" w:right="-839"/>
        <w:jc w:val="both"/>
        <w:rPr>
          <w:rFonts w:ascii="Palatino Linotype" w:eastAsia="Palatino Linotype" w:hAnsi="Palatino Linotype" w:cs="Palatino Linotype"/>
          <w:i/>
          <w:iCs/>
        </w:rPr>
      </w:pPr>
      <w:r>
        <w:rPr>
          <w:rFonts w:ascii="Palatino Linotype" w:eastAsia="Palatino Linotype" w:hAnsi="Palatino Linotype" w:cs="Palatino Linotype"/>
          <w:i/>
          <w:iCs/>
        </w:rPr>
        <w:t>“Artículo 222. El Centro es un organismo público descentralizado, con personalidad jurídica y patrimonio propios, sectorizado a la Secretaría, el cual se regirá por lo dispuesto en la presente Ley, su Reglamento, y demás ordenamientos legales aplicables.</w:t>
      </w:r>
    </w:p>
    <w:p w:rsidR="0070273D" w:rsidRDefault="0060062E">
      <w:pPr>
        <w:spacing w:line="360" w:lineRule="auto"/>
        <w:ind w:left="426" w:right="-839"/>
        <w:jc w:val="both"/>
        <w:rPr>
          <w:rFonts w:ascii="Palatino Linotype" w:eastAsia="Palatino Linotype" w:hAnsi="Palatino Linotype" w:cs="Palatino Linotype"/>
          <w:i/>
          <w:iCs/>
        </w:rPr>
      </w:pPr>
      <w:r>
        <w:rPr>
          <w:rFonts w:ascii="Palatino Linotype" w:eastAsia="Palatino Linotype" w:hAnsi="Palatino Linotype" w:cs="Palatino Linotype"/>
          <w:i/>
          <w:iCs/>
        </w:rPr>
        <w:t>La organización y funcionamiento del Centro se establecerá en su Reglamento Interior.”</w:t>
      </w:r>
    </w:p>
    <w:p w:rsidR="0070273D" w:rsidRDefault="0070273D">
      <w:pPr>
        <w:spacing w:line="360" w:lineRule="auto"/>
        <w:ind w:left="426" w:right="-839"/>
        <w:jc w:val="both"/>
        <w:rPr>
          <w:rFonts w:ascii="Palatino Linotype" w:eastAsia="Palatino Linotype" w:hAnsi="Palatino Linotype" w:cs="Palatino Linotype"/>
          <w:i/>
          <w:iCs/>
        </w:rPr>
      </w:pPr>
    </w:p>
    <w:p w:rsidR="0070273D" w:rsidRDefault="0060062E">
      <w:pPr>
        <w:spacing w:line="360" w:lineRule="auto"/>
        <w:ind w:left="426" w:right="-839"/>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“Artículo 223. El Centro, tiene por objeto realizar las evaluaciones permanentes, de control de confianza de poligrafía, entorno social, psicológica, médicas, así como exámenes toxicológicos a las o los aspirantes y a las o los integrantes de las Instituciones de Seguridad Pública y Privada, Estatal y Municipal a fin de emitir, en su caso, la certificación correspondiente.”</w:t>
      </w:r>
    </w:p>
    <w:p w:rsidR="0070273D" w:rsidRDefault="0070273D">
      <w:pPr>
        <w:spacing w:line="360" w:lineRule="auto"/>
        <w:ind w:left="426" w:right="-839"/>
        <w:jc w:val="both"/>
        <w:rPr>
          <w:rFonts w:ascii="Palatino Linotype" w:eastAsia="Palatino Linotype" w:hAnsi="Palatino Linotype" w:cs="Palatino Linotype"/>
          <w:i/>
          <w:iCs/>
        </w:rPr>
      </w:pPr>
    </w:p>
    <w:p w:rsidR="0070273D" w:rsidRDefault="0060062E">
      <w:pPr>
        <w:spacing w:line="360" w:lineRule="auto"/>
        <w:ind w:left="426" w:right="-839"/>
        <w:jc w:val="both"/>
        <w:rPr>
          <w:rFonts w:ascii="Palatino Linotype" w:eastAsia="Palatino Linotype" w:hAnsi="Palatino Linotype" w:cs="Palatino Linotype"/>
          <w:i/>
          <w:iCs/>
        </w:rPr>
      </w:pPr>
      <w:r>
        <w:rPr>
          <w:rFonts w:ascii="Palatino Linotype" w:eastAsia="Palatino Linotype" w:hAnsi="Palatino Linotype" w:cs="Palatino Linotype"/>
          <w:i/>
          <w:iCs/>
        </w:rPr>
        <w:t>“Artículo 224. El Centro a través de su Consejo, planeará, diseñará y propondrá a la o al Secretario, los distintos procedimientos, manuales, normas, exámenes y controles que aplicará. De igual modo, practicará las evaluaciones permanentes, de control de confianza y las demás que se consideren necesarias para la evaluación y certificación del personal de las Instituciones de Seguridad Pública.</w:t>
      </w:r>
    </w:p>
    <w:p w:rsidR="0070273D" w:rsidRDefault="0060062E">
      <w:pPr>
        <w:spacing w:line="360" w:lineRule="auto"/>
        <w:ind w:left="426" w:right="-839"/>
        <w:jc w:val="both"/>
        <w:rPr>
          <w:rFonts w:ascii="Palatino Linotype" w:eastAsia="Palatino Linotype" w:hAnsi="Palatino Linotype" w:cs="Palatino Linotype"/>
          <w:i/>
          <w:iCs/>
        </w:rPr>
      </w:pPr>
      <w:r>
        <w:rPr>
          <w:rFonts w:ascii="Palatino Linotype" w:eastAsia="Palatino Linotype" w:hAnsi="Palatino Linotype" w:cs="Palatino Linotype"/>
          <w:i/>
          <w:iCs/>
        </w:rPr>
        <w:t>El Centro integrará el Sistema Nacional de Acreditación y Control de Confianza, y tendrá, por conducto de su Director General, las facultades que le confiere la Ley General del Sistema Nacional de Seguridad Pública.”</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rPr>
      </w:pPr>
      <w:r>
        <w:rPr>
          <w:rFonts w:ascii="Palatino Linotype" w:eastAsia="Palatino Linotype" w:hAnsi="Palatino Linotype" w:cs="Palatino Linotype"/>
        </w:rPr>
        <w:t>En razón de lo anterior, es que se concluye que la respuesta resulta parcialmente procedente en razón de existir una competencia concurrente respecto de lo solicitado, no obstante resultaba insuficiente para haber declinado la incompetencia total; siendo dable ordenar el último convenio celebrado al dieciocho de noviembre de dos mil veinticinco, fecha en que se interpuso la solicitud de información.</w:t>
      </w:r>
    </w:p>
    <w:p w:rsidR="00BE5909" w:rsidRDefault="00BE5909" w:rsidP="00BE5909">
      <w:pPr>
        <w:spacing w:line="360" w:lineRule="auto"/>
        <w:ind w:right="-839"/>
        <w:jc w:val="both"/>
        <w:rPr>
          <w:rFonts w:ascii="Palatino Linotype" w:eastAsia="Palatino Linotype" w:hAnsi="Palatino Linotype" w:cs="Palatino Linotype"/>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w:t>
      </w:r>
      <w:r>
        <w:rPr>
          <w:rFonts w:ascii="Palatino Linotype" w:eastAsia="Palatino Linotype" w:hAnsi="Palatino Linotype" w:cs="Palatino Linotype"/>
        </w:rPr>
        <w:lastRenderedPageBreak/>
        <w:t>corresponde</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6"/>
      </w:r>
      <w:r>
        <w:rPr>
          <w:rFonts w:ascii="Palatino Linotype" w:eastAsia="Palatino Linotype" w:hAnsi="Palatino Linotype" w:cs="Palatino Linotype"/>
          <w:color w:val="000000"/>
        </w:rPr>
        <w:t xml:space="preserve"> ”</w:t>
      </w:r>
    </w:p>
    <w:p w:rsidR="0070273D" w:rsidRDefault="0070273D">
      <w:pPr>
        <w:spacing w:line="360" w:lineRule="auto"/>
        <w:ind w:right="-839"/>
        <w:jc w:val="both"/>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BE5909" w:rsidRDefault="00BE5909">
      <w:pPr>
        <w:spacing w:line="360" w:lineRule="auto"/>
        <w:ind w:left="426" w:right="-839"/>
        <w:jc w:val="both"/>
        <w:rPr>
          <w:rFonts w:ascii="Palatino Linotype" w:eastAsia="Palatino Linotype" w:hAnsi="Palatino Linotype" w:cs="Palatino Linotype"/>
          <w:b/>
          <w:bCs/>
          <w:i/>
          <w:iCs/>
          <w:color w:val="000000"/>
        </w:rPr>
      </w:pPr>
    </w:p>
    <w:p w:rsidR="0070273D" w:rsidRDefault="0060062E">
      <w:pPr>
        <w:spacing w:line="360" w:lineRule="auto"/>
        <w:ind w:left="426" w:right="-83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“CRITERIO 0002-11</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70273D" w:rsidRDefault="0070273D">
      <w:pPr>
        <w:spacing w:line="360" w:lineRule="auto"/>
        <w:ind w:left="567" w:right="-839"/>
        <w:jc w:val="both"/>
        <w:rPr>
          <w:rFonts w:ascii="Palatino Linotype" w:eastAsia="Palatino Linotype" w:hAnsi="Palatino Linotype" w:cs="Palatino Linotype"/>
          <w:i/>
          <w:iCs/>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XI. Documento: </w:t>
      </w:r>
      <w:r>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color w:val="000000"/>
        </w:rPr>
        <w:t>cualquier otro registro</w:t>
      </w:r>
      <w:r>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w:t>
      </w:r>
      <w:r>
        <w:rPr>
          <w:rFonts w:ascii="Palatino Linotype" w:eastAsia="Palatino Linotype" w:hAnsi="Palatino Linotype" w:cs="Palatino Linotype"/>
          <w:i/>
          <w:iCs/>
          <w:color w:val="000000"/>
        </w:rPr>
        <w:lastRenderedPageBreak/>
        <w:t>sin importar su fuente o fecha de elaboración. Los documentos podrán estar en cualquier medio, sea escrito, impreso, sonoro, visual, electrónico, informático u holográfico;</w:t>
      </w:r>
    </w:p>
    <w:p w:rsidR="0070273D" w:rsidRDefault="0070273D">
      <w:pPr>
        <w:spacing w:line="360" w:lineRule="auto"/>
        <w:ind w:left="567" w:right="-839"/>
        <w:jc w:val="both"/>
        <w:rPr>
          <w:rFonts w:ascii="Palatino Linotype" w:eastAsia="Palatino Linotype" w:hAnsi="Palatino Linotype" w:cs="Palatino Linotype"/>
          <w:i/>
          <w:iCs/>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estar </w:t>
      </w:r>
      <w:r>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70273D" w:rsidRDefault="0070273D">
      <w:pPr>
        <w:spacing w:line="360" w:lineRule="auto"/>
        <w:ind w:right="-839"/>
        <w:jc w:val="both"/>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70273D" w:rsidRDefault="0070273D">
      <w:pPr>
        <w:spacing w:line="360" w:lineRule="auto"/>
        <w:ind w:left="567" w:right="-839"/>
        <w:jc w:val="both"/>
        <w:rPr>
          <w:rFonts w:ascii="Palatino Linotype" w:eastAsia="Palatino Linotype" w:hAnsi="Palatino Linotype" w:cs="Palatino Linotype"/>
          <w:i/>
          <w:iCs/>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70273D" w:rsidRDefault="0070273D">
      <w:pPr>
        <w:spacing w:line="360" w:lineRule="auto"/>
        <w:ind w:right="-839"/>
        <w:jc w:val="both"/>
        <w:rPr>
          <w:rFonts w:ascii="Palatino Linotype" w:eastAsia="Palatino Linotype" w:hAnsi="Palatino Linotype" w:cs="Palatino Linotype"/>
          <w:color w:val="000000"/>
        </w:rPr>
      </w:pPr>
    </w:p>
    <w:p w:rsidR="0070273D" w:rsidRDefault="0060062E">
      <w:pPr>
        <w:numPr>
          <w:ilvl w:val="0"/>
          <w:numId w:val="1"/>
        </w:numPr>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70273D" w:rsidRDefault="0060062E">
      <w:pPr>
        <w:spacing w:line="360" w:lineRule="auto"/>
        <w:ind w:left="426" w:right="-83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w:t>
      </w:r>
      <w:r>
        <w:rPr>
          <w:rFonts w:ascii="Palatino Linotype" w:eastAsia="Palatino Linotype" w:hAnsi="Palatino Linotype" w:cs="Palatino Linotype"/>
          <w:i/>
          <w:iCs/>
          <w:color w:val="000000"/>
        </w:rPr>
        <w:lastRenderedPageBreak/>
        <w:t>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numPr>
          <w:ilvl w:val="0"/>
          <w:numId w:val="1"/>
        </w:numPr>
        <w:pBdr>
          <w:top w:val="nil"/>
          <w:left w:val="nil"/>
          <w:bottom w:val="nil"/>
          <w:right w:val="nil"/>
          <w:between w:val="nil"/>
        </w:pBdr>
        <w:shd w:val="clear" w:color="auto" w:fill="FFFFFF"/>
        <w:spacing w:line="360" w:lineRule="auto"/>
        <w:ind w:left="0" w:right="-83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70273D" w:rsidRDefault="0060062E">
      <w:pPr>
        <w:keepNext/>
        <w:keepLines/>
        <w:spacing w:line="360" w:lineRule="auto"/>
        <w:ind w:right="-83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70273D" w:rsidRDefault="0060062E">
      <w:pPr>
        <w:spacing w:line="360" w:lineRule="auto"/>
        <w:ind w:right="-839"/>
        <w:jc w:val="both"/>
        <w:rPr>
          <w:rFonts w:ascii="Palatino Linotype" w:eastAsia="Palatino Linotype" w:hAnsi="Palatino Linotype" w:cs="Palatino Linotype"/>
          <w:b/>
          <w:bCs/>
        </w:rPr>
      </w:pPr>
      <w:r>
        <w:rPr>
          <w:rFonts w:ascii="Palatino Linotype" w:eastAsia="Palatino Linotype" w:hAnsi="Palatino Linotype" w:cs="Palatino Linotype"/>
          <w:b/>
          <w:bCs/>
        </w:rPr>
        <w:tab/>
      </w:r>
    </w:p>
    <w:p w:rsidR="0070273D" w:rsidRDefault="0060062E">
      <w:pPr>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13183/INFOEM/IP/RR/2025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w:t>
      </w:r>
      <w:r>
        <w:rPr>
          <w:rFonts w:ascii="Palatino Linotype" w:eastAsia="Palatino Linotype" w:hAnsi="Palatino Linotype" w:cs="Palatino Linotype"/>
        </w:rPr>
        <w:t>de la presente Resolución.</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pBdr>
          <w:top w:val="nil"/>
          <w:left w:val="nil"/>
          <w:bottom w:val="nil"/>
          <w:right w:val="nil"/>
          <w:between w:val="nil"/>
        </w:pBdr>
        <w:tabs>
          <w:tab w:val="left" w:pos="9639"/>
        </w:tabs>
        <w:spacing w:line="360" w:lineRule="auto"/>
        <w:ind w:right="-83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REVOCA</w:t>
      </w:r>
      <w:r>
        <w:rPr>
          <w:rFonts w:ascii="Palatino Linotype" w:eastAsia="Palatino Linotype" w:hAnsi="Palatino Linotype" w:cs="Palatino Linotype"/>
          <w:color w:val="000000"/>
        </w:rPr>
        <w:t xml:space="preserve"> la respuesta otorgada a la Solicitud de Información </w:t>
      </w:r>
      <w:r>
        <w:rPr>
          <w:rFonts w:ascii="Palatino Linotype" w:eastAsia="Palatino Linotype" w:hAnsi="Palatino Linotype" w:cs="Palatino Linotype"/>
          <w:b/>
          <w:bCs/>
          <w:color w:val="000000"/>
        </w:rPr>
        <w:t xml:space="preserve">00918/ECATEPEC/IP/2025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Ayuntamiento de Ecatepec de Morelos </w:t>
      </w:r>
      <w:r>
        <w:rPr>
          <w:rFonts w:ascii="Palatino Linotype" w:eastAsia="Palatino Linotype" w:hAnsi="Palatino Linotype" w:cs="Palatino Linotype"/>
          <w:color w:val="000000"/>
        </w:rPr>
        <w:t>entregar, vía SAIMEX, la siguiente información:</w:t>
      </w:r>
    </w:p>
    <w:p w:rsidR="0070273D" w:rsidRDefault="0070273D">
      <w:pPr>
        <w:pBdr>
          <w:top w:val="nil"/>
          <w:left w:val="nil"/>
          <w:bottom w:val="nil"/>
          <w:right w:val="nil"/>
          <w:between w:val="nil"/>
        </w:pBdr>
        <w:spacing w:line="360" w:lineRule="auto"/>
        <w:ind w:right="-839"/>
        <w:rPr>
          <w:rFonts w:ascii="Palatino Linotype" w:eastAsia="Palatino Linotype" w:hAnsi="Palatino Linotype" w:cs="Palatino Linotype"/>
          <w:color w:val="000000"/>
        </w:rPr>
      </w:pPr>
    </w:p>
    <w:p w:rsidR="0070273D" w:rsidRDefault="0060062E">
      <w:pPr>
        <w:numPr>
          <w:ilvl w:val="0"/>
          <w:numId w:val="2"/>
        </w:numPr>
        <w:pBdr>
          <w:top w:val="nil"/>
          <w:left w:val="nil"/>
          <w:bottom w:val="nil"/>
          <w:right w:val="nil"/>
          <w:between w:val="nil"/>
        </w:pBdr>
        <w:spacing w:line="360" w:lineRule="auto"/>
        <w:ind w:left="709" w:right="-839"/>
        <w:jc w:val="both"/>
        <w:rPr>
          <w:rFonts w:ascii="Palatino Linotype" w:eastAsia="Palatino Linotype" w:hAnsi="Palatino Linotype" w:cs="Palatino Linotype"/>
          <w:color w:val="000000"/>
        </w:rPr>
      </w:pPr>
      <w:bookmarkStart w:id="8" w:name="_heading=h.7whlf4gz8lvr" w:colFirst="0" w:colLast="0"/>
      <w:bookmarkEnd w:id="8"/>
      <w:r>
        <w:rPr>
          <w:rFonts w:ascii="Palatino Linotype" w:eastAsia="Palatino Linotype" w:hAnsi="Palatino Linotype" w:cs="Palatino Linotype"/>
          <w:b/>
          <w:bCs/>
          <w:color w:val="000000"/>
        </w:rPr>
        <w:lastRenderedPageBreak/>
        <w:t xml:space="preserve">Último convenio de colaboración celebrado </w:t>
      </w:r>
      <w:r w:rsidR="006717EE">
        <w:rPr>
          <w:rFonts w:ascii="Palatino Linotype" w:eastAsia="Palatino Linotype" w:hAnsi="Palatino Linotype" w:cs="Palatino Linotype"/>
          <w:b/>
          <w:bCs/>
        </w:rPr>
        <w:t>a</w:t>
      </w:r>
      <w:r>
        <w:rPr>
          <w:rFonts w:ascii="Palatino Linotype" w:eastAsia="Palatino Linotype" w:hAnsi="Palatino Linotype" w:cs="Palatino Linotype"/>
          <w:b/>
          <w:bCs/>
        </w:rPr>
        <w:t>l dieciocho</w:t>
      </w:r>
      <w:r>
        <w:rPr>
          <w:rFonts w:ascii="Palatino Linotype" w:eastAsia="Palatino Linotype" w:hAnsi="Palatino Linotype" w:cs="Palatino Linotype"/>
          <w:b/>
          <w:bCs/>
          <w:color w:val="000000"/>
        </w:rPr>
        <w:t xml:space="preserve"> de noviembre de dos mil </w:t>
      </w:r>
      <w:r w:rsidR="006717EE" w:rsidRPr="0080694C">
        <w:rPr>
          <w:rFonts w:ascii="Palatino Linotype" w:eastAsia="Palatino Linotype" w:hAnsi="Palatino Linotype" w:cs="Palatino Linotype"/>
          <w:b/>
          <w:bCs/>
          <w:color w:val="000000"/>
        </w:rPr>
        <w:t>veinticinco</w:t>
      </w:r>
      <w:r w:rsidRPr="0080694C">
        <w:rPr>
          <w:rFonts w:ascii="Palatino Linotype" w:eastAsia="Palatino Linotype" w:hAnsi="Palatino Linotype" w:cs="Palatino Linotype"/>
          <w:b/>
          <w:bCs/>
          <w:color w:val="000000"/>
        </w:rPr>
        <w:t>,</w:t>
      </w:r>
      <w:r>
        <w:rPr>
          <w:rFonts w:ascii="Palatino Linotype" w:eastAsia="Palatino Linotype" w:hAnsi="Palatino Linotype" w:cs="Palatino Linotype"/>
          <w:b/>
          <w:bCs/>
          <w:color w:val="000000"/>
        </w:rPr>
        <w:t xml:space="preserve"> entre el Centro de Control y Confianza del Estado de México y el Ayuntamiento de Ecatepec de Morelos, para la aplicación de las evaluaciones de control de confianza, a servidores públicos obligados adscritos a la seguridad pública del Ayuntamiento.</w:t>
      </w:r>
    </w:p>
    <w:p w:rsidR="0070273D" w:rsidRDefault="0070273D">
      <w:pPr>
        <w:tabs>
          <w:tab w:val="left" w:pos="8080"/>
        </w:tabs>
        <w:spacing w:line="360" w:lineRule="auto"/>
        <w:ind w:right="-839"/>
        <w:jc w:val="both"/>
        <w:rPr>
          <w:rFonts w:ascii="Palatino Linotype" w:eastAsia="Palatino Linotype" w:hAnsi="Palatino Linotype" w:cs="Palatino Linotype"/>
          <w:color w:val="000000"/>
        </w:rPr>
      </w:pPr>
    </w:p>
    <w:p w:rsidR="0070273D" w:rsidRDefault="0060062E">
      <w:pPr>
        <w:tabs>
          <w:tab w:val="left" w:pos="284"/>
          <w:tab w:val="left" w:pos="8080"/>
        </w:tabs>
        <w:spacing w:line="360" w:lineRule="auto"/>
        <w:ind w:right="-839"/>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273D" w:rsidRDefault="0070273D">
      <w:pPr>
        <w:tabs>
          <w:tab w:val="left" w:pos="284"/>
          <w:tab w:val="left" w:pos="8080"/>
        </w:tabs>
        <w:spacing w:line="360" w:lineRule="auto"/>
        <w:ind w:right="-839"/>
        <w:jc w:val="both"/>
        <w:rPr>
          <w:rFonts w:ascii="Palatino Linotype" w:eastAsia="Palatino Linotype" w:hAnsi="Palatino Linotype" w:cs="Palatino Linotype"/>
          <w:color w:val="222222"/>
        </w:rPr>
      </w:pPr>
    </w:p>
    <w:p w:rsidR="0070273D" w:rsidRDefault="0060062E">
      <w:pPr>
        <w:shd w:val="clear" w:color="auto" w:fill="FFFFFF"/>
        <w:tabs>
          <w:tab w:val="left" w:pos="284"/>
        </w:tabs>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 xml:space="preserve">Notifíquese </w:t>
      </w:r>
      <w:r>
        <w:rPr>
          <w:rFonts w:ascii="Palatino Linotype" w:eastAsia="Palatino Linotype" w:hAnsi="Palatino Linotype" w:cs="Palatino Linotype"/>
          <w:color w:val="222222"/>
        </w:rPr>
        <w:t xml:space="preserve">a la </w:t>
      </w:r>
      <w:r>
        <w:rPr>
          <w:rFonts w:ascii="Palatino Linotype" w:eastAsia="Palatino Linotype" w:hAnsi="Palatino Linotype" w:cs="Palatino Linotype"/>
          <w:b/>
          <w:bCs/>
          <w:color w:val="222222"/>
        </w:rPr>
        <w:t xml:space="preserve">RECURRENTE </w:t>
      </w:r>
      <w:r>
        <w:rPr>
          <w:rFonts w:ascii="Palatino Linotype" w:eastAsia="Palatino Linotype" w:hAnsi="Palatino Linotype" w:cs="Palatino Linotype"/>
        </w:rPr>
        <w:t>la presente Resolución a través del Sistema de Acceso a la Información Mexiquense (SAIMEX).</w:t>
      </w:r>
    </w:p>
    <w:p w:rsidR="0070273D" w:rsidRDefault="0070273D">
      <w:pPr>
        <w:shd w:val="clear" w:color="auto" w:fill="FFFFFF"/>
        <w:tabs>
          <w:tab w:val="left" w:pos="284"/>
        </w:tabs>
        <w:spacing w:line="360" w:lineRule="auto"/>
        <w:ind w:right="-839"/>
        <w:jc w:val="both"/>
        <w:rPr>
          <w:rFonts w:ascii="Palatino Linotype" w:eastAsia="Palatino Linotype" w:hAnsi="Palatino Linotype" w:cs="Palatino Linotype"/>
        </w:rPr>
      </w:pPr>
    </w:p>
    <w:p w:rsidR="0070273D" w:rsidRDefault="0060062E">
      <w:pPr>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70273D" w:rsidRDefault="0070273D">
      <w:pPr>
        <w:spacing w:line="360" w:lineRule="auto"/>
        <w:ind w:right="-839"/>
        <w:jc w:val="both"/>
        <w:rPr>
          <w:rFonts w:ascii="Palatino Linotype" w:eastAsia="Palatino Linotype" w:hAnsi="Palatino Linotype" w:cs="Palatino Linotype"/>
        </w:rPr>
      </w:pPr>
    </w:p>
    <w:p w:rsidR="0070273D" w:rsidRDefault="0060062E">
      <w:pPr>
        <w:shd w:val="clear" w:color="auto" w:fill="FFFFFF"/>
        <w:spacing w:line="360" w:lineRule="auto"/>
        <w:ind w:right="-83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SEXTO.</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rPr>
        <w:t xml:space="preserve">Se hace del conocimiento de la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w:t>
      </w:r>
      <w:r>
        <w:rPr>
          <w:rFonts w:ascii="Palatino Linotype" w:eastAsia="Palatino Linotype" w:hAnsi="Palatino Linotype" w:cs="Palatino Linotype"/>
          <w:color w:val="000000"/>
        </w:rPr>
        <w:t xml:space="preserve">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juicio de amparo en los términos de las leyes aplicables.</w:t>
      </w:r>
    </w:p>
    <w:p w:rsidR="0070273D" w:rsidRDefault="0070273D">
      <w:pPr>
        <w:shd w:val="clear" w:color="auto" w:fill="FFFFFF"/>
        <w:spacing w:line="360" w:lineRule="auto"/>
        <w:ind w:right="-839"/>
        <w:jc w:val="both"/>
        <w:rPr>
          <w:rFonts w:ascii="Palatino Linotype" w:eastAsia="Palatino Linotype" w:hAnsi="Palatino Linotype" w:cs="Palatino Linotype"/>
        </w:rPr>
      </w:pPr>
    </w:p>
    <w:p w:rsidR="00DC5035" w:rsidRPr="003E2295" w:rsidRDefault="00DC5035" w:rsidP="00DC5035">
      <w:pPr>
        <w:spacing w:before="240" w:after="240" w:line="360" w:lineRule="auto"/>
        <w:ind w:right="-850"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70273D" w:rsidRDefault="0070273D" w:rsidP="00DC5035">
      <w:pPr>
        <w:spacing w:line="360" w:lineRule="auto"/>
        <w:ind w:right="-850"/>
        <w:jc w:val="both"/>
        <w:rPr>
          <w:rFonts w:ascii="Palatino Linotype" w:eastAsia="Palatino Linotype" w:hAnsi="Palatino Linotype" w:cs="Palatino Linotype"/>
        </w:rPr>
      </w:pPr>
    </w:p>
    <w:p w:rsidR="0070273D" w:rsidRDefault="0070273D" w:rsidP="00DC5035">
      <w:pPr>
        <w:spacing w:line="360" w:lineRule="auto"/>
        <w:ind w:right="-850"/>
        <w:jc w:val="both"/>
        <w:rPr>
          <w:rFonts w:ascii="Palatino Linotype" w:eastAsia="Palatino Linotype" w:hAnsi="Palatino Linotype" w:cs="Palatino Linotype"/>
        </w:rPr>
      </w:pPr>
    </w:p>
    <w:p w:rsidR="0070273D" w:rsidRDefault="0070273D" w:rsidP="00DC5035">
      <w:pPr>
        <w:spacing w:line="360" w:lineRule="auto"/>
        <w:ind w:right="-850"/>
        <w:jc w:val="both"/>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p w:rsidR="0070273D" w:rsidRDefault="0060062E">
      <w:pPr>
        <w:tabs>
          <w:tab w:val="left" w:pos="3374"/>
        </w:tabs>
        <w:spacing w:line="360" w:lineRule="auto"/>
        <w:ind w:right="-839"/>
        <w:rPr>
          <w:rFonts w:ascii="Palatino Linotype" w:eastAsia="Palatino Linotype" w:hAnsi="Palatino Linotype" w:cs="Palatino Linotype"/>
        </w:rPr>
      </w:pPr>
      <w:r>
        <w:rPr>
          <w:rFonts w:ascii="Palatino Linotype" w:eastAsia="Palatino Linotype" w:hAnsi="Palatino Linotype" w:cs="Palatino Linotype"/>
        </w:rPr>
        <w:lastRenderedPageBreak/>
        <w:tab/>
      </w: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tabs>
          <w:tab w:val="left" w:pos="3374"/>
        </w:tabs>
        <w:spacing w:line="360" w:lineRule="auto"/>
        <w:ind w:right="-839"/>
        <w:rPr>
          <w:rFonts w:ascii="Palatino Linotype" w:eastAsia="Palatino Linotype" w:hAnsi="Palatino Linotype" w:cs="Palatino Linotype"/>
        </w:rPr>
      </w:pPr>
    </w:p>
    <w:p w:rsidR="0070273D" w:rsidRDefault="0070273D">
      <w:pPr>
        <w:spacing w:line="360" w:lineRule="auto"/>
        <w:ind w:right="-839"/>
        <w:rPr>
          <w:rFonts w:ascii="Palatino Linotype" w:eastAsia="Palatino Linotype" w:hAnsi="Palatino Linotype" w:cs="Palatino Linotype"/>
        </w:rPr>
      </w:pPr>
    </w:p>
    <w:sectPr w:rsidR="0070273D">
      <w:headerReference w:type="even" r:id="rId11"/>
      <w:headerReference w:type="default" r:id="rId12"/>
      <w:footerReference w:type="default" r:id="rId13"/>
      <w:headerReference w:type="first" r:id="rId14"/>
      <w:footerReference w:type="first" r:id="rId15"/>
      <w:pgSz w:w="12240" w:h="15840"/>
      <w:pgMar w:top="2268" w:right="1608" w:bottom="1843"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0F1" w:rsidRDefault="006420F1">
      <w:r>
        <w:separator/>
      </w:r>
    </w:p>
  </w:endnote>
  <w:endnote w:type="continuationSeparator" w:id="0">
    <w:p w:rsidR="006420F1" w:rsidRDefault="0064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5A6E4D1F-43B2-404F-B07E-9614092366FB}"/>
    <w:embedBold r:id="rId2" w:fontKey="{A9DEDF28-964D-495E-B1EA-D49F546F68DE}"/>
    <w:embedItalic r:id="rId3" w:fontKey="{826A06C7-4CF5-4E6E-9212-7E19A2F26297}"/>
    <w:embedBoldItalic r:id="rId4" w:fontKey="{7B08C975-A551-4A4D-AFE3-8EB6B24860F8}"/>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27FB88A6-BA45-4ABA-8270-EBD922C55478}"/>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DFF210F-064C-4782-800C-1F90AEFDFB63}"/>
    <w:embedBold r:id="rId7" w:fontKey="{B850582A-DB01-4F28-9340-6FF7CCC5AFA4}"/>
  </w:font>
  <w:font w:name="Georgia">
    <w:panose1 w:val="02040502050405020303"/>
    <w:charset w:val="00"/>
    <w:family w:val="roman"/>
    <w:pitch w:val="variable"/>
    <w:sig w:usb0="00000287" w:usb1="00000000" w:usb2="00000000" w:usb3="00000000" w:csb0="0000009F" w:csb1="00000000"/>
    <w:embedItalic r:id="rId8" w:fontKey="{EEF03D21-086A-4581-A3DC-5B089FBB265D}"/>
  </w:font>
  <w:font w:name="Cambria">
    <w:panose1 w:val="02040503050406030204"/>
    <w:charset w:val="00"/>
    <w:family w:val="roman"/>
    <w:pitch w:val="variable"/>
    <w:sig w:usb0="E00006FF" w:usb1="420024FF" w:usb2="02000000" w:usb3="00000000" w:csb0="0000019F" w:csb1="00000000"/>
    <w:embedRegular r:id="rId9" w:fontKey="{9826C93A-3FFD-4F6F-8413-AC7799A43B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73D" w:rsidRDefault="0060062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A611C1">
      <w:rPr>
        <w:rFonts w:ascii="Palatino Linotype" w:eastAsia="Palatino Linotype" w:hAnsi="Palatino Linotype" w:cs="Palatino Linotype"/>
        <w:noProof/>
        <w:color w:val="000000"/>
        <w:sz w:val="22"/>
        <w:szCs w:val="22"/>
      </w:rPr>
      <w:t>18</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A611C1">
      <w:rPr>
        <w:rFonts w:ascii="Palatino Linotype" w:eastAsia="Palatino Linotype" w:hAnsi="Palatino Linotype" w:cs="Palatino Linotype"/>
        <w:noProof/>
        <w:color w:val="000000"/>
        <w:sz w:val="22"/>
        <w:szCs w:val="22"/>
      </w:rPr>
      <w:t>27</w:t>
    </w:r>
    <w:r>
      <w:rPr>
        <w:rFonts w:ascii="Palatino Linotype" w:eastAsia="Palatino Linotype" w:hAnsi="Palatino Linotype" w:cs="Palatino Linotype"/>
        <w:color w:val="000000"/>
        <w:sz w:val="22"/>
        <w:szCs w:val="22"/>
      </w:rPr>
      <w:fldChar w:fldCharType="end"/>
    </w:r>
  </w:p>
  <w:p w:rsidR="0070273D" w:rsidRDefault="0070273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73D" w:rsidRDefault="0060062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A611C1">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A611C1">
      <w:rPr>
        <w:rFonts w:ascii="Palatino Linotype" w:eastAsia="Palatino Linotype" w:hAnsi="Palatino Linotype" w:cs="Palatino Linotype"/>
        <w:noProof/>
        <w:color w:val="000000"/>
        <w:sz w:val="22"/>
        <w:szCs w:val="22"/>
      </w:rPr>
      <w:t>27</w:t>
    </w:r>
    <w:r>
      <w:rPr>
        <w:rFonts w:ascii="Palatino Linotype" w:eastAsia="Palatino Linotype" w:hAnsi="Palatino Linotype" w:cs="Palatino Linotype"/>
        <w:color w:val="000000"/>
        <w:sz w:val="22"/>
        <w:szCs w:val="22"/>
      </w:rPr>
      <w:fldChar w:fldCharType="end"/>
    </w:r>
  </w:p>
  <w:p w:rsidR="0070273D" w:rsidRDefault="0070273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0F1" w:rsidRDefault="006420F1">
      <w:r>
        <w:separator/>
      </w:r>
    </w:p>
  </w:footnote>
  <w:footnote w:type="continuationSeparator" w:id="0">
    <w:p w:rsidR="006420F1" w:rsidRDefault="006420F1">
      <w:r>
        <w:continuationSeparator/>
      </w:r>
    </w:p>
  </w:footnote>
  <w:footnote w:id="1">
    <w:p w:rsidR="0070273D" w:rsidRDefault="0060062E">
      <w:pPr>
        <w:jc w:val="both"/>
        <w:rPr>
          <w:rFonts w:ascii="Palatino Linotype" w:eastAsia="Palatino Linotype" w:hAnsi="Palatino Linotype" w:cs="Palatino Linotype"/>
          <w:i/>
          <w:iCs/>
          <w:sz w:val="16"/>
          <w:szCs w:val="16"/>
        </w:rPr>
      </w:pPr>
      <w:r>
        <w:rPr>
          <w:vertAlign w:val="superscript"/>
        </w:rPr>
        <w:footnoteRef/>
      </w:r>
      <w:r>
        <w:t xml:space="preserve"> “</w:t>
      </w:r>
      <w:r>
        <w:rPr>
          <w:rFonts w:ascii="Palatino Linotype" w:eastAsia="Palatino Linotype" w:hAnsi="Palatino Linotype" w:cs="Palatino Linotype"/>
          <w:b/>
          <w:bCs/>
          <w:i/>
          <w:iCs/>
          <w:sz w:val="16"/>
          <w:szCs w:val="16"/>
        </w:rPr>
        <w:t>PRINCIPIO DE INTERPRETACIÓN MÁS FAVORABLE A LA PERSONA. ES APLICABLE RESPECTO DE LAS NORMAS RELATIVAS A LOS DERECHOS HUMANOS DE LOS QUE SEAN TITULARES LAS PERSONAS MORALES.</w:t>
      </w:r>
      <w:r>
        <w:rPr>
          <w:rFonts w:ascii="Palatino Linotype" w:eastAsia="Palatino Linotype" w:hAnsi="Palatino Linotype" w:cs="Palatino Linotype"/>
          <w:i/>
          <w:iCs/>
          <w:sz w:val="16"/>
          <w:szCs w:val="16"/>
        </w:rPr>
        <w:t xml:space="preserve"> El artículo 1o. de la Constitución Política de los Estados Unidos Mexicanos, al disponer que en los Estados Unidos Mexicanos todas las personas gozarán de los derechos humanos reconocidos en dicha Constitución y en los tratados internacionales de los que el Estado Mexicano sea parte, así como de las garantías para su protección, no prevé distinción alguna, por lo que debe interpretarse en el sentido de que comprende tanto a las personas físicas, como a las morales, las que gozarán de aquellos derechos en la medida en que resulten conformes con su naturaleza y fines. En consecuencia, el principio de interpretación más favorable a la persona, que como imperativo establece el párrafo segundo del citado precepto, es aplicable respecto de las normas relativas a los derechos humanos de los que gocen las personas morales, por lo que deberán interpretarse favoreciendo en todo tiempo la protección más amplia, a condición de que no se trate de aquellos derechos cuyo contenido material sólo pueda ser disfrutado por las personas físicas, lo que habrá de determinarse en cada caso concreto.”</w:t>
      </w:r>
    </w:p>
    <w:p w:rsidR="0070273D" w:rsidRDefault="0070273D"/>
    <w:p w:rsidR="0070273D" w:rsidRDefault="0070273D">
      <w:pPr>
        <w:pBdr>
          <w:top w:val="nil"/>
          <w:left w:val="nil"/>
          <w:bottom w:val="nil"/>
          <w:right w:val="nil"/>
          <w:between w:val="nil"/>
        </w:pBdr>
        <w:rPr>
          <w:color w:val="000000"/>
          <w:sz w:val="20"/>
          <w:szCs w:val="20"/>
        </w:rPr>
      </w:pPr>
    </w:p>
  </w:footnote>
  <w:footnote w:id="2">
    <w:p w:rsidR="0070273D" w:rsidRDefault="0060062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3">
    <w:p w:rsidR="0070273D" w:rsidRDefault="0060062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4">
    <w:p w:rsidR="0070273D" w:rsidRDefault="0060062E">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5">
    <w:p w:rsidR="0070273D" w:rsidRDefault="0060062E">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6">
    <w:p w:rsidR="0070273D" w:rsidRDefault="0060062E">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7">
    <w:p w:rsidR="0070273D" w:rsidRDefault="0060062E">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70273D" w:rsidRDefault="0060062E">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70273D" w:rsidRDefault="0060062E">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73D" w:rsidRDefault="006420F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440" w:type="dxa"/>
      <w:tblInd w:w="2694" w:type="dxa"/>
      <w:tblLayout w:type="fixed"/>
      <w:tblLook w:val="0400" w:firstRow="0" w:lastRow="0" w:firstColumn="0" w:lastColumn="0" w:noHBand="0" w:noVBand="1"/>
    </w:tblPr>
    <w:tblGrid>
      <w:gridCol w:w="2970"/>
      <w:gridCol w:w="4470"/>
    </w:tblGrid>
    <w:tr w:rsidR="0070273D">
      <w:trPr>
        <w:trHeight w:val="227"/>
      </w:trPr>
      <w:tc>
        <w:tcPr>
          <w:tcW w:w="2970" w:type="dxa"/>
          <w:vAlign w:val="center"/>
        </w:tcPr>
        <w:p w:rsidR="0070273D" w:rsidRDefault="0060062E">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70" w:type="dxa"/>
          <w:vAlign w:val="center"/>
        </w:tcPr>
        <w:p w:rsidR="0070273D" w:rsidRDefault="0060062E">
          <w:pPr>
            <w:pBdr>
              <w:top w:val="nil"/>
              <w:left w:val="nil"/>
              <w:bottom w:val="nil"/>
              <w:right w:val="nil"/>
              <w:between w:val="nil"/>
            </w:pBdr>
            <w:tabs>
              <w:tab w:val="center" w:pos="4419"/>
              <w:tab w:val="right" w:pos="8838"/>
            </w:tabs>
            <w:ind w:right="-861"/>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13183/INFOEM/IP/RR/2025</w:t>
          </w:r>
        </w:p>
      </w:tc>
    </w:tr>
    <w:tr w:rsidR="0070273D">
      <w:trPr>
        <w:trHeight w:val="242"/>
      </w:trPr>
      <w:tc>
        <w:tcPr>
          <w:tcW w:w="2970" w:type="dxa"/>
          <w:vAlign w:val="center"/>
        </w:tcPr>
        <w:p w:rsidR="0070273D" w:rsidRDefault="0060062E">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70" w:type="dxa"/>
          <w:vAlign w:val="center"/>
        </w:tcPr>
        <w:p w:rsidR="0070273D" w:rsidRDefault="0060062E">
          <w:pPr>
            <w:pBdr>
              <w:top w:val="nil"/>
              <w:left w:val="nil"/>
              <w:bottom w:val="nil"/>
              <w:right w:val="nil"/>
              <w:between w:val="nil"/>
            </w:pBdr>
            <w:tabs>
              <w:tab w:val="center" w:pos="4419"/>
              <w:tab w:val="right" w:pos="8838"/>
            </w:tabs>
            <w:ind w:right="-861"/>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Ecatepec de Morelos</w:t>
          </w:r>
        </w:p>
      </w:tc>
    </w:tr>
    <w:tr w:rsidR="0070273D">
      <w:trPr>
        <w:trHeight w:val="342"/>
      </w:trPr>
      <w:tc>
        <w:tcPr>
          <w:tcW w:w="2970" w:type="dxa"/>
          <w:vAlign w:val="center"/>
        </w:tcPr>
        <w:p w:rsidR="0070273D" w:rsidRDefault="0060062E">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470" w:type="dxa"/>
          <w:vAlign w:val="center"/>
        </w:tcPr>
        <w:p w:rsidR="0070273D" w:rsidRDefault="0060062E">
          <w:pPr>
            <w:pBdr>
              <w:top w:val="nil"/>
              <w:left w:val="nil"/>
              <w:bottom w:val="nil"/>
              <w:right w:val="nil"/>
              <w:between w:val="nil"/>
            </w:pBdr>
            <w:tabs>
              <w:tab w:val="center" w:pos="4419"/>
              <w:tab w:val="right" w:pos="8838"/>
            </w:tabs>
            <w:ind w:right="-861"/>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0273D" w:rsidRDefault="006420F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35" w:type="dxa"/>
      <w:tblInd w:w="2835" w:type="dxa"/>
      <w:tblLayout w:type="fixed"/>
      <w:tblLook w:val="0400" w:firstRow="0" w:lastRow="0" w:firstColumn="0" w:lastColumn="0" w:noHBand="0" w:noVBand="1"/>
    </w:tblPr>
    <w:tblGrid>
      <w:gridCol w:w="2970"/>
      <w:gridCol w:w="4665"/>
    </w:tblGrid>
    <w:tr w:rsidR="0070273D" w:rsidTr="00BE5909">
      <w:trPr>
        <w:trHeight w:val="227"/>
      </w:trPr>
      <w:tc>
        <w:tcPr>
          <w:tcW w:w="2970" w:type="dxa"/>
          <w:vAlign w:val="center"/>
        </w:tcPr>
        <w:p w:rsidR="0070273D" w:rsidRDefault="0060062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65" w:type="dxa"/>
          <w:vAlign w:val="center"/>
        </w:tcPr>
        <w:p w:rsidR="0070273D" w:rsidRDefault="0060062E">
          <w:pPr>
            <w:pBdr>
              <w:top w:val="nil"/>
              <w:left w:val="nil"/>
              <w:bottom w:val="nil"/>
              <w:right w:val="nil"/>
              <w:between w:val="nil"/>
            </w:pBdr>
            <w:tabs>
              <w:tab w:val="center" w:pos="4419"/>
              <w:tab w:val="right" w:pos="8838"/>
            </w:tabs>
            <w:ind w:right="-86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13183/INFOEM/IP/RR/2025</w:t>
          </w:r>
        </w:p>
      </w:tc>
    </w:tr>
    <w:tr w:rsidR="0070273D" w:rsidTr="00BE5909">
      <w:trPr>
        <w:trHeight w:val="242"/>
      </w:trPr>
      <w:tc>
        <w:tcPr>
          <w:tcW w:w="2970" w:type="dxa"/>
          <w:vAlign w:val="center"/>
        </w:tcPr>
        <w:p w:rsidR="0070273D" w:rsidRDefault="0060062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665" w:type="dxa"/>
        </w:tcPr>
        <w:p w:rsidR="0070273D" w:rsidRDefault="0070273D">
          <w:pPr>
            <w:pBdr>
              <w:top w:val="nil"/>
              <w:left w:val="nil"/>
              <w:bottom w:val="nil"/>
              <w:right w:val="nil"/>
              <w:between w:val="nil"/>
            </w:pBdr>
            <w:tabs>
              <w:tab w:val="center" w:pos="4419"/>
              <w:tab w:val="right" w:pos="8838"/>
              <w:tab w:val="left" w:pos="521"/>
            </w:tabs>
            <w:ind w:right="-860"/>
            <w:rPr>
              <w:rFonts w:ascii="Palatino Linotype" w:eastAsia="Palatino Linotype" w:hAnsi="Palatino Linotype" w:cs="Palatino Linotype"/>
              <w:highlight w:val="green"/>
            </w:rPr>
          </w:pPr>
        </w:p>
      </w:tc>
    </w:tr>
    <w:tr w:rsidR="0070273D" w:rsidTr="00BE5909">
      <w:trPr>
        <w:trHeight w:val="342"/>
      </w:trPr>
      <w:tc>
        <w:tcPr>
          <w:tcW w:w="2970" w:type="dxa"/>
          <w:vAlign w:val="center"/>
        </w:tcPr>
        <w:p w:rsidR="0070273D" w:rsidRDefault="0060062E">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65" w:type="dxa"/>
          <w:vAlign w:val="center"/>
        </w:tcPr>
        <w:p w:rsidR="0070273D" w:rsidRDefault="0060062E">
          <w:pPr>
            <w:pBdr>
              <w:top w:val="nil"/>
              <w:left w:val="nil"/>
              <w:bottom w:val="nil"/>
              <w:right w:val="nil"/>
              <w:between w:val="nil"/>
            </w:pBdr>
            <w:tabs>
              <w:tab w:val="center" w:pos="4419"/>
              <w:tab w:val="right" w:pos="8838"/>
            </w:tabs>
            <w:ind w:right="-86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Ecatepec de Morelos</w:t>
          </w:r>
        </w:p>
      </w:tc>
    </w:tr>
    <w:tr w:rsidR="0070273D" w:rsidTr="00BE5909">
      <w:trPr>
        <w:trHeight w:val="342"/>
      </w:trPr>
      <w:tc>
        <w:tcPr>
          <w:tcW w:w="2970" w:type="dxa"/>
          <w:vAlign w:val="center"/>
        </w:tcPr>
        <w:p w:rsidR="0070273D" w:rsidRDefault="0060062E">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65" w:type="dxa"/>
          <w:vAlign w:val="center"/>
        </w:tcPr>
        <w:p w:rsidR="0070273D" w:rsidRDefault="0060062E">
          <w:pPr>
            <w:pBdr>
              <w:top w:val="nil"/>
              <w:left w:val="nil"/>
              <w:bottom w:val="nil"/>
              <w:right w:val="nil"/>
              <w:between w:val="nil"/>
            </w:pBdr>
            <w:tabs>
              <w:tab w:val="center" w:pos="4419"/>
              <w:tab w:val="right" w:pos="8838"/>
            </w:tabs>
            <w:ind w:right="-86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0273D" w:rsidRDefault="006420F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4782"/>
    <w:multiLevelType w:val="multilevel"/>
    <w:tmpl w:val="337EF930"/>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1F6BE4"/>
    <w:multiLevelType w:val="multilevel"/>
    <w:tmpl w:val="C812FA5C"/>
    <w:lvl w:ilvl="0">
      <w:start w:val="1"/>
      <w:numFmt w:val="lowerLetter"/>
      <w:lvlText w:val="%1)"/>
      <w:lvlJc w:val="left"/>
      <w:pPr>
        <w:ind w:left="1498" w:hanging="360"/>
      </w:pPr>
    </w:lvl>
    <w:lvl w:ilvl="1">
      <w:start w:val="1"/>
      <w:numFmt w:val="bullet"/>
      <w:lvlText w:val="o"/>
      <w:lvlJc w:val="left"/>
      <w:pPr>
        <w:ind w:left="2218" w:hanging="360"/>
      </w:pPr>
      <w:rPr>
        <w:rFonts w:ascii="Courier New" w:eastAsia="Courier New" w:hAnsi="Courier New" w:cs="Courier New"/>
      </w:rPr>
    </w:lvl>
    <w:lvl w:ilvl="2">
      <w:start w:val="1"/>
      <w:numFmt w:val="bullet"/>
      <w:lvlText w:val="▪"/>
      <w:lvlJc w:val="left"/>
      <w:pPr>
        <w:ind w:left="2938" w:hanging="360"/>
      </w:pPr>
      <w:rPr>
        <w:rFonts w:ascii="Noto Sans Symbols" w:eastAsia="Noto Sans Symbols" w:hAnsi="Noto Sans Symbols" w:cs="Noto Sans Symbols"/>
      </w:rPr>
    </w:lvl>
    <w:lvl w:ilvl="3">
      <w:start w:val="1"/>
      <w:numFmt w:val="bullet"/>
      <w:lvlText w:val="●"/>
      <w:lvlJc w:val="left"/>
      <w:pPr>
        <w:ind w:left="3658" w:hanging="360"/>
      </w:pPr>
      <w:rPr>
        <w:rFonts w:ascii="Noto Sans Symbols" w:eastAsia="Noto Sans Symbols" w:hAnsi="Noto Sans Symbols" w:cs="Noto Sans Symbols"/>
      </w:rPr>
    </w:lvl>
    <w:lvl w:ilvl="4">
      <w:start w:val="1"/>
      <w:numFmt w:val="bullet"/>
      <w:lvlText w:val="o"/>
      <w:lvlJc w:val="left"/>
      <w:pPr>
        <w:ind w:left="4378" w:hanging="360"/>
      </w:pPr>
      <w:rPr>
        <w:rFonts w:ascii="Courier New" w:eastAsia="Courier New" w:hAnsi="Courier New" w:cs="Courier New"/>
      </w:rPr>
    </w:lvl>
    <w:lvl w:ilvl="5">
      <w:start w:val="1"/>
      <w:numFmt w:val="bullet"/>
      <w:lvlText w:val="▪"/>
      <w:lvlJc w:val="left"/>
      <w:pPr>
        <w:ind w:left="5098" w:hanging="360"/>
      </w:pPr>
      <w:rPr>
        <w:rFonts w:ascii="Noto Sans Symbols" w:eastAsia="Noto Sans Symbols" w:hAnsi="Noto Sans Symbols" w:cs="Noto Sans Symbols"/>
      </w:rPr>
    </w:lvl>
    <w:lvl w:ilvl="6">
      <w:start w:val="1"/>
      <w:numFmt w:val="bullet"/>
      <w:lvlText w:val="●"/>
      <w:lvlJc w:val="left"/>
      <w:pPr>
        <w:ind w:left="5818" w:hanging="360"/>
      </w:pPr>
      <w:rPr>
        <w:rFonts w:ascii="Noto Sans Symbols" w:eastAsia="Noto Sans Symbols" w:hAnsi="Noto Sans Symbols" w:cs="Noto Sans Symbols"/>
      </w:rPr>
    </w:lvl>
    <w:lvl w:ilvl="7">
      <w:start w:val="1"/>
      <w:numFmt w:val="bullet"/>
      <w:lvlText w:val="o"/>
      <w:lvlJc w:val="left"/>
      <w:pPr>
        <w:ind w:left="6538" w:hanging="360"/>
      </w:pPr>
      <w:rPr>
        <w:rFonts w:ascii="Courier New" w:eastAsia="Courier New" w:hAnsi="Courier New" w:cs="Courier New"/>
      </w:rPr>
    </w:lvl>
    <w:lvl w:ilvl="8">
      <w:start w:val="1"/>
      <w:numFmt w:val="bullet"/>
      <w:lvlText w:val="▪"/>
      <w:lvlJc w:val="left"/>
      <w:pPr>
        <w:ind w:left="7258" w:hanging="360"/>
      </w:pPr>
      <w:rPr>
        <w:rFonts w:ascii="Noto Sans Symbols" w:eastAsia="Noto Sans Symbols" w:hAnsi="Noto Sans Symbols" w:cs="Noto Sans Symbols"/>
      </w:rPr>
    </w:lvl>
  </w:abstractNum>
  <w:abstractNum w:abstractNumId="2" w15:restartNumberingAfterBreak="0">
    <w:nsid w:val="21C71703"/>
    <w:multiLevelType w:val="multilevel"/>
    <w:tmpl w:val="28E8C804"/>
    <w:lvl w:ilvl="0">
      <w:start w:val="1"/>
      <w:numFmt w:val="lowerLetter"/>
      <w:lvlText w:val="%1)"/>
      <w:lvlJc w:val="left"/>
      <w:pPr>
        <w:ind w:left="149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BD12722"/>
    <w:multiLevelType w:val="multilevel"/>
    <w:tmpl w:val="DDFCBB1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3D"/>
    <w:rsid w:val="00507334"/>
    <w:rsid w:val="0060062E"/>
    <w:rsid w:val="006420F1"/>
    <w:rsid w:val="00657651"/>
    <w:rsid w:val="006717EE"/>
    <w:rsid w:val="0070273D"/>
    <w:rsid w:val="0080694C"/>
    <w:rsid w:val="0089209E"/>
    <w:rsid w:val="00A611C1"/>
    <w:rsid w:val="00BE5909"/>
    <w:rsid w:val="00DC5035"/>
    <w:rsid w:val="00E16553"/>
    <w:rsid w:val="00F135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2476C84-7C7A-480F-A58B-5EA2FF5B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BE5909"/>
    <w:pPr>
      <w:tabs>
        <w:tab w:val="center" w:pos="4419"/>
        <w:tab w:val="right" w:pos="8838"/>
      </w:tabs>
    </w:pPr>
  </w:style>
  <w:style w:type="character" w:customStyle="1" w:styleId="PiedepginaCar">
    <w:name w:val="Pie de página Car"/>
    <w:basedOn w:val="Fuentedeprrafopredeter"/>
    <w:link w:val="Piedepgina"/>
    <w:uiPriority w:val="99"/>
    <w:rsid w:val="00BE5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8ZBewrnHDtnRq0FAFWes//V6CQ==">CgMxLjAyCGguZ2pkZ3hzMgloLjMwajB6bGwyCWguMWZvYjl0ZTIJaC4zem55c2g3MgloLjJldDkycDAyCGgudHlqY3d0MgloLjNkeTZ2a20yDmguN3dobGY0Z3o4bHZyOAByITFic2Rmc0VlMWNTelhfREpBWFl6MXZ6aDBjUV80aldXVQ==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5842</Words>
  <Characters>32134</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2026-06-12T17:09:00Z</cp:lastPrinted>
  <dcterms:created xsi:type="dcterms:W3CDTF">2026-06-08T17:55:00Z</dcterms:created>
  <dcterms:modified xsi:type="dcterms:W3CDTF">2026-06-16T23:53:00Z</dcterms:modified>
</cp:coreProperties>
</file>