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8D2" w:rsidRPr="00D444D3" w:rsidRDefault="00D43BD7">
      <w:pPr>
        <w:spacing w:line="360" w:lineRule="auto"/>
        <w:ind w:right="-876"/>
        <w:jc w:val="both"/>
        <w:rPr>
          <w:rFonts w:ascii="Palatino Linotype" w:eastAsia="Palatino Linotype" w:hAnsi="Palatino Linotype" w:cs="Palatino Linotype"/>
          <w:b/>
          <w:bCs/>
          <w:sz w:val="24"/>
          <w:szCs w:val="24"/>
        </w:rPr>
      </w:pPr>
      <w:r w:rsidRPr="00D444D3">
        <w:rPr>
          <w:rFonts w:ascii="Palatino Linotype" w:eastAsia="Palatino Linotype" w:hAnsi="Palatino Linotype" w:cs="Palatino Linotype"/>
          <w:sz w:val="24"/>
          <w:szCs w:val="24"/>
        </w:rPr>
        <w:t xml:space="preserve">Resolución del Pleno del Instituto de Transparencia, Acceso a la Información Pública y Protección de Datos Personales del Estado de México y Municipios, con domicilio en Metepec, Estado de México; de </w:t>
      </w:r>
      <w:r w:rsidRPr="00D444D3">
        <w:rPr>
          <w:rFonts w:ascii="Palatino Linotype" w:eastAsia="Palatino Linotype" w:hAnsi="Palatino Linotype" w:cs="Palatino Linotype"/>
          <w:b/>
          <w:bCs/>
          <w:sz w:val="24"/>
          <w:szCs w:val="24"/>
        </w:rPr>
        <w:t>fecha tres (03) de junio de dos mil veintiséis.</w:t>
      </w:r>
    </w:p>
    <w:p w:rsidR="00BD78D2" w:rsidRPr="00D444D3" w:rsidRDefault="00BD78D2">
      <w:pPr>
        <w:spacing w:line="360" w:lineRule="auto"/>
        <w:ind w:right="-876"/>
        <w:jc w:val="both"/>
        <w:rPr>
          <w:rFonts w:ascii="Palatino Linotype" w:eastAsia="Palatino Linotype" w:hAnsi="Palatino Linotype" w:cs="Palatino Linotype"/>
          <w:sz w:val="24"/>
          <w:szCs w:val="24"/>
        </w:rPr>
      </w:pPr>
    </w:p>
    <w:p w:rsidR="00BD78D2" w:rsidRPr="00D444D3" w:rsidRDefault="00D43BD7">
      <w:pPr>
        <w:pBdr>
          <w:top w:val="nil"/>
          <w:left w:val="nil"/>
          <w:bottom w:val="nil"/>
          <w:right w:val="nil"/>
          <w:between w:val="nil"/>
        </w:pBdr>
        <w:tabs>
          <w:tab w:val="center" w:pos="4419"/>
          <w:tab w:val="right" w:pos="8838"/>
        </w:tabs>
        <w:spacing w:line="360" w:lineRule="auto"/>
        <w:ind w:right="-876"/>
        <w:jc w:val="both"/>
        <w:rPr>
          <w:rFonts w:ascii="Palatino Linotype" w:eastAsia="Palatino Linotype" w:hAnsi="Palatino Linotype" w:cs="Palatino Linotype"/>
          <w:color w:val="000000"/>
          <w:sz w:val="24"/>
          <w:szCs w:val="24"/>
        </w:rPr>
      </w:pPr>
      <w:r w:rsidRPr="00D444D3">
        <w:rPr>
          <w:rFonts w:ascii="Palatino Linotype" w:eastAsia="Palatino Linotype" w:hAnsi="Palatino Linotype" w:cs="Palatino Linotype"/>
          <w:b/>
          <w:bCs/>
          <w:color w:val="000000"/>
          <w:sz w:val="24"/>
          <w:szCs w:val="24"/>
        </w:rPr>
        <w:t xml:space="preserve">VISTO </w:t>
      </w:r>
      <w:r w:rsidRPr="00D444D3">
        <w:rPr>
          <w:rFonts w:ascii="Palatino Linotype" w:eastAsia="Palatino Linotype" w:hAnsi="Palatino Linotype" w:cs="Palatino Linotype"/>
          <w:color w:val="000000"/>
          <w:sz w:val="24"/>
          <w:szCs w:val="24"/>
        </w:rPr>
        <w:t xml:space="preserve">el expediente electrónico formado con motivo del Recurso de Revisión </w:t>
      </w:r>
      <w:r w:rsidRPr="00D444D3">
        <w:rPr>
          <w:rFonts w:ascii="Palatino Linotype" w:eastAsia="Palatino Linotype" w:hAnsi="Palatino Linotype" w:cs="Palatino Linotype"/>
          <w:b/>
          <w:bCs/>
          <w:color w:val="000000"/>
          <w:sz w:val="24"/>
          <w:szCs w:val="24"/>
        </w:rPr>
        <w:t xml:space="preserve">13378/INFOEM/ICR-140/IP/RR/2025, </w:t>
      </w:r>
      <w:r w:rsidRPr="00D444D3">
        <w:rPr>
          <w:rFonts w:ascii="Palatino Linotype" w:eastAsia="Palatino Linotype" w:hAnsi="Palatino Linotype" w:cs="Palatino Linotype"/>
          <w:color w:val="000000"/>
          <w:sz w:val="24"/>
          <w:szCs w:val="24"/>
        </w:rPr>
        <w:t xml:space="preserve">promovido por </w:t>
      </w:r>
      <w:r w:rsidR="009652CA">
        <w:rPr>
          <w:rFonts w:ascii="Palatino Linotype" w:eastAsia="Palatino Linotype" w:hAnsi="Palatino Linotype" w:cs="Palatino Linotype"/>
          <w:b/>
          <w:bCs/>
          <w:sz w:val="24"/>
          <w:szCs w:val="24"/>
        </w:rPr>
        <w:t>XXXX</w:t>
      </w:r>
      <w:r w:rsidRPr="00D444D3">
        <w:rPr>
          <w:rFonts w:ascii="Palatino Linotype" w:eastAsia="Palatino Linotype" w:hAnsi="Palatino Linotype" w:cs="Palatino Linotype"/>
          <w:b/>
          <w:bCs/>
          <w:color w:val="000000"/>
          <w:sz w:val="24"/>
          <w:szCs w:val="24"/>
        </w:rPr>
        <w:t>,</w:t>
      </w:r>
      <w:r w:rsidRPr="00D444D3">
        <w:rPr>
          <w:rFonts w:ascii="Palatino Linotype" w:eastAsia="Palatino Linotype" w:hAnsi="Palatino Linotype" w:cs="Palatino Linotype"/>
          <w:color w:val="000000"/>
          <w:sz w:val="24"/>
          <w:szCs w:val="24"/>
        </w:rPr>
        <w:t xml:space="preserve"> a quien en lo sucesivo se le reconocerá como </w:t>
      </w:r>
      <w:r w:rsidRPr="00D444D3">
        <w:rPr>
          <w:rFonts w:ascii="Palatino Linotype" w:eastAsia="Palatino Linotype" w:hAnsi="Palatino Linotype" w:cs="Palatino Linotype"/>
          <w:b/>
          <w:bCs/>
          <w:color w:val="000000"/>
          <w:sz w:val="24"/>
          <w:szCs w:val="24"/>
        </w:rPr>
        <w:t>RECURRENTE</w:t>
      </w:r>
      <w:r w:rsidRPr="00D444D3">
        <w:rPr>
          <w:rFonts w:ascii="Palatino Linotype" w:eastAsia="Palatino Linotype" w:hAnsi="Palatino Linotype" w:cs="Palatino Linotype"/>
          <w:color w:val="000000"/>
          <w:sz w:val="24"/>
          <w:szCs w:val="24"/>
        </w:rPr>
        <w:t xml:space="preserve">, en contra de la falta de respuesta del </w:t>
      </w:r>
      <w:r w:rsidRPr="00D444D3">
        <w:rPr>
          <w:rFonts w:ascii="Palatino Linotype" w:eastAsia="Palatino Linotype" w:hAnsi="Palatino Linotype" w:cs="Palatino Linotype"/>
          <w:b/>
          <w:bCs/>
          <w:color w:val="000000"/>
          <w:sz w:val="24"/>
          <w:szCs w:val="24"/>
        </w:rPr>
        <w:t>Sistema Municipal para el Desarrollo Integral de la Familia de Axapusco</w:t>
      </w:r>
      <w:r w:rsidRPr="00D444D3">
        <w:rPr>
          <w:rFonts w:ascii="Palatino Linotype" w:eastAsia="Palatino Linotype" w:hAnsi="Palatino Linotype" w:cs="Palatino Linotype"/>
          <w:color w:val="000000"/>
          <w:sz w:val="24"/>
          <w:szCs w:val="24"/>
        </w:rPr>
        <w:t>,</w:t>
      </w:r>
      <w:r w:rsidRPr="00D444D3">
        <w:rPr>
          <w:rFonts w:ascii="Palatino Linotype" w:eastAsia="Palatino Linotype" w:hAnsi="Palatino Linotype" w:cs="Palatino Linotype"/>
          <w:b/>
          <w:bCs/>
          <w:color w:val="000000"/>
          <w:sz w:val="24"/>
          <w:szCs w:val="24"/>
        </w:rPr>
        <w:t xml:space="preserve"> </w:t>
      </w:r>
      <w:r w:rsidRPr="00D444D3">
        <w:rPr>
          <w:rFonts w:ascii="Palatino Linotype" w:eastAsia="Palatino Linotype" w:hAnsi="Palatino Linotype" w:cs="Palatino Linotype"/>
          <w:color w:val="000000"/>
          <w:sz w:val="24"/>
          <w:szCs w:val="24"/>
        </w:rPr>
        <w:t>en</w:t>
      </w:r>
      <w:r w:rsidRPr="00D444D3">
        <w:rPr>
          <w:rFonts w:ascii="Palatino Linotype" w:eastAsia="Palatino Linotype" w:hAnsi="Palatino Linotype" w:cs="Palatino Linotype"/>
          <w:sz w:val="24"/>
          <w:szCs w:val="24"/>
        </w:rPr>
        <w:t xml:space="preserve"> adelante</w:t>
      </w:r>
      <w:r w:rsidRPr="00D444D3">
        <w:rPr>
          <w:rFonts w:ascii="Palatino Linotype" w:eastAsia="Palatino Linotype" w:hAnsi="Palatino Linotype" w:cs="Palatino Linotype"/>
          <w:color w:val="000000"/>
          <w:sz w:val="24"/>
          <w:szCs w:val="24"/>
        </w:rPr>
        <w:t xml:space="preserve"> el</w:t>
      </w:r>
      <w:r w:rsidRPr="00D444D3">
        <w:rPr>
          <w:rFonts w:ascii="Palatino Linotype" w:eastAsia="Palatino Linotype" w:hAnsi="Palatino Linotype" w:cs="Palatino Linotype"/>
          <w:b/>
          <w:bCs/>
          <w:color w:val="000000"/>
          <w:sz w:val="24"/>
          <w:szCs w:val="24"/>
        </w:rPr>
        <w:t xml:space="preserve"> SUJETO OBLIGADO, </w:t>
      </w:r>
      <w:r w:rsidRPr="00D444D3">
        <w:rPr>
          <w:rFonts w:ascii="Palatino Linotype" w:eastAsia="Palatino Linotype" w:hAnsi="Palatino Linotype" w:cs="Palatino Linotype"/>
          <w:color w:val="000000"/>
          <w:sz w:val="24"/>
          <w:szCs w:val="24"/>
        </w:rPr>
        <w:t>se procede a dictar la presente Resolución, con base en los siguientes:</w:t>
      </w:r>
    </w:p>
    <w:p w:rsidR="00BD78D2" w:rsidRPr="00D444D3" w:rsidRDefault="00BD78D2">
      <w:pPr>
        <w:pBdr>
          <w:top w:val="nil"/>
          <w:left w:val="nil"/>
          <w:bottom w:val="nil"/>
          <w:right w:val="nil"/>
          <w:between w:val="nil"/>
        </w:pBdr>
        <w:tabs>
          <w:tab w:val="center" w:pos="4419"/>
          <w:tab w:val="right" w:pos="8838"/>
        </w:tabs>
        <w:spacing w:line="360" w:lineRule="auto"/>
        <w:ind w:right="-876"/>
        <w:jc w:val="both"/>
        <w:rPr>
          <w:rFonts w:ascii="Palatino Linotype" w:eastAsia="Palatino Linotype" w:hAnsi="Palatino Linotype" w:cs="Palatino Linotype"/>
          <w:color w:val="000000"/>
          <w:sz w:val="24"/>
          <w:szCs w:val="24"/>
        </w:rPr>
      </w:pPr>
    </w:p>
    <w:p w:rsidR="00BD78D2" w:rsidRPr="00D444D3" w:rsidRDefault="00D43BD7">
      <w:pPr>
        <w:pStyle w:val="Ttulo1"/>
        <w:spacing w:before="0" w:line="360" w:lineRule="auto"/>
        <w:ind w:right="-876"/>
        <w:jc w:val="center"/>
        <w:rPr>
          <w:rFonts w:ascii="Palatino Linotype" w:eastAsia="Palatino Linotype" w:hAnsi="Palatino Linotype" w:cs="Palatino Linotype"/>
          <w:b/>
          <w:bCs/>
          <w:color w:val="000000"/>
          <w:sz w:val="24"/>
          <w:szCs w:val="24"/>
        </w:rPr>
      </w:pPr>
      <w:bookmarkStart w:id="0" w:name="_heading=h.baf4l2vbykk2" w:colFirst="0" w:colLast="0"/>
      <w:bookmarkEnd w:id="0"/>
      <w:r w:rsidRPr="00D444D3">
        <w:rPr>
          <w:rFonts w:ascii="Palatino Linotype" w:eastAsia="Palatino Linotype" w:hAnsi="Palatino Linotype" w:cs="Palatino Linotype"/>
          <w:b/>
          <w:bCs/>
          <w:color w:val="000000"/>
          <w:sz w:val="24"/>
          <w:szCs w:val="24"/>
        </w:rPr>
        <w:t>A N T E C E D E N T E S</w:t>
      </w:r>
    </w:p>
    <w:p w:rsidR="00BD78D2" w:rsidRPr="00D444D3" w:rsidRDefault="00BD78D2">
      <w:pPr>
        <w:spacing w:line="360" w:lineRule="auto"/>
        <w:ind w:right="-876"/>
        <w:rPr>
          <w:rFonts w:ascii="Palatino Linotype" w:eastAsia="Palatino Linotype" w:hAnsi="Palatino Linotype" w:cs="Palatino Linotype"/>
          <w:sz w:val="24"/>
          <w:szCs w:val="24"/>
        </w:rPr>
      </w:pPr>
    </w:p>
    <w:p w:rsidR="00BD78D2" w:rsidRPr="00D444D3" w:rsidRDefault="00D43BD7">
      <w:pPr>
        <w:numPr>
          <w:ilvl w:val="0"/>
          <w:numId w:val="3"/>
        </w:numPr>
        <w:pBdr>
          <w:top w:val="nil"/>
          <w:left w:val="nil"/>
          <w:bottom w:val="nil"/>
          <w:right w:val="nil"/>
          <w:between w:val="nil"/>
        </w:pBdr>
        <w:tabs>
          <w:tab w:val="left" w:pos="426"/>
        </w:tabs>
        <w:spacing w:line="360" w:lineRule="auto"/>
        <w:ind w:left="0" w:right="-876" w:firstLine="0"/>
        <w:jc w:val="both"/>
        <w:rPr>
          <w:rFonts w:ascii="Palatino Linotype" w:eastAsia="Palatino Linotype" w:hAnsi="Palatino Linotype" w:cs="Palatino Linotype"/>
          <w:color w:val="000000"/>
          <w:sz w:val="24"/>
          <w:szCs w:val="24"/>
        </w:rPr>
      </w:pPr>
      <w:r w:rsidRPr="00D444D3">
        <w:rPr>
          <w:rFonts w:ascii="Palatino Linotype" w:eastAsia="Palatino Linotype" w:hAnsi="Palatino Linotype" w:cs="Palatino Linotype"/>
          <w:color w:val="000000"/>
          <w:sz w:val="24"/>
          <w:szCs w:val="24"/>
        </w:rPr>
        <w:t xml:space="preserve">El cinco de noviembre de dos mil veinticinco, </w:t>
      </w:r>
      <w:r w:rsidRPr="00D444D3">
        <w:rPr>
          <w:rFonts w:ascii="Palatino Linotype" w:eastAsia="Palatino Linotype" w:hAnsi="Palatino Linotype" w:cs="Palatino Linotype"/>
          <w:b/>
          <w:bCs/>
          <w:color w:val="000000"/>
          <w:sz w:val="24"/>
          <w:szCs w:val="24"/>
        </w:rPr>
        <w:t xml:space="preserve">EL RECURRENTE </w:t>
      </w:r>
      <w:r w:rsidRPr="00D444D3">
        <w:rPr>
          <w:rFonts w:ascii="Palatino Linotype" w:eastAsia="Palatino Linotype" w:hAnsi="Palatino Linotype" w:cs="Palatino Linotype"/>
          <w:color w:val="000000"/>
          <w:sz w:val="24"/>
          <w:szCs w:val="24"/>
        </w:rPr>
        <w:t>presentó</w:t>
      </w:r>
      <w:r w:rsidRPr="00D444D3">
        <w:rPr>
          <w:rFonts w:ascii="Palatino Linotype" w:eastAsia="Palatino Linotype" w:hAnsi="Palatino Linotype" w:cs="Palatino Linotype"/>
          <w:b/>
          <w:bCs/>
          <w:color w:val="000000"/>
          <w:sz w:val="24"/>
          <w:szCs w:val="24"/>
        </w:rPr>
        <w:t>,</w:t>
      </w:r>
      <w:r w:rsidRPr="00D444D3">
        <w:rPr>
          <w:rFonts w:ascii="Palatino Linotype" w:eastAsia="Palatino Linotype" w:hAnsi="Palatino Linotype" w:cs="Palatino Linotype"/>
          <w:color w:val="000000"/>
          <w:sz w:val="24"/>
          <w:szCs w:val="24"/>
        </w:rPr>
        <w:t xml:space="preserve"> ante el </w:t>
      </w:r>
      <w:r w:rsidRPr="00D444D3">
        <w:rPr>
          <w:rFonts w:ascii="Palatino Linotype" w:eastAsia="Palatino Linotype" w:hAnsi="Palatino Linotype" w:cs="Palatino Linotype"/>
          <w:b/>
          <w:bCs/>
          <w:color w:val="000000"/>
          <w:sz w:val="24"/>
          <w:szCs w:val="24"/>
        </w:rPr>
        <w:t>SUJETO OBLIGADO</w:t>
      </w:r>
      <w:r w:rsidRPr="00D444D3">
        <w:rPr>
          <w:rFonts w:ascii="Palatino Linotype" w:eastAsia="Palatino Linotype" w:hAnsi="Palatino Linotype" w:cs="Palatino Linotype"/>
          <w:color w:val="000000"/>
          <w:sz w:val="24"/>
          <w:szCs w:val="24"/>
        </w:rPr>
        <w:t xml:space="preserve"> vía Sistema de Acceso a la Información Mexiquense (SAIMEX), la solicitud de información pública registrada con el número </w:t>
      </w:r>
      <w:r w:rsidRPr="00D444D3">
        <w:rPr>
          <w:rFonts w:ascii="Palatino Linotype" w:eastAsia="Palatino Linotype" w:hAnsi="Palatino Linotype" w:cs="Palatino Linotype"/>
          <w:b/>
          <w:bCs/>
          <w:color w:val="000000"/>
          <w:sz w:val="24"/>
          <w:szCs w:val="24"/>
        </w:rPr>
        <w:t xml:space="preserve">00011/DIFAXAPUSCO/IP/2025, </w:t>
      </w:r>
      <w:r w:rsidRPr="00D444D3">
        <w:rPr>
          <w:rFonts w:ascii="Palatino Linotype" w:eastAsia="Palatino Linotype" w:hAnsi="Palatino Linotype" w:cs="Palatino Linotype"/>
          <w:sz w:val="24"/>
          <w:szCs w:val="24"/>
        </w:rPr>
        <w:t xml:space="preserve">en la que se </w:t>
      </w:r>
      <w:r w:rsidRPr="00D444D3">
        <w:rPr>
          <w:rFonts w:ascii="Palatino Linotype" w:eastAsia="Palatino Linotype" w:hAnsi="Palatino Linotype" w:cs="Palatino Linotype"/>
          <w:color w:val="000000"/>
          <w:sz w:val="24"/>
          <w:szCs w:val="24"/>
        </w:rPr>
        <w:t>solicitó lo siguiente:</w:t>
      </w:r>
    </w:p>
    <w:p w:rsidR="00BD78D2" w:rsidRPr="00D444D3" w:rsidRDefault="00BD78D2">
      <w:pPr>
        <w:pBdr>
          <w:top w:val="nil"/>
          <w:left w:val="nil"/>
          <w:bottom w:val="nil"/>
          <w:right w:val="nil"/>
          <w:between w:val="nil"/>
        </w:pBdr>
        <w:tabs>
          <w:tab w:val="left" w:pos="426"/>
        </w:tabs>
        <w:spacing w:line="360" w:lineRule="auto"/>
        <w:ind w:right="-876"/>
        <w:jc w:val="both"/>
        <w:rPr>
          <w:rFonts w:ascii="Palatino Linotype" w:eastAsia="Palatino Linotype" w:hAnsi="Palatino Linotype" w:cs="Palatino Linotype"/>
          <w:color w:val="000000"/>
          <w:sz w:val="24"/>
          <w:szCs w:val="24"/>
        </w:rPr>
      </w:pPr>
    </w:p>
    <w:p w:rsidR="00BD78D2" w:rsidRPr="00D444D3" w:rsidRDefault="00D43BD7">
      <w:pPr>
        <w:spacing w:line="360" w:lineRule="auto"/>
        <w:ind w:left="567" w:right="-876"/>
        <w:jc w:val="both"/>
        <w:rPr>
          <w:rFonts w:ascii="Palatino Linotype" w:eastAsia="Palatino Linotype" w:hAnsi="Palatino Linotype" w:cs="Palatino Linotype"/>
          <w:i/>
          <w:iCs/>
          <w:sz w:val="24"/>
          <w:szCs w:val="24"/>
        </w:rPr>
      </w:pPr>
      <w:r w:rsidRPr="00D444D3">
        <w:rPr>
          <w:rFonts w:ascii="Palatino Linotype" w:eastAsia="Palatino Linotype" w:hAnsi="Palatino Linotype" w:cs="Palatino Linotype"/>
          <w:i/>
          <w:iCs/>
          <w:sz w:val="24"/>
          <w:szCs w:val="24"/>
        </w:rPr>
        <w:t>“me gustaria se me brinde informacion sobre como se aplica el prespuesto asignado al dif, en las diferentes areas que conforman dicha institucion. (Sic)</w:t>
      </w:r>
    </w:p>
    <w:p w:rsidR="00BD78D2" w:rsidRPr="00D444D3" w:rsidRDefault="00BD78D2">
      <w:pPr>
        <w:spacing w:line="360" w:lineRule="auto"/>
        <w:ind w:left="567" w:right="-876"/>
        <w:jc w:val="both"/>
        <w:rPr>
          <w:rFonts w:ascii="Palatino Linotype" w:eastAsia="Palatino Linotype" w:hAnsi="Palatino Linotype" w:cs="Palatino Linotype"/>
          <w:i/>
          <w:iCs/>
          <w:sz w:val="24"/>
          <w:szCs w:val="24"/>
        </w:rPr>
      </w:pPr>
    </w:p>
    <w:p w:rsidR="00BD78D2" w:rsidRPr="00D444D3" w:rsidRDefault="00D43BD7">
      <w:pPr>
        <w:numPr>
          <w:ilvl w:val="0"/>
          <w:numId w:val="5"/>
        </w:numPr>
        <w:pBdr>
          <w:top w:val="nil"/>
          <w:left w:val="nil"/>
          <w:bottom w:val="nil"/>
          <w:right w:val="nil"/>
          <w:between w:val="nil"/>
        </w:pBdr>
        <w:tabs>
          <w:tab w:val="left" w:pos="426"/>
        </w:tabs>
        <w:spacing w:line="360" w:lineRule="auto"/>
        <w:ind w:right="-876"/>
        <w:jc w:val="both"/>
        <w:rPr>
          <w:rFonts w:ascii="Palatino Linotype" w:eastAsia="Palatino Linotype" w:hAnsi="Palatino Linotype" w:cs="Palatino Linotype"/>
          <w:color w:val="000000"/>
          <w:sz w:val="24"/>
          <w:szCs w:val="24"/>
        </w:rPr>
      </w:pPr>
      <w:r w:rsidRPr="00D444D3">
        <w:rPr>
          <w:rFonts w:ascii="Palatino Linotype" w:eastAsia="Palatino Linotype" w:hAnsi="Palatino Linotype" w:cs="Palatino Linotype"/>
          <w:color w:val="000000"/>
          <w:sz w:val="24"/>
          <w:szCs w:val="24"/>
        </w:rPr>
        <w:t xml:space="preserve">Señaló como modalidad de entrega de la información a través del </w:t>
      </w:r>
      <w:r w:rsidRPr="00D444D3">
        <w:rPr>
          <w:rFonts w:ascii="Palatino Linotype" w:eastAsia="Palatino Linotype" w:hAnsi="Palatino Linotype" w:cs="Palatino Linotype"/>
          <w:b/>
          <w:bCs/>
          <w:color w:val="000000"/>
          <w:sz w:val="24"/>
          <w:szCs w:val="24"/>
        </w:rPr>
        <w:t>SAIMEX.</w:t>
      </w:r>
    </w:p>
    <w:p w:rsidR="00BD78D2" w:rsidRPr="00D444D3" w:rsidRDefault="00BD78D2">
      <w:pPr>
        <w:pBdr>
          <w:top w:val="nil"/>
          <w:left w:val="nil"/>
          <w:bottom w:val="nil"/>
          <w:right w:val="nil"/>
          <w:between w:val="nil"/>
        </w:pBdr>
        <w:tabs>
          <w:tab w:val="left" w:pos="426"/>
        </w:tabs>
        <w:spacing w:line="360" w:lineRule="auto"/>
        <w:ind w:right="-876"/>
        <w:jc w:val="both"/>
        <w:rPr>
          <w:rFonts w:ascii="Palatino Linotype" w:eastAsia="Palatino Linotype" w:hAnsi="Palatino Linotype" w:cs="Palatino Linotype"/>
          <w:color w:val="000000"/>
          <w:sz w:val="24"/>
          <w:szCs w:val="24"/>
        </w:rPr>
      </w:pPr>
    </w:p>
    <w:p w:rsidR="00BD78D2" w:rsidRPr="00D444D3" w:rsidRDefault="00D43BD7">
      <w:pPr>
        <w:numPr>
          <w:ilvl w:val="0"/>
          <w:numId w:val="3"/>
        </w:numPr>
        <w:pBdr>
          <w:top w:val="nil"/>
          <w:left w:val="nil"/>
          <w:bottom w:val="nil"/>
          <w:right w:val="nil"/>
          <w:between w:val="nil"/>
        </w:pBdr>
        <w:tabs>
          <w:tab w:val="left" w:pos="426"/>
        </w:tabs>
        <w:spacing w:line="360" w:lineRule="auto"/>
        <w:ind w:left="0" w:right="-876" w:firstLine="0"/>
        <w:jc w:val="both"/>
        <w:rPr>
          <w:rFonts w:ascii="Palatino Linotype" w:eastAsia="Palatino Linotype" w:hAnsi="Palatino Linotype" w:cs="Palatino Linotype"/>
          <w:color w:val="000000"/>
          <w:sz w:val="24"/>
          <w:szCs w:val="24"/>
        </w:rPr>
      </w:pPr>
      <w:r w:rsidRPr="00D444D3">
        <w:rPr>
          <w:rFonts w:ascii="Palatino Linotype" w:eastAsia="Palatino Linotype" w:hAnsi="Palatino Linotype" w:cs="Palatino Linotype"/>
          <w:color w:val="000000"/>
          <w:sz w:val="24"/>
          <w:szCs w:val="24"/>
        </w:rPr>
        <w:lastRenderedPageBreak/>
        <w:t xml:space="preserve">El </w:t>
      </w:r>
      <w:r w:rsidRPr="00D444D3">
        <w:rPr>
          <w:rFonts w:ascii="Palatino Linotype" w:eastAsia="Palatino Linotype" w:hAnsi="Palatino Linotype" w:cs="Palatino Linotype"/>
          <w:b/>
          <w:bCs/>
          <w:color w:val="000000"/>
          <w:sz w:val="24"/>
          <w:szCs w:val="24"/>
        </w:rPr>
        <w:t>SUJETO OBLIGADO</w:t>
      </w:r>
      <w:r w:rsidRPr="00D444D3">
        <w:rPr>
          <w:rFonts w:ascii="Palatino Linotype" w:eastAsia="Palatino Linotype" w:hAnsi="Palatino Linotype" w:cs="Palatino Linotype"/>
          <w:color w:val="000000"/>
          <w:sz w:val="24"/>
          <w:szCs w:val="24"/>
        </w:rPr>
        <w:t xml:space="preserve"> fue omiso en atender la solicitud de información. Ante la falta de respuesta, el dos de diciembre de dos mil veinticinco, el particular interpuso recurso de revisión  en el cual hace valer los siguientes motivos de inconformidad:</w:t>
      </w:r>
    </w:p>
    <w:p w:rsidR="00BD78D2" w:rsidRPr="00D444D3" w:rsidRDefault="00BD78D2">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sz w:val="24"/>
          <w:szCs w:val="24"/>
        </w:rPr>
      </w:pPr>
    </w:p>
    <w:p w:rsidR="00BD78D2" w:rsidRPr="00D444D3" w:rsidRDefault="00D43BD7">
      <w:pPr>
        <w:numPr>
          <w:ilvl w:val="0"/>
          <w:numId w:val="2"/>
        </w:numPr>
        <w:pBdr>
          <w:top w:val="nil"/>
          <w:left w:val="nil"/>
          <w:bottom w:val="nil"/>
          <w:right w:val="nil"/>
          <w:between w:val="nil"/>
        </w:pBdr>
        <w:tabs>
          <w:tab w:val="left" w:pos="426"/>
        </w:tabs>
        <w:spacing w:line="360" w:lineRule="auto"/>
        <w:ind w:left="992" w:right="-876"/>
        <w:jc w:val="both"/>
        <w:rPr>
          <w:rFonts w:ascii="Palatino Linotype" w:eastAsia="Palatino Linotype" w:hAnsi="Palatino Linotype" w:cs="Palatino Linotype"/>
          <w:b/>
          <w:bCs/>
          <w:color w:val="000000"/>
          <w:sz w:val="24"/>
          <w:szCs w:val="24"/>
        </w:rPr>
      </w:pPr>
      <w:r w:rsidRPr="00D444D3">
        <w:rPr>
          <w:rFonts w:ascii="Palatino Linotype" w:eastAsia="Palatino Linotype" w:hAnsi="Palatino Linotype" w:cs="Palatino Linotype"/>
          <w:b/>
          <w:bCs/>
          <w:color w:val="000000"/>
          <w:sz w:val="24"/>
          <w:szCs w:val="24"/>
        </w:rPr>
        <w:t>Acto Impugnado:</w:t>
      </w:r>
    </w:p>
    <w:p w:rsidR="00BD78D2" w:rsidRPr="00D444D3" w:rsidRDefault="00D43BD7">
      <w:pPr>
        <w:pBdr>
          <w:top w:val="nil"/>
          <w:left w:val="nil"/>
          <w:bottom w:val="nil"/>
          <w:right w:val="nil"/>
          <w:between w:val="nil"/>
        </w:pBdr>
        <w:tabs>
          <w:tab w:val="left" w:pos="426"/>
        </w:tabs>
        <w:spacing w:line="360" w:lineRule="auto"/>
        <w:ind w:left="720" w:right="-876"/>
        <w:jc w:val="both"/>
        <w:rPr>
          <w:rFonts w:ascii="Palatino Linotype" w:eastAsia="Palatino Linotype" w:hAnsi="Palatino Linotype" w:cs="Palatino Linotype"/>
          <w:i/>
          <w:iCs/>
          <w:color w:val="000000"/>
          <w:sz w:val="24"/>
          <w:szCs w:val="24"/>
        </w:rPr>
      </w:pPr>
      <w:r w:rsidRPr="00D444D3">
        <w:rPr>
          <w:rFonts w:ascii="Palatino Linotype" w:eastAsia="Palatino Linotype" w:hAnsi="Palatino Linotype" w:cs="Palatino Linotype"/>
          <w:i/>
          <w:iCs/>
          <w:color w:val="000000"/>
          <w:sz w:val="24"/>
          <w:szCs w:val="24"/>
        </w:rPr>
        <w:t>“no dio contestacion a la solicitud” (Sic).</w:t>
      </w:r>
    </w:p>
    <w:p w:rsidR="00BD78D2" w:rsidRPr="00D444D3" w:rsidRDefault="00BD78D2">
      <w:pPr>
        <w:pBdr>
          <w:top w:val="nil"/>
          <w:left w:val="nil"/>
          <w:bottom w:val="nil"/>
          <w:right w:val="nil"/>
          <w:between w:val="nil"/>
        </w:pBdr>
        <w:tabs>
          <w:tab w:val="left" w:pos="426"/>
        </w:tabs>
        <w:spacing w:line="360" w:lineRule="auto"/>
        <w:ind w:left="720" w:right="-876"/>
        <w:jc w:val="both"/>
        <w:rPr>
          <w:rFonts w:ascii="Palatino Linotype" w:eastAsia="Palatino Linotype" w:hAnsi="Palatino Linotype" w:cs="Palatino Linotype"/>
          <w:i/>
          <w:iCs/>
          <w:sz w:val="24"/>
          <w:szCs w:val="24"/>
        </w:rPr>
      </w:pPr>
    </w:p>
    <w:p w:rsidR="00BD78D2" w:rsidRPr="00D444D3" w:rsidRDefault="00D43BD7">
      <w:pPr>
        <w:numPr>
          <w:ilvl w:val="0"/>
          <w:numId w:val="1"/>
        </w:numPr>
        <w:pBdr>
          <w:top w:val="nil"/>
          <w:left w:val="nil"/>
          <w:bottom w:val="nil"/>
          <w:right w:val="nil"/>
          <w:between w:val="nil"/>
        </w:pBdr>
        <w:tabs>
          <w:tab w:val="left" w:pos="426"/>
        </w:tabs>
        <w:spacing w:line="360" w:lineRule="auto"/>
        <w:ind w:left="992" w:right="-876"/>
        <w:jc w:val="both"/>
        <w:rPr>
          <w:rFonts w:ascii="Palatino Linotype" w:eastAsia="Palatino Linotype" w:hAnsi="Palatino Linotype" w:cs="Palatino Linotype"/>
          <w:b/>
          <w:bCs/>
          <w:color w:val="000000"/>
          <w:sz w:val="24"/>
          <w:szCs w:val="24"/>
        </w:rPr>
      </w:pPr>
      <w:r w:rsidRPr="00D444D3">
        <w:rPr>
          <w:rFonts w:ascii="Palatino Linotype" w:eastAsia="Palatino Linotype" w:hAnsi="Palatino Linotype" w:cs="Palatino Linotype"/>
          <w:b/>
          <w:bCs/>
          <w:color w:val="000000"/>
          <w:sz w:val="24"/>
          <w:szCs w:val="24"/>
        </w:rPr>
        <w:t>Razones o Motivos de Inconformidad:</w:t>
      </w:r>
    </w:p>
    <w:p w:rsidR="00BD78D2" w:rsidRPr="00D444D3" w:rsidRDefault="00D43BD7">
      <w:pPr>
        <w:pBdr>
          <w:top w:val="nil"/>
          <w:left w:val="nil"/>
          <w:bottom w:val="nil"/>
          <w:right w:val="nil"/>
          <w:between w:val="nil"/>
        </w:pBdr>
        <w:tabs>
          <w:tab w:val="left" w:pos="426"/>
        </w:tabs>
        <w:spacing w:line="360" w:lineRule="auto"/>
        <w:ind w:left="720" w:right="-876"/>
        <w:jc w:val="both"/>
        <w:rPr>
          <w:rFonts w:ascii="Palatino Linotype" w:eastAsia="Palatino Linotype" w:hAnsi="Palatino Linotype" w:cs="Palatino Linotype"/>
          <w:i/>
          <w:iCs/>
          <w:color w:val="000000"/>
          <w:sz w:val="24"/>
          <w:szCs w:val="24"/>
        </w:rPr>
      </w:pPr>
      <w:r w:rsidRPr="00D444D3">
        <w:rPr>
          <w:rFonts w:ascii="Palatino Linotype" w:eastAsia="Palatino Linotype" w:hAnsi="Palatino Linotype" w:cs="Palatino Linotype"/>
          <w:i/>
          <w:iCs/>
          <w:color w:val="000000"/>
          <w:sz w:val="24"/>
          <w:szCs w:val="24"/>
        </w:rPr>
        <w:t>“no dio contestacion a la solicitud de informacionj” (Sic)</w:t>
      </w:r>
    </w:p>
    <w:p w:rsidR="00BD78D2" w:rsidRPr="00D444D3" w:rsidRDefault="00BD78D2">
      <w:pPr>
        <w:pBdr>
          <w:top w:val="nil"/>
          <w:left w:val="nil"/>
          <w:bottom w:val="nil"/>
          <w:right w:val="nil"/>
          <w:between w:val="nil"/>
        </w:pBdr>
        <w:tabs>
          <w:tab w:val="left" w:pos="426"/>
        </w:tabs>
        <w:spacing w:line="360" w:lineRule="auto"/>
        <w:ind w:left="720" w:right="-876"/>
        <w:jc w:val="both"/>
        <w:rPr>
          <w:rFonts w:ascii="Palatino Linotype" w:eastAsia="Palatino Linotype" w:hAnsi="Palatino Linotype" w:cs="Palatino Linotype"/>
          <w:color w:val="000000"/>
          <w:sz w:val="24"/>
          <w:szCs w:val="24"/>
        </w:rPr>
      </w:pPr>
    </w:p>
    <w:p w:rsidR="00BD78D2" w:rsidRPr="00D444D3" w:rsidRDefault="00D43BD7">
      <w:pPr>
        <w:numPr>
          <w:ilvl w:val="0"/>
          <w:numId w:val="3"/>
        </w:numPr>
        <w:pBdr>
          <w:top w:val="nil"/>
          <w:left w:val="nil"/>
          <w:bottom w:val="nil"/>
          <w:right w:val="nil"/>
          <w:between w:val="nil"/>
        </w:pBdr>
        <w:tabs>
          <w:tab w:val="left" w:pos="426"/>
        </w:tabs>
        <w:spacing w:line="360" w:lineRule="auto"/>
        <w:ind w:left="0" w:right="-876" w:firstLine="0"/>
        <w:jc w:val="both"/>
        <w:rPr>
          <w:rFonts w:ascii="Palatino Linotype" w:eastAsia="Palatino Linotype" w:hAnsi="Palatino Linotype" w:cs="Palatino Linotype"/>
          <w:color w:val="000000"/>
          <w:sz w:val="24"/>
          <w:szCs w:val="24"/>
        </w:rPr>
      </w:pPr>
      <w:r w:rsidRPr="00D444D3">
        <w:rPr>
          <w:rFonts w:ascii="Palatino Linotype" w:eastAsia="Palatino Linotype" w:hAnsi="Palatino Linotype" w:cs="Palatino Linotype"/>
          <w:color w:val="000000"/>
          <w:sz w:val="24"/>
          <w:szCs w:val="24"/>
        </w:rPr>
        <w:t xml:space="preserve">Se registró el recurso de revisión bajo el número de expediente </w:t>
      </w:r>
      <w:r w:rsidRPr="00D444D3">
        <w:rPr>
          <w:rFonts w:ascii="Palatino Linotype" w:eastAsia="Palatino Linotype" w:hAnsi="Palatino Linotype" w:cs="Palatino Linotype"/>
          <w:b/>
          <w:bCs/>
          <w:color w:val="000000"/>
          <w:sz w:val="24"/>
          <w:szCs w:val="24"/>
        </w:rPr>
        <w:t>13378/INFOEM/IP/RR/2025</w:t>
      </w:r>
      <w:r w:rsidRPr="00D444D3">
        <w:rPr>
          <w:rFonts w:ascii="Palatino Linotype" w:eastAsia="Palatino Linotype" w:hAnsi="Palatino Linotype" w:cs="Palatino Linotype"/>
          <w:color w:val="000000"/>
          <w:sz w:val="24"/>
          <w:szCs w:val="24"/>
        </w:rPr>
        <w:t xml:space="preserve">, asimismo con fundamento en lo dispuesto por el artículo 185, fracción I, de la </w:t>
      </w:r>
      <w:r w:rsidRPr="00D444D3">
        <w:rPr>
          <w:rFonts w:ascii="Palatino Linotype" w:eastAsia="Palatino Linotype" w:hAnsi="Palatino Linotype" w:cs="Palatino Linotype"/>
          <w:b/>
          <w:bCs/>
          <w:color w:val="000000"/>
          <w:sz w:val="24"/>
          <w:szCs w:val="24"/>
        </w:rPr>
        <w:t xml:space="preserve">Ley de Transparencia y Acceso a la Información Pública del Estado de México y Municipios </w:t>
      </w:r>
      <w:r w:rsidRPr="00D444D3">
        <w:rPr>
          <w:rFonts w:ascii="Palatino Linotype" w:eastAsia="Palatino Linotype" w:hAnsi="Palatino Linotype" w:cs="Palatino Linotype"/>
          <w:color w:val="000000"/>
          <w:sz w:val="24"/>
          <w:szCs w:val="24"/>
        </w:rPr>
        <w:t xml:space="preserve">se turnó a la </w:t>
      </w:r>
      <w:r w:rsidRPr="00D444D3">
        <w:rPr>
          <w:rFonts w:ascii="Palatino Linotype" w:eastAsia="Palatino Linotype" w:hAnsi="Palatino Linotype" w:cs="Palatino Linotype"/>
          <w:b/>
          <w:bCs/>
          <w:color w:val="000000"/>
          <w:sz w:val="24"/>
          <w:szCs w:val="24"/>
        </w:rPr>
        <w:t xml:space="preserve">Comisionada María del Rosario Mejía Ayala, </w:t>
      </w:r>
      <w:r w:rsidRPr="00D444D3">
        <w:rPr>
          <w:rFonts w:ascii="Palatino Linotype" w:eastAsia="Palatino Linotype" w:hAnsi="Palatino Linotype" w:cs="Palatino Linotype"/>
          <w:sz w:val="24"/>
          <w:szCs w:val="24"/>
        </w:rPr>
        <w:t>para</w:t>
      </w:r>
      <w:r w:rsidRPr="00D444D3">
        <w:rPr>
          <w:rFonts w:ascii="Palatino Linotype" w:eastAsia="Palatino Linotype" w:hAnsi="Palatino Linotype" w:cs="Palatino Linotype"/>
          <w:color w:val="000000"/>
          <w:sz w:val="24"/>
          <w:szCs w:val="24"/>
        </w:rPr>
        <w:t xml:space="preserve"> su análisis.</w:t>
      </w:r>
    </w:p>
    <w:p w:rsidR="00BD78D2" w:rsidRPr="00D444D3" w:rsidRDefault="00BD78D2">
      <w:pPr>
        <w:pBdr>
          <w:top w:val="nil"/>
          <w:left w:val="nil"/>
          <w:bottom w:val="nil"/>
          <w:right w:val="nil"/>
          <w:between w:val="nil"/>
        </w:pBdr>
        <w:tabs>
          <w:tab w:val="left" w:pos="426"/>
        </w:tabs>
        <w:spacing w:line="360" w:lineRule="auto"/>
        <w:ind w:right="-876"/>
        <w:jc w:val="both"/>
        <w:rPr>
          <w:rFonts w:ascii="Palatino Linotype" w:eastAsia="Palatino Linotype" w:hAnsi="Palatino Linotype" w:cs="Palatino Linotype"/>
          <w:color w:val="000000"/>
          <w:sz w:val="24"/>
          <w:szCs w:val="24"/>
        </w:rPr>
      </w:pPr>
    </w:p>
    <w:p w:rsidR="00BD78D2" w:rsidRPr="00D444D3" w:rsidRDefault="00D43BD7">
      <w:pPr>
        <w:numPr>
          <w:ilvl w:val="0"/>
          <w:numId w:val="3"/>
        </w:numPr>
        <w:pBdr>
          <w:top w:val="nil"/>
          <w:left w:val="nil"/>
          <w:bottom w:val="nil"/>
          <w:right w:val="nil"/>
          <w:between w:val="nil"/>
        </w:pBdr>
        <w:tabs>
          <w:tab w:val="left" w:pos="284"/>
          <w:tab w:val="left" w:pos="426"/>
        </w:tabs>
        <w:spacing w:line="360" w:lineRule="auto"/>
        <w:ind w:left="0" w:right="-876" w:firstLine="0"/>
        <w:jc w:val="both"/>
        <w:rPr>
          <w:rFonts w:ascii="Palatino Linotype" w:eastAsia="Palatino Linotype" w:hAnsi="Palatino Linotype" w:cs="Palatino Linotype"/>
          <w:color w:val="000000"/>
          <w:sz w:val="24"/>
          <w:szCs w:val="24"/>
        </w:rPr>
      </w:pPr>
      <w:r w:rsidRPr="00D444D3">
        <w:rPr>
          <w:rFonts w:ascii="Palatino Linotype" w:eastAsia="Palatino Linotype" w:hAnsi="Palatino Linotype" w:cs="Palatino Linotype"/>
          <w:color w:val="000000"/>
          <w:sz w:val="24"/>
          <w:szCs w:val="24"/>
        </w:rPr>
        <w:t xml:space="preserve">La Comisionada Ponente con fundamento en lo dispuesto por el artículo 185 fracción II de la ley de la materia, a través del </w:t>
      </w:r>
      <w:r w:rsidRPr="00D444D3">
        <w:rPr>
          <w:rFonts w:ascii="Palatino Linotype" w:eastAsia="Palatino Linotype" w:hAnsi="Palatino Linotype" w:cs="Palatino Linotype"/>
          <w:b/>
          <w:bCs/>
          <w:color w:val="000000"/>
          <w:sz w:val="24"/>
          <w:szCs w:val="24"/>
        </w:rPr>
        <w:t>acuerdo de admisión</w:t>
      </w:r>
      <w:r w:rsidRPr="00D444D3">
        <w:rPr>
          <w:rFonts w:ascii="Palatino Linotype" w:eastAsia="Palatino Linotype" w:hAnsi="Palatino Linotype" w:cs="Palatino Linotype"/>
          <w:color w:val="000000"/>
          <w:sz w:val="24"/>
          <w:szCs w:val="24"/>
        </w:rPr>
        <w:t xml:space="preserve"> de ocho de diciembre de dos mil veinticinco, puso a disposición de las partes el expediente electrónico vía </w:t>
      </w:r>
      <w:r w:rsidRPr="00D444D3">
        <w:rPr>
          <w:rFonts w:ascii="Palatino Linotype" w:eastAsia="Palatino Linotype" w:hAnsi="Palatino Linotype" w:cs="Palatino Linotype"/>
          <w:b/>
          <w:bCs/>
          <w:color w:val="000000"/>
          <w:sz w:val="24"/>
          <w:szCs w:val="24"/>
        </w:rPr>
        <w:t xml:space="preserve">SAIMEX </w:t>
      </w:r>
      <w:r w:rsidRPr="00D444D3">
        <w:rPr>
          <w:rFonts w:ascii="Palatino Linotype" w:eastAsia="Palatino Linotype" w:hAnsi="Palatino Linotype" w:cs="Palatino Linotype"/>
          <w:color w:val="000000"/>
          <w:sz w:val="24"/>
          <w:szCs w:val="24"/>
        </w:rPr>
        <w:t xml:space="preserve">a efecto de que en un plazo máximo de siete días </w:t>
      </w:r>
      <w:r w:rsidRPr="00D444D3">
        <w:rPr>
          <w:rFonts w:ascii="Palatino Linotype" w:eastAsia="Palatino Linotype" w:hAnsi="Palatino Linotype" w:cs="Palatino Linotype"/>
          <w:sz w:val="24"/>
          <w:szCs w:val="24"/>
        </w:rPr>
        <w:t>manifestara</w:t>
      </w:r>
      <w:r w:rsidRPr="00D444D3">
        <w:rPr>
          <w:rFonts w:ascii="Palatino Linotype" w:eastAsia="Palatino Linotype" w:hAnsi="Palatino Linotype" w:cs="Palatino Linotype"/>
          <w:color w:val="000000"/>
          <w:sz w:val="24"/>
          <w:szCs w:val="24"/>
        </w:rPr>
        <w:t xml:space="preserve"> lo que a derecho </w:t>
      </w:r>
      <w:r w:rsidRPr="00D444D3">
        <w:rPr>
          <w:rFonts w:ascii="Palatino Linotype" w:eastAsia="Palatino Linotype" w:hAnsi="Palatino Linotype" w:cs="Palatino Linotype"/>
          <w:sz w:val="24"/>
          <w:szCs w:val="24"/>
        </w:rPr>
        <w:t>conviniera</w:t>
      </w:r>
      <w:r w:rsidRPr="00D444D3">
        <w:rPr>
          <w:rFonts w:ascii="Palatino Linotype" w:eastAsia="Palatino Linotype" w:hAnsi="Palatino Linotype" w:cs="Palatino Linotype"/>
          <w:color w:val="000000"/>
          <w:sz w:val="24"/>
          <w:szCs w:val="24"/>
        </w:rPr>
        <w:t xml:space="preserve">, </w:t>
      </w:r>
      <w:r w:rsidRPr="00D444D3">
        <w:rPr>
          <w:rFonts w:ascii="Palatino Linotype" w:eastAsia="Palatino Linotype" w:hAnsi="Palatino Linotype" w:cs="Palatino Linotype"/>
          <w:sz w:val="24"/>
          <w:szCs w:val="24"/>
        </w:rPr>
        <w:t>ofreciera</w:t>
      </w:r>
      <w:r w:rsidRPr="00D444D3">
        <w:rPr>
          <w:rFonts w:ascii="Palatino Linotype" w:eastAsia="Palatino Linotype" w:hAnsi="Palatino Linotype" w:cs="Palatino Linotype"/>
          <w:color w:val="000000"/>
          <w:sz w:val="24"/>
          <w:szCs w:val="24"/>
        </w:rPr>
        <w:t xml:space="preserve"> pruebas y alegatos según corresponda al caso concreto, de esta forma para que el </w:t>
      </w:r>
      <w:r w:rsidRPr="00D444D3">
        <w:rPr>
          <w:rFonts w:ascii="Palatino Linotype" w:eastAsia="Palatino Linotype" w:hAnsi="Palatino Linotype" w:cs="Palatino Linotype"/>
          <w:b/>
          <w:bCs/>
          <w:color w:val="000000"/>
          <w:sz w:val="24"/>
          <w:szCs w:val="24"/>
        </w:rPr>
        <w:t>SUJETO OBLIGADO</w:t>
      </w:r>
      <w:r w:rsidRPr="00D444D3">
        <w:rPr>
          <w:rFonts w:ascii="Palatino Linotype" w:eastAsia="Palatino Linotype" w:hAnsi="Palatino Linotype" w:cs="Palatino Linotype"/>
          <w:color w:val="000000"/>
          <w:sz w:val="24"/>
          <w:szCs w:val="24"/>
        </w:rPr>
        <w:t xml:space="preserve"> </w:t>
      </w:r>
      <w:r w:rsidRPr="00D444D3">
        <w:rPr>
          <w:rFonts w:ascii="Palatino Linotype" w:eastAsia="Palatino Linotype" w:hAnsi="Palatino Linotype" w:cs="Palatino Linotype"/>
          <w:sz w:val="24"/>
          <w:szCs w:val="24"/>
        </w:rPr>
        <w:t>presentará</w:t>
      </w:r>
      <w:r w:rsidRPr="00D444D3">
        <w:rPr>
          <w:rFonts w:ascii="Palatino Linotype" w:eastAsia="Palatino Linotype" w:hAnsi="Palatino Linotype" w:cs="Palatino Linotype"/>
          <w:color w:val="000000"/>
          <w:sz w:val="24"/>
          <w:szCs w:val="24"/>
        </w:rPr>
        <w:t xml:space="preserve"> el informe justificado procedente.</w:t>
      </w:r>
    </w:p>
    <w:p w:rsidR="00BD78D2" w:rsidRPr="00D444D3" w:rsidRDefault="00BD78D2">
      <w:pPr>
        <w:pBdr>
          <w:top w:val="nil"/>
          <w:left w:val="nil"/>
          <w:bottom w:val="nil"/>
          <w:right w:val="nil"/>
          <w:between w:val="nil"/>
        </w:pBdr>
        <w:tabs>
          <w:tab w:val="left" w:pos="284"/>
          <w:tab w:val="left" w:pos="426"/>
        </w:tabs>
        <w:spacing w:line="360" w:lineRule="auto"/>
        <w:ind w:right="-876"/>
        <w:jc w:val="both"/>
        <w:rPr>
          <w:rFonts w:ascii="Palatino Linotype" w:eastAsia="Palatino Linotype" w:hAnsi="Palatino Linotype" w:cs="Palatino Linotype"/>
          <w:i/>
          <w:iCs/>
          <w:color w:val="000000"/>
          <w:sz w:val="24"/>
          <w:szCs w:val="24"/>
        </w:rPr>
      </w:pPr>
    </w:p>
    <w:p w:rsidR="00BD78D2" w:rsidRPr="00D444D3" w:rsidRDefault="00D43BD7">
      <w:pPr>
        <w:numPr>
          <w:ilvl w:val="0"/>
          <w:numId w:val="3"/>
        </w:numPr>
        <w:pBdr>
          <w:top w:val="nil"/>
          <w:left w:val="nil"/>
          <w:bottom w:val="nil"/>
          <w:right w:val="nil"/>
          <w:between w:val="nil"/>
        </w:pBdr>
        <w:tabs>
          <w:tab w:val="left" w:pos="426"/>
        </w:tabs>
        <w:spacing w:line="360" w:lineRule="auto"/>
        <w:ind w:left="0" w:right="-876" w:firstLine="0"/>
        <w:jc w:val="both"/>
        <w:rPr>
          <w:rFonts w:ascii="Palatino Linotype" w:eastAsia="Palatino Linotype" w:hAnsi="Palatino Linotype" w:cs="Palatino Linotype"/>
          <w:color w:val="000000"/>
          <w:sz w:val="24"/>
          <w:szCs w:val="24"/>
        </w:rPr>
      </w:pPr>
      <w:r w:rsidRPr="00D444D3">
        <w:rPr>
          <w:rFonts w:ascii="Palatino Linotype" w:eastAsia="Palatino Linotype" w:hAnsi="Palatino Linotype" w:cs="Palatino Linotype"/>
          <w:color w:val="000000"/>
          <w:sz w:val="24"/>
          <w:szCs w:val="24"/>
        </w:rPr>
        <w:lastRenderedPageBreak/>
        <w:t xml:space="preserve">El particular fue omiso en realizar manifestaciones que  a su derecho conviniera y asistiera. Por su parte el </w:t>
      </w:r>
      <w:r w:rsidRPr="00D444D3">
        <w:rPr>
          <w:rFonts w:ascii="Palatino Linotype" w:eastAsia="Palatino Linotype" w:hAnsi="Palatino Linotype" w:cs="Palatino Linotype"/>
          <w:b/>
          <w:bCs/>
          <w:color w:val="000000"/>
          <w:sz w:val="24"/>
          <w:szCs w:val="24"/>
        </w:rPr>
        <w:t xml:space="preserve">SUJETO OBLIGADO </w:t>
      </w:r>
      <w:r w:rsidRPr="00D444D3">
        <w:rPr>
          <w:rFonts w:ascii="Palatino Linotype" w:eastAsia="Palatino Linotype" w:hAnsi="Palatino Linotype" w:cs="Palatino Linotype"/>
          <w:color w:val="000000"/>
          <w:sz w:val="24"/>
          <w:szCs w:val="24"/>
        </w:rPr>
        <w:t>no rindió el informe justificado correspondiente.</w:t>
      </w:r>
    </w:p>
    <w:p w:rsidR="00BD78D2" w:rsidRPr="00D444D3" w:rsidRDefault="00BD78D2">
      <w:pPr>
        <w:pBdr>
          <w:top w:val="nil"/>
          <w:left w:val="nil"/>
          <w:bottom w:val="nil"/>
          <w:right w:val="nil"/>
          <w:between w:val="nil"/>
        </w:pBdr>
        <w:spacing w:line="360" w:lineRule="auto"/>
        <w:ind w:left="720" w:right="-876"/>
        <w:rPr>
          <w:rFonts w:ascii="Palatino Linotype" w:eastAsia="Palatino Linotype" w:hAnsi="Palatino Linotype" w:cs="Palatino Linotype"/>
          <w:color w:val="000000"/>
          <w:sz w:val="24"/>
          <w:szCs w:val="24"/>
        </w:rPr>
      </w:pPr>
    </w:p>
    <w:p w:rsidR="00BD78D2" w:rsidRPr="00D444D3" w:rsidRDefault="00D43BD7">
      <w:pPr>
        <w:numPr>
          <w:ilvl w:val="0"/>
          <w:numId w:val="3"/>
        </w:numPr>
        <w:pBdr>
          <w:top w:val="nil"/>
          <w:left w:val="nil"/>
          <w:bottom w:val="nil"/>
          <w:right w:val="nil"/>
          <w:between w:val="nil"/>
        </w:pBdr>
        <w:tabs>
          <w:tab w:val="left" w:pos="426"/>
        </w:tabs>
        <w:spacing w:line="360" w:lineRule="auto"/>
        <w:ind w:left="0" w:right="-876" w:firstLine="0"/>
        <w:jc w:val="both"/>
        <w:rPr>
          <w:rFonts w:ascii="Palatino Linotype" w:eastAsia="Palatino Linotype" w:hAnsi="Palatino Linotype" w:cs="Palatino Linotype"/>
          <w:color w:val="000000"/>
          <w:sz w:val="24"/>
          <w:szCs w:val="24"/>
        </w:rPr>
      </w:pPr>
      <w:r w:rsidRPr="00D444D3">
        <w:rPr>
          <w:rFonts w:ascii="Palatino Linotype" w:eastAsia="Palatino Linotype" w:hAnsi="Palatino Linotype" w:cs="Palatino Linotype"/>
          <w:color w:val="000000"/>
          <w:sz w:val="24"/>
          <w:szCs w:val="24"/>
        </w:rPr>
        <w:t xml:space="preserve">El dieciocho de diciembre de dos mil veinticinco, la Comisionada Ponente decretó el </w:t>
      </w:r>
      <w:r w:rsidRPr="00D444D3">
        <w:rPr>
          <w:rFonts w:ascii="Palatino Linotype" w:eastAsia="Palatino Linotype" w:hAnsi="Palatino Linotype" w:cs="Palatino Linotype"/>
          <w:b/>
          <w:bCs/>
          <w:color w:val="000000"/>
          <w:sz w:val="24"/>
          <w:szCs w:val="24"/>
        </w:rPr>
        <w:t>cierre de instrucción</w:t>
      </w:r>
      <w:r w:rsidRPr="00D444D3">
        <w:rPr>
          <w:rFonts w:ascii="Palatino Linotype" w:eastAsia="Palatino Linotype" w:hAnsi="Palatino Linotype" w:cs="Palatino Linotype"/>
          <w:color w:val="000000"/>
          <w:sz w:val="24"/>
          <w:szCs w:val="24"/>
        </w:rPr>
        <w:t>. Por lo que turnó la presente resolución para su aprobación.</w:t>
      </w:r>
    </w:p>
    <w:p w:rsidR="00BD78D2" w:rsidRPr="00D444D3" w:rsidRDefault="00BD78D2">
      <w:pPr>
        <w:spacing w:line="360" w:lineRule="auto"/>
        <w:ind w:right="-876"/>
        <w:rPr>
          <w:rFonts w:ascii="Palatino Linotype" w:eastAsia="Palatino Linotype" w:hAnsi="Palatino Linotype" w:cs="Palatino Linotype"/>
          <w:sz w:val="24"/>
          <w:szCs w:val="24"/>
        </w:rPr>
      </w:pPr>
    </w:p>
    <w:p w:rsidR="00BD78D2" w:rsidRPr="00D444D3" w:rsidRDefault="00D43BD7">
      <w:pPr>
        <w:numPr>
          <w:ilvl w:val="0"/>
          <w:numId w:val="3"/>
        </w:numPr>
        <w:pBdr>
          <w:top w:val="nil"/>
          <w:left w:val="nil"/>
          <w:bottom w:val="nil"/>
          <w:right w:val="nil"/>
          <w:between w:val="nil"/>
        </w:pBdr>
        <w:tabs>
          <w:tab w:val="left" w:pos="426"/>
        </w:tabs>
        <w:spacing w:line="360" w:lineRule="auto"/>
        <w:ind w:left="0" w:right="-876" w:firstLine="0"/>
        <w:jc w:val="both"/>
        <w:rPr>
          <w:rFonts w:ascii="Palatino Linotype" w:eastAsia="Palatino Linotype" w:hAnsi="Palatino Linotype" w:cs="Palatino Linotype"/>
          <w:color w:val="000000"/>
          <w:sz w:val="24"/>
          <w:szCs w:val="24"/>
        </w:rPr>
      </w:pPr>
      <w:r w:rsidRPr="00D444D3">
        <w:rPr>
          <w:rFonts w:ascii="Palatino Linotype" w:eastAsia="Palatino Linotype" w:hAnsi="Palatino Linotype" w:cs="Palatino Linotype"/>
          <w:color w:val="000000"/>
          <w:sz w:val="24"/>
          <w:szCs w:val="24"/>
        </w:rPr>
        <w:t xml:space="preserve">El diecinueve de enero de dos mil veintiséis, se notificó a las partes la Resolución recaída al Recurso de Revisión </w:t>
      </w:r>
      <w:r w:rsidRPr="00D444D3">
        <w:rPr>
          <w:rFonts w:ascii="Palatino Linotype" w:eastAsia="Palatino Linotype" w:hAnsi="Palatino Linotype" w:cs="Palatino Linotype"/>
          <w:b/>
          <w:bCs/>
          <w:color w:val="000000"/>
          <w:sz w:val="24"/>
          <w:szCs w:val="24"/>
        </w:rPr>
        <w:t>13378/INFOEM/IP/RR/2025</w:t>
      </w:r>
      <w:r w:rsidRPr="00D444D3">
        <w:rPr>
          <w:rFonts w:ascii="Palatino Linotype" w:eastAsia="Palatino Linotype" w:hAnsi="Palatino Linotype" w:cs="Palatino Linotype"/>
          <w:color w:val="000000"/>
          <w:sz w:val="24"/>
          <w:szCs w:val="24"/>
        </w:rPr>
        <w:t>, vía SAIMEX.</w:t>
      </w:r>
    </w:p>
    <w:p w:rsidR="00BD78D2" w:rsidRPr="00D444D3" w:rsidRDefault="00BD78D2">
      <w:pPr>
        <w:pBdr>
          <w:top w:val="nil"/>
          <w:left w:val="nil"/>
          <w:bottom w:val="nil"/>
          <w:right w:val="nil"/>
          <w:between w:val="nil"/>
        </w:pBdr>
        <w:ind w:left="720" w:right="-876"/>
        <w:rPr>
          <w:rFonts w:ascii="Palatino Linotype" w:eastAsia="Palatino Linotype" w:hAnsi="Palatino Linotype" w:cs="Palatino Linotype"/>
          <w:color w:val="000000"/>
          <w:sz w:val="24"/>
          <w:szCs w:val="24"/>
        </w:rPr>
      </w:pPr>
    </w:p>
    <w:p w:rsidR="00BD78D2" w:rsidRPr="00D444D3" w:rsidRDefault="00D43BD7">
      <w:pPr>
        <w:numPr>
          <w:ilvl w:val="0"/>
          <w:numId w:val="3"/>
        </w:numPr>
        <w:pBdr>
          <w:top w:val="nil"/>
          <w:left w:val="nil"/>
          <w:bottom w:val="nil"/>
          <w:right w:val="nil"/>
          <w:between w:val="nil"/>
        </w:pBdr>
        <w:tabs>
          <w:tab w:val="left" w:pos="426"/>
        </w:tabs>
        <w:spacing w:line="360" w:lineRule="auto"/>
        <w:ind w:left="0" w:right="-876" w:firstLine="0"/>
        <w:jc w:val="both"/>
        <w:rPr>
          <w:rFonts w:ascii="Palatino Linotype" w:eastAsia="Palatino Linotype" w:hAnsi="Palatino Linotype" w:cs="Palatino Linotype"/>
          <w:color w:val="000000"/>
          <w:sz w:val="24"/>
          <w:szCs w:val="24"/>
        </w:rPr>
      </w:pPr>
      <w:r w:rsidRPr="00D444D3">
        <w:rPr>
          <w:rFonts w:ascii="Palatino Linotype" w:eastAsia="Palatino Linotype" w:hAnsi="Palatino Linotype" w:cs="Palatino Linotype"/>
          <w:color w:val="000000"/>
          <w:sz w:val="24"/>
          <w:szCs w:val="24"/>
        </w:rPr>
        <w:t xml:space="preserve">Ante el incumplimiento de la Resolución notificada, el diez de febrero de dos mil veintiséis, la </w:t>
      </w:r>
      <w:r w:rsidRPr="00D444D3">
        <w:rPr>
          <w:rFonts w:ascii="Palatino Linotype" w:eastAsia="Palatino Linotype" w:hAnsi="Palatino Linotype" w:cs="Palatino Linotype"/>
          <w:b/>
          <w:bCs/>
          <w:color w:val="000000"/>
          <w:sz w:val="24"/>
          <w:szCs w:val="24"/>
        </w:rPr>
        <w:t>Dirección de Cumplimientos</w:t>
      </w:r>
      <w:r w:rsidRPr="00D444D3">
        <w:rPr>
          <w:rFonts w:ascii="Palatino Linotype" w:eastAsia="Palatino Linotype" w:hAnsi="Palatino Linotype" w:cs="Palatino Linotype"/>
          <w:color w:val="000000"/>
          <w:sz w:val="24"/>
          <w:szCs w:val="24"/>
        </w:rPr>
        <w:t xml:space="preserve"> de este Instituto, notificó el </w:t>
      </w:r>
      <w:r w:rsidRPr="00D444D3">
        <w:rPr>
          <w:rFonts w:ascii="Palatino Linotype" w:eastAsia="Palatino Linotype" w:hAnsi="Palatino Linotype" w:cs="Palatino Linotype"/>
          <w:b/>
          <w:bCs/>
          <w:color w:val="000000"/>
          <w:sz w:val="24"/>
          <w:szCs w:val="24"/>
        </w:rPr>
        <w:t>acuerdo de incumplimiento</w:t>
      </w:r>
      <w:r w:rsidRPr="00D444D3">
        <w:rPr>
          <w:rFonts w:ascii="Palatino Linotype" w:eastAsia="Palatino Linotype" w:hAnsi="Palatino Linotype" w:cs="Palatino Linotype"/>
          <w:color w:val="000000"/>
          <w:sz w:val="24"/>
          <w:szCs w:val="24"/>
        </w:rPr>
        <w:t xml:space="preserve"> a la resolución emitida al recurso de revisión y ordenó al Departamento de Medidas de Apremio de la Dirección de Cumplimientos de este Instituto, a efecto de que integre la calificación de la gravedad de la falta.</w:t>
      </w:r>
    </w:p>
    <w:p w:rsidR="00BD78D2" w:rsidRPr="00D444D3" w:rsidRDefault="00BD78D2">
      <w:pPr>
        <w:pBdr>
          <w:top w:val="nil"/>
          <w:left w:val="nil"/>
          <w:bottom w:val="nil"/>
          <w:right w:val="nil"/>
          <w:between w:val="nil"/>
        </w:pBdr>
        <w:tabs>
          <w:tab w:val="left" w:pos="426"/>
        </w:tabs>
        <w:spacing w:line="360" w:lineRule="auto"/>
        <w:ind w:right="-876"/>
        <w:jc w:val="both"/>
        <w:rPr>
          <w:rFonts w:ascii="Palatino Linotype" w:eastAsia="Palatino Linotype" w:hAnsi="Palatino Linotype" w:cs="Palatino Linotype"/>
          <w:color w:val="000000"/>
          <w:sz w:val="24"/>
          <w:szCs w:val="24"/>
        </w:rPr>
      </w:pPr>
    </w:p>
    <w:p w:rsidR="00BD78D2" w:rsidRPr="00D444D3" w:rsidRDefault="00D43BD7">
      <w:pPr>
        <w:numPr>
          <w:ilvl w:val="0"/>
          <w:numId w:val="3"/>
        </w:numPr>
        <w:pBdr>
          <w:top w:val="nil"/>
          <w:left w:val="nil"/>
          <w:bottom w:val="nil"/>
          <w:right w:val="nil"/>
          <w:between w:val="nil"/>
        </w:pBdr>
        <w:tabs>
          <w:tab w:val="left" w:pos="426"/>
        </w:tabs>
        <w:spacing w:line="360" w:lineRule="auto"/>
        <w:ind w:left="0" w:right="-876" w:firstLine="0"/>
        <w:jc w:val="both"/>
        <w:rPr>
          <w:rFonts w:ascii="Palatino Linotype" w:eastAsia="Palatino Linotype" w:hAnsi="Palatino Linotype" w:cs="Palatino Linotype"/>
          <w:color w:val="000000"/>
          <w:sz w:val="24"/>
          <w:szCs w:val="24"/>
        </w:rPr>
      </w:pPr>
      <w:r w:rsidRPr="00D444D3">
        <w:rPr>
          <w:rFonts w:ascii="Palatino Linotype" w:eastAsia="Palatino Linotype" w:hAnsi="Palatino Linotype" w:cs="Palatino Linotype"/>
          <w:color w:val="000000"/>
          <w:sz w:val="24"/>
          <w:szCs w:val="24"/>
        </w:rPr>
        <w:t xml:space="preserve">El cuatro de marzo de dos mil veintiséis, a través de la Dirección de Cumplimientos se </w:t>
      </w:r>
      <w:r w:rsidRPr="00D444D3">
        <w:rPr>
          <w:rFonts w:ascii="Palatino Linotype" w:eastAsia="Palatino Linotype" w:hAnsi="Palatino Linotype" w:cs="Palatino Linotype"/>
          <w:b/>
          <w:bCs/>
          <w:color w:val="000000"/>
          <w:sz w:val="24"/>
          <w:szCs w:val="24"/>
        </w:rPr>
        <w:t>NOTIFICA</w:t>
      </w:r>
      <w:r w:rsidRPr="00D444D3">
        <w:rPr>
          <w:rFonts w:ascii="Palatino Linotype" w:eastAsia="Palatino Linotype" w:hAnsi="Palatino Linotype" w:cs="Palatino Linotype"/>
          <w:color w:val="000000"/>
          <w:sz w:val="24"/>
          <w:szCs w:val="24"/>
        </w:rPr>
        <w:t xml:space="preserve"> la </w:t>
      </w:r>
      <w:r w:rsidRPr="00D444D3">
        <w:rPr>
          <w:rFonts w:ascii="Palatino Linotype" w:eastAsia="Palatino Linotype" w:hAnsi="Palatino Linotype" w:cs="Palatino Linotype"/>
          <w:b/>
          <w:bCs/>
          <w:color w:val="000000"/>
          <w:sz w:val="24"/>
          <w:szCs w:val="24"/>
        </w:rPr>
        <w:t>AMONESTACIÓN PÚBLICA</w:t>
      </w:r>
      <w:r w:rsidRPr="00D444D3">
        <w:rPr>
          <w:rFonts w:ascii="Palatino Linotype" w:eastAsia="Palatino Linotype" w:hAnsi="Palatino Linotype" w:cs="Palatino Linotype"/>
          <w:color w:val="000000"/>
          <w:sz w:val="24"/>
          <w:szCs w:val="24"/>
        </w:rPr>
        <w:t xml:space="preserve"> impuesta como </w:t>
      </w:r>
      <w:r w:rsidRPr="00D444D3">
        <w:rPr>
          <w:rFonts w:ascii="Palatino Linotype" w:eastAsia="Palatino Linotype" w:hAnsi="Palatino Linotype" w:cs="Palatino Linotype"/>
          <w:b/>
          <w:bCs/>
          <w:color w:val="000000"/>
          <w:sz w:val="24"/>
          <w:szCs w:val="24"/>
        </w:rPr>
        <w:t>MEDIDA DE APREMIO</w:t>
      </w:r>
      <w:r w:rsidRPr="00D444D3">
        <w:rPr>
          <w:rFonts w:ascii="Palatino Linotype" w:eastAsia="Palatino Linotype" w:hAnsi="Palatino Linotype" w:cs="Palatino Linotype"/>
          <w:color w:val="000000"/>
          <w:sz w:val="24"/>
          <w:szCs w:val="24"/>
        </w:rPr>
        <w:t xml:space="preserve"> por el Pleno de este Organismo Garante de fecha dieciocho de febrero de dos mil veintiséis, con la finalidad de asegurar el cumplimiento a la resolución del recurso de revisión 13378/INFOEM/IP/RR/2025.</w:t>
      </w:r>
    </w:p>
    <w:p w:rsidR="00BD78D2" w:rsidRPr="00D444D3" w:rsidRDefault="00BD78D2">
      <w:pPr>
        <w:pBdr>
          <w:top w:val="nil"/>
          <w:left w:val="nil"/>
          <w:bottom w:val="nil"/>
          <w:right w:val="nil"/>
          <w:between w:val="nil"/>
        </w:pBdr>
        <w:tabs>
          <w:tab w:val="left" w:pos="426"/>
        </w:tabs>
        <w:spacing w:line="360" w:lineRule="auto"/>
        <w:ind w:right="-876"/>
        <w:jc w:val="both"/>
        <w:rPr>
          <w:rFonts w:ascii="Palatino Linotype" w:eastAsia="Palatino Linotype" w:hAnsi="Palatino Linotype" w:cs="Palatino Linotype"/>
          <w:color w:val="000000"/>
          <w:sz w:val="24"/>
          <w:szCs w:val="24"/>
        </w:rPr>
      </w:pPr>
    </w:p>
    <w:p w:rsidR="00BD78D2" w:rsidRPr="00D444D3" w:rsidRDefault="00D43BD7">
      <w:pPr>
        <w:numPr>
          <w:ilvl w:val="0"/>
          <w:numId w:val="3"/>
        </w:numPr>
        <w:pBdr>
          <w:top w:val="nil"/>
          <w:left w:val="nil"/>
          <w:bottom w:val="nil"/>
          <w:right w:val="nil"/>
          <w:between w:val="nil"/>
        </w:pBdr>
        <w:tabs>
          <w:tab w:val="left" w:pos="426"/>
        </w:tabs>
        <w:spacing w:line="360" w:lineRule="auto"/>
        <w:ind w:left="0" w:right="-876" w:firstLine="0"/>
        <w:jc w:val="both"/>
        <w:rPr>
          <w:rFonts w:ascii="Palatino Linotype" w:eastAsia="Palatino Linotype" w:hAnsi="Palatino Linotype" w:cs="Palatino Linotype"/>
          <w:color w:val="000000"/>
          <w:sz w:val="24"/>
          <w:szCs w:val="24"/>
        </w:rPr>
      </w:pPr>
      <w:r w:rsidRPr="00D444D3">
        <w:rPr>
          <w:rFonts w:ascii="Palatino Linotype" w:eastAsia="Palatino Linotype" w:hAnsi="Palatino Linotype" w:cs="Palatino Linotype"/>
          <w:color w:val="000000"/>
          <w:sz w:val="24"/>
          <w:szCs w:val="24"/>
        </w:rPr>
        <w:t xml:space="preserve">El veintiséis de marzo de dos mil veintiséis, el </w:t>
      </w:r>
      <w:r w:rsidRPr="00D444D3">
        <w:rPr>
          <w:rFonts w:ascii="Palatino Linotype" w:eastAsia="Palatino Linotype" w:hAnsi="Palatino Linotype" w:cs="Palatino Linotype"/>
          <w:b/>
          <w:bCs/>
          <w:color w:val="000000"/>
          <w:sz w:val="24"/>
          <w:szCs w:val="24"/>
        </w:rPr>
        <w:t>RECURRENTE</w:t>
      </w:r>
      <w:r w:rsidRPr="00D444D3">
        <w:rPr>
          <w:rFonts w:ascii="Palatino Linotype" w:eastAsia="Palatino Linotype" w:hAnsi="Palatino Linotype" w:cs="Palatino Linotype"/>
          <w:color w:val="000000"/>
          <w:sz w:val="24"/>
          <w:szCs w:val="24"/>
        </w:rPr>
        <w:t xml:space="preserve"> interpuso un </w:t>
      </w:r>
      <w:r w:rsidRPr="00D444D3">
        <w:rPr>
          <w:rFonts w:ascii="Palatino Linotype" w:eastAsia="Palatino Linotype" w:hAnsi="Palatino Linotype" w:cs="Palatino Linotype"/>
          <w:b/>
          <w:bCs/>
          <w:color w:val="000000"/>
          <w:sz w:val="24"/>
          <w:szCs w:val="24"/>
        </w:rPr>
        <w:t>segundo recurso de revisión</w:t>
      </w:r>
      <w:r w:rsidRPr="00D444D3">
        <w:rPr>
          <w:rFonts w:ascii="Palatino Linotype" w:eastAsia="Palatino Linotype" w:hAnsi="Palatino Linotype" w:cs="Palatino Linotype"/>
          <w:color w:val="000000"/>
          <w:sz w:val="24"/>
          <w:szCs w:val="24"/>
        </w:rPr>
        <w:t xml:space="preserve"> en contra de la falta de cumplimiento a la resolución notificada, en el que </w:t>
      </w:r>
      <w:r w:rsidRPr="00D444D3">
        <w:rPr>
          <w:rFonts w:ascii="Palatino Linotype" w:eastAsia="Palatino Linotype" w:hAnsi="Palatino Linotype" w:cs="Palatino Linotype"/>
          <w:color w:val="000000"/>
          <w:sz w:val="24"/>
          <w:szCs w:val="24"/>
        </w:rPr>
        <w:lastRenderedPageBreak/>
        <w:t xml:space="preserve">señaló como </w:t>
      </w:r>
      <w:r w:rsidRPr="00D444D3">
        <w:rPr>
          <w:rFonts w:ascii="Palatino Linotype" w:eastAsia="Palatino Linotype" w:hAnsi="Palatino Linotype" w:cs="Palatino Linotype"/>
          <w:b/>
          <w:bCs/>
          <w:color w:val="000000"/>
          <w:sz w:val="24"/>
          <w:szCs w:val="24"/>
        </w:rPr>
        <w:t>Acto Impugnado</w:t>
      </w:r>
      <w:r w:rsidRPr="00D444D3">
        <w:rPr>
          <w:rFonts w:ascii="Palatino Linotype" w:eastAsia="Palatino Linotype" w:hAnsi="Palatino Linotype" w:cs="Palatino Linotype"/>
          <w:color w:val="000000"/>
          <w:sz w:val="24"/>
          <w:szCs w:val="24"/>
        </w:rPr>
        <w:t xml:space="preserve"> y </w:t>
      </w:r>
      <w:r w:rsidRPr="00D444D3">
        <w:rPr>
          <w:rFonts w:ascii="Palatino Linotype" w:eastAsia="Palatino Linotype" w:hAnsi="Palatino Linotype" w:cs="Palatino Linotype"/>
          <w:b/>
          <w:bCs/>
          <w:color w:val="000000"/>
          <w:sz w:val="24"/>
          <w:szCs w:val="24"/>
        </w:rPr>
        <w:t>Razones o Motivos de la Inconformidad</w:t>
      </w:r>
      <w:r w:rsidRPr="00D444D3">
        <w:rPr>
          <w:rFonts w:ascii="Palatino Linotype" w:eastAsia="Palatino Linotype" w:hAnsi="Palatino Linotype" w:cs="Palatino Linotype"/>
          <w:color w:val="000000"/>
          <w:sz w:val="24"/>
          <w:szCs w:val="24"/>
        </w:rPr>
        <w:t xml:space="preserve"> lo que a continuación se transcribe:</w:t>
      </w:r>
    </w:p>
    <w:p w:rsidR="00BD78D2" w:rsidRPr="00D444D3" w:rsidRDefault="00BD78D2">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sz w:val="24"/>
          <w:szCs w:val="24"/>
        </w:rPr>
      </w:pPr>
    </w:p>
    <w:p w:rsidR="00BD78D2" w:rsidRPr="00D444D3" w:rsidRDefault="00D43BD7">
      <w:pPr>
        <w:numPr>
          <w:ilvl w:val="0"/>
          <w:numId w:val="4"/>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sz w:val="24"/>
          <w:szCs w:val="24"/>
        </w:rPr>
      </w:pPr>
      <w:r w:rsidRPr="00D444D3">
        <w:rPr>
          <w:rFonts w:ascii="Palatino Linotype" w:eastAsia="Palatino Linotype" w:hAnsi="Palatino Linotype" w:cs="Palatino Linotype"/>
          <w:b/>
          <w:bCs/>
          <w:color w:val="000000"/>
          <w:sz w:val="24"/>
          <w:szCs w:val="24"/>
        </w:rPr>
        <w:t>Acto impugnado</w:t>
      </w:r>
      <w:r w:rsidRPr="00D444D3">
        <w:rPr>
          <w:rFonts w:ascii="Palatino Linotype" w:eastAsia="Palatino Linotype" w:hAnsi="Palatino Linotype" w:cs="Palatino Linotype"/>
          <w:color w:val="000000"/>
          <w:sz w:val="24"/>
          <w:szCs w:val="24"/>
        </w:rPr>
        <w:t xml:space="preserve"> “</w:t>
      </w:r>
      <w:r w:rsidRPr="00D444D3">
        <w:rPr>
          <w:rFonts w:ascii="Palatino Linotype" w:eastAsia="Palatino Linotype" w:hAnsi="Palatino Linotype" w:cs="Palatino Linotype"/>
          <w:i/>
          <w:iCs/>
          <w:color w:val="000000"/>
          <w:sz w:val="24"/>
          <w:szCs w:val="24"/>
        </w:rPr>
        <w:t>incumolimiento a solicitud”</w:t>
      </w:r>
    </w:p>
    <w:p w:rsidR="00BD78D2" w:rsidRPr="00D444D3" w:rsidRDefault="00BD78D2">
      <w:pPr>
        <w:spacing w:line="360" w:lineRule="auto"/>
        <w:ind w:left="1134" w:right="-876"/>
        <w:jc w:val="both"/>
        <w:rPr>
          <w:rFonts w:ascii="Palatino Linotype" w:eastAsia="Palatino Linotype" w:hAnsi="Palatino Linotype" w:cs="Palatino Linotype"/>
          <w:sz w:val="24"/>
          <w:szCs w:val="24"/>
        </w:rPr>
      </w:pPr>
    </w:p>
    <w:p w:rsidR="00BD78D2" w:rsidRPr="00D444D3" w:rsidRDefault="00D43BD7">
      <w:pPr>
        <w:numPr>
          <w:ilvl w:val="0"/>
          <w:numId w:val="4"/>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sz w:val="24"/>
          <w:szCs w:val="24"/>
        </w:rPr>
      </w:pPr>
      <w:r w:rsidRPr="00D444D3">
        <w:rPr>
          <w:rFonts w:ascii="Palatino Linotype" w:eastAsia="Palatino Linotype" w:hAnsi="Palatino Linotype" w:cs="Palatino Linotype"/>
          <w:b/>
          <w:bCs/>
          <w:color w:val="000000"/>
          <w:sz w:val="24"/>
          <w:szCs w:val="24"/>
        </w:rPr>
        <w:t>Razones o motivos de la inconformidad</w:t>
      </w:r>
      <w:r w:rsidRPr="00D444D3">
        <w:rPr>
          <w:rFonts w:ascii="Palatino Linotype" w:eastAsia="Palatino Linotype" w:hAnsi="Palatino Linotype" w:cs="Palatino Linotype"/>
          <w:color w:val="000000"/>
          <w:sz w:val="24"/>
          <w:szCs w:val="24"/>
        </w:rPr>
        <w:t xml:space="preserve"> “</w:t>
      </w:r>
      <w:r w:rsidRPr="00D444D3">
        <w:rPr>
          <w:rFonts w:ascii="Palatino Linotype" w:eastAsia="Palatino Linotype" w:hAnsi="Palatino Linotype" w:cs="Palatino Linotype"/>
          <w:i/>
          <w:iCs/>
          <w:color w:val="000000"/>
          <w:sz w:val="24"/>
          <w:szCs w:val="24"/>
        </w:rPr>
        <w:t>negativa de informacion</w:t>
      </w:r>
      <w:r w:rsidRPr="00D444D3">
        <w:rPr>
          <w:rFonts w:ascii="Palatino Linotype" w:eastAsia="Palatino Linotype" w:hAnsi="Palatino Linotype" w:cs="Palatino Linotype"/>
          <w:color w:val="000000"/>
          <w:sz w:val="24"/>
          <w:szCs w:val="24"/>
        </w:rPr>
        <w:t>” (Sic)</w:t>
      </w:r>
    </w:p>
    <w:p w:rsidR="00BD78D2" w:rsidRPr="00D444D3" w:rsidRDefault="00BD78D2">
      <w:pPr>
        <w:pBdr>
          <w:top w:val="nil"/>
          <w:left w:val="nil"/>
          <w:bottom w:val="nil"/>
          <w:right w:val="nil"/>
          <w:between w:val="nil"/>
        </w:pBdr>
        <w:spacing w:line="360" w:lineRule="auto"/>
        <w:ind w:right="-876"/>
        <w:jc w:val="both"/>
        <w:rPr>
          <w:rFonts w:ascii="Palatino Linotype" w:eastAsia="Palatino Linotype" w:hAnsi="Palatino Linotype" w:cs="Palatino Linotype"/>
          <w:i/>
          <w:iCs/>
          <w:color w:val="000000"/>
          <w:sz w:val="24"/>
          <w:szCs w:val="24"/>
        </w:rPr>
      </w:pPr>
    </w:p>
    <w:p w:rsidR="00BD78D2" w:rsidRDefault="00D43BD7">
      <w:pPr>
        <w:numPr>
          <w:ilvl w:val="0"/>
          <w:numId w:val="3"/>
        </w:numPr>
        <w:pBdr>
          <w:top w:val="nil"/>
          <w:left w:val="nil"/>
          <w:bottom w:val="nil"/>
          <w:right w:val="nil"/>
          <w:between w:val="nil"/>
        </w:pBdr>
        <w:tabs>
          <w:tab w:val="left" w:pos="426"/>
        </w:tabs>
        <w:spacing w:line="360" w:lineRule="auto"/>
        <w:ind w:left="0" w:right="-876" w:firstLine="0"/>
        <w:jc w:val="both"/>
        <w:rPr>
          <w:rFonts w:ascii="Palatino Linotype" w:eastAsia="Palatino Linotype" w:hAnsi="Palatino Linotype" w:cs="Palatino Linotype"/>
          <w:color w:val="000000"/>
          <w:sz w:val="24"/>
          <w:szCs w:val="24"/>
        </w:rPr>
      </w:pPr>
      <w:r w:rsidRPr="00D444D3">
        <w:rPr>
          <w:rFonts w:ascii="Palatino Linotype" w:eastAsia="Palatino Linotype" w:hAnsi="Palatino Linotype" w:cs="Palatino Linotype"/>
          <w:color w:val="000000"/>
          <w:sz w:val="24"/>
          <w:szCs w:val="24"/>
        </w:rPr>
        <w:t xml:space="preserve">La Comisionada Ponente, con fundamento en lo dispuesto por el artículo 185, fracción II, de la ley de la materia, a través del acuerdo de admisión de nueve de abril de dos mil veintiséis, puso a disposición de las partes el expediente electrónico vía </w:t>
      </w:r>
      <w:r w:rsidRPr="00D444D3">
        <w:rPr>
          <w:rFonts w:ascii="Palatino Linotype" w:eastAsia="Palatino Linotype" w:hAnsi="Palatino Linotype" w:cs="Palatino Linotype"/>
          <w:b/>
          <w:bCs/>
          <w:color w:val="000000"/>
          <w:sz w:val="24"/>
          <w:szCs w:val="24"/>
        </w:rPr>
        <w:t xml:space="preserve">SAIMEX </w:t>
      </w:r>
      <w:r w:rsidRPr="00D444D3">
        <w:rPr>
          <w:rFonts w:ascii="Palatino Linotype" w:eastAsia="Palatino Linotype" w:hAnsi="Palatino Linotype" w:cs="Palatino Linotype"/>
          <w:color w:val="000000"/>
          <w:sz w:val="24"/>
          <w:szCs w:val="24"/>
        </w:rPr>
        <w:t xml:space="preserve">a efecto de que en un plazo máximo de siete días </w:t>
      </w:r>
      <w:r w:rsidRPr="00D444D3">
        <w:rPr>
          <w:rFonts w:ascii="Palatino Linotype" w:eastAsia="Palatino Linotype" w:hAnsi="Palatino Linotype" w:cs="Palatino Linotype"/>
          <w:sz w:val="24"/>
          <w:szCs w:val="24"/>
        </w:rPr>
        <w:t>manifestara</w:t>
      </w:r>
      <w:r w:rsidRPr="00D444D3">
        <w:rPr>
          <w:rFonts w:ascii="Palatino Linotype" w:eastAsia="Palatino Linotype" w:hAnsi="Palatino Linotype" w:cs="Palatino Linotype"/>
          <w:color w:val="000000"/>
          <w:sz w:val="24"/>
          <w:szCs w:val="24"/>
        </w:rPr>
        <w:t xml:space="preserve"> lo que a derecho </w:t>
      </w:r>
      <w:r w:rsidRPr="00D444D3">
        <w:rPr>
          <w:rFonts w:ascii="Palatino Linotype" w:eastAsia="Palatino Linotype" w:hAnsi="Palatino Linotype" w:cs="Palatino Linotype"/>
          <w:sz w:val="24"/>
          <w:szCs w:val="24"/>
        </w:rPr>
        <w:t>conviniera</w:t>
      </w:r>
      <w:r w:rsidRPr="00D444D3">
        <w:rPr>
          <w:rFonts w:ascii="Palatino Linotype" w:eastAsia="Palatino Linotype" w:hAnsi="Palatino Linotype" w:cs="Palatino Linotype"/>
          <w:color w:val="000000"/>
          <w:sz w:val="24"/>
          <w:szCs w:val="24"/>
        </w:rPr>
        <w:t xml:space="preserve">, </w:t>
      </w:r>
      <w:r w:rsidRPr="00D444D3">
        <w:rPr>
          <w:rFonts w:ascii="Palatino Linotype" w:eastAsia="Palatino Linotype" w:hAnsi="Palatino Linotype" w:cs="Palatino Linotype"/>
          <w:sz w:val="24"/>
          <w:szCs w:val="24"/>
        </w:rPr>
        <w:t>ofreciera</w:t>
      </w:r>
      <w:r w:rsidRPr="00D444D3">
        <w:rPr>
          <w:rFonts w:ascii="Palatino Linotype" w:eastAsia="Palatino Linotype" w:hAnsi="Palatino Linotype" w:cs="Palatino Linotype"/>
          <w:color w:val="000000"/>
          <w:sz w:val="24"/>
          <w:szCs w:val="24"/>
        </w:rPr>
        <w:t xml:space="preserve"> pruebas y alegatos según corresponda al caso concreto, de esta forma para que el </w:t>
      </w:r>
      <w:r w:rsidRPr="00D444D3">
        <w:rPr>
          <w:rFonts w:ascii="Palatino Linotype" w:eastAsia="Palatino Linotype" w:hAnsi="Palatino Linotype" w:cs="Palatino Linotype"/>
          <w:b/>
          <w:bCs/>
          <w:color w:val="000000"/>
          <w:sz w:val="24"/>
          <w:szCs w:val="24"/>
        </w:rPr>
        <w:t>SUJETO OBLIGADO</w:t>
      </w:r>
      <w:r w:rsidRPr="00D444D3">
        <w:rPr>
          <w:rFonts w:ascii="Palatino Linotype" w:eastAsia="Palatino Linotype" w:hAnsi="Palatino Linotype" w:cs="Palatino Linotype"/>
          <w:color w:val="000000"/>
          <w:sz w:val="24"/>
          <w:szCs w:val="24"/>
        </w:rPr>
        <w:t xml:space="preserve"> </w:t>
      </w:r>
      <w:r w:rsidRPr="00D444D3">
        <w:rPr>
          <w:rFonts w:ascii="Palatino Linotype" w:eastAsia="Palatino Linotype" w:hAnsi="Palatino Linotype" w:cs="Palatino Linotype"/>
          <w:sz w:val="24"/>
          <w:szCs w:val="24"/>
        </w:rPr>
        <w:t>presentará</w:t>
      </w:r>
      <w:r w:rsidRPr="00D444D3">
        <w:rPr>
          <w:rFonts w:ascii="Palatino Linotype" w:eastAsia="Palatino Linotype" w:hAnsi="Palatino Linotype" w:cs="Palatino Linotype"/>
          <w:color w:val="000000"/>
          <w:sz w:val="24"/>
          <w:szCs w:val="24"/>
        </w:rPr>
        <w:t xml:space="preserve"> el informe justificado procedente.</w:t>
      </w:r>
    </w:p>
    <w:p w:rsidR="00D444D3" w:rsidRPr="00D444D3" w:rsidRDefault="00D444D3" w:rsidP="00D444D3">
      <w:pPr>
        <w:pBdr>
          <w:top w:val="nil"/>
          <w:left w:val="nil"/>
          <w:bottom w:val="nil"/>
          <w:right w:val="nil"/>
          <w:between w:val="nil"/>
        </w:pBdr>
        <w:tabs>
          <w:tab w:val="left" w:pos="426"/>
        </w:tabs>
        <w:spacing w:line="360" w:lineRule="auto"/>
        <w:ind w:right="-876"/>
        <w:jc w:val="both"/>
        <w:rPr>
          <w:rFonts w:ascii="Palatino Linotype" w:eastAsia="Palatino Linotype" w:hAnsi="Palatino Linotype" w:cs="Palatino Linotype"/>
          <w:color w:val="000000"/>
          <w:sz w:val="24"/>
          <w:szCs w:val="24"/>
        </w:rPr>
      </w:pPr>
    </w:p>
    <w:p w:rsidR="00BD78D2" w:rsidRPr="00D444D3" w:rsidRDefault="00D43BD7">
      <w:pPr>
        <w:numPr>
          <w:ilvl w:val="0"/>
          <w:numId w:val="3"/>
        </w:numPr>
        <w:pBdr>
          <w:top w:val="nil"/>
          <w:left w:val="nil"/>
          <w:bottom w:val="nil"/>
          <w:right w:val="nil"/>
          <w:between w:val="nil"/>
        </w:pBdr>
        <w:tabs>
          <w:tab w:val="left" w:pos="426"/>
        </w:tabs>
        <w:spacing w:line="360" w:lineRule="auto"/>
        <w:ind w:left="0" w:right="-876" w:firstLine="0"/>
        <w:jc w:val="both"/>
        <w:rPr>
          <w:rFonts w:ascii="Palatino Linotype" w:eastAsia="Palatino Linotype" w:hAnsi="Palatino Linotype" w:cs="Palatino Linotype"/>
          <w:color w:val="000000"/>
          <w:sz w:val="24"/>
          <w:szCs w:val="24"/>
        </w:rPr>
      </w:pPr>
      <w:r w:rsidRPr="00D444D3">
        <w:rPr>
          <w:rFonts w:ascii="Palatino Linotype" w:eastAsia="Palatino Linotype" w:hAnsi="Palatino Linotype" w:cs="Palatino Linotype"/>
          <w:color w:val="000000"/>
          <w:sz w:val="24"/>
          <w:szCs w:val="24"/>
        </w:rPr>
        <w:t xml:space="preserve">El particular fue omiso en presentar alegatos que a su derecho conviniera y asistiera. Por su parte del </w:t>
      </w:r>
      <w:r w:rsidRPr="00D444D3">
        <w:rPr>
          <w:rFonts w:ascii="Palatino Linotype" w:eastAsia="Palatino Linotype" w:hAnsi="Palatino Linotype" w:cs="Palatino Linotype"/>
          <w:b/>
          <w:bCs/>
          <w:color w:val="000000"/>
          <w:sz w:val="24"/>
          <w:szCs w:val="24"/>
        </w:rPr>
        <w:t>Sujeto Obligado</w:t>
      </w:r>
      <w:r w:rsidRPr="00D444D3">
        <w:rPr>
          <w:rFonts w:ascii="Palatino Linotype" w:eastAsia="Palatino Linotype" w:hAnsi="Palatino Linotype" w:cs="Palatino Linotype"/>
          <w:color w:val="000000"/>
          <w:sz w:val="24"/>
          <w:szCs w:val="24"/>
        </w:rPr>
        <w:t xml:space="preserve"> en fecha diez de abril de dos mil veintiséis, remitió el documento siguiente:</w:t>
      </w:r>
    </w:p>
    <w:p w:rsidR="00BD78D2" w:rsidRPr="00D444D3" w:rsidRDefault="00D43BD7">
      <w:pPr>
        <w:pBdr>
          <w:top w:val="nil"/>
          <w:left w:val="nil"/>
          <w:bottom w:val="nil"/>
          <w:right w:val="nil"/>
          <w:between w:val="nil"/>
        </w:pBdr>
        <w:tabs>
          <w:tab w:val="left" w:pos="426"/>
        </w:tabs>
        <w:ind w:left="567" w:right="-876"/>
        <w:jc w:val="both"/>
        <w:rPr>
          <w:rFonts w:ascii="Palatino Linotype" w:eastAsia="Palatino Linotype" w:hAnsi="Palatino Linotype" w:cs="Palatino Linotype"/>
          <w:b/>
          <w:bCs/>
          <w:i/>
          <w:iCs/>
          <w:color w:val="000000"/>
          <w:sz w:val="24"/>
          <w:szCs w:val="24"/>
        </w:rPr>
      </w:pPr>
      <w:r w:rsidRPr="00D444D3">
        <w:rPr>
          <w:rFonts w:ascii="Palatino Linotype" w:eastAsia="Palatino Linotype" w:hAnsi="Palatino Linotype" w:cs="Palatino Linotype"/>
          <w:b/>
          <w:bCs/>
          <w:i/>
          <w:iCs/>
          <w:color w:val="000000"/>
          <w:sz w:val="24"/>
          <w:szCs w:val="24"/>
        </w:rPr>
        <w:t>EGRESOS.pdf</w:t>
      </w:r>
    </w:p>
    <w:p w:rsidR="00BD78D2" w:rsidRPr="00D444D3" w:rsidRDefault="00D43BD7">
      <w:pPr>
        <w:pBdr>
          <w:top w:val="nil"/>
          <w:left w:val="nil"/>
          <w:bottom w:val="nil"/>
          <w:right w:val="nil"/>
          <w:between w:val="nil"/>
        </w:pBdr>
        <w:tabs>
          <w:tab w:val="left" w:pos="426"/>
        </w:tabs>
        <w:ind w:left="567" w:right="-876"/>
        <w:jc w:val="both"/>
        <w:rPr>
          <w:rFonts w:ascii="Palatino Linotype" w:eastAsia="Palatino Linotype" w:hAnsi="Palatino Linotype" w:cs="Palatino Linotype"/>
          <w:color w:val="000000"/>
          <w:sz w:val="24"/>
          <w:szCs w:val="24"/>
        </w:rPr>
      </w:pPr>
      <w:r w:rsidRPr="00D444D3">
        <w:rPr>
          <w:rFonts w:ascii="Palatino Linotype" w:eastAsia="Palatino Linotype" w:hAnsi="Palatino Linotype" w:cs="Palatino Linotype"/>
          <w:color w:val="000000"/>
          <w:sz w:val="24"/>
          <w:szCs w:val="24"/>
        </w:rPr>
        <w:t>Documento denominado “Seguimiento y evaluación del presupuesto de egresos del ejercicio 2025”, PbRM 10a Estado de avance presupuestal de egresos detallado. Del 01 de enero al 31 de diciembre de 2025.</w:t>
      </w:r>
    </w:p>
    <w:p w:rsidR="00BD78D2" w:rsidRPr="00D444D3" w:rsidRDefault="00BD78D2">
      <w:pPr>
        <w:pBdr>
          <w:top w:val="nil"/>
          <w:left w:val="nil"/>
          <w:bottom w:val="nil"/>
          <w:right w:val="nil"/>
          <w:between w:val="nil"/>
        </w:pBdr>
        <w:tabs>
          <w:tab w:val="left" w:pos="426"/>
        </w:tabs>
        <w:spacing w:line="360" w:lineRule="auto"/>
        <w:ind w:right="-876"/>
        <w:jc w:val="both"/>
        <w:rPr>
          <w:rFonts w:ascii="Palatino Linotype" w:eastAsia="Palatino Linotype" w:hAnsi="Palatino Linotype" w:cs="Palatino Linotype"/>
          <w:i/>
          <w:iCs/>
          <w:color w:val="000000"/>
          <w:sz w:val="24"/>
          <w:szCs w:val="24"/>
        </w:rPr>
      </w:pPr>
    </w:p>
    <w:p w:rsidR="00BD78D2" w:rsidRPr="00D444D3" w:rsidRDefault="00D43BD7">
      <w:pPr>
        <w:numPr>
          <w:ilvl w:val="0"/>
          <w:numId w:val="3"/>
        </w:numPr>
        <w:pBdr>
          <w:top w:val="nil"/>
          <w:left w:val="nil"/>
          <w:bottom w:val="nil"/>
          <w:right w:val="nil"/>
          <w:between w:val="nil"/>
        </w:pBdr>
        <w:tabs>
          <w:tab w:val="left" w:pos="426"/>
        </w:tabs>
        <w:spacing w:line="360" w:lineRule="auto"/>
        <w:ind w:left="0" w:right="-876" w:firstLine="0"/>
        <w:jc w:val="both"/>
        <w:rPr>
          <w:rFonts w:ascii="Palatino Linotype" w:eastAsia="Palatino Linotype" w:hAnsi="Palatino Linotype" w:cs="Palatino Linotype"/>
          <w:b/>
          <w:bCs/>
          <w:color w:val="000000"/>
          <w:sz w:val="24"/>
          <w:szCs w:val="24"/>
        </w:rPr>
      </w:pPr>
      <w:r w:rsidRPr="00D444D3">
        <w:rPr>
          <w:rFonts w:ascii="Palatino Linotype" w:eastAsia="Palatino Linotype" w:hAnsi="Palatino Linotype" w:cs="Palatino Linotype"/>
          <w:color w:val="000000"/>
          <w:sz w:val="24"/>
          <w:szCs w:val="24"/>
        </w:rPr>
        <w:t>En fecha</w:t>
      </w:r>
      <w:r w:rsidRPr="00D444D3">
        <w:rPr>
          <w:rFonts w:ascii="Palatino Linotype" w:eastAsia="Palatino Linotype" w:hAnsi="Palatino Linotype" w:cs="Palatino Linotype"/>
          <w:b/>
          <w:bCs/>
          <w:color w:val="000000"/>
          <w:sz w:val="24"/>
          <w:szCs w:val="24"/>
        </w:rPr>
        <w:t xml:space="preserve"> </w:t>
      </w:r>
      <w:r w:rsidRPr="00D444D3">
        <w:rPr>
          <w:rFonts w:ascii="Palatino Linotype" w:eastAsia="Palatino Linotype" w:hAnsi="Palatino Linotype" w:cs="Palatino Linotype"/>
          <w:color w:val="000000"/>
          <w:sz w:val="24"/>
          <w:szCs w:val="24"/>
        </w:rPr>
        <w:t xml:space="preserve">veintisiete de mayo de dos mil veintiséis, se acordó </w:t>
      </w:r>
      <w:r w:rsidRPr="00D444D3">
        <w:rPr>
          <w:rFonts w:ascii="Palatino Linotype" w:eastAsia="Palatino Linotype" w:hAnsi="Palatino Linotype" w:cs="Palatino Linotype"/>
          <w:b/>
          <w:bCs/>
          <w:color w:val="000000"/>
          <w:sz w:val="24"/>
          <w:szCs w:val="24"/>
        </w:rPr>
        <w:t xml:space="preserve">ampliar el </w:t>
      </w:r>
      <w:r w:rsidRPr="00D444D3">
        <w:rPr>
          <w:rFonts w:ascii="Palatino Linotype" w:eastAsia="Palatino Linotype" w:hAnsi="Palatino Linotype" w:cs="Palatino Linotype"/>
          <w:b/>
          <w:bCs/>
          <w:sz w:val="24"/>
          <w:szCs w:val="24"/>
        </w:rPr>
        <w:t>plazo</w:t>
      </w:r>
      <w:r w:rsidRPr="00D444D3">
        <w:rPr>
          <w:rFonts w:ascii="Palatino Linotype" w:eastAsia="Palatino Linotype" w:hAnsi="Palatino Linotype" w:cs="Palatino Linotype"/>
          <w:b/>
          <w:bCs/>
          <w:color w:val="000000"/>
          <w:sz w:val="24"/>
          <w:szCs w:val="24"/>
        </w:rPr>
        <w:t xml:space="preserve"> para resolver</w:t>
      </w:r>
      <w:r w:rsidRPr="00D444D3">
        <w:rPr>
          <w:rFonts w:ascii="Palatino Linotype" w:eastAsia="Palatino Linotype" w:hAnsi="Palatino Linotype" w:cs="Palatino Linotype"/>
          <w:color w:val="000000"/>
          <w:sz w:val="24"/>
          <w:szCs w:val="24"/>
        </w:rPr>
        <w:t xml:space="preserve"> el presente Recurso de Revisión.</w:t>
      </w:r>
    </w:p>
    <w:p w:rsidR="00BD78D2" w:rsidRPr="00D444D3" w:rsidRDefault="00D43BD7">
      <w:pPr>
        <w:numPr>
          <w:ilvl w:val="0"/>
          <w:numId w:val="3"/>
        </w:numPr>
        <w:pBdr>
          <w:top w:val="nil"/>
          <w:left w:val="nil"/>
          <w:bottom w:val="nil"/>
          <w:right w:val="nil"/>
          <w:between w:val="nil"/>
        </w:pBdr>
        <w:tabs>
          <w:tab w:val="left" w:pos="426"/>
        </w:tabs>
        <w:spacing w:line="360" w:lineRule="auto"/>
        <w:ind w:left="0" w:right="-876" w:firstLine="0"/>
        <w:jc w:val="both"/>
        <w:rPr>
          <w:rFonts w:ascii="Palatino Linotype" w:eastAsia="Palatino Linotype" w:hAnsi="Palatino Linotype" w:cs="Palatino Linotype"/>
          <w:b/>
          <w:bCs/>
          <w:color w:val="000000"/>
          <w:sz w:val="24"/>
          <w:szCs w:val="24"/>
        </w:rPr>
      </w:pPr>
      <w:r w:rsidRPr="00D444D3">
        <w:rPr>
          <w:rFonts w:ascii="Palatino Linotype" w:eastAsia="Palatino Linotype" w:hAnsi="Palatino Linotype" w:cs="Palatino Linotype"/>
          <w:color w:val="000000"/>
          <w:sz w:val="24"/>
          <w:szCs w:val="24"/>
        </w:rPr>
        <w:lastRenderedPageBreak/>
        <w:t xml:space="preserve">Seguidamente, en fecha </w:t>
      </w:r>
      <w:r w:rsidRPr="00D444D3">
        <w:rPr>
          <w:rFonts w:ascii="Palatino Linotype" w:eastAsia="Palatino Linotype" w:hAnsi="Palatino Linotype" w:cs="Palatino Linotype"/>
          <w:b/>
          <w:bCs/>
          <w:color w:val="000000"/>
          <w:sz w:val="24"/>
          <w:szCs w:val="24"/>
        </w:rPr>
        <w:t>dos de junio de dos mil veintiséis</w:t>
      </w:r>
      <w:r w:rsidRPr="00D444D3">
        <w:rPr>
          <w:rFonts w:ascii="Palatino Linotype" w:eastAsia="Palatino Linotype" w:hAnsi="Palatino Linotype" w:cs="Palatino Linotype"/>
          <w:color w:val="000000"/>
          <w:sz w:val="24"/>
          <w:szCs w:val="24"/>
        </w:rPr>
        <w:t xml:space="preserve">, la Comisionada Ponente dictó el </w:t>
      </w:r>
      <w:r w:rsidRPr="00D444D3">
        <w:rPr>
          <w:rFonts w:ascii="Palatino Linotype" w:eastAsia="Palatino Linotype" w:hAnsi="Palatino Linotype" w:cs="Palatino Linotype"/>
          <w:b/>
          <w:bCs/>
          <w:color w:val="000000"/>
          <w:sz w:val="24"/>
          <w:szCs w:val="24"/>
        </w:rPr>
        <w:t>cierre del periodo de instrucción</w:t>
      </w:r>
      <w:r w:rsidRPr="00D444D3">
        <w:rPr>
          <w:rFonts w:ascii="Palatino Linotype" w:eastAsia="Palatino Linotype" w:hAnsi="Palatino Linotype" w:cs="Palatino Linotype"/>
          <w:color w:val="000000"/>
          <w:sz w:val="24"/>
          <w:szCs w:val="24"/>
        </w:rPr>
        <w:t xml:space="preserve"> y, ordenó la resolución que conforme a Derecho proceda:</w:t>
      </w:r>
    </w:p>
    <w:p w:rsidR="00BD78D2" w:rsidRPr="00D444D3" w:rsidRDefault="00BD78D2">
      <w:pPr>
        <w:pBdr>
          <w:top w:val="nil"/>
          <w:left w:val="nil"/>
          <w:bottom w:val="nil"/>
          <w:right w:val="nil"/>
          <w:between w:val="nil"/>
        </w:pBdr>
        <w:ind w:left="720" w:right="-876"/>
        <w:rPr>
          <w:rFonts w:ascii="Palatino Linotype" w:eastAsia="Palatino Linotype" w:hAnsi="Palatino Linotype" w:cs="Palatino Linotype"/>
          <w:color w:val="000000"/>
          <w:sz w:val="24"/>
          <w:szCs w:val="24"/>
        </w:rPr>
      </w:pPr>
    </w:p>
    <w:p w:rsidR="00BD78D2" w:rsidRPr="00D444D3" w:rsidRDefault="00D43BD7">
      <w:pPr>
        <w:pStyle w:val="Ttulo1"/>
        <w:spacing w:before="0" w:line="360" w:lineRule="auto"/>
        <w:ind w:right="-876"/>
        <w:jc w:val="center"/>
        <w:rPr>
          <w:rFonts w:ascii="Palatino Linotype" w:eastAsia="Palatino Linotype" w:hAnsi="Palatino Linotype" w:cs="Palatino Linotype"/>
          <w:b/>
          <w:bCs/>
          <w:color w:val="000000"/>
          <w:sz w:val="24"/>
          <w:szCs w:val="24"/>
        </w:rPr>
      </w:pPr>
      <w:bookmarkStart w:id="1" w:name="_heading=h.hvfac6w0q92w" w:colFirst="0" w:colLast="0"/>
      <w:bookmarkEnd w:id="1"/>
      <w:r w:rsidRPr="00D444D3">
        <w:rPr>
          <w:rFonts w:ascii="Palatino Linotype" w:eastAsia="Palatino Linotype" w:hAnsi="Palatino Linotype" w:cs="Palatino Linotype"/>
          <w:b/>
          <w:bCs/>
          <w:color w:val="000000"/>
          <w:sz w:val="24"/>
          <w:szCs w:val="24"/>
        </w:rPr>
        <w:t xml:space="preserve">C O N S I D E R A N D O </w:t>
      </w:r>
    </w:p>
    <w:p w:rsidR="00BD78D2" w:rsidRPr="00D444D3" w:rsidRDefault="00BD78D2">
      <w:pPr>
        <w:spacing w:line="360" w:lineRule="auto"/>
        <w:ind w:right="-876"/>
        <w:rPr>
          <w:rFonts w:ascii="Palatino Linotype" w:eastAsia="Palatino Linotype" w:hAnsi="Palatino Linotype" w:cs="Palatino Linotype"/>
          <w:sz w:val="24"/>
          <w:szCs w:val="24"/>
        </w:rPr>
      </w:pPr>
    </w:p>
    <w:p w:rsidR="00BD78D2" w:rsidRPr="00D444D3" w:rsidRDefault="00D43BD7">
      <w:pPr>
        <w:pStyle w:val="Ttulo2"/>
        <w:spacing w:before="0" w:line="360" w:lineRule="auto"/>
        <w:ind w:right="-876"/>
        <w:rPr>
          <w:rFonts w:ascii="Palatino Linotype" w:eastAsia="Palatino Linotype" w:hAnsi="Palatino Linotype" w:cs="Palatino Linotype"/>
          <w:b/>
          <w:bCs/>
          <w:color w:val="000000"/>
          <w:sz w:val="24"/>
          <w:szCs w:val="24"/>
        </w:rPr>
      </w:pPr>
      <w:bookmarkStart w:id="2" w:name="_heading=h.ngnob95gjuya" w:colFirst="0" w:colLast="0"/>
      <w:bookmarkEnd w:id="2"/>
      <w:r w:rsidRPr="00D444D3">
        <w:rPr>
          <w:rFonts w:ascii="Palatino Linotype" w:eastAsia="Palatino Linotype" w:hAnsi="Palatino Linotype" w:cs="Palatino Linotype"/>
          <w:b/>
          <w:bCs/>
          <w:color w:val="000000"/>
          <w:sz w:val="24"/>
          <w:szCs w:val="24"/>
        </w:rPr>
        <w:t>PRIMERO. De la competencia</w:t>
      </w:r>
    </w:p>
    <w:p w:rsidR="00BD78D2" w:rsidRPr="00D444D3" w:rsidRDefault="00D43BD7">
      <w:pPr>
        <w:numPr>
          <w:ilvl w:val="0"/>
          <w:numId w:val="3"/>
        </w:numPr>
        <w:tabs>
          <w:tab w:val="left" w:pos="426"/>
        </w:tabs>
        <w:spacing w:line="360" w:lineRule="auto"/>
        <w:ind w:left="0" w:right="-876" w:firstLine="0"/>
        <w:jc w:val="both"/>
        <w:rPr>
          <w:rFonts w:ascii="Palatino Linotype" w:eastAsia="Palatino Linotype" w:hAnsi="Palatino Linotype" w:cs="Palatino Linotype"/>
          <w:sz w:val="24"/>
          <w:szCs w:val="24"/>
        </w:rPr>
      </w:pPr>
      <w:r w:rsidRPr="00D444D3">
        <w:rPr>
          <w:rFonts w:ascii="Palatino Linotype" w:eastAsia="Palatino Linotype" w:hAnsi="Palatino Linotype" w:cs="Palatino Linotype"/>
          <w:sz w:val="24"/>
          <w:szCs w:val="24"/>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BD78D2" w:rsidRPr="00D444D3" w:rsidRDefault="00BD78D2">
      <w:pPr>
        <w:pBdr>
          <w:top w:val="nil"/>
          <w:left w:val="nil"/>
          <w:bottom w:val="nil"/>
          <w:right w:val="nil"/>
          <w:between w:val="nil"/>
        </w:pBdr>
        <w:tabs>
          <w:tab w:val="left" w:pos="426"/>
        </w:tabs>
        <w:spacing w:line="360" w:lineRule="auto"/>
        <w:ind w:right="-876"/>
        <w:jc w:val="both"/>
        <w:rPr>
          <w:rFonts w:ascii="Palatino Linotype" w:eastAsia="Palatino Linotype" w:hAnsi="Palatino Linotype" w:cs="Palatino Linotype"/>
          <w:color w:val="000000"/>
          <w:sz w:val="24"/>
          <w:szCs w:val="24"/>
        </w:rPr>
      </w:pPr>
    </w:p>
    <w:p w:rsidR="00BD78D2" w:rsidRPr="00D444D3" w:rsidRDefault="00D43BD7">
      <w:pPr>
        <w:pStyle w:val="Ttulo2"/>
        <w:spacing w:before="0" w:line="360" w:lineRule="auto"/>
        <w:ind w:right="-876"/>
        <w:rPr>
          <w:rFonts w:ascii="Palatino Linotype" w:eastAsia="Palatino Linotype" w:hAnsi="Palatino Linotype" w:cs="Palatino Linotype"/>
          <w:b/>
          <w:bCs/>
          <w:color w:val="000000"/>
          <w:sz w:val="24"/>
          <w:szCs w:val="24"/>
        </w:rPr>
      </w:pPr>
      <w:bookmarkStart w:id="3" w:name="_heading=h.vgdbf2f3k0x" w:colFirst="0" w:colLast="0"/>
      <w:bookmarkEnd w:id="3"/>
      <w:r w:rsidRPr="00D444D3">
        <w:rPr>
          <w:rFonts w:ascii="Palatino Linotype" w:eastAsia="Palatino Linotype" w:hAnsi="Palatino Linotype" w:cs="Palatino Linotype"/>
          <w:b/>
          <w:bCs/>
          <w:color w:val="000000"/>
          <w:sz w:val="24"/>
          <w:szCs w:val="24"/>
        </w:rPr>
        <w:t>SEGUNDO. De la oportunidad y procedencia.</w:t>
      </w:r>
    </w:p>
    <w:p w:rsidR="00BD78D2" w:rsidRPr="00D444D3" w:rsidRDefault="00D43BD7">
      <w:pPr>
        <w:numPr>
          <w:ilvl w:val="0"/>
          <w:numId w:val="3"/>
        </w:numPr>
        <w:tabs>
          <w:tab w:val="left" w:pos="426"/>
        </w:tabs>
        <w:spacing w:line="360" w:lineRule="auto"/>
        <w:ind w:left="0" w:right="-876" w:firstLine="0"/>
        <w:jc w:val="both"/>
        <w:rPr>
          <w:rFonts w:ascii="Palatino Linotype" w:eastAsia="Palatino Linotype" w:hAnsi="Palatino Linotype" w:cs="Palatino Linotype"/>
          <w:color w:val="000000"/>
          <w:sz w:val="24"/>
          <w:szCs w:val="24"/>
        </w:rPr>
      </w:pPr>
      <w:r w:rsidRPr="00D444D3">
        <w:rPr>
          <w:rFonts w:ascii="Palatino Linotype" w:eastAsia="Palatino Linotype" w:hAnsi="Palatino Linotype" w:cs="Palatino Linotype"/>
          <w:sz w:val="24"/>
          <w:szCs w:val="24"/>
        </w:rPr>
        <w:t xml:space="preserve">Es de precisar, que la Ley de Transparencia y Acceso a la Información Pública del Estado de México y Municipios, en el artículo 178 describe la procedencia del recurso de revisión, asimismo señala que el plazo del </w:t>
      </w:r>
      <w:r w:rsidRPr="00D444D3">
        <w:rPr>
          <w:rFonts w:ascii="Palatino Linotype" w:eastAsia="Palatino Linotype" w:hAnsi="Palatino Linotype" w:cs="Palatino Linotype"/>
          <w:b/>
          <w:bCs/>
          <w:sz w:val="24"/>
          <w:szCs w:val="24"/>
        </w:rPr>
        <w:t>SUJETO OBLIGADO</w:t>
      </w:r>
      <w:r w:rsidRPr="00D444D3">
        <w:rPr>
          <w:rFonts w:ascii="Palatino Linotype" w:eastAsia="Palatino Linotype" w:hAnsi="Palatino Linotype" w:cs="Palatino Linotype"/>
          <w:sz w:val="24"/>
          <w:szCs w:val="24"/>
        </w:rPr>
        <w:t xml:space="preserve"> para entregar la respuesta a una solicitud de información pública, es de 15 días hábiles posteriores a la presentación de ésta; por lo que, transcurrido este término, cuando no entregue la respuesta a la solicitud dentro del </w:t>
      </w:r>
      <w:r w:rsidRPr="00D444D3">
        <w:rPr>
          <w:rFonts w:ascii="Palatino Linotype" w:eastAsia="Palatino Linotype" w:hAnsi="Palatino Linotype" w:cs="Palatino Linotype"/>
          <w:sz w:val="24"/>
          <w:szCs w:val="24"/>
        </w:rPr>
        <w:lastRenderedPageBreak/>
        <w:t xml:space="preserve">plazo previsto en la Ley, la solicitud se entenderá negada y el solicitante podrá interponer el recurso de revisión previsto en el ordenamiento en cita.  </w:t>
      </w:r>
    </w:p>
    <w:p w:rsidR="00BD78D2" w:rsidRPr="00D444D3" w:rsidRDefault="00BD78D2">
      <w:pPr>
        <w:tabs>
          <w:tab w:val="left" w:pos="426"/>
        </w:tabs>
        <w:spacing w:line="360" w:lineRule="auto"/>
        <w:ind w:right="-876"/>
        <w:jc w:val="both"/>
        <w:rPr>
          <w:rFonts w:ascii="Palatino Linotype" w:eastAsia="Palatino Linotype" w:hAnsi="Palatino Linotype" w:cs="Palatino Linotype"/>
          <w:color w:val="000000"/>
          <w:sz w:val="24"/>
          <w:szCs w:val="24"/>
        </w:rPr>
      </w:pPr>
    </w:p>
    <w:p w:rsidR="00BD78D2" w:rsidRPr="00D444D3" w:rsidRDefault="00D43BD7">
      <w:pPr>
        <w:numPr>
          <w:ilvl w:val="0"/>
          <w:numId w:val="3"/>
        </w:numPr>
        <w:tabs>
          <w:tab w:val="left" w:pos="426"/>
        </w:tabs>
        <w:spacing w:line="360" w:lineRule="auto"/>
        <w:ind w:left="0" w:right="-876" w:firstLine="0"/>
        <w:jc w:val="both"/>
        <w:rPr>
          <w:rFonts w:ascii="Palatino Linotype" w:eastAsia="Palatino Linotype" w:hAnsi="Palatino Linotype" w:cs="Palatino Linotype"/>
          <w:color w:val="000000"/>
          <w:sz w:val="24"/>
          <w:szCs w:val="24"/>
        </w:rPr>
      </w:pPr>
      <w:r w:rsidRPr="00D444D3">
        <w:rPr>
          <w:rFonts w:ascii="Palatino Linotype" w:eastAsia="Palatino Linotype" w:hAnsi="Palatino Linotype" w:cs="Palatino Linotype"/>
          <w:sz w:val="24"/>
          <w:szCs w:val="24"/>
        </w:rPr>
        <w:t xml:space="preserve">Por ende, se constituye la figura jurídica de la </w:t>
      </w:r>
      <w:r w:rsidRPr="00D444D3">
        <w:rPr>
          <w:rFonts w:ascii="Palatino Linotype" w:eastAsia="Palatino Linotype" w:hAnsi="Palatino Linotype" w:cs="Palatino Linotype"/>
          <w:i/>
          <w:iCs/>
          <w:sz w:val="24"/>
          <w:szCs w:val="24"/>
        </w:rPr>
        <w:t>negativa ficta</w:t>
      </w:r>
      <w:r w:rsidRPr="00D444D3">
        <w:rPr>
          <w:rFonts w:ascii="Palatino Linotype" w:eastAsia="Palatino Linotype" w:hAnsi="Palatino Linotype" w:cs="Palatino Linotype"/>
          <w:sz w:val="24"/>
          <w:szCs w:val="24"/>
        </w:rPr>
        <w:t xml:space="preserve">, cuya esencia es atribuir un efecto negativo al silencio de la autoridad administrativa frente a las instancias y solicitudes que hagan los particulares, lo cual encuentra sustento en lo que establece el artículo </w:t>
      </w:r>
      <w:r w:rsidRPr="00D444D3">
        <w:rPr>
          <w:rFonts w:ascii="Palatino Linotype" w:eastAsia="Palatino Linotype" w:hAnsi="Palatino Linotype" w:cs="Palatino Linotype"/>
          <w:b/>
          <w:bCs/>
          <w:sz w:val="24"/>
          <w:szCs w:val="24"/>
        </w:rPr>
        <w:t>178</w:t>
      </w:r>
      <w:r w:rsidRPr="00D444D3">
        <w:rPr>
          <w:rFonts w:ascii="Palatino Linotype" w:eastAsia="Palatino Linotype" w:hAnsi="Palatino Linotype" w:cs="Palatino Linotype"/>
          <w:sz w:val="24"/>
          <w:szCs w:val="24"/>
        </w:rPr>
        <w:t xml:space="preserve"> segundo párrafo de </w:t>
      </w:r>
      <w:r w:rsidRPr="00D444D3">
        <w:rPr>
          <w:rFonts w:ascii="Palatino Linotype" w:eastAsia="Palatino Linotype" w:hAnsi="Palatino Linotype" w:cs="Palatino Linotype"/>
          <w:b/>
          <w:bCs/>
          <w:sz w:val="24"/>
          <w:szCs w:val="24"/>
        </w:rPr>
        <w:t>Ley de Transparencia y Acceso a la Información Pública del Estado de México y Municipios</w:t>
      </w:r>
      <w:r w:rsidRPr="00D444D3">
        <w:rPr>
          <w:rFonts w:ascii="Palatino Linotype" w:eastAsia="Palatino Linotype" w:hAnsi="Palatino Linotype" w:cs="Palatino Linotype"/>
          <w:color w:val="000000"/>
          <w:sz w:val="24"/>
          <w:szCs w:val="24"/>
          <w:highlight w:val="white"/>
        </w:rPr>
        <w:t xml:space="preserve">, que dispone; ante la falta de respuesta del </w:t>
      </w:r>
      <w:r w:rsidRPr="00D444D3">
        <w:rPr>
          <w:rFonts w:ascii="Palatino Linotype" w:eastAsia="Palatino Linotype" w:hAnsi="Palatino Linotype" w:cs="Palatino Linotype"/>
          <w:b/>
          <w:bCs/>
          <w:color w:val="000000"/>
          <w:sz w:val="24"/>
          <w:szCs w:val="24"/>
          <w:highlight w:val="white"/>
        </w:rPr>
        <w:t>SUJETO OBLIGADO,</w:t>
      </w:r>
      <w:r w:rsidRPr="00D444D3">
        <w:rPr>
          <w:rFonts w:ascii="Palatino Linotype" w:eastAsia="Palatino Linotype" w:hAnsi="Palatino Linotype" w:cs="Palatino Linotype"/>
          <w:color w:val="000000"/>
          <w:sz w:val="24"/>
          <w:szCs w:val="24"/>
          <w:highlight w:val="white"/>
        </w:rPr>
        <w:t xml:space="preserve"> dentro de los plazos establecidos en esta Ley, a una solicitud de acceso a la información pública, el recurso </w:t>
      </w:r>
      <w:r w:rsidRPr="00D444D3">
        <w:rPr>
          <w:rFonts w:ascii="Palatino Linotype" w:eastAsia="Palatino Linotype" w:hAnsi="Palatino Linotype" w:cs="Palatino Linotype"/>
          <w:b/>
          <w:bCs/>
          <w:color w:val="000000"/>
          <w:sz w:val="24"/>
          <w:szCs w:val="24"/>
          <w:highlight w:val="white"/>
        </w:rPr>
        <w:t xml:space="preserve">podrá ser interpuesto en cualquier momento. </w:t>
      </w:r>
    </w:p>
    <w:p w:rsidR="00BD78D2" w:rsidRPr="00D444D3" w:rsidRDefault="00BD78D2">
      <w:pPr>
        <w:tabs>
          <w:tab w:val="left" w:pos="426"/>
        </w:tabs>
        <w:spacing w:line="360" w:lineRule="auto"/>
        <w:ind w:right="-876"/>
        <w:rPr>
          <w:rFonts w:ascii="Palatino Linotype" w:eastAsia="Palatino Linotype" w:hAnsi="Palatino Linotype" w:cs="Palatino Linotype"/>
          <w:color w:val="000000"/>
          <w:sz w:val="24"/>
          <w:szCs w:val="24"/>
        </w:rPr>
      </w:pPr>
    </w:p>
    <w:p w:rsidR="00BD78D2" w:rsidRPr="00D444D3" w:rsidRDefault="00D43BD7">
      <w:pPr>
        <w:numPr>
          <w:ilvl w:val="0"/>
          <w:numId w:val="3"/>
        </w:numPr>
        <w:tabs>
          <w:tab w:val="left" w:pos="426"/>
        </w:tabs>
        <w:spacing w:line="360" w:lineRule="auto"/>
        <w:ind w:left="0" w:right="-876" w:firstLine="0"/>
        <w:jc w:val="both"/>
        <w:rPr>
          <w:rFonts w:ascii="Palatino Linotype" w:eastAsia="Palatino Linotype" w:hAnsi="Palatino Linotype" w:cs="Palatino Linotype"/>
          <w:color w:val="000000"/>
          <w:sz w:val="24"/>
          <w:szCs w:val="24"/>
        </w:rPr>
      </w:pPr>
      <w:bookmarkStart w:id="4" w:name="_heading=h.5yf3ucvqvupc" w:colFirst="0" w:colLast="0"/>
      <w:bookmarkEnd w:id="4"/>
      <w:r w:rsidRPr="00D444D3">
        <w:rPr>
          <w:rFonts w:ascii="Palatino Linotype" w:eastAsia="Palatino Linotype" w:hAnsi="Palatino Linotype" w:cs="Palatino Linotype"/>
          <w:sz w:val="24"/>
          <w:szCs w:val="24"/>
        </w:rPr>
        <w:t xml:space="preserve">Por lo que, tratándose de la </w:t>
      </w:r>
      <w:r w:rsidRPr="00D444D3">
        <w:rPr>
          <w:rFonts w:ascii="Palatino Linotype" w:eastAsia="Palatino Linotype" w:hAnsi="Palatino Linotype" w:cs="Palatino Linotype"/>
          <w:i/>
          <w:iCs/>
          <w:sz w:val="24"/>
          <w:szCs w:val="24"/>
        </w:rPr>
        <w:t>negativa ficta</w:t>
      </w:r>
      <w:r w:rsidRPr="00D444D3">
        <w:rPr>
          <w:rFonts w:ascii="Palatino Linotype" w:eastAsia="Palatino Linotype" w:hAnsi="Palatino Linotype" w:cs="Palatino Linotype"/>
          <w:sz w:val="24"/>
          <w:szCs w:val="24"/>
        </w:rPr>
        <w:t xml:space="preserve"> no existe respuesta que se haga del conocimiento al particular, a partir de la cual pueda computarse el plazo legal establecido, por tal motivo es pertinente señalar que no existe plazo para la interposición del recurso de revisión, sirviendo de apoyo a lo anterior lo que dispone el Criterio de Interpretación en el orden administrativo número 001-15, emitido por el Pleno del Instituto de Transparencia y Acceso a la Información Pública del Estado de México y Municipios, en la Sexta Sesión Ordinaria, y publicada en el Periódico Oficial “Gaceta del Gobierno” el veinticuatro de abril de dos mil quince, relativo a la interposición del recurso de revisión en cualquier tiempo cuando exista </w:t>
      </w:r>
      <w:r w:rsidRPr="00D444D3">
        <w:rPr>
          <w:rFonts w:ascii="Palatino Linotype" w:eastAsia="Palatino Linotype" w:hAnsi="Palatino Linotype" w:cs="Palatino Linotype"/>
          <w:i/>
          <w:iCs/>
          <w:sz w:val="24"/>
          <w:szCs w:val="24"/>
        </w:rPr>
        <w:t>negativa ficta</w:t>
      </w:r>
      <w:r w:rsidRPr="00D444D3">
        <w:rPr>
          <w:rFonts w:ascii="Palatino Linotype" w:eastAsia="Palatino Linotype" w:hAnsi="Palatino Linotype" w:cs="Palatino Linotype"/>
          <w:sz w:val="24"/>
          <w:szCs w:val="24"/>
        </w:rPr>
        <w:t>, que señala:</w:t>
      </w:r>
    </w:p>
    <w:p w:rsidR="00BD78D2" w:rsidRPr="00D444D3" w:rsidRDefault="00D43BD7">
      <w:pPr>
        <w:tabs>
          <w:tab w:val="left" w:pos="284"/>
          <w:tab w:val="left" w:pos="7655"/>
        </w:tabs>
        <w:spacing w:line="360" w:lineRule="auto"/>
        <w:ind w:left="567" w:right="-876"/>
        <w:jc w:val="center"/>
        <w:rPr>
          <w:rFonts w:ascii="Palatino Linotype" w:eastAsia="Palatino Linotype" w:hAnsi="Palatino Linotype" w:cs="Palatino Linotype"/>
          <w:b/>
          <w:bCs/>
          <w:sz w:val="24"/>
          <w:szCs w:val="24"/>
        </w:rPr>
      </w:pPr>
      <w:r w:rsidRPr="00D444D3">
        <w:rPr>
          <w:rFonts w:ascii="Palatino Linotype" w:eastAsia="Palatino Linotype" w:hAnsi="Palatino Linotype" w:cs="Palatino Linotype"/>
          <w:b/>
          <w:bCs/>
          <w:sz w:val="24"/>
          <w:szCs w:val="24"/>
        </w:rPr>
        <w:t>Criterio 0001-15</w:t>
      </w:r>
    </w:p>
    <w:p w:rsidR="00BD78D2" w:rsidRPr="00D444D3" w:rsidRDefault="00D43BD7">
      <w:pPr>
        <w:tabs>
          <w:tab w:val="left" w:pos="284"/>
          <w:tab w:val="left" w:pos="7655"/>
        </w:tabs>
        <w:spacing w:line="360" w:lineRule="auto"/>
        <w:ind w:left="567" w:right="-876"/>
        <w:jc w:val="both"/>
        <w:rPr>
          <w:rFonts w:ascii="Palatino Linotype" w:eastAsia="Palatino Linotype" w:hAnsi="Palatino Linotype" w:cs="Palatino Linotype"/>
          <w:i/>
          <w:iCs/>
          <w:sz w:val="24"/>
          <w:szCs w:val="24"/>
        </w:rPr>
      </w:pPr>
      <w:r w:rsidRPr="00D444D3">
        <w:rPr>
          <w:rFonts w:ascii="Palatino Linotype" w:eastAsia="Palatino Linotype" w:hAnsi="Palatino Linotype" w:cs="Palatino Linotype"/>
          <w:b/>
          <w:bCs/>
          <w:i/>
          <w:iCs/>
          <w:sz w:val="24"/>
          <w:szCs w:val="24"/>
        </w:rPr>
        <w:t>NEGATIVA FICTA. PLAZO PARA INTERPONER EL RECURSO DE REVISIÓN TRATÁNDOSE DE.</w:t>
      </w:r>
      <w:r w:rsidRPr="00D444D3">
        <w:rPr>
          <w:rFonts w:ascii="Palatino Linotype" w:eastAsia="Palatino Linotype" w:hAnsi="Palatino Linotype" w:cs="Palatino Linotype"/>
          <w:i/>
          <w:iCs/>
          <w:sz w:val="24"/>
          <w:szCs w:val="24"/>
        </w:rPr>
        <w:t xml:space="preserve"> “El artículo 48, párrafo tercero de la Ley de Transparencia y Acceso a la </w:t>
      </w:r>
      <w:r w:rsidRPr="00D444D3">
        <w:rPr>
          <w:rFonts w:ascii="Palatino Linotype" w:eastAsia="Palatino Linotype" w:hAnsi="Palatino Linotype" w:cs="Palatino Linotype"/>
          <w:i/>
          <w:iCs/>
          <w:sz w:val="24"/>
          <w:szCs w:val="24"/>
        </w:rPr>
        <w:lastRenderedPageBreak/>
        <w:t>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rsidR="00BD78D2" w:rsidRPr="00D444D3" w:rsidRDefault="00BD78D2">
      <w:pPr>
        <w:tabs>
          <w:tab w:val="left" w:pos="284"/>
          <w:tab w:val="left" w:pos="7655"/>
        </w:tabs>
        <w:spacing w:line="360" w:lineRule="auto"/>
        <w:ind w:left="567" w:right="-876"/>
        <w:jc w:val="both"/>
        <w:rPr>
          <w:rFonts w:ascii="Palatino Linotype" w:eastAsia="Palatino Linotype" w:hAnsi="Palatino Linotype" w:cs="Palatino Linotype"/>
          <w:i/>
          <w:iCs/>
          <w:sz w:val="24"/>
          <w:szCs w:val="24"/>
        </w:rPr>
      </w:pPr>
    </w:p>
    <w:p w:rsidR="00BD78D2" w:rsidRPr="00D444D3" w:rsidRDefault="00D43BD7">
      <w:pPr>
        <w:numPr>
          <w:ilvl w:val="0"/>
          <w:numId w:val="3"/>
        </w:numPr>
        <w:tabs>
          <w:tab w:val="left" w:pos="426"/>
        </w:tabs>
        <w:spacing w:line="360" w:lineRule="auto"/>
        <w:ind w:left="0" w:right="-876" w:firstLine="0"/>
        <w:jc w:val="both"/>
        <w:rPr>
          <w:rFonts w:ascii="Palatino Linotype" w:eastAsia="Palatino Linotype" w:hAnsi="Palatino Linotype" w:cs="Palatino Linotype"/>
          <w:color w:val="000000"/>
          <w:sz w:val="24"/>
          <w:szCs w:val="24"/>
        </w:rPr>
      </w:pPr>
      <w:r w:rsidRPr="00D444D3">
        <w:rPr>
          <w:rFonts w:ascii="Palatino Linotype" w:eastAsia="Palatino Linotype" w:hAnsi="Palatino Linotype" w:cs="Palatino Linotype"/>
          <w:color w:val="000000"/>
          <w:sz w:val="24"/>
          <w:szCs w:val="24"/>
        </w:rPr>
        <w:t xml:space="preserve">Lo anterior, se explica porque la </w:t>
      </w:r>
      <w:r w:rsidRPr="00D444D3">
        <w:rPr>
          <w:rFonts w:ascii="Palatino Linotype" w:eastAsia="Palatino Linotype" w:hAnsi="Palatino Linotype" w:cs="Palatino Linotype"/>
          <w:b/>
          <w:bCs/>
          <w:color w:val="000000"/>
          <w:sz w:val="24"/>
          <w:szCs w:val="24"/>
          <w:u w:val="single"/>
        </w:rPr>
        <w:t>posible ausencia</w:t>
      </w:r>
      <w:r w:rsidRPr="00D444D3">
        <w:rPr>
          <w:rFonts w:ascii="Palatino Linotype" w:eastAsia="Palatino Linotype" w:hAnsi="Palatino Linotype" w:cs="Palatino Linotype"/>
          <w:color w:val="000000"/>
          <w:sz w:val="24"/>
          <w:szCs w:val="24"/>
        </w:rPr>
        <w:t xml:space="preserve"> de una respuesta en la solicitud constituye un acto que vulnera el derecho de manera continua y actualizable cada día, en tanto no se emita la respuesta a la que esté impuesto el </w:t>
      </w:r>
      <w:r w:rsidRPr="00D444D3">
        <w:rPr>
          <w:rFonts w:ascii="Palatino Linotype" w:eastAsia="Palatino Linotype" w:hAnsi="Palatino Linotype" w:cs="Palatino Linotype"/>
          <w:b/>
          <w:bCs/>
          <w:color w:val="000000"/>
          <w:sz w:val="24"/>
          <w:szCs w:val="24"/>
        </w:rPr>
        <w:t>SUJETO OBLIGADO</w:t>
      </w:r>
      <w:r w:rsidRPr="00D444D3">
        <w:rPr>
          <w:rFonts w:ascii="Palatino Linotype" w:eastAsia="Palatino Linotype" w:hAnsi="Palatino Linotype" w:cs="Palatino Linotype"/>
          <w:color w:val="000000"/>
          <w:sz w:val="24"/>
          <w:szCs w:val="24"/>
        </w:rPr>
        <w:t>.</w:t>
      </w:r>
    </w:p>
    <w:p w:rsidR="00BD78D2" w:rsidRPr="00D444D3" w:rsidRDefault="00BD78D2">
      <w:pPr>
        <w:tabs>
          <w:tab w:val="left" w:pos="426"/>
        </w:tabs>
        <w:spacing w:line="360" w:lineRule="auto"/>
        <w:ind w:right="-876"/>
        <w:jc w:val="both"/>
        <w:rPr>
          <w:rFonts w:ascii="Palatino Linotype" w:eastAsia="Palatino Linotype" w:hAnsi="Palatino Linotype" w:cs="Palatino Linotype"/>
          <w:color w:val="000000"/>
          <w:sz w:val="24"/>
          <w:szCs w:val="24"/>
        </w:rPr>
      </w:pPr>
    </w:p>
    <w:p w:rsidR="00BD78D2" w:rsidRPr="00D444D3" w:rsidRDefault="00D43BD7">
      <w:pPr>
        <w:numPr>
          <w:ilvl w:val="0"/>
          <w:numId w:val="3"/>
        </w:numPr>
        <w:tabs>
          <w:tab w:val="left" w:pos="426"/>
        </w:tabs>
        <w:spacing w:line="360" w:lineRule="auto"/>
        <w:ind w:left="0" w:right="-876" w:firstLine="0"/>
        <w:jc w:val="both"/>
        <w:rPr>
          <w:rFonts w:ascii="Palatino Linotype" w:eastAsia="Palatino Linotype" w:hAnsi="Palatino Linotype" w:cs="Palatino Linotype"/>
          <w:sz w:val="24"/>
          <w:szCs w:val="24"/>
        </w:rPr>
      </w:pPr>
      <w:r w:rsidRPr="00D444D3">
        <w:rPr>
          <w:rFonts w:ascii="Palatino Linotype" w:eastAsia="Palatino Linotype" w:hAnsi="Palatino Linotype" w:cs="Palatino Linotype"/>
          <w:sz w:val="24"/>
          <w:szCs w:val="24"/>
        </w:rPr>
        <w:t xml:space="preserve">Por otra </w:t>
      </w:r>
      <w:r w:rsidRPr="00D444D3">
        <w:rPr>
          <w:rFonts w:ascii="Palatino Linotype" w:eastAsia="Palatino Linotype" w:hAnsi="Palatino Linotype" w:cs="Palatino Linotype"/>
          <w:color w:val="000000"/>
          <w:sz w:val="24"/>
          <w:szCs w:val="24"/>
        </w:rPr>
        <w:t>parte</w:t>
      </w:r>
      <w:r w:rsidRPr="00D444D3">
        <w:rPr>
          <w:rFonts w:ascii="Palatino Linotype" w:eastAsia="Palatino Linotype" w:hAnsi="Palatino Linotype" w:cs="Palatino Linotype"/>
          <w:sz w:val="24"/>
          <w:szCs w:val="24"/>
        </w:rPr>
        <w:t xml:space="preserve">, de la revisión al expediente electrónico del </w:t>
      </w:r>
      <w:r w:rsidRPr="00D444D3">
        <w:rPr>
          <w:rFonts w:ascii="Palatino Linotype" w:eastAsia="Palatino Linotype" w:hAnsi="Palatino Linotype" w:cs="Palatino Linotype"/>
          <w:b/>
          <w:bCs/>
          <w:sz w:val="24"/>
          <w:szCs w:val="24"/>
        </w:rPr>
        <w:t>SAIMEX</w:t>
      </w:r>
      <w:r w:rsidRPr="00D444D3">
        <w:rPr>
          <w:rFonts w:ascii="Palatino Linotype" w:eastAsia="Palatino Linotype" w:hAnsi="Palatino Linotype" w:cs="Palatino Linotype"/>
          <w:sz w:val="24"/>
          <w:szCs w:val="24"/>
        </w:rPr>
        <w:t xml:space="preserve"> se desprende que la parte solicitante, en ejercicio de su derecho de acceso a la información pública en el expediente que se revisa, tanto en la solicitud de información como en el recurso de revisión </w:t>
      </w:r>
      <w:r w:rsidRPr="00D444D3">
        <w:rPr>
          <w:rFonts w:ascii="Palatino Linotype" w:eastAsia="Palatino Linotype" w:hAnsi="Palatino Linotype" w:cs="Palatino Linotype"/>
          <w:b/>
          <w:bCs/>
          <w:sz w:val="24"/>
          <w:szCs w:val="24"/>
        </w:rPr>
        <w:t xml:space="preserve">se interpuso por </w:t>
      </w:r>
      <w:r w:rsidR="009652CA">
        <w:rPr>
          <w:rFonts w:ascii="Palatino Linotype" w:eastAsia="Palatino Linotype" w:hAnsi="Palatino Linotype" w:cs="Palatino Linotype"/>
          <w:b/>
          <w:bCs/>
          <w:sz w:val="24"/>
          <w:szCs w:val="24"/>
        </w:rPr>
        <w:t>XXXX</w:t>
      </w:r>
      <w:r w:rsidRPr="00D444D3">
        <w:rPr>
          <w:rFonts w:ascii="Palatino Linotype" w:eastAsia="Palatino Linotype" w:hAnsi="Palatino Linotype" w:cs="Palatino Linotype"/>
          <w:sz w:val="24"/>
          <w:szCs w:val="24"/>
        </w:rPr>
        <w:t>; asimismo, es importante señalar que el nombre de los Solicitantes y Recurrentes no es un requisito indispensable para la tramitación del acto procesal específico en materia de acceso a la información, ello en estricto apego al numeral 155, párrafo tercero, de la Ley de la materia, en concatenación con el 180 del mismo ordenamiento.</w:t>
      </w:r>
    </w:p>
    <w:p w:rsidR="00BD78D2" w:rsidRPr="00D444D3" w:rsidRDefault="00D43BD7">
      <w:pPr>
        <w:numPr>
          <w:ilvl w:val="0"/>
          <w:numId w:val="3"/>
        </w:numPr>
        <w:tabs>
          <w:tab w:val="left" w:pos="426"/>
        </w:tabs>
        <w:spacing w:line="360" w:lineRule="auto"/>
        <w:ind w:left="0" w:right="-876" w:firstLine="0"/>
        <w:jc w:val="both"/>
        <w:rPr>
          <w:rFonts w:ascii="Palatino Linotype" w:eastAsia="Palatino Linotype" w:hAnsi="Palatino Linotype" w:cs="Palatino Linotype"/>
          <w:b/>
          <w:bCs/>
          <w:sz w:val="24"/>
          <w:szCs w:val="24"/>
        </w:rPr>
      </w:pPr>
      <w:r w:rsidRPr="00D444D3">
        <w:rPr>
          <w:rFonts w:ascii="Palatino Linotype" w:eastAsia="Palatino Linotype" w:hAnsi="Palatino Linotype" w:cs="Palatino Linotype"/>
          <w:sz w:val="24"/>
          <w:szCs w:val="24"/>
        </w:rPr>
        <w:lastRenderedPageBreak/>
        <w:t>Expuesto lo anterior,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BD78D2" w:rsidRPr="00D444D3" w:rsidRDefault="00BD78D2">
      <w:pPr>
        <w:pStyle w:val="Ttulo1"/>
        <w:spacing w:before="0" w:line="360" w:lineRule="auto"/>
        <w:ind w:right="-876"/>
        <w:rPr>
          <w:rFonts w:ascii="Palatino Linotype" w:eastAsia="Palatino Linotype" w:hAnsi="Palatino Linotype" w:cs="Palatino Linotype"/>
          <w:b/>
          <w:bCs/>
          <w:color w:val="000000"/>
          <w:sz w:val="24"/>
          <w:szCs w:val="24"/>
        </w:rPr>
      </w:pPr>
      <w:bookmarkStart w:id="5" w:name="_heading=h.g5dhtlcdft8e" w:colFirst="0" w:colLast="0"/>
      <w:bookmarkEnd w:id="5"/>
    </w:p>
    <w:p w:rsidR="00BD78D2" w:rsidRPr="00D444D3" w:rsidRDefault="00D43BD7">
      <w:pPr>
        <w:pStyle w:val="Ttulo1"/>
        <w:spacing w:before="0" w:line="360" w:lineRule="auto"/>
        <w:ind w:right="-876"/>
        <w:rPr>
          <w:rFonts w:ascii="Palatino Linotype" w:eastAsia="Palatino Linotype" w:hAnsi="Palatino Linotype" w:cs="Palatino Linotype"/>
          <w:b/>
          <w:bCs/>
          <w:color w:val="000000"/>
          <w:sz w:val="24"/>
          <w:szCs w:val="24"/>
        </w:rPr>
      </w:pPr>
      <w:r w:rsidRPr="00D444D3">
        <w:rPr>
          <w:rFonts w:ascii="Palatino Linotype" w:eastAsia="Palatino Linotype" w:hAnsi="Palatino Linotype" w:cs="Palatino Linotype"/>
          <w:b/>
          <w:bCs/>
          <w:color w:val="000000"/>
          <w:sz w:val="24"/>
          <w:szCs w:val="24"/>
        </w:rPr>
        <w:t xml:space="preserve">TERCERO. De las causales del sobreseimiento </w:t>
      </w:r>
    </w:p>
    <w:p w:rsidR="00BD78D2" w:rsidRPr="00D444D3" w:rsidRDefault="00D43BD7">
      <w:pPr>
        <w:numPr>
          <w:ilvl w:val="0"/>
          <w:numId w:val="3"/>
        </w:numPr>
        <w:tabs>
          <w:tab w:val="left" w:pos="426"/>
        </w:tabs>
        <w:spacing w:line="360" w:lineRule="auto"/>
        <w:ind w:left="0" w:right="-876" w:firstLine="0"/>
        <w:jc w:val="both"/>
        <w:rPr>
          <w:rFonts w:ascii="Palatino Linotype" w:eastAsia="Palatino Linotype" w:hAnsi="Palatino Linotype" w:cs="Palatino Linotype"/>
          <w:color w:val="000000"/>
          <w:sz w:val="24"/>
          <w:szCs w:val="24"/>
        </w:rPr>
      </w:pPr>
      <w:r w:rsidRPr="00D444D3">
        <w:rPr>
          <w:rFonts w:ascii="Palatino Linotype" w:eastAsia="Palatino Linotype" w:hAnsi="Palatino Linotype" w:cs="Palatino Linotype"/>
          <w:color w:val="000000"/>
          <w:sz w:val="24"/>
          <w:szCs w:val="24"/>
        </w:rPr>
        <w:t xml:space="preserve">Tal y como se puede apreciar en el expediente electrónico que obra en el SAIMEX, el </w:t>
      </w:r>
      <w:r w:rsidRPr="00D444D3">
        <w:rPr>
          <w:rFonts w:ascii="Palatino Linotype" w:eastAsia="Palatino Linotype" w:hAnsi="Palatino Linotype" w:cs="Palatino Linotype"/>
          <w:b/>
          <w:bCs/>
          <w:color w:val="000000"/>
          <w:sz w:val="24"/>
          <w:szCs w:val="24"/>
        </w:rPr>
        <w:t>SUJETO OBLIGADO</w:t>
      </w:r>
      <w:r w:rsidRPr="00D444D3">
        <w:rPr>
          <w:rFonts w:ascii="Palatino Linotype" w:eastAsia="Palatino Linotype" w:hAnsi="Palatino Linotype" w:cs="Palatino Linotype"/>
          <w:color w:val="000000"/>
          <w:sz w:val="24"/>
          <w:szCs w:val="24"/>
        </w:rPr>
        <w:t xml:space="preserve"> fue omiso en atender la solicitud de información que formuló el particular, aún y cuando la Constitución Política de los Estados Unidos Mexicanos establece que “[t]</w:t>
      </w:r>
      <w:r w:rsidRPr="00D444D3">
        <w:rPr>
          <w:rFonts w:ascii="Palatino Linotype" w:eastAsia="Palatino Linotype" w:hAnsi="Palatino Linotype" w:cs="Palatino Linotype"/>
          <w:i/>
          <w:iCs/>
          <w:color w:val="000000"/>
          <w:sz w:val="24"/>
          <w:szCs w:val="24"/>
          <w:highlight w:val="white"/>
        </w:rPr>
        <w:t>odas las autoridades, en el ámbito de sus competencias, tienen la obligación de promover, respetar, proteger y garantizar los derechos humanos de conformidad con los principios de universalidad, interdependencia, indivisibilidad y progresividad…”</w:t>
      </w:r>
      <w:r w:rsidRPr="00D444D3">
        <w:rPr>
          <w:rFonts w:ascii="Palatino Linotype" w:eastAsia="Palatino Linotype" w:hAnsi="Palatino Linotype" w:cs="Palatino Linotype"/>
          <w:i/>
          <w:iCs/>
          <w:color w:val="000000"/>
          <w:sz w:val="24"/>
          <w:szCs w:val="24"/>
          <w:highlight w:val="white"/>
          <w:vertAlign w:val="superscript"/>
        </w:rPr>
        <w:footnoteReference w:id="1"/>
      </w:r>
      <w:r w:rsidRPr="00D444D3">
        <w:rPr>
          <w:rFonts w:ascii="Palatino Linotype" w:eastAsia="Palatino Linotype" w:hAnsi="Palatino Linotype" w:cs="Palatino Linotype"/>
          <w:color w:val="000000"/>
          <w:sz w:val="24"/>
          <w:szCs w:val="24"/>
          <w:highlight w:val="white"/>
        </w:rPr>
        <w:t xml:space="preserve">; por lo tanto, como </w:t>
      </w:r>
      <w:r w:rsidRPr="00D444D3">
        <w:rPr>
          <w:rFonts w:ascii="Palatino Linotype" w:eastAsia="Palatino Linotype" w:hAnsi="Palatino Linotype" w:cs="Palatino Linotype"/>
          <w:sz w:val="24"/>
          <w:szCs w:val="24"/>
          <w:highlight w:val="white"/>
        </w:rPr>
        <w:t>él mismo</w:t>
      </w:r>
      <w:r w:rsidRPr="00D444D3">
        <w:rPr>
          <w:rFonts w:ascii="Palatino Linotype" w:eastAsia="Palatino Linotype" w:hAnsi="Palatino Linotype" w:cs="Palatino Linotype"/>
          <w:color w:val="000000"/>
          <w:sz w:val="24"/>
          <w:szCs w:val="24"/>
          <w:highlight w:val="white"/>
        </w:rPr>
        <w:t xml:space="preserve"> ordenamiento refiere que “</w:t>
      </w:r>
      <w:r w:rsidRPr="00D444D3">
        <w:rPr>
          <w:rFonts w:ascii="Palatino Linotype" w:eastAsia="Palatino Linotype" w:hAnsi="Palatino Linotype" w:cs="Palatino Linotype"/>
          <w:color w:val="000000"/>
          <w:sz w:val="24"/>
          <w:szCs w:val="24"/>
        </w:rPr>
        <w:t>[t]</w:t>
      </w:r>
      <w:r w:rsidRPr="00D444D3">
        <w:rPr>
          <w:rFonts w:ascii="Palatino Linotype" w:eastAsia="Palatino Linotype" w:hAnsi="Palatino Linotype" w:cs="Palatino Linotype"/>
          <w:i/>
          <w:iCs/>
          <w:color w:val="000000"/>
          <w:sz w:val="24"/>
          <w:szCs w:val="24"/>
        </w:rPr>
        <w:t>oda persona tiene derecho al libre acceso a información plural y oportuna, así como a buscar, recibir y difundir información e ideas de toda índole por cualquier medio de expresión.”</w:t>
      </w:r>
      <w:r w:rsidRPr="00D444D3">
        <w:rPr>
          <w:rFonts w:ascii="Palatino Linotype" w:eastAsia="Palatino Linotype" w:hAnsi="Palatino Linotype" w:cs="Palatino Linotype"/>
          <w:i/>
          <w:iCs/>
          <w:color w:val="000000"/>
          <w:sz w:val="24"/>
          <w:szCs w:val="24"/>
          <w:vertAlign w:val="superscript"/>
        </w:rPr>
        <w:footnoteReference w:id="2"/>
      </w:r>
      <w:r w:rsidRPr="00D444D3">
        <w:rPr>
          <w:rFonts w:ascii="Palatino Linotype" w:eastAsia="Palatino Linotype" w:hAnsi="Palatino Linotype" w:cs="Palatino Linotype"/>
          <w:i/>
          <w:iCs/>
          <w:sz w:val="24"/>
          <w:szCs w:val="24"/>
        </w:rPr>
        <w:t>Se</w:t>
      </w:r>
      <w:r w:rsidRPr="00D444D3">
        <w:rPr>
          <w:rFonts w:ascii="Palatino Linotype" w:eastAsia="Palatino Linotype" w:hAnsi="Palatino Linotype" w:cs="Palatino Linotype"/>
          <w:color w:val="000000"/>
          <w:sz w:val="24"/>
          <w:szCs w:val="24"/>
        </w:rPr>
        <w:t xml:space="preserve"> e</w:t>
      </w:r>
      <w:r w:rsidRPr="00D444D3">
        <w:rPr>
          <w:rFonts w:ascii="Palatino Linotype" w:eastAsia="Palatino Linotype" w:hAnsi="Palatino Linotype" w:cs="Palatino Linotype"/>
          <w:color w:val="000000"/>
          <w:sz w:val="24"/>
          <w:szCs w:val="24"/>
          <w:highlight w:val="white"/>
        </w:rPr>
        <w:t xml:space="preserve">ntiende que el acceso a la información es un derecho, por lo tanto, todas las autoridades en el ámbito de su competencia se ven impuestas por la obligación de </w:t>
      </w:r>
      <w:r w:rsidRPr="00D444D3">
        <w:rPr>
          <w:rFonts w:ascii="Palatino Linotype" w:eastAsia="Palatino Linotype" w:hAnsi="Palatino Linotype" w:cs="Palatino Linotype"/>
          <w:b/>
          <w:bCs/>
          <w:color w:val="000000"/>
          <w:sz w:val="24"/>
          <w:szCs w:val="24"/>
          <w:highlight w:val="white"/>
        </w:rPr>
        <w:t>promover, proteger, respetar y garantizar</w:t>
      </w:r>
      <w:r w:rsidRPr="00D444D3">
        <w:rPr>
          <w:rFonts w:ascii="Palatino Linotype" w:eastAsia="Palatino Linotype" w:hAnsi="Palatino Linotype" w:cs="Palatino Linotype"/>
          <w:color w:val="000000"/>
          <w:sz w:val="24"/>
          <w:szCs w:val="24"/>
          <w:highlight w:val="white"/>
        </w:rPr>
        <w:t xml:space="preserve"> el libre acceso a la información.</w:t>
      </w:r>
    </w:p>
    <w:p w:rsidR="00BD78D2" w:rsidRPr="00D444D3" w:rsidRDefault="00BD78D2">
      <w:pPr>
        <w:pBdr>
          <w:top w:val="nil"/>
          <w:left w:val="nil"/>
          <w:bottom w:val="nil"/>
          <w:right w:val="nil"/>
          <w:between w:val="nil"/>
        </w:pBdr>
        <w:tabs>
          <w:tab w:val="left" w:pos="426"/>
        </w:tabs>
        <w:spacing w:line="360" w:lineRule="auto"/>
        <w:ind w:right="-876"/>
        <w:jc w:val="both"/>
        <w:rPr>
          <w:rFonts w:ascii="Palatino Linotype" w:eastAsia="Palatino Linotype" w:hAnsi="Palatino Linotype" w:cs="Palatino Linotype"/>
          <w:color w:val="000000"/>
          <w:sz w:val="24"/>
          <w:szCs w:val="24"/>
        </w:rPr>
      </w:pPr>
    </w:p>
    <w:p w:rsidR="00BD78D2" w:rsidRPr="00D444D3" w:rsidRDefault="00D43BD7">
      <w:pPr>
        <w:numPr>
          <w:ilvl w:val="0"/>
          <w:numId w:val="3"/>
        </w:numPr>
        <w:pBdr>
          <w:top w:val="nil"/>
          <w:left w:val="nil"/>
          <w:bottom w:val="nil"/>
          <w:right w:val="nil"/>
          <w:between w:val="nil"/>
        </w:pBdr>
        <w:tabs>
          <w:tab w:val="left" w:pos="426"/>
        </w:tabs>
        <w:spacing w:line="360" w:lineRule="auto"/>
        <w:ind w:left="0" w:right="-876" w:firstLine="0"/>
        <w:jc w:val="both"/>
        <w:rPr>
          <w:rFonts w:ascii="Palatino Linotype" w:eastAsia="Palatino Linotype" w:hAnsi="Palatino Linotype" w:cs="Palatino Linotype"/>
          <w:color w:val="000000"/>
          <w:sz w:val="24"/>
          <w:szCs w:val="24"/>
        </w:rPr>
      </w:pPr>
      <w:r w:rsidRPr="00D444D3">
        <w:rPr>
          <w:rFonts w:ascii="Palatino Linotype" w:eastAsia="Palatino Linotype" w:hAnsi="Palatino Linotype" w:cs="Palatino Linotype"/>
          <w:color w:val="000000"/>
          <w:sz w:val="24"/>
          <w:szCs w:val="24"/>
          <w:highlight w:val="white"/>
        </w:rPr>
        <w:t xml:space="preserve">Es así, que la falta de respuesta a una solicitud implica una afectación directa al derecho humano que le asiste a la persona que solicita acceder a la información. En conclusión tenemos que la autoridad responsable al ser omiso en emitir respuesta </w:t>
      </w:r>
      <w:r w:rsidRPr="00D444D3">
        <w:rPr>
          <w:rFonts w:ascii="Palatino Linotype" w:eastAsia="Palatino Linotype" w:hAnsi="Palatino Linotype" w:cs="Palatino Linotype"/>
          <w:b/>
          <w:bCs/>
          <w:color w:val="000000"/>
          <w:sz w:val="24"/>
          <w:szCs w:val="24"/>
          <w:highlight w:val="white"/>
        </w:rPr>
        <w:t xml:space="preserve">no promovió, protegió, respetó </w:t>
      </w:r>
      <w:r w:rsidRPr="00D444D3">
        <w:rPr>
          <w:rFonts w:ascii="Palatino Linotype" w:eastAsia="Palatino Linotype" w:hAnsi="Palatino Linotype" w:cs="Palatino Linotype"/>
          <w:b/>
          <w:bCs/>
          <w:color w:val="000000"/>
          <w:sz w:val="24"/>
          <w:szCs w:val="24"/>
          <w:highlight w:val="white"/>
        </w:rPr>
        <w:lastRenderedPageBreak/>
        <w:t>ni garantizó el derecho constitucional y convencionalmente reconocido de acceso a la información</w:t>
      </w:r>
      <w:r w:rsidRPr="00D444D3">
        <w:rPr>
          <w:rFonts w:ascii="Palatino Linotype" w:eastAsia="Palatino Linotype" w:hAnsi="Palatino Linotype" w:cs="Palatino Linotype"/>
          <w:color w:val="000000"/>
          <w:sz w:val="24"/>
          <w:szCs w:val="24"/>
          <w:highlight w:val="white"/>
        </w:rPr>
        <w:t xml:space="preserve">, toda vez que no brindó lo que le fue solicitado en el tiempo previamente establecido para tal efecto, provocando así que el particular deba de recurrir a </w:t>
      </w:r>
      <w:r w:rsidRPr="00D444D3">
        <w:rPr>
          <w:rFonts w:ascii="Palatino Linotype" w:eastAsia="Palatino Linotype" w:hAnsi="Palatino Linotype" w:cs="Palatino Linotype"/>
          <w:i/>
          <w:iCs/>
          <w:color w:val="000000"/>
          <w:sz w:val="24"/>
          <w:szCs w:val="24"/>
          <w:highlight w:val="white"/>
        </w:rPr>
        <w:t>“la garantía secundaria mediante la cual se pretender reparar cualquier posible afectación al derecho de acceso a la información pública…”</w:t>
      </w:r>
      <w:r w:rsidRPr="00D444D3">
        <w:rPr>
          <w:rFonts w:ascii="Palatino Linotype" w:eastAsia="Palatino Linotype" w:hAnsi="Palatino Linotype" w:cs="Palatino Linotype"/>
          <w:i/>
          <w:iCs/>
          <w:color w:val="000000"/>
          <w:sz w:val="24"/>
          <w:szCs w:val="24"/>
          <w:highlight w:val="white"/>
          <w:vertAlign w:val="superscript"/>
        </w:rPr>
        <w:footnoteReference w:id="3"/>
      </w:r>
      <w:r w:rsidRPr="00D444D3">
        <w:rPr>
          <w:rFonts w:ascii="Palatino Linotype" w:eastAsia="Palatino Linotype" w:hAnsi="Palatino Linotype" w:cs="Palatino Linotype"/>
          <w:i/>
          <w:iCs/>
          <w:color w:val="000000"/>
          <w:sz w:val="24"/>
          <w:szCs w:val="24"/>
          <w:highlight w:val="white"/>
        </w:rPr>
        <w:t xml:space="preserve"> </w:t>
      </w:r>
      <w:r w:rsidRPr="00D444D3">
        <w:rPr>
          <w:rFonts w:ascii="Palatino Linotype" w:eastAsia="Palatino Linotype" w:hAnsi="Palatino Linotype" w:cs="Palatino Linotype"/>
          <w:color w:val="000000"/>
          <w:sz w:val="24"/>
          <w:szCs w:val="24"/>
          <w:highlight w:val="white"/>
        </w:rPr>
        <w:t xml:space="preserve">siendo el recurso de revisión, mismo que fue interpuesto por el particular, derivado de la falta de respuesta a la solicitud de información. </w:t>
      </w:r>
    </w:p>
    <w:p w:rsidR="00BD78D2" w:rsidRPr="00D444D3" w:rsidRDefault="00BD78D2">
      <w:pPr>
        <w:pBdr>
          <w:top w:val="nil"/>
          <w:left w:val="nil"/>
          <w:bottom w:val="nil"/>
          <w:right w:val="nil"/>
          <w:between w:val="nil"/>
        </w:pBdr>
        <w:tabs>
          <w:tab w:val="left" w:pos="426"/>
        </w:tabs>
        <w:spacing w:line="360" w:lineRule="auto"/>
        <w:ind w:left="720" w:right="-876"/>
        <w:rPr>
          <w:rFonts w:ascii="Palatino Linotype" w:eastAsia="Palatino Linotype" w:hAnsi="Palatino Linotype" w:cs="Palatino Linotype"/>
          <w:color w:val="000000"/>
          <w:sz w:val="24"/>
          <w:szCs w:val="24"/>
        </w:rPr>
      </w:pPr>
    </w:p>
    <w:p w:rsidR="00BD78D2" w:rsidRPr="00D444D3" w:rsidRDefault="00D43BD7">
      <w:pPr>
        <w:numPr>
          <w:ilvl w:val="0"/>
          <w:numId w:val="3"/>
        </w:numPr>
        <w:pBdr>
          <w:top w:val="nil"/>
          <w:left w:val="nil"/>
          <w:bottom w:val="nil"/>
          <w:right w:val="nil"/>
          <w:between w:val="nil"/>
        </w:pBdr>
        <w:tabs>
          <w:tab w:val="left" w:pos="426"/>
        </w:tabs>
        <w:spacing w:line="360" w:lineRule="auto"/>
        <w:ind w:left="0" w:right="-876" w:firstLine="0"/>
        <w:jc w:val="both"/>
        <w:rPr>
          <w:rFonts w:ascii="Palatino Linotype" w:eastAsia="Palatino Linotype" w:hAnsi="Palatino Linotype" w:cs="Palatino Linotype"/>
          <w:color w:val="000000"/>
          <w:sz w:val="24"/>
          <w:szCs w:val="24"/>
        </w:rPr>
      </w:pPr>
      <w:r w:rsidRPr="00D444D3">
        <w:rPr>
          <w:rFonts w:ascii="Palatino Linotype" w:eastAsia="Palatino Linotype" w:hAnsi="Palatino Linotype" w:cs="Palatino Linotype"/>
          <w:color w:val="000000"/>
          <w:sz w:val="24"/>
          <w:szCs w:val="24"/>
        </w:rPr>
        <w:t>Ahora bien, el artículo 192 de la Ley de Transparencia del Estado de México y Municipios establece las causales por la que puede ser sobreseído el recurso de revisión:</w:t>
      </w:r>
    </w:p>
    <w:p w:rsidR="00BD78D2" w:rsidRPr="00D444D3" w:rsidRDefault="00D43BD7">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sz w:val="24"/>
          <w:szCs w:val="24"/>
        </w:rPr>
      </w:pPr>
      <w:r w:rsidRPr="00D444D3">
        <w:rPr>
          <w:rFonts w:ascii="Palatino Linotype" w:eastAsia="Palatino Linotype" w:hAnsi="Palatino Linotype" w:cs="Palatino Linotype"/>
          <w:color w:val="000000"/>
          <w:sz w:val="24"/>
          <w:szCs w:val="24"/>
        </w:rPr>
        <w:t>“</w:t>
      </w:r>
      <w:r w:rsidRPr="00D444D3">
        <w:rPr>
          <w:rFonts w:ascii="Palatino Linotype" w:eastAsia="Palatino Linotype" w:hAnsi="Palatino Linotype" w:cs="Palatino Linotype"/>
          <w:b/>
          <w:bCs/>
          <w:i/>
          <w:iCs/>
          <w:color w:val="000000"/>
          <w:sz w:val="24"/>
          <w:szCs w:val="24"/>
        </w:rPr>
        <w:t>Artículo 192.</w:t>
      </w:r>
      <w:r w:rsidRPr="00D444D3">
        <w:rPr>
          <w:rFonts w:ascii="Palatino Linotype" w:eastAsia="Palatino Linotype" w:hAnsi="Palatino Linotype" w:cs="Palatino Linotype"/>
          <w:i/>
          <w:iCs/>
          <w:color w:val="000000"/>
          <w:sz w:val="24"/>
          <w:szCs w:val="24"/>
        </w:rPr>
        <w:t xml:space="preserve"> El recurso será sobreseído, en todo o en parte, cuando una vez admitido, se actualicen alguno de los siguientes supuestos:</w:t>
      </w:r>
    </w:p>
    <w:p w:rsidR="00BD78D2" w:rsidRPr="00D444D3" w:rsidRDefault="00D43BD7">
      <w:pPr>
        <w:pBdr>
          <w:top w:val="nil"/>
          <w:left w:val="nil"/>
          <w:bottom w:val="nil"/>
          <w:right w:val="nil"/>
          <w:between w:val="nil"/>
        </w:pBdr>
        <w:spacing w:line="360" w:lineRule="auto"/>
        <w:ind w:left="851" w:right="-876"/>
        <w:rPr>
          <w:rFonts w:ascii="Palatino Linotype" w:eastAsia="Palatino Linotype" w:hAnsi="Palatino Linotype" w:cs="Palatino Linotype"/>
          <w:i/>
          <w:iCs/>
          <w:color w:val="000000"/>
          <w:sz w:val="24"/>
          <w:szCs w:val="24"/>
        </w:rPr>
      </w:pPr>
      <w:r w:rsidRPr="00D444D3">
        <w:rPr>
          <w:rFonts w:ascii="Palatino Linotype" w:eastAsia="Palatino Linotype" w:hAnsi="Palatino Linotype" w:cs="Palatino Linotype"/>
          <w:b/>
          <w:bCs/>
          <w:i/>
          <w:iCs/>
          <w:color w:val="000000"/>
          <w:sz w:val="24"/>
          <w:szCs w:val="24"/>
        </w:rPr>
        <w:t>I.</w:t>
      </w:r>
      <w:r w:rsidRPr="00D444D3">
        <w:rPr>
          <w:rFonts w:ascii="Palatino Linotype" w:eastAsia="Palatino Linotype" w:hAnsi="Palatino Linotype" w:cs="Palatino Linotype"/>
          <w:i/>
          <w:iCs/>
          <w:color w:val="000000"/>
          <w:sz w:val="24"/>
          <w:szCs w:val="24"/>
        </w:rPr>
        <w:t xml:space="preserve"> El recurrente se desista expresamente del recurso; </w:t>
      </w:r>
    </w:p>
    <w:p w:rsidR="00BD78D2" w:rsidRPr="00D444D3" w:rsidRDefault="00D43BD7">
      <w:pPr>
        <w:pBdr>
          <w:top w:val="nil"/>
          <w:left w:val="nil"/>
          <w:bottom w:val="nil"/>
          <w:right w:val="nil"/>
          <w:between w:val="nil"/>
        </w:pBdr>
        <w:spacing w:line="360" w:lineRule="auto"/>
        <w:ind w:left="851" w:right="-876"/>
        <w:rPr>
          <w:rFonts w:ascii="Palatino Linotype" w:eastAsia="Palatino Linotype" w:hAnsi="Palatino Linotype" w:cs="Palatino Linotype"/>
          <w:i/>
          <w:iCs/>
          <w:color w:val="000000"/>
          <w:sz w:val="24"/>
          <w:szCs w:val="24"/>
        </w:rPr>
      </w:pPr>
      <w:r w:rsidRPr="00D444D3">
        <w:rPr>
          <w:rFonts w:ascii="Palatino Linotype" w:eastAsia="Palatino Linotype" w:hAnsi="Palatino Linotype" w:cs="Palatino Linotype"/>
          <w:b/>
          <w:bCs/>
          <w:i/>
          <w:iCs/>
          <w:color w:val="000000"/>
          <w:sz w:val="24"/>
          <w:szCs w:val="24"/>
        </w:rPr>
        <w:t>II.</w:t>
      </w:r>
      <w:r w:rsidRPr="00D444D3">
        <w:rPr>
          <w:rFonts w:ascii="Palatino Linotype" w:eastAsia="Palatino Linotype" w:hAnsi="Palatino Linotype" w:cs="Palatino Linotype"/>
          <w:i/>
          <w:iCs/>
          <w:color w:val="000000"/>
          <w:sz w:val="24"/>
          <w:szCs w:val="24"/>
        </w:rPr>
        <w:t xml:space="preserve"> El recurrente fallezca o, tratándose de personas jurídicas colectivas, se disuelva; </w:t>
      </w:r>
    </w:p>
    <w:p w:rsidR="00BD78D2" w:rsidRPr="00D444D3" w:rsidRDefault="00D43BD7">
      <w:pPr>
        <w:pBdr>
          <w:top w:val="nil"/>
          <w:left w:val="nil"/>
          <w:bottom w:val="nil"/>
          <w:right w:val="nil"/>
          <w:between w:val="nil"/>
        </w:pBdr>
        <w:spacing w:line="360" w:lineRule="auto"/>
        <w:ind w:left="851" w:right="-876"/>
        <w:rPr>
          <w:rFonts w:ascii="Palatino Linotype" w:eastAsia="Palatino Linotype" w:hAnsi="Palatino Linotype" w:cs="Palatino Linotype"/>
          <w:i/>
          <w:iCs/>
          <w:color w:val="000000"/>
          <w:sz w:val="24"/>
          <w:szCs w:val="24"/>
        </w:rPr>
      </w:pPr>
      <w:r w:rsidRPr="00D444D3">
        <w:rPr>
          <w:rFonts w:ascii="Palatino Linotype" w:eastAsia="Palatino Linotype" w:hAnsi="Palatino Linotype" w:cs="Palatino Linotype"/>
          <w:b/>
          <w:bCs/>
          <w:i/>
          <w:iCs/>
          <w:color w:val="000000"/>
          <w:sz w:val="24"/>
          <w:szCs w:val="24"/>
        </w:rPr>
        <w:t>III.</w:t>
      </w:r>
      <w:r w:rsidRPr="00D444D3">
        <w:rPr>
          <w:rFonts w:ascii="Palatino Linotype" w:eastAsia="Palatino Linotype" w:hAnsi="Palatino Linotype" w:cs="Palatino Linotype"/>
          <w:i/>
          <w:iCs/>
          <w:color w:val="000000"/>
          <w:sz w:val="24"/>
          <w:szCs w:val="24"/>
        </w:rPr>
        <w:t xml:space="preserve"> El sujeto obligado responsable del acto lo modifique o revoque de tal manera que el recurso de revisión quede sin materia; </w:t>
      </w:r>
    </w:p>
    <w:p w:rsidR="00BD78D2" w:rsidRPr="00D444D3" w:rsidRDefault="00D43BD7">
      <w:pPr>
        <w:pBdr>
          <w:top w:val="nil"/>
          <w:left w:val="nil"/>
          <w:bottom w:val="nil"/>
          <w:right w:val="nil"/>
          <w:between w:val="nil"/>
        </w:pBdr>
        <w:spacing w:line="360" w:lineRule="auto"/>
        <w:ind w:left="851" w:right="-876"/>
        <w:rPr>
          <w:rFonts w:ascii="Palatino Linotype" w:eastAsia="Palatino Linotype" w:hAnsi="Palatino Linotype" w:cs="Palatino Linotype"/>
          <w:b/>
          <w:bCs/>
          <w:i/>
          <w:iCs/>
          <w:color w:val="000000"/>
          <w:sz w:val="24"/>
          <w:szCs w:val="24"/>
        </w:rPr>
      </w:pPr>
      <w:r w:rsidRPr="00D444D3">
        <w:rPr>
          <w:rFonts w:ascii="Palatino Linotype" w:eastAsia="Palatino Linotype" w:hAnsi="Palatino Linotype" w:cs="Palatino Linotype"/>
          <w:b/>
          <w:bCs/>
          <w:i/>
          <w:iCs/>
          <w:color w:val="000000"/>
          <w:sz w:val="24"/>
          <w:szCs w:val="24"/>
        </w:rPr>
        <w:t xml:space="preserve">IV. Admitido el recurso de revisión, aparezca alguna causal de improcedencia en los términos de la presente Ley; y </w:t>
      </w:r>
    </w:p>
    <w:p w:rsidR="00BD78D2" w:rsidRPr="00D444D3" w:rsidRDefault="00D43BD7">
      <w:pPr>
        <w:pBdr>
          <w:top w:val="nil"/>
          <w:left w:val="nil"/>
          <w:bottom w:val="nil"/>
          <w:right w:val="nil"/>
          <w:between w:val="nil"/>
        </w:pBdr>
        <w:spacing w:line="360" w:lineRule="auto"/>
        <w:ind w:left="851" w:right="-876"/>
        <w:rPr>
          <w:rFonts w:ascii="Palatino Linotype" w:eastAsia="Palatino Linotype" w:hAnsi="Palatino Linotype" w:cs="Palatino Linotype"/>
          <w:i/>
          <w:iCs/>
          <w:color w:val="000000"/>
          <w:sz w:val="24"/>
          <w:szCs w:val="24"/>
        </w:rPr>
      </w:pPr>
      <w:r w:rsidRPr="00D444D3">
        <w:rPr>
          <w:rFonts w:ascii="Palatino Linotype" w:eastAsia="Palatino Linotype" w:hAnsi="Palatino Linotype" w:cs="Palatino Linotype"/>
          <w:b/>
          <w:bCs/>
          <w:i/>
          <w:iCs/>
          <w:color w:val="000000"/>
          <w:sz w:val="24"/>
          <w:szCs w:val="24"/>
        </w:rPr>
        <w:t>V.</w:t>
      </w:r>
      <w:r w:rsidRPr="00D444D3">
        <w:rPr>
          <w:rFonts w:ascii="Palatino Linotype" w:eastAsia="Palatino Linotype" w:hAnsi="Palatino Linotype" w:cs="Palatino Linotype"/>
          <w:i/>
          <w:iCs/>
          <w:color w:val="000000"/>
          <w:sz w:val="24"/>
          <w:szCs w:val="24"/>
        </w:rPr>
        <w:t xml:space="preserve"> Cuando por cualquier motivo quede sin materia el recurso.”</w:t>
      </w:r>
    </w:p>
    <w:p w:rsidR="00BD78D2" w:rsidRPr="00D444D3" w:rsidRDefault="00BD78D2">
      <w:pPr>
        <w:pBdr>
          <w:top w:val="nil"/>
          <w:left w:val="nil"/>
          <w:bottom w:val="nil"/>
          <w:right w:val="nil"/>
          <w:between w:val="nil"/>
        </w:pBdr>
        <w:spacing w:line="360" w:lineRule="auto"/>
        <w:ind w:left="851" w:right="-876"/>
        <w:rPr>
          <w:rFonts w:ascii="Palatino Linotype" w:eastAsia="Palatino Linotype" w:hAnsi="Palatino Linotype" w:cs="Palatino Linotype"/>
          <w:i/>
          <w:iCs/>
          <w:color w:val="000000"/>
          <w:sz w:val="24"/>
          <w:szCs w:val="24"/>
        </w:rPr>
      </w:pPr>
    </w:p>
    <w:p w:rsidR="00BD78D2" w:rsidRPr="00D444D3" w:rsidRDefault="00D43BD7">
      <w:pPr>
        <w:numPr>
          <w:ilvl w:val="0"/>
          <w:numId w:val="3"/>
        </w:numPr>
        <w:pBdr>
          <w:top w:val="nil"/>
          <w:left w:val="nil"/>
          <w:bottom w:val="nil"/>
          <w:right w:val="nil"/>
          <w:between w:val="nil"/>
        </w:pBdr>
        <w:tabs>
          <w:tab w:val="left" w:pos="426"/>
        </w:tabs>
        <w:spacing w:line="360" w:lineRule="auto"/>
        <w:ind w:left="0" w:right="-876" w:firstLine="0"/>
        <w:jc w:val="both"/>
        <w:rPr>
          <w:rFonts w:ascii="Palatino Linotype" w:eastAsia="Palatino Linotype" w:hAnsi="Palatino Linotype" w:cs="Palatino Linotype"/>
          <w:color w:val="000000"/>
          <w:sz w:val="24"/>
          <w:szCs w:val="24"/>
        </w:rPr>
      </w:pPr>
      <w:r w:rsidRPr="00D444D3">
        <w:rPr>
          <w:rFonts w:ascii="Palatino Linotype" w:eastAsia="Palatino Linotype" w:hAnsi="Palatino Linotype" w:cs="Palatino Linotype"/>
          <w:color w:val="000000"/>
          <w:sz w:val="24"/>
          <w:szCs w:val="24"/>
        </w:rPr>
        <w:t xml:space="preserve">Es así que, el precepto legal establece que cuando admitido el recurso de revisión no actualice una causal de procedencia, será sobreseído en términos de la Ley; consecuentemente, es necesario traer a contexto el artículo 191, fracción III, de la Ley en la materia, establece que </w:t>
      </w:r>
      <w:r w:rsidRPr="00D444D3">
        <w:rPr>
          <w:rFonts w:ascii="Palatino Linotype" w:eastAsia="Palatino Linotype" w:hAnsi="Palatino Linotype" w:cs="Palatino Linotype"/>
          <w:color w:val="000000"/>
          <w:sz w:val="24"/>
          <w:szCs w:val="24"/>
        </w:rPr>
        <w:lastRenderedPageBreak/>
        <w:t>el recurso de revisión será desechado por improcedente, cuando dicho medio no actualice alguno de los supuestos previstos en el diverso 179 de la presente Ley que establecen:</w:t>
      </w:r>
    </w:p>
    <w:p w:rsidR="00BD78D2" w:rsidRPr="00D444D3" w:rsidRDefault="00D43BD7">
      <w:pPr>
        <w:pBdr>
          <w:top w:val="nil"/>
          <w:left w:val="nil"/>
          <w:bottom w:val="nil"/>
          <w:right w:val="nil"/>
          <w:between w:val="nil"/>
        </w:pBdr>
        <w:spacing w:line="360" w:lineRule="auto"/>
        <w:ind w:left="851" w:right="-876"/>
        <w:rPr>
          <w:rFonts w:ascii="Palatino Linotype" w:eastAsia="Palatino Linotype" w:hAnsi="Palatino Linotype" w:cs="Palatino Linotype"/>
          <w:i/>
          <w:iCs/>
          <w:color w:val="000000"/>
          <w:sz w:val="24"/>
          <w:szCs w:val="24"/>
        </w:rPr>
      </w:pPr>
      <w:r w:rsidRPr="00D444D3">
        <w:rPr>
          <w:rFonts w:ascii="Palatino Linotype" w:eastAsia="Palatino Linotype" w:hAnsi="Palatino Linotype" w:cs="Palatino Linotype"/>
          <w:b/>
          <w:bCs/>
          <w:i/>
          <w:iCs/>
          <w:color w:val="000000"/>
          <w:sz w:val="24"/>
          <w:szCs w:val="24"/>
        </w:rPr>
        <w:t xml:space="preserve">“Artículo 191. </w:t>
      </w:r>
      <w:r w:rsidRPr="00D444D3">
        <w:rPr>
          <w:rFonts w:ascii="Palatino Linotype" w:eastAsia="Palatino Linotype" w:hAnsi="Palatino Linotype" w:cs="Palatino Linotype"/>
          <w:i/>
          <w:iCs/>
          <w:color w:val="000000"/>
          <w:sz w:val="24"/>
          <w:szCs w:val="24"/>
        </w:rPr>
        <w:t>El recurso será desechado por improcedente cuando:</w:t>
      </w:r>
    </w:p>
    <w:p w:rsidR="00BD78D2" w:rsidRPr="00D444D3" w:rsidRDefault="00D43BD7">
      <w:pPr>
        <w:pBdr>
          <w:top w:val="nil"/>
          <w:left w:val="nil"/>
          <w:bottom w:val="nil"/>
          <w:right w:val="nil"/>
          <w:between w:val="nil"/>
        </w:pBdr>
        <w:spacing w:line="360" w:lineRule="auto"/>
        <w:ind w:left="851" w:right="-876"/>
        <w:rPr>
          <w:rFonts w:ascii="Palatino Linotype" w:eastAsia="Palatino Linotype" w:hAnsi="Palatino Linotype" w:cs="Palatino Linotype"/>
          <w:i/>
          <w:iCs/>
          <w:color w:val="000000"/>
          <w:sz w:val="24"/>
          <w:szCs w:val="24"/>
        </w:rPr>
      </w:pPr>
      <w:r w:rsidRPr="00D444D3">
        <w:rPr>
          <w:rFonts w:ascii="Palatino Linotype" w:eastAsia="Palatino Linotype" w:hAnsi="Palatino Linotype" w:cs="Palatino Linotype"/>
          <w:b/>
          <w:bCs/>
          <w:i/>
          <w:iCs/>
          <w:color w:val="000000"/>
          <w:sz w:val="24"/>
          <w:szCs w:val="24"/>
        </w:rPr>
        <w:t>I.</w:t>
      </w:r>
      <w:r w:rsidRPr="00D444D3">
        <w:rPr>
          <w:rFonts w:ascii="Palatino Linotype" w:eastAsia="Palatino Linotype" w:hAnsi="Palatino Linotype" w:cs="Palatino Linotype"/>
          <w:i/>
          <w:iCs/>
          <w:color w:val="000000"/>
          <w:sz w:val="24"/>
          <w:szCs w:val="24"/>
        </w:rPr>
        <w:t xml:space="preserve"> Sea extemporáneo por haber transcurrido el plazo establecido en la presente Ley, a partir de la respuesta; </w:t>
      </w:r>
    </w:p>
    <w:p w:rsidR="00BD78D2" w:rsidRPr="00D444D3" w:rsidRDefault="00D43BD7">
      <w:pPr>
        <w:pBdr>
          <w:top w:val="nil"/>
          <w:left w:val="nil"/>
          <w:bottom w:val="nil"/>
          <w:right w:val="nil"/>
          <w:between w:val="nil"/>
        </w:pBdr>
        <w:spacing w:line="360" w:lineRule="auto"/>
        <w:ind w:left="851" w:right="-876"/>
        <w:rPr>
          <w:rFonts w:ascii="Palatino Linotype" w:eastAsia="Palatino Linotype" w:hAnsi="Palatino Linotype" w:cs="Palatino Linotype"/>
          <w:i/>
          <w:iCs/>
          <w:color w:val="000000"/>
          <w:sz w:val="24"/>
          <w:szCs w:val="24"/>
        </w:rPr>
      </w:pPr>
      <w:r w:rsidRPr="00D444D3">
        <w:rPr>
          <w:rFonts w:ascii="Palatino Linotype" w:eastAsia="Palatino Linotype" w:hAnsi="Palatino Linotype" w:cs="Palatino Linotype"/>
          <w:b/>
          <w:bCs/>
          <w:i/>
          <w:iCs/>
          <w:color w:val="000000"/>
          <w:sz w:val="24"/>
          <w:szCs w:val="24"/>
        </w:rPr>
        <w:t>II.</w:t>
      </w:r>
      <w:r w:rsidRPr="00D444D3">
        <w:rPr>
          <w:rFonts w:ascii="Palatino Linotype" w:eastAsia="Palatino Linotype" w:hAnsi="Palatino Linotype" w:cs="Palatino Linotype"/>
          <w:i/>
          <w:iCs/>
          <w:color w:val="000000"/>
          <w:sz w:val="24"/>
          <w:szCs w:val="24"/>
        </w:rPr>
        <w:t xml:space="preserve"> Se esté tramitando ante el Poder Judicial de la Federación algún recurso o medio de defensa interpuesto por el recurrente; </w:t>
      </w:r>
    </w:p>
    <w:p w:rsidR="00BD78D2" w:rsidRPr="00D444D3" w:rsidRDefault="00D43BD7">
      <w:pPr>
        <w:pBdr>
          <w:top w:val="nil"/>
          <w:left w:val="nil"/>
          <w:bottom w:val="nil"/>
          <w:right w:val="nil"/>
          <w:between w:val="nil"/>
        </w:pBdr>
        <w:spacing w:line="360" w:lineRule="auto"/>
        <w:ind w:left="851" w:right="-876"/>
        <w:rPr>
          <w:rFonts w:ascii="Palatino Linotype" w:eastAsia="Palatino Linotype" w:hAnsi="Palatino Linotype" w:cs="Palatino Linotype"/>
          <w:b/>
          <w:bCs/>
          <w:i/>
          <w:iCs/>
          <w:color w:val="000000"/>
          <w:sz w:val="24"/>
          <w:szCs w:val="24"/>
        </w:rPr>
      </w:pPr>
      <w:r w:rsidRPr="00D444D3">
        <w:rPr>
          <w:rFonts w:ascii="Palatino Linotype" w:eastAsia="Palatino Linotype" w:hAnsi="Palatino Linotype" w:cs="Palatino Linotype"/>
          <w:b/>
          <w:bCs/>
          <w:i/>
          <w:iCs/>
          <w:color w:val="000000"/>
          <w:sz w:val="24"/>
          <w:szCs w:val="24"/>
        </w:rPr>
        <w:t xml:space="preserve">III. No actualice alguno de los supuestos previstos en la presente Ley; </w:t>
      </w:r>
    </w:p>
    <w:p w:rsidR="00BD78D2" w:rsidRPr="00D444D3" w:rsidRDefault="00D43BD7">
      <w:pPr>
        <w:pBdr>
          <w:top w:val="nil"/>
          <w:left w:val="nil"/>
          <w:bottom w:val="nil"/>
          <w:right w:val="nil"/>
          <w:between w:val="nil"/>
        </w:pBdr>
        <w:spacing w:line="360" w:lineRule="auto"/>
        <w:ind w:left="851" w:right="-876"/>
        <w:rPr>
          <w:rFonts w:ascii="Palatino Linotype" w:eastAsia="Palatino Linotype" w:hAnsi="Palatino Linotype" w:cs="Palatino Linotype"/>
          <w:i/>
          <w:iCs/>
          <w:color w:val="000000"/>
          <w:sz w:val="24"/>
          <w:szCs w:val="24"/>
        </w:rPr>
      </w:pPr>
      <w:r w:rsidRPr="00D444D3">
        <w:rPr>
          <w:rFonts w:ascii="Palatino Linotype" w:eastAsia="Palatino Linotype" w:hAnsi="Palatino Linotype" w:cs="Palatino Linotype"/>
          <w:b/>
          <w:bCs/>
          <w:i/>
          <w:iCs/>
          <w:color w:val="000000"/>
          <w:sz w:val="24"/>
          <w:szCs w:val="24"/>
        </w:rPr>
        <w:t>IV.</w:t>
      </w:r>
      <w:r w:rsidRPr="00D444D3">
        <w:rPr>
          <w:rFonts w:ascii="Palatino Linotype" w:eastAsia="Palatino Linotype" w:hAnsi="Palatino Linotype" w:cs="Palatino Linotype"/>
          <w:i/>
          <w:iCs/>
          <w:color w:val="000000"/>
          <w:sz w:val="24"/>
          <w:szCs w:val="24"/>
        </w:rPr>
        <w:t xml:space="preserve"> No se haya desahogado la prevención en los términos establecidos en la presente Ley; </w:t>
      </w:r>
    </w:p>
    <w:p w:rsidR="00BD78D2" w:rsidRPr="00D444D3" w:rsidRDefault="00D43BD7">
      <w:pPr>
        <w:pBdr>
          <w:top w:val="nil"/>
          <w:left w:val="nil"/>
          <w:bottom w:val="nil"/>
          <w:right w:val="nil"/>
          <w:between w:val="nil"/>
        </w:pBdr>
        <w:spacing w:line="360" w:lineRule="auto"/>
        <w:ind w:left="851" w:right="-876"/>
        <w:rPr>
          <w:rFonts w:ascii="Palatino Linotype" w:eastAsia="Palatino Linotype" w:hAnsi="Palatino Linotype" w:cs="Palatino Linotype"/>
          <w:i/>
          <w:iCs/>
          <w:color w:val="000000"/>
          <w:sz w:val="24"/>
          <w:szCs w:val="24"/>
        </w:rPr>
      </w:pPr>
      <w:r w:rsidRPr="00D444D3">
        <w:rPr>
          <w:rFonts w:ascii="Palatino Linotype" w:eastAsia="Palatino Linotype" w:hAnsi="Palatino Linotype" w:cs="Palatino Linotype"/>
          <w:b/>
          <w:bCs/>
          <w:i/>
          <w:iCs/>
          <w:color w:val="000000"/>
          <w:sz w:val="24"/>
          <w:szCs w:val="24"/>
        </w:rPr>
        <w:t>V.</w:t>
      </w:r>
      <w:r w:rsidRPr="00D444D3">
        <w:rPr>
          <w:rFonts w:ascii="Palatino Linotype" w:eastAsia="Palatino Linotype" w:hAnsi="Palatino Linotype" w:cs="Palatino Linotype"/>
          <w:i/>
          <w:iCs/>
          <w:color w:val="000000"/>
          <w:sz w:val="24"/>
          <w:szCs w:val="24"/>
        </w:rPr>
        <w:t xml:space="preserve"> Se impugne la veracidad de la información proporcionada; </w:t>
      </w:r>
    </w:p>
    <w:p w:rsidR="00BD78D2" w:rsidRPr="00D444D3" w:rsidRDefault="00D43BD7">
      <w:pPr>
        <w:pBdr>
          <w:top w:val="nil"/>
          <w:left w:val="nil"/>
          <w:bottom w:val="nil"/>
          <w:right w:val="nil"/>
          <w:between w:val="nil"/>
        </w:pBdr>
        <w:spacing w:line="360" w:lineRule="auto"/>
        <w:ind w:left="851" w:right="-876"/>
        <w:rPr>
          <w:rFonts w:ascii="Palatino Linotype" w:eastAsia="Palatino Linotype" w:hAnsi="Palatino Linotype" w:cs="Palatino Linotype"/>
          <w:i/>
          <w:iCs/>
          <w:color w:val="000000"/>
          <w:sz w:val="24"/>
          <w:szCs w:val="24"/>
        </w:rPr>
      </w:pPr>
      <w:r w:rsidRPr="00D444D3">
        <w:rPr>
          <w:rFonts w:ascii="Palatino Linotype" w:eastAsia="Palatino Linotype" w:hAnsi="Palatino Linotype" w:cs="Palatino Linotype"/>
          <w:b/>
          <w:bCs/>
          <w:i/>
          <w:iCs/>
          <w:color w:val="000000"/>
          <w:sz w:val="24"/>
          <w:szCs w:val="24"/>
        </w:rPr>
        <w:t>VI.</w:t>
      </w:r>
      <w:r w:rsidRPr="00D444D3">
        <w:rPr>
          <w:rFonts w:ascii="Palatino Linotype" w:eastAsia="Palatino Linotype" w:hAnsi="Palatino Linotype" w:cs="Palatino Linotype"/>
          <w:i/>
          <w:iCs/>
          <w:color w:val="000000"/>
          <w:sz w:val="24"/>
          <w:szCs w:val="24"/>
        </w:rPr>
        <w:t xml:space="preserve"> Se trate de una consulta, o trámite en específico; y </w:t>
      </w:r>
    </w:p>
    <w:p w:rsidR="00BD78D2" w:rsidRPr="00D444D3" w:rsidRDefault="00D43BD7">
      <w:pPr>
        <w:pBdr>
          <w:top w:val="nil"/>
          <w:left w:val="nil"/>
          <w:bottom w:val="nil"/>
          <w:right w:val="nil"/>
          <w:between w:val="nil"/>
        </w:pBdr>
        <w:spacing w:line="360" w:lineRule="auto"/>
        <w:ind w:left="851" w:right="-876"/>
        <w:rPr>
          <w:rFonts w:ascii="Palatino Linotype" w:eastAsia="Palatino Linotype" w:hAnsi="Palatino Linotype" w:cs="Palatino Linotype"/>
          <w:color w:val="000000"/>
          <w:sz w:val="24"/>
          <w:szCs w:val="24"/>
        </w:rPr>
      </w:pPr>
      <w:r w:rsidRPr="00D444D3">
        <w:rPr>
          <w:rFonts w:ascii="Palatino Linotype" w:eastAsia="Palatino Linotype" w:hAnsi="Palatino Linotype" w:cs="Palatino Linotype"/>
          <w:b/>
          <w:bCs/>
          <w:i/>
          <w:iCs/>
          <w:color w:val="000000"/>
          <w:sz w:val="24"/>
          <w:szCs w:val="24"/>
        </w:rPr>
        <w:t>VII.</w:t>
      </w:r>
      <w:r w:rsidRPr="00D444D3">
        <w:rPr>
          <w:rFonts w:ascii="Palatino Linotype" w:eastAsia="Palatino Linotype" w:hAnsi="Palatino Linotype" w:cs="Palatino Linotype"/>
          <w:i/>
          <w:iCs/>
          <w:color w:val="000000"/>
          <w:sz w:val="24"/>
          <w:szCs w:val="24"/>
        </w:rPr>
        <w:t xml:space="preserve"> El recurrente amplíe su solicitud en el recurso de revisión, únicamente respecto de los nuevos contenidos.</w:t>
      </w:r>
    </w:p>
    <w:p w:rsidR="00BD78D2" w:rsidRPr="00D444D3" w:rsidRDefault="00BD78D2">
      <w:pPr>
        <w:pBdr>
          <w:top w:val="nil"/>
          <w:left w:val="nil"/>
          <w:bottom w:val="nil"/>
          <w:right w:val="nil"/>
          <w:between w:val="nil"/>
        </w:pBdr>
        <w:spacing w:line="360" w:lineRule="auto"/>
        <w:ind w:left="851" w:right="-876"/>
        <w:jc w:val="both"/>
        <w:rPr>
          <w:rFonts w:ascii="Palatino Linotype" w:eastAsia="Palatino Linotype" w:hAnsi="Palatino Linotype" w:cs="Palatino Linotype"/>
          <w:color w:val="000000"/>
          <w:sz w:val="24"/>
          <w:szCs w:val="24"/>
        </w:rPr>
      </w:pPr>
    </w:p>
    <w:p w:rsidR="00BD78D2" w:rsidRPr="00D444D3" w:rsidRDefault="00D43BD7">
      <w:pPr>
        <w:pBdr>
          <w:top w:val="nil"/>
          <w:left w:val="nil"/>
          <w:bottom w:val="nil"/>
          <w:right w:val="nil"/>
          <w:between w:val="nil"/>
        </w:pBdr>
        <w:spacing w:line="360" w:lineRule="auto"/>
        <w:ind w:left="851" w:right="-876"/>
        <w:rPr>
          <w:rFonts w:ascii="Palatino Linotype" w:eastAsia="Palatino Linotype" w:hAnsi="Palatino Linotype" w:cs="Palatino Linotype"/>
          <w:i/>
          <w:iCs/>
          <w:color w:val="000000"/>
          <w:sz w:val="24"/>
          <w:szCs w:val="24"/>
        </w:rPr>
      </w:pPr>
      <w:r w:rsidRPr="00D444D3">
        <w:rPr>
          <w:rFonts w:ascii="Palatino Linotype" w:eastAsia="Palatino Linotype" w:hAnsi="Palatino Linotype" w:cs="Palatino Linotype"/>
          <w:b/>
          <w:bCs/>
          <w:i/>
          <w:iCs/>
          <w:color w:val="000000"/>
          <w:sz w:val="24"/>
          <w:szCs w:val="24"/>
        </w:rPr>
        <w:t xml:space="preserve">“Artículo 179. </w:t>
      </w:r>
      <w:r w:rsidRPr="00D444D3">
        <w:rPr>
          <w:rFonts w:ascii="Palatino Linotype" w:eastAsia="Palatino Linotype" w:hAnsi="Palatino Linotype" w:cs="Palatino Linotype"/>
          <w:i/>
          <w:iCs/>
          <w:color w:val="000000"/>
          <w:sz w:val="24"/>
          <w:szCs w:val="24"/>
        </w:rPr>
        <w:t xml:space="preserve">El recurso de revisión es un medio de protección que la Ley otorga a los particulares, para hacer valer su derecho de acceso a la información pública, y procederá en contra de las siguientes causas: </w:t>
      </w:r>
    </w:p>
    <w:p w:rsidR="00BD78D2" w:rsidRPr="00D444D3" w:rsidRDefault="00D43BD7">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sz w:val="24"/>
          <w:szCs w:val="24"/>
        </w:rPr>
      </w:pPr>
      <w:r w:rsidRPr="00D444D3">
        <w:rPr>
          <w:rFonts w:ascii="Palatino Linotype" w:eastAsia="Palatino Linotype" w:hAnsi="Palatino Linotype" w:cs="Palatino Linotype"/>
          <w:b/>
          <w:bCs/>
          <w:i/>
          <w:iCs/>
          <w:color w:val="000000"/>
          <w:sz w:val="24"/>
          <w:szCs w:val="24"/>
        </w:rPr>
        <w:t>I.</w:t>
      </w:r>
      <w:r w:rsidRPr="00D444D3">
        <w:rPr>
          <w:rFonts w:ascii="Palatino Linotype" w:eastAsia="Palatino Linotype" w:hAnsi="Palatino Linotype" w:cs="Palatino Linotype"/>
          <w:i/>
          <w:iCs/>
          <w:color w:val="000000"/>
          <w:sz w:val="24"/>
          <w:szCs w:val="24"/>
        </w:rPr>
        <w:t xml:space="preserve"> La negativa a la información solicitada; </w:t>
      </w:r>
    </w:p>
    <w:p w:rsidR="00BD78D2" w:rsidRPr="00D444D3" w:rsidRDefault="00D43BD7">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sz w:val="24"/>
          <w:szCs w:val="24"/>
        </w:rPr>
      </w:pPr>
      <w:r w:rsidRPr="00D444D3">
        <w:rPr>
          <w:rFonts w:ascii="Palatino Linotype" w:eastAsia="Palatino Linotype" w:hAnsi="Palatino Linotype" w:cs="Palatino Linotype"/>
          <w:b/>
          <w:bCs/>
          <w:i/>
          <w:iCs/>
          <w:color w:val="000000"/>
          <w:sz w:val="24"/>
          <w:szCs w:val="24"/>
        </w:rPr>
        <w:t>II.</w:t>
      </w:r>
      <w:r w:rsidRPr="00D444D3">
        <w:rPr>
          <w:rFonts w:ascii="Palatino Linotype" w:eastAsia="Palatino Linotype" w:hAnsi="Palatino Linotype" w:cs="Palatino Linotype"/>
          <w:i/>
          <w:iCs/>
          <w:color w:val="000000"/>
          <w:sz w:val="24"/>
          <w:szCs w:val="24"/>
        </w:rPr>
        <w:t xml:space="preserve"> La clasificación de la información; </w:t>
      </w:r>
    </w:p>
    <w:p w:rsidR="00BD78D2" w:rsidRPr="00D444D3" w:rsidRDefault="00D43BD7">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sz w:val="24"/>
          <w:szCs w:val="24"/>
        </w:rPr>
      </w:pPr>
      <w:r w:rsidRPr="00D444D3">
        <w:rPr>
          <w:rFonts w:ascii="Palatino Linotype" w:eastAsia="Palatino Linotype" w:hAnsi="Palatino Linotype" w:cs="Palatino Linotype"/>
          <w:b/>
          <w:bCs/>
          <w:i/>
          <w:iCs/>
          <w:color w:val="000000"/>
          <w:sz w:val="24"/>
          <w:szCs w:val="24"/>
        </w:rPr>
        <w:t>III.</w:t>
      </w:r>
      <w:r w:rsidRPr="00D444D3">
        <w:rPr>
          <w:rFonts w:ascii="Palatino Linotype" w:eastAsia="Palatino Linotype" w:hAnsi="Palatino Linotype" w:cs="Palatino Linotype"/>
          <w:i/>
          <w:iCs/>
          <w:color w:val="000000"/>
          <w:sz w:val="24"/>
          <w:szCs w:val="24"/>
        </w:rPr>
        <w:t xml:space="preserve"> La declaración de inexistencia de la información; </w:t>
      </w:r>
    </w:p>
    <w:p w:rsidR="00BD78D2" w:rsidRPr="00D444D3" w:rsidRDefault="00D43BD7">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sz w:val="24"/>
          <w:szCs w:val="24"/>
        </w:rPr>
      </w:pPr>
      <w:r w:rsidRPr="00D444D3">
        <w:rPr>
          <w:rFonts w:ascii="Palatino Linotype" w:eastAsia="Palatino Linotype" w:hAnsi="Palatino Linotype" w:cs="Palatino Linotype"/>
          <w:b/>
          <w:bCs/>
          <w:i/>
          <w:iCs/>
          <w:color w:val="000000"/>
          <w:sz w:val="24"/>
          <w:szCs w:val="24"/>
        </w:rPr>
        <w:t>IV.</w:t>
      </w:r>
      <w:r w:rsidRPr="00D444D3">
        <w:rPr>
          <w:rFonts w:ascii="Palatino Linotype" w:eastAsia="Palatino Linotype" w:hAnsi="Palatino Linotype" w:cs="Palatino Linotype"/>
          <w:i/>
          <w:iCs/>
          <w:color w:val="000000"/>
          <w:sz w:val="24"/>
          <w:szCs w:val="24"/>
        </w:rPr>
        <w:t xml:space="preserve"> La declaración de incompetencia por el sujeto obligado; </w:t>
      </w:r>
    </w:p>
    <w:p w:rsidR="00BD78D2" w:rsidRPr="00D444D3" w:rsidRDefault="00D43BD7">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sz w:val="24"/>
          <w:szCs w:val="24"/>
        </w:rPr>
      </w:pPr>
      <w:r w:rsidRPr="00D444D3">
        <w:rPr>
          <w:rFonts w:ascii="Palatino Linotype" w:eastAsia="Palatino Linotype" w:hAnsi="Palatino Linotype" w:cs="Palatino Linotype"/>
          <w:b/>
          <w:bCs/>
          <w:i/>
          <w:iCs/>
          <w:color w:val="000000"/>
          <w:sz w:val="24"/>
          <w:szCs w:val="24"/>
        </w:rPr>
        <w:t>V.</w:t>
      </w:r>
      <w:r w:rsidRPr="00D444D3">
        <w:rPr>
          <w:rFonts w:ascii="Palatino Linotype" w:eastAsia="Palatino Linotype" w:hAnsi="Palatino Linotype" w:cs="Palatino Linotype"/>
          <w:i/>
          <w:iCs/>
          <w:color w:val="000000"/>
          <w:sz w:val="24"/>
          <w:szCs w:val="24"/>
        </w:rPr>
        <w:t xml:space="preserve"> La entrega de información incompleta; </w:t>
      </w:r>
    </w:p>
    <w:p w:rsidR="00BD78D2" w:rsidRPr="00D444D3" w:rsidRDefault="00D43BD7">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sz w:val="24"/>
          <w:szCs w:val="24"/>
        </w:rPr>
      </w:pPr>
      <w:r w:rsidRPr="00D444D3">
        <w:rPr>
          <w:rFonts w:ascii="Palatino Linotype" w:eastAsia="Palatino Linotype" w:hAnsi="Palatino Linotype" w:cs="Palatino Linotype"/>
          <w:b/>
          <w:bCs/>
          <w:i/>
          <w:iCs/>
          <w:color w:val="000000"/>
          <w:sz w:val="24"/>
          <w:szCs w:val="24"/>
        </w:rPr>
        <w:t>VI.</w:t>
      </w:r>
      <w:r w:rsidRPr="00D444D3">
        <w:rPr>
          <w:rFonts w:ascii="Palatino Linotype" w:eastAsia="Palatino Linotype" w:hAnsi="Palatino Linotype" w:cs="Palatino Linotype"/>
          <w:i/>
          <w:iCs/>
          <w:color w:val="000000"/>
          <w:sz w:val="24"/>
          <w:szCs w:val="24"/>
        </w:rPr>
        <w:t xml:space="preserve"> La entrega de información que no corresponda con lo solicitado; </w:t>
      </w:r>
    </w:p>
    <w:p w:rsidR="00BD78D2" w:rsidRPr="00D444D3" w:rsidRDefault="00D43BD7">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sz w:val="24"/>
          <w:szCs w:val="24"/>
        </w:rPr>
      </w:pPr>
      <w:r w:rsidRPr="00D444D3">
        <w:rPr>
          <w:rFonts w:ascii="Palatino Linotype" w:eastAsia="Palatino Linotype" w:hAnsi="Palatino Linotype" w:cs="Palatino Linotype"/>
          <w:b/>
          <w:bCs/>
          <w:i/>
          <w:iCs/>
          <w:color w:val="000000"/>
          <w:sz w:val="24"/>
          <w:szCs w:val="24"/>
        </w:rPr>
        <w:lastRenderedPageBreak/>
        <w:t>VII.</w:t>
      </w:r>
      <w:r w:rsidRPr="00D444D3">
        <w:rPr>
          <w:rFonts w:ascii="Palatino Linotype" w:eastAsia="Palatino Linotype" w:hAnsi="Palatino Linotype" w:cs="Palatino Linotype"/>
          <w:i/>
          <w:iCs/>
          <w:color w:val="000000"/>
          <w:sz w:val="24"/>
          <w:szCs w:val="24"/>
        </w:rPr>
        <w:t xml:space="preserve"> La falta de respuesta a una solicitud de acceso a la información; </w:t>
      </w:r>
    </w:p>
    <w:p w:rsidR="00BD78D2" w:rsidRPr="00D444D3" w:rsidRDefault="00D43BD7">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sz w:val="24"/>
          <w:szCs w:val="24"/>
        </w:rPr>
      </w:pPr>
      <w:r w:rsidRPr="00D444D3">
        <w:rPr>
          <w:rFonts w:ascii="Palatino Linotype" w:eastAsia="Palatino Linotype" w:hAnsi="Palatino Linotype" w:cs="Palatino Linotype"/>
          <w:b/>
          <w:bCs/>
          <w:i/>
          <w:iCs/>
          <w:color w:val="000000"/>
          <w:sz w:val="24"/>
          <w:szCs w:val="24"/>
        </w:rPr>
        <w:t>VIII.</w:t>
      </w:r>
      <w:r w:rsidRPr="00D444D3">
        <w:rPr>
          <w:rFonts w:ascii="Palatino Linotype" w:eastAsia="Palatino Linotype" w:hAnsi="Palatino Linotype" w:cs="Palatino Linotype"/>
          <w:i/>
          <w:iCs/>
          <w:color w:val="000000"/>
          <w:sz w:val="24"/>
          <w:szCs w:val="24"/>
        </w:rPr>
        <w:t xml:space="preserve"> La notificación, entrega o puesta a disposición de información en una modalidad o formato distinto al solicitado; </w:t>
      </w:r>
    </w:p>
    <w:p w:rsidR="00BD78D2" w:rsidRPr="00D444D3" w:rsidRDefault="00D43BD7">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sz w:val="24"/>
          <w:szCs w:val="24"/>
        </w:rPr>
      </w:pPr>
      <w:r w:rsidRPr="00D444D3">
        <w:rPr>
          <w:rFonts w:ascii="Palatino Linotype" w:eastAsia="Palatino Linotype" w:hAnsi="Palatino Linotype" w:cs="Palatino Linotype"/>
          <w:b/>
          <w:bCs/>
          <w:i/>
          <w:iCs/>
          <w:color w:val="000000"/>
          <w:sz w:val="24"/>
          <w:szCs w:val="24"/>
        </w:rPr>
        <w:t xml:space="preserve">IX. </w:t>
      </w:r>
      <w:r w:rsidRPr="00D444D3">
        <w:rPr>
          <w:rFonts w:ascii="Palatino Linotype" w:eastAsia="Palatino Linotype" w:hAnsi="Palatino Linotype" w:cs="Palatino Linotype"/>
          <w:i/>
          <w:iCs/>
          <w:color w:val="000000"/>
          <w:sz w:val="24"/>
          <w:szCs w:val="24"/>
        </w:rPr>
        <w:t xml:space="preserve">La entrega o puesta a disposición de información en un formato incomprensible y/o no accesible para el solicitante; </w:t>
      </w:r>
    </w:p>
    <w:p w:rsidR="00BD78D2" w:rsidRPr="00D444D3" w:rsidRDefault="00D43BD7">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sz w:val="24"/>
          <w:szCs w:val="24"/>
        </w:rPr>
      </w:pPr>
      <w:r w:rsidRPr="00D444D3">
        <w:rPr>
          <w:rFonts w:ascii="Palatino Linotype" w:eastAsia="Palatino Linotype" w:hAnsi="Palatino Linotype" w:cs="Palatino Linotype"/>
          <w:b/>
          <w:bCs/>
          <w:i/>
          <w:iCs/>
          <w:color w:val="000000"/>
          <w:sz w:val="24"/>
          <w:szCs w:val="24"/>
        </w:rPr>
        <w:t>X.</w:t>
      </w:r>
      <w:r w:rsidRPr="00D444D3">
        <w:rPr>
          <w:rFonts w:ascii="Palatino Linotype" w:eastAsia="Palatino Linotype" w:hAnsi="Palatino Linotype" w:cs="Palatino Linotype"/>
          <w:i/>
          <w:iCs/>
          <w:color w:val="000000"/>
          <w:sz w:val="24"/>
          <w:szCs w:val="24"/>
        </w:rPr>
        <w:t xml:space="preserve"> Los costos o tiempos de entrega de la información; </w:t>
      </w:r>
    </w:p>
    <w:p w:rsidR="00BD78D2" w:rsidRPr="00D444D3" w:rsidRDefault="00D43BD7">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sz w:val="24"/>
          <w:szCs w:val="24"/>
        </w:rPr>
      </w:pPr>
      <w:r w:rsidRPr="00D444D3">
        <w:rPr>
          <w:rFonts w:ascii="Palatino Linotype" w:eastAsia="Palatino Linotype" w:hAnsi="Palatino Linotype" w:cs="Palatino Linotype"/>
          <w:b/>
          <w:bCs/>
          <w:i/>
          <w:iCs/>
          <w:color w:val="000000"/>
          <w:sz w:val="24"/>
          <w:szCs w:val="24"/>
        </w:rPr>
        <w:t>XI.</w:t>
      </w:r>
      <w:r w:rsidRPr="00D444D3">
        <w:rPr>
          <w:rFonts w:ascii="Palatino Linotype" w:eastAsia="Palatino Linotype" w:hAnsi="Palatino Linotype" w:cs="Palatino Linotype"/>
          <w:i/>
          <w:iCs/>
          <w:color w:val="000000"/>
          <w:sz w:val="24"/>
          <w:szCs w:val="24"/>
        </w:rPr>
        <w:t xml:space="preserve"> La falta de trámite a una solicitud; </w:t>
      </w:r>
    </w:p>
    <w:p w:rsidR="00BD78D2" w:rsidRPr="00D444D3" w:rsidRDefault="00D43BD7">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sz w:val="24"/>
          <w:szCs w:val="24"/>
        </w:rPr>
      </w:pPr>
      <w:r w:rsidRPr="00D444D3">
        <w:rPr>
          <w:rFonts w:ascii="Palatino Linotype" w:eastAsia="Palatino Linotype" w:hAnsi="Palatino Linotype" w:cs="Palatino Linotype"/>
          <w:b/>
          <w:bCs/>
          <w:i/>
          <w:iCs/>
          <w:color w:val="000000"/>
          <w:sz w:val="24"/>
          <w:szCs w:val="24"/>
        </w:rPr>
        <w:t>XII.</w:t>
      </w:r>
      <w:r w:rsidRPr="00D444D3">
        <w:rPr>
          <w:rFonts w:ascii="Palatino Linotype" w:eastAsia="Palatino Linotype" w:hAnsi="Palatino Linotype" w:cs="Palatino Linotype"/>
          <w:i/>
          <w:iCs/>
          <w:color w:val="000000"/>
          <w:sz w:val="24"/>
          <w:szCs w:val="24"/>
        </w:rPr>
        <w:t xml:space="preserve"> La negativa a permitir la consulta directa de la información; </w:t>
      </w:r>
    </w:p>
    <w:p w:rsidR="00BD78D2" w:rsidRPr="00D444D3" w:rsidRDefault="00D43BD7">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sz w:val="24"/>
          <w:szCs w:val="24"/>
        </w:rPr>
      </w:pPr>
      <w:r w:rsidRPr="00D444D3">
        <w:rPr>
          <w:rFonts w:ascii="Palatino Linotype" w:eastAsia="Palatino Linotype" w:hAnsi="Palatino Linotype" w:cs="Palatino Linotype"/>
          <w:b/>
          <w:bCs/>
          <w:i/>
          <w:iCs/>
          <w:color w:val="000000"/>
          <w:sz w:val="24"/>
          <w:szCs w:val="24"/>
        </w:rPr>
        <w:t>XIII.</w:t>
      </w:r>
      <w:r w:rsidRPr="00D444D3">
        <w:rPr>
          <w:rFonts w:ascii="Palatino Linotype" w:eastAsia="Palatino Linotype" w:hAnsi="Palatino Linotype" w:cs="Palatino Linotype"/>
          <w:i/>
          <w:iCs/>
          <w:color w:val="000000"/>
          <w:sz w:val="24"/>
          <w:szCs w:val="24"/>
        </w:rPr>
        <w:t xml:space="preserve"> La falta, deficiencia o insuficiencia de la fundamentación y/o motivación en la respuesta; y </w:t>
      </w:r>
    </w:p>
    <w:p w:rsidR="00BD78D2" w:rsidRPr="00D444D3" w:rsidRDefault="00D43BD7">
      <w:pPr>
        <w:pBdr>
          <w:top w:val="nil"/>
          <w:left w:val="nil"/>
          <w:bottom w:val="nil"/>
          <w:right w:val="nil"/>
          <w:between w:val="nil"/>
        </w:pBdr>
        <w:spacing w:line="360" w:lineRule="auto"/>
        <w:ind w:left="851" w:right="-876"/>
        <w:rPr>
          <w:rFonts w:ascii="Palatino Linotype" w:eastAsia="Palatino Linotype" w:hAnsi="Palatino Linotype" w:cs="Palatino Linotype"/>
          <w:i/>
          <w:iCs/>
          <w:color w:val="000000"/>
          <w:sz w:val="24"/>
          <w:szCs w:val="24"/>
        </w:rPr>
      </w:pPr>
      <w:r w:rsidRPr="00D444D3">
        <w:rPr>
          <w:rFonts w:ascii="Palatino Linotype" w:eastAsia="Palatino Linotype" w:hAnsi="Palatino Linotype" w:cs="Palatino Linotype"/>
          <w:b/>
          <w:bCs/>
          <w:i/>
          <w:iCs/>
          <w:color w:val="000000"/>
          <w:sz w:val="24"/>
          <w:szCs w:val="24"/>
        </w:rPr>
        <w:t>XIV.</w:t>
      </w:r>
      <w:r w:rsidRPr="00D444D3">
        <w:rPr>
          <w:rFonts w:ascii="Palatino Linotype" w:eastAsia="Palatino Linotype" w:hAnsi="Palatino Linotype" w:cs="Palatino Linotype"/>
          <w:i/>
          <w:iCs/>
          <w:color w:val="000000"/>
          <w:sz w:val="24"/>
          <w:szCs w:val="24"/>
        </w:rPr>
        <w:t xml:space="preserve"> La orientación a un trámite específico.</w:t>
      </w:r>
    </w:p>
    <w:p w:rsidR="00BD78D2" w:rsidRPr="00D444D3" w:rsidRDefault="00D43BD7">
      <w:pPr>
        <w:pBdr>
          <w:top w:val="nil"/>
          <w:left w:val="nil"/>
          <w:bottom w:val="nil"/>
          <w:right w:val="nil"/>
          <w:between w:val="nil"/>
        </w:pBdr>
        <w:spacing w:line="360" w:lineRule="auto"/>
        <w:ind w:left="851" w:right="-876"/>
        <w:rPr>
          <w:rFonts w:ascii="Palatino Linotype" w:eastAsia="Palatino Linotype" w:hAnsi="Palatino Linotype" w:cs="Palatino Linotype"/>
          <w:i/>
          <w:iCs/>
          <w:color w:val="000000"/>
          <w:sz w:val="24"/>
          <w:szCs w:val="24"/>
        </w:rPr>
      </w:pPr>
      <w:r w:rsidRPr="00D444D3">
        <w:rPr>
          <w:rFonts w:ascii="Palatino Linotype" w:eastAsia="Palatino Linotype" w:hAnsi="Palatino Linotype" w:cs="Palatino Linotype"/>
          <w:i/>
          <w:iCs/>
          <w:color w:val="000000"/>
          <w:sz w:val="24"/>
          <w:szCs w:val="24"/>
        </w:rPr>
        <w:t>...”</w:t>
      </w:r>
    </w:p>
    <w:p w:rsidR="00BD78D2" w:rsidRPr="00D444D3" w:rsidRDefault="00BD78D2">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sz w:val="24"/>
          <w:szCs w:val="24"/>
        </w:rPr>
      </w:pPr>
    </w:p>
    <w:p w:rsidR="00BD78D2" w:rsidRPr="00D444D3" w:rsidRDefault="00D43BD7">
      <w:pPr>
        <w:numPr>
          <w:ilvl w:val="0"/>
          <w:numId w:val="3"/>
        </w:numPr>
        <w:pBdr>
          <w:top w:val="nil"/>
          <w:left w:val="nil"/>
          <w:bottom w:val="nil"/>
          <w:right w:val="nil"/>
          <w:between w:val="nil"/>
        </w:pBdr>
        <w:tabs>
          <w:tab w:val="left" w:pos="426"/>
        </w:tabs>
        <w:spacing w:line="360" w:lineRule="auto"/>
        <w:ind w:left="0" w:right="-876" w:firstLine="0"/>
        <w:jc w:val="both"/>
        <w:rPr>
          <w:rFonts w:ascii="Palatino Linotype" w:eastAsia="Palatino Linotype" w:hAnsi="Palatino Linotype" w:cs="Palatino Linotype"/>
          <w:color w:val="000000"/>
          <w:sz w:val="24"/>
          <w:szCs w:val="24"/>
        </w:rPr>
      </w:pPr>
      <w:r w:rsidRPr="00D444D3">
        <w:rPr>
          <w:rFonts w:ascii="Palatino Linotype" w:eastAsia="Palatino Linotype" w:hAnsi="Palatino Linotype" w:cs="Palatino Linotype"/>
          <w:color w:val="000000"/>
          <w:sz w:val="24"/>
          <w:szCs w:val="24"/>
        </w:rPr>
        <w:t>Puntualizado lo anterior, es necesario precisar que en el presente recurso de revisión, se dictó una resolución en la Primera Sesión Ordinaria, celebrada el catorce  de enero de dos mil veintiséis, en la que se determinó como causal de procedencia, la fracción VII, del artículo 179 de la Ley de Transparencia y Acceso a la Información Pública del Estado de México y Municipios, en la que se ordenó dar trámite a la solicitud de información, tal como se reitera en las siguientes líneas:</w:t>
      </w:r>
    </w:p>
    <w:p w:rsidR="00BD78D2" w:rsidRPr="00D444D3" w:rsidRDefault="00D43BD7">
      <w:pPr>
        <w:pBdr>
          <w:top w:val="nil"/>
          <w:left w:val="nil"/>
          <w:bottom w:val="nil"/>
          <w:right w:val="nil"/>
          <w:between w:val="nil"/>
        </w:pBdr>
        <w:spacing w:line="360" w:lineRule="auto"/>
        <w:ind w:left="426" w:right="-876"/>
        <w:jc w:val="both"/>
        <w:rPr>
          <w:rFonts w:ascii="Palatino Linotype" w:eastAsia="Palatino Linotype" w:hAnsi="Palatino Linotype" w:cs="Palatino Linotype"/>
          <w:i/>
          <w:iCs/>
          <w:color w:val="000000"/>
          <w:sz w:val="24"/>
          <w:szCs w:val="24"/>
        </w:rPr>
      </w:pPr>
      <w:r w:rsidRPr="00D444D3">
        <w:rPr>
          <w:rFonts w:ascii="Palatino Linotype" w:eastAsia="Palatino Linotype" w:hAnsi="Palatino Linotype" w:cs="Palatino Linotype"/>
          <w:i/>
          <w:iCs/>
          <w:color w:val="000000"/>
          <w:sz w:val="24"/>
          <w:szCs w:val="24"/>
        </w:rPr>
        <w:t xml:space="preserve">“PRIMERO. Resultan fundadas las razones o motivos de inconformidad hechos valer por LA RECURRENTE, en términos del considerando TERCERO, de la presente resolución. </w:t>
      </w:r>
    </w:p>
    <w:p w:rsidR="00BD78D2" w:rsidRPr="00D444D3" w:rsidRDefault="00BD78D2">
      <w:pPr>
        <w:pBdr>
          <w:top w:val="nil"/>
          <w:left w:val="nil"/>
          <w:bottom w:val="nil"/>
          <w:right w:val="nil"/>
          <w:between w:val="nil"/>
        </w:pBdr>
        <w:spacing w:line="360" w:lineRule="auto"/>
        <w:ind w:left="426" w:right="-876"/>
        <w:jc w:val="both"/>
        <w:rPr>
          <w:rFonts w:ascii="Palatino Linotype" w:eastAsia="Palatino Linotype" w:hAnsi="Palatino Linotype" w:cs="Palatino Linotype"/>
          <w:i/>
          <w:iCs/>
          <w:color w:val="000000"/>
          <w:sz w:val="24"/>
          <w:szCs w:val="24"/>
        </w:rPr>
      </w:pPr>
    </w:p>
    <w:p w:rsidR="00BD78D2" w:rsidRPr="00D444D3" w:rsidRDefault="00D43BD7">
      <w:pPr>
        <w:pBdr>
          <w:top w:val="nil"/>
          <w:left w:val="nil"/>
          <w:bottom w:val="nil"/>
          <w:right w:val="nil"/>
          <w:between w:val="nil"/>
        </w:pBdr>
        <w:spacing w:line="360" w:lineRule="auto"/>
        <w:ind w:left="426" w:right="-876"/>
        <w:jc w:val="both"/>
        <w:rPr>
          <w:rFonts w:ascii="Palatino Linotype" w:eastAsia="Palatino Linotype" w:hAnsi="Palatino Linotype" w:cs="Palatino Linotype"/>
          <w:i/>
          <w:iCs/>
          <w:color w:val="000000"/>
          <w:sz w:val="24"/>
          <w:szCs w:val="24"/>
        </w:rPr>
      </w:pPr>
      <w:r w:rsidRPr="00D444D3">
        <w:rPr>
          <w:rFonts w:ascii="Palatino Linotype" w:eastAsia="Palatino Linotype" w:hAnsi="Palatino Linotype" w:cs="Palatino Linotype"/>
          <w:i/>
          <w:iCs/>
          <w:color w:val="000000"/>
          <w:sz w:val="24"/>
          <w:szCs w:val="24"/>
        </w:rPr>
        <w:lastRenderedPageBreak/>
        <w:t>SEGUNDO. Se ORDENA al Sujeto Obligado atienda la solicitud de información folio 00011/DIFAXAPUSCO/IP/2025, vía Sistema de Acceso a la Información Mexiquense (SAIMEX), en términos del Considerando TERCERO de esta resolución</w:t>
      </w:r>
    </w:p>
    <w:p w:rsidR="00BD78D2" w:rsidRPr="00D444D3" w:rsidRDefault="00D43BD7">
      <w:pPr>
        <w:pBdr>
          <w:top w:val="nil"/>
          <w:left w:val="nil"/>
          <w:bottom w:val="nil"/>
          <w:right w:val="nil"/>
          <w:between w:val="nil"/>
        </w:pBdr>
        <w:spacing w:line="360" w:lineRule="auto"/>
        <w:ind w:left="426" w:right="-876"/>
        <w:jc w:val="center"/>
        <w:rPr>
          <w:rFonts w:ascii="Palatino Linotype" w:eastAsia="Palatino Linotype" w:hAnsi="Palatino Linotype" w:cs="Palatino Linotype"/>
          <w:color w:val="000000"/>
          <w:sz w:val="24"/>
          <w:szCs w:val="24"/>
        </w:rPr>
      </w:pPr>
      <w:r w:rsidRPr="00D444D3">
        <w:rPr>
          <w:rFonts w:ascii="Palatino Linotype" w:eastAsia="Palatino Linotype" w:hAnsi="Palatino Linotype" w:cs="Palatino Linotype"/>
          <w:color w:val="000000"/>
          <w:sz w:val="24"/>
          <w:szCs w:val="24"/>
        </w:rPr>
        <w:t>(…)</w:t>
      </w:r>
    </w:p>
    <w:p w:rsidR="00BD78D2" w:rsidRPr="00D444D3" w:rsidRDefault="00BD78D2">
      <w:pPr>
        <w:pBdr>
          <w:top w:val="nil"/>
          <w:left w:val="nil"/>
          <w:bottom w:val="nil"/>
          <w:right w:val="nil"/>
          <w:between w:val="nil"/>
        </w:pBdr>
        <w:spacing w:line="360" w:lineRule="auto"/>
        <w:ind w:left="851" w:right="-876"/>
        <w:jc w:val="both"/>
        <w:rPr>
          <w:rFonts w:ascii="Palatino Linotype" w:eastAsia="Palatino Linotype" w:hAnsi="Palatino Linotype" w:cs="Palatino Linotype"/>
          <w:color w:val="000000"/>
          <w:sz w:val="24"/>
          <w:szCs w:val="24"/>
        </w:rPr>
      </w:pPr>
    </w:p>
    <w:p w:rsidR="00BD78D2" w:rsidRPr="00D444D3" w:rsidRDefault="00D43BD7">
      <w:pPr>
        <w:numPr>
          <w:ilvl w:val="0"/>
          <w:numId w:val="3"/>
        </w:numPr>
        <w:pBdr>
          <w:top w:val="nil"/>
          <w:left w:val="nil"/>
          <w:bottom w:val="nil"/>
          <w:right w:val="nil"/>
          <w:between w:val="nil"/>
        </w:pBdr>
        <w:tabs>
          <w:tab w:val="left" w:pos="426"/>
        </w:tabs>
        <w:spacing w:line="360" w:lineRule="auto"/>
        <w:ind w:left="0" w:right="-876" w:firstLine="0"/>
        <w:jc w:val="both"/>
        <w:rPr>
          <w:rFonts w:ascii="Palatino Linotype" w:eastAsia="Palatino Linotype" w:hAnsi="Palatino Linotype" w:cs="Palatino Linotype"/>
          <w:color w:val="000000"/>
          <w:sz w:val="24"/>
          <w:szCs w:val="24"/>
        </w:rPr>
      </w:pPr>
      <w:r w:rsidRPr="00D444D3">
        <w:rPr>
          <w:rFonts w:ascii="Palatino Linotype" w:eastAsia="Palatino Linotype" w:hAnsi="Palatino Linotype" w:cs="Palatino Linotype"/>
          <w:color w:val="000000"/>
          <w:sz w:val="24"/>
          <w:szCs w:val="24"/>
        </w:rPr>
        <w:t xml:space="preserve">Es de resaltar que, el </w:t>
      </w:r>
      <w:r w:rsidRPr="00D444D3">
        <w:rPr>
          <w:rFonts w:ascii="Palatino Linotype" w:eastAsia="Palatino Linotype" w:hAnsi="Palatino Linotype" w:cs="Palatino Linotype"/>
          <w:b/>
          <w:bCs/>
          <w:color w:val="000000"/>
          <w:sz w:val="24"/>
          <w:szCs w:val="24"/>
        </w:rPr>
        <w:t>RECURRENTE</w:t>
      </w:r>
      <w:r w:rsidRPr="00D444D3">
        <w:rPr>
          <w:rFonts w:ascii="Palatino Linotype" w:eastAsia="Palatino Linotype" w:hAnsi="Palatino Linotype" w:cs="Palatino Linotype"/>
          <w:color w:val="000000"/>
          <w:sz w:val="24"/>
          <w:szCs w:val="24"/>
        </w:rPr>
        <w:t xml:space="preserve"> tiene derecho a interponer nuevamente Recurso de Revisión ante este Instituto, </w:t>
      </w:r>
      <w:r w:rsidRPr="00D444D3">
        <w:rPr>
          <w:rFonts w:ascii="Palatino Linotype" w:eastAsia="Palatino Linotype" w:hAnsi="Palatino Linotype" w:cs="Palatino Linotype"/>
          <w:b/>
          <w:bCs/>
          <w:color w:val="000000"/>
          <w:sz w:val="24"/>
          <w:szCs w:val="24"/>
        </w:rPr>
        <w:t>por la respuesta emitida</w:t>
      </w:r>
      <w:r w:rsidRPr="00D444D3">
        <w:rPr>
          <w:rFonts w:ascii="Palatino Linotype" w:eastAsia="Palatino Linotype" w:hAnsi="Palatino Linotype" w:cs="Palatino Linotype"/>
          <w:color w:val="000000"/>
          <w:sz w:val="24"/>
          <w:szCs w:val="24"/>
        </w:rPr>
        <w:t xml:space="preserve"> por el </w:t>
      </w:r>
      <w:r w:rsidRPr="00D444D3">
        <w:rPr>
          <w:rFonts w:ascii="Palatino Linotype" w:eastAsia="Palatino Linotype" w:hAnsi="Palatino Linotype" w:cs="Palatino Linotype"/>
          <w:b/>
          <w:bCs/>
          <w:color w:val="000000"/>
          <w:sz w:val="24"/>
          <w:szCs w:val="24"/>
        </w:rPr>
        <w:t>SUJETO OBLIGADO</w:t>
      </w:r>
      <w:r w:rsidRPr="00D444D3">
        <w:rPr>
          <w:rFonts w:ascii="Palatino Linotype" w:eastAsia="Palatino Linotype" w:hAnsi="Palatino Linotype" w:cs="Palatino Linotype"/>
          <w:color w:val="000000"/>
          <w:sz w:val="24"/>
          <w:szCs w:val="24"/>
        </w:rPr>
        <w:t xml:space="preserve"> </w:t>
      </w:r>
      <w:r w:rsidRPr="00D444D3">
        <w:rPr>
          <w:rFonts w:ascii="Palatino Linotype" w:eastAsia="Palatino Linotype" w:hAnsi="Palatino Linotype" w:cs="Palatino Linotype"/>
          <w:b/>
          <w:bCs/>
          <w:color w:val="000000"/>
          <w:sz w:val="24"/>
          <w:szCs w:val="24"/>
        </w:rPr>
        <w:t>en cumplimiento a la resolución</w:t>
      </w:r>
      <w:r w:rsidRPr="00D444D3">
        <w:rPr>
          <w:rFonts w:ascii="Palatino Linotype" w:eastAsia="Palatino Linotype" w:hAnsi="Palatino Linotype" w:cs="Palatino Linotype"/>
          <w:color w:val="000000"/>
          <w:sz w:val="24"/>
          <w:szCs w:val="24"/>
        </w:rPr>
        <w:t>, tal y como lo contempla el último párrafo del artículo 179 de la Ley de Transparencia y Acceso a la Información Pública del Estado de México y Municipios:</w:t>
      </w:r>
    </w:p>
    <w:p w:rsidR="00BD78D2" w:rsidRPr="00D444D3" w:rsidRDefault="00D43BD7">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sz w:val="24"/>
          <w:szCs w:val="24"/>
        </w:rPr>
      </w:pPr>
      <w:r w:rsidRPr="00D444D3">
        <w:rPr>
          <w:rFonts w:ascii="Palatino Linotype" w:eastAsia="Palatino Linotype" w:hAnsi="Palatino Linotype" w:cs="Palatino Linotype"/>
          <w:i/>
          <w:iCs/>
          <w:color w:val="000000"/>
          <w:sz w:val="24"/>
          <w:szCs w:val="24"/>
        </w:rPr>
        <w:t>“</w:t>
      </w:r>
      <w:r w:rsidRPr="00D444D3">
        <w:rPr>
          <w:rFonts w:ascii="Palatino Linotype" w:eastAsia="Palatino Linotype" w:hAnsi="Palatino Linotype" w:cs="Palatino Linotype"/>
          <w:b/>
          <w:bCs/>
          <w:i/>
          <w:iCs/>
          <w:color w:val="000000"/>
          <w:sz w:val="24"/>
          <w:szCs w:val="24"/>
        </w:rPr>
        <w:t>Artículo 179.</w:t>
      </w:r>
      <w:r w:rsidRPr="00D444D3">
        <w:rPr>
          <w:rFonts w:ascii="Palatino Linotype" w:eastAsia="Palatino Linotype" w:hAnsi="Palatino Linotype" w:cs="Palatino Linotype"/>
          <w:i/>
          <w:iCs/>
          <w:color w:val="000000"/>
          <w:sz w:val="24"/>
          <w:szCs w:val="24"/>
        </w:rPr>
        <w:t xml:space="preserve"> El recurso de revisión es un medio de protección que la Ley otorga a los particulares, para hacer valer su derecho de acceso a la información pública, y procederá en contra de las siguientes causas:</w:t>
      </w:r>
    </w:p>
    <w:p w:rsidR="00BD78D2" w:rsidRPr="00D444D3" w:rsidRDefault="00D43BD7">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sz w:val="24"/>
          <w:szCs w:val="24"/>
        </w:rPr>
      </w:pPr>
      <w:r w:rsidRPr="00D444D3">
        <w:rPr>
          <w:rFonts w:ascii="Palatino Linotype" w:eastAsia="Palatino Linotype" w:hAnsi="Palatino Linotype" w:cs="Palatino Linotype"/>
          <w:i/>
          <w:iCs/>
          <w:color w:val="000000"/>
          <w:sz w:val="24"/>
          <w:szCs w:val="24"/>
        </w:rPr>
        <w:t>(…)</w:t>
      </w:r>
    </w:p>
    <w:p w:rsidR="00BD78D2" w:rsidRPr="00D444D3" w:rsidRDefault="00D43BD7">
      <w:pPr>
        <w:pBdr>
          <w:top w:val="nil"/>
          <w:left w:val="nil"/>
          <w:bottom w:val="nil"/>
          <w:right w:val="nil"/>
          <w:between w:val="nil"/>
        </w:pBdr>
        <w:spacing w:line="360" w:lineRule="auto"/>
        <w:ind w:left="851" w:right="-876"/>
        <w:jc w:val="both"/>
        <w:rPr>
          <w:rFonts w:ascii="Palatino Linotype" w:eastAsia="Palatino Linotype" w:hAnsi="Palatino Linotype" w:cs="Palatino Linotype"/>
          <w:color w:val="000000"/>
          <w:sz w:val="24"/>
          <w:szCs w:val="24"/>
        </w:rPr>
      </w:pPr>
      <w:r w:rsidRPr="00D444D3">
        <w:rPr>
          <w:rFonts w:ascii="Palatino Linotype" w:eastAsia="Palatino Linotype" w:hAnsi="Palatino Linotype" w:cs="Palatino Linotype"/>
          <w:b/>
          <w:bCs/>
          <w:i/>
          <w:iCs/>
          <w:color w:val="000000"/>
          <w:sz w:val="24"/>
          <w:szCs w:val="24"/>
        </w:rPr>
        <w:t>La respuesta que den los sujetos obligados derivada de la resolución a un recurso de revisión</w:t>
      </w:r>
      <w:r w:rsidRPr="00D444D3">
        <w:rPr>
          <w:rFonts w:ascii="Palatino Linotype" w:eastAsia="Palatino Linotype" w:hAnsi="Palatino Linotype" w:cs="Palatino Linotype"/>
          <w:i/>
          <w:iCs/>
          <w:color w:val="000000"/>
          <w:sz w:val="24"/>
          <w:szCs w:val="24"/>
        </w:rPr>
        <w:t xml:space="preserve"> que proceda por las causales señaladas en las fracciones IV, VII, IX, X, XI y XII es susceptible de ser impugnada de nueva cuenta, mediante recurso de revisión, ante el Instituto.” </w:t>
      </w:r>
      <w:r w:rsidRPr="00D444D3">
        <w:rPr>
          <w:rFonts w:ascii="Palatino Linotype" w:eastAsia="Palatino Linotype" w:hAnsi="Palatino Linotype" w:cs="Palatino Linotype"/>
          <w:color w:val="000000"/>
          <w:sz w:val="24"/>
          <w:szCs w:val="24"/>
        </w:rPr>
        <w:t>Énfasis añadido</w:t>
      </w:r>
    </w:p>
    <w:p w:rsidR="00BD78D2" w:rsidRPr="00D444D3" w:rsidRDefault="00BD78D2">
      <w:pPr>
        <w:pBdr>
          <w:top w:val="nil"/>
          <w:left w:val="nil"/>
          <w:bottom w:val="nil"/>
          <w:right w:val="nil"/>
          <w:between w:val="nil"/>
        </w:pBdr>
        <w:spacing w:line="360" w:lineRule="auto"/>
        <w:ind w:left="851" w:right="-876"/>
        <w:jc w:val="both"/>
        <w:rPr>
          <w:rFonts w:ascii="Palatino Linotype" w:eastAsia="Palatino Linotype" w:hAnsi="Palatino Linotype" w:cs="Palatino Linotype"/>
          <w:color w:val="000000"/>
          <w:sz w:val="24"/>
          <w:szCs w:val="24"/>
        </w:rPr>
      </w:pPr>
    </w:p>
    <w:p w:rsidR="00BD78D2" w:rsidRPr="00D444D3" w:rsidRDefault="00D43BD7">
      <w:pPr>
        <w:numPr>
          <w:ilvl w:val="0"/>
          <w:numId w:val="3"/>
        </w:numPr>
        <w:pBdr>
          <w:top w:val="nil"/>
          <w:left w:val="nil"/>
          <w:bottom w:val="nil"/>
          <w:right w:val="nil"/>
          <w:between w:val="nil"/>
        </w:pBdr>
        <w:tabs>
          <w:tab w:val="left" w:pos="426"/>
        </w:tabs>
        <w:spacing w:line="360" w:lineRule="auto"/>
        <w:ind w:left="0" w:right="-876" w:firstLine="0"/>
        <w:jc w:val="both"/>
        <w:rPr>
          <w:rFonts w:ascii="Palatino Linotype" w:eastAsia="Palatino Linotype" w:hAnsi="Palatino Linotype" w:cs="Palatino Linotype"/>
          <w:color w:val="000000"/>
          <w:sz w:val="24"/>
          <w:szCs w:val="24"/>
        </w:rPr>
      </w:pPr>
      <w:r w:rsidRPr="00D444D3">
        <w:rPr>
          <w:rFonts w:ascii="Palatino Linotype" w:eastAsia="Palatino Linotype" w:hAnsi="Palatino Linotype" w:cs="Palatino Linotype"/>
          <w:color w:val="000000"/>
          <w:sz w:val="24"/>
          <w:szCs w:val="24"/>
        </w:rPr>
        <w:t xml:space="preserve">Como se advierte del precepto legal, </w:t>
      </w:r>
      <w:r w:rsidRPr="00D444D3">
        <w:rPr>
          <w:rFonts w:ascii="Palatino Linotype" w:eastAsia="Palatino Linotype" w:hAnsi="Palatino Linotype" w:cs="Palatino Linotype"/>
          <w:b/>
          <w:bCs/>
          <w:color w:val="000000"/>
          <w:sz w:val="24"/>
          <w:szCs w:val="24"/>
        </w:rPr>
        <w:t>únicamente se puede interponer recurso de revisión ante la respuesta</w:t>
      </w:r>
      <w:r w:rsidRPr="00D444D3">
        <w:rPr>
          <w:rFonts w:ascii="Palatino Linotype" w:eastAsia="Palatino Linotype" w:hAnsi="Palatino Linotype" w:cs="Palatino Linotype"/>
          <w:color w:val="000000"/>
          <w:sz w:val="24"/>
          <w:szCs w:val="24"/>
        </w:rPr>
        <w:t xml:space="preserve"> del </w:t>
      </w:r>
      <w:r w:rsidRPr="00D444D3">
        <w:rPr>
          <w:rFonts w:ascii="Palatino Linotype" w:eastAsia="Palatino Linotype" w:hAnsi="Palatino Linotype" w:cs="Palatino Linotype"/>
          <w:b/>
          <w:bCs/>
          <w:color w:val="000000"/>
          <w:sz w:val="24"/>
          <w:szCs w:val="24"/>
        </w:rPr>
        <w:t>SUJETO OBLIGADO</w:t>
      </w:r>
      <w:r w:rsidRPr="00D444D3">
        <w:rPr>
          <w:rFonts w:ascii="Palatino Linotype" w:eastAsia="Palatino Linotype" w:hAnsi="Palatino Linotype" w:cs="Palatino Linotype"/>
          <w:color w:val="000000"/>
          <w:sz w:val="24"/>
          <w:szCs w:val="24"/>
        </w:rPr>
        <w:t xml:space="preserve"> </w:t>
      </w:r>
      <w:r w:rsidRPr="00D444D3">
        <w:rPr>
          <w:rFonts w:ascii="Palatino Linotype" w:eastAsia="Palatino Linotype" w:hAnsi="Palatino Linotype" w:cs="Palatino Linotype"/>
          <w:b/>
          <w:bCs/>
          <w:color w:val="000000"/>
          <w:sz w:val="24"/>
          <w:szCs w:val="24"/>
        </w:rPr>
        <w:t>en cumplimiento de la resolución dictada por el Pleno</w:t>
      </w:r>
      <w:r w:rsidRPr="00D444D3">
        <w:rPr>
          <w:rFonts w:ascii="Palatino Linotype" w:eastAsia="Palatino Linotype" w:hAnsi="Palatino Linotype" w:cs="Palatino Linotype"/>
          <w:color w:val="000000"/>
          <w:sz w:val="24"/>
          <w:szCs w:val="24"/>
        </w:rPr>
        <w:t xml:space="preserve"> de este Instituto y que hayan derivado de un Medio de Impugnación en donde la causal de procedencia fuera alguna de las fracciones referidas en el último párrafo, del artículo 179 referido. </w:t>
      </w:r>
    </w:p>
    <w:p w:rsidR="00BD78D2" w:rsidRPr="00D444D3" w:rsidRDefault="00D43BD7">
      <w:pPr>
        <w:numPr>
          <w:ilvl w:val="0"/>
          <w:numId w:val="3"/>
        </w:numPr>
        <w:pBdr>
          <w:top w:val="nil"/>
          <w:left w:val="nil"/>
          <w:bottom w:val="nil"/>
          <w:right w:val="nil"/>
          <w:between w:val="nil"/>
        </w:pBdr>
        <w:tabs>
          <w:tab w:val="left" w:pos="426"/>
        </w:tabs>
        <w:spacing w:line="360" w:lineRule="auto"/>
        <w:ind w:left="0" w:right="-876" w:firstLine="0"/>
        <w:jc w:val="both"/>
        <w:rPr>
          <w:rFonts w:ascii="Palatino Linotype" w:eastAsia="Palatino Linotype" w:hAnsi="Palatino Linotype" w:cs="Palatino Linotype"/>
          <w:color w:val="000000"/>
          <w:sz w:val="24"/>
          <w:szCs w:val="24"/>
        </w:rPr>
      </w:pPr>
      <w:r w:rsidRPr="00D444D3">
        <w:rPr>
          <w:rFonts w:ascii="Palatino Linotype" w:eastAsia="Palatino Linotype" w:hAnsi="Palatino Linotype" w:cs="Palatino Linotype"/>
          <w:color w:val="000000"/>
          <w:sz w:val="24"/>
          <w:szCs w:val="24"/>
        </w:rPr>
        <w:lastRenderedPageBreak/>
        <w:t xml:space="preserve">En este caso, el </w:t>
      </w:r>
      <w:r w:rsidRPr="00D444D3">
        <w:rPr>
          <w:rFonts w:ascii="Palatino Linotype" w:eastAsia="Palatino Linotype" w:hAnsi="Palatino Linotype" w:cs="Palatino Linotype"/>
          <w:b/>
          <w:bCs/>
          <w:color w:val="000000"/>
          <w:sz w:val="24"/>
          <w:szCs w:val="24"/>
        </w:rPr>
        <w:t>SUJETO OBLIGADO</w:t>
      </w:r>
      <w:r w:rsidRPr="00D444D3">
        <w:rPr>
          <w:rFonts w:ascii="Palatino Linotype" w:eastAsia="Palatino Linotype" w:hAnsi="Palatino Linotype" w:cs="Palatino Linotype"/>
          <w:color w:val="000000"/>
          <w:sz w:val="24"/>
          <w:szCs w:val="24"/>
        </w:rPr>
        <w:t xml:space="preserve"> </w:t>
      </w:r>
      <w:r w:rsidRPr="00D444D3">
        <w:rPr>
          <w:rFonts w:ascii="Palatino Linotype" w:eastAsia="Palatino Linotype" w:hAnsi="Palatino Linotype" w:cs="Palatino Linotype"/>
          <w:b/>
          <w:bCs/>
          <w:color w:val="000000"/>
          <w:sz w:val="24"/>
          <w:szCs w:val="24"/>
        </w:rPr>
        <w:t>no emitió respuesta en cumplimiento a la resolución emitida en el recurso de revisión, por lo tanto, al interponerse el segundo recurso de revisión, no se configura ninguna causal de procedencia</w:t>
      </w:r>
      <w:r w:rsidRPr="00D444D3">
        <w:rPr>
          <w:rFonts w:ascii="Palatino Linotype" w:eastAsia="Palatino Linotype" w:hAnsi="Palatino Linotype" w:cs="Palatino Linotype"/>
          <w:color w:val="000000"/>
          <w:sz w:val="24"/>
          <w:szCs w:val="24"/>
        </w:rPr>
        <w:t xml:space="preserve"> pues, como ya se señaló, el </w:t>
      </w:r>
      <w:r w:rsidRPr="00D444D3">
        <w:rPr>
          <w:rFonts w:ascii="Palatino Linotype" w:eastAsia="Palatino Linotype" w:hAnsi="Palatino Linotype" w:cs="Palatino Linotype"/>
          <w:b/>
          <w:bCs/>
          <w:color w:val="000000"/>
          <w:sz w:val="24"/>
          <w:szCs w:val="24"/>
        </w:rPr>
        <w:t>SUJETO OBLIGADO</w:t>
      </w:r>
      <w:r w:rsidRPr="00D444D3">
        <w:rPr>
          <w:rFonts w:ascii="Palatino Linotype" w:eastAsia="Palatino Linotype" w:hAnsi="Palatino Linotype" w:cs="Palatino Linotype"/>
          <w:color w:val="000000"/>
          <w:sz w:val="24"/>
          <w:szCs w:val="24"/>
        </w:rPr>
        <w:t xml:space="preserve"> no había emitido una respuesta de la cual se pudiera </w:t>
      </w:r>
      <w:r w:rsidRPr="00D444D3">
        <w:rPr>
          <w:rFonts w:ascii="Palatino Linotype" w:eastAsia="Palatino Linotype" w:hAnsi="Palatino Linotype" w:cs="Palatino Linotype"/>
          <w:sz w:val="24"/>
          <w:szCs w:val="24"/>
        </w:rPr>
        <w:t>conformar</w:t>
      </w:r>
      <w:r w:rsidRPr="00D444D3">
        <w:rPr>
          <w:rFonts w:ascii="Palatino Linotype" w:eastAsia="Palatino Linotype" w:hAnsi="Palatino Linotype" w:cs="Palatino Linotype"/>
          <w:color w:val="000000"/>
          <w:sz w:val="24"/>
          <w:szCs w:val="24"/>
        </w:rPr>
        <w:t xml:space="preserve"> el </w:t>
      </w:r>
      <w:r w:rsidRPr="00D444D3">
        <w:rPr>
          <w:rFonts w:ascii="Palatino Linotype" w:eastAsia="Palatino Linotype" w:hAnsi="Palatino Linotype" w:cs="Palatino Linotype"/>
          <w:b/>
          <w:bCs/>
          <w:color w:val="000000"/>
          <w:sz w:val="24"/>
          <w:szCs w:val="24"/>
        </w:rPr>
        <w:t>RECURRENTE</w:t>
      </w:r>
      <w:r w:rsidRPr="00D444D3">
        <w:rPr>
          <w:rFonts w:ascii="Palatino Linotype" w:eastAsia="Palatino Linotype" w:hAnsi="Palatino Linotype" w:cs="Palatino Linotype"/>
          <w:color w:val="000000"/>
          <w:sz w:val="24"/>
          <w:szCs w:val="24"/>
        </w:rPr>
        <w:t xml:space="preserve">. </w:t>
      </w:r>
    </w:p>
    <w:p w:rsidR="00BD78D2" w:rsidRPr="00D444D3" w:rsidRDefault="00BD78D2">
      <w:pPr>
        <w:pBdr>
          <w:top w:val="nil"/>
          <w:left w:val="nil"/>
          <w:bottom w:val="nil"/>
          <w:right w:val="nil"/>
          <w:between w:val="nil"/>
        </w:pBdr>
        <w:spacing w:line="360" w:lineRule="auto"/>
        <w:ind w:left="720" w:right="-876"/>
        <w:rPr>
          <w:rFonts w:ascii="Palatino Linotype" w:eastAsia="Palatino Linotype" w:hAnsi="Palatino Linotype" w:cs="Palatino Linotype"/>
          <w:color w:val="000000"/>
          <w:sz w:val="24"/>
          <w:szCs w:val="24"/>
        </w:rPr>
      </w:pPr>
    </w:p>
    <w:p w:rsidR="00BD78D2" w:rsidRPr="00D444D3" w:rsidRDefault="00D43BD7">
      <w:pPr>
        <w:numPr>
          <w:ilvl w:val="0"/>
          <w:numId w:val="3"/>
        </w:numPr>
        <w:pBdr>
          <w:top w:val="nil"/>
          <w:left w:val="nil"/>
          <w:bottom w:val="nil"/>
          <w:right w:val="nil"/>
          <w:between w:val="nil"/>
        </w:pBdr>
        <w:tabs>
          <w:tab w:val="left" w:pos="426"/>
        </w:tabs>
        <w:spacing w:line="360" w:lineRule="auto"/>
        <w:ind w:left="0" w:right="-876" w:firstLine="0"/>
        <w:jc w:val="both"/>
        <w:rPr>
          <w:rFonts w:ascii="Palatino Linotype" w:eastAsia="Palatino Linotype" w:hAnsi="Palatino Linotype" w:cs="Palatino Linotype"/>
          <w:color w:val="000000"/>
          <w:sz w:val="24"/>
          <w:szCs w:val="24"/>
        </w:rPr>
      </w:pPr>
      <w:r w:rsidRPr="00D444D3">
        <w:rPr>
          <w:rFonts w:ascii="Palatino Linotype" w:eastAsia="Palatino Linotype" w:hAnsi="Palatino Linotype" w:cs="Palatino Linotype"/>
          <w:color w:val="000000"/>
          <w:sz w:val="24"/>
          <w:szCs w:val="24"/>
        </w:rPr>
        <w:t xml:space="preserve">Siendo procedente en el presente asunto que las áreas competentes de este Instituto, continúen el procedimiento correspondiente ante el incumplimiento del </w:t>
      </w:r>
      <w:r w:rsidRPr="00D444D3">
        <w:rPr>
          <w:rFonts w:ascii="Palatino Linotype" w:eastAsia="Palatino Linotype" w:hAnsi="Palatino Linotype" w:cs="Palatino Linotype"/>
          <w:b/>
          <w:bCs/>
          <w:color w:val="000000"/>
          <w:sz w:val="24"/>
          <w:szCs w:val="24"/>
        </w:rPr>
        <w:t>SUJETO OBLIGADO</w:t>
      </w:r>
      <w:r w:rsidRPr="00D444D3">
        <w:rPr>
          <w:rFonts w:ascii="Palatino Linotype" w:eastAsia="Palatino Linotype" w:hAnsi="Palatino Linotype" w:cs="Palatino Linotype"/>
          <w:color w:val="000000"/>
          <w:sz w:val="24"/>
          <w:szCs w:val="24"/>
        </w:rPr>
        <w:t>. No obstante se dejan a salvo los derechos del particular para interponer nuevas solicitudes de información que colmen sus pretensiones, ante los sujetos obligados que considere.</w:t>
      </w:r>
    </w:p>
    <w:p w:rsidR="00BD78D2" w:rsidRPr="00D444D3" w:rsidRDefault="00BD78D2">
      <w:pPr>
        <w:pBdr>
          <w:top w:val="nil"/>
          <w:left w:val="nil"/>
          <w:bottom w:val="nil"/>
          <w:right w:val="nil"/>
          <w:between w:val="nil"/>
        </w:pBdr>
        <w:tabs>
          <w:tab w:val="left" w:pos="426"/>
        </w:tabs>
        <w:spacing w:line="360" w:lineRule="auto"/>
        <w:ind w:right="-876"/>
        <w:jc w:val="both"/>
        <w:rPr>
          <w:rFonts w:ascii="Palatino Linotype" w:eastAsia="Palatino Linotype" w:hAnsi="Palatino Linotype" w:cs="Palatino Linotype"/>
          <w:color w:val="000000"/>
          <w:sz w:val="24"/>
          <w:szCs w:val="24"/>
        </w:rPr>
      </w:pPr>
    </w:p>
    <w:p w:rsidR="00BD78D2" w:rsidRPr="00D444D3" w:rsidRDefault="00D43BD7">
      <w:pPr>
        <w:numPr>
          <w:ilvl w:val="0"/>
          <w:numId w:val="3"/>
        </w:numPr>
        <w:pBdr>
          <w:top w:val="nil"/>
          <w:left w:val="nil"/>
          <w:bottom w:val="nil"/>
          <w:right w:val="nil"/>
          <w:between w:val="nil"/>
        </w:pBdr>
        <w:tabs>
          <w:tab w:val="left" w:pos="426"/>
        </w:tabs>
        <w:spacing w:line="360" w:lineRule="auto"/>
        <w:ind w:left="0" w:right="-876" w:firstLine="0"/>
        <w:jc w:val="both"/>
        <w:rPr>
          <w:rFonts w:ascii="Palatino Linotype" w:eastAsia="Palatino Linotype" w:hAnsi="Palatino Linotype" w:cs="Palatino Linotype"/>
          <w:color w:val="000000"/>
          <w:sz w:val="24"/>
          <w:szCs w:val="24"/>
        </w:rPr>
      </w:pPr>
      <w:r w:rsidRPr="00D444D3">
        <w:rPr>
          <w:rFonts w:ascii="Palatino Linotype" w:eastAsia="Palatino Linotype" w:hAnsi="Palatino Linotype" w:cs="Palatino Linotype"/>
          <w:color w:val="000000"/>
          <w:sz w:val="24"/>
          <w:szCs w:val="24"/>
        </w:rPr>
        <w:t xml:space="preserve">No se pierde de vista que si bien el Sujeto Obligado rindió informe justificado, tal no es considerado una respuesta en estricto sentido, continuando en el supuesto marcado en el precepto legal ya señalado, estableciendo que </w:t>
      </w:r>
      <w:r w:rsidRPr="00D444D3">
        <w:rPr>
          <w:rFonts w:ascii="Palatino Linotype" w:eastAsia="Palatino Linotype" w:hAnsi="Palatino Linotype" w:cs="Palatino Linotype"/>
          <w:b/>
          <w:bCs/>
          <w:color w:val="000000"/>
          <w:sz w:val="24"/>
          <w:szCs w:val="24"/>
        </w:rPr>
        <w:t>únicamente se puede interponer recurso de revisión ante la respuesta</w:t>
      </w:r>
      <w:r w:rsidRPr="00D444D3">
        <w:rPr>
          <w:rFonts w:ascii="Palatino Linotype" w:eastAsia="Palatino Linotype" w:hAnsi="Palatino Linotype" w:cs="Palatino Linotype"/>
          <w:color w:val="000000"/>
          <w:sz w:val="24"/>
          <w:szCs w:val="24"/>
        </w:rPr>
        <w:t xml:space="preserve"> del </w:t>
      </w:r>
      <w:r w:rsidRPr="00D444D3">
        <w:rPr>
          <w:rFonts w:ascii="Palatino Linotype" w:eastAsia="Palatino Linotype" w:hAnsi="Palatino Linotype" w:cs="Palatino Linotype"/>
          <w:b/>
          <w:bCs/>
          <w:color w:val="000000"/>
          <w:sz w:val="24"/>
          <w:szCs w:val="24"/>
        </w:rPr>
        <w:t>SUJETO OBLIGADO</w:t>
      </w:r>
      <w:r w:rsidRPr="00D444D3">
        <w:rPr>
          <w:rFonts w:ascii="Palatino Linotype" w:eastAsia="Palatino Linotype" w:hAnsi="Palatino Linotype" w:cs="Palatino Linotype"/>
          <w:color w:val="000000"/>
          <w:sz w:val="24"/>
          <w:szCs w:val="24"/>
        </w:rPr>
        <w:t xml:space="preserve"> </w:t>
      </w:r>
      <w:r w:rsidRPr="00D444D3">
        <w:rPr>
          <w:rFonts w:ascii="Palatino Linotype" w:eastAsia="Palatino Linotype" w:hAnsi="Palatino Linotype" w:cs="Palatino Linotype"/>
          <w:b/>
          <w:bCs/>
          <w:color w:val="000000"/>
          <w:sz w:val="24"/>
          <w:szCs w:val="24"/>
        </w:rPr>
        <w:t>en cumplimiento de la resolución dictada por el Pleno</w:t>
      </w:r>
      <w:r w:rsidRPr="00D444D3">
        <w:rPr>
          <w:rFonts w:ascii="Palatino Linotype" w:eastAsia="Palatino Linotype" w:hAnsi="Palatino Linotype" w:cs="Palatino Linotype"/>
          <w:color w:val="000000"/>
          <w:sz w:val="24"/>
          <w:szCs w:val="24"/>
        </w:rPr>
        <w:t>; sin embargo,</w:t>
      </w:r>
      <w:r w:rsidRPr="00D444D3">
        <w:rPr>
          <w:rFonts w:ascii="Palatino Linotype" w:eastAsia="Palatino Linotype" w:hAnsi="Palatino Linotype" w:cs="Palatino Linotype"/>
          <w:b/>
          <w:bCs/>
          <w:color w:val="000000"/>
          <w:sz w:val="24"/>
          <w:szCs w:val="24"/>
        </w:rPr>
        <w:t xml:space="preserve"> </w:t>
      </w:r>
      <w:r w:rsidRPr="00D444D3">
        <w:rPr>
          <w:rFonts w:ascii="Palatino Linotype" w:eastAsia="Palatino Linotype" w:hAnsi="Palatino Linotype" w:cs="Palatino Linotype"/>
          <w:color w:val="000000"/>
          <w:sz w:val="24"/>
          <w:szCs w:val="24"/>
        </w:rPr>
        <w:t>dichas manifestaciones vertidas por el Sujeto Obligado fueron puestas a la vista del recurrente con la finalidad de garantizar los principios de certeza y transparencia de las actuaciones que obran en el expediente del presente recurso, evitando la opacidad en la conducción del mismo, sin que tal acción tenga efectos jurídicos para revertir la falta de respuesta en cumplimiento a la resolución emitida por este Pleno.</w:t>
      </w:r>
    </w:p>
    <w:p w:rsidR="00BD78D2" w:rsidRPr="00D444D3" w:rsidRDefault="00BD78D2">
      <w:pPr>
        <w:pBdr>
          <w:top w:val="nil"/>
          <w:left w:val="nil"/>
          <w:bottom w:val="nil"/>
          <w:right w:val="nil"/>
          <w:between w:val="nil"/>
        </w:pBdr>
        <w:tabs>
          <w:tab w:val="left" w:pos="426"/>
        </w:tabs>
        <w:spacing w:line="360" w:lineRule="auto"/>
        <w:ind w:right="-876"/>
        <w:jc w:val="both"/>
        <w:rPr>
          <w:rFonts w:ascii="Palatino Linotype" w:eastAsia="Palatino Linotype" w:hAnsi="Palatino Linotype" w:cs="Palatino Linotype"/>
          <w:color w:val="000000"/>
          <w:sz w:val="24"/>
          <w:szCs w:val="24"/>
        </w:rPr>
      </w:pPr>
    </w:p>
    <w:p w:rsidR="00BD78D2" w:rsidRPr="00D444D3" w:rsidRDefault="00D43BD7">
      <w:pPr>
        <w:numPr>
          <w:ilvl w:val="0"/>
          <w:numId w:val="3"/>
        </w:numPr>
        <w:pBdr>
          <w:top w:val="nil"/>
          <w:left w:val="nil"/>
          <w:bottom w:val="nil"/>
          <w:right w:val="nil"/>
          <w:between w:val="nil"/>
        </w:pBdr>
        <w:tabs>
          <w:tab w:val="left" w:pos="426"/>
        </w:tabs>
        <w:spacing w:line="360" w:lineRule="auto"/>
        <w:ind w:left="0" w:right="-876" w:firstLine="0"/>
        <w:jc w:val="both"/>
        <w:rPr>
          <w:rFonts w:ascii="Palatino Linotype" w:eastAsia="Palatino Linotype" w:hAnsi="Palatino Linotype" w:cs="Palatino Linotype"/>
          <w:color w:val="000000"/>
          <w:sz w:val="24"/>
          <w:szCs w:val="24"/>
        </w:rPr>
      </w:pPr>
      <w:r w:rsidRPr="00D444D3">
        <w:rPr>
          <w:rFonts w:ascii="Palatino Linotype" w:eastAsia="Palatino Linotype" w:hAnsi="Palatino Linotype" w:cs="Palatino Linotype"/>
          <w:color w:val="000000"/>
          <w:sz w:val="24"/>
          <w:szCs w:val="24"/>
        </w:rPr>
        <w:lastRenderedPageBreak/>
        <w:t xml:space="preserve">Bajo esas consideraciones, el recurso de revisión actualiza la causal de </w:t>
      </w:r>
      <w:r w:rsidRPr="00D444D3">
        <w:rPr>
          <w:rFonts w:ascii="Palatino Linotype" w:eastAsia="Palatino Linotype" w:hAnsi="Palatino Linotype" w:cs="Palatino Linotype"/>
          <w:b/>
          <w:bCs/>
          <w:color w:val="000000"/>
          <w:sz w:val="24"/>
          <w:szCs w:val="24"/>
        </w:rPr>
        <w:t>SOBRESEIMIENTO</w:t>
      </w:r>
      <w:r w:rsidRPr="00D444D3">
        <w:rPr>
          <w:rFonts w:ascii="Palatino Linotype" w:eastAsia="Palatino Linotype" w:hAnsi="Palatino Linotype" w:cs="Palatino Linotype"/>
          <w:color w:val="000000"/>
          <w:sz w:val="24"/>
          <w:szCs w:val="24"/>
        </w:rPr>
        <w:t xml:space="preserve"> establecida en la fracción IV, del artículo 192, en relación a la fracción III, del artículo 191, ambos de la Ley de Transparencia y Acceso a la Información Pública del Estado de México y Municipios.</w:t>
      </w:r>
    </w:p>
    <w:p w:rsidR="00BD78D2" w:rsidRPr="00D444D3" w:rsidRDefault="00BD78D2">
      <w:pPr>
        <w:pBdr>
          <w:top w:val="nil"/>
          <w:left w:val="nil"/>
          <w:bottom w:val="nil"/>
          <w:right w:val="nil"/>
          <w:between w:val="nil"/>
        </w:pBdr>
        <w:ind w:left="720" w:right="-876"/>
        <w:rPr>
          <w:rFonts w:ascii="Palatino Linotype" w:eastAsia="Palatino Linotype" w:hAnsi="Palatino Linotype" w:cs="Palatino Linotype"/>
          <w:color w:val="000000"/>
          <w:sz w:val="24"/>
          <w:szCs w:val="24"/>
        </w:rPr>
      </w:pPr>
    </w:p>
    <w:p w:rsidR="00BD78D2" w:rsidRPr="00D444D3" w:rsidRDefault="00D43BD7">
      <w:pPr>
        <w:numPr>
          <w:ilvl w:val="0"/>
          <w:numId w:val="3"/>
        </w:numPr>
        <w:pBdr>
          <w:top w:val="nil"/>
          <w:left w:val="nil"/>
          <w:bottom w:val="nil"/>
          <w:right w:val="nil"/>
          <w:between w:val="nil"/>
        </w:pBdr>
        <w:tabs>
          <w:tab w:val="left" w:pos="426"/>
        </w:tabs>
        <w:spacing w:line="360" w:lineRule="auto"/>
        <w:ind w:left="0" w:right="-876" w:firstLine="0"/>
        <w:jc w:val="both"/>
        <w:rPr>
          <w:rFonts w:ascii="Palatino Linotype" w:eastAsia="Palatino Linotype" w:hAnsi="Palatino Linotype" w:cs="Palatino Linotype"/>
          <w:b/>
          <w:bCs/>
          <w:color w:val="000000"/>
          <w:sz w:val="24"/>
          <w:szCs w:val="24"/>
        </w:rPr>
      </w:pPr>
      <w:bookmarkStart w:id="6" w:name="_heading=h.z22opfce4zin" w:colFirst="0" w:colLast="0"/>
      <w:bookmarkEnd w:id="6"/>
      <w:r w:rsidRPr="00D444D3">
        <w:rPr>
          <w:rFonts w:ascii="Palatino Linotype" w:eastAsia="Palatino Linotype" w:hAnsi="Palatino Linotype" w:cs="Palatino Linotype"/>
          <w:color w:val="222222"/>
          <w:sz w:val="24"/>
          <w:szCs w:val="24"/>
        </w:rPr>
        <w:t xml:space="preserve">Por lo anteriormente expuesto y fundado, este </w:t>
      </w:r>
      <w:r w:rsidRPr="00D444D3">
        <w:rPr>
          <w:rFonts w:ascii="Palatino Linotype" w:eastAsia="Palatino Linotype" w:hAnsi="Palatino Linotype" w:cs="Palatino Linotype"/>
          <w:b/>
          <w:bCs/>
          <w:color w:val="222222"/>
          <w:sz w:val="24"/>
          <w:szCs w:val="24"/>
        </w:rPr>
        <w:t>ÓRGANO GARANTE</w:t>
      </w:r>
      <w:r w:rsidRPr="00D444D3">
        <w:rPr>
          <w:rFonts w:ascii="Palatino Linotype" w:eastAsia="Palatino Linotype" w:hAnsi="Palatino Linotype" w:cs="Palatino Linotype"/>
          <w:color w:val="222222"/>
          <w:sz w:val="24"/>
          <w:szCs w:val="24"/>
        </w:rPr>
        <w:t xml:space="preserve"> emite los siguientes: </w:t>
      </w:r>
    </w:p>
    <w:p w:rsidR="00BD78D2" w:rsidRPr="00D444D3" w:rsidRDefault="00BD78D2">
      <w:pPr>
        <w:pBdr>
          <w:top w:val="nil"/>
          <w:left w:val="nil"/>
          <w:bottom w:val="nil"/>
          <w:right w:val="nil"/>
          <w:between w:val="nil"/>
        </w:pBdr>
        <w:tabs>
          <w:tab w:val="left" w:pos="426"/>
        </w:tabs>
        <w:spacing w:line="360" w:lineRule="auto"/>
        <w:ind w:right="-876"/>
        <w:jc w:val="both"/>
        <w:rPr>
          <w:rFonts w:ascii="Palatino Linotype" w:eastAsia="Palatino Linotype" w:hAnsi="Palatino Linotype" w:cs="Palatino Linotype"/>
          <w:color w:val="222222"/>
          <w:sz w:val="24"/>
          <w:szCs w:val="24"/>
        </w:rPr>
      </w:pPr>
      <w:bookmarkStart w:id="7" w:name="_heading=h.4azteomflxf" w:colFirst="0" w:colLast="0"/>
      <w:bookmarkEnd w:id="7"/>
    </w:p>
    <w:p w:rsidR="00BD78D2" w:rsidRPr="00D444D3" w:rsidRDefault="00D43BD7">
      <w:pPr>
        <w:pBdr>
          <w:top w:val="nil"/>
          <w:left w:val="nil"/>
          <w:bottom w:val="nil"/>
          <w:right w:val="nil"/>
          <w:between w:val="nil"/>
        </w:pBdr>
        <w:tabs>
          <w:tab w:val="left" w:pos="426"/>
        </w:tabs>
        <w:spacing w:line="360" w:lineRule="auto"/>
        <w:ind w:right="-876"/>
        <w:jc w:val="center"/>
        <w:rPr>
          <w:rFonts w:ascii="Palatino Linotype" w:eastAsia="Palatino Linotype" w:hAnsi="Palatino Linotype" w:cs="Palatino Linotype"/>
          <w:b/>
          <w:bCs/>
          <w:color w:val="000000"/>
          <w:sz w:val="24"/>
          <w:szCs w:val="24"/>
        </w:rPr>
      </w:pPr>
      <w:r w:rsidRPr="00D444D3">
        <w:rPr>
          <w:rFonts w:ascii="Palatino Linotype" w:eastAsia="Palatino Linotype" w:hAnsi="Palatino Linotype" w:cs="Palatino Linotype"/>
          <w:b/>
          <w:bCs/>
          <w:color w:val="000000"/>
          <w:sz w:val="24"/>
          <w:szCs w:val="24"/>
        </w:rPr>
        <w:t>R E S O L U T I V O S</w:t>
      </w:r>
    </w:p>
    <w:p w:rsidR="00BD78D2" w:rsidRPr="00D444D3" w:rsidRDefault="00BD78D2">
      <w:pPr>
        <w:widowControl w:val="0"/>
        <w:pBdr>
          <w:top w:val="nil"/>
          <w:left w:val="nil"/>
          <w:bottom w:val="nil"/>
          <w:right w:val="nil"/>
          <w:between w:val="nil"/>
        </w:pBdr>
        <w:tabs>
          <w:tab w:val="left" w:pos="1701"/>
        </w:tabs>
        <w:spacing w:line="360" w:lineRule="auto"/>
        <w:ind w:right="-876"/>
        <w:jc w:val="both"/>
        <w:rPr>
          <w:rFonts w:ascii="Palatino Linotype" w:eastAsia="Palatino Linotype" w:hAnsi="Palatino Linotype" w:cs="Palatino Linotype"/>
          <w:b/>
          <w:bCs/>
          <w:color w:val="000000"/>
          <w:sz w:val="24"/>
          <w:szCs w:val="24"/>
        </w:rPr>
      </w:pPr>
      <w:bookmarkStart w:id="8" w:name="_heading=h.so2b5wezjcah" w:colFirst="0" w:colLast="0"/>
      <w:bookmarkEnd w:id="8"/>
    </w:p>
    <w:p w:rsidR="00BD78D2" w:rsidRPr="00D444D3" w:rsidRDefault="00D43BD7">
      <w:pPr>
        <w:widowControl w:val="0"/>
        <w:pBdr>
          <w:top w:val="nil"/>
          <w:left w:val="nil"/>
          <w:bottom w:val="nil"/>
          <w:right w:val="nil"/>
          <w:between w:val="nil"/>
        </w:pBdr>
        <w:tabs>
          <w:tab w:val="left" w:pos="1701"/>
        </w:tabs>
        <w:spacing w:line="360" w:lineRule="auto"/>
        <w:ind w:right="-876"/>
        <w:jc w:val="both"/>
        <w:rPr>
          <w:rFonts w:ascii="Palatino Linotype" w:eastAsia="Palatino Linotype" w:hAnsi="Palatino Linotype" w:cs="Palatino Linotype"/>
          <w:color w:val="000000"/>
          <w:sz w:val="24"/>
          <w:szCs w:val="24"/>
        </w:rPr>
      </w:pPr>
      <w:r w:rsidRPr="00D444D3">
        <w:rPr>
          <w:rFonts w:ascii="Palatino Linotype" w:eastAsia="Palatino Linotype" w:hAnsi="Palatino Linotype" w:cs="Palatino Linotype"/>
          <w:b/>
          <w:bCs/>
          <w:color w:val="000000"/>
          <w:sz w:val="24"/>
          <w:szCs w:val="24"/>
        </w:rPr>
        <w:t xml:space="preserve">PRIMERO. </w:t>
      </w:r>
      <w:r w:rsidRPr="00D444D3">
        <w:rPr>
          <w:rFonts w:ascii="Palatino Linotype" w:eastAsia="Palatino Linotype" w:hAnsi="Palatino Linotype" w:cs="Palatino Linotype"/>
          <w:color w:val="000000"/>
          <w:sz w:val="24"/>
          <w:szCs w:val="24"/>
        </w:rPr>
        <w:t xml:space="preserve">Se </w:t>
      </w:r>
      <w:r w:rsidRPr="00D444D3">
        <w:rPr>
          <w:rFonts w:ascii="Palatino Linotype" w:eastAsia="Palatino Linotype" w:hAnsi="Palatino Linotype" w:cs="Palatino Linotype"/>
          <w:b/>
          <w:bCs/>
          <w:color w:val="000000"/>
          <w:sz w:val="24"/>
          <w:szCs w:val="24"/>
        </w:rPr>
        <w:t>SOBRESEE</w:t>
      </w:r>
      <w:r w:rsidRPr="00D444D3">
        <w:rPr>
          <w:rFonts w:ascii="Palatino Linotype" w:eastAsia="Palatino Linotype" w:hAnsi="Palatino Linotype" w:cs="Palatino Linotype"/>
          <w:color w:val="000000"/>
          <w:sz w:val="24"/>
          <w:szCs w:val="24"/>
        </w:rPr>
        <w:t xml:space="preserve"> el Recurso de Revisión número </w:t>
      </w:r>
      <w:r w:rsidRPr="00D444D3">
        <w:rPr>
          <w:rFonts w:ascii="Palatino Linotype" w:eastAsia="Palatino Linotype" w:hAnsi="Palatino Linotype" w:cs="Palatino Linotype"/>
          <w:b/>
          <w:bCs/>
          <w:color w:val="000000"/>
          <w:sz w:val="24"/>
          <w:szCs w:val="24"/>
        </w:rPr>
        <w:t xml:space="preserve">13378/INFOEM/ICR-140/IP/RR/2025, </w:t>
      </w:r>
      <w:r w:rsidRPr="00D444D3">
        <w:rPr>
          <w:rFonts w:ascii="Palatino Linotype" w:eastAsia="Palatino Linotype" w:hAnsi="Palatino Linotype" w:cs="Palatino Linotype"/>
          <w:color w:val="000000"/>
          <w:sz w:val="24"/>
          <w:szCs w:val="24"/>
        </w:rPr>
        <w:t xml:space="preserve">conforme al artículo 192, fracción IV, en relación con la fracción III, del artículo 191 de la Ley de Transparencia y Acceso a la Información Pública del Estado de México y Municipios, en términos del </w:t>
      </w:r>
      <w:r w:rsidRPr="00D444D3">
        <w:rPr>
          <w:rFonts w:ascii="Palatino Linotype" w:eastAsia="Palatino Linotype" w:hAnsi="Palatino Linotype" w:cs="Palatino Linotype"/>
          <w:b/>
          <w:bCs/>
          <w:color w:val="000000"/>
          <w:sz w:val="24"/>
          <w:szCs w:val="24"/>
        </w:rPr>
        <w:t>Considerando</w:t>
      </w:r>
      <w:r w:rsidRPr="00D444D3">
        <w:rPr>
          <w:rFonts w:ascii="Palatino Linotype" w:eastAsia="Palatino Linotype" w:hAnsi="Palatino Linotype" w:cs="Palatino Linotype"/>
          <w:color w:val="000000"/>
          <w:sz w:val="24"/>
          <w:szCs w:val="24"/>
        </w:rPr>
        <w:t xml:space="preserve"> </w:t>
      </w:r>
      <w:r w:rsidRPr="00D444D3">
        <w:rPr>
          <w:rFonts w:ascii="Palatino Linotype" w:eastAsia="Palatino Linotype" w:hAnsi="Palatino Linotype" w:cs="Palatino Linotype"/>
          <w:b/>
          <w:bCs/>
          <w:color w:val="000000"/>
          <w:sz w:val="24"/>
          <w:szCs w:val="24"/>
        </w:rPr>
        <w:t>TERCERO</w:t>
      </w:r>
      <w:r w:rsidRPr="00D444D3">
        <w:rPr>
          <w:rFonts w:ascii="Palatino Linotype" w:eastAsia="Palatino Linotype" w:hAnsi="Palatino Linotype" w:cs="Palatino Linotype"/>
          <w:color w:val="000000"/>
          <w:sz w:val="24"/>
          <w:szCs w:val="24"/>
        </w:rPr>
        <w:t xml:space="preserve"> de la presente Resolución.</w:t>
      </w:r>
    </w:p>
    <w:p w:rsidR="00BD78D2" w:rsidRPr="00D444D3" w:rsidRDefault="00BD78D2">
      <w:pPr>
        <w:widowControl w:val="0"/>
        <w:pBdr>
          <w:top w:val="nil"/>
          <w:left w:val="nil"/>
          <w:bottom w:val="nil"/>
          <w:right w:val="nil"/>
          <w:between w:val="nil"/>
        </w:pBdr>
        <w:tabs>
          <w:tab w:val="left" w:pos="1701"/>
        </w:tabs>
        <w:spacing w:line="360" w:lineRule="auto"/>
        <w:ind w:right="-876"/>
        <w:jc w:val="both"/>
        <w:rPr>
          <w:rFonts w:ascii="Palatino Linotype" w:eastAsia="Palatino Linotype" w:hAnsi="Palatino Linotype" w:cs="Palatino Linotype"/>
          <w:color w:val="000000"/>
          <w:sz w:val="24"/>
          <w:szCs w:val="24"/>
        </w:rPr>
      </w:pPr>
    </w:p>
    <w:p w:rsidR="00BD78D2" w:rsidRPr="00D444D3" w:rsidRDefault="00D43BD7">
      <w:pPr>
        <w:spacing w:line="360" w:lineRule="auto"/>
        <w:ind w:right="-876"/>
        <w:jc w:val="both"/>
        <w:rPr>
          <w:rFonts w:ascii="Palatino Linotype" w:eastAsia="Palatino Linotype" w:hAnsi="Palatino Linotype" w:cs="Palatino Linotype"/>
          <w:color w:val="000000"/>
          <w:sz w:val="24"/>
          <w:szCs w:val="24"/>
          <w:highlight w:val="white"/>
        </w:rPr>
      </w:pPr>
      <w:bookmarkStart w:id="9" w:name="_heading=h.xbn0ak4j77gd" w:colFirst="0" w:colLast="0"/>
      <w:bookmarkEnd w:id="9"/>
      <w:r w:rsidRPr="00D444D3">
        <w:rPr>
          <w:rFonts w:ascii="Palatino Linotype" w:eastAsia="Palatino Linotype" w:hAnsi="Palatino Linotype" w:cs="Palatino Linotype"/>
          <w:b/>
          <w:bCs/>
          <w:sz w:val="24"/>
          <w:szCs w:val="24"/>
        </w:rPr>
        <w:t>SEGUNDO.</w:t>
      </w:r>
      <w:r w:rsidRPr="00D444D3">
        <w:rPr>
          <w:rFonts w:ascii="Palatino Linotype" w:eastAsia="Palatino Linotype" w:hAnsi="Palatino Linotype" w:cs="Palatino Linotype"/>
          <w:b/>
          <w:bCs/>
          <w:color w:val="000000"/>
          <w:sz w:val="24"/>
          <w:szCs w:val="24"/>
        </w:rPr>
        <w:t xml:space="preserve"> </w:t>
      </w:r>
      <w:r w:rsidR="009302B4" w:rsidRPr="00D444D3">
        <w:rPr>
          <w:rFonts w:ascii="Palatino Linotype" w:eastAsia="Palatino Linotype" w:hAnsi="Palatino Linotype" w:cs="Palatino Linotype"/>
          <w:b/>
          <w:bCs/>
          <w:color w:val="000000"/>
          <w:sz w:val="24"/>
          <w:szCs w:val="24"/>
          <w:highlight w:val="white"/>
        </w:rPr>
        <w:t xml:space="preserve">Notifíquese </w:t>
      </w:r>
      <w:r w:rsidR="009302B4" w:rsidRPr="00D444D3">
        <w:rPr>
          <w:rFonts w:ascii="Palatino Linotype" w:eastAsia="Palatino Linotype" w:hAnsi="Palatino Linotype" w:cs="Palatino Linotype"/>
          <w:bCs/>
          <w:color w:val="000000"/>
          <w:sz w:val="24"/>
          <w:szCs w:val="24"/>
          <w:highlight w:val="white"/>
        </w:rPr>
        <w:t>a</w:t>
      </w:r>
      <w:r w:rsidRPr="00D444D3">
        <w:rPr>
          <w:rFonts w:ascii="Palatino Linotype" w:eastAsia="Palatino Linotype" w:hAnsi="Palatino Linotype" w:cs="Palatino Linotype"/>
          <w:color w:val="000000"/>
          <w:sz w:val="24"/>
          <w:szCs w:val="24"/>
          <w:highlight w:val="white"/>
        </w:rPr>
        <w:t>l Titular de la Unidad de Transparencia del</w:t>
      </w:r>
      <w:r w:rsidRPr="00D444D3">
        <w:rPr>
          <w:rFonts w:ascii="Palatino Linotype" w:eastAsia="Palatino Linotype" w:hAnsi="Palatino Linotype" w:cs="Palatino Linotype"/>
          <w:b/>
          <w:bCs/>
          <w:color w:val="000000"/>
          <w:sz w:val="24"/>
          <w:szCs w:val="24"/>
          <w:highlight w:val="white"/>
        </w:rPr>
        <w:t xml:space="preserve"> SUJETO OBLIGADO</w:t>
      </w:r>
      <w:r w:rsidRPr="00D444D3">
        <w:rPr>
          <w:rFonts w:ascii="Palatino Linotype" w:eastAsia="Palatino Linotype" w:hAnsi="Palatino Linotype" w:cs="Palatino Linotype"/>
          <w:color w:val="000000"/>
          <w:sz w:val="24"/>
          <w:szCs w:val="24"/>
          <w:highlight w:val="white"/>
        </w:rPr>
        <w:t xml:space="preserve"> vía Sistema de Acceso a Información </w:t>
      </w:r>
      <w:bookmarkStart w:id="10" w:name="_GoBack"/>
      <w:bookmarkEnd w:id="10"/>
      <w:r w:rsidRPr="00D444D3">
        <w:rPr>
          <w:rFonts w:ascii="Palatino Linotype" w:eastAsia="Palatino Linotype" w:hAnsi="Palatino Linotype" w:cs="Palatino Linotype"/>
          <w:color w:val="000000"/>
          <w:sz w:val="24"/>
          <w:szCs w:val="24"/>
          <w:highlight w:val="white"/>
        </w:rPr>
        <w:t xml:space="preserve">Mexiquense (SAIMEX), la presente Resolución para su conocimiento. </w:t>
      </w:r>
    </w:p>
    <w:p w:rsidR="00BD78D2" w:rsidRPr="00D444D3" w:rsidRDefault="00BD78D2">
      <w:pPr>
        <w:spacing w:line="360" w:lineRule="auto"/>
        <w:ind w:right="-876"/>
        <w:jc w:val="both"/>
        <w:rPr>
          <w:rFonts w:ascii="Palatino Linotype" w:eastAsia="Palatino Linotype" w:hAnsi="Palatino Linotype" w:cs="Palatino Linotype"/>
          <w:b/>
          <w:bCs/>
          <w:color w:val="000000"/>
          <w:sz w:val="24"/>
          <w:szCs w:val="24"/>
        </w:rPr>
      </w:pPr>
    </w:p>
    <w:p w:rsidR="00BD78D2" w:rsidRPr="00D444D3" w:rsidRDefault="00D43BD7">
      <w:pPr>
        <w:spacing w:line="360" w:lineRule="auto"/>
        <w:ind w:right="-876"/>
        <w:jc w:val="both"/>
        <w:rPr>
          <w:rFonts w:ascii="Palatino Linotype" w:eastAsia="Palatino Linotype" w:hAnsi="Palatino Linotype" w:cs="Palatino Linotype"/>
          <w:sz w:val="24"/>
          <w:szCs w:val="24"/>
        </w:rPr>
      </w:pPr>
      <w:bookmarkStart w:id="11" w:name="_heading=h.j78dvibjvaph" w:colFirst="0" w:colLast="0"/>
      <w:bookmarkEnd w:id="11"/>
      <w:r w:rsidRPr="00D444D3">
        <w:rPr>
          <w:rFonts w:ascii="Palatino Linotype" w:eastAsia="Palatino Linotype" w:hAnsi="Palatino Linotype" w:cs="Palatino Linotype"/>
          <w:b/>
          <w:bCs/>
          <w:sz w:val="24"/>
          <w:szCs w:val="24"/>
        </w:rPr>
        <w:t xml:space="preserve">TERCERO. </w:t>
      </w:r>
      <w:r w:rsidRPr="00D444D3">
        <w:rPr>
          <w:rFonts w:ascii="Palatino Linotype" w:eastAsia="Palatino Linotype" w:hAnsi="Palatino Linotype" w:cs="Palatino Linotype"/>
          <w:b/>
          <w:bCs/>
          <w:color w:val="222222"/>
          <w:sz w:val="24"/>
          <w:szCs w:val="24"/>
        </w:rPr>
        <w:t xml:space="preserve">Notifíquese </w:t>
      </w:r>
      <w:r w:rsidRPr="00D444D3">
        <w:rPr>
          <w:rFonts w:ascii="Palatino Linotype" w:eastAsia="Palatino Linotype" w:hAnsi="Palatino Linotype" w:cs="Palatino Linotype"/>
          <w:color w:val="222222"/>
          <w:sz w:val="24"/>
          <w:szCs w:val="24"/>
        </w:rPr>
        <w:t>a</w:t>
      </w:r>
      <w:r w:rsidRPr="00D444D3">
        <w:rPr>
          <w:rFonts w:ascii="Palatino Linotype" w:eastAsia="Palatino Linotype" w:hAnsi="Palatino Linotype" w:cs="Palatino Linotype"/>
          <w:sz w:val="24"/>
          <w:szCs w:val="24"/>
        </w:rPr>
        <w:t>l</w:t>
      </w:r>
      <w:r w:rsidRPr="00D444D3">
        <w:rPr>
          <w:rFonts w:ascii="Palatino Linotype" w:eastAsia="Palatino Linotype" w:hAnsi="Palatino Linotype" w:cs="Palatino Linotype"/>
          <w:b/>
          <w:bCs/>
          <w:sz w:val="24"/>
          <w:szCs w:val="24"/>
        </w:rPr>
        <w:t xml:space="preserve"> RECURRENTE </w:t>
      </w:r>
      <w:r w:rsidRPr="00D444D3">
        <w:rPr>
          <w:rFonts w:ascii="Palatino Linotype" w:eastAsia="Palatino Linotype" w:hAnsi="Palatino Linotype" w:cs="Palatino Linotype"/>
          <w:sz w:val="24"/>
          <w:szCs w:val="24"/>
        </w:rPr>
        <w:t>la presente Resolución</w:t>
      </w:r>
      <w:r w:rsidR="009302B4" w:rsidRPr="00D444D3">
        <w:rPr>
          <w:rFonts w:ascii="Palatino Linotype" w:eastAsia="Palatino Linotype" w:hAnsi="Palatino Linotype" w:cs="Palatino Linotype"/>
          <w:sz w:val="24"/>
          <w:szCs w:val="24"/>
        </w:rPr>
        <w:t xml:space="preserve"> vía SAIMEX</w:t>
      </w:r>
      <w:r w:rsidRPr="00D444D3">
        <w:rPr>
          <w:rFonts w:ascii="Palatino Linotype" w:eastAsia="Palatino Linotype" w:hAnsi="Palatino Linotype" w:cs="Palatino Linotype"/>
          <w:sz w:val="24"/>
          <w:szCs w:val="24"/>
        </w:rPr>
        <w:t>.</w:t>
      </w:r>
    </w:p>
    <w:p w:rsidR="00BD78D2" w:rsidRPr="00D444D3" w:rsidRDefault="00BD78D2">
      <w:pPr>
        <w:spacing w:line="360" w:lineRule="auto"/>
        <w:ind w:right="-876"/>
        <w:jc w:val="both"/>
        <w:rPr>
          <w:rFonts w:ascii="Palatino Linotype" w:eastAsia="Palatino Linotype" w:hAnsi="Palatino Linotype" w:cs="Palatino Linotype"/>
          <w:sz w:val="24"/>
          <w:szCs w:val="24"/>
        </w:rPr>
      </w:pPr>
    </w:p>
    <w:p w:rsidR="00BD78D2" w:rsidRPr="00D444D3" w:rsidRDefault="00D43BD7">
      <w:pPr>
        <w:spacing w:line="360" w:lineRule="auto"/>
        <w:ind w:right="-876"/>
        <w:jc w:val="both"/>
        <w:rPr>
          <w:rFonts w:ascii="Palatino Linotype" w:eastAsia="Palatino Linotype" w:hAnsi="Palatino Linotype" w:cs="Palatino Linotype"/>
          <w:sz w:val="24"/>
          <w:szCs w:val="24"/>
        </w:rPr>
      </w:pPr>
      <w:bookmarkStart w:id="12" w:name="_heading=h.dyl30cvko7jr" w:colFirst="0" w:colLast="0"/>
      <w:bookmarkEnd w:id="12"/>
      <w:r w:rsidRPr="00D444D3">
        <w:rPr>
          <w:rFonts w:ascii="Palatino Linotype" w:eastAsia="Palatino Linotype" w:hAnsi="Palatino Linotype" w:cs="Palatino Linotype"/>
          <w:b/>
          <w:bCs/>
          <w:sz w:val="24"/>
          <w:szCs w:val="24"/>
        </w:rPr>
        <w:t>CUARTO.</w:t>
      </w:r>
      <w:r w:rsidRPr="00D444D3">
        <w:rPr>
          <w:rFonts w:ascii="Palatino Linotype" w:eastAsia="Palatino Linotype" w:hAnsi="Palatino Linotype" w:cs="Palatino Linotype"/>
          <w:sz w:val="24"/>
          <w:szCs w:val="24"/>
        </w:rPr>
        <w:t xml:space="preserve"> Se hace del conocimiento del </w:t>
      </w:r>
      <w:r w:rsidRPr="00D444D3">
        <w:rPr>
          <w:rFonts w:ascii="Palatino Linotype" w:eastAsia="Palatino Linotype" w:hAnsi="Palatino Linotype" w:cs="Palatino Linotype"/>
          <w:b/>
          <w:bCs/>
          <w:sz w:val="24"/>
          <w:szCs w:val="24"/>
        </w:rPr>
        <w:t>RECURRENTE</w:t>
      </w:r>
      <w:r w:rsidRPr="00D444D3">
        <w:rPr>
          <w:rFonts w:ascii="Palatino Linotype" w:eastAsia="Palatino Linotype" w:hAnsi="Palatino Linotype" w:cs="Palatino Linotype"/>
          <w:sz w:val="24"/>
          <w:szCs w:val="24"/>
        </w:rPr>
        <w:t xml:space="preserve"> que, de conformidad con lo establecido en el artículo 196 de la Ley de Transparencia y Acceso a la Información Pública del </w:t>
      </w:r>
      <w:r w:rsidRPr="00D444D3">
        <w:rPr>
          <w:rFonts w:ascii="Palatino Linotype" w:eastAsia="Palatino Linotype" w:hAnsi="Palatino Linotype" w:cs="Palatino Linotype"/>
          <w:sz w:val="24"/>
          <w:szCs w:val="24"/>
        </w:rPr>
        <w:lastRenderedPageBreak/>
        <w:t>Estado de México y Municipios, en caso de que considere que la resolución le cause algún perjuicio podrá impugnar vía juicio de amparo en los términos de las leyes aplicables.</w:t>
      </w:r>
    </w:p>
    <w:p w:rsidR="00BD78D2" w:rsidRPr="00D444D3" w:rsidRDefault="00BD78D2">
      <w:pPr>
        <w:spacing w:line="360" w:lineRule="auto"/>
        <w:ind w:right="-876"/>
        <w:jc w:val="both"/>
        <w:rPr>
          <w:rFonts w:ascii="Palatino Linotype" w:eastAsia="Palatino Linotype" w:hAnsi="Palatino Linotype" w:cs="Palatino Linotype"/>
          <w:sz w:val="24"/>
          <w:szCs w:val="24"/>
        </w:rPr>
      </w:pPr>
    </w:p>
    <w:p w:rsidR="009302B4" w:rsidRPr="00D444D3" w:rsidRDefault="009302B4" w:rsidP="009302B4">
      <w:pPr>
        <w:spacing w:before="240" w:after="240" w:line="360" w:lineRule="auto"/>
        <w:ind w:right="-879" w:firstLine="1"/>
        <w:jc w:val="both"/>
        <w:rPr>
          <w:rFonts w:ascii="Palatino Linotype" w:hAnsi="Palatino Linotype"/>
          <w:sz w:val="24"/>
          <w:szCs w:val="24"/>
        </w:rPr>
      </w:pPr>
      <w:bookmarkStart w:id="13" w:name="_Hlk99014733"/>
      <w:r w:rsidRPr="00D444D3">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(03) DE JUNIO DE DOS MIL VEINTISÉIS, ANTE EL SECRETARIO TÉCNICO DEL PLENO </w:t>
      </w:r>
      <w:r w:rsidRPr="00D444D3">
        <w:rPr>
          <w:rFonts w:ascii="Palatino Linotype" w:hAnsi="Palatino Linotype" w:cs="Palatino Linotype"/>
          <w:color w:val="000000" w:themeColor="text1"/>
          <w:sz w:val="24"/>
          <w:szCs w:val="24"/>
        </w:rPr>
        <w:t>ALEXIS TAPIA RAMÍREZ.</w:t>
      </w:r>
    </w:p>
    <w:bookmarkEnd w:id="13"/>
    <w:p w:rsidR="00BD78D2" w:rsidRPr="00D444D3" w:rsidRDefault="00BD78D2">
      <w:pPr>
        <w:spacing w:line="360" w:lineRule="auto"/>
        <w:ind w:right="-876"/>
        <w:rPr>
          <w:rFonts w:ascii="Palatino Linotype" w:eastAsia="Palatino Linotype" w:hAnsi="Palatino Linotype" w:cs="Palatino Linotype"/>
          <w:sz w:val="24"/>
          <w:szCs w:val="24"/>
        </w:rPr>
      </w:pPr>
    </w:p>
    <w:p w:rsidR="00B61C6E" w:rsidRDefault="00B61C6E">
      <w:pPr>
        <w:spacing w:line="360" w:lineRule="auto"/>
        <w:ind w:right="-876"/>
        <w:rPr>
          <w:rFonts w:ascii="Palatino Linotype" w:eastAsia="Palatino Linotype" w:hAnsi="Palatino Linotype" w:cs="Palatino Linotype"/>
          <w:sz w:val="24"/>
          <w:szCs w:val="24"/>
        </w:rPr>
      </w:pPr>
    </w:p>
    <w:p w:rsidR="00D444D3" w:rsidRDefault="00D444D3">
      <w:pPr>
        <w:spacing w:line="360" w:lineRule="auto"/>
        <w:ind w:right="-876"/>
        <w:rPr>
          <w:rFonts w:ascii="Palatino Linotype" w:eastAsia="Palatino Linotype" w:hAnsi="Palatino Linotype" w:cs="Palatino Linotype"/>
          <w:sz w:val="24"/>
          <w:szCs w:val="24"/>
        </w:rPr>
      </w:pPr>
    </w:p>
    <w:p w:rsidR="00D444D3" w:rsidRDefault="00D444D3">
      <w:pPr>
        <w:spacing w:line="360" w:lineRule="auto"/>
        <w:ind w:right="-876"/>
        <w:rPr>
          <w:rFonts w:ascii="Palatino Linotype" w:eastAsia="Palatino Linotype" w:hAnsi="Palatino Linotype" w:cs="Palatino Linotype"/>
          <w:sz w:val="24"/>
          <w:szCs w:val="24"/>
        </w:rPr>
      </w:pPr>
    </w:p>
    <w:p w:rsidR="00D444D3" w:rsidRDefault="00D444D3">
      <w:pPr>
        <w:spacing w:line="360" w:lineRule="auto"/>
        <w:ind w:right="-876"/>
        <w:rPr>
          <w:rFonts w:ascii="Palatino Linotype" w:eastAsia="Palatino Linotype" w:hAnsi="Palatino Linotype" w:cs="Palatino Linotype"/>
          <w:sz w:val="24"/>
          <w:szCs w:val="24"/>
        </w:rPr>
      </w:pPr>
    </w:p>
    <w:p w:rsidR="00D444D3" w:rsidRDefault="00D444D3">
      <w:pPr>
        <w:spacing w:line="360" w:lineRule="auto"/>
        <w:ind w:right="-876"/>
        <w:rPr>
          <w:rFonts w:ascii="Palatino Linotype" w:eastAsia="Palatino Linotype" w:hAnsi="Palatino Linotype" w:cs="Palatino Linotype"/>
          <w:sz w:val="24"/>
          <w:szCs w:val="24"/>
        </w:rPr>
      </w:pPr>
    </w:p>
    <w:p w:rsidR="00D444D3" w:rsidRDefault="00D444D3">
      <w:pPr>
        <w:spacing w:line="360" w:lineRule="auto"/>
        <w:ind w:right="-876"/>
        <w:rPr>
          <w:rFonts w:ascii="Palatino Linotype" w:eastAsia="Palatino Linotype" w:hAnsi="Palatino Linotype" w:cs="Palatino Linotype"/>
          <w:sz w:val="24"/>
          <w:szCs w:val="24"/>
        </w:rPr>
      </w:pPr>
    </w:p>
    <w:p w:rsidR="00D444D3" w:rsidRDefault="00D444D3">
      <w:pPr>
        <w:spacing w:line="360" w:lineRule="auto"/>
        <w:ind w:right="-876"/>
        <w:rPr>
          <w:rFonts w:ascii="Palatino Linotype" w:eastAsia="Palatino Linotype" w:hAnsi="Palatino Linotype" w:cs="Palatino Linotype"/>
          <w:sz w:val="24"/>
          <w:szCs w:val="24"/>
        </w:rPr>
      </w:pPr>
    </w:p>
    <w:p w:rsidR="00D444D3" w:rsidRDefault="00D444D3">
      <w:pPr>
        <w:spacing w:line="360" w:lineRule="auto"/>
        <w:ind w:right="-876"/>
        <w:rPr>
          <w:rFonts w:ascii="Palatino Linotype" w:eastAsia="Palatino Linotype" w:hAnsi="Palatino Linotype" w:cs="Palatino Linotype"/>
          <w:sz w:val="24"/>
          <w:szCs w:val="24"/>
        </w:rPr>
      </w:pPr>
    </w:p>
    <w:p w:rsidR="00D444D3" w:rsidRDefault="00D444D3">
      <w:pPr>
        <w:spacing w:line="360" w:lineRule="auto"/>
        <w:ind w:right="-876"/>
        <w:rPr>
          <w:rFonts w:ascii="Palatino Linotype" w:eastAsia="Palatino Linotype" w:hAnsi="Palatino Linotype" w:cs="Palatino Linotype"/>
          <w:sz w:val="24"/>
          <w:szCs w:val="24"/>
        </w:rPr>
      </w:pPr>
    </w:p>
    <w:p w:rsidR="00D444D3" w:rsidRDefault="00D444D3">
      <w:pPr>
        <w:spacing w:line="360" w:lineRule="auto"/>
        <w:ind w:right="-876"/>
        <w:rPr>
          <w:rFonts w:ascii="Palatino Linotype" w:eastAsia="Palatino Linotype" w:hAnsi="Palatino Linotype" w:cs="Palatino Linotype"/>
          <w:sz w:val="24"/>
          <w:szCs w:val="24"/>
        </w:rPr>
      </w:pPr>
    </w:p>
    <w:p w:rsidR="00D444D3" w:rsidRDefault="00D444D3">
      <w:pPr>
        <w:spacing w:line="360" w:lineRule="auto"/>
        <w:ind w:right="-876"/>
        <w:rPr>
          <w:rFonts w:ascii="Palatino Linotype" w:eastAsia="Palatino Linotype" w:hAnsi="Palatino Linotype" w:cs="Palatino Linotype"/>
          <w:sz w:val="24"/>
          <w:szCs w:val="24"/>
        </w:rPr>
      </w:pPr>
    </w:p>
    <w:p w:rsidR="00D444D3" w:rsidRDefault="00D444D3">
      <w:pPr>
        <w:spacing w:line="360" w:lineRule="auto"/>
        <w:ind w:right="-876"/>
        <w:rPr>
          <w:rFonts w:ascii="Palatino Linotype" w:eastAsia="Palatino Linotype" w:hAnsi="Palatino Linotype" w:cs="Palatino Linotype"/>
          <w:sz w:val="24"/>
          <w:szCs w:val="24"/>
        </w:rPr>
      </w:pPr>
    </w:p>
    <w:p w:rsidR="00D444D3" w:rsidRDefault="00D444D3">
      <w:pPr>
        <w:spacing w:line="360" w:lineRule="auto"/>
        <w:ind w:right="-876"/>
        <w:rPr>
          <w:rFonts w:ascii="Palatino Linotype" w:eastAsia="Palatino Linotype" w:hAnsi="Palatino Linotype" w:cs="Palatino Linotype"/>
          <w:sz w:val="24"/>
          <w:szCs w:val="24"/>
        </w:rPr>
      </w:pPr>
    </w:p>
    <w:p w:rsidR="00D444D3" w:rsidRDefault="00D444D3">
      <w:pPr>
        <w:spacing w:line="360" w:lineRule="auto"/>
        <w:ind w:right="-876"/>
        <w:rPr>
          <w:rFonts w:ascii="Palatino Linotype" w:eastAsia="Palatino Linotype" w:hAnsi="Palatino Linotype" w:cs="Palatino Linotype"/>
          <w:sz w:val="24"/>
          <w:szCs w:val="24"/>
        </w:rPr>
      </w:pPr>
    </w:p>
    <w:p w:rsidR="00D444D3" w:rsidRDefault="00D444D3">
      <w:pPr>
        <w:spacing w:line="360" w:lineRule="auto"/>
        <w:ind w:right="-876"/>
        <w:rPr>
          <w:rFonts w:ascii="Palatino Linotype" w:eastAsia="Palatino Linotype" w:hAnsi="Palatino Linotype" w:cs="Palatino Linotype"/>
          <w:sz w:val="24"/>
          <w:szCs w:val="24"/>
        </w:rPr>
      </w:pPr>
    </w:p>
    <w:p w:rsidR="00D444D3" w:rsidRDefault="00D444D3">
      <w:pPr>
        <w:spacing w:line="360" w:lineRule="auto"/>
        <w:ind w:right="-876"/>
        <w:rPr>
          <w:rFonts w:ascii="Palatino Linotype" w:eastAsia="Palatino Linotype" w:hAnsi="Palatino Linotype" w:cs="Palatino Linotype"/>
          <w:sz w:val="24"/>
          <w:szCs w:val="24"/>
        </w:rPr>
      </w:pPr>
    </w:p>
    <w:p w:rsidR="00D444D3" w:rsidRPr="00D444D3" w:rsidRDefault="00D444D3">
      <w:pPr>
        <w:spacing w:line="360" w:lineRule="auto"/>
        <w:ind w:right="-876"/>
        <w:rPr>
          <w:rFonts w:ascii="Palatino Linotype" w:eastAsia="Palatino Linotype" w:hAnsi="Palatino Linotype" w:cs="Palatino Linotype"/>
          <w:sz w:val="24"/>
          <w:szCs w:val="24"/>
        </w:rPr>
      </w:pPr>
    </w:p>
    <w:p w:rsidR="00D444D3" w:rsidRPr="00D444D3" w:rsidRDefault="00D444D3">
      <w:pPr>
        <w:spacing w:line="360" w:lineRule="auto"/>
        <w:ind w:right="-876"/>
        <w:rPr>
          <w:rFonts w:ascii="Palatino Linotype" w:eastAsia="Palatino Linotype" w:hAnsi="Palatino Linotype" w:cs="Palatino Linotype"/>
          <w:sz w:val="24"/>
          <w:szCs w:val="24"/>
        </w:rPr>
      </w:pPr>
    </w:p>
    <w:sectPr w:rsidR="00D444D3" w:rsidRPr="00D444D3">
      <w:headerReference w:type="even" r:id="rId8"/>
      <w:headerReference w:type="default" r:id="rId9"/>
      <w:footerReference w:type="default" r:id="rId10"/>
      <w:headerReference w:type="first" r:id="rId11"/>
      <w:footerReference w:type="first" r:id="rId12"/>
      <w:pgSz w:w="12240" w:h="15840"/>
      <w:pgMar w:top="80" w:right="1608" w:bottom="2268" w:left="1588" w:header="709" w:footer="73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0E1B" w:rsidRDefault="00B00E1B">
      <w:r>
        <w:separator/>
      </w:r>
    </w:p>
  </w:endnote>
  <w:endnote w:type="continuationSeparator" w:id="0">
    <w:p w:rsidR="00B00E1B" w:rsidRDefault="00B00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03EEAE60-E892-4879-989B-0CDB4340155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00F28A7F-4624-4B8A-8165-D20A87EAF832}"/>
    <w:embedBold r:id="rId3" w:fontKey="{80EF5411-B9CA-4EAE-AA25-E38C0FB6D9A9}"/>
    <w:embedItalic r:id="rId4" w:fontKey="{5ED85200-D561-45F4-8AD3-F756652BC50E}"/>
    <w:embedBoldItalic r:id="rId5" w:fontKey="{717BCD1E-D0C6-426C-9C89-A1FFD89AAED7}"/>
  </w:font>
  <w:font w:name="Calibri">
    <w:panose1 w:val="020F0502020204030204"/>
    <w:charset w:val="00"/>
    <w:family w:val="swiss"/>
    <w:pitch w:val="variable"/>
    <w:sig w:usb0="E4002EFF" w:usb1="C200247B" w:usb2="00000009" w:usb3="00000000" w:csb0="000001FF" w:csb1="00000000"/>
    <w:embedRegular r:id="rId6" w:fontKey="{C856CE17-7CE9-4C2D-A8F2-2147C2CCD217}"/>
  </w:font>
  <w:font w:name="Georgia">
    <w:panose1 w:val="02040502050405020303"/>
    <w:charset w:val="00"/>
    <w:family w:val="roman"/>
    <w:pitch w:val="variable"/>
    <w:sig w:usb0="00000287" w:usb1="00000000" w:usb2="00000000" w:usb3="00000000" w:csb0="0000009F" w:csb1="00000000"/>
    <w:embedItalic r:id="rId7" w:fontKey="{867BAC47-D92F-4B68-9E42-2DE3DA6F1435}"/>
  </w:font>
  <w:font w:name="Garamond">
    <w:panose1 w:val="02020404030301010803"/>
    <w:charset w:val="00"/>
    <w:family w:val="roman"/>
    <w:pitch w:val="variable"/>
    <w:sig w:usb0="00000287" w:usb1="00000000" w:usb2="00000000" w:usb3="00000000" w:csb0="0000009F" w:csb1="00000000"/>
    <w:embedRegular r:id="rId8" w:fontKey="{8F368317-8895-4E0F-8FF4-447AB373A29F}"/>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9" w:fontKey="{B4B51D6C-320C-4151-8D43-05C807B2385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8D2" w:rsidRDefault="00BD78D2">
    <w:pPr>
      <w:pBdr>
        <w:top w:val="nil"/>
        <w:left w:val="nil"/>
        <w:bottom w:val="nil"/>
        <w:right w:val="nil"/>
        <w:between w:val="nil"/>
      </w:pBdr>
      <w:tabs>
        <w:tab w:val="center" w:pos="4419"/>
        <w:tab w:val="right" w:pos="8838"/>
      </w:tabs>
      <w:jc w:val="right"/>
      <w:rPr>
        <w:color w:val="000000"/>
      </w:rPr>
    </w:pPr>
  </w:p>
  <w:p w:rsidR="00BD78D2" w:rsidRDefault="00D43BD7">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9652CA">
      <w:rPr>
        <w:rFonts w:ascii="Palatino Linotype" w:eastAsia="Palatino Linotype" w:hAnsi="Palatino Linotype" w:cs="Palatino Linotype"/>
        <w:b/>
        <w:bCs/>
        <w:noProof/>
        <w:color w:val="000000"/>
        <w:sz w:val="22"/>
        <w:szCs w:val="22"/>
      </w:rPr>
      <w:t>16</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9652CA">
      <w:rPr>
        <w:rFonts w:ascii="Palatino Linotype" w:eastAsia="Palatino Linotype" w:hAnsi="Palatino Linotype" w:cs="Palatino Linotype"/>
        <w:b/>
        <w:bCs/>
        <w:noProof/>
        <w:color w:val="000000"/>
        <w:sz w:val="22"/>
        <w:szCs w:val="22"/>
      </w:rPr>
      <w:t>16</w:t>
    </w:r>
    <w:r>
      <w:rPr>
        <w:rFonts w:ascii="Palatino Linotype" w:eastAsia="Palatino Linotype" w:hAnsi="Palatino Linotype" w:cs="Palatino Linotype"/>
        <w:b/>
        <w:bCs/>
        <w:color w:val="000000"/>
        <w:sz w:val="22"/>
        <w:szCs w:val="22"/>
      </w:rPr>
      <w:fldChar w:fldCharType="end"/>
    </w:r>
  </w:p>
  <w:p w:rsidR="00BD78D2" w:rsidRDefault="00BD78D2">
    <w:pPr>
      <w:pBdr>
        <w:top w:val="nil"/>
        <w:left w:val="nil"/>
        <w:bottom w:val="nil"/>
        <w:right w:val="nil"/>
        <w:between w:val="nil"/>
      </w:pBdr>
      <w:tabs>
        <w:tab w:val="center" w:pos="4419"/>
        <w:tab w:val="right" w:pos="8838"/>
      </w:tabs>
      <w:rPr>
        <w:color w:val="000000"/>
      </w:rPr>
    </w:pPr>
  </w:p>
  <w:p w:rsidR="00BD78D2" w:rsidRDefault="00BD78D2"/>
  <w:p w:rsidR="00BD78D2" w:rsidRDefault="00BD78D2"/>
  <w:p w:rsidR="00BD78D2" w:rsidRDefault="00BD78D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8D2" w:rsidRDefault="00D43BD7">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9652CA">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9652CA">
      <w:rPr>
        <w:rFonts w:ascii="Palatino Linotype" w:eastAsia="Palatino Linotype" w:hAnsi="Palatino Linotype" w:cs="Palatino Linotype"/>
        <w:b/>
        <w:bCs/>
        <w:noProof/>
        <w:color w:val="000000"/>
        <w:sz w:val="22"/>
        <w:szCs w:val="22"/>
      </w:rPr>
      <w:t>16</w:t>
    </w:r>
    <w:r>
      <w:rPr>
        <w:rFonts w:ascii="Palatino Linotype" w:eastAsia="Palatino Linotype" w:hAnsi="Palatino Linotype" w:cs="Palatino Linotype"/>
        <w:b/>
        <w:bCs/>
        <w:color w:val="000000"/>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0E1B" w:rsidRDefault="00B00E1B">
      <w:r>
        <w:separator/>
      </w:r>
    </w:p>
  </w:footnote>
  <w:footnote w:type="continuationSeparator" w:id="0">
    <w:p w:rsidR="00B00E1B" w:rsidRDefault="00B00E1B">
      <w:r>
        <w:continuationSeparator/>
      </w:r>
    </w:p>
  </w:footnote>
  <w:footnote w:id="1">
    <w:p w:rsidR="00BD78D2" w:rsidRDefault="00D43BD7">
      <w:pPr>
        <w:pBdr>
          <w:top w:val="nil"/>
          <w:left w:val="nil"/>
          <w:bottom w:val="nil"/>
          <w:right w:val="nil"/>
          <w:between w:val="nil"/>
        </w:pBdr>
        <w:rPr>
          <w:rFonts w:ascii="Calibri" w:eastAsia="Calibri" w:hAnsi="Calibri" w:cs="Calibri"/>
          <w:color w:val="000000"/>
        </w:rPr>
      </w:pPr>
      <w:r>
        <w:rPr>
          <w:vertAlign w:val="superscript"/>
        </w:rPr>
        <w:footnoteRef/>
      </w:r>
      <w:r>
        <w:rPr>
          <w:rFonts w:ascii="Calibri" w:eastAsia="Calibri" w:hAnsi="Calibri" w:cs="Calibri"/>
          <w:color w:val="000000"/>
        </w:rPr>
        <w:t xml:space="preserve"> Tercer párrafo, artículo 1º, Constitución Política de los Estados Unidos Mexicanos.</w:t>
      </w:r>
    </w:p>
  </w:footnote>
  <w:footnote w:id="2">
    <w:p w:rsidR="00BD78D2" w:rsidRDefault="00D43BD7">
      <w:pPr>
        <w:pBdr>
          <w:top w:val="nil"/>
          <w:left w:val="nil"/>
          <w:bottom w:val="nil"/>
          <w:right w:val="nil"/>
          <w:between w:val="nil"/>
        </w:pBdr>
        <w:rPr>
          <w:rFonts w:ascii="Calibri" w:eastAsia="Calibri" w:hAnsi="Calibri" w:cs="Calibri"/>
          <w:color w:val="000000"/>
        </w:rPr>
      </w:pPr>
      <w:r>
        <w:rPr>
          <w:vertAlign w:val="superscript"/>
        </w:rPr>
        <w:footnoteRef/>
      </w:r>
      <w:r>
        <w:rPr>
          <w:rFonts w:ascii="Calibri" w:eastAsia="Calibri" w:hAnsi="Calibri" w:cs="Calibri"/>
          <w:color w:val="000000"/>
        </w:rPr>
        <w:t xml:space="preserve"> Segundo Párrafo, artículo 6º, Constitución Política de los Estados Unidos Mexicanos.</w:t>
      </w:r>
    </w:p>
  </w:footnote>
  <w:footnote w:id="3">
    <w:p w:rsidR="00BD78D2" w:rsidRDefault="00D43BD7">
      <w:pPr>
        <w:pBdr>
          <w:top w:val="nil"/>
          <w:left w:val="nil"/>
          <w:bottom w:val="nil"/>
          <w:right w:val="nil"/>
          <w:between w:val="nil"/>
        </w:pBdr>
        <w:rPr>
          <w:rFonts w:ascii="Calibri" w:eastAsia="Calibri" w:hAnsi="Calibri" w:cs="Calibri"/>
          <w:color w:val="000000"/>
        </w:rPr>
      </w:pPr>
      <w:r>
        <w:rPr>
          <w:vertAlign w:val="superscript"/>
        </w:rPr>
        <w:footnoteRef/>
      </w:r>
      <w:r>
        <w:rPr>
          <w:rFonts w:ascii="Calibri" w:eastAsia="Calibri" w:hAnsi="Calibri" w:cs="Calibri"/>
          <w:color w:val="000000"/>
        </w:rPr>
        <w:t xml:space="preserve"> Artículo 176, Ley de Transparencia y Acceso a la Información Pública del Estado de México y Municipios.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8D2" w:rsidRDefault="00B00E1B">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63.5pt;height:12in;z-index:-251657728;mso-position-horizontal:center;mso-position-horizontal-relative:margin;mso-position-vertical:center;mso-position-vertical-relative:margin">
          <v:imagedata r:id="rId1" o:title="image1"/>
          <w10:wrap anchorx="margin" anchory="margin"/>
        </v:shape>
      </w:pict>
    </w:r>
  </w:p>
  <w:p w:rsidR="00BD78D2" w:rsidRDefault="00BD78D2"/>
  <w:p w:rsidR="00BD78D2" w:rsidRDefault="00BD78D2"/>
  <w:p w:rsidR="00BD78D2" w:rsidRDefault="00BD78D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605" w:type="dxa"/>
      <w:tblInd w:w="0" w:type="dxa"/>
      <w:tblLayout w:type="fixed"/>
      <w:tblLook w:val="0400" w:firstRow="0" w:lastRow="0" w:firstColumn="0" w:lastColumn="0" w:noHBand="0" w:noVBand="1"/>
    </w:tblPr>
    <w:tblGrid>
      <w:gridCol w:w="1845"/>
      <w:gridCol w:w="8760"/>
    </w:tblGrid>
    <w:tr w:rsidR="00BD78D2">
      <w:trPr>
        <w:trHeight w:val="1435"/>
      </w:trPr>
      <w:tc>
        <w:tcPr>
          <w:tcW w:w="1845" w:type="dxa"/>
          <w:shd w:val="clear" w:color="auto" w:fill="auto"/>
        </w:tcPr>
        <w:p w:rsidR="00BD78D2" w:rsidRDefault="00D43BD7">
          <w:pPr>
            <w:tabs>
              <w:tab w:val="right" w:pos="4273"/>
            </w:tabs>
            <w:rPr>
              <w:rFonts w:ascii="Garamond" w:eastAsia="Garamond" w:hAnsi="Garamond" w:cs="Garamond"/>
              <w:sz w:val="16"/>
              <w:szCs w:val="16"/>
            </w:rPr>
          </w:pPr>
          <w:r>
            <w:rPr>
              <w:rFonts w:ascii="Garamond" w:eastAsia="Garamond" w:hAnsi="Garamond" w:cs="Garamond"/>
              <w:sz w:val="16"/>
              <w:szCs w:val="16"/>
            </w:rPr>
            <w:t xml:space="preserve"> </w:t>
          </w:r>
        </w:p>
      </w:tc>
      <w:tc>
        <w:tcPr>
          <w:tcW w:w="8760" w:type="dxa"/>
          <w:shd w:val="clear" w:color="auto" w:fill="auto"/>
        </w:tcPr>
        <w:tbl>
          <w:tblPr>
            <w:tblStyle w:val="a0"/>
            <w:tblW w:w="11765" w:type="dxa"/>
            <w:tblInd w:w="1442" w:type="dxa"/>
            <w:tblBorders>
              <w:top w:val="nil"/>
              <w:left w:val="nil"/>
              <w:bottom w:val="nil"/>
              <w:right w:val="nil"/>
              <w:insideH w:val="nil"/>
              <w:insideV w:val="nil"/>
            </w:tblBorders>
            <w:tblLayout w:type="fixed"/>
            <w:tblLook w:val="0400" w:firstRow="0" w:lastRow="0" w:firstColumn="0" w:lastColumn="0" w:noHBand="0" w:noVBand="1"/>
          </w:tblPr>
          <w:tblGrid>
            <w:gridCol w:w="2545"/>
            <w:gridCol w:w="5818"/>
            <w:gridCol w:w="3402"/>
          </w:tblGrid>
          <w:tr w:rsidR="00BD78D2" w:rsidTr="00D444D3">
            <w:trPr>
              <w:trHeight w:val="144"/>
            </w:trPr>
            <w:tc>
              <w:tcPr>
                <w:tcW w:w="2545" w:type="dxa"/>
              </w:tcPr>
              <w:p w:rsidR="00BD78D2" w:rsidRDefault="00D43BD7">
                <w:pPr>
                  <w:tabs>
                    <w:tab w:val="right" w:pos="8838"/>
                  </w:tabs>
                  <w:ind w:left="-74" w:right="-105"/>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Recurso de Revisión:</w:t>
                </w:r>
              </w:p>
            </w:tc>
            <w:tc>
              <w:tcPr>
                <w:tcW w:w="5818" w:type="dxa"/>
              </w:tcPr>
              <w:p w:rsidR="00BD78D2" w:rsidRDefault="00D43BD7">
                <w:pPr>
                  <w:tabs>
                    <w:tab w:val="right" w:pos="8838"/>
                  </w:tabs>
                  <w:ind w:left="-3" w:right="-105"/>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13378/INFOEM/ICR-140/IP/RR/2025</w:t>
                </w:r>
              </w:p>
            </w:tc>
            <w:tc>
              <w:tcPr>
                <w:tcW w:w="3402" w:type="dxa"/>
              </w:tcPr>
              <w:p w:rsidR="00BD78D2" w:rsidRDefault="00BD78D2">
                <w:pPr>
                  <w:tabs>
                    <w:tab w:val="right" w:pos="8838"/>
                  </w:tabs>
                  <w:ind w:left="-74" w:right="-105"/>
                  <w:jc w:val="both"/>
                  <w:rPr>
                    <w:rFonts w:ascii="Palatino Linotype" w:eastAsia="Palatino Linotype" w:hAnsi="Palatino Linotype" w:cs="Palatino Linotype"/>
                    <w:sz w:val="24"/>
                    <w:szCs w:val="24"/>
                  </w:rPr>
                </w:pPr>
              </w:p>
            </w:tc>
          </w:tr>
          <w:tr w:rsidR="00BD78D2" w:rsidTr="00D444D3">
            <w:trPr>
              <w:trHeight w:val="283"/>
            </w:trPr>
            <w:tc>
              <w:tcPr>
                <w:tcW w:w="2545" w:type="dxa"/>
              </w:tcPr>
              <w:p w:rsidR="00BD78D2" w:rsidRDefault="00D43BD7">
                <w:pPr>
                  <w:tabs>
                    <w:tab w:val="right" w:pos="8838"/>
                  </w:tabs>
                  <w:ind w:left="-74" w:right="-105"/>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Sujeto Obligado:</w:t>
                </w:r>
              </w:p>
            </w:tc>
            <w:tc>
              <w:tcPr>
                <w:tcW w:w="5818" w:type="dxa"/>
              </w:tcPr>
              <w:p w:rsidR="00BD78D2" w:rsidRDefault="00D43BD7">
                <w:pPr>
                  <w:tabs>
                    <w:tab w:val="left" w:pos="2834"/>
                    <w:tab w:val="right" w:pos="8838"/>
                  </w:tabs>
                  <w:ind w:left="-3" w:right="1315"/>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Sistema Municipal para el Desarrollo Integral de la Familia de Axapusco</w:t>
                </w:r>
              </w:p>
            </w:tc>
            <w:tc>
              <w:tcPr>
                <w:tcW w:w="3402" w:type="dxa"/>
              </w:tcPr>
              <w:p w:rsidR="00BD78D2" w:rsidRDefault="00BD78D2">
                <w:pPr>
                  <w:tabs>
                    <w:tab w:val="left" w:pos="2834"/>
                    <w:tab w:val="right" w:pos="8838"/>
                  </w:tabs>
                  <w:ind w:left="-74" w:right="-105"/>
                  <w:jc w:val="both"/>
                  <w:rPr>
                    <w:rFonts w:ascii="Palatino Linotype" w:eastAsia="Palatino Linotype" w:hAnsi="Palatino Linotype" w:cs="Palatino Linotype"/>
                    <w:sz w:val="24"/>
                    <w:szCs w:val="24"/>
                  </w:rPr>
                </w:pPr>
              </w:p>
            </w:tc>
          </w:tr>
          <w:tr w:rsidR="00BD78D2" w:rsidTr="00D444D3">
            <w:trPr>
              <w:trHeight w:val="283"/>
            </w:trPr>
            <w:tc>
              <w:tcPr>
                <w:tcW w:w="2545" w:type="dxa"/>
              </w:tcPr>
              <w:p w:rsidR="00BD78D2" w:rsidRDefault="00D43BD7">
                <w:pPr>
                  <w:tabs>
                    <w:tab w:val="right" w:pos="8838"/>
                  </w:tabs>
                  <w:ind w:left="-74" w:right="-105"/>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Comisionada Ponente:</w:t>
                </w:r>
              </w:p>
            </w:tc>
            <w:tc>
              <w:tcPr>
                <w:tcW w:w="5818" w:type="dxa"/>
              </w:tcPr>
              <w:p w:rsidR="00BD78D2" w:rsidRDefault="00D43BD7">
                <w:pPr>
                  <w:tabs>
                    <w:tab w:val="right" w:pos="8838"/>
                  </w:tabs>
                  <w:ind w:left="-3" w:right="-105"/>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María del Rosario Mejía Ayala</w:t>
                </w:r>
              </w:p>
            </w:tc>
            <w:tc>
              <w:tcPr>
                <w:tcW w:w="3402" w:type="dxa"/>
              </w:tcPr>
              <w:p w:rsidR="00BD78D2" w:rsidRDefault="00BD78D2">
                <w:pPr>
                  <w:tabs>
                    <w:tab w:val="right" w:pos="8838"/>
                  </w:tabs>
                  <w:ind w:left="-74" w:right="-105"/>
                  <w:jc w:val="both"/>
                  <w:rPr>
                    <w:rFonts w:ascii="Palatino Linotype" w:eastAsia="Palatino Linotype" w:hAnsi="Palatino Linotype" w:cs="Palatino Linotype"/>
                    <w:sz w:val="24"/>
                    <w:szCs w:val="24"/>
                  </w:rPr>
                </w:pPr>
              </w:p>
            </w:tc>
          </w:tr>
        </w:tbl>
        <w:p w:rsidR="00BD78D2" w:rsidRDefault="00BD78D2">
          <w:pPr>
            <w:tabs>
              <w:tab w:val="right" w:pos="8838"/>
            </w:tabs>
            <w:ind w:left="-28"/>
            <w:jc w:val="both"/>
            <w:rPr>
              <w:rFonts w:ascii="Arial" w:eastAsia="Arial" w:hAnsi="Arial" w:cs="Arial"/>
              <w:b/>
              <w:bCs/>
              <w:sz w:val="22"/>
              <w:szCs w:val="22"/>
            </w:rPr>
          </w:pPr>
        </w:p>
      </w:tc>
    </w:tr>
  </w:tbl>
  <w:p w:rsidR="00BD78D2" w:rsidRDefault="00B00E1B">
    <w:pPr>
      <w:pBdr>
        <w:top w:val="nil"/>
        <w:left w:val="nil"/>
        <w:bottom w:val="nil"/>
        <w:right w:val="nil"/>
        <w:between w:val="nil"/>
      </w:pBdr>
      <w:tabs>
        <w:tab w:val="center" w:pos="4419"/>
        <w:tab w:val="right" w:pos="8838"/>
      </w:tabs>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79.15pt;margin-top:-128.45pt;width:663.5pt;height:12in;z-index:-251658752;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455" w:type="dxa"/>
      <w:tblInd w:w="0" w:type="dxa"/>
      <w:tblLayout w:type="fixed"/>
      <w:tblLook w:val="0400" w:firstRow="0" w:lastRow="0" w:firstColumn="0" w:lastColumn="0" w:noHBand="0" w:noVBand="1"/>
    </w:tblPr>
    <w:tblGrid>
      <w:gridCol w:w="1560"/>
      <w:gridCol w:w="8895"/>
    </w:tblGrid>
    <w:tr w:rsidR="00BD78D2">
      <w:trPr>
        <w:trHeight w:val="1435"/>
      </w:trPr>
      <w:tc>
        <w:tcPr>
          <w:tcW w:w="1560" w:type="dxa"/>
          <w:shd w:val="clear" w:color="auto" w:fill="auto"/>
        </w:tcPr>
        <w:p w:rsidR="00BD78D2" w:rsidRDefault="00BD78D2">
          <w:pPr>
            <w:tabs>
              <w:tab w:val="right" w:pos="4273"/>
            </w:tabs>
            <w:rPr>
              <w:rFonts w:ascii="Garamond" w:eastAsia="Garamond" w:hAnsi="Garamond" w:cs="Garamond"/>
              <w:sz w:val="22"/>
              <w:szCs w:val="22"/>
            </w:rPr>
          </w:pPr>
        </w:p>
      </w:tc>
      <w:tc>
        <w:tcPr>
          <w:tcW w:w="8895" w:type="dxa"/>
          <w:shd w:val="clear" w:color="auto" w:fill="auto"/>
        </w:tcPr>
        <w:tbl>
          <w:tblPr>
            <w:tblStyle w:val="a2"/>
            <w:tblW w:w="8741" w:type="dxa"/>
            <w:tblInd w:w="1444" w:type="dxa"/>
            <w:tblBorders>
              <w:top w:val="nil"/>
              <w:left w:val="nil"/>
              <w:bottom w:val="nil"/>
              <w:right w:val="nil"/>
              <w:insideH w:val="nil"/>
              <w:insideV w:val="nil"/>
            </w:tblBorders>
            <w:tblLayout w:type="fixed"/>
            <w:tblLook w:val="0400" w:firstRow="0" w:lastRow="0" w:firstColumn="0" w:lastColumn="0" w:noHBand="0" w:noVBand="1"/>
          </w:tblPr>
          <w:tblGrid>
            <w:gridCol w:w="2792"/>
            <w:gridCol w:w="5713"/>
            <w:gridCol w:w="236"/>
          </w:tblGrid>
          <w:tr w:rsidR="00BD78D2" w:rsidTr="00D444D3">
            <w:trPr>
              <w:trHeight w:val="144"/>
            </w:trPr>
            <w:tc>
              <w:tcPr>
                <w:tcW w:w="2792" w:type="dxa"/>
              </w:tcPr>
              <w:p w:rsidR="00BD78D2" w:rsidRDefault="00D43BD7">
                <w:pPr>
                  <w:tabs>
                    <w:tab w:val="right" w:pos="8838"/>
                  </w:tabs>
                  <w:ind w:left="-74" w:right="-105"/>
                  <w:rPr>
                    <w:rFonts w:ascii="Palatino Linotype" w:eastAsia="Palatino Linotype" w:hAnsi="Palatino Linotype" w:cs="Palatino Linotype"/>
                    <w:b/>
                    <w:bCs/>
                    <w:sz w:val="24"/>
                    <w:szCs w:val="24"/>
                  </w:rPr>
                </w:pPr>
                <w:bookmarkStart w:id="14" w:name="_heading=h.eia8rr8h8pg" w:colFirst="0" w:colLast="0"/>
                <w:bookmarkEnd w:id="14"/>
                <w:r>
                  <w:rPr>
                    <w:rFonts w:ascii="Palatino Linotype" w:eastAsia="Palatino Linotype" w:hAnsi="Palatino Linotype" w:cs="Palatino Linotype"/>
                    <w:b/>
                    <w:bCs/>
                    <w:sz w:val="24"/>
                    <w:szCs w:val="24"/>
                  </w:rPr>
                  <w:t>Recurso de Revisión:</w:t>
                </w:r>
              </w:p>
            </w:tc>
            <w:tc>
              <w:tcPr>
                <w:tcW w:w="5713" w:type="dxa"/>
              </w:tcPr>
              <w:p w:rsidR="00BD78D2" w:rsidRDefault="00D43BD7">
                <w:pPr>
                  <w:tabs>
                    <w:tab w:val="right" w:pos="8838"/>
                  </w:tabs>
                  <w:ind w:left="-3" w:right="-105"/>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13378/INFOEM/ICR-140/IP/RR/2025</w:t>
                </w:r>
              </w:p>
            </w:tc>
            <w:tc>
              <w:tcPr>
                <w:tcW w:w="236" w:type="dxa"/>
              </w:tcPr>
              <w:p w:rsidR="00BD78D2" w:rsidRDefault="00BD78D2">
                <w:pPr>
                  <w:tabs>
                    <w:tab w:val="right" w:pos="8838"/>
                  </w:tabs>
                  <w:ind w:left="-74" w:right="-105"/>
                  <w:jc w:val="both"/>
                  <w:rPr>
                    <w:rFonts w:ascii="Palatino Linotype" w:eastAsia="Palatino Linotype" w:hAnsi="Palatino Linotype" w:cs="Palatino Linotype"/>
                    <w:sz w:val="22"/>
                    <w:szCs w:val="22"/>
                  </w:rPr>
                </w:pPr>
              </w:p>
            </w:tc>
          </w:tr>
          <w:tr w:rsidR="00BD78D2" w:rsidTr="00D444D3">
            <w:trPr>
              <w:trHeight w:val="144"/>
            </w:trPr>
            <w:tc>
              <w:tcPr>
                <w:tcW w:w="2792" w:type="dxa"/>
              </w:tcPr>
              <w:p w:rsidR="00BD78D2" w:rsidRDefault="00D43BD7">
                <w:pPr>
                  <w:tabs>
                    <w:tab w:val="right" w:pos="8838"/>
                  </w:tabs>
                  <w:ind w:left="-74" w:right="-105"/>
                  <w:rPr>
                    <w:rFonts w:ascii="Palatino Linotype" w:eastAsia="Palatino Linotype" w:hAnsi="Palatino Linotype" w:cs="Palatino Linotype"/>
                    <w:b/>
                    <w:bCs/>
                    <w:sz w:val="24"/>
                    <w:szCs w:val="24"/>
                  </w:rPr>
                </w:pPr>
                <w:bookmarkStart w:id="15" w:name="_heading=h.kcdzdof92nqe" w:colFirst="0" w:colLast="0"/>
                <w:bookmarkEnd w:id="15"/>
                <w:r>
                  <w:rPr>
                    <w:rFonts w:ascii="Palatino Linotype" w:eastAsia="Palatino Linotype" w:hAnsi="Palatino Linotype" w:cs="Palatino Linotype"/>
                    <w:b/>
                    <w:bCs/>
                    <w:sz w:val="24"/>
                    <w:szCs w:val="24"/>
                  </w:rPr>
                  <w:t>Recurrente:</w:t>
                </w:r>
              </w:p>
            </w:tc>
            <w:tc>
              <w:tcPr>
                <w:tcW w:w="5713" w:type="dxa"/>
              </w:tcPr>
              <w:p w:rsidR="00BD78D2" w:rsidRDefault="009652CA">
                <w:pPr>
                  <w:tabs>
                    <w:tab w:val="left" w:pos="3122"/>
                    <w:tab w:val="right" w:pos="8838"/>
                  </w:tabs>
                  <w:ind w:right="1457"/>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p>
            </w:tc>
            <w:tc>
              <w:tcPr>
                <w:tcW w:w="236" w:type="dxa"/>
              </w:tcPr>
              <w:p w:rsidR="00BD78D2" w:rsidRDefault="00BD78D2">
                <w:pPr>
                  <w:tabs>
                    <w:tab w:val="left" w:pos="3122"/>
                    <w:tab w:val="right" w:pos="8838"/>
                  </w:tabs>
                  <w:ind w:right="-105"/>
                  <w:jc w:val="both"/>
                  <w:rPr>
                    <w:rFonts w:ascii="Palatino Linotype" w:eastAsia="Palatino Linotype" w:hAnsi="Palatino Linotype" w:cs="Palatino Linotype"/>
                    <w:sz w:val="22"/>
                    <w:szCs w:val="22"/>
                  </w:rPr>
                </w:pPr>
              </w:p>
            </w:tc>
          </w:tr>
          <w:tr w:rsidR="00BD78D2" w:rsidTr="00D444D3">
            <w:trPr>
              <w:trHeight w:val="283"/>
            </w:trPr>
            <w:tc>
              <w:tcPr>
                <w:tcW w:w="2792" w:type="dxa"/>
              </w:tcPr>
              <w:p w:rsidR="00BD78D2" w:rsidRDefault="00D43BD7">
                <w:pPr>
                  <w:tabs>
                    <w:tab w:val="right" w:pos="8838"/>
                  </w:tabs>
                  <w:ind w:left="-74" w:right="-105"/>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Sujeto Obligado:</w:t>
                </w:r>
              </w:p>
            </w:tc>
            <w:tc>
              <w:tcPr>
                <w:tcW w:w="5713" w:type="dxa"/>
              </w:tcPr>
              <w:p w:rsidR="00BD78D2" w:rsidRDefault="00D43BD7" w:rsidP="00D444D3">
                <w:pPr>
                  <w:tabs>
                    <w:tab w:val="left" w:pos="2834"/>
                    <w:tab w:val="right" w:pos="8838"/>
                  </w:tabs>
                  <w:ind w:left="-3" w:right="1168"/>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Sistema Municipal para el Desarrollo Integral de la Familia de Axapusco</w:t>
                </w:r>
              </w:p>
            </w:tc>
            <w:tc>
              <w:tcPr>
                <w:tcW w:w="236" w:type="dxa"/>
              </w:tcPr>
              <w:p w:rsidR="00BD78D2" w:rsidRDefault="00BD78D2">
                <w:pPr>
                  <w:tabs>
                    <w:tab w:val="left" w:pos="2834"/>
                    <w:tab w:val="right" w:pos="8838"/>
                  </w:tabs>
                  <w:ind w:left="-74" w:right="-105"/>
                  <w:jc w:val="both"/>
                  <w:rPr>
                    <w:rFonts w:ascii="Palatino Linotype" w:eastAsia="Palatino Linotype" w:hAnsi="Palatino Linotype" w:cs="Palatino Linotype"/>
                    <w:sz w:val="22"/>
                    <w:szCs w:val="22"/>
                  </w:rPr>
                </w:pPr>
              </w:p>
            </w:tc>
          </w:tr>
          <w:tr w:rsidR="00BD78D2" w:rsidTr="00D444D3">
            <w:trPr>
              <w:trHeight w:val="283"/>
            </w:trPr>
            <w:tc>
              <w:tcPr>
                <w:tcW w:w="2792" w:type="dxa"/>
              </w:tcPr>
              <w:p w:rsidR="00BD78D2" w:rsidRDefault="00D43BD7">
                <w:pPr>
                  <w:tabs>
                    <w:tab w:val="right" w:pos="8838"/>
                  </w:tabs>
                  <w:ind w:left="-74" w:right="-105"/>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Comisionada Ponente:</w:t>
                </w:r>
              </w:p>
            </w:tc>
            <w:tc>
              <w:tcPr>
                <w:tcW w:w="5713" w:type="dxa"/>
              </w:tcPr>
              <w:p w:rsidR="00BD78D2" w:rsidRDefault="00D43BD7">
                <w:pPr>
                  <w:tabs>
                    <w:tab w:val="right" w:pos="8838"/>
                  </w:tabs>
                  <w:ind w:left="-3" w:right="-105"/>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María del Rosario Mejía Ayala</w:t>
                </w:r>
              </w:p>
            </w:tc>
            <w:tc>
              <w:tcPr>
                <w:tcW w:w="236" w:type="dxa"/>
              </w:tcPr>
              <w:p w:rsidR="00BD78D2" w:rsidRDefault="00BD78D2">
                <w:pPr>
                  <w:tabs>
                    <w:tab w:val="right" w:pos="8838"/>
                  </w:tabs>
                  <w:ind w:left="-74" w:right="-105"/>
                  <w:jc w:val="both"/>
                  <w:rPr>
                    <w:rFonts w:ascii="Palatino Linotype" w:eastAsia="Palatino Linotype" w:hAnsi="Palatino Linotype" w:cs="Palatino Linotype"/>
                    <w:sz w:val="22"/>
                    <w:szCs w:val="22"/>
                  </w:rPr>
                </w:pPr>
              </w:p>
            </w:tc>
          </w:tr>
        </w:tbl>
        <w:p w:rsidR="00BD78D2" w:rsidRDefault="00BD78D2">
          <w:pPr>
            <w:tabs>
              <w:tab w:val="right" w:pos="8838"/>
            </w:tabs>
            <w:ind w:left="-28"/>
            <w:jc w:val="both"/>
            <w:rPr>
              <w:rFonts w:ascii="Arial" w:eastAsia="Arial" w:hAnsi="Arial" w:cs="Arial"/>
              <w:b/>
              <w:bCs/>
              <w:sz w:val="22"/>
              <w:szCs w:val="22"/>
            </w:rPr>
          </w:pPr>
        </w:p>
      </w:tc>
    </w:tr>
  </w:tbl>
  <w:p w:rsidR="00BD78D2" w:rsidRDefault="00D43BD7">
    <w:pPr>
      <w:pBdr>
        <w:top w:val="nil"/>
        <w:left w:val="nil"/>
        <w:bottom w:val="nil"/>
        <w:right w:val="nil"/>
        <w:between w:val="nil"/>
      </w:pBdr>
      <w:tabs>
        <w:tab w:val="center" w:pos="4419"/>
        <w:tab w:val="right" w:pos="8838"/>
        <w:tab w:val="center" w:pos="4522"/>
      </w:tabs>
    </w:pPr>
    <w:r>
      <w:rPr>
        <w:noProof/>
        <w:color w:val="000000"/>
        <w:sz w:val="14"/>
        <w:szCs w:val="14"/>
      </w:rPr>
      <w:drawing>
        <wp:anchor distT="0" distB="0" distL="114300" distR="114300" simplePos="0" relativeHeight="251656704" behindDoc="1" locked="0" layoutInCell="1" hidden="0" allowOverlap="1">
          <wp:simplePos x="0" y="0"/>
          <wp:positionH relativeFrom="margin">
            <wp:posOffset>-1224914</wp:posOffset>
          </wp:positionH>
          <wp:positionV relativeFrom="margin">
            <wp:posOffset>-1892934</wp:posOffset>
          </wp:positionV>
          <wp:extent cx="8404225" cy="10944225"/>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8404225" cy="1094422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D28D1"/>
    <w:multiLevelType w:val="multilevel"/>
    <w:tmpl w:val="3702D3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DA86281"/>
    <w:multiLevelType w:val="multilevel"/>
    <w:tmpl w:val="98E280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7732E33"/>
    <w:multiLevelType w:val="multilevel"/>
    <w:tmpl w:val="51E651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2A583468"/>
    <w:multiLevelType w:val="multilevel"/>
    <w:tmpl w:val="5EDED6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628B42E5"/>
    <w:multiLevelType w:val="multilevel"/>
    <w:tmpl w:val="2DC8DB20"/>
    <w:lvl w:ilvl="0">
      <w:start w:val="1"/>
      <w:numFmt w:val="decimal"/>
      <w:lvlText w:val="%1."/>
      <w:lvlJc w:val="left"/>
      <w:pPr>
        <w:ind w:left="4613" w:hanging="360"/>
      </w:pPr>
      <w:rPr>
        <w:rFonts w:ascii="Palatino Linotype" w:eastAsia="Palatino Linotype" w:hAnsi="Palatino Linotype" w:cs="Palatino Linotype"/>
        <w:b/>
        <w:bCs/>
        <w:i w:val="0"/>
        <w:iCs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bCs/>
        <w:i w:val="0"/>
        <w:iCs w:val="0"/>
        <w:color w:val="000000"/>
      </w:rPr>
    </w:lvl>
    <w:lvl w:ilvl="2">
      <w:start w:val="4"/>
      <w:numFmt w:val="lowerRoman"/>
      <w:lvlText w:val="%3."/>
      <w:lvlJc w:val="right"/>
      <w:pPr>
        <w:ind w:left="2160" w:hanging="180"/>
      </w:pPr>
    </w:lvl>
    <w:lvl w:ilvl="3">
      <w:start w:val="1"/>
      <w:numFmt w:val="lowerLetter"/>
      <w:lvlText w:val="%4)"/>
      <w:lvlJc w:val="left"/>
      <w:pPr>
        <w:ind w:left="2880" w:hanging="360"/>
      </w:pPr>
    </w:lvl>
    <w:lvl w:ilvl="4">
      <w:start w:val="104"/>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8D2"/>
    <w:rsid w:val="0002746D"/>
    <w:rsid w:val="000D3AEC"/>
    <w:rsid w:val="009302B4"/>
    <w:rsid w:val="009652CA"/>
    <w:rsid w:val="00A36C78"/>
    <w:rsid w:val="00AA6FD5"/>
    <w:rsid w:val="00B00E1B"/>
    <w:rsid w:val="00B61C6E"/>
    <w:rsid w:val="00BD78D2"/>
    <w:rsid w:val="00D43BD7"/>
    <w:rsid w:val="00D444D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6797817F-25B5-4CB8-BDA9-37D0AE824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paragraph" w:styleId="Piedepgina">
    <w:name w:val="footer"/>
    <w:basedOn w:val="Normal"/>
    <w:link w:val="PiedepginaCar"/>
    <w:uiPriority w:val="99"/>
    <w:unhideWhenUsed/>
    <w:rsid w:val="00D444D3"/>
    <w:pPr>
      <w:tabs>
        <w:tab w:val="center" w:pos="4419"/>
        <w:tab w:val="right" w:pos="8838"/>
      </w:tabs>
    </w:pPr>
  </w:style>
  <w:style w:type="character" w:customStyle="1" w:styleId="PiedepginaCar">
    <w:name w:val="Pie de página Car"/>
    <w:basedOn w:val="Fuentedeprrafopredeter"/>
    <w:link w:val="Piedepgina"/>
    <w:uiPriority w:val="99"/>
    <w:rsid w:val="00D44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qrAX8eX0xUym1K0VGwDCnvKGww==">CgMxLjAyDmguYmFmNGwydmJ5a2syMg5oLmh2ZmFjNncwcTkydzIOaC5uZ25vYjk1Z2p1eWEyDWgudmdkYmYyZjNrMHgyDmguNXlmM3VjdnF2dXBjMg5oLmc1ZGh0bGNkZnQ4ZTIOaC56MjJvcGZjZTR6aW4yDWguNGF6dGVvbWZseGYyDmguc28yYjV3ZXpqY2FoMg5oLnhibjBhazRqNzdnZDIOaC5qNzhkdmlianZhcGgyDmguZHlsMzBjdmtvN2pyMg5oLmhubDRocnRlOTNyODINaC5laWE4cnI4aDhwZzIOaC5rY2R6ZG9mOTJucWU4AHIhMWIyT1lBVnlhMi1GMTcxS0xxWHJSNEFpNFhPREhYQnR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3248</Words>
  <Characters>17867</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21073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7</cp:revision>
  <cp:lastPrinted>2026-06-05T16:54:00Z</cp:lastPrinted>
  <dcterms:created xsi:type="dcterms:W3CDTF">2026-06-03T22:06:00Z</dcterms:created>
  <dcterms:modified xsi:type="dcterms:W3CDTF">2026-06-10T19:05:00Z</dcterms:modified>
</cp:coreProperties>
</file>