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6F8" w:rsidRDefault="006614E9">
      <w:pPr>
        <w:spacing w:line="360" w:lineRule="auto"/>
        <w:jc w:val="both"/>
        <w:rPr>
          <w:rFonts w:ascii="Palatino Linotype" w:eastAsia="Palatino Linotype" w:hAnsi="Palatino Linotype" w:cs="Palatino Linotype"/>
          <w:sz w:val="24"/>
          <w:szCs w:val="24"/>
        </w:rPr>
      </w:pPr>
      <w:bookmarkStart w:id="0" w:name="_heading=h.ebinpzs8ft7k" w:colFirst="0" w:colLast="0"/>
      <w:bookmarkStart w:id="1" w:name="_GoBack"/>
      <w:bookmarkEnd w:id="0"/>
      <w:bookmarkEnd w:id="1"/>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w:t>
      </w:r>
      <w:r w:rsidR="00EA4BD2">
        <w:rPr>
          <w:rFonts w:ascii="Palatino Linotype" w:eastAsia="Palatino Linotype" w:hAnsi="Palatino Linotype" w:cs="Palatino Linotype"/>
          <w:sz w:val="24"/>
          <w:szCs w:val="24"/>
        </w:rPr>
        <w:t xml:space="preserve"> fecha</w:t>
      </w:r>
      <w:r>
        <w:rPr>
          <w:rFonts w:ascii="Palatino Linotype" w:eastAsia="Palatino Linotype" w:hAnsi="Palatino Linotype" w:cs="Palatino Linotype"/>
          <w:sz w:val="24"/>
          <w:szCs w:val="24"/>
        </w:rPr>
        <w:t xml:space="preserve"> </w:t>
      </w:r>
      <w:r w:rsidR="00C67F31">
        <w:rPr>
          <w:rFonts w:ascii="Palatino Linotype" w:eastAsia="Palatino Linotype" w:hAnsi="Palatino Linotype" w:cs="Palatino Linotype"/>
          <w:b/>
          <w:bCs/>
          <w:sz w:val="24"/>
          <w:szCs w:val="24"/>
        </w:rPr>
        <w:t>cinco</w:t>
      </w:r>
      <w:r w:rsidR="00EA4BD2">
        <w:rPr>
          <w:rFonts w:ascii="Palatino Linotype" w:eastAsia="Palatino Linotype" w:hAnsi="Palatino Linotype" w:cs="Palatino Linotype"/>
          <w:b/>
          <w:bCs/>
          <w:sz w:val="24"/>
          <w:szCs w:val="24"/>
        </w:rPr>
        <w:t xml:space="preserve"> (05)</w:t>
      </w:r>
      <w:r w:rsidR="00C67F31">
        <w:rPr>
          <w:rFonts w:ascii="Palatino Linotype" w:eastAsia="Palatino Linotype" w:hAnsi="Palatino Linotype" w:cs="Palatino Linotype"/>
          <w:b/>
          <w:bCs/>
          <w:sz w:val="24"/>
          <w:szCs w:val="24"/>
        </w:rPr>
        <w:t xml:space="preserve"> de febrero</w:t>
      </w:r>
      <w:r>
        <w:rPr>
          <w:rFonts w:ascii="Palatino Linotype" w:eastAsia="Palatino Linotype" w:hAnsi="Palatino Linotype" w:cs="Palatino Linotype"/>
          <w:b/>
          <w:bCs/>
          <w:sz w:val="24"/>
          <w:szCs w:val="24"/>
        </w:rPr>
        <w:t xml:space="preserve"> de dos mil veintiséis.</w:t>
      </w:r>
    </w:p>
    <w:p w:rsidR="000366F8" w:rsidRDefault="000366F8">
      <w:pPr>
        <w:spacing w:line="360" w:lineRule="auto"/>
        <w:jc w:val="both"/>
        <w:rPr>
          <w:rFonts w:ascii="Palatino Linotype" w:eastAsia="Palatino Linotype" w:hAnsi="Palatino Linotype" w:cs="Palatino Linotype"/>
          <w:sz w:val="24"/>
          <w:szCs w:val="24"/>
        </w:rPr>
      </w:pPr>
    </w:p>
    <w:p w:rsidR="000366F8" w:rsidRDefault="006614E9">
      <w:pPr>
        <w:spacing w:line="360" w:lineRule="auto"/>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VISTO</w:t>
      </w:r>
      <w:r>
        <w:rPr>
          <w:rFonts w:ascii="Palatino Linotype" w:eastAsia="Palatino Linotype" w:hAnsi="Palatino Linotype" w:cs="Palatino Linotype"/>
          <w:sz w:val="24"/>
          <w:szCs w:val="24"/>
        </w:rPr>
        <w:t xml:space="preserve"> el expediente electrónico formado con motivo del recurso de revisión</w:t>
      </w:r>
      <w:r>
        <w:rPr>
          <w:rFonts w:ascii="Palatino Linotype" w:eastAsia="Palatino Linotype" w:hAnsi="Palatino Linotype" w:cs="Palatino Linotype"/>
          <w:b/>
          <w:bCs/>
          <w:sz w:val="24"/>
          <w:szCs w:val="24"/>
        </w:rPr>
        <w:t xml:space="preserve"> 08563/INFOEM/IP/RR/2025, </w:t>
      </w:r>
      <w:r>
        <w:rPr>
          <w:rFonts w:ascii="Palatino Linotype" w:eastAsia="Palatino Linotype" w:hAnsi="Palatino Linotype" w:cs="Palatino Linotype"/>
          <w:sz w:val="24"/>
          <w:szCs w:val="24"/>
        </w:rPr>
        <w:t>promovido por</w:t>
      </w:r>
      <w:r>
        <w:rPr>
          <w:rFonts w:ascii="Palatino Linotype" w:eastAsia="Palatino Linotype" w:hAnsi="Palatino Linotype" w:cs="Palatino Linotype"/>
          <w:b/>
          <w:bCs/>
          <w:color w:val="FF0000"/>
          <w:sz w:val="24"/>
          <w:szCs w:val="24"/>
        </w:rPr>
        <w:t xml:space="preserve"> </w:t>
      </w:r>
      <w:r w:rsidR="00DF34C1">
        <w:rPr>
          <w:rFonts w:ascii="Palatino Linotype" w:eastAsia="Palatino Linotype" w:hAnsi="Palatino Linotype" w:cs="Palatino Linotype"/>
          <w:b/>
          <w:bCs/>
          <w:sz w:val="24"/>
          <w:szCs w:val="24"/>
        </w:rPr>
        <w:t>XXXX</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sz w:val="24"/>
          <w:szCs w:val="24"/>
        </w:rPr>
        <w:t xml:space="preserve">a quien en lo sucesivo se identificará como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bCs/>
          <w:sz w:val="24"/>
          <w:szCs w:val="24"/>
        </w:rPr>
        <w:t xml:space="preserve">Ayuntamiento de Tecámac, </w:t>
      </w:r>
      <w:r>
        <w:rPr>
          <w:rFonts w:ascii="Palatino Linotype" w:eastAsia="Palatino Linotype" w:hAnsi="Palatino Linotype" w:cs="Palatino Linotype"/>
          <w:sz w:val="24"/>
          <w:szCs w:val="24"/>
        </w:rPr>
        <w:t xml:space="preserve">en </w:t>
      </w:r>
      <w:r w:rsidR="00EA4BD2">
        <w:rPr>
          <w:rFonts w:ascii="Palatino Linotype" w:eastAsia="Palatino Linotype" w:hAnsi="Palatino Linotype" w:cs="Palatino Linotype"/>
          <w:sz w:val="24"/>
          <w:szCs w:val="24"/>
        </w:rPr>
        <w:t>adelante</w:t>
      </w:r>
      <w:r>
        <w:rPr>
          <w:rFonts w:ascii="Palatino Linotype" w:eastAsia="Palatino Linotype" w:hAnsi="Palatino Linotype" w:cs="Palatino Linotype"/>
          <w:sz w:val="24"/>
          <w:szCs w:val="24"/>
        </w:rPr>
        <w:t xml:space="preserve"> 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por lo que se procede a dictar la presente resolución, con base en los siguientes:</w:t>
      </w:r>
    </w:p>
    <w:p w:rsidR="000366F8" w:rsidRDefault="000366F8">
      <w:pPr>
        <w:spacing w:line="360" w:lineRule="auto"/>
        <w:jc w:val="both"/>
        <w:rPr>
          <w:rFonts w:ascii="Palatino Linotype" w:eastAsia="Palatino Linotype" w:hAnsi="Palatino Linotype" w:cs="Palatino Linotype"/>
          <w:b/>
          <w:bCs/>
          <w:sz w:val="24"/>
          <w:szCs w:val="24"/>
        </w:rPr>
      </w:pPr>
    </w:p>
    <w:p w:rsidR="000366F8" w:rsidRDefault="006614E9">
      <w:pPr>
        <w:keepNext/>
        <w:keepLines/>
        <w:spacing w:line="360" w:lineRule="auto"/>
        <w:jc w:val="center"/>
        <w:rPr>
          <w:rFonts w:ascii="Palatino Linotype" w:eastAsia="Palatino Linotype" w:hAnsi="Palatino Linotype" w:cs="Palatino Linotype"/>
          <w:b/>
          <w:bCs/>
          <w:sz w:val="24"/>
          <w:szCs w:val="24"/>
        </w:rPr>
      </w:pPr>
      <w:bookmarkStart w:id="2" w:name="_heading=h.gjdgxs" w:colFirst="0" w:colLast="0"/>
      <w:bookmarkEnd w:id="2"/>
      <w:r>
        <w:rPr>
          <w:rFonts w:ascii="Palatino Linotype" w:eastAsia="Palatino Linotype" w:hAnsi="Palatino Linotype" w:cs="Palatino Linotype"/>
          <w:b/>
          <w:bCs/>
          <w:sz w:val="24"/>
          <w:szCs w:val="24"/>
        </w:rPr>
        <w:t>A</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C</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p>
    <w:p w:rsidR="00EA4BD2" w:rsidRDefault="00EA4BD2">
      <w:pPr>
        <w:keepNext/>
        <w:keepLines/>
        <w:spacing w:line="360" w:lineRule="auto"/>
        <w:jc w:val="center"/>
        <w:rPr>
          <w:rFonts w:ascii="Palatino Linotype" w:eastAsia="Palatino Linotype" w:hAnsi="Palatino Linotype" w:cs="Palatino Linotype"/>
          <w:b/>
          <w:bCs/>
          <w:sz w:val="24"/>
          <w:szCs w:val="24"/>
        </w:rPr>
      </w:pPr>
    </w:p>
    <w:p w:rsidR="000366F8" w:rsidRDefault="006614E9">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diez de julio de dos mil veinticinco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ante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vía Sistema de Acceso a la Información Mexiquense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,presentó la solicitud de información registrada con el número</w:t>
      </w:r>
      <w:r>
        <w:rPr>
          <w:rFonts w:ascii="Palatino Linotype" w:eastAsia="Palatino Linotype" w:hAnsi="Palatino Linotype" w:cs="Palatino Linotype"/>
          <w:b/>
          <w:bCs/>
          <w:sz w:val="24"/>
          <w:szCs w:val="24"/>
        </w:rPr>
        <w:t xml:space="preserve"> 00197/TECAMAC/IP/2025, </w:t>
      </w:r>
      <w:r w:rsidR="00EA4BD2">
        <w:rPr>
          <w:rFonts w:ascii="Palatino Linotype" w:eastAsia="Palatino Linotype" w:hAnsi="Palatino Linotype" w:cs="Palatino Linotype"/>
          <w:sz w:val="24"/>
          <w:szCs w:val="24"/>
        </w:rPr>
        <w:t>en la que se</w:t>
      </w:r>
      <w:r>
        <w:rPr>
          <w:rFonts w:ascii="Palatino Linotype" w:eastAsia="Palatino Linotype" w:hAnsi="Palatino Linotype" w:cs="Palatino Linotype"/>
          <w:sz w:val="24"/>
          <w:szCs w:val="24"/>
        </w:rPr>
        <w:t xml:space="preserve"> solicitó lo siguiente:</w:t>
      </w:r>
    </w:p>
    <w:p w:rsidR="000366F8" w:rsidRDefault="000366F8">
      <w:pPr>
        <w:pBdr>
          <w:top w:val="nil"/>
          <w:left w:val="nil"/>
          <w:bottom w:val="nil"/>
          <w:right w:val="nil"/>
          <w:between w:val="nil"/>
        </w:pBdr>
        <w:spacing w:line="360" w:lineRule="auto"/>
        <w:ind w:left="1069" w:right="567"/>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w:t>
      </w:r>
      <w:r>
        <w:rPr>
          <w:rFonts w:ascii="Palatino Linotype" w:eastAsia="Palatino Linotype" w:hAnsi="Palatino Linotype" w:cs="Palatino Linotype"/>
          <w:i/>
          <w:iCs/>
          <w:color w:val="000000"/>
          <w:sz w:val="24"/>
          <w:szCs w:val="24"/>
        </w:rPr>
        <w:tab/>
        <w:t xml:space="preserve">Solicitud de Acceso a la Información referente a las Direcciones de las Mujeres en el Estado de México: De acuerdo con lo establecido en la Ley Orgánica Municipal del Estado de México, en su artículo quaterdecies se estable que: “- La Dirección de las Mujeres, tiene las siguientes atribuciones: I. Proponer, coordinar y ejecutar las políticas públicas, programas y acciones que aseguren la igualdad y la no discriminación hacia las mujeres en sus distintas etapas de la vida, desde una perspectiva transversal e interseccional y con enfoque de derechos humanos; II. Promover la cultura de la atención, prevención, sanción y erradicación de los tipos y modalidades de la violencia, la igualdad, así como la no </w:t>
      </w:r>
      <w:r>
        <w:rPr>
          <w:rFonts w:ascii="Palatino Linotype" w:eastAsia="Palatino Linotype" w:hAnsi="Palatino Linotype" w:cs="Palatino Linotype"/>
          <w:i/>
          <w:iCs/>
          <w:color w:val="000000"/>
          <w:sz w:val="24"/>
          <w:szCs w:val="24"/>
        </w:rPr>
        <w:lastRenderedPageBreak/>
        <w:t xml:space="preserve">discriminación contra las mujeres, en sus distintas etapas de la vida; III. Promover la participación de las mujeres en la toma de decisiones respecto del diseño de los planes y los programas de gobierno municipal; IV. 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 V. Alentar la participación entre los sectores público y privado, a fin de trabajar por el empoderamiento de las mujeres; VI. Brindar capacitación y asesoría, en materia de derechos humanos de las mujeres, igualdad, no discriminación, así como los tipos y las modalidades de la violencia contra las mujeres, en sus distintas etapas de la vida; VII. Procurar, impulsar y apoyar el fortalecimiento de planes, programas y acciones administrativas que permitan el ejercicio pleno de los derechos de las mujeres; VIII. Brindar orientación, atención de primer nivel, asesoramiento y acompañamiento multidisciplinarios y, en su caso, la canalización correspondiente de las niñas, adolescentes y mujeres, víctimas de violencia, que tengan acercamiento a la Dirección; IX. Establecer programas de sensibilización, reeducación, de construcción y capacitación dirigidos a la población en general con el fin de eliminar los roles y estereotipos que reproduzcan los tipos y modalidades de la violencia contra las mujeres, en todas las etapas de su vida; X. Vigilar, orientar, promover y proponer que la planeación presupuestal de la administración pública municipal y la Dirección incorpore la perspectiva de género; XI. Gestionar ante las autoridades competentes, de los distintos órdenes de gobierno, la prevención y atención de la salud integral para las mujeres en todas las etapas de su vida; XII. Fomentar y apoyar la creación de albergues, casas de pernocta, refugios o similares para las mujeres y sus hijas e hijos en situación de violencia; XIII. Fungir, a través de su titular, como coordinadora para el seguimiento, cumplimiento y evaluación de las acciones para mitigar las Declaratorias de Alerta de Violencia de Género contra las Mujeres; XIV. Promover y coordinar la profesionalización permanente del personal de la administración municipal en los temas de prevención, atención integral y erradicación de la violencia contra las niñas, adolescentes y mujeres, igualdad sustantiva o materias afines; XV. Garantizar que el personal adscrito a la misma, cuente con aptitudes de sensibilidad y profesionalización para la atención integral de las usuarias, y preferentemente, con la certificación de competencia laboral correspondiente; XVI. Coordinar la transversalización de la perspectiva de género en la administración pública municipal […]”. Al respecto solicito, para el periodo 2022-2025, me sea proporcionada la información de manera digital respecto de lo siguiente: </w:t>
      </w:r>
      <w:r>
        <w:rPr>
          <w:rFonts w:ascii="Palatino Linotype" w:eastAsia="Palatino Linotype" w:hAnsi="Palatino Linotype" w:cs="Palatino Linotype"/>
          <w:i/>
          <w:iCs/>
          <w:color w:val="000000"/>
          <w:sz w:val="24"/>
          <w:szCs w:val="24"/>
          <w:u w:val="single"/>
        </w:rPr>
        <w:t xml:space="preserve">1. Explicación y evidencia digital de las acciones emprendidas para cumplir con la fracción I del citado </w:t>
      </w:r>
      <w:r>
        <w:rPr>
          <w:rFonts w:ascii="Palatino Linotype" w:eastAsia="Palatino Linotype" w:hAnsi="Palatino Linotype" w:cs="Palatino Linotype"/>
          <w:i/>
          <w:iCs/>
          <w:color w:val="000000"/>
          <w:sz w:val="24"/>
          <w:szCs w:val="24"/>
          <w:u w:val="single"/>
        </w:rPr>
        <w:lastRenderedPageBreak/>
        <w:t>artícul</w:t>
      </w:r>
      <w:r>
        <w:rPr>
          <w:rFonts w:ascii="Palatino Linotype" w:eastAsia="Palatino Linotype" w:hAnsi="Palatino Linotype" w:cs="Palatino Linotype"/>
          <w:i/>
          <w:iCs/>
          <w:color w:val="000000"/>
          <w:sz w:val="24"/>
          <w:szCs w:val="24"/>
        </w:rPr>
        <w:t xml:space="preserve">o respecto de “Proponer, coordinar y ejecutar las políticas públicas, programas y acciones que aseguren la igualdad y la no discriminación hacia las mujeres en sus distintas etapas de la vida, desde una perspectiva transversal e interseccional y con enfoque de derechos humanos”. </w:t>
      </w:r>
      <w:r>
        <w:rPr>
          <w:rFonts w:ascii="Palatino Linotype" w:eastAsia="Palatino Linotype" w:hAnsi="Palatino Linotype" w:cs="Palatino Linotype"/>
          <w:i/>
          <w:iCs/>
          <w:color w:val="000000"/>
          <w:sz w:val="24"/>
          <w:szCs w:val="24"/>
          <w:u w:val="single"/>
        </w:rPr>
        <w:t xml:space="preserve">2. Explicación y evidencia digital de las acciones emprendidas para cumplir con la fracción II </w:t>
      </w:r>
      <w:r>
        <w:rPr>
          <w:rFonts w:ascii="Palatino Linotype" w:eastAsia="Palatino Linotype" w:hAnsi="Palatino Linotype" w:cs="Palatino Linotype"/>
          <w:i/>
          <w:iCs/>
          <w:color w:val="000000"/>
          <w:sz w:val="24"/>
          <w:szCs w:val="24"/>
        </w:rPr>
        <w:t xml:space="preserve">“Promover la cultura de la atención, prevención, sanción y erradicación de los tipos y modalidades de la violencia, la igualdad, así como la no discriminación contra las mujeres, en sus distintas etapas de la vida” 3. </w:t>
      </w:r>
      <w:r>
        <w:rPr>
          <w:rFonts w:ascii="Palatino Linotype" w:eastAsia="Palatino Linotype" w:hAnsi="Palatino Linotype" w:cs="Palatino Linotype"/>
          <w:i/>
          <w:iCs/>
          <w:color w:val="000000"/>
          <w:sz w:val="24"/>
          <w:szCs w:val="24"/>
          <w:u w:val="single"/>
        </w:rPr>
        <w:t>Explicación y evidencia digital de las acciones emprendidas para cumplir con la fracción III “</w:t>
      </w:r>
      <w:r>
        <w:rPr>
          <w:rFonts w:ascii="Palatino Linotype" w:eastAsia="Palatino Linotype" w:hAnsi="Palatino Linotype" w:cs="Palatino Linotype"/>
          <w:i/>
          <w:iCs/>
          <w:color w:val="000000"/>
          <w:sz w:val="24"/>
          <w:szCs w:val="24"/>
        </w:rPr>
        <w:t xml:space="preserve">Promover la participación de las mujeres en la toma de decisiones respecto del diseño de los planes y los programas de gobierno municipal” </w:t>
      </w:r>
      <w:r>
        <w:rPr>
          <w:rFonts w:ascii="Palatino Linotype" w:eastAsia="Palatino Linotype" w:hAnsi="Palatino Linotype" w:cs="Palatino Linotype"/>
          <w:i/>
          <w:iCs/>
          <w:color w:val="000000"/>
          <w:sz w:val="24"/>
          <w:szCs w:val="24"/>
          <w:u w:val="single"/>
        </w:rPr>
        <w:t>4. Explicación y evidencia digital de las acciones emprendidas para cumplir con la fracción IV “</w:t>
      </w:r>
      <w:r>
        <w:rPr>
          <w:rFonts w:ascii="Palatino Linotype" w:eastAsia="Palatino Linotype" w:hAnsi="Palatino Linotype" w:cs="Palatino Linotype"/>
          <w:i/>
          <w:iCs/>
          <w:color w:val="000000"/>
          <w:sz w:val="24"/>
          <w:szCs w:val="24"/>
        </w:rPr>
        <w:t xml:space="preserve">Brindar capacitación y asesoría, en materia de derechos humanos de las mujeres, igualdad, no discriminación, así como los tipos y las modalidades de la violencia contra las mujeres, en sus distintas etapas de la vida”. </w:t>
      </w:r>
      <w:r>
        <w:rPr>
          <w:rFonts w:ascii="Palatino Linotype" w:eastAsia="Palatino Linotype" w:hAnsi="Palatino Linotype" w:cs="Palatino Linotype"/>
          <w:i/>
          <w:iCs/>
          <w:color w:val="000000"/>
          <w:sz w:val="24"/>
          <w:szCs w:val="24"/>
          <w:u w:val="single"/>
        </w:rPr>
        <w:t xml:space="preserve">5. Explicación y evidencia digital de las acciones emprendidas para cumplir con la fracción V </w:t>
      </w:r>
      <w:r>
        <w:rPr>
          <w:rFonts w:ascii="Palatino Linotype" w:eastAsia="Palatino Linotype" w:hAnsi="Palatino Linotype" w:cs="Palatino Linotype"/>
          <w:i/>
          <w:iCs/>
          <w:color w:val="000000"/>
          <w:sz w:val="24"/>
          <w:szCs w:val="24"/>
        </w:rPr>
        <w:t xml:space="preserve">“Alentar la participación entre los sectores público y privado, a fin de trabajar por el empoderamiento de las mujeres”. </w:t>
      </w:r>
      <w:r>
        <w:rPr>
          <w:rFonts w:ascii="Palatino Linotype" w:eastAsia="Palatino Linotype" w:hAnsi="Palatino Linotype" w:cs="Palatino Linotype"/>
          <w:i/>
          <w:iCs/>
          <w:color w:val="000000"/>
          <w:sz w:val="24"/>
          <w:szCs w:val="24"/>
          <w:u w:val="single"/>
        </w:rPr>
        <w:t>6. Explicación y evidencia digital de las acciones emprendidas para cumplir con la fracción VI</w:t>
      </w:r>
      <w:r>
        <w:rPr>
          <w:rFonts w:ascii="Palatino Linotype" w:eastAsia="Palatino Linotype" w:hAnsi="Palatino Linotype" w:cs="Palatino Linotype"/>
          <w:i/>
          <w:iCs/>
          <w:color w:val="000000"/>
          <w:sz w:val="24"/>
          <w:szCs w:val="24"/>
        </w:rPr>
        <w:t xml:space="preserve"> “Brindar capacitación y asesoría, en materia de derechos humanos de las mujeres, igualdad, no discriminación, así como los tipos y las modalidades de la violencia contra las mujeres, en sus distintas etapas de la vida”. </w:t>
      </w:r>
      <w:r>
        <w:rPr>
          <w:rFonts w:ascii="Palatino Linotype" w:eastAsia="Palatino Linotype" w:hAnsi="Palatino Linotype" w:cs="Palatino Linotype"/>
          <w:i/>
          <w:iCs/>
          <w:color w:val="000000"/>
          <w:sz w:val="24"/>
          <w:szCs w:val="24"/>
          <w:u w:val="single"/>
        </w:rPr>
        <w:t xml:space="preserve">7. Explicación y evidencia digital de las acciones emprendidas para cumplir con la fracción VII </w:t>
      </w:r>
      <w:r>
        <w:rPr>
          <w:rFonts w:ascii="Palatino Linotype" w:eastAsia="Palatino Linotype" w:hAnsi="Palatino Linotype" w:cs="Palatino Linotype"/>
          <w:i/>
          <w:iCs/>
          <w:color w:val="000000"/>
          <w:sz w:val="24"/>
          <w:szCs w:val="24"/>
        </w:rPr>
        <w:t xml:space="preserve">“Procurar, impulsar y apoyar el fortalecimiento de planes, programas y acciones administrativas que permitan el ejercicio pleno de los derechos de las mujeres”. </w:t>
      </w:r>
      <w:r>
        <w:rPr>
          <w:rFonts w:ascii="Palatino Linotype" w:eastAsia="Palatino Linotype" w:hAnsi="Palatino Linotype" w:cs="Palatino Linotype"/>
          <w:i/>
          <w:iCs/>
          <w:color w:val="000000"/>
          <w:sz w:val="24"/>
          <w:szCs w:val="24"/>
          <w:u w:val="single"/>
        </w:rPr>
        <w:t xml:space="preserve">8. Explicación y evidencia digital de las acciones emprendidas para cumplir con la fracción VIII </w:t>
      </w:r>
      <w:r>
        <w:rPr>
          <w:rFonts w:ascii="Palatino Linotype" w:eastAsia="Palatino Linotype" w:hAnsi="Palatino Linotype" w:cs="Palatino Linotype"/>
          <w:i/>
          <w:iCs/>
          <w:color w:val="000000"/>
          <w:sz w:val="24"/>
          <w:szCs w:val="24"/>
        </w:rPr>
        <w:t xml:space="preserve">“Brindar orientación, atención de primer nivel, asesoramiento y acompañamiento multidisciplinarios y, en su caso, la canalización correspondiente de las niñas, adolescentes y mujeres, víctimas de violencia, que tengan acercamiento a la Dirección”. </w:t>
      </w:r>
      <w:r>
        <w:rPr>
          <w:rFonts w:ascii="Palatino Linotype" w:eastAsia="Palatino Linotype" w:hAnsi="Palatino Linotype" w:cs="Palatino Linotype"/>
          <w:i/>
          <w:iCs/>
          <w:color w:val="000000"/>
          <w:sz w:val="24"/>
          <w:szCs w:val="24"/>
          <w:u w:val="single"/>
        </w:rPr>
        <w:t xml:space="preserve">9. Explicación y evidencia digital de las acciones emprendidas para cumplir con la fracción IX </w:t>
      </w:r>
      <w:r>
        <w:rPr>
          <w:rFonts w:ascii="Palatino Linotype" w:eastAsia="Palatino Linotype" w:hAnsi="Palatino Linotype" w:cs="Palatino Linotype"/>
          <w:i/>
          <w:iCs/>
          <w:color w:val="000000"/>
          <w:sz w:val="24"/>
          <w:szCs w:val="24"/>
        </w:rPr>
        <w:t xml:space="preserve">“Establecer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r>
        <w:rPr>
          <w:rFonts w:ascii="Palatino Linotype" w:eastAsia="Palatino Linotype" w:hAnsi="Palatino Linotype" w:cs="Palatino Linotype"/>
          <w:i/>
          <w:iCs/>
          <w:color w:val="000000"/>
          <w:sz w:val="24"/>
          <w:szCs w:val="24"/>
          <w:u w:val="single"/>
        </w:rPr>
        <w:t xml:space="preserve">10. Explicación y evidencia digital de las acciones emprendidas para cumplir con la fracción X </w:t>
      </w:r>
      <w:r>
        <w:rPr>
          <w:rFonts w:ascii="Palatino Linotype" w:eastAsia="Palatino Linotype" w:hAnsi="Palatino Linotype" w:cs="Palatino Linotype"/>
          <w:i/>
          <w:iCs/>
          <w:color w:val="000000"/>
          <w:sz w:val="24"/>
          <w:szCs w:val="24"/>
        </w:rPr>
        <w:t xml:space="preserve">“Vigilar, orientar, promover y proponer que la planeación presupuestal de la administración pública municipal y la Dirección incorpore la perspectiva de género”. </w:t>
      </w:r>
      <w:r>
        <w:rPr>
          <w:rFonts w:ascii="Palatino Linotype" w:eastAsia="Palatino Linotype" w:hAnsi="Palatino Linotype" w:cs="Palatino Linotype"/>
          <w:i/>
          <w:iCs/>
          <w:color w:val="000000"/>
          <w:sz w:val="24"/>
          <w:szCs w:val="24"/>
          <w:u w:val="single"/>
        </w:rPr>
        <w:t>11. Explicación y evidencia digital de las acciones emprendidas para cumplir con la fracción XI</w:t>
      </w:r>
      <w:r>
        <w:rPr>
          <w:rFonts w:ascii="Palatino Linotype" w:eastAsia="Palatino Linotype" w:hAnsi="Palatino Linotype" w:cs="Palatino Linotype"/>
          <w:i/>
          <w:iCs/>
          <w:color w:val="000000"/>
          <w:sz w:val="24"/>
          <w:szCs w:val="24"/>
        </w:rPr>
        <w:t xml:space="preserve"> “Gestionar ante las autoridades competentes, de los distintos órdenes de gobierno, la prevención y </w:t>
      </w:r>
      <w:r>
        <w:rPr>
          <w:rFonts w:ascii="Palatino Linotype" w:eastAsia="Palatino Linotype" w:hAnsi="Palatino Linotype" w:cs="Palatino Linotype"/>
          <w:i/>
          <w:iCs/>
          <w:color w:val="000000"/>
          <w:sz w:val="24"/>
          <w:szCs w:val="24"/>
        </w:rPr>
        <w:lastRenderedPageBreak/>
        <w:t xml:space="preserve">atención de la salud integral para las mujeres en todas las etapas de su vida”. </w:t>
      </w:r>
      <w:r>
        <w:rPr>
          <w:rFonts w:ascii="Palatino Linotype" w:eastAsia="Palatino Linotype" w:hAnsi="Palatino Linotype" w:cs="Palatino Linotype"/>
          <w:i/>
          <w:iCs/>
          <w:color w:val="000000"/>
          <w:sz w:val="24"/>
          <w:szCs w:val="24"/>
          <w:u w:val="single"/>
        </w:rPr>
        <w:t>12. Explicación y evidencia digital de las acciones emprendidas para cumplir con la fracción XII</w:t>
      </w:r>
      <w:r>
        <w:rPr>
          <w:rFonts w:ascii="Palatino Linotype" w:eastAsia="Palatino Linotype" w:hAnsi="Palatino Linotype" w:cs="Palatino Linotype"/>
          <w:i/>
          <w:iCs/>
          <w:color w:val="000000"/>
          <w:sz w:val="24"/>
          <w:szCs w:val="24"/>
        </w:rPr>
        <w:t xml:space="preserve"> “Fomentar y apoyar la creación de albergues, casas de pernocta, refugios o similares para las mujeres y sus hijas e hijos en situación de violencia”. 1</w:t>
      </w:r>
      <w:r>
        <w:rPr>
          <w:rFonts w:ascii="Palatino Linotype" w:eastAsia="Palatino Linotype" w:hAnsi="Palatino Linotype" w:cs="Palatino Linotype"/>
          <w:i/>
          <w:iCs/>
          <w:color w:val="000000"/>
          <w:sz w:val="24"/>
          <w:szCs w:val="24"/>
          <w:u w:val="single"/>
        </w:rPr>
        <w:t>3. Explicación y evidencia digital de las acciones emprendidas para cumplir con la fracción XIII</w:t>
      </w:r>
      <w:r>
        <w:rPr>
          <w:rFonts w:ascii="Palatino Linotype" w:eastAsia="Palatino Linotype" w:hAnsi="Palatino Linotype" w:cs="Palatino Linotype"/>
          <w:i/>
          <w:iCs/>
          <w:color w:val="000000"/>
          <w:sz w:val="24"/>
          <w:szCs w:val="24"/>
        </w:rPr>
        <w:t xml:space="preserve"> “Fungir, a través de su titular, como coordinadora para el seguimiento, cumplimiento y evaluación de las acciones para mitigar las Declaratorias de Alerta de Violencia de Género contra las Mujeres”. 1</w:t>
      </w:r>
      <w:r>
        <w:rPr>
          <w:rFonts w:ascii="Palatino Linotype" w:eastAsia="Palatino Linotype" w:hAnsi="Palatino Linotype" w:cs="Palatino Linotype"/>
          <w:i/>
          <w:iCs/>
          <w:color w:val="000000"/>
          <w:sz w:val="24"/>
          <w:szCs w:val="24"/>
          <w:u w:val="single"/>
        </w:rPr>
        <w:t>4. Explicación y evidencia digital de las acciones emprendidas para cumplir con la fracción XIV</w:t>
      </w:r>
      <w:r>
        <w:rPr>
          <w:rFonts w:ascii="Palatino Linotype" w:eastAsia="Palatino Linotype" w:hAnsi="Palatino Linotype" w:cs="Palatino Linotype"/>
          <w:i/>
          <w:iCs/>
          <w:color w:val="000000"/>
          <w:sz w:val="24"/>
          <w:szCs w:val="24"/>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w:t>
      </w:r>
      <w:r>
        <w:rPr>
          <w:rFonts w:ascii="Palatino Linotype" w:eastAsia="Palatino Linotype" w:hAnsi="Palatino Linotype" w:cs="Palatino Linotype"/>
          <w:i/>
          <w:iCs/>
          <w:color w:val="000000"/>
          <w:sz w:val="24"/>
          <w:szCs w:val="24"/>
          <w:u w:val="single"/>
        </w:rPr>
        <w:t xml:space="preserve"> 15. Explicación y evidencia digital de las acciones emprendidas para cumplir con la fracción XV </w:t>
      </w:r>
      <w:r>
        <w:rPr>
          <w:rFonts w:ascii="Palatino Linotype" w:eastAsia="Palatino Linotype" w:hAnsi="Palatino Linotype" w:cs="Palatino Linotype"/>
          <w:i/>
          <w:iCs/>
          <w:color w:val="000000"/>
          <w:sz w:val="24"/>
          <w:szCs w:val="24"/>
        </w:rPr>
        <w:t>“Garantizar que el personal adscrito a la misma, cuente con aptitudes de sensibilidad y profesionalización para la atención integral de las usuarias, y preferentemente, con la certificación de competencia laboral correspondiente”. 1</w:t>
      </w:r>
      <w:r>
        <w:rPr>
          <w:rFonts w:ascii="Palatino Linotype" w:eastAsia="Palatino Linotype" w:hAnsi="Palatino Linotype" w:cs="Palatino Linotype"/>
          <w:i/>
          <w:iCs/>
          <w:color w:val="000000"/>
          <w:sz w:val="24"/>
          <w:szCs w:val="24"/>
          <w:u w:val="single"/>
        </w:rPr>
        <w:t xml:space="preserve">6. Explicación y evidencia digital de las acciones emprendidas para cumplir con la fracción XVI </w:t>
      </w:r>
      <w:r>
        <w:rPr>
          <w:rFonts w:ascii="Palatino Linotype" w:eastAsia="Palatino Linotype" w:hAnsi="Palatino Linotype" w:cs="Palatino Linotype"/>
          <w:i/>
          <w:iCs/>
          <w:color w:val="000000"/>
          <w:sz w:val="24"/>
          <w:szCs w:val="24"/>
        </w:rPr>
        <w:t xml:space="preserve">“Coordinar la transversalización de la perspectiva de género en la administración pública municipal”. </w:t>
      </w:r>
      <w:r>
        <w:rPr>
          <w:rFonts w:ascii="Palatino Linotype" w:eastAsia="Palatino Linotype" w:hAnsi="Palatino Linotype" w:cs="Palatino Linotype"/>
          <w:i/>
          <w:iCs/>
          <w:color w:val="000000"/>
          <w:sz w:val="24"/>
          <w:szCs w:val="24"/>
          <w:u w:val="single"/>
        </w:rPr>
        <w:t xml:space="preserve">17. Resultados, indicadores o metas relacionadas con el cumplimiento de las atribuciones antes mencionadas. 18. Comentarios adicionales que considere necesarios. </w:t>
      </w:r>
      <w:r>
        <w:rPr>
          <w:rFonts w:ascii="Palatino Linotype" w:eastAsia="Palatino Linotype" w:hAnsi="Palatino Linotype" w:cs="Palatino Linotype"/>
          <w:i/>
          <w:iCs/>
          <w:color w:val="000000"/>
          <w:sz w:val="24"/>
          <w:szCs w:val="24"/>
        </w:rPr>
        <w:t>Por su parte, en el artículo 96 Quindecies, se establece que “La persona titular de la Dirección de las Mujeres, además de los requisitos establecidos en el artículo 32 de esta Ley, deberá contar con título profesional en el área de las ciencias sociales o afines y conocimiento amplio del contexto en el municipio correspondiente.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 De acuerdo con lo anterior s</w:t>
      </w:r>
      <w:r>
        <w:rPr>
          <w:rFonts w:ascii="Palatino Linotype" w:eastAsia="Palatino Linotype" w:hAnsi="Palatino Linotype" w:cs="Palatino Linotype"/>
          <w:i/>
          <w:iCs/>
          <w:color w:val="000000"/>
          <w:sz w:val="24"/>
          <w:szCs w:val="24"/>
          <w:u w:val="single"/>
        </w:rPr>
        <w:t xml:space="preserve">olicito, para el periodo 2022-2025, me sea proporcionado de manera digital lo siguiente: 1. El nombre, profesión, título, número de cédula profesional de la o las personas encargadas de la Dirección de las Mujeres (o afines) en el periodo señalado. 2. Evidencia de que la persona servidora pública que ocupó dicho puesto acreditó dentro de los seis meses siguientes a la fecha en que inicie funciones, la certificación de competencia laboral </w:t>
      </w:r>
      <w:r>
        <w:rPr>
          <w:rFonts w:ascii="Palatino Linotype" w:eastAsia="Palatino Linotype" w:hAnsi="Palatino Linotype" w:cs="Palatino Linotype"/>
          <w:i/>
          <w:iCs/>
          <w:color w:val="000000"/>
          <w:sz w:val="24"/>
          <w:szCs w:val="24"/>
        </w:rPr>
        <w:t xml:space="preserve">en temas de prevención, atención integral y erradicación de la violencia contra las niñas, adolescentes y mujeres, en igualdad sustantiva o materias </w:t>
      </w:r>
      <w:r>
        <w:rPr>
          <w:rFonts w:ascii="Palatino Linotype" w:eastAsia="Palatino Linotype" w:hAnsi="Palatino Linotype" w:cs="Palatino Linotype"/>
          <w:i/>
          <w:iCs/>
          <w:color w:val="000000"/>
          <w:sz w:val="24"/>
          <w:szCs w:val="24"/>
        </w:rPr>
        <w:lastRenderedPageBreak/>
        <w:t xml:space="preserve">afines, expedida por el Instituto de Administración Pública del Estado de México, el Instituto Hacendario del Estado de México o alguna institución con reconocimiento de validez oficial, que asegure los conocimientos y habilidades para desempeñar el cargo. Solicito que la información me sea proporcionada de manera digital mediante el SAIMEX y que en caso de que esta se encuentre pública, se me proporcione la liga. “ (Sic) </w:t>
      </w:r>
    </w:p>
    <w:p w:rsidR="000366F8" w:rsidRDefault="000366F8">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0366F8" w:rsidRDefault="006614E9" w:rsidP="00EA4BD2">
      <w:pPr>
        <w:numPr>
          <w:ilvl w:val="0"/>
          <w:numId w:val="3"/>
        </w:numPr>
        <w:spacing w:line="360" w:lineRule="auto"/>
        <w:ind w:left="0" w:right="567"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w:t>
      </w:r>
      <w:r>
        <w:rPr>
          <w:rFonts w:ascii="Palatino Linotype" w:eastAsia="Palatino Linotype" w:hAnsi="Palatino Linotype" w:cs="Palatino Linotype"/>
          <w:b/>
          <w:bCs/>
          <w:sz w:val="24"/>
          <w:szCs w:val="24"/>
        </w:rPr>
        <w:t>Vía SAIMEX.</w:t>
      </w:r>
    </w:p>
    <w:p w:rsidR="00EA4BD2" w:rsidRPr="00EA4BD2" w:rsidRDefault="00EA4BD2" w:rsidP="00EA4BD2">
      <w:pPr>
        <w:spacing w:line="360" w:lineRule="auto"/>
        <w:jc w:val="both"/>
        <w:rPr>
          <w:rFonts w:ascii="Palatino Linotype" w:eastAsia="Palatino Linotype" w:hAnsi="Palatino Linotype" w:cs="Palatino Linotype"/>
          <w:i/>
          <w:iCs/>
          <w:sz w:val="24"/>
          <w:szCs w:val="24"/>
        </w:rPr>
      </w:pPr>
    </w:p>
    <w:p w:rsidR="000366F8" w:rsidRDefault="006614E9">
      <w:pPr>
        <w:numPr>
          <w:ilvl w:val="0"/>
          <w:numId w:val="2"/>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catorce de julio de dos mil veinticinco,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SUJETO O</w:t>
      </w:r>
      <w:r>
        <w:rPr>
          <w:rFonts w:ascii="Palatino Linotype" w:eastAsia="Palatino Linotype" w:hAnsi="Palatino Linotype" w:cs="Palatino Linotype"/>
          <w:sz w:val="24"/>
          <w:szCs w:val="24"/>
        </w:rPr>
        <w:t>B</w:t>
      </w:r>
      <w:r>
        <w:rPr>
          <w:rFonts w:ascii="Palatino Linotype" w:eastAsia="Palatino Linotype" w:hAnsi="Palatino Linotype" w:cs="Palatino Linotype"/>
          <w:b/>
          <w:bCs/>
          <w:sz w:val="24"/>
          <w:szCs w:val="24"/>
        </w:rPr>
        <w:t xml:space="preserve">LIGADO </w:t>
      </w:r>
      <w:r>
        <w:rPr>
          <w:rFonts w:ascii="Palatino Linotype" w:eastAsia="Palatino Linotype" w:hAnsi="Palatino Linotype" w:cs="Palatino Linotype"/>
          <w:sz w:val="24"/>
          <w:szCs w:val="24"/>
        </w:rPr>
        <w:t xml:space="preserve">dio </w:t>
      </w:r>
      <w:r>
        <w:rPr>
          <w:rFonts w:ascii="Palatino Linotype" w:eastAsia="Palatino Linotype" w:hAnsi="Palatino Linotype" w:cs="Palatino Linotype"/>
          <w:b/>
          <w:bCs/>
          <w:sz w:val="24"/>
          <w:szCs w:val="24"/>
        </w:rPr>
        <w:t>RESPUESTA</w:t>
      </w:r>
      <w:r>
        <w:rPr>
          <w:rFonts w:ascii="Palatino Linotype" w:eastAsia="Palatino Linotype" w:hAnsi="Palatino Linotype" w:cs="Palatino Linotype"/>
          <w:sz w:val="24"/>
          <w:szCs w:val="24"/>
        </w:rPr>
        <w:t xml:space="preserve"> declinando incompetencia total a través de los archivos siguientes:</w:t>
      </w:r>
    </w:p>
    <w:p w:rsidR="000366F8" w:rsidRDefault="006614E9">
      <w:pPr>
        <w:numPr>
          <w:ilvl w:val="1"/>
          <w:numId w:val="5"/>
        </w:numPr>
        <w:pBdr>
          <w:top w:val="nil"/>
          <w:left w:val="nil"/>
          <w:bottom w:val="nil"/>
          <w:right w:val="nil"/>
          <w:between w:val="nil"/>
        </w:pBdr>
        <w:ind w:left="709" w:right="539"/>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 xml:space="preserve">RESP SOLICITUD 197.pdf: </w:t>
      </w:r>
      <w:r>
        <w:rPr>
          <w:rFonts w:ascii="Palatino Linotype" w:eastAsia="Palatino Linotype" w:hAnsi="Palatino Linotype" w:cs="Palatino Linotype"/>
          <w:color w:val="000000"/>
          <w:sz w:val="24"/>
          <w:szCs w:val="24"/>
        </w:rPr>
        <w:t xml:space="preserve">Oficio firmado por el Titular de la Unidad de Transparencia, por el que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que:</w:t>
      </w:r>
    </w:p>
    <w:p w:rsidR="000366F8" w:rsidRDefault="000366F8">
      <w:pPr>
        <w:pBdr>
          <w:top w:val="nil"/>
          <w:left w:val="nil"/>
          <w:bottom w:val="nil"/>
          <w:right w:val="nil"/>
          <w:between w:val="nil"/>
        </w:pBdr>
        <w:ind w:left="709" w:right="539"/>
        <w:jc w:val="both"/>
        <w:rPr>
          <w:rFonts w:ascii="Palatino Linotype" w:eastAsia="Palatino Linotype" w:hAnsi="Palatino Linotype" w:cs="Palatino Linotype"/>
          <w:b/>
          <w:bCs/>
          <w:i/>
          <w:iCs/>
          <w:color w:val="000000"/>
          <w:sz w:val="24"/>
          <w:szCs w:val="24"/>
        </w:rPr>
      </w:pPr>
    </w:p>
    <w:p w:rsidR="000366F8" w:rsidRDefault="000366F8">
      <w:pPr>
        <w:pBdr>
          <w:top w:val="nil"/>
          <w:left w:val="nil"/>
          <w:bottom w:val="nil"/>
          <w:right w:val="nil"/>
          <w:between w:val="nil"/>
        </w:pBdr>
        <w:ind w:left="1440" w:right="539"/>
        <w:jc w:val="both"/>
        <w:rPr>
          <w:rFonts w:ascii="Palatino Linotype" w:eastAsia="Palatino Linotype" w:hAnsi="Palatino Linotype" w:cs="Palatino Linotype"/>
          <w:b/>
          <w:bCs/>
          <w:i/>
          <w:iCs/>
          <w:color w:val="000000"/>
          <w:sz w:val="24"/>
          <w:szCs w:val="24"/>
        </w:rPr>
      </w:pPr>
    </w:p>
    <w:p w:rsidR="000366F8" w:rsidRDefault="006614E9">
      <w:pPr>
        <w:pBdr>
          <w:top w:val="nil"/>
          <w:left w:val="nil"/>
          <w:bottom w:val="nil"/>
          <w:right w:val="nil"/>
          <w:between w:val="nil"/>
        </w:pBdr>
        <w:ind w:left="851" w:right="53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Me permito hacer de su conocimiento que la información que solicita es de INCOMPETENCIA TOTAL DEL SUJETO OBLIGADO AYUNTAMIENTO TECÁMAC, esto con fundamento en el artículo 167 de la Ley de Transparencia y Acceso a la Información Pública del Estado de México y Municipios. que a la letra dice: Artículo 167. LEY DE TRANSPARENCIA Y ACCESO A LA INFORMACIÓN PÚBLICA DEL ESTADO DE MÉXICO Y MUNICIPIOS.Cuando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0366F8" w:rsidRDefault="000366F8">
      <w:pPr>
        <w:pBdr>
          <w:top w:val="nil"/>
          <w:left w:val="nil"/>
          <w:bottom w:val="nil"/>
          <w:right w:val="nil"/>
          <w:between w:val="nil"/>
        </w:pBdr>
        <w:ind w:left="1440" w:right="539"/>
        <w:jc w:val="both"/>
        <w:rPr>
          <w:rFonts w:ascii="Palatino Linotype" w:eastAsia="Palatino Linotype" w:hAnsi="Palatino Linotype" w:cs="Palatino Linotype"/>
          <w:b/>
          <w:bCs/>
          <w:i/>
          <w:iCs/>
          <w:color w:val="000000"/>
          <w:sz w:val="24"/>
          <w:szCs w:val="24"/>
        </w:rPr>
      </w:pPr>
    </w:p>
    <w:p w:rsidR="000366F8" w:rsidRDefault="000366F8">
      <w:pPr>
        <w:pBdr>
          <w:top w:val="nil"/>
          <w:left w:val="nil"/>
          <w:bottom w:val="nil"/>
          <w:right w:val="nil"/>
          <w:between w:val="nil"/>
        </w:pBdr>
        <w:ind w:left="1440" w:right="539"/>
        <w:jc w:val="both"/>
        <w:rPr>
          <w:rFonts w:ascii="Palatino Linotype" w:eastAsia="Palatino Linotype" w:hAnsi="Palatino Linotype" w:cs="Palatino Linotype"/>
          <w:b/>
          <w:bCs/>
          <w:i/>
          <w:iCs/>
          <w:color w:val="000000"/>
          <w:sz w:val="24"/>
          <w:szCs w:val="24"/>
        </w:rPr>
      </w:pPr>
    </w:p>
    <w:p w:rsidR="000366F8" w:rsidRDefault="006614E9">
      <w:pPr>
        <w:numPr>
          <w:ilvl w:val="1"/>
          <w:numId w:val="5"/>
        </w:numPr>
        <w:pBdr>
          <w:top w:val="nil"/>
          <w:left w:val="nil"/>
          <w:bottom w:val="nil"/>
          <w:right w:val="nil"/>
          <w:between w:val="nil"/>
        </w:pBdr>
        <w:ind w:left="709" w:right="53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000000"/>
          <w:sz w:val="24"/>
          <w:szCs w:val="24"/>
        </w:rPr>
        <w:t xml:space="preserve">Servicios_para_mujeres.pdf: </w:t>
      </w:r>
      <w:r>
        <w:rPr>
          <w:rFonts w:ascii="Palatino Linotype" w:eastAsia="Palatino Linotype" w:hAnsi="Palatino Linotype" w:cs="Palatino Linotype"/>
          <w:color w:val="000000"/>
          <w:sz w:val="24"/>
          <w:szCs w:val="24"/>
        </w:rPr>
        <w:t>Directorio Instancias que brindan atención a Mujeres en el Estado de México y servicios que ofrecen.</w:t>
      </w:r>
    </w:p>
    <w:p w:rsidR="000366F8" w:rsidRDefault="000366F8">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366F8" w:rsidRDefault="000366F8">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366F8" w:rsidRDefault="000366F8">
      <w:pPr>
        <w:pBdr>
          <w:top w:val="nil"/>
          <w:left w:val="nil"/>
          <w:bottom w:val="nil"/>
          <w:right w:val="nil"/>
          <w:between w:val="nil"/>
        </w:pBdr>
        <w:ind w:left="720"/>
        <w:jc w:val="both"/>
        <w:rPr>
          <w:rFonts w:ascii="Palatino Linotype" w:eastAsia="Palatino Linotype" w:hAnsi="Palatino Linotype" w:cs="Palatino Linotype"/>
          <w:b/>
          <w:bCs/>
          <w:i/>
          <w:iCs/>
          <w:color w:val="000000"/>
          <w:sz w:val="32"/>
          <w:szCs w:val="32"/>
        </w:rPr>
      </w:pPr>
    </w:p>
    <w:p w:rsidR="000366F8" w:rsidRDefault="000366F8">
      <w:pPr>
        <w:spacing w:line="360" w:lineRule="auto"/>
        <w:jc w:val="both"/>
        <w:rPr>
          <w:rFonts w:ascii="Palatino Linotype" w:eastAsia="Palatino Linotype" w:hAnsi="Palatino Linotype" w:cs="Palatino Linotype"/>
          <w:sz w:val="24"/>
          <w:szCs w:val="24"/>
        </w:rPr>
      </w:pPr>
    </w:p>
    <w:p w:rsidR="000366F8" w:rsidRDefault="006614E9">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Inconforme con lo anterior, el </w:t>
      </w:r>
      <w:r>
        <w:rPr>
          <w:rFonts w:ascii="Palatino Linotype" w:eastAsia="Palatino Linotype" w:hAnsi="Palatino Linotype" w:cs="Palatino Linotype"/>
          <w:b/>
          <w:bCs/>
          <w:sz w:val="24"/>
          <w:szCs w:val="24"/>
        </w:rPr>
        <w:t>catorce de julio de dos mil veinticinco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interpuso recurso de revisión, arguyendo como </w:t>
      </w:r>
    </w:p>
    <w:p w:rsidR="000366F8" w:rsidRDefault="000366F8">
      <w:pPr>
        <w:spacing w:line="360" w:lineRule="auto"/>
        <w:jc w:val="both"/>
        <w:rPr>
          <w:rFonts w:ascii="Palatino Linotype" w:eastAsia="Palatino Linotype" w:hAnsi="Palatino Linotype" w:cs="Palatino Linotype"/>
          <w:sz w:val="24"/>
          <w:szCs w:val="24"/>
        </w:rPr>
      </w:pPr>
    </w:p>
    <w:p w:rsidR="000366F8" w:rsidRDefault="00EA4BD2" w:rsidP="00EA4BD2">
      <w:pPr>
        <w:numPr>
          <w:ilvl w:val="0"/>
          <w:numId w:val="6"/>
        </w:numPr>
        <w:pBdr>
          <w:top w:val="nil"/>
          <w:left w:val="nil"/>
          <w:bottom w:val="nil"/>
          <w:right w:val="nil"/>
          <w:between w:val="nil"/>
        </w:pBdr>
        <w:ind w:right="53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b/>
          <w:bCs/>
          <w:color w:val="000000"/>
          <w:sz w:val="24"/>
          <w:szCs w:val="24"/>
        </w:rPr>
        <w:t>ACTO IMPUGNADO</w:t>
      </w:r>
      <w:r w:rsidR="006614E9">
        <w:rPr>
          <w:rFonts w:ascii="Palatino Linotype" w:eastAsia="Palatino Linotype" w:hAnsi="Palatino Linotype" w:cs="Palatino Linotype"/>
          <w:b/>
          <w:bCs/>
          <w:i/>
          <w:iCs/>
          <w:color w:val="000000"/>
          <w:sz w:val="24"/>
          <w:szCs w:val="24"/>
        </w:rPr>
        <w:t>:</w:t>
      </w:r>
      <w:r w:rsidR="006614E9">
        <w:rPr>
          <w:rFonts w:ascii="Palatino Linotype" w:eastAsia="Palatino Linotype" w:hAnsi="Palatino Linotype" w:cs="Palatino Linotype"/>
          <w:color w:val="000000"/>
          <w:sz w:val="24"/>
          <w:szCs w:val="24"/>
        </w:rPr>
        <w:t xml:space="preserve"> </w:t>
      </w:r>
      <w:r w:rsidR="006614E9">
        <w:rPr>
          <w:rFonts w:ascii="Palatino Linotype" w:eastAsia="Palatino Linotype" w:hAnsi="Palatino Linotype" w:cs="Palatino Linotype"/>
          <w:i/>
          <w:iCs/>
          <w:color w:val="000000"/>
          <w:sz w:val="24"/>
          <w:szCs w:val="24"/>
        </w:rPr>
        <w:t>“La respuesta no garantiza el principio de máxima publicidad.” (sic)</w:t>
      </w:r>
    </w:p>
    <w:p w:rsidR="000366F8" w:rsidRDefault="000366F8">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sz w:val="24"/>
          <w:szCs w:val="24"/>
        </w:rPr>
      </w:pPr>
    </w:p>
    <w:p w:rsidR="000366F8" w:rsidRPr="00EA4BD2" w:rsidRDefault="00EA4BD2" w:rsidP="00EA4BD2">
      <w:pPr>
        <w:pStyle w:val="Prrafodelista"/>
        <w:numPr>
          <w:ilvl w:val="0"/>
          <w:numId w:val="6"/>
        </w:numPr>
        <w:pBdr>
          <w:top w:val="nil"/>
          <w:left w:val="nil"/>
          <w:bottom w:val="nil"/>
          <w:right w:val="nil"/>
          <w:between w:val="nil"/>
        </w:pBdr>
        <w:ind w:right="539"/>
        <w:jc w:val="both"/>
        <w:rPr>
          <w:rFonts w:ascii="Palatino Linotype" w:eastAsia="Palatino Linotype" w:hAnsi="Palatino Linotype" w:cs="Palatino Linotype"/>
          <w:color w:val="000000"/>
          <w:sz w:val="24"/>
        </w:rPr>
      </w:pPr>
      <w:r w:rsidRPr="00EA4BD2">
        <w:rPr>
          <w:rFonts w:ascii="Palatino Linotype" w:eastAsia="Palatino Linotype" w:hAnsi="Palatino Linotype" w:cs="Palatino Linotype"/>
          <w:b/>
          <w:bCs/>
          <w:color w:val="000000"/>
          <w:sz w:val="24"/>
        </w:rPr>
        <w:t>RAZONES O MOTIVOS DE INCONFORMIDAD</w:t>
      </w:r>
      <w:r w:rsidR="006614E9" w:rsidRPr="00EA4BD2">
        <w:rPr>
          <w:rFonts w:ascii="Palatino Linotype" w:eastAsia="Palatino Linotype" w:hAnsi="Palatino Linotype" w:cs="Palatino Linotype"/>
          <w:b/>
          <w:bCs/>
          <w:color w:val="000000"/>
          <w:sz w:val="24"/>
        </w:rPr>
        <w:t>: “</w:t>
      </w:r>
      <w:r w:rsidR="006614E9" w:rsidRPr="00EA4BD2">
        <w:rPr>
          <w:rFonts w:ascii="Palatino Linotype" w:eastAsia="Palatino Linotype" w:hAnsi="Palatino Linotype" w:cs="Palatino Linotype"/>
          <w:i/>
          <w:iCs/>
          <w:color w:val="000000"/>
          <w:sz w:val="24"/>
        </w:rPr>
        <w:t>El articulo 87 de la Ley orgánica municipal del Estado de México establece que los municipios deben contar con una Dirección de las Mujeres o equivalente, y el municipio señala que no le corresponde a él responder y remite a los organismos estatales. “(Sic)</w:t>
      </w:r>
    </w:p>
    <w:p w:rsidR="000366F8" w:rsidRDefault="000366F8">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0366F8" w:rsidRDefault="000366F8">
      <w:pPr>
        <w:pBdr>
          <w:top w:val="nil"/>
          <w:left w:val="nil"/>
          <w:bottom w:val="nil"/>
          <w:right w:val="nil"/>
          <w:between w:val="nil"/>
        </w:pBdr>
        <w:ind w:left="720" w:right="539" w:hanging="360"/>
        <w:jc w:val="both"/>
        <w:rPr>
          <w:rFonts w:ascii="Palatino Linotype" w:eastAsia="Palatino Linotype" w:hAnsi="Palatino Linotype" w:cs="Palatino Linotype"/>
          <w:color w:val="000000"/>
          <w:sz w:val="24"/>
          <w:szCs w:val="24"/>
        </w:rPr>
      </w:pPr>
    </w:p>
    <w:p w:rsidR="000366F8" w:rsidRDefault="006614E9">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se turnó a la </w:t>
      </w:r>
      <w:r>
        <w:rPr>
          <w:rFonts w:ascii="Palatino Linotype" w:eastAsia="Palatino Linotype" w:hAnsi="Palatino Linotype" w:cs="Palatino Linotype"/>
          <w:b/>
          <w:bCs/>
          <w:sz w:val="24"/>
          <w:szCs w:val="24"/>
        </w:rPr>
        <w:t xml:space="preserve">Comisionada María del Rosario Mejía Ayala, </w:t>
      </w:r>
      <w:r w:rsidR="00EA4BD2">
        <w:rPr>
          <w:rFonts w:ascii="Palatino Linotype" w:eastAsia="Palatino Linotype" w:hAnsi="Palatino Linotype" w:cs="Palatino Linotype"/>
          <w:sz w:val="24"/>
          <w:szCs w:val="24"/>
        </w:rPr>
        <w:t>para</w:t>
      </w:r>
      <w:r>
        <w:rPr>
          <w:rFonts w:ascii="Palatino Linotype" w:eastAsia="Palatino Linotype" w:hAnsi="Palatino Linotype" w:cs="Palatino Linotype"/>
          <w:sz w:val="24"/>
          <w:szCs w:val="24"/>
        </w:rPr>
        <w:t xml:space="preserve"> su análisis. </w:t>
      </w:r>
    </w:p>
    <w:p w:rsidR="000366F8" w:rsidRDefault="000366F8">
      <w:pPr>
        <w:spacing w:line="360" w:lineRule="auto"/>
        <w:jc w:val="both"/>
        <w:rPr>
          <w:rFonts w:ascii="Palatino Linotype" w:eastAsia="Palatino Linotype" w:hAnsi="Palatino Linotype" w:cs="Palatino Linotype"/>
          <w:sz w:val="24"/>
          <w:szCs w:val="24"/>
        </w:rPr>
      </w:pPr>
    </w:p>
    <w:p w:rsidR="000366F8" w:rsidRDefault="00EA4BD2">
      <w:pPr>
        <w:numPr>
          <w:ilvl w:val="0"/>
          <w:numId w:val="2"/>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La Comisionada p</w:t>
      </w:r>
      <w:r w:rsidR="006614E9">
        <w:rPr>
          <w:rFonts w:ascii="Palatino Linotype" w:eastAsia="Palatino Linotype" w:hAnsi="Palatino Linotype" w:cs="Palatino Linotype"/>
          <w:sz w:val="24"/>
          <w:szCs w:val="24"/>
        </w:rPr>
        <w:t xml:space="preserve">onente con fundamento en lo dispuesto por el artículo 18 fracción II de la ley de la materia, a través del acuerdo de admisión notificado el </w:t>
      </w:r>
      <w:r w:rsidR="006614E9">
        <w:rPr>
          <w:rFonts w:ascii="Palatino Linotype" w:eastAsia="Palatino Linotype" w:hAnsi="Palatino Linotype" w:cs="Palatino Linotype"/>
          <w:b/>
          <w:bCs/>
          <w:sz w:val="24"/>
          <w:szCs w:val="24"/>
        </w:rPr>
        <w:t>quince de julio de dos mil veinticinco,</w:t>
      </w:r>
      <w:r w:rsidR="006614E9">
        <w:rPr>
          <w:rFonts w:ascii="Palatino Linotype" w:eastAsia="Palatino Linotype" w:hAnsi="Palatino Linotype" w:cs="Palatino Linotype"/>
          <w:sz w:val="24"/>
          <w:szCs w:val="24"/>
        </w:rPr>
        <w:t xml:space="preserve"> se puso a disposición de las partes el expediente electrónico vía </w:t>
      </w:r>
      <w:r w:rsidR="006614E9">
        <w:rPr>
          <w:rFonts w:ascii="Palatino Linotype" w:eastAsia="Palatino Linotype" w:hAnsi="Palatino Linotype" w:cs="Palatino Linotype"/>
          <w:b/>
          <w:bCs/>
          <w:sz w:val="24"/>
          <w:szCs w:val="24"/>
        </w:rPr>
        <w:t xml:space="preserve">SAIMEX </w:t>
      </w:r>
      <w:r w:rsidR="006614E9">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006614E9">
        <w:rPr>
          <w:rFonts w:ascii="Palatino Linotype" w:eastAsia="Palatino Linotype" w:hAnsi="Palatino Linotype" w:cs="Palatino Linotype"/>
          <w:b/>
          <w:bCs/>
          <w:sz w:val="24"/>
          <w:szCs w:val="24"/>
        </w:rPr>
        <w:t>SUJETO OBLIGADO</w:t>
      </w:r>
      <w:r w:rsidR="006614E9">
        <w:rPr>
          <w:rFonts w:ascii="Palatino Linotype" w:eastAsia="Palatino Linotype" w:hAnsi="Palatino Linotype" w:cs="Palatino Linotype"/>
          <w:sz w:val="24"/>
          <w:szCs w:val="24"/>
        </w:rPr>
        <w:t xml:space="preserve"> presentara el informe justificado procedente. </w:t>
      </w:r>
    </w:p>
    <w:p w:rsidR="000366F8" w:rsidRDefault="000366F8">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0366F8" w:rsidRDefault="000366F8">
      <w:pPr>
        <w:spacing w:line="360" w:lineRule="auto"/>
        <w:jc w:val="both"/>
        <w:rPr>
          <w:rFonts w:ascii="Palatino Linotype" w:eastAsia="Palatino Linotype" w:hAnsi="Palatino Linotype" w:cs="Palatino Linotype"/>
          <w:i/>
          <w:iCs/>
          <w:sz w:val="24"/>
          <w:szCs w:val="24"/>
        </w:rPr>
      </w:pPr>
    </w:p>
    <w:p w:rsidR="000366F8" w:rsidRDefault="000366F8">
      <w:pPr>
        <w:spacing w:line="360" w:lineRule="auto"/>
        <w:jc w:val="both"/>
        <w:rPr>
          <w:rFonts w:ascii="Palatino Linotype" w:eastAsia="Palatino Linotype" w:hAnsi="Palatino Linotype" w:cs="Palatino Linotype"/>
          <w:i/>
          <w:iCs/>
          <w:sz w:val="24"/>
          <w:szCs w:val="24"/>
        </w:rPr>
      </w:pPr>
    </w:p>
    <w:p w:rsidR="000366F8" w:rsidRDefault="006614E9">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las constancias que obran en el expediente electrónico SAIMEX, se advierte que el </w:t>
      </w:r>
      <w:r>
        <w:rPr>
          <w:rFonts w:ascii="Palatino Linotype" w:eastAsia="Palatino Linotype" w:hAnsi="Palatino Linotype" w:cs="Palatino Linotype"/>
          <w:b/>
          <w:bCs/>
          <w:sz w:val="24"/>
          <w:szCs w:val="24"/>
        </w:rPr>
        <w:t xml:space="preserve">PARTICULAR </w:t>
      </w:r>
      <w:r>
        <w:rPr>
          <w:rFonts w:ascii="Palatino Linotype" w:eastAsia="Palatino Linotype" w:hAnsi="Palatino Linotype" w:cs="Palatino Linotype"/>
          <w:sz w:val="24"/>
          <w:szCs w:val="24"/>
        </w:rPr>
        <w:t xml:space="preserve">y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no realizaron manifestaciones conforme a su derecho conviniera y asistiera. </w:t>
      </w:r>
    </w:p>
    <w:p w:rsidR="000366F8" w:rsidRDefault="000366F8">
      <w:pPr>
        <w:jc w:val="both"/>
        <w:rPr>
          <w:rFonts w:ascii="Century Gothic" w:eastAsia="Century Gothic" w:hAnsi="Century Gothic" w:cs="Century Gothic"/>
          <w:sz w:val="22"/>
          <w:szCs w:val="22"/>
        </w:rPr>
      </w:pPr>
    </w:p>
    <w:p w:rsidR="000366F8" w:rsidRDefault="000366F8">
      <w:pPr>
        <w:jc w:val="both"/>
        <w:rPr>
          <w:rFonts w:ascii="Century Gothic" w:eastAsia="Century Gothic" w:hAnsi="Century Gothic" w:cs="Century Gothic"/>
          <w:sz w:val="22"/>
          <w:szCs w:val="22"/>
        </w:rPr>
      </w:pPr>
    </w:p>
    <w:p w:rsidR="000366F8" w:rsidRDefault="006614E9">
      <w:pPr>
        <w:numPr>
          <w:ilvl w:val="0"/>
          <w:numId w:val="2"/>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trece de enero de dos mil veintiséis, </w:t>
      </w:r>
      <w:r>
        <w:rPr>
          <w:rFonts w:ascii="Palatino Linotype" w:eastAsia="Palatino Linotype" w:hAnsi="Palatino Linotype" w:cs="Palatino Linotype"/>
          <w:sz w:val="24"/>
          <w:szCs w:val="24"/>
        </w:rPr>
        <w:t>se notificó el acuerdo por el que se amplió el plazo para resolver el recurso de revisión que nos ocupa.</w:t>
      </w:r>
    </w:p>
    <w:p w:rsidR="000366F8" w:rsidRDefault="000366F8">
      <w:pPr>
        <w:tabs>
          <w:tab w:val="left" w:pos="426"/>
        </w:tabs>
        <w:spacing w:line="360" w:lineRule="auto"/>
        <w:jc w:val="both"/>
        <w:rPr>
          <w:rFonts w:ascii="Palatino Linotype" w:eastAsia="Palatino Linotype" w:hAnsi="Palatino Linotype" w:cs="Palatino Linotype"/>
          <w:b/>
          <w:bCs/>
          <w:sz w:val="24"/>
          <w:szCs w:val="24"/>
          <w:u w:val="single"/>
        </w:rPr>
      </w:pPr>
    </w:p>
    <w:p w:rsidR="000366F8" w:rsidRDefault="006614E9">
      <w:pPr>
        <w:numPr>
          <w:ilvl w:val="0"/>
          <w:numId w:val="2"/>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t>El</w:t>
      </w:r>
      <w:r>
        <w:rPr>
          <w:rFonts w:ascii="Palatino Linotype" w:eastAsia="Palatino Linotype" w:hAnsi="Palatino Linotype" w:cs="Palatino Linotype"/>
          <w:b/>
          <w:bCs/>
          <w:sz w:val="24"/>
          <w:szCs w:val="24"/>
        </w:rPr>
        <w:t xml:space="preserve"> trece de enero de dos mil veintiséis</w:t>
      </w:r>
      <w:r>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rsidR="000366F8" w:rsidRDefault="000366F8">
      <w:pPr>
        <w:tabs>
          <w:tab w:val="left" w:pos="426"/>
        </w:tabs>
        <w:spacing w:line="360" w:lineRule="auto"/>
        <w:jc w:val="both"/>
        <w:rPr>
          <w:rFonts w:ascii="Palatino Linotype" w:eastAsia="Palatino Linotype" w:hAnsi="Palatino Linotype" w:cs="Palatino Linotype"/>
          <w:b/>
          <w:bCs/>
          <w:sz w:val="24"/>
          <w:szCs w:val="24"/>
          <w:u w:val="single"/>
        </w:rPr>
      </w:pPr>
    </w:p>
    <w:p w:rsidR="000366F8" w:rsidRDefault="006614E9">
      <w:pPr>
        <w:keepNext/>
        <w:keepLines/>
        <w:spacing w:line="360" w:lineRule="auto"/>
        <w:jc w:val="center"/>
        <w:rPr>
          <w:rFonts w:ascii="Palatino Linotype" w:eastAsia="Palatino Linotype" w:hAnsi="Palatino Linotype" w:cs="Palatino Linotype"/>
          <w:b/>
          <w:bCs/>
          <w:sz w:val="24"/>
          <w:szCs w:val="24"/>
        </w:rPr>
      </w:pPr>
      <w:bookmarkStart w:id="3" w:name="_heading=h.30j0zll" w:colFirst="0" w:colLast="0"/>
      <w:bookmarkEnd w:id="3"/>
      <w:r>
        <w:rPr>
          <w:rFonts w:ascii="Palatino Linotype" w:eastAsia="Palatino Linotype" w:hAnsi="Palatino Linotype" w:cs="Palatino Linotype"/>
          <w:b/>
          <w:bCs/>
          <w:sz w:val="24"/>
          <w:szCs w:val="24"/>
        </w:rPr>
        <w:t>C</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O</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I</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R</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A</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O</w:t>
      </w:r>
      <w:r w:rsidR="00EA4BD2">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 xml:space="preserve"> </w:t>
      </w:r>
    </w:p>
    <w:p w:rsidR="000366F8" w:rsidRDefault="000366F8">
      <w:pPr>
        <w:keepNext/>
        <w:keepLines/>
        <w:spacing w:line="360" w:lineRule="auto"/>
        <w:jc w:val="center"/>
        <w:rPr>
          <w:rFonts w:ascii="Palatino Linotype" w:eastAsia="Palatino Linotype" w:hAnsi="Palatino Linotype" w:cs="Palatino Linotype"/>
          <w:sz w:val="24"/>
          <w:szCs w:val="24"/>
        </w:rPr>
      </w:pPr>
    </w:p>
    <w:p w:rsidR="000366F8" w:rsidRDefault="006614E9">
      <w:pPr>
        <w:keepNext/>
        <w:keepLines/>
        <w:spacing w:line="360" w:lineRule="auto"/>
        <w:rPr>
          <w:rFonts w:ascii="Palatino Linotype" w:eastAsia="Palatino Linotype" w:hAnsi="Palatino Linotype" w:cs="Palatino Linotype"/>
          <w:b/>
          <w:bCs/>
          <w:sz w:val="24"/>
          <w:szCs w:val="24"/>
        </w:rPr>
      </w:pPr>
      <w:bookmarkStart w:id="4" w:name="_heading=h.1fob9te" w:colFirst="0" w:colLast="0"/>
      <w:bookmarkEnd w:id="4"/>
      <w:r>
        <w:rPr>
          <w:rFonts w:ascii="Palatino Linotype" w:eastAsia="Palatino Linotype" w:hAnsi="Palatino Linotype" w:cs="Palatino Linotype"/>
          <w:b/>
          <w:bCs/>
          <w:sz w:val="24"/>
          <w:szCs w:val="24"/>
        </w:rPr>
        <w:t>PRIMERO. De la competencia</w:t>
      </w:r>
    </w:p>
    <w:p w:rsidR="000366F8" w:rsidRDefault="006614E9">
      <w:pPr>
        <w:numPr>
          <w:ilvl w:val="0"/>
          <w:numId w:val="2"/>
        </w:numPr>
        <w:tabs>
          <w:tab w:val="left" w:pos="426"/>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w:t>
      </w:r>
      <w:r>
        <w:rPr>
          <w:rFonts w:ascii="Palatino Linotype" w:eastAsia="Palatino Linotype" w:hAnsi="Palatino Linotype" w:cs="Palatino Linotype"/>
          <w:color w:val="000000"/>
          <w:sz w:val="24"/>
          <w:szCs w:val="24"/>
        </w:rPr>
        <w:lastRenderedPageBreak/>
        <w:t>Reglamento Interior del Instituto de Transparencia, Acceso a la Información Pública y Protección de Datos Personales del Estado de México y Municipios.</w:t>
      </w:r>
    </w:p>
    <w:p w:rsidR="000366F8" w:rsidRDefault="000366F8">
      <w:pPr>
        <w:tabs>
          <w:tab w:val="left" w:pos="426"/>
        </w:tabs>
        <w:spacing w:line="360" w:lineRule="auto"/>
        <w:jc w:val="both"/>
        <w:rPr>
          <w:rFonts w:ascii="Palatino Linotype" w:eastAsia="Palatino Linotype" w:hAnsi="Palatino Linotype" w:cs="Palatino Linotype"/>
          <w:color w:val="000000"/>
          <w:sz w:val="24"/>
          <w:szCs w:val="24"/>
        </w:rPr>
      </w:pPr>
    </w:p>
    <w:p w:rsidR="000366F8" w:rsidRDefault="006614E9">
      <w:pPr>
        <w:keepNext/>
        <w:keepLines/>
        <w:spacing w:line="360" w:lineRule="auto"/>
        <w:rPr>
          <w:rFonts w:ascii="Palatino Linotype" w:eastAsia="Palatino Linotype" w:hAnsi="Palatino Linotype" w:cs="Palatino Linotype"/>
          <w:b/>
          <w:bCs/>
          <w:sz w:val="24"/>
          <w:szCs w:val="24"/>
        </w:rPr>
      </w:pPr>
      <w:bookmarkStart w:id="5" w:name="_heading=h.3znysh7" w:colFirst="0" w:colLast="0"/>
      <w:bookmarkEnd w:id="5"/>
      <w:r>
        <w:rPr>
          <w:rFonts w:ascii="Palatino Linotype" w:eastAsia="Palatino Linotype" w:hAnsi="Palatino Linotype" w:cs="Palatino Linotype"/>
          <w:b/>
          <w:bCs/>
          <w:sz w:val="24"/>
          <w:szCs w:val="24"/>
        </w:rPr>
        <w:t>SEGUNDO. De la oportunidad y procedencia.</w:t>
      </w:r>
    </w:p>
    <w:p w:rsidR="000366F8" w:rsidRDefault="006614E9">
      <w:pPr>
        <w:numPr>
          <w:ilvl w:val="0"/>
          <w:numId w:val="2"/>
        </w:numPr>
        <w:spacing w:line="360" w:lineRule="auto"/>
        <w:ind w:left="0" w:right="48"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medio de impugnación fue presentado a través del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declino incompetencia total el </w:t>
      </w:r>
      <w:r>
        <w:rPr>
          <w:rFonts w:ascii="Palatino Linotype" w:eastAsia="Palatino Linotype" w:hAnsi="Palatino Linotype" w:cs="Palatino Linotype"/>
          <w:b/>
          <w:bCs/>
          <w:sz w:val="24"/>
          <w:szCs w:val="24"/>
        </w:rPr>
        <w:t>catorce de julio de dos mil veinticinco</w:t>
      </w:r>
      <w:r>
        <w:rPr>
          <w:rFonts w:ascii="Palatino Linotype" w:eastAsia="Palatino Linotype" w:hAnsi="Palatino Linotype" w:cs="Palatino Linotype"/>
          <w:sz w:val="24"/>
          <w:szCs w:val="24"/>
        </w:rPr>
        <w:t xml:space="preserve">, de tal forma que el plazo para interponer el recurso transcurrió del </w:t>
      </w:r>
      <w:r>
        <w:rPr>
          <w:rFonts w:ascii="Palatino Linotype" w:eastAsia="Palatino Linotype" w:hAnsi="Palatino Linotype" w:cs="Palatino Linotype"/>
          <w:b/>
          <w:bCs/>
          <w:sz w:val="24"/>
          <w:szCs w:val="24"/>
        </w:rPr>
        <w:t xml:space="preserve">quince de julio al  dieciocho de agosto de dos mil veinticinco, </w:t>
      </w:r>
      <w:r>
        <w:rPr>
          <w:rFonts w:ascii="Palatino Linotype" w:eastAsia="Palatino Linotype" w:hAnsi="Palatino Linotype" w:cs="Palatino Linotype"/>
          <w:sz w:val="24"/>
          <w:szCs w:val="24"/>
        </w:rPr>
        <w:t xml:space="preserve">en consecuencia, si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presentó su inconformidad el </w:t>
      </w:r>
      <w:r>
        <w:rPr>
          <w:rFonts w:ascii="Palatino Linotype" w:eastAsia="Palatino Linotype" w:hAnsi="Palatino Linotype" w:cs="Palatino Linotype"/>
          <w:b/>
          <w:bCs/>
          <w:sz w:val="24"/>
          <w:szCs w:val="24"/>
        </w:rPr>
        <w:t>catorce de julio de dos mil veinticinco</w:t>
      </w:r>
      <w:r>
        <w:rPr>
          <w:rFonts w:ascii="Palatino Linotype" w:eastAsia="Palatino Linotype" w:hAnsi="Palatino Linotype" w:cs="Palatino Linotype"/>
          <w:sz w:val="24"/>
          <w:szCs w:val="24"/>
        </w:rPr>
        <w:t xml:space="preserve">, este  se encuentra dentro de los márgenes temporales previstos en el artículo 178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vigente. </w:t>
      </w:r>
    </w:p>
    <w:p w:rsidR="000366F8" w:rsidRDefault="000366F8">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rsidR="000366F8" w:rsidRDefault="006614E9">
      <w:pPr>
        <w:pStyle w:val="Ttulo2"/>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solicitó la información que a continuación se desagrega:</w:t>
      </w: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Referente a las Direcciones de las Mujeres en el Estado de México: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De acuerdo con lo establecido en la Ley Orgánica Municipal del Estado de México, en su artículo quaterdecies se estable que: “- La Dirección de las Mujeres, tiene las siguientes atribuciones: I. Proponer, coordinar y ejecutar las políticas públicas, programas y acciones que aseguren la igualdad y la no discriminación hacia las mujeres en sus distintas etapas de la vida, desde una perspectiva transversal e interseccional y con enfoque de derechos humanos; II. Promover la cultura de la atención, prevención, sanción y erradicación de los tipos y modalidades de la violencia, la igualdad, así como la no discriminación contra las mujeres, en sus distintas etapas de la vida; III. Promover la </w:t>
      </w:r>
      <w:r>
        <w:rPr>
          <w:rFonts w:ascii="Palatino Linotype" w:eastAsia="Palatino Linotype" w:hAnsi="Palatino Linotype" w:cs="Palatino Linotype"/>
          <w:i/>
          <w:iCs/>
          <w:color w:val="000000"/>
          <w:sz w:val="24"/>
          <w:szCs w:val="24"/>
        </w:rPr>
        <w:lastRenderedPageBreak/>
        <w:t xml:space="preserve">participación de las mujeres en la toma de decisiones respecto del diseño de los planes y los programas de gobierno municipal; IV. 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 V. Alentar la participación entre los sectores público y privado, a fin de trabajar por el empoderamiento de las mujeres; VI. Brindar capacitación y asesoría, en materia de derechos humanos de las mujeres, igualdad, no discriminación, así como los tipos y las modalidades de la violencia contra las mujeres, en sus distintas etapas de la vida; VII. Procurar, impulsar y apoyar el fortalecimiento de planes, programas y acciones administrativas que permitan el ejercicio pleno de los derechos de las mujeres; VIII. Brindar orientación, atención de primer nivel, asesoramiento y acompañamiento multidisciplinarios y, en su caso, la canalización correspondiente de las niñas, adolescentes y mujeres, víctimas de violencia, que tengan acercamiento a la Dirección; IX. Establecer programas de sensibilización, reeducación, de construcción y capacitación dirigidos a la población en general con el fin de eliminar los roles y estereotipos que reproduzcan los tipos y modalidades de la violencia contra las mujeres, en todas las etapas de su vida; X. Vigilar, orientar, promover y proponer que la planeación presupuestal de la administración pública municipal y la Dirección incorpore la perspectiva de género; XI. Gestionar ante las autoridades competentes, de los distintos órdenes de gobierno, la prevención y atención de la salud integral para las mujeres en todas las etapas de su vida; XII. Fomentar y apoyar la creación de albergues, casas de pernocta, refugios o similares para las mujeres y sus hijas e hijos en situación de violencia; XIII. Fungir, a través de su titular, como coordinadora para el seguimiento, cumplimiento y evaluación de las acciones para mitigar las Declaratorias de Alerta de Violencia de Género contra las Mujeres; XIV. Promover y coordinar la profesionalización permanente del personal de la administración municipal en los temas de prevención, atención integral y erradicación de la violencia contra las niñas, adolescentes y mujeres, igualdad sustantiva o materias afines; XV. Garantizar que el personal adscrito a la misma, cuente con aptitudes de sensibilidad y profesionalización para la atención integral de las </w:t>
      </w:r>
      <w:r>
        <w:rPr>
          <w:rFonts w:ascii="Palatino Linotype" w:eastAsia="Palatino Linotype" w:hAnsi="Palatino Linotype" w:cs="Palatino Linotype"/>
          <w:i/>
          <w:iCs/>
          <w:color w:val="000000"/>
          <w:sz w:val="24"/>
          <w:szCs w:val="24"/>
        </w:rPr>
        <w:lastRenderedPageBreak/>
        <w:t>usuarias, y preferentemente, con la certificación de competencia laboral correspondiente; XVI. Coordinar la transversalización de la perspectiva de género en la administración pública municipal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 Al respecto solicito, para el periodo 2022-2025, me sea proporcionada la información de manera digital respecto de lo siguiente:</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 1. Explicación y evidencia digital de las acciones emprendidas para cumplir con la fracción I del citado artículo respecto de “Proponer, coordinar y ejecutar las políticas públicas, programas y acciones que aseguren la igualdad y la no discriminación hacia las mujeres en sus distintas etapas de la vida, desde una perspectiva transversal e interseccional y con enfoque de derechos humanos”.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2. Explicación y evidencia digital de las acciones emprendidas para cumplir con la fracción II “Promover la cultura de la atención, prevención, sanción y erradicación de los tipos y modalidades de la violencia, la igualdad, así como la no discriminación contra las mujeres, en sus distintas etapas de la vida”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3. Explicación y evidencia digital de las acciones emprendidas para cumplir con la fracción III “Promover la participación de las mujeres en la toma de decisiones respecto del diseño de los planes y los programas de gobierno municipal”</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 4. Explicación y evidencia digital de las acciones emprendidas para cumplir con la fracción IV “Brindar capacitación y asesoría, en materia de derechos humanos de las mujeres, igualdad, no discriminación, así como los tipos y las modalidades de la violencia contra las mujeres, en sus distintas etapas de la vida”.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lastRenderedPageBreak/>
        <w:t>5. Explicación y evidencia digital de las acciones emprendidas para cumplir con la fracción V “Alentar la participación entre los sectores público y privado, a fin de trabajar por el empoderamiento de las mujeres”.</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 6. Explicación y evidencia digital de las acciones emprendidas para cumplir con la fracción VI “Brindar capacitación y asesoría, en materia de derechos humanos de las mujeres, igualdad, no discriminación, así como los tipos y las modalidades de la violencia contra las mujeres, en sus distintas etapas de la vida”.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7. Explicación y evidencia digital de las acciones emprendidas para cumplir con la fracción VII “Procurar, impulsar y apoyar el fortalecimiento de planes, programas y acciones administrativas que permitan el ejercicio pleno de los derechos de las mujeres”.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8. Explicación y evidencia digital de las acciones emprendidas para cumplir con la fracción VIII “Brindar orientación, atención de primer nivel, asesoramiento y acompañamiento multidisciplinarios y, en su caso, la canalización correspondiente de las niñas, adolescentes y mujeres, víctimas de violencia, que tengan acercamiento a la Dirección”.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9. Explicación y evidencia digital de las acciones emprendidas para cumplir con la fracción IX “Establecer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10. Explicación y evidencia digital de las acciones emprendidas para cumplir con la fracción X “Vigilar, orientar, promover y proponer que la planeación presupuestal de la administración pública municipal y la Dirección incorpore la perspectiva de género”.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lastRenderedPageBreak/>
        <w:t xml:space="preserve">11. Explicación y evidencia digital de las acciones emprendidas para cumplir con la fracción XI “Gestionar ante las autoridades competentes, de los distintos órdenes de gobierno, la prevención y atención de la salud integral para las mujeres en todas las etapas de su vida”.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12. Explicación y evidencia digital de las acciones emprendidas para cumplir con la fracción XII “Fomentar y apoyar la creación de albergues, casas de pernocta, refugios o similares para las mujeres y sus hijas e hijos en situación de violencia”.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13. Explicación y evidencia digital de las acciones emprendidas para cumplir con la fracción XIII “Fungir, a través de su titular, como coordinadora para el seguimiento, cumplimiento y evaluación de las acciones para mitigar las Declaratorias de Alerta de Violencia de Género contra las Mujeres”.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14. Explicación y evidencia digital de las acciones emprendidas para cumplir con la fracción XIV “Promover y coordinar la profesionalización permanente del personal de la administración municipal en los temas de prevención, atención integral y erradicación de la violencia contra las niñas, adolescentes y mujeres, igualdad sustantiva o materias afines”.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15. Explicación y evidencia digital de las acciones emprendidas para cumplir con la fracción XV “Garantizar que el personal adscrito a la misma, cuente con aptitudes de sensibilidad y profesionalización para la atención integral de las usuarias, y preferentemente, con la certificación de competencia laboral correspondiente”.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16. Explicación y evidencia digital de las acciones emprendidas para cumplir con la fracción XVI “Coordinar la transversalización de la perspectiva de género en la administración pública municipal”.</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lastRenderedPageBreak/>
        <w:t xml:space="preserve">17. Resultados, indicadores o metas relacionadas con el cumplimiento de las atribuciones antes mencionadas.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18. Comentarios adicionales que considere necesarios.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Por su parte, en el artículo 96 Quindecies, se establece que “La persona titular de la Dirección de las Mujeres, además de los requisitos establecidos en el artículo 32 de esta Ley, deberá contar con título profesional en el área de las ciencias sociales o afines y conocimiento amplio del contexto en el municipio correspondiente.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De acuerdo con lo anterior solicito, para el periodo 2022-2025, me sea proporcionado de manera digital lo siguiente: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1. El nombre, profesión, título, número de cédula profesional de la o las personas encargadas de la Dirección de las Mujeres (o afines) en el periodo señalado. </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2. Evidencia de que la persona servidora pública que ocupó dicho puesto acreditó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 Solicito que la información me sea proporcionada de manera digital mediante el SAIMEX y que en caso de que esta se encuentre pública, se me proporcione la liga.</w:t>
      </w:r>
    </w:p>
    <w:p w:rsidR="000366F8" w:rsidRDefault="000366F8">
      <w:pPr>
        <w:pBdr>
          <w:top w:val="nil"/>
          <w:left w:val="nil"/>
          <w:bottom w:val="nil"/>
          <w:right w:val="nil"/>
          <w:between w:val="nil"/>
        </w:pBdr>
        <w:spacing w:line="276" w:lineRule="auto"/>
        <w:ind w:left="720" w:right="680"/>
        <w:jc w:val="both"/>
        <w:rPr>
          <w:rFonts w:ascii="Palatino Linotype" w:eastAsia="Palatino Linotype" w:hAnsi="Palatino Linotype" w:cs="Palatino Linotype"/>
          <w:i/>
          <w:iCs/>
          <w:color w:val="000000"/>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dio respuesta como quedo referido en el numeral 2 de la presente resolución. </w:t>
      </w:r>
    </w:p>
    <w:p w:rsidR="000366F8" w:rsidRDefault="000366F8">
      <w:pPr>
        <w:spacing w:line="360" w:lineRule="auto"/>
        <w:ind w:right="49"/>
        <w:jc w:val="both"/>
        <w:rPr>
          <w:rFonts w:ascii="Palatino Linotype" w:eastAsia="Palatino Linotype" w:hAnsi="Palatino Linotype" w:cs="Palatino Linotype"/>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Inconforme con lo anterior,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interpuso Recurso de Revisión arguyendo medularmente la negativa de la entrega de la información.</w:t>
      </w:r>
    </w:p>
    <w:p w:rsidR="000366F8" w:rsidRDefault="000366F8">
      <w:pPr>
        <w:spacing w:line="360" w:lineRule="auto"/>
        <w:ind w:right="49"/>
        <w:jc w:val="both"/>
        <w:rPr>
          <w:rFonts w:ascii="Palatino Linotype" w:eastAsia="Palatino Linotype" w:hAnsi="Palatino Linotype" w:cs="Palatino Linotype"/>
          <w:i/>
          <w:iCs/>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iCs/>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Pr>
          <w:rFonts w:ascii="Palatino Linotype" w:eastAsia="Palatino Linotype" w:hAnsi="Palatino Linotype" w:cs="Palatino Linotype"/>
          <w:b/>
          <w:bCs/>
          <w:sz w:val="24"/>
          <w:szCs w:val="24"/>
        </w:rPr>
        <w:t xml:space="preserve"> I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bCs/>
          <w:sz w:val="24"/>
          <w:szCs w:val="24"/>
        </w:rPr>
        <w:t>Ley de Transparencia y Acceso a la Información Pública del Estado de México y Municipios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fracción que determina las hipótesis jurídica relativa a la negativa a la información solicitada;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bCs/>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De modo tal que, el presente recurso de revisión se abocara en determinar si el </w:t>
      </w:r>
      <w:r>
        <w:rPr>
          <w:rFonts w:ascii="Palatino Linotype" w:eastAsia="Palatino Linotype" w:hAnsi="Palatino Linotype" w:cs="Palatino Linotype"/>
          <w:b/>
          <w:bCs/>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bCs/>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rsidR="000366F8" w:rsidRDefault="000366F8">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0366F8" w:rsidRDefault="006614E9">
      <w:pPr>
        <w:pStyle w:val="Ttulo2"/>
        <w:rPr>
          <w:rFonts w:ascii="Palatino Linotype" w:eastAsia="Palatino Linotype" w:hAnsi="Palatino Linotype" w:cs="Palatino Linotype"/>
          <w:b/>
          <w:bCs/>
          <w:color w:val="000000"/>
          <w:sz w:val="24"/>
          <w:szCs w:val="24"/>
        </w:rPr>
      </w:pPr>
      <w:bookmarkStart w:id="7" w:name="_heading=h.3dy6vkm" w:colFirst="0" w:colLast="0"/>
      <w:bookmarkEnd w:id="7"/>
      <w:r>
        <w:rPr>
          <w:rFonts w:ascii="Palatino Linotype" w:eastAsia="Palatino Linotype" w:hAnsi="Palatino Linotype" w:cs="Palatino Linotype"/>
          <w:b/>
          <w:bCs/>
          <w:color w:val="000000"/>
          <w:sz w:val="24"/>
          <w:szCs w:val="24"/>
        </w:rPr>
        <w:t>CUARTO. Del estudio y resolución del asunto.</w:t>
      </w: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bookmarkStart w:id="8" w:name="_heading=h.j3hxky7aamho" w:colFirst="0" w:colLast="0"/>
      <w:bookmarkEnd w:id="8"/>
      <w:r>
        <w:rPr>
          <w:rFonts w:ascii="Palatino Linotype" w:eastAsia="Palatino Linotype" w:hAnsi="Palatino Linotype" w:cs="Palatino Linotype"/>
          <w:sz w:val="24"/>
          <w:szCs w:val="24"/>
        </w:rPr>
        <w:t xml:space="preserve">Dicho lo anterior, este Órgano Resolutor se </w:t>
      </w:r>
      <w:r w:rsidR="00EA4BD2">
        <w:rPr>
          <w:rFonts w:ascii="Palatino Linotype" w:eastAsia="Palatino Linotype" w:hAnsi="Palatino Linotype" w:cs="Palatino Linotype"/>
          <w:sz w:val="24"/>
          <w:szCs w:val="24"/>
        </w:rPr>
        <w:t>abocará</w:t>
      </w:r>
      <w:r>
        <w:rPr>
          <w:rFonts w:ascii="Palatino Linotype" w:eastAsia="Palatino Linotype" w:hAnsi="Palatino Linotype" w:cs="Palatino Linotype"/>
          <w:sz w:val="24"/>
          <w:szCs w:val="24"/>
        </w:rPr>
        <w:t xml:space="preserve"> a realizar el estudio en conjunto de todas las constancias que obran en el SAIMEX, con la finalidad de poder determinar si los motivos de inconformidad hechos valer por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resultan fundados.</w:t>
      </w:r>
    </w:p>
    <w:p w:rsidR="000366F8" w:rsidRDefault="000366F8">
      <w:pPr>
        <w:spacing w:line="360" w:lineRule="auto"/>
        <w:ind w:right="49"/>
        <w:jc w:val="both"/>
        <w:rPr>
          <w:rFonts w:ascii="Palatino Linotype" w:eastAsia="Palatino Linotype" w:hAnsi="Palatino Linotype" w:cs="Palatino Linotype"/>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 Al respecto de la información solicitada y de la fuente obligacional, se refiere lo siguiente:</w:t>
      </w:r>
    </w:p>
    <w:p w:rsidR="000366F8" w:rsidRDefault="006614E9">
      <w:pPr>
        <w:spacing w:line="360" w:lineRule="auto"/>
        <w:ind w:right="49"/>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BANDO MUNICIPAL</w:t>
      </w:r>
    </w:p>
    <w:p w:rsidR="000366F8" w:rsidRDefault="000366F8">
      <w:pPr>
        <w:spacing w:line="360" w:lineRule="auto"/>
        <w:ind w:right="49"/>
        <w:jc w:val="center"/>
        <w:rPr>
          <w:rFonts w:ascii="Palatino Linotype" w:eastAsia="Palatino Linotype" w:hAnsi="Palatino Linotype" w:cs="Palatino Linotype"/>
          <w:b/>
          <w:bCs/>
          <w:sz w:val="24"/>
          <w:szCs w:val="24"/>
        </w:rPr>
      </w:pPr>
    </w:p>
    <w:p w:rsidR="000366F8" w:rsidRDefault="006614E9">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CAPÍTULO III</w:t>
      </w:r>
    </w:p>
    <w:p w:rsidR="000366F8" w:rsidRDefault="006614E9">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DE LA ADMINISTRACIÓN PÚBLICA MUNICIPAL CENTRALIZADA</w:t>
      </w:r>
    </w:p>
    <w:p w:rsidR="000366F8" w:rsidRDefault="000366F8">
      <w:pPr>
        <w:ind w:left="426" w:right="397"/>
        <w:jc w:val="both"/>
        <w:rPr>
          <w:rFonts w:ascii="Palatino Linotype" w:eastAsia="Palatino Linotype" w:hAnsi="Palatino Linotype" w:cs="Palatino Linotype"/>
          <w:b/>
          <w:bCs/>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 xml:space="preserve">Artículo 39. </w:t>
      </w:r>
      <w:r>
        <w:rPr>
          <w:rFonts w:ascii="Palatino Linotype" w:eastAsia="Palatino Linotype" w:hAnsi="Palatino Linotype" w:cs="Palatino Linotype"/>
          <w:i/>
          <w:iCs/>
          <w:sz w:val="24"/>
          <w:szCs w:val="24"/>
        </w:rPr>
        <w:t>Para el cumplimiento de sus funciones la Presidencia Municipal se auxiliará de los demás integrantes del Ayuntamiento, las Comisiones Edilicias y tendrá bajo su mando las siguientes dependencias de la administración pública municipal centralizada en las cuales, para su designación, se observará lo establecido en los artículos 27, 32 y demás relativos de la Ley Orgánica Municipal del Estado de México:</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I.Presidencia Municipal;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 Secretaría del Ayuntamiento;</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III. Tesorería Municipal;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IV. Órgano Interno de Control de la Administración</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Pública Municipal Centralizada;</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 Órgano Interno de Control de la Administración</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Pública Municipal Descentralizada;</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VI. Dirección General de Obras Públicas;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VII. Dirección General de Desarrollo Económico;</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VIII. Guardia Civil Tecámac;</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IX. Dirección General de Ecología y Administración del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Medio Ambiente;</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 Dirección General de Planeación, Administración y</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Regulación del Territorio;</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XI. Dirección General Jurídica y Consultiva.</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I.Secretaría Particular:</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a.Coordinación de Agenda y Audiencia</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1.Departamento de Logística de Eventos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b.Dirección de Comunicación Social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1.Departamento de Producción Audiovisual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2.Departamento de Atención a Medios de</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Comunicación</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3.Departamento de Comunicación y Plataformas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Digitales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II.Coordinación Municipal de Protección Civil y</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Bomberos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a.Departamento de Normatividad y Prevención de</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Riesgos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b.Departamento de Operaciones y Bomberos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c.Departamento de Grupos Voluntarios y Unidades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Internas de Protección Civil y Gestión de Riesgos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III.Dirección de Innovación y Tecnologías de la</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Información</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a.Coordinación de Tecnologías de la Información</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1.Departamento de Soporte Técnico</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2.Departamento de Sistemas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b.Coordinación de Gestión de Trámites y Servicios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1.Departamento de Ventanillas de Gestión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2.Departamento de Atención a Medianos y Grandes Contribuyentes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3.Departamento de Gestión Digital de Servicios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c.Coordinación de Innovación y Simplificación Administrativa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1.Departamento de Procesos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2.Departamento de Mejora Regulatoria y Funcionamiento del Comité Municipal de Dictamen de Giro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IV.Departamento de Gestión Administrativa e Informática.</w:t>
      </w:r>
    </w:p>
    <w:p w:rsidR="000366F8" w:rsidRDefault="000366F8">
      <w:pPr>
        <w:ind w:left="426" w:right="397"/>
        <w:jc w:val="both"/>
        <w:rPr>
          <w:rFonts w:ascii="Palatino Linotype" w:eastAsia="Palatino Linotype" w:hAnsi="Palatino Linotype" w:cs="Palatino Linotype"/>
          <w:i/>
          <w:iCs/>
          <w:sz w:val="24"/>
          <w:szCs w:val="24"/>
        </w:rPr>
      </w:pPr>
    </w:p>
    <w:p w:rsidR="000366F8" w:rsidRDefault="000366F8">
      <w:pPr>
        <w:ind w:left="426" w:right="397"/>
        <w:jc w:val="both"/>
        <w:rPr>
          <w:rFonts w:ascii="Palatino Linotype" w:eastAsia="Palatino Linotype" w:hAnsi="Palatino Linotype" w:cs="Palatino Linotype"/>
          <w:i/>
          <w:iCs/>
          <w:sz w:val="24"/>
          <w:szCs w:val="24"/>
        </w:rPr>
      </w:pPr>
    </w:p>
    <w:p w:rsidR="000366F8" w:rsidRDefault="000366F8">
      <w:pPr>
        <w:ind w:left="426" w:right="397"/>
        <w:jc w:val="both"/>
        <w:rPr>
          <w:rFonts w:ascii="Palatino Linotype" w:eastAsia="Palatino Linotype" w:hAnsi="Palatino Linotype" w:cs="Palatino Linotype"/>
          <w:b/>
          <w:bCs/>
          <w:i/>
          <w:iCs/>
          <w:sz w:val="24"/>
          <w:szCs w:val="24"/>
        </w:rPr>
      </w:pPr>
    </w:p>
    <w:p w:rsidR="000366F8" w:rsidRDefault="006614E9">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CAPÍTULO IV</w:t>
      </w:r>
    </w:p>
    <w:p w:rsidR="000366F8" w:rsidRDefault="006614E9">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DE LA ADMINISTRACIÓN PÚBLICA MUNICIPAL</w:t>
      </w:r>
    </w:p>
    <w:p w:rsidR="000366F8" w:rsidRDefault="006614E9">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DESCENTRALIZADA</w:t>
      </w:r>
    </w:p>
    <w:p w:rsidR="000366F8" w:rsidRDefault="000366F8">
      <w:pPr>
        <w:ind w:left="426" w:right="397"/>
        <w:jc w:val="center"/>
        <w:rPr>
          <w:rFonts w:ascii="Palatino Linotype" w:eastAsia="Palatino Linotype" w:hAnsi="Palatino Linotype" w:cs="Palatino Linotype"/>
          <w:b/>
          <w:bCs/>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Artículo 51</w:t>
      </w:r>
      <w:r>
        <w:rPr>
          <w:rFonts w:ascii="Palatino Linotype" w:eastAsia="Palatino Linotype" w:hAnsi="Palatino Linotype" w:cs="Palatino Linotype"/>
          <w:i/>
          <w:iCs/>
          <w:sz w:val="24"/>
          <w:szCs w:val="24"/>
        </w:rPr>
        <w:t>. Las siguientes dependencias pertenecen a la administración pública municipal descentralizada:</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numPr>
          <w:ilvl w:val="0"/>
          <w:numId w:val="1"/>
        </w:numPr>
        <w:ind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Sistema Municipal para el Desarrollo Integral de la Familia (DIF Tecámac)</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II.Organismo Público Descentralizado para la Prestación delos Servicios de Agua Potable, Alcantarillado y Saneamiento (ODAPAS) e:</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III. Instituto Municipal de Cultura Física y Deporte de Tecámac, Estado de México.</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Artículo 53. Al Sistema Municipal para el Desarrollo Integral de la Familia le son atribuidas, además de las facultades que le confiere la Ley Estatal en la materia, las que corresponden a las funciones</w:t>
      </w:r>
      <w:r>
        <w:rPr>
          <w:rFonts w:ascii="Palatino Linotype" w:eastAsia="Palatino Linotype" w:hAnsi="Palatino Linotype" w:cs="Palatino Linotype"/>
          <w:i/>
          <w:iCs/>
          <w:sz w:val="24"/>
          <w:szCs w:val="24"/>
        </w:rPr>
        <w:t xml:space="preserve"> de desarrollo social,</w:t>
      </w:r>
      <w:r>
        <w:rPr>
          <w:rFonts w:ascii="Palatino Linotype" w:eastAsia="Palatino Linotype" w:hAnsi="Palatino Linotype" w:cs="Palatino Linotype"/>
          <w:b/>
          <w:bCs/>
          <w:i/>
          <w:iCs/>
          <w:sz w:val="24"/>
          <w:szCs w:val="24"/>
        </w:rPr>
        <w:t xml:space="preserve"> atención a la salud tanto física como emocional y defensa de los derechos de las mujeres</w:t>
      </w:r>
      <w:r>
        <w:rPr>
          <w:rFonts w:ascii="Palatino Linotype" w:eastAsia="Palatino Linotype" w:hAnsi="Palatino Linotype" w:cs="Palatino Linotype"/>
          <w:i/>
          <w:iCs/>
          <w:sz w:val="24"/>
          <w:szCs w:val="24"/>
        </w:rPr>
        <w:t xml:space="preserve">, las y los jóvenes y las personas que se identifican con la comunidad LGBTTQ+, así como la promoción y fomento de la unión familiar en todas sus expresiones, entre otras. Bajo este esquema, el Sistema Municipal otorgará y procurará atención a personas en extrema pobreza y grupos vulnerables de la población como personas enfermas; personas adultas mayores; niñas, niños y adolescentes; personas enfermas y/o con discapacidad; personas violentadas y personas migrantes. </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La Junta de Gobierno es la máxima autoridad del Sistema, y será encabezada en términos de ley por una Presidencia, una Secretaría, un Tesorero y dos Vocales, por lo que hace a la Presidencia tendrá carácter honorífico.</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u w:val="single"/>
        </w:rPr>
        <w:t xml:space="preserve"> Por su parte, quien ocupe el cargo de titular de la Dirección General del Sistema será denominado “Directora o Director General del Sistema Municipal para el Desarrollo Integral de la Familia”</w:t>
      </w:r>
      <w:r>
        <w:rPr>
          <w:rFonts w:ascii="Palatino Linotype" w:eastAsia="Palatino Linotype" w:hAnsi="Palatino Linotype" w:cs="Palatino Linotype"/>
          <w:i/>
          <w:iCs/>
          <w:sz w:val="24"/>
          <w:szCs w:val="24"/>
        </w:rPr>
        <w:t xml:space="preserve"> quien para el auxilio directo en el desempeño de sus funciones y el desarrollo de sus responsabilidades se auxiliará por las siguientes áreas administrativas:</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0366F8" w:rsidRDefault="000366F8">
      <w:pPr>
        <w:ind w:left="426" w:right="397"/>
        <w:jc w:val="both"/>
        <w:rPr>
          <w:rFonts w:ascii="Palatino Linotype" w:eastAsia="Palatino Linotype" w:hAnsi="Palatino Linotype" w:cs="Palatino Linotype"/>
          <w:i/>
          <w:iCs/>
          <w:sz w:val="24"/>
          <w:szCs w:val="24"/>
        </w:rPr>
      </w:pP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VI.Dirección de Atención y Defensa de los Derechos de las Mujeres, La Juventud y la Diversidad Sexual</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a.Coordinación del Centro de Atención a Mujeres Interdependientes, Empoderadas y Libres de violencia (MIEL)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b.Coordinación de Atención a la Diversidad Sexual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1.Centro de Atención Integral a la Diversidad Sexual Tecámac Centro</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 xml:space="preserve"> i.Corredor Cultural y Comercial “Amor, Tolerancia e Inclusión”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2.Centro de Atención Integral a la Diversidad Sexual Héroes de Tecámac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c.Coordinación de Bienestar y Salud Emocional de la Juventud</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d.Coordinación Operativa del Sistema Puerta Violeta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1.Unidad de Prevención Social de la Violencia y la Delincuencia </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2.Unidad de Atención a Víctimas</w:t>
      </w:r>
    </w:p>
    <w:p w:rsidR="000366F8" w:rsidRDefault="006614E9">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e.Departamento de Gestión Administrativa e Informática</w:t>
      </w:r>
    </w:p>
    <w:p w:rsidR="000366F8" w:rsidRDefault="000366F8">
      <w:pPr>
        <w:ind w:left="426" w:right="397"/>
        <w:jc w:val="both"/>
        <w:rPr>
          <w:rFonts w:ascii="Palatino Linotype" w:eastAsia="Palatino Linotype" w:hAnsi="Palatino Linotype" w:cs="Palatino Linotype"/>
          <w:sz w:val="24"/>
          <w:szCs w:val="24"/>
        </w:rPr>
      </w:pPr>
    </w:p>
    <w:p w:rsidR="000366F8" w:rsidRDefault="000366F8">
      <w:pPr>
        <w:ind w:left="426" w:right="397"/>
        <w:jc w:val="both"/>
        <w:rPr>
          <w:rFonts w:ascii="Palatino Linotype" w:eastAsia="Palatino Linotype" w:hAnsi="Palatino Linotype" w:cs="Palatino Linotype"/>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advierte que el </w:t>
      </w:r>
      <w:r>
        <w:rPr>
          <w:rFonts w:ascii="Palatino Linotype" w:eastAsia="Palatino Linotype" w:hAnsi="Palatino Linotype" w:cs="Palatino Linotype"/>
          <w:b/>
          <w:bCs/>
          <w:sz w:val="24"/>
          <w:szCs w:val="24"/>
        </w:rPr>
        <w:t>SUJETO OBLIGADO,</w:t>
      </w:r>
      <w:r>
        <w:t xml:space="preserve"> </w:t>
      </w:r>
      <w:r>
        <w:rPr>
          <w:rFonts w:ascii="Palatino Linotype" w:eastAsia="Palatino Linotype" w:hAnsi="Palatino Linotype" w:cs="Palatino Linotype"/>
          <w:sz w:val="24"/>
          <w:szCs w:val="24"/>
        </w:rPr>
        <w:t>si bien es cierto, no cuenta con un área denominada “Dirección de las Mujeres”, también cierto es que, las funciones y/o atribuciones de su equivalente se encuentran conferidas al Sistema Municipal para el Desarrollo Integral de la Familia de Tecámac, quien es considerado un Sujeto Obligado diverso, como se muestra a continuación:</w:t>
      </w:r>
    </w:p>
    <w:p w:rsidR="000366F8" w:rsidRDefault="000366F8">
      <w:pPr>
        <w:spacing w:line="360" w:lineRule="auto"/>
        <w:ind w:right="49"/>
        <w:jc w:val="both"/>
        <w:rPr>
          <w:rFonts w:ascii="Palatino Linotype" w:eastAsia="Palatino Linotype" w:hAnsi="Palatino Linotype" w:cs="Palatino Linotype"/>
          <w:sz w:val="24"/>
          <w:szCs w:val="24"/>
        </w:rPr>
      </w:pPr>
    </w:p>
    <w:p w:rsidR="000366F8" w:rsidRDefault="006614E9">
      <w:pPr>
        <w:spacing w:line="360" w:lineRule="auto"/>
        <w:ind w:right="49"/>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5742940" cy="336613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42940" cy="336613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963294</wp:posOffset>
                </wp:positionH>
                <wp:positionV relativeFrom="paragraph">
                  <wp:posOffset>1791970</wp:posOffset>
                </wp:positionV>
                <wp:extent cx="3248025" cy="352425"/>
                <wp:effectExtent l="0" t="0" r="0" b="0"/>
                <wp:wrapNone/>
                <wp:docPr id="6" name="Rectángulo 6"/>
                <wp:cNvGraphicFramePr/>
                <a:graphic xmlns:a="http://schemas.openxmlformats.org/drawingml/2006/main">
                  <a:graphicData uri="http://schemas.microsoft.com/office/word/2010/wordprocessingShape">
                    <wps:wsp>
                      <wps:cNvSpPr/>
                      <wps:spPr>
                        <a:xfrm>
                          <a:off x="3731513" y="3613313"/>
                          <a:ext cx="3228975" cy="333375"/>
                        </a:xfrm>
                        <a:prstGeom prst="rect">
                          <a:avLst/>
                        </a:prstGeom>
                        <a:noFill/>
                        <a:ln w="19050" cap="flat" cmpd="sng">
                          <a:solidFill>
                            <a:srgbClr val="FF0000"/>
                          </a:solidFill>
                          <a:prstDash val="solid"/>
                          <a:miter lim="800000"/>
                          <a:headEnd type="none" w="sm" len="sm"/>
                          <a:tailEnd type="none" w="sm" len="sm"/>
                        </a:ln>
                      </wps:spPr>
                      <wps:txbx>
                        <w:txbxContent>
                          <w:p w:rsidR="000366F8" w:rsidRDefault="000366F8">
                            <w:pPr>
                              <w:textDirection w:val="btLr"/>
                            </w:pPr>
                          </w:p>
                        </w:txbxContent>
                      </wps:txbx>
                      <wps:bodyPr spcFirstLastPara="1" wrap="square" lIns="91425" tIns="91425" rIns="91425" bIns="91425" anchor="ctr" anchorCtr="0">
                        <a:noAutofit/>
                      </wps:bodyPr>
                    </wps:wsp>
                  </a:graphicData>
                </a:graphic>
              </wp:anchor>
            </w:drawing>
          </mc:Choice>
          <mc:Fallback>
            <w:pict>
              <v:rect id="Rectángulo 6" o:spid="_x0000_s1026" style="position:absolute;margin-left:75.85pt;margin-top:141.1pt;width:255.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" filled="f" strokecolor="red" strokeweight="1.5pt">
                <v:stroke startarrowwidth="narrow" startarrowlength="short" endarrowwidth="narrow" endarrowlength="short"/>
                <v:textbox inset="2.53958mm,2.53958mm,2.53958mm,2.53958mm">
                  <w:txbxContent>
                    <w:p w:rsidR="000366F8" w:rsidRDefault="000366F8">
                      <w:pPr>
                        <w:textDirection w:val="btLr"/>
                      </w:pPr>
                    </w:p>
                  </w:txbxContent>
                </v:textbox>
              </v:rect>
            </w:pict>
          </mc:Fallback>
        </mc:AlternateContent>
      </w:r>
    </w:p>
    <w:p w:rsidR="000366F8" w:rsidRDefault="006614E9">
      <w:pPr>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lastRenderedPageBreak/>
        <w:t>Organigrama:</w:t>
      </w:r>
    </w:p>
    <w:p w:rsidR="000366F8" w:rsidRDefault="006614E9">
      <w:pPr>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noProof/>
          <w:sz w:val="24"/>
          <w:szCs w:val="24"/>
        </w:rPr>
        <w:drawing>
          <wp:inline distT="0" distB="0" distL="0" distR="0">
            <wp:extent cx="5742940" cy="66357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42940" cy="6635750"/>
                    </a:xfrm>
                    <a:prstGeom prst="rect">
                      <a:avLst/>
                    </a:prstGeom>
                    <a:ln/>
                  </pic:spPr>
                </pic:pic>
              </a:graphicData>
            </a:graphic>
          </wp:inline>
        </w:drawing>
      </w:r>
      <w:r>
        <w:rPr>
          <w:rFonts w:ascii="Palatino Linotype" w:eastAsia="Palatino Linotype" w:hAnsi="Palatino Linotype" w:cs="Palatino Linotype"/>
          <w:sz w:val="24"/>
          <w:szCs w:val="24"/>
        </w:rPr>
        <w:t xml:space="preserve">                                                                   </w:t>
      </w:r>
    </w:p>
    <w:p w:rsidR="000366F8" w:rsidRDefault="006614E9">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lo anterior, se advierte que la incompetencia hecha valer por el S</w:t>
      </w:r>
      <w:r>
        <w:rPr>
          <w:rFonts w:ascii="Palatino Linotype" w:eastAsia="Palatino Linotype" w:hAnsi="Palatino Linotype" w:cs="Palatino Linotype"/>
          <w:b/>
          <w:bCs/>
          <w:sz w:val="24"/>
          <w:szCs w:val="24"/>
        </w:rPr>
        <w:t xml:space="preserve">UJETO OBLIGADO, </w:t>
      </w:r>
      <w:r>
        <w:rPr>
          <w:rFonts w:ascii="Palatino Linotype" w:eastAsia="Palatino Linotype" w:hAnsi="Palatino Linotype" w:cs="Palatino Linotype"/>
          <w:sz w:val="24"/>
          <w:szCs w:val="24"/>
        </w:rPr>
        <w:t xml:space="preserve">resulta procedente, ya que la misma se hizo valer dentro de los tres días señalados para tal efecto, asimismo, si bien es cierto, informó que la información se encuentra en posesión de organismos estatales, también cierto es que, la ley prevé el caso en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se declare incompetente podrá orientar al </w:t>
      </w:r>
      <w:r>
        <w:rPr>
          <w:rFonts w:ascii="Palatino Linotype" w:eastAsia="Palatino Linotype" w:hAnsi="Palatino Linotype" w:cs="Palatino Linotype"/>
          <w:b/>
          <w:bCs/>
          <w:sz w:val="24"/>
          <w:szCs w:val="24"/>
        </w:rPr>
        <w:t xml:space="preserve">PARTICULAR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que genere, posea y/o administre la información solicitada, sin que esto sea de carácter obligatorio, de acuerdo a lo siguiente:</w:t>
      </w:r>
    </w:p>
    <w:p w:rsidR="000366F8" w:rsidRDefault="006614E9">
      <w:pPr>
        <w:ind w:left="993" w:right="138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LEY DE TRANSPARENCIA Y ACCESO A LA INFORMACIÓN PÚBLICA DEL ESTADO DE MÉXICO Y MUNICIPIOS</w:t>
      </w:r>
    </w:p>
    <w:p w:rsidR="000366F8" w:rsidRDefault="000366F8">
      <w:pPr>
        <w:ind w:left="993" w:right="1389"/>
        <w:jc w:val="both"/>
        <w:rPr>
          <w:rFonts w:ascii="Palatino Linotype" w:eastAsia="Palatino Linotype" w:hAnsi="Palatino Linotype" w:cs="Palatino Linotype"/>
          <w:b/>
          <w:bCs/>
          <w:sz w:val="24"/>
          <w:szCs w:val="24"/>
        </w:rPr>
      </w:pPr>
    </w:p>
    <w:p w:rsidR="000366F8" w:rsidRDefault="006614E9">
      <w:pPr>
        <w:ind w:left="993" w:right="1389"/>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0366F8" w:rsidRDefault="000366F8">
      <w:pPr>
        <w:ind w:left="993" w:right="1389"/>
        <w:jc w:val="both"/>
        <w:rPr>
          <w:rFonts w:ascii="Palatino Linotype" w:eastAsia="Palatino Linotype" w:hAnsi="Palatino Linotype" w:cs="Palatino Linotype"/>
          <w:i/>
          <w:iCs/>
          <w:sz w:val="24"/>
          <w:szCs w:val="24"/>
        </w:rPr>
      </w:pPr>
    </w:p>
    <w:p w:rsidR="000366F8" w:rsidRDefault="006614E9">
      <w:pPr>
        <w:ind w:left="993" w:right="1389"/>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0366F8" w:rsidRDefault="000366F8">
      <w:pPr>
        <w:ind w:left="993" w:right="1389"/>
        <w:jc w:val="both"/>
        <w:rPr>
          <w:rFonts w:ascii="Palatino Linotype" w:eastAsia="Palatino Linotype" w:hAnsi="Palatino Linotype" w:cs="Palatino Linotype"/>
          <w:i/>
          <w:iCs/>
          <w:sz w:val="24"/>
          <w:szCs w:val="24"/>
        </w:rPr>
      </w:pPr>
    </w:p>
    <w:p w:rsidR="000366F8" w:rsidRDefault="006614E9">
      <w:pPr>
        <w:ind w:left="993" w:right="1389"/>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Si transcurrido el plazo señalado en el primer párrafo de este artículo, el sujeto obligado no declina la competencia en los términos establecidos, podrá canalizar la solicitud ante el sujeto obligado competente.</w:t>
      </w:r>
    </w:p>
    <w:p w:rsidR="000366F8" w:rsidRDefault="000366F8">
      <w:pPr>
        <w:ind w:left="993" w:right="1389"/>
        <w:jc w:val="both"/>
        <w:rPr>
          <w:rFonts w:ascii="Palatino Linotype" w:eastAsia="Palatino Linotype" w:hAnsi="Palatino Linotype" w:cs="Palatino Linotype"/>
          <w:i/>
          <w:iCs/>
          <w:sz w:val="24"/>
          <w:szCs w:val="24"/>
        </w:rPr>
      </w:pPr>
      <w:bookmarkStart w:id="9" w:name="_heading=h.cik67dddmce3" w:colFirst="0" w:colLast="0"/>
      <w:bookmarkEnd w:id="9"/>
    </w:p>
    <w:p w:rsidR="000366F8" w:rsidRDefault="006614E9">
      <w:pPr>
        <w:numPr>
          <w:ilvl w:val="0"/>
          <w:numId w:val="2"/>
        </w:numPr>
        <w:spacing w:line="360" w:lineRule="auto"/>
        <w:ind w:left="0" w:right="49" w:firstLine="0"/>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xml:space="preserve">En consecuencia de lo anterior, se colige que la incompetencia planteada por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resulta procedente, teniéndose por colmada en su totalidad la solicitud de información que nos ocupa.</w:t>
      </w:r>
    </w:p>
    <w:p w:rsidR="000366F8" w:rsidRDefault="000366F8">
      <w:pPr>
        <w:spacing w:line="360" w:lineRule="auto"/>
        <w:ind w:right="49"/>
        <w:jc w:val="both"/>
        <w:rPr>
          <w:rFonts w:ascii="Palatino Linotype" w:eastAsia="Palatino Linotype" w:hAnsi="Palatino Linotype" w:cs="Palatino Linotype"/>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Es por lo expuesto con anterioridad, que se colige que resultan</w:t>
      </w:r>
      <w:r>
        <w:rPr>
          <w:rFonts w:ascii="Palatino Linotype" w:eastAsia="Palatino Linotype" w:hAnsi="Palatino Linotype" w:cs="Palatino Linotype"/>
          <w:b/>
          <w:bCs/>
          <w:color w:val="000000"/>
          <w:sz w:val="24"/>
          <w:szCs w:val="24"/>
        </w:rPr>
        <w:t xml:space="preserve"> infundadas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las</w:t>
      </w:r>
      <w:r>
        <w:rPr>
          <w:rFonts w:ascii="Palatino Linotype" w:eastAsia="Palatino Linotype" w:hAnsi="Palatino Linotype" w:cs="Palatino Linotype"/>
          <w:color w:val="000000"/>
          <w:sz w:val="24"/>
          <w:szCs w:val="24"/>
        </w:rPr>
        <w:t xml:space="preserve"> razones o </w:t>
      </w:r>
      <w:r>
        <w:rPr>
          <w:rFonts w:ascii="Palatino Linotype" w:eastAsia="Palatino Linotype" w:hAnsi="Palatino Linotype" w:cs="Palatino Linotype"/>
          <w:sz w:val="24"/>
          <w:szCs w:val="24"/>
        </w:rPr>
        <w:t>motivos</w:t>
      </w:r>
      <w:r>
        <w:rPr>
          <w:rFonts w:ascii="Palatino Linotype" w:eastAsia="Palatino Linotype" w:hAnsi="Palatino Linotype" w:cs="Palatino Linotype"/>
          <w:color w:val="000000"/>
          <w:sz w:val="24"/>
          <w:szCs w:val="24"/>
        </w:rPr>
        <w:t xml:space="preserve"> de inconformidad hechos valer por </w:t>
      </w:r>
      <w:r>
        <w:rPr>
          <w:rFonts w:ascii="Palatino Linotype" w:eastAsia="Palatino Linotype" w:hAnsi="Palatino Linotype" w:cs="Palatino Linotype"/>
          <w:b/>
          <w:bCs/>
          <w:color w:val="000000"/>
          <w:sz w:val="24"/>
          <w:szCs w:val="24"/>
        </w:rPr>
        <w:t>EL RECURRENTE</w:t>
      </w:r>
      <w:r>
        <w:rPr>
          <w:rFonts w:ascii="Palatino Linotype" w:eastAsia="Palatino Linotype" w:hAnsi="Palatino Linotype" w:cs="Palatino Linotype"/>
          <w:color w:val="000000"/>
          <w:sz w:val="24"/>
          <w:szCs w:val="24"/>
        </w:rPr>
        <w:t xml:space="preserve"> en el recursos de revisión, por </w:t>
      </w:r>
      <w:r>
        <w:rPr>
          <w:rFonts w:ascii="Palatino Linotype" w:eastAsia="Palatino Linotype" w:hAnsi="Palatino Linotype" w:cs="Palatino Linotype"/>
          <w:sz w:val="24"/>
          <w:szCs w:val="24"/>
        </w:rPr>
        <w:t>ello,</w:t>
      </w:r>
      <w:r>
        <w:rPr>
          <w:rFonts w:ascii="Palatino Linotype" w:eastAsia="Palatino Linotype" w:hAnsi="Palatino Linotype" w:cs="Palatino Linotype"/>
          <w:color w:val="000000"/>
          <w:sz w:val="24"/>
          <w:szCs w:val="24"/>
        </w:rPr>
        <w:t xml:space="preserve"> con fundamento en el artículo 186, fracción II, de la Ley de Transparencia y </w:t>
      </w:r>
      <w:r>
        <w:rPr>
          <w:rFonts w:ascii="Palatino Linotype" w:eastAsia="Palatino Linotype" w:hAnsi="Palatino Linotype" w:cs="Palatino Linotype"/>
          <w:sz w:val="24"/>
          <w:szCs w:val="24"/>
        </w:rPr>
        <w:t>Acceso</w:t>
      </w:r>
      <w:r>
        <w:rPr>
          <w:rFonts w:ascii="Palatino Linotype" w:eastAsia="Palatino Linotype" w:hAnsi="Palatino Linotype" w:cs="Palatino Linotype"/>
          <w:color w:val="000000"/>
          <w:sz w:val="24"/>
          <w:szCs w:val="24"/>
        </w:rPr>
        <w:t xml:space="preserve"> a la </w:t>
      </w:r>
      <w:r>
        <w:rPr>
          <w:rFonts w:ascii="Palatino Linotype" w:eastAsia="Palatino Linotype" w:hAnsi="Palatino Linotype" w:cs="Palatino Linotype"/>
          <w:sz w:val="24"/>
          <w:szCs w:val="24"/>
        </w:rPr>
        <w:t>Información</w:t>
      </w:r>
      <w:r>
        <w:rPr>
          <w:rFonts w:ascii="Palatino Linotype" w:eastAsia="Palatino Linotype" w:hAnsi="Palatino Linotype" w:cs="Palatino Linotype"/>
          <w:color w:val="000000"/>
          <w:sz w:val="24"/>
          <w:szCs w:val="24"/>
        </w:rPr>
        <w:t xml:space="preserve"> Pública del Estado de México y Municipios, se </w:t>
      </w:r>
      <w:r>
        <w:rPr>
          <w:rFonts w:ascii="Palatino Linotype" w:eastAsia="Palatino Linotype" w:hAnsi="Palatino Linotype" w:cs="Palatino Linotype"/>
          <w:b/>
          <w:bCs/>
          <w:color w:val="000000"/>
          <w:sz w:val="24"/>
          <w:szCs w:val="24"/>
        </w:rPr>
        <w:t>CONFIRMA</w:t>
      </w:r>
      <w:r>
        <w:rPr>
          <w:rFonts w:ascii="Palatino Linotype" w:eastAsia="Palatino Linotype" w:hAnsi="Palatino Linotype" w:cs="Palatino Linotype"/>
          <w:color w:val="000000"/>
          <w:sz w:val="24"/>
          <w:szCs w:val="24"/>
        </w:rPr>
        <w:t xml:space="preserve"> la respuesta a las solicitud de información pública</w:t>
      </w:r>
      <w:r>
        <w:rPr>
          <w:rFonts w:ascii="Palatino Linotype" w:eastAsia="Palatino Linotype" w:hAnsi="Palatino Linotype" w:cs="Palatino Linotype"/>
          <w:b/>
          <w:bCs/>
          <w:color w:val="000000"/>
          <w:sz w:val="24"/>
          <w:szCs w:val="24"/>
        </w:rPr>
        <w:t xml:space="preserve">   00197/TECAMAC/IP/2025,</w:t>
      </w:r>
      <w:r>
        <w:rPr>
          <w:rFonts w:ascii="Palatino Linotype" w:eastAsia="Palatino Linotype" w:hAnsi="Palatino Linotype" w:cs="Palatino Linotype"/>
          <w:color w:val="000000"/>
          <w:sz w:val="24"/>
          <w:szCs w:val="24"/>
        </w:rPr>
        <w:t xml:space="preserve"> que ha sido materia del presente fallo.</w:t>
      </w:r>
    </w:p>
    <w:p w:rsidR="000366F8" w:rsidRDefault="000366F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p>
    <w:p w:rsidR="000366F8" w:rsidRDefault="006614E9">
      <w:pPr>
        <w:numPr>
          <w:ilvl w:val="0"/>
          <w:numId w:val="2"/>
        </w:numPr>
        <w:spacing w:line="360" w:lineRule="auto"/>
        <w:ind w:left="0" w:right="49" w:firstLine="0"/>
        <w:jc w:val="both"/>
        <w:rPr>
          <w:rFonts w:ascii="Palatino Linotype" w:eastAsia="Palatino Linotype" w:hAnsi="Palatino Linotype" w:cs="Palatino Linotype"/>
          <w:color w:val="000000"/>
          <w:sz w:val="24"/>
          <w:szCs w:val="24"/>
        </w:rPr>
      </w:pPr>
      <w:bookmarkStart w:id="10" w:name="_heading=h.gu4rkh93lhrq" w:colFirst="0" w:colLast="0"/>
      <w:bookmarkEnd w:id="10"/>
      <w:r>
        <w:rPr>
          <w:rFonts w:ascii="Palatino Linotype" w:eastAsia="Palatino Linotype" w:hAnsi="Palatino Linotype" w:cs="Palatino Linotype"/>
          <w:color w:val="000000"/>
          <w:sz w:val="24"/>
          <w:szCs w:val="24"/>
        </w:rPr>
        <w:t xml:space="preserve">Por lo anteriormente expuesto y fundado, este </w:t>
      </w:r>
      <w:r>
        <w:rPr>
          <w:rFonts w:ascii="Palatino Linotype" w:eastAsia="Palatino Linotype" w:hAnsi="Palatino Linotype" w:cs="Palatino Linotype"/>
          <w:b/>
          <w:bCs/>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rsidR="000366F8" w:rsidRDefault="000366F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rsidR="000366F8" w:rsidRDefault="006614E9">
      <w:pPr>
        <w:pStyle w:val="Ttulo1"/>
        <w:spacing w:before="0" w:line="360" w:lineRule="auto"/>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0366F8" w:rsidRDefault="000366F8">
      <w:pPr>
        <w:spacing w:line="360" w:lineRule="auto"/>
        <w:rPr>
          <w:rFonts w:ascii="Palatino Linotype" w:eastAsia="Palatino Linotype" w:hAnsi="Palatino Linotype" w:cs="Palatino Linotype"/>
          <w:sz w:val="24"/>
          <w:szCs w:val="24"/>
        </w:rPr>
      </w:pPr>
    </w:p>
    <w:p w:rsidR="000366F8" w:rsidRDefault="006614E9">
      <w:pPr>
        <w:tabs>
          <w:tab w:val="left" w:pos="8080"/>
        </w:tabs>
        <w:spacing w:line="360" w:lineRule="auto"/>
        <w:ind w:right="49"/>
        <w:jc w:val="both"/>
        <w:rPr>
          <w:rFonts w:ascii="Palatino Linotype" w:eastAsia="Palatino Linotype" w:hAnsi="Palatino Linotype" w:cs="Palatino Linotype"/>
          <w:sz w:val="24"/>
          <w:szCs w:val="24"/>
        </w:rPr>
      </w:pPr>
      <w:bookmarkStart w:id="11" w:name="_heading=h.um02opsf5unz" w:colFirst="0" w:colLast="0"/>
      <w:bookmarkEnd w:id="11"/>
      <w:r>
        <w:rPr>
          <w:rFonts w:ascii="Palatino Linotype" w:eastAsia="Palatino Linotype" w:hAnsi="Palatino Linotype" w:cs="Palatino Linotype"/>
          <w:b/>
          <w:bCs/>
          <w:sz w:val="24"/>
          <w:szCs w:val="24"/>
        </w:rPr>
        <w:t>PRIMERO</w:t>
      </w:r>
      <w:r>
        <w:rPr>
          <w:rFonts w:ascii="Palatino Linotype" w:eastAsia="Palatino Linotype" w:hAnsi="Palatino Linotype" w:cs="Palatino Linotype"/>
          <w:sz w:val="24"/>
          <w:szCs w:val="24"/>
        </w:rPr>
        <w:t xml:space="preserve">. Resultan infundadas las razones o motivos de inconformidad hechos valer en el recurso de revisión </w:t>
      </w:r>
      <w:r>
        <w:rPr>
          <w:rFonts w:ascii="Palatino Linotype" w:eastAsia="Palatino Linotype" w:hAnsi="Palatino Linotype" w:cs="Palatino Linotype"/>
          <w:b/>
          <w:bCs/>
          <w:sz w:val="24"/>
          <w:szCs w:val="24"/>
        </w:rPr>
        <w:t>08563/INFOEM/IP/RR/2025</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bCs/>
          <w:sz w:val="24"/>
          <w:szCs w:val="24"/>
        </w:rPr>
        <w:t>CUARTO</w:t>
      </w:r>
      <w:r>
        <w:rPr>
          <w:rFonts w:ascii="Palatino Linotype" w:eastAsia="Palatino Linotype" w:hAnsi="Palatino Linotype" w:cs="Palatino Linotype"/>
          <w:sz w:val="24"/>
          <w:szCs w:val="24"/>
        </w:rPr>
        <w:t xml:space="preserve"> de la presente resolución.</w:t>
      </w:r>
    </w:p>
    <w:p w:rsidR="000366F8" w:rsidRDefault="000366F8">
      <w:pPr>
        <w:tabs>
          <w:tab w:val="left" w:pos="8080"/>
        </w:tabs>
        <w:spacing w:line="360" w:lineRule="auto"/>
        <w:ind w:right="49"/>
        <w:jc w:val="both"/>
        <w:rPr>
          <w:rFonts w:ascii="Palatino Linotype" w:eastAsia="Palatino Linotype" w:hAnsi="Palatino Linotype" w:cs="Palatino Linotype"/>
          <w:sz w:val="24"/>
          <w:szCs w:val="24"/>
        </w:rPr>
      </w:pPr>
    </w:p>
    <w:p w:rsidR="000366F8" w:rsidRDefault="006614E9">
      <w:pPr>
        <w:tabs>
          <w:tab w:val="left" w:pos="8080"/>
        </w:tabs>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bCs/>
          <w:sz w:val="24"/>
          <w:szCs w:val="24"/>
        </w:rPr>
        <w:t>CONFIRMA</w:t>
      </w:r>
      <w:r>
        <w:rPr>
          <w:rFonts w:ascii="Palatino Linotype" w:eastAsia="Palatino Linotype" w:hAnsi="Palatino Linotype" w:cs="Palatino Linotype"/>
          <w:sz w:val="24"/>
          <w:szCs w:val="24"/>
        </w:rPr>
        <w:t xml:space="preserve"> la respuesta emitida por el </w:t>
      </w:r>
      <w:r>
        <w:rPr>
          <w:rFonts w:ascii="Palatino Linotype" w:eastAsia="Palatino Linotype" w:hAnsi="Palatino Linotype" w:cs="Palatino Linotype"/>
          <w:b/>
          <w:bCs/>
          <w:sz w:val="24"/>
          <w:szCs w:val="24"/>
        </w:rPr>
        <w:t xml:space="preserve">Ayuntamiento de Tecámac, </w:t>
      </w:r>
      <w:r w:rsidR="00C67F31">
        <w:rPr>
          <w:rFonts w:ascii="Palatino Linotype" w:eastAsia="Palatino Linotype" w:hAnsi="Palatino Linotype" w:cs="Palatino Linotype"/>
          <w:sz w:val="24"/>
          <w:szCs w:val="24"/>
        </w:rPr>
        <w:t>en la solicitud de información</w:t>
      </w:r>
      <w:r>
        <w:rPr>
          <w:rFonts w:ascii="Palatino Linotype" w:eastAsia="Palatino Linotype" w:hAnsi="Palatino Linotype" w:cs="Palatino Linotype"/>
          <w:b/>
          <w:bCs/>
          <w:sz w:val="24"/>
          <w:szCs w:val="24"/>
        </w:rPr>
        <w:t> 00197/TECAMAC/IP/2025.</w:t>
      </w:r>
    </w:p>
    <w:p w:rsidR="000366F8" w:rsidRDefault="000366F8">
      <w:pPr>
        <w:tabs>
          <w:tab w:val="left" w:pos="8080"/>
        </w:tabs>
        <w:spacing w:line="360" w:lineRule="auto"/>
        <w:ind w:right="49"/>
        <w:jc w:val="both"/>
        <w:rPr>
          <w:rFonts w:ascii="Palatino Linotype" w:eastAsia="Palatino Linotype" w:hAnsi="Palatino Linotype" w:cs="Palatino Linotype"/>
          <w:b/>
          <w:bCs/>
          <w:sz w:val="24"/>
          <w:szCs w:val="24"/>
        </w:rPr>
      </w:pPr>
    </w:p>
    <w:p w:rsidR="000366F8" w:rsidRDefault="006614E9">
      <w:pPr>
        <w:shd w:val="clear" w:color="auto" w:fill="FFFFFF"/>
        <w:spacing w:line="360" w:lineRule="auto"/>
        <w:jc w:val="both"/>
        <w:rPr>
          <w:rFonts w:ascii="Palatino Linotype" w:eastAsia="Palatino Linotype" w:hAnsi="Palatino Linotype" w:cs="Palatino Linotype"/>
          <w:sz w:val="24"/>
          <w:szCs w:val="24"/>
        </w:rPr>
      </w:pPr>
      <w:bookmarkStart w:id="12" w:name="_heading=h.7d8c5r6rlivn" w:colFirst="0" w:colLast="0"/>
      <w:bookmarkEnd w:id="12"/>
      <w:r>
        <w:rPr>
          <w:rFonts w:ascii="Palatino Linotype" w:eastAsia="Palatino Linotype" w:hAnsi="Palatino Linotype" w:cs="Palatino Linotype"/>
          <w:b/>
          <w:bCs/>
          <w:sz w:val="24"/>
          <w:szCs w:val="24"/>
        </w:rPr>
        <w:t>TERCERO.</w:t>
      </w:r>
      <w:r>
        <w:rPr>
          <w:rFonts w:ascii="Palatino Linotype" w:eastAsia="Palatino Linotype" w:hAnsi="Palatino Linotype" w:cs="Palatino Linotype"/>
          <w:sz w:val="24"/>
          <w:szCs w:val="24"/>
        </w:rPr>
        <w:t xml:space="preserve"> Notifíquese al Titular de la Unidad de Transparencia del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xml:space="preserve"> vía SAIMEX, para su conocimiento.</w:t>
      </w:r>
    </w:p>
    <w:p w:rsidR="000366F8" w:rsidRDefault="000366F8">
      <w:pPr>
        <w:shd w:val="clear" w:color="auto" w:fill="FFFFFF"/>
        <w:spacing w:line="360" w:lineRule="auto"/>
        <w:jc w:val="both"/>
        <w:rPr>
          <w:rFonts w:ascii="Palatino Linotype" w:eastAsia="Palatino Linotype" w:hAnsi="Palatino Linotype" w:cs="Palatino Linotype"/>
          <w:sz w:val="24"/>
          <w:szCs w:val="24"/>
        </w:rPr>
      </w:pPr>
    </w:p>
    <w:p w:rsidR="000366F8" w:rsidRDefault="006614E9">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CUARTO.</w:t>
      </w:r>
      <w:r>
        <w:rPr>
          <w:rFonts w:ascii="Palatino Linotype" w:eastAsia="Palatino Linotype" w:hAnsi="Palatino Linotype" w:cs="Palatino Linotype"/>
          <w:sz w:val="24"/>
          <w:szCs w:val="24"/>
        </w:rPr>
        <w:t xml:space="preserve"> Notifíquese a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la presente resolución vía SAIMEX.</w:t>
      </w:r>
    </w:p>
    <w:p w:rsidR="000366F8" w:rsidRDefault="006614E9">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lastRenderedPageBreak/>
        <w:t>QUINTO.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366F8" w:rsidRDefault="000366F8">
      <w:pPr>
        <w:shd w:val="clear" w:color="auto" w:fill="FFFFFF"/>
        <w:spacing w:line="360" w:lineRule="auto"/>
        <w:jc w:val="both"/>
        <w:rPr>
          <w:rFonts w:ascii="Palatino Linotype" w:eastAsia="Palatino Linotype" w:hAnsi="Palatino Linotype" w:cs="Palatino Linotype"/>
          <w:sz w:val="24"/>
          <w:szCs w:val="24"/>
        </w:rPr>
      </w:pPr>
    </w:p>
    <w:p w:rsidR="00C67F31" w:rsidRPr="00C67F31" w:rsidRDefault="00C67F31" w:rsidP="00C67F31">
      <w:pPr>
        <w:spacing w:before="240" w:after="240" w:line="360" w:lineRule="auto"/>
        <w:ind w:firstLine="1"/>
        <w:jc w:val="both"/>
        <w:rPr>
          <w:rFonts w:ascii="Palatino Linotype" w:hAnsi="Palatino Linotype"/>
          <w:sz w:val="24"/>
        </w:rPr>
      </w:pPr>
      <w:bookmarkStart w:id="13" w:name="_Hlk99014733"/>
      <w:r w:rsidRPr="00C67F31">
        <w:rPr>
          <w:rFonts w:ascii="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C67F31">
        <w:rPr>
          <w:rFonts w:ascii="Palatino Linotype" w:hAnsi="Palatino Linotype" w:cs="Palatino Linotype"/>
          <w:color w:val="000000" w:themeColor="text1"/>
          <w:sz w:val="24"/>
        </w:rPr>
        <w:t>ALEXIS TAPIA RAMÍREZ.</w:t>
      </w:r>
    </w:p>
    <w:bookmarkEnd w:id="13"/>
    <w:p w:rsidR="000366F8" w:rsidRDefault="000366F8"/>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p w:rsidR="00DE1ECC" w:rsidRDefault="00DE1ECC"/>
    <w:sectPr w:rsidR="00DE1ECC" w:rsidSect="00EA4BD2">
      <w:headerReference w:type="even" r:id="rId10"/>
      <w:headerReference w:type="default" r:id="rId11"/>
      <w:footerReference w:type="default" r:id="rId12"/>
      <w:headerReference w:type="first" r:id="rId13"/>
      <w:footerReference w:type="first" r:id="rId14"/>
      <w:pgSz w:w="12240" w:h="15840"/>
      <w:pgMar w:top="80" w:right="75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69C" w:rsidRDefault="00F0369C">
      <w:r>
        <w:separator/>
      </w:r>
    </w:p>
  </w:endnote>
  <w:endnote w:type="continuationSeparator" w:id="0">
    <w:p w:rsidR="00F0369C" w:rsidRDefault="00F0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5A711B4-2414-4933-B14D-E553F9125D3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1EB4F9B-5796-4509-A3BB-E404DD0DCD36}"/>
    <w:embedBold r:id="rId3" w:fontKey="{F021DD90-F49A-42B0-87A4-3395FC39A61F}"/>
    <w:embedItalic r:id="rId4" w:fontKey="{4A46CA47-7FEB-4BE2-8D2B-7E7F73C9DE1C}"/>
    <w:embedBoldItalic r:id="rId5" w:fontKey="{C290ADD0-5A56-470E-A97F-BDB1B65D7672}"/>
  </w:font>
  <w:font w:name="Calibri">
    <w:panose1 w:val="020F0502020204030204"/>
    <w:charset w:val="00"/>
    <w:family w:val="swiss"/>
    <w:pitch w:val="variable"/>
    <w:sig w:usb0="E4002EFF" w:usb1="C200247B" w:usb2="00000009" w:usb3="00000000" w:csb0="000001FF" w:csb1="00000000"/>
    <w:embedRegular r:id="rId6" w:fontKey="{30E4053E-65D9-411B-9F1D-40869A30526D}"/>
  </w:font>
  <w:font w:name="Calibri Light">
    <w:panose1 w:val="020F0302020204030204"/>
    <w:charset w:val="00"/>
    <w:family w:val="swiss"/>
    <w:pitch w:val="variable"/>
    <w:sig w:usb0="E4002EFF" w:usb1="C200247B" w:usb2="00000009" w:usb3="00000000" w:csb0="000001FF" w:csb1="00000000"/>
    <w:embedRegular r:id="rId7" w:fontKey="{5DE063FA-CE84-4D3F-BA9B-745E0457E37F}"/>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8" w:fontKey="{B9B6768E-488B-482B-8232-02EA924FDF54}"/>
  </w:font>
  <w:font w:name="Georgia">
    <w:panose1 w:val="02040502050405020303"/>
    <w:charset w:val="00"/>
    <w:family w:val="roman"/>
    <w:pitch w:val="variable"/>
    <w:sig w:usb0="00000287" w:usb1="00000000" w:usb2="00000000" w:usb3="00000000" w:csb0="0000009F" w:csb1="00000000"/>
    <w:embedItalic r:id="rId9" w:fontKey="{17BBD1D5-80BD-4F27-A4C3-0E3F09697B1D}"/>
  </w:font>
  <w:font w:name="Garamond">
    <w:panose1 w:val="02020404030301010803"/>
    <w:charset w:val="00"/>
    <w:family w:val="roman"/>
    <w:pitch w:val="variable"/>
    <w:sig w:usb0="00000287" w:usb1="00000000" w:usb2="00000000" w:usb3="00000000" w:csb0="0000009F" w:csb1="00000000"/>
    <w:embedRegular r:id="rId10" w:fontKey="{A54C7F32-62BE-4E90-B111-0184E2A960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F8" w:rsidRDefault="000366F8">
    <w:pPr>
      <w:pBdr>
        <w:top w:val="nil"/>
        <w:left w:val="nil"/>
        <w:bottom w:val="nil"/>
        <w:right w:val="nil"/>
        <w:between w:val="nil"/>
      </w:pBdr>
      <w:tabs>
        <w:tab w:val="center" w:pos="4419"/>
        <w:tab w:val="right" w:pos="8838"/>
      </w:tabs>
      <w:jc w:val="right"/>
      <w:rPr>
        <w:color w:val="000000"/>
      </w:rPr>
    </w:pPr>
  </w:p>
  <w:p w:rsidR="000366F8" w:rsidRPr="00EA4BD2" w:rsidRDefault="006614E9">
    <w:pPr>
      <w:pBdr>
        <w:top w:val="nil"/>
        <w:left w:val="nil"/>
        <w:bottom w:val="nil"/>
        <w:right w:val="nil"/>
        <w:between w:val="nil"/>
      </w:pBdr>
      <w:tabs>
        <w:tab w:val="center" w:pos="4419"/>
        <w:tab w:val="right" w:pos="8838"/>
      </w:tabs>
      <w:jc w:val="right"/>
      <w:rPr>
        <w:rFonts w:ascii="Palatino Linotype" w:hAnsi="Palatino Linotype"/>
        <w:b/>
        <w:color w:val="000000"/>
        <w:sz w:val="22"/>
        <w:szCs w:val="22"/>
      </w:rPr>
    </w:pPr>
    <w:r w:rsidRPr="00EA4BD2">
      <w:rPr>
        <w:rFonts w:ascii="Palatino Linotype" w:hAnsi="Palatino Linotype"/>
        <w:b/>
        <w:color w:val="000000"/>
        <w:sz w:val="22"/>
        <w:szCs w:val="22"/>
      </w:rPr>
      <w:t xml:space="preserve">Página </w:t>
    </w:r>
    <w:r w:rsidRPr="00EA4BD2">
      <w:rPr>
        <w:rFonts w:ascii="Palatino Linotype" w:hAnsi="Palatino Linotype"/>
        <w:b/>
        <w:bCs/>
        <w:color w:val="000000"/>
        <w:sz w:val="22"/>
        <w:szCs w:val="22"/>
      </w:rPr>
      <w:fldChar w:fldCharType="begin"/>
    </w:r>
    <w:r w:rsidRPr="00EA4BD2">
      <w:rPr>
        <w:rFonts w:ascii="Palatino Linotype" w:hAnsi="Palatino Linotype"/>
        <w:b/>
        <w:bCs/>
        <w:color w:val="000000"/>
        <w:sz w:val="22"/>
        <w:szCs w:val="22"/>
      </w:rPr>
      <w:instrText>PAGE</w:instrText>
    </w:r>
    <w:r w:rsidRPr="00EA4BD2">
      <w:rPr>
        <w:rFonts w:ascii="Palatino Linotype" w:hAnsi="Palatino Linotype"/>
        <w:b/>
        <w:bCs/>
        <w:color w:val="000000"/>
        <w:sz w:val="22"/>
        <w:szCs w:val="22"/>
      </w:rPr>
      <w:fldChar w:fldCharType="separate"/>
    </w:r>
    <w:r w:rsidR="00DF34C1">
      <w:rPr>
        <w:rFonts w:ascii="Palatino Linotype" w:hAnsi="Palatino Linotype"/>
        <w:b/>
        <w:bCs/>
        <w:noProof/>
        <w:color w:val="000000"/>
        <w:sz w:val="22"/>
        <w:szCs w:val="22"/>
      </w:rPr>
      <w:t>21</w:t>
    </w:r>
    <w:r w:rsidRPr="00EA4BD2">
      <w:rPr>
        <w:rFonts w:ascii="Palatino Linotype" w:hAnsi="Palatino Linotype"/>
        <w:b/>
        <w:bCs/>
        <w:color w:val="000000"/>
        <w:sz w:val="22"/>
        <w:szCs w:val="22"/>
      </w:rPr>
      <w:fldChar w:fldCharType="end"/>
    </w:r>
    <w:r w:rsidRPr="00EA4BD2">
      <w:rPr>
        <w:rFonts w:ascii="Palatino Linotype" w:hAnsi="Palatino Linotype"/>
        <w:b/>
        <w:color w:val="000000"/>
        <w:sz w:val="22"/>
        <w:szCs w:val="22"/>
      </w:rPr>
      <w:t xml:space="preserve"> de </w:t>
    </w:r>
    <w:r w:rsidRPr="00EA4BD2">
      <w:rPr>
        <w:rFonts w:ascii="Palatino Linotype" w:hAnsi="Palatino Linotype"/>
        <w:b/>
        <w:bCs/>
        <w:color w:val="000000"/>
        <w:sz w:val="22"/>
        <w:szCs w:val="22"/>
      </w:rPr>
      <w:fldChar w:fldCharType="begin"/>
    </w:r>
    <w:r w:rsidRPr="00EA4BD2">
      <w:rPr>
        <w:rFonts w:ascii="Palatino Linotype" w:hAnsi="Palatino Linotype"/>
        <w:b/>
        <w:bCs/>
        <w:color w:val="000000"/>
        <w:sz w:val="22"/>
        <w:szCs w:val="22"/>
      </w:rPr>
      <w:instrText>NUMPAGES</w:instrText>
    </w:r>
    <w:r w:rsidRPr="00EA4BD2">
      <w:rPr>
        <w:rFonts w:ascii="Palatino Linotype" w:hAnsi="Palatino Linotype"/>
        <w:b/>
        <w:bCs/>
        <w:color w:val="000000"/>
        <w:sz w:val="22"/>
        <w:szCs w:val="22"/>
      </w:rPr>
      <w:fldChar w:fldCharType="separate"/>
    </w:r>
    <w:r w:rsidR="00DF34C1">
      <w:rPr>
        <w:rFonts w:ascii="Palatino Linotype" w:hAnsi="Palatino Linotype"/>
        <w:b/>
        <w:bCs/>
        <w:noProof/>
        <w:color w:val="000000"/>
        <w:sz w:val="22"/>
        <w:szCs w:val="22"/>
      </w:rPr>
      <w:t>23</w:t>
    </w:r>
    <w:r w:rsidRPr="00EA4BD2">
      <w:rPr>
        <w:rFonts w:ascii="Palatino Linotype" w:hAnsi="Palatino Linotype"/>
        <w:b/>
        <w:bCs/>
        <w:color w:val="000000"/>
        <w:sz w:val="22"/>
        <w:szCs w:val="22"/>
      </w:rPr>
      <w:fldChar w:fldCharType="end"/>
    </w:r>
  </w:p>
  <w:p w:rsidR="000366F8" w:rsidRDefault="000366F8">
    <w:pPr>
      <w:pBdr>
        <w:top w:val="nil"/>
        <w:left w:val="nil"/>
        <w:bottom w:val="nil"/>
        <w:right w:val="nil"/>
        <w:between w:val="nil"/>
      </w:pBdr>
      <w:tabs>
        <w:tab w:val="center" w:pos="4419"/>
        <w:tab w:val="right" w:pos="8838"/>
      </w:tabs>
      <w:rPr>
        <w:color w:val="000000"/>
      </w:rPr>
    </w:pPr>
  </w:p>
  <w:p w:rsidR="000366F8" w:rsidRDefault="000366F8"/>
  <w:p w:rsidR="000366F8" w:rsidRDefault="000366F8"/>
  <w:p w:rsidR="000366F8" w:rsidRDefault="000366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F8" w:rsidRPr="00EA4BD2" w:rsidRDefault="006614E9">
    <w:pPr>
      <w:pBdr>
        <w:top w:val="nil"/>
        <w:left w:val="nil"/>
        <w:bottom w:val="nil"/>
        <w:right w:val="nil"/>
        <w:between w:val="nil"/>
      </w:pBdr>
      <w:tabs>
        <w:tab w:val="center" w:pos="4419"/>
        <w:tab w:val="right" w:pos="8838"/>
      </w:tabs>
      <w:jc w:val="right"/>
      <w:rPr>
        <w:rFonts w:ascii="Palatino Linotype" w:hAnsi="Palatino Linotype"/>
        <w:b/>
        <w:color w:val="000000"/>
        <w:sz w:val="22"/>
        <w:szCs w:val="22"/>
      </w:rPr>
    </w:pPr>
    <w:r w:rsidRPr="00EA4BD2">
      <w:rPr>
        <w:rFonts w:ascii="Palatino Linotype" w:hAnsi="Palatino Linotype"/>
        <w:b/>
        <w:color w:val="000000"/>
        <w:sz w:val="22"/>
        <w:szCs w:val="22"/>
      </w:rPr>
      <w:t xml:space="preserve">Página </w:t>
    </w:r>
    <w:r w:rsidRPr="00EA4BD2">
      <w:rPr>
        <w:rFonts w:ascii="Palatino Linotype" w:hAnsi="Palatino Linotype"/>
        <w:b/>
        <w:bCs/>
        <w:color w:val="000000"/>
        <w:sz w:val="22"/>
        <w:szCs w:val="22"/>
      </w:rPr>
      <w:fldChar w:fldCharType="begin"/>
    </w:r>
    <w:r w:rsidRPr="00EA4BD2">
      <w:rPr>
        <w:rFonts w:ascii="Palatino Linotype" w:hAnsi="Palatino Linotype"/>
        <w:b/>
        <w:bCs/>
        <w:color w:val="000000"/>
        <w:sz w:val="22"/>
        <w:szCs w:val="22"/>
      </w:rPr>
      <w:instrText>PAGE</w:instrText>
    </w:r>
    <w:r w:rsidRPr="00EA4BD2">
      <w:rPr>
        <w:rFonts w:ascii="Palatino Linotype" w:hAnsi="Palatino Linotype"/>
        <w:b/>
        <w:bCs/>
        <w:color w:val="000000"/>
        <w:sz w:val="22"/>
        <w:szCs w:val="22"/>
      </w:rPr>
      <w:fldChar w:fldCharType="separate"/>
    </w:r>
    <w:r w:rsidR="00DF34C1">
      <w:rPr>
        <w:rFonts w:ascii="Palatino Linotype" w:hAnsi="Palatino Linotype"/>
        <w:b/>
        <w:bCs/>
        <w:noProof/>
        <w:color w:val="000000"/>
        <w:sz w:val="22"/>
        <w:szCs w:val="22"/>
      </w:rPr>
      <w:t>1</w:t>
    </w:r>
    <w:r w:rsidRPr="00EA4BD2">
      <w:rPr>
        <w:rFonts w:ascii="Palatino Linotype" w:hAnsi="Palatino Linotype"/>
        <w:b/>
        <w:bCs/>
        <w:color w:val="000000"/>
        <w:sz w:val="22"/>
        <w:szCs w:val="22"/>
      </w:rPr>
      <w:fldChar w:fldCharType="end"/>
    </w:r>
    <w:r w:rsidRPr="00EA4BD2">
      <w:rPr>
        <w:rFonts w:ascii="Palatino Linotype" w:hAnsi="Palatino Linotype"/>
        <w:b/>
        <w:color w:val="000000"/>
        <w:sz w:val="22"/>
        <w:szCs w:val="22"/>
      </w:rPr>
      <w:t xml:space="preserve"> de </w:t>
    </w:r>
    <w:r w:rsidRPr="00EA4BD2">
      <w:rPr>
        <w:rFonts w:ascii="Palatino Linotype" w:hAnsi="Palatino Linotype"/>
        <w:b/>
        <w:bCs/>
        <w:color w:val="000000"/>
        <w:sz w:val="22"/>
        <w:szCs w:val="22"/>
      </w:rPr>
      <w:fldChar w:fldCharType="begin"/>
    </w:r>
    <w:r w:rsidRPr="00EA4BD2">
      <w:rPr>
        <w:rFonts w:ascii="Palatino Linotype" w:hAnsi="Palatino Linotype"/>
        <w:b/>
        <w:bCs/>
        <w:color w:val="000000"/>
        <w:sz w:val="22"/>
        <w:szCs w:val="22"/>
      </w:rPr>
      <w:instrText>NUMPAGES</w:instrText>
    </w:r>
    <w:r w:rsidRPr="00EA4BD2">
      <w:rPr>
        <w:rFonts w:ascii="Palatino Linotype" w:hAnsi="Palatino Linotype"/>
        <w:b/>
        <w:bCs/>
        <w:color w:val="000000"/>
        <w:sz w:val="22"/>
        <w:szCs w:val="22"/>
      </w:rPr>
      <w:fldChar w:fldCharType="separate"/>
    </w:r>
    <w:r w:rsidR="00DF34C1">
      <w:rPr>
        <w:rFonts w:ascii="Palatino Linotype" w:hAnsi="Palatino Linotype"/>
        <w:b/>
        <w:bCs/>
        <w:noProof/>
        <w:color w:val="000000"/>
        <w:sz w:val="22"/>
        <w:szCs w:val="22"/>
      </w:rPr>
      <w:t>23</w:t>
    </w:r>
    <w:r w:rsidRPr="00EA4BD2">
      <w:rPr>
        <w:rFonts w:ascii="Palatino Linotype" w:hAnsi="Palatino Linotype"/>
        <w:b/>
        <w:bCs/>
        <w:color w:val="000000"/>
        <w:sz w:val="22"/>
        <w:szCs w:val="22"/>
      </w:rPr>
      <w:fldChar w:fldCharType="end"/>
    </w:r>
  </w:p>
  <w:p w:rsidR="000366F8" w:rsidRDefault="000366F8">
    <w:pPr>
      <w:pBdr>
        <w:top w:val="nil"/>
        <w:left w:val="nil"/>
        <w:bottom w:val="nil"/>
        <w:right w:val="nil"/>
        <w:between w:val="nil"/>
      </w:pBdr>
      <w:tabs>
        <w:tab w:val="center" w:pos="4419"/>
        <w:tab w:val="right" w:pos="8838"/>
      </w:tabs>
      <w:rPr>
        <w:color w:val="000000"/>
      </w:rPr>
    </w:pPr>
  </w:p>
  <w:p w:rsidR="000366F8" w:rsidRDefault="000366F8"/>
  <w:p w:rsidR="000366F8" w:rsidRDefault="000366F8"/>
  <w:p w:rsidR="000366F8" w:rsidRDefault="000366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69C" w:rsidRDefault="00F0369C">
      <w:r>
        <w:separator/>
      </w:r>
    </w:p>
  </w:footnote>
  <w:footnote w:type="continuationSeparator" w:id="0">
    <w:p w:rsidR="00F0369C" w:rsidRDefault="00F03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F8" w:rsidRDefault="00F0369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63.5pt;height:12in;z-index:-251657728;mso-position-horizontal:center;mso-position-horizontal-relative:margin;mso-position-vertical:center;mso-position-vertical-relative:margin">
          <v:imagedata r:id="rId1" o:title="image3"/>
          <w10:wrap anchorx="margin" anchory="margin"/>
        </v:shape>
      </w:pict>
    </w:r>
  </w:p>
  <w:p w:rsidR="000366F8" w:rsidRDefault="000366F8"/>
  <w:p w:rsidR="000366F8" w:rsidRDefault="000366F8"/>
  <w:p w:rsidR="000366F8" w:rsidRDefault="000366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9923" w:type="dxa"/>
      <w:tblInd w:w="0" w:type="dxa"/>
      <w:tblLayout w:type="fixed"/>
      <w:tblLook w:val="0400" w:firstRow="0" w:lastRow="0" w:firstColumn="0" w:lastColumn="0" w:noHBand="0" w:noVBand="1"/>
    </w:tblPr>
    <w:tblGrid>
      <w:gridCol w:w="1843"/>
      <w:gridCol w:w="8080"/>
    </w:tblGrid>
    <w:tr w:rsidR="000366F8" w:rsidTr="00EA4BD2">
      <w:trPr>
        <w:trHeight w:val="1435"/>
      </w:trPr>
      <w:tc>
        <w:tcPr>
          <w:tcW w:w="1843" w:type="dxa"/>
          <w:shd w:val="clear" w:color="auto" w:fill="auto"/>
        </w:tcPr>
        <w:p w:rsidR="000366F8" w:rsidRDefault="006614E9">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080" w:type="dxa"/>
          <w:shd w:val="clear" w:color="auto" w:fill="auto"/>
        </w:tcPr>
        <w:tbl>
          <w:tblPr>
            <w:tblStyle w:val="a0"/>
            <w:tblW w:w="5945"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685"/>
            <w:gridCol w:w="3260"/>
          </w:tblGrid>
          <w:tr w:rsidR="000366F8" w:rsidTr="00EA4BD2">
            <w:trPr>
              <w:trHeight w:val="338"/>
            </w:trPr>
            <w:tc>
              <w:tcPr>
                <w:tcW w:w="2685" w:type="dxa"/>
              </w:tcPr>
              <w:p w:rsidR="000366F8" w:rsidRPr="00EA4BD2" w:rsidRDefault="006614E9">
                <w:pPr>
                  <w:tabs>
                    <w:tab w:val="right" w:pos="8838"/>
                  </w:tabs>
                  <w:ind w:right="-105"/>
                  <w:rPr>
                    <w:rFonts w:ascii="Palatino Linotype" w:eastAsia="Palatino Linotype" w:hAnsi="Palatino Linotype" w:cs="Palatino Linotype"/>
                    <w:b/>
                    <w:bCs/>
                    <w:sz w:val="24"/>
                    <w:szCs w:val="22"/>
                  </w:rPr>
                </w:pPr>
                <w:r w:rsidRPr="00EA4BD2">
                  <w:rPr>
                    <w:rFonts w:ascii="Palatino Linotype" w:eastAsia="Palatino Linotype" w:hAnsi="Palatino Linotype" w:cs="Palatino Linotype"/>
                    <w:b/>
                    <w:bCs/>
                    <w:sz w:val="24"/>
                    <w:szCs w:val="22"/>
                  </w:rPr>
                  <w:t>Recurso de Revisión:</w:t>
                </w:r>
              </w:p>
            </w:tc>
            <w:tc>
              <w:tcPr>
                <w:tcW w:w="3260" w:type="dxa"/>
              </w:tcPr>
              <w:p w:rsidR="000366F8" w:rsidRPr="00EA4BD2" w:rsidRDefault="006614E9" w:rsidP="00EA4BD2">
                <w:pPr>
                  <w:tabs>
                    <w:tab w:val="right" w:pos="8838"/>
                  </w:tabs>
                  <w:ind w:right="-105"/>
                  <w:rPr>
                    <w:rFonts w:ascii="Palatino Linotype" w:eastAsia="Palatino Linotype" w:hAnsi="Palatino Linotype" w:cs="Palatino Linotype"/>
                    <w:bCs/>
                    <w:sz w:val="24"/>
                    <w:szCs w:val="22"/>
                  </w:rPr>
                </w:pPr>
                <w:r w:rsidRPr="00EA4BD2">
                  <w:rPr>
                    <w:rFonts w:ascii="Palatino Linotype" w:eastAsia="Palatino Linotype" w:hAnsi="Palatino Linotype" w:cs="Palatino Linotype"/>
                    <w:bCs/>
                    <w:sz w:val="24"/>
                    <w:szCs w:val="22"/>
                  </w:rPr>
                  <w:t>08563/INFOEM/IP/RR/2025</w:t>
                </w:r>
              </w:p>
            </w:tc>
          </w:tr>
          <w:tr w:rsidR="000366F8" w:rsidTr="00EA4BD2">
            <w:trPr>
              <w:trHeight w:val="283"/>
            </w:trPr>
            <w:tc>
              <w:tcPr>
                <w:tcW w:w="2685" w:type="dxa"/>
              </w:tcPr>
              <w:p w:rsidR="000366F8" w:rsidRPr="00EA4BD2" w:rsidRDefault="006614E9">
                <w:pPr>
                  <w:tabs>
                    <w:tab w:val="right" w:pos="8838"/>
                  </w:tabs>
                  <w:ind w:right="-105"/>
                  <w:rPr>
                    <w:rFonts w:ascii="Palatino Linotype" w:eastAsia="Palatino Linotype" w:hAnsi="Palatino Linotype" w:cs="Palatino Linotype"/>
                    <w:b/>
                    <w:bCs/>
                    <w:sz w:val="24"/>
                    <w:szCs w:val="22"/>
                  </w:rPr>
                </w:pPr>
                <w:bookmarkStart w:id="14" w:name="_heading=h.bq5zeqx77hi" w:colFirst="0" w:colLast="0"/>
                <w:bookmarkEnd w:id="14"/>
                <w:r w:rsidRPr="00EA4BD2">
                  <w:rPr>
                    <w:rFonts w:ascii="Palatino Linotype" w:eastAsia="Palatino Linotype" w:hAnsi="Palatino Linotype" w:cs="Palatino Linotype"/>
                    <w:b/>
                    <w:bCs/>
                    <w:sz w:val="24"/>
                    <w:szCs w:val="22"/>
                  </w:rPr>
                  <w:t>Sujeto Obligado:</w:t>
                </w:r>
              </w:p>
            </w:tc>
            <w:tc>
              <w:tcPr>
                <w:tcW w:w="3260" w:type="dxa"/>
              </w:tcPr>
              <w:p w:rsidR="000366F8" w:rsidRPr="00EA4BD2" w:rsidRDefault="006614E9" w:rsidP="00EA4BD2">
                <w:pPr>
                  <w:tabs>
                    <w:tab w:val="left" w:pos="2834"/>
                    <w:tab w:val="right" w:pos="8838"/>
                  </w:tabs>
                  <w:ind w:right="-107"/>
                  <w:rPr>
                    <w:rFonts w:ascii="Palatino Linotype" w:eastAsia="Palatino Linotype" w:hAnsi="Palatino Linotype" w:cs="Palatino Linotype"/>
                    <w:bCs/>
                    <w:color w:val="000000"/>
                    <w:sz w:val="24"/>
                    <w:szCs w:val="22"/>
                  </w:rPr>
                </w:pPr>
                <w:r w:rsidRPr="00EA4BD2">
                  <w:rPr>
                    <w:rFonts w:ascii="Palatino Linotype" w:eastAsia="Palatino Linotype" w:hAnsi="Palatino Linotype" w:cs="Palatino Linotype"/>
                    <w:bCs/>
                    <w:color w:val="000000"/>
                    <w:sz w:val="24"/>
                    <w:szCs w:val="22"/>
                  </w:rPr>
                  <w:t>Ayuntamiento de Tecámac</w:t>
                </w:r>
              </w:p>
            </w:tc>
          </w:tr>
          <w:tr w:rsidR="000366F8" w:rsidTr="00EA4BD2">
            <w:trPr>
              <w:trHeight w:val="283"/>
            </w:trPr>
            <w:tc>
              <w:tcPr>
                <w:tcW w:w="2685" w:type="dxa"/>
              </w:tcPr>
              <w:p w:rsidR="000366F8" w:rsidRPr="00EA4BD2" w:rsidRDefault="006614E9">
                <w:pPr>
                  <w:tabs>
                    <w:tab w:val="right" w:pos="8838"/>
                  </w:tabs>
                  <w:ind w:right="-105"/>
                  <w:rPr>
                    <w:rFonts w:ascii="Palatino Linotype" w:eastAsia="Palatino Linotype" w:hAnsi="Palatino Linotype" w:cs="Palatino Linotype"/>
                    <w:b/>
                    <w:bCs/>
                    <w:sz w:val="24"/>
                    <w:szCs w:val="22"/>
                  </w:rPr>
                </w:pPr>
                <w:r w:rsidRPr="00EA4BD2">
                  <w:rPr>
                    <w:rFonts w:ascii="Palatino Linotype" w:eastAsia="Palatino Linotype" w:hAnsi="Palatino Linotype" w:cs="Palatino Linotype"/>
                    <w:b/>
                    <w:bCs/>
                    <w:sz w:val="24"/>
                    <w:szCs w:val="22"/>
                  </w:rPr>
                  <w:t>Comisionada Ponente:</w:t>
                </w:r>
              </w:p>
            </w:tc>
            <w:tc>
              <w:tcPr>
                <w:tcW w:w="3260" w:type="dxa"/>
              </w:tcPr>
              <w:p w:rsidR="000366F8" w:rsidRPr="00EA4BD2" w:rsidRDefault="006614E9" w:rsidP="00EA4BD2">
                <w:pPr>
                  <w:tabs>
                    <w:tab w:val="right" w:pos="8838"/>
                  </w:tabs>
                  <w:ind w:left="-113" w:right="-105"/>
                  <w:rPr>
                    <w:rFonts w:ascii="Palatino Linotype" w:eastAsia="Palatino Linotype" w:hAnsi="Palatino Linotype" w:cs="Palatino Linotype"/>
                    <w:bCs/>
                    <w:sz w:val="24"/>
                    <w:szCs w:val="22"/>
                  </w:rPr>
                </w:pPr>
                <w:r w:rsidRPr="00EA4BD2">
                  <w:rPr>
                    <w:rFonts w:ascii="Palatino Linotype" w:eastAsia="Palatino Linotype" w:hAnsi="Palatino Linotype" w:cs="Palatino Linotype"/>
                    <w:bCs/>
                    <w:sz w:val="24"/>
                    <w:szCs w:val="22"/>
                  </w:rPr>
                  <w:t>María del Rosario Mejía Ayala</w:t>
                </w:r>
              </w:p>
            </w:tc>
          </w:tr>
        </w:tbl>
        <w:p w:rsidR="000366F8" w:rsidRDefault="000366F8">
          <w:pPr>
            <w:tabs>
              <w:tab w:val="right" w:pos="8838"/>
            </w:tabs>
            <w:ind w:left="-28"/>
            <w:jc w:val="both"/>
            <w:rPr>
              <w:rFonts w:ascii="Arial" w:eastAsia="Arial" w:hAnsi="Arial" w:cs="Arial"/>
              <w:b/>
              <w:bCs/>
              <w:sz w:val="22"/>
              <w:szCs w:val="22"/>
            </w:rPr>
          </w:pPr>
        </w:p>
      </w:tc>
    </w:tr>
  </w:tbl>
  <w:p w:rsidR="000366F8" w:rsidRDefault="00F0369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9.6pt;margin-top:-124.3pt;width:663.5pt;height:12in;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348" w:type="dxa"/>
      <w:tblInd w:w="0" w:type="dxa"/>
      <w:tblLayout w:type="fixed"/>
      <w:tblLook w:val="0400" w:firstRow="0" w:lastRow="0" w:firstColumn="0" w:lastColumn="0" w:noHBand="0" w:noVBand="1"/>
    </w:tblPr>
    <w:tblGrid>
      <w:gridCol w:w="1560"/>
      <w:gridCol w:w="8788"/>
    </w:tblGrid>
    <w:tr w:rsidR="000366F8" w:rsidTr="00EA4BD2">
      <w:trPr>
        <w:trHeight w:val="1435"/>
      </w:trPr>
      <w:tc>
        <w:tcPr>
          <w:tcW w:w="1560" w:type="dxa"/>
          <w:shd w:val="clear" w:color="auto" w:fill="auto"/>
        </w:tcPr>
        <w:p w:rsidR="000366F8" w:rsidRDefault="000366F8">
          <w:pPr>
            <w:tabs>
              <w:tab w:val="right" w:pos="4273"/>
            </w:tabs>
            <w:rPr>
              <w:rFonts w:ascii="Garamond" w:eastAsia="Garamond" w:hAnsi="Garamond" w:cs="Garamond"/>
              <w:sz w:val="22"/>
              <w:szCs w:val="22"/>
            </w:rPr>
          </w:pPr>
        </w:p>
      </w:tc>
      <w:tc>
        <w:tcPr>
          <w:tcW w:w="8788" w:type="dxa"/>
          <w:shd w:val="clear" w:color="auto" w:fill="auto"/>
        </w:tcPr>
        <w:tbl>
          <w:tblPr>
            <w:tblStyle w:val="a2"/>
            <w:tblW w:w="10057"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967"/>
            <w:gridCol w:w="4111"/>
            <w:gridCol w:w="2979"/>
          </w:tblGrid>
          <w:tr w:rsidR="000366F8" w:rsidTr="00EA4BD2">
            <w:trPr>
              <w:trHeight w:val="144"/>
            </w:trPr>
            <w:tc>
              <w:tcPr>
                <w:tcW w:w="2967" w:type="dxa"/>
              </w:tcPr>
              <w:p w:rsidR="000366F8" w:rsidRPr="00EA4BD2" w:rsidRDefault="006614E9">
                <w:pPr>
                  <w:tabs>
                    <w:tab w:val="right" w:pos="8838"/>
                  </w:tabs>
                  <w:ind w:left="-74" w:right="-105"/>
                  <w:rPr>
                    <w:rFonts w:ascii="Palatino Linotype" w:eastAsia="Palatino Linotype" w:hAnsi="Palatino Linotype" w:cs="Palatino Linotype"/>
                    <w:b/>
                    <w:bCs/>
                    <w:sz w:val="24"/>
                    <w:szCs w:val="24"/>
                  </w:rPr>
                </w:pPr>
                <w:bookmarkStart w:id="15" w:name="_heading=h.xztzuuutv0rs" w:colFirst="0" w:colLast="0"/>
                <w:bookmarkEnd w:id="15"/>
                <w:r w:rsidRPr="00EA4BD2">
                  <w:rPr>
                    <w:rFonts w:ascii="Palatino Linotype" w:eastAsia="Palatino Linotype" w:hAnsi="Palatino Linotype" w:cs="Palatino Linotype"/>
                    <w:b/>
                    <w:bCs/>
                    <w:sz w:val="24"/>
                    <w:szCs w:val="24"/>
                  </w:rPr>
                  <w:t>Recurso de Revisión:</w:t>
                </w:r>
              </w:p>
            </w:tc>
            <w:tc>
              <w:tcPr>
                <w:tcW w:w="4111" w:type="dxa"/>
              </w:tcPr>
              <w:p w:rsidR="000366F8" w:rsidRPr="00EA4BD2" w:rsidRDefault="006614E9">
                <w:pPr>
                  <w:tabs>
                    <w:tab w:val="right" w:pos="8838"/>
                  </w:tabs>
                  <w:ind w:right="-105"/>
                  <w:jc w:val="both"/>
                  <w:rPr>
                    <w:rFonts w:ascii="Palatino Linotype" w:eastAsia="Palatino Linotype" w:hAnsi="Palatino Linotype" w:cs="Palatino Linotype"/>
                    <w:bCs/>
                    <w:sz w:val="24"/>
                    <w:szCs w:val="24"/>
                  </w:rPr>
                </w:pPr>
                <w:r w:rsidRPr="00EA4BD2">
                  <w:rPr>
                    <w:rFonts w:ascii="Palatino Linotype" w:eastAsia="Palatino Linotype" w:hAnsi="Palatino Linotype" w:cs="Palatino Linotype"/>
                    <w:bCs/>
                    <w:sz w:val="24"/>
                    <w:szCs w:val="24"/>
                  </w:rPr>
                  <w:t>08563/INFOEM/IP/RR/2025</w:t>
                </w:r>
              </w:p>
            </w:tc>
            <w:tc>
              <w:tcPr>
                <w:tcW w:w="2979" w:type="dxa"/>
              </w:tcPr>
              <w:p w:rsidR="000366F8" w:rsidRDefault="000366F8">
                <w:pPr>
                  <w:tabs>
                    <w:tab w:val="right" w:pos="8838"/>
                  </w:tabs>
                  <w:ind w:left="-74" w:right="-105"/>
                  <w:jc w:val="both"/>
                  <w:rPr>
                    <w:rFonts w:ascii="Palatino Linotype" w:eastAsia="Palatino Linotype" w:hAnsi="Palatino Linotype" w:cs="Palatino Linotype"/>
                    <w:sz w:val="22"/>
                    <w:szCs w:val="22"/>
                  </w:rPr>
                </w:pPr>
              </w:p>
            </w:tc>
          </w:tr>
          <w:tr w:rsidR="000366F8" w:rsidTr="00EA4BD2">
            <w:trPr>
              <w:trHeight w:val="144"/>
            </w:trPr>
            <w:tc>
              <w:tcPr>
                <w:tcW w:w="2967" w:type="dxa"/>
              </w:tcPr>
              <w:p w:rsidR="000366F8" w:rsidRPr="00EA4BD2" w:rsidRDefault="006614E9">
                <w:pPr>
                  <w:tabs>
                    <w:tab w:val="right" w:pos="8838"/>
                  </w:tabs>
                  <w:ind w:left="-74" w:right="-105"/>
                  <w:rPr>
                    <w:rFonts w:ascii="Palatino Linotype" w:eastAsia="Palatino Linotype" w:hAnsi="Palatino Linotype" w:cs="Palatino Linotype"/>
                    <w:b/>
                    <w:bCs/>
                    <w:sz w:val="24"/>
                    <w:szCs w:val="24"/>
                  </w:rPr>
                </w:pPr>
                <w:bookmarkStart w:id="16" w:name="_heading=h.jvi0cmy75qg" w:colFirst="0" w:colLast="0"/>
                <w:bookmarkEnd w:id="16"/>
                <w:r w:rsidRPr="00EA4BD2">
                  <w:rPr>
                    <w:rFonts w:ascii="Palatino Linotype" w:eastAsia="Palatino Linotype" w:hAnsi="Palatino Linotype" w:cs="Palatino Linotype"/>
                    <w:b/>
                    <w:bCs/>
                    <w:sz w:val="24"/>
                    <w:szCs w:val="24"/>
                  </w:rPr>
                  <w:t>Recurrente:</w:t>
                </w:r>
              </w:p>
            </w:tc>
            <w:tc>
              <w:tcPr>
                <w:tcW w:w="4111" w:type="dxa"/>
              </w:tcPr>
              <w:p w:rsidR="000366F8" w:rsidRPr="00EA4BD2" w:rsidRDefault="00DF34C1">
                <w:pPr>
                  <w:tabs>
                    <w:tab w:val="left" w:pos="3122"/>
                    <w:tab w:val="right" w:pos="8838"/>
                  </w:tabs>
                  <w:ind w:right="1457"/>
                  <w:jc w:val="both"/>
                  <w:rPr>
                    <w:rFonts w:ascii="Palatino Linotype" w:eastAsia="Palatino Linotype" w:hAnsi="Palatino Linotype" w:cs="Palatino Linotype"/>
                    <w:bCs/>
                    <w:sz w:val="24"/>
                    <w:szCs w:val="24"/>
                  </w:rPr>
                </w:pPr>
                <w:r>
                  <w:rPr>
                    <w:rFonts w:ascii="Palatino Linotype" w:eastAsia="Palatino Linotype" w:hAnsi="Palatino Linotype" w:cs="Palatino Linotype"/>
                    <w:bCs/>
                    <w:sz w:val="24"/>
                    <w:szCs w:val="24"/>
                  </w:rPr>
                  <w:t>XXXX</w:t>
                </w:r>
              </w:p>
            </w:tc>
            <w:tc>
              <w:tcPr>
                <w:tcW w:w="2979" w:type="dxa"/>
              </w:tcPr>
              <w:p w:rsidR="000366F8" w:rsidRDefault="000366F8">
                <w:pPr>
                  <w:tabs>
                    <w:tab w:val="left" w:pos="3122"/>
                    <w:tab w:val="right" w:pos="8838"/>
                  </w:tabs>
                  <w:ind w:right="-105"/>
                  <w:jc w:val="both"/>
                  <w:rPr>
                    <w:rFonts w:ascii="Palatino Linotype" w:eastAsia="Palatino Linotype" w:hAnsi="Palatino Linotype" w:cs="Palatino Linotype"/>
                    <w:sz w:val="22"/>
                    <w:szCs w:val="22"/>
                  </w:rPr>
                </w:pPr>
              </w:p>
            </w:tc>
          </w:tr>
          <w:tr w:rsidR="000366F8" w:rsidTr="00EA4BD2">
            <w:trPr>
              <w:trHeight w:val="283"/>
            </w:trPr>
            <w:tc>
              <w:tcPr>
                <w:tcW w:w="2967" w:type="dxa"/>
              </w:tcPr>
              <w:p w:rsidR="000366F8" w:rsidRPr="00EA4BD2" w:rsidRDefault="006614E9">
                <w:pPr>
                  <w:tabs>
                    <w:tab w:val="right" w:pos="8838"/>
                  </w:tabs>
                  <w:ind w:left="-74" w:right="-105"/>
                  <w:rPr>
                    <w:rFonts w:ascii="Palatino Linotype" w:eastAsia="Palatino Linotype" w:hAnsi="Palatino Linotype" w:cs="Palatino Linotype"/>
                    <w:b/>
                    <w:bCs/>
                    <w:sz w:val="24"/>
                    <w:szCs w:val="24"/>
                  </w:rPr>
                </w:pPr>
                <w:r w:rsidRPr="00EA4BD2">
                  <w:rPr>
                    <w:rFonts w:ascii="Palatino Linotype" w:eastAsia="Palatino Linotype" w:hAnsi="Palatino Linotype" w:cs="Palatino Linotype"/>
                    <w:b/>
                    <w:bCs/>
                    <w:sz w:val="24"/>
                    <w:szCs w:val="24"/>
                  </w:rPr>
                  <w:t>Sujeto Obligado:</w:t>
                </w:r>
              </w:p>
            </w:tc>
            <w:tc>
              <w:tcPr>
                <w:tcW w:w="4111" w:type="dxa"/>
              </w:tcPr>
              <w:p w:rsidR="000366F8" w:rsidRPr="00EA4BD2" w:rsidRDefault="006614E9">
                <w:pPr>
                  <w:tabs>
                    <w:tab w:val="left" w:pos="2834"/>
                    <w:tab w:val="right" w:pos="8838"/>
                  </w:tabs>
                  <w:ind w:left="-3" w:right="-105"/>
                  <w:jc w:val="both"/>
                  <w:rPr>
                    <w:rFonts w:ascii="Palatino Linotype" w:eastAsia="Palatino Linotype" w:hAnsi="Palatino Linotype" w:cs="Palatino Linotype"/>
                    <w:bCs/>
                    <w:sz w:val="24"/>
                    <w:szCs w:val="24"/>
                  </w:rPr>
                </w:pPr>
                <w:r w:rsidRPr="00EA4BD2">
                  <w:rPr>
                    <w:rFonts w:ascii="Palatino Linotype" w:eastAsia="Palatino Linotype" w:hAnsi="Palatino Linotype" w:cs="Palatino Linotype"/>
                    <w:bCs/>
                    <w:color w:val="000000"/>
                    <w:sz w:val="24"/>
                    <w:szCs w:val="24"/>
                  </w:rPr>
                  <w:t>Ayuntamiento de Tecámac</w:t>
                </w:r>
              </w:p>
            </w:tc>
            <w:tc>
              <w:tcPr>
                <w:tcW w:w="2979" w:type="dxa"/>
              </w:tcPr>
              <w:p w:rsidR="000366F8" w:rsidRDefault="000366F8">
                <w:pPr>
                  <w:tabs>
                    <w:tab w:val="left" w:pos="2834"/>
                    <w:tab w:val="right" w:pos="8838"/>
                  </w:tabs>
                  <w:ind w:left="-74" w:right="-105"/>
                  <w:jc w:val="both"/>
                  <w:rPr>
                    <w:rFonts w:ascii="Palatino Linotype" w:eastAsia="Palatino Linotype" w:hAnsi="Palatino Linotype" w:cs="Palatino Linotype"/>
                    <w:b/>
                    <w:bCs/>
                  </w:rPr>
                </w:pPr>
              </w:p>
            </w:tc>
          </w:tr>
          <w:tr w:rsidR="000366F8" w:rsidTr="00EA4BD2">
            <w:trPr>
              <w:trHeight w:val="283"/>
            </w:trPr>
            <w:tc>
              <w:tcPr>
                <w:tcW w:w="2967" w:type="dxa"/>
              </w:tcPr>
              <w:p w:rsidR="000366F8" w:rsidRPr="00EA4BD2" w:rsidRDefault="006614E9">
                <w:pPr>
                  <w:tabs>
                    <w:tab w:val="right" w:pos="8838"/>
                  </w:tabs>
                  <w:ind w:left="-74" w:right="-105"/>
                  <w:rPr>
                    <w:rFonts w:ascii="Palatino Linotype" w:eastAsia="Palatino Linotype" w:hAnsi="Palatino Linotype" w:cs="Palatino Linotype"/>
                    <w:b/>
                    <w:bCs/>
                    <w:sz w:val="24"/>
                    <w:szCs w:val="24"/>
                  </w:rPr>
                </w:pPr>
                <w:r w:rsidRPr="00EA4BD2">
                  <w:rPr>
                    <w:rFonts w:ascii="Palatino Linotype" w:eastAsia="Palatino Linotype" w:hAnsi="Palatino Linotype" w:cs="Palatino Linotype"/>
                    <w:b/>
                    <w:bCs/>
                    <w:sz w:val="24"/>
                    <w:szCs w:val="24"/>
                  </w:rPr>
                  <w:t>Comisionada Ponente:</w:t>
                </w:r>
              </w:p>
            </w:tc>
            <w:tc>
              <w:tcPr>
                <w:tcW w:w="4111" w:type="dxa"/>
              </w:tcPr>
              <w:p w:rsidR="000366F8" w:rsidRPr="00EA4BD2" w:rsidRDefault="006614E9">
                <w:pPr>
                  <w:tabs>
                    <w:tab w:val="right" w:pos="8838"/>
                  </w:tabs>
                  <w:ind w:left="-3" w:right="-105"/>
                  <w:jc w:val="both"/>
                  <w:rPr>
                    <w:rFonts w:ascii="Palatino Linotype" w:eastAsia="Palatino Linotype" w:hAnsi="Palatino Linotype" w:cs="Palatino Linotype"/>
                    <w:bCs/>
                    <w:sz w:val="24"/>
                    <w:szCs w:val="24"/>
                  </w:rPr>
                </w:pPr>
                <w:r w:rsidRPr="00EA4BD2">
                  <w:rPr>
                    <w:rFonts w:ascii="Palatino Linotype" w:eastAsia="Palatino Linotype" w:hAnsi="Palatino Linotype" w:cs="Palatino Linotype"/>
                    <w:bCs/>
                    <w:sz w:val="24"/>
                    <w:szCs w:val="24"/>
                  </w:rPr>
                  <w:t>María del Rosario Mejía Ayala</w:t>
                </w:r>
              </w:p>
            </w:tc>
            <w:tc>
              <w:tcPr>
                <w:tcW w:w="2979" w:type="dxa"/>
              </w:tcPr>
              <w:p w:rsidR="000366F8" w:rsidRDefault="000366F8">
                <w:pPr>
                  <w:tabs>
                    <w:tab w:val="right" w:pos="8838"/>
                  </w:tabs>
                  <w:ind w:left="-74" w:right="-105"/>
                  <w:jc w:val="both"/>
                  <w:rPr>
                    <w:rFonts w:ascii="Palatino Linotype" w:eastAsia="Palatino Linotype" w:hAnsi="Palatino Linotype" w:cs="Palatino Linotype"/>
                    <w:b/>
                    <w:bCs/>
                  </w:rPr>
                </w:pPr>
              </w:p>
            </w:tc>
          </w:tr>
        </w:tbl>
        <w:p w:rsidR="000366F8" w:rsidRDefault="000366F8">
          <w:pPr>
            <w:tabs>
              <w:tab w:val="right" w:pos="8838"/>
            </w:tabs>
            <w:ind w:left="-28"/>
            <w:jc w:val="both"/>
            <w:rPr>
              <w:rFonts w:ascii="Arial" w:eastAsia="Arial" w:hAnsi="Arial" w:cs="Arial"/>
              <w:b/>
              <w:bCs/>
              <w:sz w:val="22"/>
              <w:szCs w:val="22"/>
            </w:rPr>
          </w:pPr>
        </w:p>
      </w:tc>
    </w:tr>
  </w:tbl>
  <w:p w:rsidR="000366F8" w:rsidRDefault="00F0369C">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2.4pt;margin-top:-138.35pt;width:663.5pt;height:12in;z-index:-251658752;mso-position-horizontal-relative:margin;mso-position-vertical-relative:margin">
          <v:imagedata r:id="rId1" o:title="image3"/>
          <w10:wrap anchorx="margin" anchory="margin"/>
        </v:shape>
      </w:pict>
    </w:r>
  </w:p>
  <w:p w:rsidR="000366F8" w:rsidRDefault="000366F8"/>
  <w:p w:rsidR="000366F8" w:rsidRDefault="000366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578"/>
    <w:multiLevelType w:val="multilevel"/>
    <w:tmpl w:val="6B6CA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76AFA"/>
    <w:multiLevelType w:val="multilevel"/>
    <w:tmpl w:val="76FE59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427995"/>
    <w:multiLevelType w:val="multilevel"/>
    <w:tmpl w:val="473C2B5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21614F40"/>
    <w:multiLevelType w:val="multilevel"/>
    <w:tmpl w:val="3802FE8E"/>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E32660"/>
    <w:multiLevelType w:val="multilevel"/>
    <w:tmpl w:val="BF40857A"/>
    <w:lvl w:ilvl="0">
      <w:start w:val="1"/>
      <w:numFmt w:val="upperRoman"/>
      <w:pStyle w:val="Listaconvietas2"/>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82429D"/>
    <w:multiLevelType w:val="multilevel"/>
    <w:tmpl w:val="890AA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6F8"/>
    <w:rsid w:val="000366F8"/>
    <w:rsid w:val="00396183"/>
    <w:rsid w:val="003B33E4"/>
    <w:rsid w:val="004761E2"/>
    <w:rsid w:val="005D5404"/>
    <w:rsid w:val="006614E9"/>
    <w:rsid w:val="00C67F31"/>
    <w:rsid w:val="00DE1ECC"/>
    <w:rsid w:val="00DE46E4"/>
    <w:rsid w:val="00DF34C1"/>
    <w:rsid w:val="00EA4BD2"/>
    <w:rsid w:val="00F036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EBE086E-8034-438C-97F7-80FC4DFF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7C598C"/>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7C598C"/>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qFormat/>
    <w:rsid w:val="007C598C"/>
    <w:pPr>
      <w:tabs>
        <w:tab w:val="center" w:pos="4419"/>
        <w:tab w:val="right" w:pos="8838"/>
      </w:tabs>
    </w:pPr>
  </w:style>
  <w:style w:type="character" w:customStyle="1" w:styleId="EncabezadoCar">
    <w:name w:val="Encabezado Car"/>
    <w:basedOn w:val="Fuentedeprrafopredeter"/>
    <w:link w:val="Encabezado"/>
    <w:uiPriority w:val="99"/>
    <w:qFormat/>
    <w:rsid w:val="007C598C"/>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qFormat/>
    <w:rsid w:val="007C598C"/>
    <w:pPr>
      <w:numPr>
        <w:numId w:val="1"/>
      </w:numPr>
      <w:contextualSpacing/>
    </w:pPr>
  </w:style>
  <w:style w:type="paragraph" w:styleId="Piedepgina">
    <w:name w:val="footer"/>
    <w:basedOn w:val="Normal"/>
    <w:link w:val="PiedepginaCar"/>
    <w:uiPriority w:val="99"/>
    <w:unhideWhenUsed/>
    <w:qFormat/>
    <w:rsid w:val="007C598C"/>
    <w:pPr>
      <w:tabs>
        <w:tab w:val="center" w:pos="4419"/>
        <w:tab w:val="right" w:pos="8838"/>
      </w:tabs>
    </w:pPr>
  </w:style>
  <w:style w:type="character" w:customStyle="1" w:styleId="PiedepginaCar">
    <w:name w:val="Pie de página Car"/>
    <w:basedOn w:val="Fuentedeprrafopredeter"/>
    <w:link w:val="Piedepgina"/>
    <w:uiPriority w:val="99"/>
    <w:qFormat/>
    <w:rsid w:val="007C598C"/>
    <w:rPr>
      <w:rFonts w:ascii="Times New Roman" w:eastAsia="Times New Roman" w:hAnsi="Times New Roman" w:cs="Times New Roman"/>
      <w:sz w:val="20"/>
      <w:szCs w:val="20"/>
      <w:lang w:eastAsia="es-ES"/>
    </w:rPr>
  </w:style>
  <w:style w:type="table" w:styleId="Tablaconcuadrcula">
    <w:name w:val="Table Grid"/>
    <w:basedOn w:val="Tablanormal"/>
    <w:uiPriority w:val="39"/>
    <w:qFormat/>
    <w:rsid w:val="007C598C"/>
    <w:rPr>
      <w:rFonts w:eastAsia="SimSu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C598C"/>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C598C"/>
    <w:rPr>
      <w:rFonts w:ascii="Century Gothic" w:eastAsia="Times New Roman" w:hAnsi="Century Gothic" w:cs="Times New Roman"/>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G97gaoj9lv+dtkqhcIFDRvJfw==">CgMxLjAyDmguZWJpbnB6czhmdDdrMghoLmdqZGd4czIJaC4zMGowemxsMgloLjFmb2I5dGUyCWguM3pueXNoNzIJaC4yZXQ5MnAwMgloLjNkeTZ2a20yDmguajNoeGt5N2FhbWhvMg5oLmNpazY3ZGRkbWNlMzIOaC5ndTRya2g5M2xocnEyDmgudW0wMm9wc2Y1dW56Mg5oLjdkOGM1cjZybGl2bjINaC5icTV6ZXF4NzdoaTIOaC54enR6dXV1dHYwcnMyDWguanZpMGNteTc1cWc4AHIhMUVKcjRWYUpUaWJtMVNQSDVxN3FiMm5GUkpHMC1ITU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5739</Words>
  <Characters>31567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10</cp:revision>
  <cp:lastPrinted>2026-02-09T17:33:00Z</cp:lastPrinted>
  <dcterms:created xsi:type="dcterms:W3CDTF">2026-01-15T20:57:00Z</dcterms:created>
  <dcterms:modified xsi:type="dcterms:W3CDTF">2026-02-16T18:36:00Z</dcterms:modified>
</cp:coreProperties>
</file>