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63F" w:rsidRDefault="001E578D">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1009FB">
        <w:rPr>
          <w:rFonts w:ascii="Palatino Linotype" w:eastAsia="Palatino Linotype" w:hAnsi="Palatino Linotype" w:cs="Palatino Linotype"/>
          <w:b/>
          <w:bCs/>
        </w:rPr>
        <w:t>fecha veintisiete</w:t>
      </w:r>
      <w:r w:rsidR="00F80AC2">
        <w:rPr>
          <w:rFonts w:ascii="Palatino Linotype" w:eastAsia="Palatino Linotype" w:hAnsi="Palatino Linotype" w:cs="Palatino Linotype"/>
          <w:b/>
          <w:bCs/>
        </w:rPr>
        <w:t xml:space="preserve"> (27)</w:t>
      </w:r>
      <w:r w:rsidR="001009FB">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29463F" w:rsidRDefault="0029463F">
      <w:pPr>
        <w:tabs>
          <w:tab w:val="left" w:pos="3465"/>
        </w:tabs>
        <w:spacing w:line="360" w:lineRule="auto"/>
        <w:ind w:right="-787"/>
        <w:jc w:val="both"/>
        <w:rPr>
          <w:rFonts w:ascii="Palatino Linotype" w:eastAsia="Palatino Linotype" w:hAnsi="Palatino Linotype" w:cs="Palatino Linotype"/>
        </w:rPr>
      </w:pPr>
    </w:p>
    <w:p w:rsidR="0029463F" w:rsidRDefault="001E578D">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14158/INFOEM/IP/RR/2025</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promovido de manera anónima</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05889/TOLUCA/IP/2025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 </w:t>
      </w:r>
    </w:p>
    <w:p w:rsidR="0029463F" w:rsidRDefault="0029463F">
      <w:pPr>
        <w:ind w:right="-788"/>
        <w:jc w:val="both"/>
        <w:rPr>
          <w:rFonts w:ascii="Palatino Linotype" w:eastAsia="Palatino Linotype" w:hAnsi="Palatino Linotype" w:cs="Palatino Linotype"/>
        </w:rPr>
      </w:pPr>
    </w:p>
    <w:p w:rsidR="0029463F" w:rsidRDefault="001E578D">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29463F" w:rsidRDefault="0029463F">
      <w:pPr>
        <w:pBdr>
          <w:top w:val="nil"/>
          <w:left w:val="nil"/>
          <w:bottom w:val="nil"/>
          <w:right w:val="nil"/>
          <w:between w:val="nil"/>
        </w:pBdr>
        <w:ind w:right="-788"/>
        <w:jc w:val="both"/>
        <w:rPr>
          <w:rFonts w:ascii="Palatino Linotype" w:eastAsia="Palatino Linotype" w:hAnsi="Palatino Linotype" w:cs="Palatino Linotype"/>
          <w:b/>
          <w:bCs/>
          <w:color w:val="000000"/>
          <w:u w:val="single"/>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seis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29463F" w:rsidRDefault="0029463F">
      <w:pPr>
        <w:pBdr>
          <w:top w:val="nil"/>
          <w:left w:val="nil"/>
          <w:bottom w:val="nil"/>
          <w:right w:val="nil"/>
          <w:between w:val="nil"/>
        </w:pBdr>
        <w:ind w:right="-788"/>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“EL CONTRATO CON LA EMPRESA QUE ESTA RECONSTRUYENDO LOS 300 METRO DE LA AGUSTÍN MILLAN EN SAN PEDRO TOTOLTEPEC CUANTOS METROS SE LLEVAN DE AVANCE CON LOS DOCUMENTOS Y FOTOGRAFÍAS QUE LO ACREDITE Y EL ACTA DE LOS COCICOVI QUE CONFIRME EL AVANCE Y LOS TRABAJOS, LAS FACTURAS PAGADAS A LA EMPRESA, EL EXPEDIENTE TÉCNICO Y COMO ES QUE SE ASIGNO Y LO APROBÓ EL COMITÉ DE ADQUISICIONES.” (Sic)</w:t>
      </w:r>
    </w:p>
    <w:p w:rsidR="0029463F" w:rsidRDefault="001E578D">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b/>
      </w:r>
    </w:p>
    <w:p w:rsidR="0029463F" w:rsidRDefault="0029463F">
      <w:pPr>
        <w:pBdr>
          <w:top w:val="nil"/>
          <w:left w:val="nil"/>
          <w:bottom w:val="nil"/>
          <w:right w:val="nil"/>
          <w:between w:val="nil"/>
        </w:pBdr>
        <w:tabs>
          <w:tab w:val="left" w:pos="3217"/>
        </w:tabs>
        <w:ind w:right="-788"/>
        <w:jc w:val="both"/>
        <w:rPr>
          <w:rFonts w:ascii="Palatino Linotype" w:eastAsia="Palatino Linotype" w:hAnsi="Palatino Linotype" w:cs="Palatino Linotype"/>
        </w:rPr>
      </w:pPr>
    </w:p>
    <w:p w:rsidR="0029463F" w:rsidRDefault="001E578D">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29463F" w:rsidRDefault="0029463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i/>
          <w:iCs/>
          <w:color w:val="000000"/>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veintiocho de noviembre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adjuntando los archivos digitales siguientes</w:t>
      </w:r>
      <w:r>
        <w:rPr>
          <w:rFonts w:ascii="Palatino Linotype" w:eastAsia="Palatino Linotype" w:hAnsi="Palatino Linotype" w:cs="Palatino Linotype"/>
          <w:b/>
          <w:bCs/>
          <w:i/>
          <w:iCs/>
          <w:color w:val="000000"/>
        </w:rPr>
        <w:t>:</w:t>
      </w: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NOTIF. CIUDADANO INCOMPETENCIA S. 5889.pdf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Oficio: 206010000/6753/2025 de fecha 10 de noviembre de 2025, firmado por la </w:t>
      </w:r>
      <w:r>
        <w:rPr>
          <w:rFonts w:ascii="Palatino Linotype" w:eastAsia="Palatino Linotype" w:hAnsi="Palatino Linotype" w:cs="Palatino Linotype"/>
          <w:b/>
          <w:bCs/>
          <w:color w:val="000000"/>
        </w:rPr>
        <w:t>Directora General de Administración</w:t>
      </w:r>
      <w:r>
        <w:rPr>
          <w:rFonts w:ascii="Palatino Linotype" w:eastAsia="Palatino Linotype" w:hAnsi="Palatino Linotype" w:cs="Palatino Linotype"/>
          <w:color w:val="000000"/>
        </w:rPr>
        <w:t xml:space="preserve">, a través del cual refiere que el requerimiento de información solicitado, </w:t>
      </w:r>
      <w:r>
        <w:rPr>
          <w:rFonts w:ascii="Palatino Linotype" w:eastAsia="Palatino Linotype" w:hAnsi="Palatino Linotype" w:cs="Palatino Linotype"/>
          <w:b/>
          <w:bCs/>
          <w:color w:val="000000"/>
        </w:rPr>
        <w:t>no es competencia de la Dirección</w:t>
      </w:r>
      <w:r>
        <w:rPr>
          <w:rFonts w:ascii="Palatino Linotype" w:eastAsia="Palatino Linotype" w:hAnsi="Palatino Linotype" w:cs="Palatino Linotype"/>
          <w:color w:val="000000"/>
        </w:rPr>
        <w:t xml:space="preserve"> de Administración.</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5889.pdf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202010000/3834/2025 de fecha 12 de noviembre de 2025, firmado por el </w:t>
      </w:r>
      <w:r>
        <w:rPr>
          <w:rFonts w:ascii="Palatino Linotype" w:eastAsia="Palatino Linotype" w:hAnsi="Palatino Linotype" w:cs="Palatino Linotype"/>
          <w:b/>
          <w:bCs/>
          <w:color w:val="000000"/>
        </w:rPr>
        <w:t>Tesorero Municipal</w:t>
      </w:r>
      <w:r>
        <w:rPr>
          <w:rFonts w:ascii="Palatino Linotype" w:eastAsia="Palatino Linotype" w:hAnsi="Palatino Linotype" w:cs="Palatino Linotype"/>
          <w:color w:val="000000"/>
        </w:rPr>
        <w:t>, a través el cual refiere que:</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los documentos solicitados, forman parte de la integración del cuarto informe trimestral de 2025, dicha integración es normada por los Lineamientos del Órgano Superior de Fiscalización del Estado de México en materia de integración, presentación y envío de los informes trimestrales del ejercicio fiscal 2025, de las entidades fiscalizables del Estado de México; los cuales ya fueron emitidos por el OSFEM el día 01 de abril de 2025.</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este sentido, se anexa al presente el Acuerdo 7/2025 publicado por el OSFEM por el que se emiten los lineamientos, fechas de capacitación y calendarización para la integración y presentación de los informes trimestrales estatales municipales, establecidos en el anexo 1 de este Acuerdo, del ejercicio fiscal 2025. y Asimismo, se anexa el link directo de la página oficial del Órgano Superior de Fiscalización del Estado de México, en el apartado de Lineamientos, componentes informes trimestrales, Acuerdo 7/2025:</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lang w:val="es-MX"/>
        </w:rPr>
        <w:drawing>
          <wp:inline distT="0" distB="0" distL="0" distR="0">
            <wp:extent cx="5756275" cy="5581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56275" cy="558165"/>
                    </a:xfrm>
                    <a:prstGeom prst="rect">
                      <a:avLst/>
                    </a:prstGeom>
                    <a:ln/>
                  </pic:spPr>
                </pic:pic>
              </a:graphicData>
            </a:graphic>
          </wp:inline>
        </w:drawing>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Link proporcionado en formato cerrado.</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29463F" w:rsidRDefault="001E578D">
      <w:pPr>
        <w:numPr>
          <w:ilvl w:val="0"/>
          <w:numId w:val="7"/>
        </w:numPr>
        <w:pBdr>
          <w:top w:val="nil"/>
          <w:left w:val="nil"/>
          <w:bottom w:val="nil"/>
          <w:right w:val="nil"/>
          <w:between w:val="nil"/>
        </w:pBdr>
        <w:tabs>
          <w:tab w:val="left" w:pos="4086"/>
        </w:tabs>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2025-OFI-4040-SMX-5889.pdf</w:t>
      </w:r>
    </w:p>
    <w:p w:rsidR="0029463F" w:rsidRDefault="001E578D">
      <w:pPr>
        <w:pBdr>
          <w:top w:val="nil"/>
          <w:left w:val="nil"/>
          <w:bottom w:val="nil"/>
          <w:right w:val="nil"/>
          <w:between w:val="nil"/>
        </w:pBdr>
        <w:tabs>
          <w:tab w:val="left" w:pos="4086"/>
        </w:tabs>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Oficio: 203010000/4040/2025 de fecha 13 de noviembre de 2025, firmado por el Titular del </w:t>
      </w:r>
      <w:r>
        <w:rPr>
          <w:rFonts w:ascii="Palatino Linotype" w:eastAsia="Palatino Linotype" w:hAnsi="Palatino Linotype" w:cs="Palatino Linotype"/>
          <w:b/>
          <w:bCs/>
          <w:color w:val="000000"/>
        </w:rPr>
        <w:t>Órgano Interno de Control Municipal</w:t>
      </w:r>
      <w:r>
        <w:rPr>
          <w:rFonts w:ascii="Palatino Linotype" w:eastAsia="Palatino Linotype" w:hAnsi="Palatino Linotype" w:cs="Palatino Linotype"/>
          <w:color w:val="000000"/>
        </w:rPr>
        <w:t>, a través del cual refiere dar respuesta con oficio anexo 203011000/225/2025 de fecha 12 de noviembre de 2025, emitido por la Dirección de Auditoría.</w:t>
      </w:r>
    </w:p>
    <w:p w:rsidR="0029463F" w:rsidRDefault="0029463F">
      <w:pPr>
        <w:pBdr>
          <w:top w:val="nil"/>
          <w:left w:val="nil"/>
          <w:bottom w:val="nil"/>
          <w:right w:val="nil"/>
          <w:between w:val="nil"/>
        </w:pBdr>
        <w:tabs>
          <w:tab w:val="left" w:pos="4086"/>
        </w:tabs>
        <w:ind w:left="567" w:right="-788"/>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tabs>
          <w:tab w:val="left" w:pos="4086"/>
        </w:tabs>
        <w:ind w:left="567" w:right="-78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Oficio 203011000/225/2025 de fecha 12 de noviembre firmado por el Titular de la </w:t>
      </w:r>
      <w:r>
        <w:rPr>
          <w:rFonts w:ascii="Palatino Linotype" w:eastAsia="Palatino Linotype" w:hAnsi="Palatino Linotype" w:cs="Palatino Linotype"/>
          <w:b/>
          <w:bCs/>
          <w:color w:val="000000"/>
        </w:rPr>
        <w:t>Dirección de Auditoría de Obra y Contraloría Social</w:t>
      </w:r>
      <w:r>
        <w:rPr>
          <w:rFonts w:ascii="Palatino Linotype" w:eastAsia="Palatino Linotype" w:hAnsi="Palatino Linotype" w:cs="Palatino Linotype"/>
          <w:color w:val="000000"/>
        </w:rPr>
        <w:t xml:space="preserve">, a través del cual refirió que se realizó una búsqueda exhaustiva en los registros que obran en el mismo, por lo que </w:t>
      </w:r>
      <w:r>
        <w:rPr>
          <w:rFonts w:ascii="Palatino Linotype" w:eastAsia="Palatino Linotype" w:hAnsi="Palatino Linotype" w:cs="Palatino Linotype"/>
          <w:b/>
          <w:bCs/>
          <w:color w:val="000000"/>
        </w:rPr>
        <w:t>no se encontraron registros administrativos de dicha solicitud</w:t>
      </w:r>
      <w:r>
        <w:rPr>
          <w:rFonts w:ascii="Palatino Linotype" w:eastAsia="Palatino Linotype" w:hAnsi="Palatino Linotype" w:cs="Palatino Linotype"/>
          <w:color w:val="000000"/>
        </w:rPr>
        <w:t>.</w:t>
      </w:r>
    </w:p>
    <w:p w:rsidR="0029463F" w:rsidRDefault="001E578D">
      <w:pPr>
        <w:pBdr>
          <w:top w:val="nil"/>
          <w:left w:val="nil"/>
          <w:bottom w:val="nil"/>
          <w:right w:val="nil"/>
          <w:between w:val="nil"/>
        </w:pBdr>
        <w:tabs>
          <w:tab w:val="left" w:pos="4086"/>
        </w:tabs>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b/>
      </w: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Anexo 1 Saimex 05889 .pdf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remitido por la Dirección de Obras Públicas, en el que se advierten diversas </w:t>
      </w:r>
      <w:r>
        <w:rPr>
          <w:rFonts w:ascii="Palatino Linotype" w:eastAsia="Palatino Linotype" w:hAnsi="Palatino Linotype" w:cs="Palatino Linotype"/>
          <w:b/>
          <w:bCs/>
          <w:color w:val="000000"/>
        </w:rPr>
        <w:t>fotografías</w:t>
      </w:r>
      <w:r>
        <w:rPr>
          <w:rFonts w:ascii="Palatino Linotype" w:eastAsia="Palatino Linotype" w:hAnsi="Palatino Linotype" w:cs="Palatino Linotype"/>
          <w:color w:val="000000"/>
        </w:rPr>
        <w:t xml:space="preserve"> de obra pública.</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Anexo 2 Saimex 05889.pdf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denominado </w:t>
      </w:r>
      <w:r>
        <w:rPr>
          <w:rFonts w:ascii="Palatino Linotype" w:eastAsia="Palatino Linotype" w:hAnsi="Palatino Linotype" w:cs="Palatino Linotype"/>
          <w:b/>
          <w:bCs/>
          <w:color w:val="000000"/>
        </w:rPr>
        <w:t xml:space="preserve">FICHA TÉCNICA </w:t>
      </w:r>
      <w:r>
        <w:rPr>
          <w:rFonts w:ascii="Palatino Linotype" w:eastAsia="Palatino Linotype" w:hAnsi="Palatino Linotype" w:cs="Palatino Linotype"/>
          <w:color w:val="000000"/>
        </w:rPr>
        <w:t>de la obra REHABILITACIÓN DE PAVIMENTACIÓN CON CARPETA ASFÁLTICA DE LA CALLE AGUSTÍN MILLÁN ENTRE CALLE MIGUEL HIDALGO Y CALLE CENTENARIO SAN PEDRO TOTOLTEPEC, MUNICIPIO DE TOLUCA., MÉXICO.</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Respuesta Saimex 05889.pdf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210010000/3566/2025 de fecha 26 de noviembre de 2025, firmado por el </w:t>
      </w:r>
      <w:r>
        <w:rPr>
          <w:rFonts w:ascii="Palatino Linotype" w:eastAsia="Palatino Linotype" w:hAnsi="Palatino Linotype" w:cs="Palatino Linotype"/>
          <w:b/>
          <w:bCs/>
          <w:color w:val="000000"/>
        </w:rPr>
        <w:t>Director General de Obras Públicas</w:t>
      </w:r>
      <w:r>
        <w:rPr>
          <w:rFonts w:ascii="Palatino Linotype" w:eastAsia="Palatino Linotype" w:hAnsi="Palatino Linotype" w:cs="Palatino Linotype"/>
          <w:color w:val="000000"/>
        </w:rPr>
        <w:t>, a través del cual informa lo siguiente:</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29463F" w:rsidRDefault="001E578D">
      <w:pPr>
        <w:numPr>
          <w:ilvl w:val="0"/>
          <w:numId w:val="8"/>
        </w:numPr>
        <w:pBdr>
          <w:top w:val="nil"/>
          <w:left w:val="nil"/>
          <w:bottom w:val="nil"/>
          <w:right w:val="nil"/>
          <w:between w:val="nil"/>
        </w:pBdr>
        <w:ind w:left="1134"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contrato de la obra pública denominada "REHABILITACIÓN DE PAVIMENTACIÓN CON CARPETA ASFÁLTICA DE LA CALLE AGUSTÍN MILLÁN ENTRE CALLE MIGUEL HIDALGO Y CALLE CENTENARIO SAN PEDRO TOTOLTEPEC, MUNICIPIO DE TOLUCA., MÉXICO" es el contrato No. MT/DGOP/FAISMUN/LPN-026/2025. </w:t>
      </w:r>
    </w:p>
    <w:p w:rsidR="0029463F" w:rsidRDefault="0029463F">
      <w:pPr>
        <w:pBdr>
          <w:top w:val="nil"/>
          <w:left w:val="nil"/>
          <w:bottom w:val="nil"/>
          <w:right w:val="nil"/>
          <w:between w:val="nil"/>
        </w:pBdr>
        <w:ind w:left="1134" w:right="-788"/>
        <w:jc w:val="both"/>
        <w:rPr>
          <w:rFonts w:ascii="Palatino Linotype" w:eastAsia="Palatino Linotype" w:hAnsi="Palatino Linotype" w:cs="Palatino Linotype"/>
          <w:i/>
          <w:iCs/>
          <w:color w:val="000000"/>
        </w:rPr>
      </w:pPr>
    </w:p>
    <w:p w:rsidR="0029463F" w:rsidRDefault="001E578D">
      <w:pPr>
        <w:numPr>
          <w:ilvl w:val="0"/>
          <w:numId w:val="8"/>
        </w:numPr>
        <w:pBdr>
          <w:top w:val="nil"/>
          <w:left w:val="nil"/>
          <w:bottom w:val="nil"/>
          <w:right w:val="nil"/>
          <w:between w:val="nil"/>
        </w:pBdr>
        <w:ind w:left="1134"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 la fecha de la solicitud, el avance físico de la ejecución de los trabajos de la obra pública en mención es de un 100%. </w:t>
      </w:r>
    </w:p>
    <w:p w:rsidR="0029463F" w:rsidRDefault="0029463F">
      <w:pPr>
        <w:pBdr>
          <w:top w:val="nil"/>
          <w:left w:val="nil"/>
          <w:bottom w:val="nil"/>
          <w:right w:val="nil"/>
          <w:between w:val="nil"/>
        </w:pBdr>
        <w:ind w:left="1134" w:right="-788"/>
        <w:jc w:val="both"/>
        <w:rPr>
          <w:rFonts w:ascii="Palatino Linotype" w:eastAsia="Palatino Linotype" w:hAnsi="Palatino Linotype" w:cs="Palatino Linotype"/>
          <w:i/>
          <w:iCs/>
          <w:color w:val="000000"/>
        </w:rPr>
      </w:pPr>
    </w:p>
    <w:p w:rsidR="0029463F" w:rsidRDefault="001E578D">
      <w:pPr>
        <w:numPr>
          <w:ilvl w:val="0"/>
          <w:numId w:val="8"/>
        </w:numPr>
        <w:pBdr>
          <w:top w:val="nil"/>
          <w:left w:val="nil"/>
          <w:bottom w:val="nil"/>
          <w:right w:val="nil"/>
          <w:between w:val="nil"/>
        </w:pBdr>
        <w:ind w:left="1134"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adjunta al presente en formato digital la evidencia fotográfica de la mencionada obra pública. </w:t>
      </w:r>
    </w:p>
    <w:p w:rsidR="0029463F" w:rsidRDefault="0029463F">
      <w:pPr>
        <w:pBdr>
          <w:top w:val="nil"/>
          <w:left w:val="nil"/>
          <w:bottom w:val="nil"/>
          <w:right w:val="nil"/>
          <w:between w:val="nil"/>
        </w:pBdr>
        <w:ind w:left="1134" w:right="-788"/>
        <w:jc w:val="both"/>
        <w:rPr>
          <w:rFonts w:ascii="Palatino Linotype" w:eastAsia="Palatino Linotype" w:hAnsi="Palatino Linotype" w:cs="Palatino Linotype"/>
          <w:i/>
          <w:iCs/>
          <w:color w:val="000000"/>
        </w:rPr>
      </w:pPr>
    </w:p>
    <w:p w:rsidR="0029463F" w:rsidRDefault="001E578D">
      <w:pPr>
        <w:numPr>
          <w:ilvl w:val="0"/>
          <w:numId w:val="8"/>
        </w:numPr>
        <w:pBdr>
          <w:top w:val="nil"/>
          <w:left w:val="nil"/>
          <w:bottom w:val="nil"/>
          <w:right w:val="nil"/>
          <w:between w:val="nil"/>
        </w:pBdr>
        <w:ind w:left="1134"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adjunta al presente en formato digital la "Ficha Técnica" de obra pública denominada "REHABILITACIÓN DE PAVIMENTACIÓN CON CARPЕТА ASFÁLTICA DE LA CALLE AGUSTÍN MILLÁN ENTRE CALLE MIGUEL HIDALGO Y CALLE </w:t>
      </w:r>
      <w:r>
        <w:rPr>
          <w:rFonts w:ascii="Palatino Linotype" w:eastAsia="Palatino Linotype" w:hAnsi="Palatino Linotype" w:cs="Palatino Linotype"/>
          <w:i/>
          <w:iCs/>
          <w:color w:val="000000"/>
        </w:rPr>
        <w:lastRenderedPageBreak/>
        <w:t>CENTENARIO SAN PEDRO TOTOLTEPEC, MUNICIPIO DE TOLUCA., MÉXICO".</w:t>
      </w:r>
    </w:p>
    <w:p w:rsidR="0029463F" w:rsidRDefault="0029463F">
      <w:pPr>
        <w:pBdr>
          <w:top w:val="nil"/>
          <w:left w:val="nil"/>
          <w:bottom w:val="nil"/>
          <w:right w:val="nil"/>
          <w:between w:val="nil"/>
        </w:pBdr>
        <w:ind w:left="1134" w:right="-788"/>
        <w:jc w:val="both"/>
        <w:rPr>
          <w:rFonts w:ascii="Palatino Linotype" w:eastAsia="Palatino Linotype" w:hAnsi="Palatino Linotype" w:cs="Palatino Linotype"/>
          <w:i/>
          <w:iCs/>
          <w:color w:val="000000"/>
        </w:rPr>
      </w:pPr>
    </w:p>
    <w:p w:rsidR="0029463F" w:rsidRDefault="001E578D">
      <w:pPr>
        <w:numPr>
          <w:ilvl w:val="0"/>
          <w:numId w:val="8"/>
        </w:numPr>
        <w:pBdr>
          <w:top w:val="nil"/>
          <w:left w:val="nil"/>
          <w:bottom w:val="nil"/>
          <w:right w:val="nil"/>
          <w:between w:val="nil"/>
        </w:pBdr>
        <w:ind w:left="1134"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Respecto del "..ACTA DE LOS COCICOVI QUE CONFIRME EL AVANCE Y LOS TRABAJOS, LAS FACTURAS PAGADAS A LA EMPRESA ... Y COMO ES QUE SE ASIGNO Y LO APROBÓ EL COMITÉ DE ADQUISICIONES"(sic) se informa que de conformidad con lo establecido en el artículo 3.40 del Código Reglamentario Municipal de Toluca, del artículo 92, fracción X del Bando Municipal Toluca 2025, así como de lo estipulado en el Manual General de Organización del Sector Central de la Administración Pública Municipal de Toluca 2025-2027 en la codificación 210010000, no es competencia, ni atribución de esta Dirección General el generar ni administrar la expresión documental que dé cuenta del acta, facturas, no expresiones documentales que den cuanta de las actuaciones del comité de adquisiciones solicitadas por lo que en la mencionada búsqueda no se localizó expresión documental que dé cuenta de lo solicitado, en razón de no ser competencia ni atribución de esta área administrativa el generarlos ni administrarlos.</w:t>
      </w:r>
    </w:p>
    <w:p w:rsidR="0029463F" w:rsidRDefault="0029463F">
      <w:pPr>
        <w:pBdr>
          <w:top w:val="nil"/>
          <w:left w:val="nil"/>
          <w:bottom w:val="nil"/>
          <w:right w:val="nil"/>
          <w:between w:val="nil"/>
        </w:pBdr>
        <w:ind w:left="1134" w:right="-788"/>
        <w:jc w:val="both"/>
        <w:rPr>
          <w:rFonts w:ascii="Palatino Linotype" w:eastAsia="Palatino Linotype" w:hAnsi="Palatino Linotype" w:cs="Palatino Linotype"/>
          <w:i/>
          <w:iCs/>
          <w:color w:val="000000"/>
        </w:rPr>
      </w:pPr>
    </w:p>
    <w:p w:rsidR="0029463F" w:rsidRDefault="001E578D">
      <w:pPr>
        <w:numPr>
          <w:ilvl w:val="0"/>
          <w:numId w:val="7"/>
        </w:numPr>
        <w:pBdr>
          <w:top w:val="nil"/>
          <w:left w:val="nil"/>
          <w:bottom w:val="nil"/>
          <w:right w:val="nil"/>
          <w:between w:val="nil"/>
        </w:pBdr>
        <w:ind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Anexo 3 Saimex 05889.pdf</w:t>
      </w: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de fecha 30 de octubre de 2025, firmado por el Administrador Único ALSAFI GRUPO CONSTRUCTOR DE INFRAESTRUCTURA CIVIL, S.A. DE C.V. a través del cual hace del conocimiento al Director General de Obras Públicas, que:</w:t>
      </w:r>
    </w:p>
    <w:p w:rsidR="0029463F" w:rsidRDefault="0029463F">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Con referencia al contrato No. MT/DGOP/FAISMUN/LPN-026/2025 de obra pública a precios unitarios y tiempo determinado correspondiente a los trabajos de: REHABILITACIÓN DE PAVIMENTACIÓN CON CARPETA ASFÁLTICA DE LA CALLE AGUSTÍN MILLÁN ENTRE CALLE MIGUEL HIDALGO Y CALLE CENTENARIO, SAN PEDRO TOTOLTEPEC, MUNICIPIO DE TOLUCA, MÉXICO. con fecha de inicio: 11 de agosto de 2025 y fecha de terminación 30 de octubre de 2025. Por este conducto informamos que con fecha del día 30 de octubre de 2025 se dan por terminados los trabajos asignados a mi representada,…” (Sic)</w:t>
      </w:r>
    </w:p>
    <w:p w:rsidR="0029463F" w:rsidRDefault="0029463F">
      <w:pPr>
        <w:pBdr>
          <w:top w:val="nil"/>
          <w:left w:val="nil"/>
          <w:bottom w:val="nil"/>
          <w:right w:val="nil"/>
          <w:between w:val="nil"/>
        </w:pBdr>
        <w:spacing w:line="360" w:lineRule="auto"/>
        <w:ind w:left="567"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once de diciembre de dos mil veinticinco</w:t>
      </w:r>
      <w:r>
        <w:rPr>
          <w:rFonts w:ascii="Palatino Linotype" w:eastAsia="Palatino Linotype" w:hAnsi="Palatino Linotype" w:cs="Palatino Linotype"/>
          <w:color w:val="000000"/>
        </w:rPr>
        <w:t xml:space="preserve">, el particular interpuso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14158/INFOEM/IP/RR/2025,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29463F" w:rsidRDefault="0029463F">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29463F" w:rsidRDefault="001E578D">
      <w:pPr>
        <w:numPr>
          <w:ilvl w:val="0"/>
          <w:numId w:val="1"/>
        </w:numPr>
        <w:pBdr>
          <w:top w:val="nil"/>
          <w:left w:val="nil"/>
          <w:bottom w:val="nil"/>
          <w:right w:val="nil"/>
          <w:between w:val="nil"/>
        </w:pBdr>
        <w:ind w:right="-787"/>
        <w:jc w:val="both"/>
        <w:rPr>
          <w:rFonts w:ascii="Palatino Linotype" w:eastAsia="Palatino Linotype" w:hAnsi="Palatino Linotype" w:cs="Palatino Linotype"/>
          <w:color w:val="000000"/>
        </w:rPr>
      </w:pPr>
      <w:bookmarkStart w:id="1" w:name="_heading=h.1fob9te" w:colFirst="0" w:colLast="0"/>
      <w:bookmarkEnd w:id="1"/>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ENTREGA DE LA INFORMACIÓN ESTA INCOMPLETA” (Sic)</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b/>
          <w:bCs/>
          <w:color w:val="000000"/>
        </w:rPr>
      </w:pPr>
    </w:p>
    <w:p w:rsidR="0029463F" w:rsidRDefault="001E578D">
      <w:pPr>
        <w:numPr>
          <w:ilvl w:val="0"/>
          <w:numId w:val="2"/>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“LA ENTREGA DE LA INFORMACIÓN ESTA INCOMPLETA” (Sic)</w:t>
      </w:r>
    </w:p>
    <w:p w:rsidR="0029463F" w:rsidRDefault="001E578D">
      <w:pPr>
        <w:pBdr>
          <w:top w:val="nil"/>
          <w:left w:val="nil"/>
          <w:bottom w:val="nil"/>
          <w:right w:val="nil"/>
          <w:between w:val="nil"/>
        </w:pBdr>
        <w:tabs>
          <w:tab w:val="left" w:pos="3416"/>
        </w:tabs>
        <w:ind w:right="-78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b/>
      </w:r>
    </w:p>
    <w:p w:rsidR="0029463F" w:rsidRDefault="0029463F">
      <w:pPr>
        <w:pBdr>
          <w:top w:val="nil"/>
          <w:left w:val="nil"/>
          <w:bottom w:val="nil"/>
          <w:right w:val="nil"/>
          <w:between w:val="nil"/>
        </w:pBdr>
        <w:tabs>
          <w:tab w:val="left" w:pos="0"/>
        </w:tabs>
        <w:ind w:right="-788"/>
        <w:jc w:val="both"/>
        <w:rPr>
          <w:rFonts w:ascii="Palatino Linotype" w:eastAsia="Palatino Linotype" w:hAnsi="Palatino Linotype" w:cs="Palatino Linotype"/>
          <w:i/>
          <w:iCs/>
          <w:color w:val="000000"/>
          <w:u w:val="single"/>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dieciséis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29463F" w:rsidRDefault="0029463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dejó de realizar manifestaciones que a su derecho conviniera y asistiera. Por su parte, el Sujeto Obligado en fechas </w:t>
      </w:r>
      <w:r>
        <w:rPr>
          <w:rFonts w:ascii="Palatino Linotype" w:eastAsia="Palatino Linotype" w:hAnsi="Palatino Linotype" w:cs="Palatino Linotype"/>
          <w:b/>
          <w:bCs/>
          <w:color w:val="000000"/>
        </w:rPr>
        <w:t>siete, nueve, trece y catorce de enero de dos mil veintiséis,</w:t>
      </w:r>
      <w:r>
        <w:rPr>
          <w:b/>
          <w:bCs/>
        </w:rPr>
        <w:t xml:space="preserve"> </w:t>
      </w:r>
      <w:r>
        <w:rPr>
          <w:rFonts w:ascii="Palatino Linotype" w:eastAsia="Palatino Linotype" w:hAnsi="Palatino Linotype" w:cs="Palatino Linotype"/>
          <w:color w:val="000000"/>
        </w:rPr>
        <w:t xml:space="preserve">rindió el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14158-2025-TESO.pdf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202010000/4120/2025 de fecha 22 de diciembre de 2025, firmado por el </w:t>
      </w:r>
      <w:r>
        <w:rPr>
          <w:rFonts w:ascii="Palatino Linotype" w:eastAsia="Palatino Linotype" w:hAnsi="Palatino Linotype" w:cs="Palatino Linotype"/>
          <w:b/>
          <w:bCs/>
          <w:color w:val="000000"/>
        </w:rPr>
        <w:t>Tesorero Municipal</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ratifica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su respuesta</w:t>
      </w:r>
      <w:r>
        <w:rPr>
          <w:rFonts w:ascii="Palatino Linotype" w:eastAsia="Palatino Linotype" w:hAnsi="Palatino Linotype" w:cs="Palatino Linotype"/>
          <w:color w:val="000000"/>
        </w:rPr>
        <w:t xml:space="preserve"> primigenia.</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14158-2025-DGA.pdf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206010000/7435/2025 de fecha 19 de diciembre de 2025, firmado por la </w:t>
      </w:r>
      <w:r>
        <w:rPr>
          <w:rFonts w:ascii="Palatino Linotype" w:eastAsia="Palatino Linotype" w:hAnsi="Palatino Linotype" w:cs="Palatino Linotype"/>
          <w:b/>
          <w:bCs/>
          <w:color w:val="000000"/>
        </w:rPr>
        <w:t>Directora General de Administración</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 xml:space="preserve">ratifica la respuesta </w:t>
      </w:r>
      <w:r>
        <w:rPr>
          <w:rFonts w:ascii="Palatino Linotype" w:eastAsia="Palatino Linotype" w:hAnsi="Palatino Linotype" w:cs="Palatino Linotype"/>
          <w:color w:val="000000"/>
        </w:rPr>
        <w:t>inicial.</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14158-2025-OIC.pdf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De Oficio: 203010000/0022/2025 de fecha 07 de noviembre de 2025, firmado por el </w:t>
      </w:r>
      <w:r>
        <w:rPr>
          <w:rFonts w:ascii="Palatino Linotype" w:eastAsia="Palatino Linotype" w:hAnsi="Palatino Linotype" w:cs="Palatino Linotype"/>
          <w:b/>
          <w:bCs/>
          <w:color w:val="000000"/>
        </w:rPr>
        <w:t>Titular del Órgano Interno de Control Municipal</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ratifica la respuesta</w:t>
      </w:r>
      <w:r>
        <w:rPr>
          <w:rFonts w:ascii="Palatino Linotype" w:eastAsia="Palatino Linotype" w:hAnsi="Palatino Linotype" w:cs="Palatino Linotype"/>
          <w:color w:val="000000"/>
        </w:rPr>
        <w:t xml:space="preserve"> primigenia.</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F80AC2" w:rsidRDefault="00F80AC2">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Ratificación 14158.pdf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suscrito por el Titular de la Unidad de Transparencia a través del cual ratifica la respuesta emitida por la DIRECCIÓN GENERAL DE OBRAS PÚBLICAS; DIRECCIÓN GENERAL DE ADMINISTRACIÓN; TESORERÍA MUNICIPAL; y ÓRGANO INTERNO DE CONTROL.</w:t>
      </w:r>
    </w:p>
    <w:p w:rsidR="0029463F" w:rsidRDefault="0029463F">
      <w:pPr>
        <w:pBdr>
          <w:top w:val="nil"/>
          <w:left w:val="nil"/>
          <w:bottom w:val="nil"/>
          <w:right w:val="nil"/>
          <w:between w:val="nil"/>
        </w:pBdr>
        <w:ind w:right="-787"/>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14158-2025-DGOBRAS.pdf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Oficio 210010000/0007/2026 de fecha 07 de enero de 2026, firmado por el </w:t>
      </w:r>
      <w:r>
        <w:rPr>
          <w:rFonts w:ascii="Palatino Linotype" w:eastAsia="Palatino Linotype" w:hAnsi="Palatino Linotype" w:cs="Palatino Linotype"/>
          <w:b/>
          <w:bCs/>
          <w:color w:val="000000"/>
        </w:rPr>
        <w:t>Director General de Obras Públicas</w:t>
      </w:r>
      <w:r>
        <w:rPr>
          <w:rFonts w:ascii="Palatino Linotype" w:eastAsia="Palatino Linotype" w:hAnsi="Palatino Linotype" w:cs="Palatino Linotype"/>
          <w:color w:val="000000"/>
        </w:rPr>
        <w:t>, a través del cual refiere adjuntar el formato respecto del contrato que da cuenta de la obra pública indicada en la solicitud, en el que se incluyen los datos personales propuestos para su clasificación.</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Cuadro de clasificación como información confidencial respecto de los </w:t>
      </w:r>
      <w:r>
        <w:rPr>
          <w:rFonts w:ascii="Palatino Linotype" w:eastAsia="Palatino Linotype" w:hAnsi="Palatino Linotype" w:cs="Palatino Linotype"/>
        </w:rPr>
        <w:t>siguientes datos</w:t>
      </w:r>
      <w:r>
        <w:rPr>
          <w:rFonts w:ascii="Palatino Linotype" w:eastAsia="Palatino Linotype" w:hAnsi="Palatino Linotype" w:cs="Palatino Linotype"/>
          <w:color w:val="000000"/>
        </w:rPr>
        <w:t>: No. credencial de elector, Clave de elector, Registro ante el IMSS, Domicilio, Correo electrónico y Teléfono.</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14158-2025-DGOP.pdf</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color w:val="000000"/>
        </w:rPr>
        <w:t>Oficio 210010000/0045/2026 de fecha 13 de enero de 2026, firmado por el Director General de Obras Públicas, a través del cual refiere que se localizó el contrato de la obra pública denominada "REHABILITACIÓN DE PAVIMENTACIÓN CON CARPETA ASFÁLTICA DE LA CALLE AGUSTÍN MILLÁN ENTRE CALLE MIGUEL HIDALGO Y CALLE CENTENARIO SAN PEDRO TOTOLTEPEC, MUNICIPIO DE TOLUCA., MÉXICO" número MT/DGOP/FAISMUN/LPN-026/2025. Contrato que se adjunta al presente en copia simple y en versión pública autorizada mediante el acuerdo CT/SE/07/02/2026 de la Séptima Sesión Extraordinaria del Comité de Transparencia del Municipio de Toluca, de fecha 9 de enero de 2026.</w:t>
      </w:r>
    </w:p>
    <w:p w:rsidR="0029463F" w:rsidRDefault="0029463F">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CONTRATO DE OBRA PÚBLICA A PRECIOS UNITARIOS Y TIEMPO DETERMINADO No. MT/DGOP/FAISMUN/LPN-026/2025, de la obra REHABILITACIÓN DE PAVIMENTACIÓN CON CARPETA ASFÁLTICA DE LA CALLE AGUSTÍN MILLÁN ENTRE CALLE MIGUEL HIDALGO Y CALLE CENTENARIO, SAN PEDRO TOTOLTЕРЕС, МUNICIPIO DE TOLUCA, MÉXICO.</w:t>
      </w:r>
    </w:p>
    <w:p w:rsidR="0029463F" w:rsidRDefault="001E578D">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versión pública.</w:t>
      </w:r>
    </w:p>
    <w:p w:rsidR="0029463F" w:rsidRDefault="0029463F">
      <w:pPr>
        <w:pBdr>
          <w:top w:val="nil"/>
          <w:left w:val="nil"/>
          <w:bottom w:val="nil"/>
          <w:right w:val="nil"/>
          <w:between w:val="nil"/>
        </w:pBdr>
        <w:ind w:left="567" w:right="-787"/>
        <w:jc w:val="both"/>
      </w:pPr>
    </w:p>
    <w:p w:rsidR="0029463F" w:rsidRDefault="0029463F">
      <w:pPr>
        <w:pBdr>
          <w:top w:val="nil"/>
          <w:left w:val="nil"/>
          <w:bottom w:val="nil"/>
          <w:right w:val="nil"/>
          <w:between w:val="nil"/>
        </w:pBdr>
        <w:ind w:left="567" w:right="-787"/>
        <w:jc w:val="both"/>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veintitrés de febrero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ampliar el término para resolver</w:t>
      </w:r>
      <w:r>
        <w:rPr>
          <w:rFonts w:ascii="Palatino Linotype" w:eastAsia="Palatino Linotype" w:hAnsi="Palatino Linotype" w:cs="Palatino Linotype"/>
          <w:color w:val="000000"/>
        </w:rPr>
        <w:t xml:space="preserve"> el presente asunto.</w:t>
      </w:r>
    </w:p>
    <w:p w:rsidR="0029463F" w:rsidRDefault="0029463F">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bookmarkStart w:id="2" w:name="_heading=h.3znysh7" w:colFirst="0" w:colLast="0"/>
      <w:bookmarkEnd w:id="2"/>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veintiséis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29463F" w:rsidRDefault="0029463F">
      <w:pPr>
        <w:pBdr>
          <w:top w:val="nil"/>
          <w:left w:val="nil"/>
          <w:bottom w:val="nil"/>
          <w:right w:val="nil"/>
          <w:between w:val="nil"/>
        </w:pBdr>
        <w:ind w:right="-788"/>
        <w:jc w:val="both"/>
        <w:rPr>
          <w:rFonts w:ascii="Palatino Linotype" w:eastAsia="Palatino Linotype" w:hAnsi="Palatino Linotype" w:cs="Palatino Linotype"/>
          <w:b/>
          <w:bCs/>
          <w:color w:val="000000"/>
        </w:rPr>
      </w:pPr>
    </w:p>
    <w:p w:rsidR="0029463F" w:rsidRDefault="001E578D">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29463F" w:rsidRDefault="0029463F">
      <w:pPr>
        <w:spacing w:line="360" w:lineRule="auto"/>
        <w:rPr>
          <w:rFonts w:ascii="Palatino Linotype" w:eastAsia="Palatino Linotype" w:hAnsi="Palatino Linotype" w:cs="Palatino Linotype"/>
        </w:rPr>
      </w:pPr>
    </w:p>
    <w:p w:rsidR="0029463F" w:rsidRDefault="001E578D">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9463F" w:rsidRDefault="0029463F">
      <w:pPr>
        <w:tabs>
          <w:tab w:val="left" w:pos="426"/>
        </w:tabs>
        <w:spacing w:line="360" w:lineRule="auto"/>
        <w:jc w:val="both"/>
        <w:rPr>
          <w:rFonts w:ascii="Palatino Linotype" w:eastAsia="Palatino Linotype" w:hAnsi="Palatino Linotype" w:cs="Palatino Linotype"/>
          <w:color w:val="000000"/>
        </w:rPr>
      </w:pPr>
    </w:p>
    <w:p w:rsidR="0029463F" w:rsidRDefault="001E578D">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3" w:name="_heading=h.2et92p0" w:colFirst="0" w:colLast="0"/>
      <w:bookmarkEnd w:id="3"/>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w:t>
      </w:r>
      <w:r>
        <w:rPr>
          <w:rFonts w:ascii="Palatino Linotype" w:eastAsia="Palatino Linotype" w:hAnsi="Palatino Linotype" w:cs="Palatino Linotype"/>
        </w:rPr>
        <w:lastRenderedPageBreak/>
        <w:t xml:space="preserve">respuesta el </w:t>
      </w:r>
      <w:r>
        <w:rPr>
          <w:rFonts w:ascii="Palatino Linotype" w:eastAsia="Palatino Linotype" w:hAnsi="Palatino Linotype" w:cs="Palatino Linotype"/>
          <w:b/>
          <w:bCs/>
        </w:rPr>
        <w:t>veintiocho de noviembre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uno al diecinueve de diciembre de dos mil veinticinco,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once de diciembre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29463F" w:rsidRDefault="0029463F">
      <w:pPr>
        <w:spacing w:line="360" w:lineRule="auto"/>
        <w:ind w:right="49"/>
        <w:jc w:val="both"/>
        <w:rPr>
          <w:rFonts w:ascii="Palatino Linotype" w:eastAsia="Palatino Linotype" w:hAnsi="Palatino Linotype" w:cs="Palatino Linotype"/>
        </w:rPr>
      </w:pPr>
    </w:p>
    <w:p w:rsidR="0029463F" w:rsidRDefault="001E578D">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29463F" w:rsidRDefault="001E578D">
      <w:pPr>
        <w:numPr>
          <w:ilvl w:val="0"/>
          <w:numId w:val="1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simplifica:</w:t>
      </w:r>
    </w:p>
    <w:p w:rsidR="0029463F" w:rsidRDefault="001E578D">
      <w:pPr>
        <w:numPr>
          <w:ilvl w:val="0"/>
          <w:numId w:val="9"/>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la reconstrucción de los 300 metro de la Agustín Millán en San Pedro Totoltepec:</w:t>
      </w:r>
    </w:p>
    <w:p w:rsidR="0029463F" w:rsidRDefault="001E578D">
      <w:pPr>
        <w:numPr>
          <w:ilvl w:val="0"/>
          <w:numId w:val="10"/>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Contrato con la empresa encargada de la obra.</w:t>
      </w:r>
    </w:p>
    <w:p w:rsidR="0029463F" w:rsidRDefault="001E578D">
      <w:pPr>
        <w:numPr>
          <w:ilvl w:val="0"/>
          <w:numId w:val="10"/>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Metros de avance con los documentos y fotografías que lo acredite.</w:t>
      </w:r>
    </w:p>
    <w:p w:rsidR="0029463F" w:rsidRDefault="001E578D">
      <w:pPr>
        <w:numPr>
          <w:ilvl w:val="0"/>
          <w:numId w:val="10"/>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Acta de los COCICOVI que confirme el avance y los trabajos.</w:t>
      </w:r>
    </w:p>
    <w:p w:rsidR="0029463F" w:rsidRDefault="001E578D">
      <w:pPr>
        <w:numPr>
          <w:ilvl w:val="0"/>
          <w:numId w:val="10"/>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Facturas pagadas a la empresa.</w:t>
      </w:r>
    </w:p>
    <w:p w:rsidR="0029463F" w:rsidRDefault="001E578D">
      <w:pPr>
        <w:numPr>
          <w:ilvl w:val="0"/>
          <w:numId w:val="10"/>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Expediente técnico.</w:t>
      </w:r>
    </w:p>
    <w:p w:rsidR="0029463F" w:rsidRDefault="001E578D">
      <w:pPr>
        <w:numPr>
          <w:ilvl w:val="0"/>
          <w:numId w:val="10"/>
        </w:numPr>
        <w:pBdr>
          <w:top w:val="nil"/>
          <w:left w:val="nil"/>
          <w:bottom w:val="nil"/>
          <w:right w:val="nil"/>
          <w:between w:val="nil"/>
        </w:pBdr>
      </w:pPr>
      <w:r>
        <w:rPr>
          <w:rFonts w:ascii="Palatino Linotype" w:eastAsia="Palatino Linotype" w:hAnsi="Palatino Linotype" w:cs="Palatino Linotype"/>
          <w:i/>
          <w:iCs/>
          <w:color w:val="000000"/>
        </w:rPr>
        <w:t>Documento que acredite la asignación y aprobación del comité de adquisiciones.</w:t>
      </w:r>
    </w:p>
    <w:p w:rsidR="0029463F" w:rsidRDefault="0029463F">
      <w:pPr>
        <w:ind w:left="709" w:right="-788"/>
        <w:jc w:val="both"/>
        <w:rPr>
          <w:rFonts w:ascii="Palatino Linotype" w:eastAsia="Palatino Linotype" w:hAnsi="Palatino Linotype" w:cs="Palatino Linotype"/>
          <w:b/>
          <w:bCs/>
        </w:rPr>
      </w:pPr>
    </w:p>
    <w:p w:rsidR="00F80AC2" w:rsidRDefault="00F80AC2">
      <w:pPr>
        <w:ind w:left="709" w:right="-788"/>
        <w:jc w:val="both"/>
        <w:rPr>
          <w:rFonts w:ascii="Palatino Linotype" w:eastAsia="Palatino Linotype" w:hAnsi="Palatino Linotype" w:cs="Palatino Linotype"/>
          <w:b/>
          <w:bCs/>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29463F" w:rsidRDefault="0029463F">
      <w:pPr>
        <w:spacing w:line="360" w:lineRule="auto"/>
        <w:ind w:right="-787"/>
        <w:jc w:val="both"/>
        <w:rPr>
          <w:rFonts w:ascii="Palatino Linotype" w:eastAsia="Palatino Linotype" w:hAnsi="Palatino Linotype" w:cs="Palatino Linotype"/>
          <w:i/>
          <w:iCs/>
          <w:color w:val="000000"/>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contexto del cual se dolió el Recurrente al momento de interponer su </w:t>
      </w:r>
      <w:r>
        <w:rPr>
          <w:rFonts w:ascii="Palatino Linotype" w:eastAsia="Palatino Linotype" w:hAnsi="Palatino Linotype" w:cs="Palatino Linotype"/>
        </w:rPr>
        <w:lastRenderedPageBreak/>
        <w:t>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29463F" w:rsidRDefault="0029463F">
      <w:pPr>
        <w:spacing w:line="360" w:lineRule="auto"/>
        <w:ind w:right="-787"/>
        <w:rPr>
          <w:rFonts w:ascii="Palatino Linotype" w:eastAsia="Palatino Linotype" w:hAnsi="Palatino Linotype" w:cs="Palatino Linotype"/>
        </w:rPr>
      </w:pPr>
    </w:p>
    <w:p w:rsidR="0029463F" w:rsidRDefault="001E578D">
      <w:pPr>
        <w:pStyle w:val="Ttulo2"/>
        <w:rPr>
          <w:rFonts w:ascii="Palatino Linotype" w:eastAsia="Palatino Linotype" w:hAnsi="Palatino Linotype" w:cs="Palatino Linotype"/>
          <w:b/>
          <w:bCs/>
          <w:color w:val="000000"/>
          <w:sz w:val="24"/>
          <w:szCs w:val="24"/>
        </w:rPr>
      </w:pPr>
      <w:bookmarkStart w:id="4" w:name="_heading=h.1t3h5sf" w:colFirst="0" w:colLast="0"/>
      <w:bookmarkEnd w:id="4"/>
      <w:r>
        <w:rPr>
          <w:rFonts w:ascii="Palatino Linotype" w:eastAsia="Palatino Linotype" w:hAnsi="Palatino Linotype" w:cs="Palatino Linotype"/>
          <w:b/>
          <w:bCs/>
          <w:color w:val="000000"/>
          <w:sz w:val="24"/>
          <w:szCs w:val="24"/>
        </w:rPr>
        <w:t>CUARTO. Del estudio y resolución del asunto.</w:t>
      </w: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9463F" w:rsidRDefault="0029463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w:t>
      </w:r>
      <w:r>
        <w:rPr>
          <w:rFonts w:ascii="Palatino Linotype" w:eastAsia="Palatino Linotype" w:hAnsi="Palatino Linotype" w:cs="Palatino Linotype"/>
        </w:rPr>
        <w:lastRenderedPageBreak/>
        <w:t>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4"/>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29463F" w:rsidRDefault="001E578D">
      <w:pPr>
        <w:numPr>
          <w:ilvl w:val="0"/>
          <w:numId w:val="11"/>
        </w:numPr>
        <w:spacing w:line="360" w:lineRule="auto"/>
        <w:ind w:left="0" w:right="-787" w:firstLine="0"/>
        <w:jc w:val="both"/>
      </w:pPr>
      <w:r>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29463F" w:rsidRDefault="001E578D">
      <w:pPr>
        <w:ind w:left="567"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29463F" w:rsidRDefault="0029463F">
      <w:pPr>
        <w:ind w:left="567" w:right="-220"/>
        <w:jc w:val="center"/>
        <w:rPr>
          <w:rFonts w:ascii="Palatino Linotype" w:eastAsia="Palatino Linotype" w:hAnsi="Palatino Linotype" w:cs="Palatino Linotype"/>
          <w:b/>
          <w:bCs/>
          <w:i/>
          <w:iCs/>
        </w:rPr>
      </w:pP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29463F" w:rsidRDefault="0029463F">
      <w:pPr>
        <w:ind w:left="567" w:right="-788"/>
        <w:jc w:val="both"/>
        <w:rPr>
          <w:rFonts w:ascii="Palatino Linotype" w:eastAsia="Palatino Linotype" w:hAnsi="Palatino Linotype" w:cs="Palatino Linotype"/>
          <w:i/>
          <w:iCs/>
        </w:rPr>
      </w:pP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Secretaría del Ayuntamiento; </w:t>
      </w: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 Tesorería Municipal; </w:t>
      </w: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3. Órgano Interno de Control;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Dirección General de Gobierno;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Dirección General de Seguridad y Protección;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Dirección General de Administración;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Dirección General de Medio Ambiente;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Dirección General de Servicios Públicos;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Dirección General de Innovación, Planeación y Gestión Urbana; </w:t>
      </w: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10. Dirección General de Obras Públicas;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Dirección General de Desarrollo Económico;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 Dirección General de Bienestar; y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13. Dirección General de Educación, Cultura y Turismo.</w:t>
      </w:r>
    </w:p>
    <w:p w:rsidR="0029463F" w:rsidRDefault="0029463F">
      <w:pPr>
        <w:ind w:left="567" w:right="-788"/>
        <w:jc w:val="both"/>
        <w:rPr>
          <w:rFonts w:ascii="Palatino Linotype" w:eastAsia="Palatino Linotype" w:hAnsi="Palatino Linotype" w:cs="Palatino Linotype"/>
          <w:i/>
          <w:iCs/>
        </w:rPr>
      </w:pP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ORGANISMOS DESCENTRALIZADOS: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Sistema Municipal para el Desarrollo Integral de la Familia de Toluca;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Instituto Municipal de Cultura Física y Deporte de Toluca;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Instituto Municipal de la Mujer de Toluca; y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Organismo Agua y Saneamiento de Toluca. </w:t>
      </w:r>
    </w:p>
    <w:p w:rsidR="0029463F" w:rsidRDefault="0029463F">
      <w:pPr>
        <w:ind w:left="567" w:right="-788"/>
        <w:jc w:val="both"/>
        <w:rPr>
          <w:rFonts w:ascii="Palatino Linotype" w:eastAsia="Palatino Linotype" w:hAnsi="Palatino Linotype" w:cs="Palatino Linotype"/>
          <w:i/>
          <w:iCs/>
        </w:rPr>
      </w:pPr>
    </w:p>
    <w:p w:rsidR="0029463F" w:rsidRDefault="001E578D">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III. ÓRGANO AUTÓNOMO: </w:t>
      </w:r>
    </w:p>
    <w:p w:rsidR="0029463F" w:rsidRDefault="001E578D">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1. Defensoría Municipal de los Derechos Humanos de Toluca.</w:t>
      </w:r>
    </w:p>
    <w:p w:rsidR="0029463F" w:rsidRDefault="0029463F">
      <w:pPr>
        <w:spacing w:line="360" w:lineRule="auto"/>
        <w:ind w:right="-787"/>
        <w:jc w:val="both"/>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 xml:space="preserve">Tesorería Municipal </w:t>
      </w:r>
      <w:r>
        <w:rPr>
          <w:rFonts w:ascii="Palatino Linotype" w:eastAsia="Palatino Linotype" w:hAnsi="Palatino Linotype" w:cs="Palatino Linotype"/>
        </w:rPr>
        <w:t xml:space="preserve">es responsable de la </w:t>
      </w:r>
      <w:r>
        <w:rPr>
          <w:rFonts w:ascii="Palatino Linotype" w:eastAsia="Palatino Linotype" w:hAnsi="Palatino Linotype" w:cs="Palatino Linotype"/>
          <w:b/>
          <w:bCs/>
        </w:rPr>
        <w:t>administración y control de los recursos financieros del municipio, asegurando el cumplimiento de las disposiciones fiscales y presupuestales</w:t>
      </w:r>
      <w:r>
        <w:rPr>
          <w:rFonts w:ascii="Palatino Linotype" w:eastAsia="Palatino Linotype" w:hAnsi="Palatino Linotype" w:cs="Palatino Linotype"/>
        </w:rPr>
        <w:t>. Sus funciones incluyen la recaudación, fiscalización y administración de ingresos municipales, así como la elaboración y supervisión de los informes financieros y la cuenta pública. Además, coordina la aplicación de políticas de racionalidad y austeridad presupuestal, otorga suficiencia presupuestaria a las dependencias municipales, y gestiona la nómina del personal, garantizando su pago oportuno, de conformidad con lo establecido en el artículo 92, fracción II, del Bando Municipal 2025.</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Órgano Interno de Control Municipal</w:t>
      </w:r>
      <w:r>
        <w:rPr>
          <w:rFonts w:ascii="Palatino Linotype" w:eastAsia="Palatino Linotype" w:hAnsi="Palatino Linotype" w:cs="Palatino Linotype"/>
        </w:rPr>
        <w:t xml:space="preserve"> tendrá como principales funciones el control y la fiscalización municipal; la aplicación de normas, evaluación de ingresos y egresos, la planeación del control interno, asesoría en responsabilidades administrativas y supervisión del cumplimiento normativo. Para ello, podrá llevar a cabo auditorías, revisiones financieras, supervisión de contrataciones y gestión patrimonial. Además, podrá investigar posibles faltas administrativas y colaborar con instancias estatales y federales. Recibirá y canalizará </w:t>
      </w:r>
      <w:r>
        <w:rPr>
          <w:rFonts w:ascii="Palatino Linotype" w:eastAsia="Palatino Linotype" w:hAnsi="Palatino Linotype" w:cs="Palatino Linotype"/>
        </w:rPr>
        <w:lastRenderedPageBreak/>
        <w:t>denuncias, fomentará la participación ciudadana en materia de fiscalización y garantizará mecanismos para prevenir actos de corrupción, fortaleciendo la rendición de cuentas y el cumplimiento de la normatividad aplicable.</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de conformidad con el Manual de Organización del Órgano Interno de Control Municipal, la </w:t>
      </w:r>
      <w:r>
        <w:rPr>
          <w:rFonts w:ascii="Palatino Linotype" w:eastAsia="Palatino Linotype" w:hAnsi="Palatino Linotype" w:cs="Palatino Linotype"/>
          <w:b/>
          <w:bCs/>
        </w:rPr>
        <w:t>Dirección de Auditoría de Obra y Contraloría Social</w:t>
      </w:r>
      <w:r>
        <w:rPr>
          <w:rFonts w:ascii="Palatino Linotype" w:eastAsia="Palatino Linotype" w:hAnsi="Palatino Linotype" w:cs="Palatino Linotype"/>
        </w:rPr>
        <w:t>¸ tiene como objetivo promover la participación ciudadana en la vigilancia de la aplicación de recursos federales, estatales o municipales y en la entrega y recepción de obras y acciones; planear, organizar y ejecutar auditorías e inspecciones a las dependencias municipales, e implementar y realizar acciones de control, inherentes a la Dirección, y dentro de sus funciones tiene la de Supervisar la constitución y operación de los Comités Ciudadanos de Control y Vigilancia y Comités Ciudadanos de Control y Vigilancia Municipal, así como la capacitación de los mismos.</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Dirección General de Obras Públicas</w:t>
      </w:r>
      <w:r>
        <w:rPr>
          <w:rFonts w:ascii="Palatino Linotype" w:eastAsia="Palatino Linotype" w:hAnsi="Palatino Linotype" w:cs="Palatino Linotype"/>
        </w:rPr>
        <w:t xml:space="preserve"> es responsable de coordinar la planificación y ejecución del Programa Anual de Obra Pública en alineación con el Plan de Desarrollo Municipal. Llevará a cabo, además, la </w:t>
      </w:r>
      <w:r>
        <w:rPr>
          <w:rFonts w:ascii="Palatino Linotype" w:eastAsia="Palatino Linotype" w:hAnsi="Palatino Linotype" w:cs="Palatino Linotype"/>
          <w:b/>
          <w:bCs/>
        </w:rPr>
        <w:t>presupuestación, adjudicación, contratación, ejecución y supervisión de la obra pública municipal</w:t>
      </w:r>
      <w:r>
        <w:rPr>
          <w:rFonts w:ascii="Palatino Linotype" w:eastAsia="Palatino Linotype" w:hAnsi="Palatino Linotype" w:cs="Palatino Linotype"/>
        </w:rPr>
        <w:t>, así como en su caso, la rescisión y/o terminación anticipada de contratos de obra pública, de conformidad con lo establecido en el artículo 92, fracción X, del Bando Municipal 2025.</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de conformidad con el artículo 3.55 del Código Reglamentario Municipal, La o el titular de la </w:t>
      </w:r>
      <w:r>
        <w:rPr>
          <w:rFonts w:ascii="Palatino Linotype" w:eastAsia="Palatino Linotype" w:hAnsi="Palatino Linotype" w:cs="Palatino Linotype"/>
          <w:b/>
          <w:bCs/>
        </w:rPr>
        <w:t>Dirección de Obras Públicas</w:t>
      </w:r>
      <w:r>
        <w:rPr>
          <w:rFonts w:ascii="Palatino Linotype" w:eastAsia="Palatino Linotype" w:hAnsi="Palatino Linotype" w:cs="Palatino Linotype"/>
        </w:rPr>
        <w:t xml:space="preserve">, tiene la atribución de Coadyuvar con la </w:t>
      </w:r>
      <w:r>
        <w:rPr>
          <w:rFonts w:ascii="Palatino Linotype" w:eastAsia="Palatino Linotype" w:hAnsi="Palatino Linotype" w:cs="Palatino Linotype"/>
        </w:rPr>
        <w:lastRenderedPageBreak/>
        <w:t>Contraloría Municipal la integración de los Comités Ciudadanos de Control y Vigilancia, encargados de supervisar la obra pública municipal.</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 xml:space="preserve">Tesorería Municipal, </w:t>
      </w:r>
      <w:r>
        <w:rPr>
          <w:rFonts w:ascii="Palatino Linotype" w:eastAsia="Palatino Linotype" w:hAnsi="Palatino Linotype" w:cs="Palatino Linotype"/>
        </w:rPr>
        <w:t>el</w:t>
      </w:r>
      <w:r>
        <w:rPr>
          <w:rFonts w:ascii="Palatino Linotype" w:eastAsia="Palatino Linotype" w:hAnsi="Palatino Linotype" w:cs="Palatino Linotype"/>
          <w:b/>
          <w:bCs/>
        </w:rPr>
        <w:t xml:space="preserve"> Órgano Interno de Control </w:t>
      </w:r>
      <w:r>
        <w:rPr>
          <w:rFonts w:ascii="Palatino Linotype" w:eastAsia="Palatino Linotype" w:hAnsi="Palatino Linotype" w:cs="Palatino Linotype"/>
        </w:rPr>
        <w:t>y la</w:t>
      </w:r>
      <w:r>
        <w:rPr>
          <w:rFonts w:ascii="Palatino Linotype" w:eastAsia="Palatino Linotype" w:hAnsi="Palatino Linotype" w:cs="Palatino Linotype"/>
          <w:b/>
          <w:bCs/>
        </w:rPr>
        <w:t xml:space="preserve"> Dirección General de Obras Públicas</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9463F" w:rsidRDefault="001E578D">
      <w:pPr>
        <w:ind w:left="708"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9463F" w:rsidRDefault="0029463F">
      <w:pPr>
        <w:spacing w:line="360" w:lineRule="auto"/>
        <w:ind w:left="708" w:right="62"/>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9463F" w:rsidRDefault="001E578D">
      <w:pPr>
        <w:ind w:left="425"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29463F" w:rsidRDefault="0029463F">
      <w:pP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w:t>
      </w:r>
      <w:r>
        <w:rPr>
          <w:rFonts w:ascii="Palatino Linotype" w:eastAsia="Palatino Linotype" w:hAnsi="Palatino Linotype" w:cs="Palatino Linotype"/>
          <w:color w:val="000000"/>
        </w:rPr>
        <w:lastRenderedPageBreak/>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9463F" w:rsidRDefault="001E578D">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29463F" w:rsidRDefault="001E578D">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29463F" w:rsidRDefault="001E578D">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9463F" w:rsidRDefault="001E578D">
      <w:pPr>
        <w:spacing w:line="360" w:lineRule="auto"/>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29463F" w:rsidRDefault="0029463F">
      <w:pPr>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w:t>
      </w:r>
      <w:r>
        <w:rPr>
          <w:rFonts w:ascii="Palatino Linotype" w:eastAsia="Palatino Linotype" w:hAnsi="Palatino Linotype" w:cs="Palatino Linotype"/>
        </w:rPr>
        <w:t>Acuerdo</w:t>
      </w:r>
      <w:r>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9463F" w:rsidRDefault="001E578D">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29463F" w:rsidRDefault="001E578D">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w:t>
      </w:r>
      <w:r>
        <w:rPr>
          <w:rFonts w:ascii="Palatino Linotype" w:eastAsia="Palatino Linotype" w:hAnsi="Palatino Linotype" w:cs="Palatino Linotype"/>
          <w:i/>
          <w:iCs/>
        </w:rPr>
        <w:lastRenderedPageBreak/>
        <w:t>del ejercicio de sus funciones de derecho público, sin importar su fuente, soporte o fecha de elaboración.</w:t>
      </w:r>
    </w:p>
    <w:p w:rsidR="0029463F" w:rsidRDefault="001E578D">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29463F" w:rsidRDefault="001E578D">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29463F" w:rsidRDefault="001E578D">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29463F" w:rsidRDefault="001E578D">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29463F" w:rsidRDefault="001E578D">
      <w:pPr>
        <w:tabs>
          <w:tab w:val="left" w:pos="851"/>
        </w:tabs>
        <w:spacing w:line="360" w:lineRule="auto"/>
        <w:ind w:left="850"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29463F" w:rsidRDefault="0029463F">
      <w:pPr>
        <w:pBdr>
          <w:top w:val="nil"/>
          <w:left w:val="nil"/>
          <w:bottom w:val="nil"/>
          <w:right w:val="nil"/>
          <w:between w:val="nil"/>
        </w:pBdr>
        <w:ind w:right="-787"/>
        <w:jc w:val="both"/>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color w:val="000000"/>
        </w:rPr>
      </w:pPr>
      <w:r>
        <w:rPr>
          <w:rFonts w:ascii="Palatino Linotype" w:eastAsia="Palatino Linotype" w:hAnsi="Palatino Linotype" w:cs="Palatino Linotype"/>
          <w:color w:val="000000"/>
        </w:rPr>
        <w:t xml:space="preserve">Por su parte </w:t>
      </w:r>
      <w:r>
        <w:rPr>
          <w:rFonts w:ascii="Palatino Linotype" w:eastAsia="Palatino Linotype" w:hAnsi="Palatino Linotype" w:cs="Palatino Linotype"/>
        </w:rPr>
        <w:t>los</w:t>
      </w:r>
      <w:r>
        <w:rPr>
          <w:rFonts w:ascii="Palatino Linotype" w:eastAsia="Palatino Linotype" w:hAnsi="Palatino Linotype" w:cs="Palatino Linotype"/>
          <w:color w:val="000000"/>
        </w:rPr>
        <w:t xml:space="preserve"> artículos 160 y 166, de la Ley local en la materia, que se reproduce de la siguiente forma:</w:t>
      </w:r>
    </w:p>
    <w:p w:rsidR="0029463F" w:rsidRDefault="001E578D">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29463F" w:rsidRDefault="0029463F">
      <w:pPr>
        <w:ind w:left="566" w:right="-220"/>
        <w:jc w:val="both"/>
        <w:rPr>
          <w:rFonts w:ascii="Palatino Linotype" w:eastAsia="Palatino Linotype" w:hAnsi="Palatino Linotype" w:cs="Palatino Linotype"/>
          <w:i/>
          <w:iCs/>
        </w:rPr>
      </w:pPr>
    </w:p>
    <w:p w:rsidR="0029463F" w:rsidRDefault="001E578D">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29463F" w:rsidRDefault="001E578D">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29463F" w:rsidRDefault="001E578D">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29463F" w:rsidRDefault="0029463F">
      <w:pPr>
        <w:ind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rPr>
          <w:color w:val="000000"/>
        </w:rPr>
      </w:pPr>
      <w:r>
        <w:rPr>
          <w:rFonts w:ascii="Palatino Linotype" w:eastAsia="Palatino Linotype" w:hAnsi="Palatino Linotype" w:cs="Palatino Linotype"/>
          <w:color w:val="000000"/>
        </w:rPr>
        <w:t xml:space="preserve">Así que la obligación de los Sujetos Obligados de dar acceso a la información pública que generen, </w:t>
      </w:r>
      <w:r>
        <w:rPr>
          <w:rFonts w:ascii="Palatino Linotype" w:eastAsia="Palatino Linotype" w:hAnsi="Palatino Linotype" w:cs="Palatino Linotype"/>
        </w:rPr>
        <w:t>administren</w:t>
      </w:r>
      <w:r>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29463F" w:rsidRDefault="001E578D">
      <w:pPr>
        <w:numPr>
          <w:ilvl w:val="0"/>
          <w:numId w:val="1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De la naturaleza de la información solicitada. </w:t>
      </w: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precisa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tan es así que remitió diversa información en atención a la solicitud correspondiente. </w:t>
      </w:r>
    </w:p>
    <w:p w:rsidR="0029463F" w:rsidRDefault="0029463F">
      <w:pPr>
        <w:tabs>
          <w:tab w:val="left" w:pos="0"/>
          <w:tab w:val="left" w:pos="567"/>
        </w:tabs>
        <w:spacing w:line="360" w:lineRule="auto"/>
        <w:ind w:left="-566" w:right="-787"/>
        <w:jc w:val="both"/>
        <w:rPr>
          <w:rFonts w:ascii="Palatino Linotype" w:eastAsia="Palatino Linotype" w:hAnsi="Palatino Linotype" w:cs="Palatino Linotype"/>
        </w:rPr>
      </w:pPr>
    </w:p>
    <w:p w:rsidR="0029463F" w:rsidRDefault="001E578D">
      <w:pPr>
        <w:numPr>
          <w:ilvl w:val="0"/>
          <w:numId w:val="11"/>
        </w:numPr>
        <w:spacing w:line="360" w:lineRule="auto"/>
        <w:ind w:left="0" w:right="-787" w:firstLine="0"/>
        <w:jc w:val="both"/>
      </w:pPr>
      <w:bookmarkStart w:id="5" w:name="_heading=h.2s8eyo1" w:colFirst="0" w:colLast="0"/>
      <w:bookmarkEnd w:id="5"/>
      <w:r>
        <w:rPr>
          <w:rFonts w:ascii="Palatino Linotype" w:eastAsia="Palatino Linotype" w:hAnsi="Palatino Linotype" w:cs="Palatino Linotype"/>
        </w:rPr>
        <w:t xml:space="preserve">En efecto, el </w:t>
      </w:r>
      <w:r>
        <w:rPr>
          <w:rFonts w:ascii="Palatino Linotype" w:eastAsia="Palatino Linotype" w:hAnsi="Palatino Linotype" w:cs="Palatino Linotype"/>
          <w:color w:val="000000"/>
        </w:rPr>
        <w:t>hecho</w:t>
      </w:r>
      <w:r>
        <w:rPr>
          <w:rFonts w:ascii="Palatino Linotype" w:eastAsia="Palatino Linotype" w:hAnsi="Palatino Linotype" w:cs="Palatino Linotype"/>
        </w:rPr>
        <w:t xml:space="preserve">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29463F" w:rsidRDefault="001E578D">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29463F" w:rsidRDefault="0029463F">
      <w:pPr>
        <w:tabs>
          <w:tab w:val="left" w:pos="8505"/>
        </w:tabs>
        <w:ind w:left="709" w:right="-858"/>
        <w:jc w:val="both"/>
        <w:rPr>
          <w:rFonts w:ascii="Palatino Linotype" w:eastAsia="Palatino Linotype" w:hAnsi="Palatino Linotype" w:cs="Palatino Linotype"/>
          <w:i/>
          <w:iCs/>
        </w:rPr>
      </w:pPr>
    </w:p>
    <w:p w:rsidR="0029463F" w:rsidRDefault="001E578D">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29463F" w:rsidRDefault="0029463F">
      <w:pPr>
        <w:tabs>
          <w:tab w:val="left" w:pos="8505"/>
        </w:tabs>
        <w:ind w:left="709" w:right="-858"/>
        <w:jc w:val="both"/>
        <w:rPr>
          <w:rFonts w:ascii="Palatino Linotype" w:eastAsia="Palatino Linotype" w:hAnsi="Palatino Linotype" w:cs="Palatino Linotype"/>
          <w:i/>
          <w:iCs/>
        </w:rPr>
      </w:pPr>
    </w:p>
    <w:p w:rsidR="0029463F" w:rsidRDefault="0029463F">
      <w:pPr>
        <w:pBdr>
          <w:top w:val="nil"/>
          <w:left w:val="nil"/>
          <w:bottom w:val="nil"/>
          <w:right w:val="nil"/>
          <w:between w:val="nil"/>
        </w:pBdr>
        <w:ind w:left="-566" w:right="-787"/>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color w:val="000000"/>
        </w:rPr>
      </w:pPr>
      <w:r>
        <w:rPr>
          <w:rFonts w:ascii="Palatino Linotype" w:eastAsia="Palatino Linotype" w:hAnsi="Palatino Linotype" w:cs="Palatino Linotype"/>
        </w:rPr>
        <w:t xml:space="preserve">Así, el estudio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29463F" w:rsidRDefault="001E578D">
      <w:pPr>
        <w:numPr>
          <w:ilvl w:val="0"/>
          <w:numId w:val="1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Con el objetivo de profundizar en el análisis del presente medio de impugnación, y proporcionar una comprensión integral, la siguiente tabla detalla el la información requerida, la respuesta entregada, y la información proporcionada en informe justificado, a fin de determinar si el Sujeto Obligado colma con el requerimiento hecho, toda vez que la inconformidad corresponde a la entrega de información incompleta.</w:t>
      </w:r>
    </w:p>
    <w:p w:rsidR="0029463F" w:rsidRDefault="0029463F">
      <w:pPr>
        <w:spacing w:line="360" w:lineRule="auto"/>
        <w:ind w:right="-787"/>
        <w:jc w:val="both"/>
        <w:rPr>
          <w:rFonts w:ascii="Palatino Linotype" w:eastAsia="Palatino Linotype" w:hAnsi="Palatino Linotype" w:cs="Palatino Linotype"/>
          <w:color w:val="000000"/>
        </w:rPr>
      </w:pPr>
    </w:p>
    <w:tbl>
      <w:tblPr>
        <w:tblStyle w:val="a"/>
        <w:tblW w:w="9570"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370"/>
        <w:gridCol w:w="2850"/>
        <w:gridCol w:w="2835"/>
        <w:gridCol w:w="1515"/>
      </w:tblGrid>
      <w:tr w:rsidR="0029463F">
        <w:trPr>
          <w:trHeight w:val="426"/>
          <w:tblHeader/>
        </w:trPr>
        <w:tc>
          <w:tcPr>
            <w:tcW w:w="2370" w:type="dxa"/>
            <w:shd w:val="clear" w:color="auto" w:fill="D9D9D9"/>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Información solicitada</w:t>
            </w:r>
          </w:p>
          <w:p w:rsidR="0029463F" w:rsidRDefault="0029463F">
            <w:pPr>
              <w:pBdr>
                <w:top w:val="nil"/>
                <w:left w:val="nil"/>
                <w:bottom w:val="nil"/>
                <w:right w:val="nil"/>
                <w:between w:val="nil"/>
              </w:pBdr>
              <w:jc w:val="center"/>
              <w:rPr>
                <w:rFonts w:ascii="Palatino Linotype" w:eastAsia="Palatino Linotype" w:hAnsi="Palatino Linotype" w:cs="Palatino Linotype"/>
                <w:color w:val="000000"/>
              </w:rPr>
            </w:pPr>
          </w:p>
          <w:p w:rsidR="0029463F" w:rsidRDefault="001E578D">
            <w:pPr>
              <w:pBdr>
                <w:top w:val="nil"/>
                <w:left w:val="nil"/>
                <w:bottom w:val="nil"/>
                <w:right w:val="nil"/>
                <w:between w:val="nil"/>
              </w:pBdr>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la reconstrucción de los 300 metro de la Agustín Millán en San Pedro Totoltepec:</w:t>
            </w:r>
          </w:p>
        </w:tc>
        <w:tc>
          <w:tcPr>
            <w:tcW w:w="2850" w:type="dxa"/>
            <w:shd w:val="clear" w:color="auto" w:fill="D9D9D9"/>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Información proporcionada</w:t>
            </w:r>
          </w:p>
        </w:tc>
        <w:tc>
          <w:tcPr>
            <w:tcW w:w="2835" w:type="dxa"/>
            <w:shd w:val="clear" w:color="auto" w:fill="D9D9D9"/>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Información remitida en Informe Justificado</w:t>
            </w:r>
          </w:p>
        </w:tc>
        <w:tc>
          <w:tcPr>
            <w:tcW w:w="1515" w:type="dxa"/>
            <w:shd w:val="clear" w:color="auto" w:fill="D9D9D9"/>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¿Colma?</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B050"/>
              </w:rPr>
            </w:pPr>
            <w:r>
              <w:rPr>
                <w:rFonts w:ascii="Palatino Linotype" w:eastAsia="Palatino Linotype" w:hAnsi="Palatino Linotype" w:cs="Palatino Linotype"/>
                <w:i/>
                <w:iCs/>
                <w:color w:val="000000"/>
              </w:rPr>
              <w:t>Contrato con la empresa encargada de la obra</w:t>
            </w:r>
          </w:p>
        </w:tc>
        <w:tc>
          <w:tcPr>
            <w:tcW w:w="2850" w:type="dxa"/>
            <w:shd w:val="clear" w:color="auto" w:fill="auto"/>
            <w:vAlign w:val="center"/>
          </w:tcPr>
          <w:p w:rsidR="0029463F" w:rsidRDefault="001E578D">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contrato de la obra pública denominada "REHABILITACIÓN DE PAVIMENTACIÓN CON CARPETA ASFÁLTICA DE LA CALLE AGUSTÍN MILLÁN ENTRE CALLE MIGUEL HIDALGO Y CALLE CENTENARIO SAN PEDRO TOTOLTEPEC, MUNICIPIO DE TOLUCA., MÉXICO" es el contrato No. MT/DGOP/FAISMUN/LPN-026/2025. </w:t>
            </w:r>
          </w:p>
          <w:p w:rsidR="0029463F" w:rsidRDefault="0029463F">
            <w:pPr>
              <w:jc w:val="both"/>
              <w:rPr>
                <w:rFonts w:ascii="Palatino Linotype" w:eastAsia="Palatino Linotype" w:hAnsi="Palatino Linotype" w:cs="Palatino Linotype"/>
                <w:color w:val="00B050"/>
              </w:rPr>
            </w:pPr>
          </w:p>
        </w:tc>
        <w:tc>
          <w:tcPr>
            <w:tcW w:w="2835" w:type="dxa"/>
            <w:shd w:val="clear" w:color="auto" w:fill="auto"/>
            <w:vAlign w:val="center"/>
          </w:tcPr>
          <w:p w:rsidR="0029463F" w:rsidRDefault="001E578D">
            <w:p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CONTRATO DE OBRA PÚBLICA A PRECIOS UNITARIOS Y TIEMPO DETERMINADO No. MT/DGOP/FAISMUN/LPN-026/2025, de la obra REHABILITACIÓN DE PAVIMENTACIÓN CON CARPETA ASFÁLTICA DE LA CALLE AGUSTÍN MILLÁN ENTRE CALLE MIGUEL HIDALGO Y CALLE CENTENARIO, SAN PEDRO TOTOLTЕРЕС, МUNICIPIO DE TOLUCA, MÉXICO.</w:t>
            </w:r>
          </w:p>
          <w:p w:rsidR="0029463F" w:rsidRDefault="0029463F">
            <w:pPr>
              <w:pBdr>
                <w:top w:val="nil"/>
                <w:left w:val="nil"/>
                <w:bottom w:val="nil"/>
                <w:right w:val="nil"/>
                <w:between w:val="nil"/>
              </w:pBdr>
              <w:jc w:val="both"/>
              <w:rPr>
                <w:rFonts w:ascii="Palatino Linotype" w:eastAsia="Palatino Linotype" w:hAnsi="Palatino Linotype" w:cs="Palatino Linotype"/>
                <w:color w:val="000000"/>
              </w:rPr>
            </w:pPr>
          </w:p>
          <w:p w:rsidR="0029463F" w:rsidRDefault="001E578D">
            <w:p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versión pública</w:t>
            </w:r>
          </w:p>
          <w:p w:rsidR="0029463F" w:rsidRDefault="0029463F">
            <w:pPr>
              <w:pBdr>
                <w:top w:val="nil"/>
                <w:left w:val="nil"/>
                <w:bottom w:val="nil"/>
                <w:right w:val="nil"/>
                <w:between w:val="nil"/>
              </w:pBdr>
              <w:jc w:val="center"/>
              <w:rPr>
                <w:rFonts w:ascii="Palatino Linotype" w:eastAsia="Palatino Linotype" w:hAnsi="Palatino Linotype" w:cs="Palatino Linotype"/>
                <w:color w:val="00B050"/>
              </w:rPr>
            </w:pPr>
          </w:p>
        </w:tc>
        <w:tc>
          <w:tcPr>
            <w:tcW w:w="1515" w:type="dxa"/>
            <w:shd w:val="clear" w:color="auto" w:fill="auto"/>
            <w:vAlign w:val="center"/>
          </w:tcPr>
          <w:p w:rsidR="0029463F" w:rsidRDefault="001E578D">
            <w:pPr>
              <w:pBdr>
                <w:top w:val="nil"/>
                <w:left w:val="nil"/>
                <w:bottom w:val="nil"/>
                <w:right w:val="nil"/>
                <w:between w:val="nil"/>
              </w:pBdr>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Parcialmente</w:t>
            </w:r>
          </w:p>
          <w:p w:rsidR="0029463F" w:rsidRDefault="0029463F">
            <w:pPr>
              <w:pBdr>
                <w:top w:val="nil"/>
                <w:left w:val="nil"/>
                <w:bottom w:val="nil"/>
                <w:right w:val="nil"/>
                <w:between w:val="nil"/>
              </w:pBdr>
              <w:jc w:val="both"/>
              <w:rPr>
                <w:rFonts w:ascii="Palatino Linotype" w:eastAsia="Palatino Linotype" w:hAnsi="Palatino Linotype" w:cs="Palatino Linotype"/>
                <w:b/>
                <w:bCs/>
                <w:color w:val="000000"/>
              </w:rPr>
            </w:pPr>
          </w:p>
          <w:p w:rsidR="0029463F" w:rsidRDefault="001E578D">
            <w:p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versión pública es incorrecta al testar los datos de domicilio para oír y recibir notificaciones y número telefónico de proveedores o contratistas, datos que </w:t>
            </w:r>
            <w:r>
              <w:rPr>
                <w:rFonts w:ascii="Palatino Linotype" w:eastAsia="Palatino Linotype" w:hAnsi="Palatino Linotype" w:cs="Palatino Linotype"/>
                <w:color w:val="000000"/>
              </w:rPr>
              <w:lastRenderedPageBreak/>
              <w:t>deben ser públicos.</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Metros de avance con los documentos y fotografías que lo acredite</w:t>
            </w:r>
          </w:p>
        </w:tc>
        <w:tc>
          <w:tcPr>
            <w:tcW w:w="2850" w:type="dxa"/>
            <w:shd w:val="clear" w:color="auto" w:fill="auto"/>
            <w:vAlign w:val="center"/>
          </w:tcPr>
          <w:p w:rsidR="0029463F" w:rsidRDefault="001E578D">
            <w:pPr>
              <w:jc w:val="both"/>
              <w:rPr>
                <w:rFonts w:ascii="Palatino Linotype" w:eastAsia="Palatino Linotype" w:hAnsi="Palatino Linotype" w:cs="Palatino Linotype"/>
              </w:rPr>
            </w:pPr>
            <w:r>
              <w:rPr>
                <w:rFonts w:ascii="Palatino Linotype" w:eastAsia="Palatino Linotype" w:hAnsi="Palatino Linotype" w:cs="Palatino Linotype"/>
              </w:rPr>
              <w:t>Pronunciamiento del Director General de Obras Públicas, refiriendo:</w:t>
            </w:r>
          </w:p>
          <w:p w:rsidR="0029463F" w:rsidRDefault="0029463F">
            <w:pPr>
              <w:jc w:val="both"/>
              <w:rPr>
                <w:rFonts w:ascii="Palatino Linotype" w:eastAsia="Palatino Linotype" w:hAnsi="Palatino Linotype" w:cs="Palatino Linotype"/>
              </w:rPr>
            </w:pPr>
          </w:p>
          <w:p w:rsidR="0029463F" w:rsidRDefault="001E578D">
            <w:pPr>
              <w:jc w:val="both"/>
              <w:rPr>
                <w:rFonts w:ascii="Palatino Linotype" w:eastAsia="Palatino Linotype" w:hAnsi="Palatino Linotype" w:cs="Palatino Linotype"/>
                <w:i/>
                <w:iCs/>
              </w:rPr>
            </w:pPr>
            <w:r>
              <w:rPr>
                <w:rFonts w:ascii="Palatino Linotype" w:eastAsia="Palatino Linotype" w:hAnsi="Palatino Linotype" w:cs="Palatino Linotype"/>
                <w:i/>
                <w:iCs/>
              </w:rPr>
              <w:t>El avance físico de la ejecución de los trabajos de la obra pública en mención es de un 100%.</w:t>
            </w:r>
          </w:p>
          <w:p w:rsidR="0029463F" w:rsidRDefault="0029463F">
            <w:pPr>
              <w:jc w:val="both"/>
              <w:rPr>
                <w:rFonts w:ascii="Palatino Linotype" w:eastAsia="Palatino Linotype" w:hAnsi="Palatino Linotype" w:cs="Palatino Linotype"/>
                <w:i/>
                <w:iCs/>
              </w:rPr>
            </w:pPr>
          </w:p>
          <w:p w:rsidR="0029463F" w:rsidRDefault="001E578D">
            <w:pPr>
              <w:jc w:val="both"/>
              <w:rPr>
                <w:rFonts w:ascii="Palatino Linotype" w:eastAsia="Palatino Linotype" w:hAnsi="Palatino Linotype" w:cs="Palatino Linotype"/>
                <w:i/>
                <w:iCs/>
              </w:rPr>
            </w:pPr>
            <w:r>
              <w:rPr>
                <w:rFonts w:ascii="Palatino Linotype" w:eastAsia="Palatino Linotype" w:hAnsi="Palatino Linotype" w:cs="Palatino Linotype"/>
                <w:i/>
                <w:iCs/>
              </w:rPr>
              <w:t>Adjunta evidencia fotográfica de la obra pública.</w:t>
            </w:r>
          </w:p>
          <w:p w:rsidR="0029463F" w:rsidRDefault="0029463F">
            <w:pPr>
              <w:jc w:val="both"/>
              <w:rPr>
                <w:rFonts w:ascii="Palatino Linotype" w:eastAsia="Palatino Linotype" w:hAnsi="Palatino Linotype" w:cs="Palatino Linotype"/>
                <w:i/>
                <w:iCs/>
              </w:rPr>
            </w:pPr>
          </w:p>
          <w:p w:rsidR="0029463F" w:rsidRDefault="001E578D">
            <w:pPr>
              <w:jc w:val="both"/>
              <w:rPr>
                <w:rFonts w:ascii="Palatino Linotype" w:eastAsia="Palatino Linotype" w:hAnsi="Palatino Linotype" w:cs="Palatino Linotype"/>
              </w:rPr>
            </w:pPr>
            <w:r>
              <w:rPr>
                <w:rFonts w:ascii="Palatino Linotype" w:eastAsia="Palatino Linotype" w:hAnsi="Palatino Linotype" w:cs="Palatino Linotype"/>
              </w:rPr>
              <w:t xml:space="preserve">Documento de fecha 30 de octubre de 2025, firmado por el Administrador Único ALSAFI GRUPO CONSTRUCTOR DE INFRAESTRUCTURA CIVIL, S.A. DE C.V. a través del cual hace del conocimiento al Director General de Obras Públicas, que </w:t>
            </w:r>
            <w:r>
              <w:rPr>
                <w:rFonts w:ascii="Palatino Linotype" w:eastAsia="Palatino Linotype" w:hAnsi="Palatino Linotype" w:cs="Palatino Linotype"/>
                <w:i/>
                <w:iCs/>
              </w:rPr>
              <w:t xml:space="preserve">con fecha del día 30 de octubre de </w:t>
            </w:r>
            <w:r>
              <w:rPr>
                <w:rFonts w:ascii="Palatino Linotype" w:eastAsia="Palatino Linotype" w:hAnsi="Palatino Linotype" w:cs="Palatino Linotype"/>
                <w:i/>
                <w:iCs/>
              </w:rPr>
              <w:lastRenderedPageBreak/>
              <w:t>2025 se dan por terminados los trabajos asignados, en referencia al contrato No. MT/DGOP/FAISMUN/LPN-026/2025 de obra pública, correspondiente a los trabajos de: REHABILITACIÓN DE PAVIMENTACIÓN CON CARPETA ASFÁLTICA DE LA CALLE AGUSTÍN MILLÁN ENTRE CALLE MIGUEL HIDALGO Y CALLE CENTENARIO, SAN PEDRO TOTOLTEPEC, MUNICIPIO DE TOLUCA, MÉXICO.</w:t>
            </w:r>
          </w:p>
        </w:tc>
        <w:tc>
          <w:tcPr>
            <w:tcW w:w="283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Se ratifica respuesta</w:t>
            </w:r>
          </w:p>
        </w:tc>
        <w:tc>
          <w:tcPr>
            <w:tcW w:w="151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rsidR="0029463F" w:rsidRDefault="0029463F">
            <w:pPr>
              <w:pBdr>
                <w:top w:val="nil"/>
                <w:left w:val="nil"/>
                <w:bottom w:val="nil"/>
                <w:right w:val="nil"/>
                <w:between w:val="nil"/>
              </w:pBdr>
              <w:jc w:val="center"/>
              <w:rPr>
                <w:rFonts w:ascii="Palatino Linotype" w:eastAsia="Palatino Linotype" w:hAnsi="Palatino Linotype" w:cs="Palatino Linotype"/>
                <w:b/>
                <w:bCs/>
                <w:color w:val="000000"/>
              </w:rPr>
            </w:pPr>
          </w:p>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Al entregar la información solicitada.</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Acta de los COCICOVI que confirme el avance y los trabajos</w:t>
            </w:r>
          </w:p>
        </w:tc>
        <w:tc>
          <w:tcPr>
            <w:tcW w:w="2850" w:type="dxa"/>
            <w:shd w:val="clear" w:color="auto" w:fill="auto"/>
            <w:vAlign w:val="center"/>
          </w:tcPr>
          <w:p w:rsidR="0029463F" w:rsidRDefault="001E578D">
            <w:pPr>
              <w:jc w:val="both"/>
              <w:rPr>
                <w:rFonts w:ascii="Palatino Linotype" w:eastAsia="Palatino Linotype" w:hAnsi="Palatino Linotype" w:cs="Palatino Linotype"/>
                <w:b/>
                <w:bCs/>
              </w:rPr>
            </w:pPr>
            <w:r>
              <w:rPr>
                <w:rFonts w:ascii="Palatino Linotype" w:eastAsia="Palatino Linotype" w:hAnsi="Palatino Linotype" w:cs="Palatino Linotype"/>
              </w:rPr>
              <w:t xml:space="preserve">Pronunciamiento del Órgano Interno de Control Municipal, a través de la Dirección de Auditoría de Obra y Contraloría Social, a través del cual refiere que </w:t>
            </w:r>
            <w:r>
              <w:rPr>
                <w:rFonts w:ascii="Palatino Linotype" w:eastAsia="Palatino Linotype" w:hAnsi="Palatino Linotype" w:cs="Palatino Linotype"/>
                <w:i/>
                <w:iCs/>
              </w:rPr>
              <w:t>no se encontraron registros administrativos de dicha solicitud.</w:t>
            </w:r>
          </w:p>
        </w:tc>
        <w:tc>
          <w:tcPr>
            <w:tcW w:w="283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Se ratifica respuesta</w:t>
            </w:r>
          </w:p>
        </w:tc>
        <w:tc>
          <w:tcPr>
            <w:tcW w:w="1515" w:type="dxa"/>
            <w:shd w:val="clear" w:color="auto" w:fill="auto"/>
            <w:vAlign w:val="center"/>
          </w:tcPr>
          <w:p w:rsidR="0029463F" w:rsidRDefault="001E578D">
            <w:pPr>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Facturas pagadas a la empresa</w:t>
            </w:r>
          </w:p>
        </w:tc>
        <w:tc>
          <w:tcPr>
            <w:tcW w:w="2850" w:type="dxa"/>
            <w:shd w:val="clear" w:color="auto" w:fill="auto"/>
            <w:vAlign w:val="center"/>
          </w:tcPr>
          <w:p w:rsidR="0029463F" w:rsidRDefault="001E578D">
            <w:pPr>
              <w:jc w:val="both"/>
              <w:rPr>
                <w:rFonts w:ascii="Palatino Linotype" w:eastAsia="Palatino Linotype" w:hAnsi="Palatino Linotype" w:cs="Palatino Linotype"/>
              </w:rPr>
            </w:pPr>
            <w:r>
              <w:rPr>
                <w:rFonts w:ascii="Palatino Linotype" w:eastAsia="Palatino Linotype" w:hAnsi="Palatino Linotype" w:cs="Palatino Linotype"/>
              </w:rPr>
              <w:t xml:space="preserve">La Tesorería Municipal refirió que </w:t>
            </w:r>
            <w:r>
              <w:rPr>
                <w:rFonts w:ascii="Palatino Linotype" w:eastAsia="Palatino Linotype" w:hAnsi="Palatino Linotype" w:cs="Palatino Linotype"/>
                <w:i/>
                <w:iCs/>
              </w:rPr>
              <w:t>los documentos solicitados, forman parte de la integración del cuarto informe trimestral de 2025, dicha integración es normada por los Lineamientos del Órgano Superior de Fiscalización del Estado de México en materia de integración, presentación y envío de los informes trimestrales del ejercicio fiscal 2025. Remitido un  link en formato cerrado para la consulta de dichos lineamientos.</w:t>
            </w:r>
          </w:p>
          <w:p w:rsidR="0029463F" w:rsidRDefault="0029463F">
            <w:pPr>
              <w:jc w:val="center"/>
              <w:rPr>
                <w:rFonts w:ascii="Palatino Linotype" w:eastAsia="Palatino Linotype" w:hAnsi="Palatino Linotype" w:cs="Palatino Linotype"/>
              </w:rPr>
            </w:pPr>
          </w:p>
        </w:tc>
        <w:tc>
          <w:tcPr>
            <w:tcW w:w="283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Se ratifica respuesta</w:t>
            </w:r>
          </w:p>
        </w:tc>
        <w:tc>
          <w:tcPr>
            <w:tcW w:w="1515" w:type="dxa"/>
            <w:shd w:val="clear" w:color="auto" w:fill="auto"/>
            <w:vAlign w:val="center"/>
          </w:tcPr>
          <w:p w:rsidR="0029463F" w:rsidRDefault="001E578D">
            <w:pPr>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Expediente técnico</w:t>
            </w:r>
          </w:p>
        </w:tc>
        <w:tc>
          <w:tcPr>
            <w:tcW w:w="2850" w:type="dxa"/>
            <w:shd w:val="clear" w:color="auto" w:fill="auto"/>
            <w:vAlign w:val="center"/>
          </w:tcPr>
          <w:p w:rsidR="0029463F" w:rsidRDefault="001E578D">
            <w:pPr>
              <w:jc w:val="both"/>
              <w:rPr>
                <w:rFonts w:ascii="Palatino Linotype" w:eastAsia="Palatino Linotype" w:hAnsi="Palatino Linotype" w:cs="Palatino Linotype"/>
              </w:rPr>
            </w:pPr>
            <w:r>
              <w:rPr>
                <w:rFonts w:ascii="Palatino Linotype" w:eastAsia="Palatino Linotype" w:hAnsi="Palatino Linotype" w:cs="Palatino Linotype"/>
                <w:i/>
                <w:iCs/>
              </w:rPr>
              <w:t xml:space="preserve">"Ficha Técnica" de obra pública denominada "REHABILITACIÓN DE PAVIMENTACIÓN CON CARPЕТА ASFÁLTICA DE LA CALLE AGUSTÍN MILLÁN ENTRE CALLE MIGUEL HIDALGO Y CALLE CENTENARIO </w:t>
            </w:r>
            <w:r>
              <w:rPr>
                <w:rFonts w:ascii="Palatino Linotype" w:eastAsia="Palatino Linotype" w:hAnsi="Palatino Linotype" w:cs="Palatino Linotype"/>
                <w:i/>
                <w:iCs/>
              </w:rPr>
              <w:lastRenderedPageBreak/>
              <w:t>SAN PEDRO TOTOLTEPEC, MUNICIPIO DE TOLUCA., MÉXICO".</w:t>
            </w:r>
          </w:p>
        </w:tc>
        <w:tc>
          <w:tcPr>
            <w:tcW w:w="283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Se ratifica respuesta</w:t>
            </w:r>
          </w:p>
        </w:tc>
        <w:tc>
          <w:tcPr>
            <w:tcW w:w="1515" w:type="dxa"/>
            <w:shd w:val="clear" w:color="auto" w:fill="auto"/>
            <w:vAlign w:val="center"/>
          </w:tcPr>
          <w:p w:rsidR="0029463F" w:rsidRDefault="001E578D">
            <w:pPr>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r w:rsidR="0029463F">
        <w:tc>
          <w:tcPr>
            <w:tcW w:w="2370" w:type="dxa"/>
            <w:shd w:val="clear" w:color="auto" w:fill="auto"/>
            <w:vAlign w:val="center"/>
          </w:tcPr>
          <w:p w:rsidR="0029463F" w:rsidRDefault="001E578D">
            <w:pPr>
              <w:pBdr>
                <w:top w:val="nil"/>
                <w:left w:val="nil"/>
                <w:bottom w:val="nil"/>
                <w:right w:val="nil"/>
                <w:between w:val="nil"/>
              </w:pBdr>
              <w:ind w:left="29" w:right="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Documento que acredite la asignación y aprobación del comité de adquisiciones</w:t>
            </w:r>
          </w:p>
        </w:tc>
        <w:tc>
          <w:tcPr>
            <w:tcW w:w="2850" w:type="dxa"/>
            <w:shd w:val="clear" w:color="auto" w:fill="auto"/>
            <w:vAlign w:val="center"/>
          </w:tcPr>
          <w:p w:rsidR="0029463F" w:rsidRDefault="001E578D">
            <w:pPr>
              <w:jc w:val="both"/>
              <w:rPr>
                <w:rFonts w:ascii="Palatino Linotype" w:eastAsia="Palatino Linotype" w:hAnsi="Palatino Linotype" w:cs="Palatino Linotype"/>
              </w:rPr>
            </w:pPr>
            <w:r>
              <w:rPr>
                <w:rFonts w:ascii="Palatino Linotype" w:eastAsia="Palatino Linotype" w:hAnsi="Palatino Linotype" w:cs="Palatino Linotype"/>
              </w:rPr>
              <w:t>Sin pronunciamiento</w:t>
            </w:r>
          </w:p>
        </w:tc>
        <w:tc>
          <w:tcPr>
            <w:tcW w:w="2835" w:type="dxa"/>
            <w:shd w:val="clear" w:color="auto" w:fill="auto"/>
            <w:vAlign w:val="center"/>
          </w:tcPr>
          <w:p w:rsidR="0029463F" w:rsidRDefault="001E578D">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Sin pronunciamiento</w:t>
            </w:r>
          </w:p>
        </w:tc>
        <w:tc>
          <w:tcPr>
            <w:tcW w:w="1515" w:type="dxa"/>
            <w:shd w:val="clear" w:color="auto" w:fill="auto"/>
            <w:vAlign w:val="center"/>
          </w:tcPr>
          <w:p w:rsidR="0029463F" w:rsidRDefault="001E578D">
            <w:pPr>
              <w:jc w:val="center"/>
              <w:rPr>
                <w:rFonts w:ascii="Palatino Linotype" w:eastAsia="Palatino Linotype" w:hAnsi="Palatino Linotype" w:cs="Palatino Linotype"/>
                <w:b/>
                <w:bCs/>
              </w:rPr>
            </w:pPr>
            <w:r>
              <w:rPr>
                <w:rFonts w:ascii="Palatino Linotype" w:eastAsia="Palatino Linotype" w:hAnsi="Palatino Linotype" w:cs="Palatino Linotype"/>
                <w:b/>
                <w:bCs/>
              </w:rPr>
              <w:t>No</w:t>
            </w:r>
          </w:p>
        </w:tc>
      </w:tr>
    </w:tbl>
    <w:p w:rsidR="0029463F" w:rsidRDefault="0029463F">
      <w:pPr>
        <w:spacing w:line="360" w:lineRule="auto"/>
        <w:ind w:right="-787"/>
        <w:jc w:val="both"/>
        <w:rPr>
          <w:rFonts w:ascii="Palatino Linotype" w:eastAsia="Palatino Linotype" w:hAnsi="Palatino Linotype" w:cs="Palatino Linotype"/>
          <w:i/>
          <w:iCs/>
        </w:rPr>
      </w:pPr>
    </w:p>
    <w:p w:rsidR="0029463F" w:rsidRDefault="0029463F">
      <w:pP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del punto de solicitud relativo al </w:t>
      </w:r>
      <w:r>
        <w:rPr>
          <w:rFonts w:ascii="Palatino Linotype" w:eastAsia="Palatino Linotype" w:hAnsi="Palatino Linotype" w:cs="Palatino Linotype"/>
          <w:i/>
          <w:iCs/>
          <w:u w:val="single"/>
        </w:rPr>
        <w:t>Contrato con la empresa encargada de la obra</w:t>
      </w:r>
      <w:r>
        <w:rPr>
          <w:rFonts w:ascii="Palatino Linotype" w:eastAsia="Palatino Linotype" w:hAnsi="Palatino Linotype" w:cs="Palatino Linotype"/>
        </w:rPr>
        <w:t>, a través de respuesta el Sujeto Obligado admitió la existencia de tal documento; no obstante, es en informe justificado que remite el mismo; sin embargo, del análisis del CONTRATO DE OBRA PÚBLICA A PRECIOS UNITARIOS Y TIEMPO DETERMINADO No. MT/DGOP/FAISMUN/LPN-026/2025, de la obra REHABILITACIÓN DE PAVIMENTACIÓN CON CARPETA ASFÁLTICA DE LA CALLE AGUSTÍN MILLÁN ENTRE CALLE MIGUEL HIDALGO Y CALLE CENTENARIO, SAN PEDRO TOTOLTЕРЕС, МUNICIPIO DE TOLUCA, MÉXICO, se advierte que se testaron datos de interés público, como lo son el domicilio para oír y recibir notificaciones y número telefónico de proveedores o contratistas, datos que deben ser públicos, de conformidad con las siguientes consideraciones:</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hd w:val="clear" w:color="auto" w:fill="FFFFFF"/>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Domicilio Fiscal o legal (proveedor persona física o moral)</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De acuerdo a lo señalado en los artículos 2.17 y 2.21 del Código Civil del Estado de México, el domicilio de una persona física, es el lugar donde reside, en donde tiene el principal asiento de negocios, o en su caso, el dónde se halle; mientras, que el de personas jurídicas colectivas, es aquel donde se halle establecida su administración o ejerza sus actividades.</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Además, respecto al domicilio fiscal, resulta necesario traer el artículo 22 del Código Financiero del Estado de México y Municipios, que establece:</w:t>
      </w:r>
    </w:p>
    <w:p w:rsidR="0029463F" w:rsidRDefault="001E578D">
      <w:pPr>
        <w:tabs>
          <w:tab w:val="left" w:pos="8080"/>
        </w:tabs>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22.- Se considera domicilio fiscal de las personas físicas y jurídicas colectivas: </w:t>
      </w:r>
    </w:p>
    <w:p w:rsidR="0029463F" w:rsidRDefault="0029463F">
      <w:pPr>
        <w:shd w:val="clear" w:color="auto" w:fill="FFFFFF"/>
        <w:ind w:left="1134" w:right="902"/>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lugar o establecimiento donde se realicen actividades que generen obligaciones fiscales.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lugar o establecimiento en que se realice el hecho generador de la obligación fiscal, cuando las actividades no se realicen en forma habitual.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inmueble en el que residan en el territorio del Estado de México, cuando realicen sus actividades en la vía pública, en puestos fijos y semifijos;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 residencia que identifique la autoridad fiscal, cuando exista certeza de que es el único lugar posible de localización del contribuyente.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 Aquel que señalen a las entidades financieras o sociedades cooperativas de ahorro y préstamo, cuando sean usuarios de los servicios que presten estas, siempre que los contribuyentes no hayan manifestado alguno de los domicilios citados en las fracciones anteriores o no hayan sido localizados en los mismos.</w:t>
      </w: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telefónico</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b/>
          <w:bCs/>
        </w:rPr>
        <w:t>Un</w:t>
      </w:r>
      <w:r>
        <w:rPr>
          <w:rFonts w:ascii="Palatino Linotype" w:eastAsia="Palatino Linotype" w:hAnsi="Palatino Linotype" w:cs="Palatino Linotype"/>
        </w:rPr>
        <w:t> </w:t>
      </w:r>
      <w:r>
        <w:rPr>
          <w:rFonts w:ascii="Palatino Linotype" w:eastAsia="Palatino Linotype" w:hAnsi="Palatino Linotype" w:cs="Palatino Linotype"/>
          <w:b/>
          <w:bCs/>
        </w:rPr>
        <w:t>número de teléfono</w:t>
      </w:r>
      <w:r>
        <w:rPr>
          <w:rFonts w:ascii="Palatino Linotype" w:eastAsia="Palatino Linotype" w:hAnsi="Palatino Linotype" w:cs="Palatino Linotype"/>
        </w:rPr>
        <w:t> es una secuencia de </w:t>
      </w:r>
      <w:r>
        <w:rPr>
          <w:rFonts w:ascii="Palatino Linotype" w:eastAsia="Palatino Linotype" w:hAnsi="Palatino Linotype" w:cs="Palatino Linotype"/>
          <w:color w:val="000000"/>
        </w:rPr>
        <w:t>dígitos</w:t>
      </w:r>
      <w:r>
        <w:rPr>
          <w:rFonts w:ascii="Palatino Linotype" w:eastAsia="Palatino Linotype" w:hAnsi="Palatino Linotype" w:cs="Palatino Linotype"/>
        </w:rPr>
        <w:t> utilizada para identificar una </w:t>
      </w:r>
      <w:r>
        <w:rPr>
          <w:rFonts w:ascii="Palatino Linotype" w:eastAsia="Palatino Linotype" w:hAnsi="Palatino Linotype" w:cs="Palatino Linotype"/>
          <w:color w:val="000000"/>
        </w:rPr>
        <w:t>línea telefónica</w:t>
      </w:r>
      <w:r>
        <w:rPr>
          <w:rFonts w:ascii="Palatino Linotype" w:eastAsia="Palatino Linotype" w:hAnsi="Palatino Linotype" w:cs="Palatino Linotype"/>
        </w:rPr>
        <w:t> dentro de una </w:t>
      </w:r>
      <w:r>
        <w:rPr>
          <w:rFonts w:ascii="Palatino Linotype" w:eastAsia="Palatino Linotype" w:hAnsi="Palatino Linotype" w:cs="Palatino Linotype"/>
          <w:color w:val="000000"/>
        </w:rPr>
        <w:t>Red Telefónica Conmutada</w:t>
      </w:r>
      <w:r>
        <w:rPr>
          <w:rFonts w:ascii="Palatino Linotype" w:eastAsia="Palatino Linotype" w:hAnsi="Palatino Linotype" w:cs="Palatino Linotype"/>
        </w:rPr>
        <w:t xml:space="preserve">, el número contiene la información </w:t>
      </w:r>
      <w:r>
        <w:rPr>
          <w:rFonts w:ascii="Palatino Linotype" w:eastAsia="Palatino Linotype" w:hAnsi="Palatino Linotype" w:cs="Palatino Linotype"/>
        </w:rPr>
        <w:lastRenderedPageBreak/>
        <w:t>necesaria para identificar el punto final de la llamada. Los números de teléfono están a menudo asignados a líneas que tienen conectados dispositivos distintos de un </w:t>
      </w:r>
      <w:r>
        <w:rPr>
          <w:rFonts w:ascii="Palatino Linotype" w:eastAsia="Palatino Linotype" w:hAnsi="Palatino Linotype" w:cs="Palatino Linotype"/>
          <w:color w:val="000000"/>
        </w:rPr>
        <w:t>teléfono</w:t>
      </w:r>
      <w:r>
        <w:rPr>
          <w:rFonts w:ascii="Palatino Linotype" w:eastAsia="Palatino Linotype" w:hAnsi="Palatino Linotype" w:cs="Palatino Linotype"/>
        </w:rPr>
        <w:t>, tales como </w:t>
      </w:r>
      <w:r>
        <w:rPr>
          <w:rFonts w:ascii="Palatino Linotype" w:eastAsia="Palatino Linotype" w:hAnsi="Palatino Linotype" w:cs="Palatino Linotype"/>
          <w:color w:val="000000"/>
        </w:rPr>
        <w:t>faxes</w:t>
      </w:r>
      <w:r>
        <w:rPr>
          <w:rFonts w:ascii="Palatino Linotype" w:eastAsia="Palatino Linotype" w:hAnsi="Palatino Linotype" w:cs="Palatino Linotype"/>
        </w:rPr>
        <w:t> y </w:t>
      </w:r>
      <w:r>
        <w:rPr>
          <w:rFonts w:ascii="Palatino Linotype" w:eastAsia="Palatino Linotype" w:hAnsi="Palatino Linotype" w:cs="Palatino Linotype"/>
          <w:color w:val="000000"/>
        </w:rPr>
        <w:t>módems</w:t>
      </w:r>
      <w:r>
        <w:rPr>
          <w:rFonts w:ascii="Palatino Linotype" w:eastAsia="Palatino Linotype" w:hAnsi="Palatino Linotype" w:cs="Palatino Linotype"/>
        </w:rPr>
        <w:t>. Cada uno de esos </w:t>
      </w:r>
      <w:r>
        <w:rPr>
          <w:rFonts w:ascii="Palatino Linotype" w:eastAsia="Palatino Linotype" w:hAnsi="Palatino Linotype" w:cs="Palatino Linotype"/>
          <w:color w:val="000000"/>
        </w:rPr>
        <w:t>puntos de terminación de red</w:t>
      </w:r>
      <w:r>
        <w:rPr>
          <w:rFonts w:ascii="Palatino Linotype" w:eastAsia="Palatino Linotype" w:hAnsi="Palatino Linotype" w:cs="Palatino Linotype"/>
        </w:rPr>
        <w:t> deben de tener un número único en la red para poder realizar una </w:t>
      </w:r>
      <w:r>
        <w:rPr>
          <w:rFonts w:ascii="Palatino Linotype" w:eastAsia="Palatino Linotype" w:hAnsi="Palatino Linotype" w:cs="Palatino Linotype"/>
          <w:color w:val="000000"/>
        </w:rPr>
        <w:t>llamada telefónica</w:t>
      </w:r>
      <w:r>
        <w:rPr>
          <w:rFonts w:ascii="Palatino Linotype" w:eastAsia="Palatino Linotype" w:hAnsi="Palatino Linotype" w:cs="Palatino Linotype"/>
        </w:rPr>
        <w:t>.</w:t>
      </w:r>
    </w:p>
    <w:p w:rsidR="0029463F" w:rsidRDefault="0029463F">
      <w:pPr>
        <w:spacing w:line="360" w:lineRule="auto"/>
        <w:jc w:val="both"/>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debe mencionarse que conforme a lo establecido en los criterios números 16, 18 y 19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artículo 70, </w:t>
      </w:r>
      <w:r>
        <w:rPr>
          <w:rFonts w:ascii="Palatino Linotype" w:eastAsia="Palatino Linotype" w:hAnsi="Palatino Linotype" w:cs="Palatino Linotype"/>
          <w:b/>
          <w:bCs/>
        </w:rPr>
        <w:t>el domicilio fiscal o legal, y datos de contacto como teléfono de los proveedores y contratistas, es un dato que debe ser público, motivo por el cual no es procedente su clasificación como confidencial.</w:t>
      </w:r>
    </w:p>
    <w:p w:rsidR="0029463F" w:rsidRDefault="0029463F">
      <w:pPr>
        <w:pBdr>
          <w:top w:val="nil"/>
          <w:left w:val="nil"/>
          <w:bottom w:val="nil"/>
          <w:right w:val="nil"/>
          <w:between w:val="nil"/>
        </w:pBdr>
        <w:spacing w:line="360" w:lineRule="auto"/>
        <w:ind w:left="360" w:right="-787"/>
        <w:jc w:val="both"/>
        <w:rPr>
          <w:rFonts w:ascii="Palatino Linotype" w:eastAsia="Palatino Linotype" w:hAnsi="Palatino Linotype" w:cs="Palatino Linotype"/>
          <w:b/>
          <w:bCs/>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lo que no es posible tener por colmado el punto de solicitud de referencia, siendo dable </w:t>
      </w:r>
      <w:r>
        <w:rPr>
          <w:rFonts w:ascii="Palatino Linotype" w:eastAsia="Palatino Linotype" w:hAnsi="Palatino Linotype" w:cs="Palatino Linotype"/>
          <w:b/>
          <w:bCs/>
        </w:rPr>
        <w:t>ORDNEAR</w:t>
      </w:r>
      <w:r>
        <w:rPr>
          <w:rFonts w:ascii="Palatino Linotype" w:eastAsia="Palatino Linotype" w:hAnsi="Palatino Linotype" w:cs="Palatino Linotype"/>
        </w:rPr>
        <w:t xml:space="preserve"> </w:t>
      </w:r>
      <w:r>
        <w:rPr>
          <w:rFonts w:ascii="Palatino Linotype" w:eastAsia="Palatino Linotype" w:hAnsi="Palatino Linotype" w:cs="Palatino Linotype"/>
          <w:b/>
          <w:bCs/>
        </w:rPr>
        <w:t>el Contrato de Obra Pública remitido en informe justificado en correcta versión pública.</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b/>
          <w:bCs/>
          <w:i/>
          <w:iCs/>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del punto de solicitud relativo a </w:t>
      </w:r>
      <w:r>
        <w:rPr>
          <w:rFonts w:ascii="Palatino Linotype" w:eastAsia="Palatino Linotype" w:hAnsi="Palatino Linotype" w:cs="Palatino Linotype"/>
          <w:i/>
          <w:iCs/>
          <w:u w:val="single"/>
        </w:rPr>
        <w:t>Metros de avance con los documentos y fotografías que lo acredite</w:t>
      </w:r>
      <w:r>
        <w:rPr>
          <w:rFonts w:ascii="Palatino Linotype" w:eastAsia="Palatino Linotype" w:hAnsi="Palatino Linotype" w:cs="Palatino Linotype"/>
          <w:u w:val="single"/>
        </w:rPr>
        <w:t>,</w:t>
      </w:r>
      <w:r>
        <w:rPr>
          <w:rFonts w:ascii="Palatino Linotype" w:eastAsia="Palatino Linotype" w:hAnsi="Palatino Linotype" w:cs="Palatino Linotype"/>
        </w:rPr>
        <w:t xml:space="preserve"> el Sujeto Obligado emitió Pronunciamiento del Director General de Obras Públicas, refiriendo </w:t>
      </w:r>
      <w:r>
        <w:rPr>
          <w:rFonts w:ascii="Palatino Linotype" w:eastAsia="Palatino Linotype" w:hAnsi="Palatino Linotype" w:cs="Palatino Linotype"/>
          <w:i/>
          <w:iCs/>
        </w:rPr>
        <w:t xml:space="preserve">El avance físico de la ejecución de los trabajos de la obra pública en mención es de un 100%, Adjunta evidencia fotográfica de la obra pública </w:t>
      </w:r>
      <w:r>
        <w:rPr>
          <w:rFonts w:ascii="Palatino Linotype" w:eastAsia="Palatino Linotype" w:hAnsi="Palatino Linotype" w:cs="Palatino Linotype"/>
        </w:rPr>
        <w:t xml:space="preserve"> y remite el documento firmado por el </w:t>
      </w:r>
      <w:r>
        <w:rPr>
          <w:rFonts w:ascii="Palatino Linotype" w:eastAsia="Palatino Linotype" w:hAnsi="Palatino Linotype" w:cs="Palatino Linotype"/>
        </w:rPr>
        <w:lastRenderedPageBreak/>
        <w:t xml:space="preserve">Administrador Único ALSAFI GRUPO CONSTRUCTOR DE INFRAESTRUCTURA CIVIL, S.A. DE C.V. a través del cual hace del conocimiento al Director General de Obras Públicas, que </w:t>
      </w:r>
      <w:r>
        <w:rPr>
          <w:rFonts w:ascii="Palatino Linotype" w:eastAsia="Palatino Linotype" w:hAnsi="Palatino Linotype" w:cs="Palatino Linotype"/>
          <w:i/>
          <w:iCs/>
        </w:rPr>
        <w:t>con fecha del día 30 de octubre de 2025 se dan por terminados los trabajos asignados, en referencia al contrato No. MT/DGOP/FAISMUN/LPN-026/2025 de obra pública, correspondiente a los trabajos de: REHABILITACIÓN DE PAVIMENTACIÓN CON CARPETA ASFÁLTICA DE LA CALLE AGUSTÍN MILLÁN ENTRE CALLE MIGUEL HIDALGO Y CALLE CENTENARIO, SAN PEDRO TOTOLTEPEC, MUNICIPIO DE TOLUCA, MÉXICO.</w:t>
      </w:r>
      <w:r>
        <w:rPr>
          <w:rFonts w:ascii="Palatino Linotype" w:eastAsia="Palatino Linotype" w:hAnsi="Palatino Linotype" w:cs="Palatino Linotype"/>
        </w:rPr>
        <w:t xml:space="preserve"> En dicha circunstancia, </w:t>
      </w:r>
      <w:r>
        <w:rPr>
          <w:rFonts w:ascii="Palatino Linotype" w:eastAsia="Palatino Linotype" w:hAnsi="Palatino Linotype" w:cs="Palatino Linotype"/>
          <w:b/>
          <w:bCs/>
        </w:rPr>
        <w:t>se tiene por colmado el punto de solicitud</w:t>
      </w:r>
      <w:r>
        <w:rPr>
          <w:rFonts w:ascii="Palatino Linotype" w:eastAsia="Palatino Linotype" w:hAnsi="Palatino Linotype" w:cs="Palatino Linotype"/>
        </w:rPr>
        <w:t xml:space="preserve"> de referencia al haber sido entregada la información que es de interés del solicitante, máxime que la Ley de Transparencia Local, establece que los sujetos obligados sólo proporcionarán la información pública que se les requiera y que obre en sus archivos y en el estado en que ésta se encuentre.</w:t>
      </w:r>
    </w:p>
    <w:p w:rsidR="0029463F" w:rsidRDefault="0029463F">
      <w:pPr>
        <w:spacing w:line="360" w:lineRule="auto"/>
        <w:ind w:right="-787"/>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esta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manera</w:t>
      </w:r>
      <w:r>
        <w:rPr>
          <w:rFonts w:ascii="Palatino Linotype" w:eastAsia="Palatino Linotype" w:hAnsi="Palatino Linotype" w:cs="Palatino Linotype"/>
          <w:color w:val="000000"/>
        </w:rPr>
        <w:t xml:space="preserve">, el derecho de acceso a la información pública se satisface en aquellos casos en que se entregue el soporte documental en el que conste la información solicitada, sin necesidad de elaborar documentos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No existe obligación de elaborar documentos ad hoc para atender las solicitudes de acceso a la información. </w:t>
      </w:r>
      <w:r>
        <w:rPr>
          <w:rFonts w:ascii="Palatino Linotype" w:eastAsia="Palatino Linotype" w:hAnsi="Palatino Linotype" w:cs="Palatino Linotype"/>
          <w:i/>
          <w:iCs/>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w:t>
      </w:r>
      <w:r>
        <w:rPr>
          <w:rFonts w:ascii="Palatino Linotype" w:eastAsia="Palatino Linotype" w:hAnsi="Palatino Linotype" w:cs="Palatino Linotype"/>
          <w:i/>
          <w:iCs/>
        </w:rPr>
        <w:lastRenderedPageBreak/>
        <w:t>formato en que la misma obre en sus archivos; sin necesidad de elaborar documentos ad hoc para atender las solicitudes de información.</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También lo es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no existe normatividad o precepto legal </w:t>
      </w:r>
      <w:r>
        <w:rPr>
          <w:rFonts w:ascii="Palatino Linotype" w:eastAsia="Palatino Linotype" w:hAnsi="Palatino Linotype" w:cs="Palatino Linotype"/>
          <w:b/>
          <w:bCs/>
          <w:color w:val="000000"/>
        </w:rPr>
        <w:t>que lo impida</w:t>
      </w:r>
      <w:r>
        <w:rPr>
          <w:rFonts w:ascii="Palatino Linotype" w:eastAsia="Palatino Linotype" w:hAnsi="Palatino Linotype" w:cs="Palatino Linotype"/>
          <w:color w:val="000000"/>
        </w:rPr>
        <w:t xml:space="preserve">, de modo tal que un pronunciamiento que de atención a lo requerido eventualmente puede colmar el cumplimiento de la presente resolución, lo cual no implica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procese la información, como ha sucedió en el presente caso.</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al punto de solicitud </w:t>
      </w:r>
      <w:r>
        <w:rPr>
          <w:rFonts w:ascii="Palatino Linotype" w:eastAsia="Palatino Linotype" w:hAnsi="Palatino Linotype" w:cs="Palatino Linotype"/>
          <w:i/>
          <w:iCs/>
          <w:u w:val="single"/>
        </w:rPr>
        <w:t>Acta de los COCICOVI que confirme el avance y los trabajos</w:t>
      </w:r>
      <w:r>
        <w:rPr>
          <w:rFonts w:ascii="Palatino Linotype" w:eastAsia="Palatino Linotype" w:hAnsi="Palatino Linotype" w:cs="Palatino Linotype"/>
        </w:rPr>
        <w:t xml:space="preserve">, el Sujeto Obligado emitió Pronunciamiento del Órgano Interno de Control Municipal, a través de la Dirección de Auditoría e Obra y Contraloría Social, a través del cual refiere que </w:t>
      </w:r>
      <w:r>
        <w:rPr>
          <w:rFonts w:ascii="Palatino Linotype" w:eastAsia="Palatino Linotype" w:hAnsi="Palatino Linotype" w:cs="Palatino Linotype"/>
          <w:i/>
          <w:iCs/>
        </w:rPr>
        <w:t>no se encontraron registros administrativos de dicha solicitud</w:t>
      </w:r>
      <w:r>
        <w:rPr>
          <w:rFonts w:ascii="Palatino Linotype" w:eastAsia="Palatino Linotype" w:hAnsi="Palatino Linotype" w:cs="Palatino Linotype"/>
        </w:rPr>
        <w:t>; no obstante, es de traer a contexto lo establecido en la normatividad respecto de los Comités Ciudadanos de Control y Vigilancia (COCICOVI):</w:t>
      </w:r>
    </w:p>
    <w:p w:rsidR="0029463F" w:rsidRDefault="001E578D">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Orgánica Municipal del Estado de México</w:t>
      </w:r>
    </w:p>
    <w:p w:rsidR="0029463F" w:rsidRDefault="0029463F">
      <w:pPr>
        <w:ind w:left="567" w:right="-716"/>
        <w:jc w:val="center"/>
        <w:rPr>
          <w:rFonts w:ascii="Palatino Linotype" w:eastAsia="Palatino Linotype" w:hAnsi="Palatino Linotype" w:cs="Palatino Linotype"/>
          <w:b/>
          <w:bCs/>
          <w:i/>
          <w:iCs/>
        </w:rPr>
      </w:pPr>
    </w:p>
    <w:p w:rsidR="0029463F" w:rsidRDefault="001E578D">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CAPITULO CUARTO BIS</w:t>
      </w:r>
    </w:p>
    <w:p w:rsidR="0029463F" w:rsidRDefault="001E578D">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Comités Ciudadanos de Control y Vigilancia</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A</w:t>
      </w:r>
      <w:r>
        <w:rPr>
          <w:rFonts w:ascii="Palatino Linotype" w:eastAsia="Palatino Linotype" w:hAnsi="Palatino Linotype" w:cs="Palatino Linotype"/>
          <w:i/>
          <w:iCs/>
        </w:rPr>
        <w:t xml:space="preserve">.- Los ayuntamientos promoverán la constitución de comités ciudadanos de control y vigilancia, los que serán responsables de supervisar la obra pública estatal y municipal.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B</w:t>
      </w:r>
      <w:r>
        <w:rPr>
          <w:rFonts w:ascii="Palatino Linotype" w:eastAsia="Palatino Linotype" w:hAnsi="Palatino Linotype" w:cs="Palatino Linotype"/>
          <w:i/>
          <w:iCs/>
        </w:rPr>
        <w:t xml:space="preserve">.- Los comités ciudadanos de control y vigilancia estarán integrados por tres vecinos de la localidad en la que se construya la obra, serán electos en asamblea general, por los ciudadanos beneficiados por aquélla. El cargo de integrante del comité será honorífico.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podrán ser integrantes de los comités las personas que sean dirigentes de organizaciones políticas o servidores públicos.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113 C</w:t>
      </w:r>
      <w:r>
        <w:rPr>
          <w:rFonts w:ascii="Palatino Linotype" w:eastAsia="Palatino Linotype" w:hAnsi="Palatino Linotype" w:cs="Palatino Linotype"/>
          <w:i/>
          <w:iCs/>
        </w:rPr>
        <w:t xml:space="preserve">.- Para cada obra estatal o municipal se constituirá un comité ciudadano de control y vigilancia. Sin embargo, en aquellos casos en que las características técnicas o las dimensiones de la obra lo ameriten, podrán integrarse más de uno.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D</w:t>
      </w:r>
      <w:r>
        <w:rPr>
          <w:rFonts w:ascii="Palatino Linotype" w:eastAsia="Palatino Linotype" w:hAnsi="Palatino Linotype" w:cs="Palatino Linotype"/>
          <w:i/>
          <w:iCs/>
        </w:rPr>
        <w:t xml:space="preserve">.- Los comités ciudadanos de control y vigilancia tendrán además, las siguientes funciones: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Vigilar que la obra pública se realice de acuerdo al expediente técnico y dentro de la normatividad correspondiente;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Participar como observador en los procesos o actos administrativos relacionados con la adjudicación o concesión de la ejecución de la obra;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Hacer visitas de inspección y llevar registro de sus resultados;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Verificar la calidad con que se realiza la obra pública,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Hacer del conocimiento de las autoridades correspondientes las irregularidades que observe durante el desempeño de sus funciones o las quejas que reciba de la ciudadanía, con motivo de las obras objeto de supervisión,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VI. Integrar un archivo con la documentación que se derive de la supervisión de las obras,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Intervenir en los actos de entrega-recepción de las obras y acciones, informando a los vecinos el resultado del desempeño de sus funciones; y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Promover el adecuado mantenimiento de la obra pública ante las autoridades municipales.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E.-</w:t>
      </w:r>
      <w:r>
        <w:rPr>
          <w:rFonts w:ascii="Palatino Linotype" w:eastAsia="Palatino Linotype" w:hAnsi="Palatino Linotype" w:cs="Palatino Linotype"/>
          <w:i/>
          <w:iCs/>
        </w:rPr>
        <w:t xml:space="preserve"> Los comités ciudadanos de control y vigilancia deberán apoyarse en las contralorías municipal y estatal y coadyuvar con el órgano de control interno municipal en el desempeño de las funciones a que se refieren las fracciones VII y VIII del artículo 112 de esta ley.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F</w:t>
      </w:r>
      <w:r>
        <w:rPr>
          <w:rFonts w:ascii="Palatino Linotype" w:eastAsia="Palatino Linotype" w:hAnsi="Palatino Linotype" w:cs="Palatino Linotype"/>
          <w:i/>
          <w:iCs/>
        </w:rPr>
        <w:t xml:space="preserve">.- Las dependencias y entidades de la administración pública municipal que construyan las obras o realicen las acciones, explicarán a los comités ciudadanos de control y vigilancia, las características físicas y financieras de las obras y les proporcionarán, antes del inicio de la obra, el resumen del expediente técnico respectivo y darles el apoyo, las facilidades y la información necesaria para el desempeño de sus funciones.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113 G.-</w:t>
      </w:r>
      <w:r>
        <w:rPr>
          <w:rFonts w:ascii="Palatino Linotype" w:eastAsia="Palatino Linotype" w:hAnsi="Palatino Linotype" w:cs="Palatino Linotype"/>
          <w:i/>
          <w:iCs/>
        </w:rPr>
        <w:t xml:space="preserve"> Las dependencias y entidades señaladas en el artículo anterior harán la entrega-recepción de las obras ante los integrantes de los comités ciudadanos de control y vigilancia y de los vecinos de la localidad beneficiados con la obra.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113 H</w:t>
      </w:r>
      <w:r>
        <w:rPr>
          <w:rFonts w:ascii="Palatino Linotype" w:eastAsia="Palatino Linotype" w:hAnsi="Palatino Linotype" w:cs="Palatino Linotype"/>
          <w:i/>
          <w:iCs/>
        </w:rPr>
        <w:t>.- Los comités ciudadanos de control y vigilancia regularán su actividad por los lineamientos que expidan las Secretarías de Finanzas y de la Contraloría, así como de la Coordinación General de Apoyo Municipal, cuando las obras se realicen, parcial o totalmente, con recursos del Estado.</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i/>
          <w:iCs/>
          <w:highlight w:val="yellow"/>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este sentido, es de precisar que los ayuntamientos tienen la obligación constituir comités ciudadanos de control y vigilancia, los que serán responsables de supervisar la obra pública estatal y municipal, mismo que tiene las funciones de Vigilar que la obra pública se realice de acuerdo al expediente técnico y dentro de la normatividad correspondiente; Hacer visitas de inspección y llevar registro de sus resultados, e Integrar un archivo con la documentación que se derive de la supervisión de las obras.</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Órgano Interno de Control Municipal a través de la </w:t>
      </w:r>
      <w:r>
        <w:rPr>
          <w:rFonts w:ascii="Palatino Linotype" w:eastAsia="Palatino Linotype" w:hAnsi="Palatino Linotype" w:cs="Palatino Linotype"/>
          <w:b/>
          <w:bCs/>
        </w:rPr>
        <w:t>Dirección de Auditoría de Obra y Contraloría Social</w:t>
      </w:r>
      <w:r>
        <w:rPr>
          <w:rFonts w:ascii="Palatino Linotype" w:eastAsia="Palatino Linotype" w:hAnsi="Palatino Linotype" w:cs="Palatino Linotype"/>
        </w:rPr>
        <w:t xml:space="preserve">, tiene la función de supervisar la </w:t>
      </w:r>
      <w:r>
        <w:rPr>
          <w:rFonts w:ascii="Palatino Linotype" w:eastAsia="Palatino Linotype" w:hAnsi="Palatino Linotype" w:cs="Palatino Linotype"/>
          <w:u w:val="single"/>
        </w:rPr>
        <w:t>operación de los Comités Ciudadanos de Control y Vigilancia</w:t>
      </w:r>
      <w:r>
        <w:rPr>
          <w:rFonts w:ascii="Palatino Linotype" w:eastAsia="Palatino Linotype" w:hAnsi="Palatino Linotype" w:cs="Palatino Linotype"/>
        </w:rPr>
        <w:t xml:space="preserve">. A través del </w:t>
      </w:r>
      <w:r>
        <w:rPr>
          <w:rFonts w:ascii="Palatino Linotype" w:eastAsia="Palatino Linotype" w:hAnsi="Palatino Linotype" w:cs="Palatino Linotype"/>
          <w:b/>
          <w:bCs/>
        </w:rPr>
        <w:t>Departamento de Contraloría Social</w:t>
      </w:r>
      <w:r>
        <w:rPr>
          <w:rFonts w:ascii="Palatino Linotype" w:eastAsia="Palatino Linotype" w:hAnsi="Palatino Linotype" w:cs="Palatino Linotype"/>
        </w:rPr>
        <w:t xml:space="preserve"> se lleva a cabo el </w:t>
      </w:r>
      <w:r>
        <w:rPr>
          <w:rFonts w:ascii="Palatino Linotype" w:eastAsia="Palatino Linotype" w:hAnsi="Palatino Linotype" w:cs="Palatino Linotype"/>
          <w:u w:val="single"/>
        </w:rPr>
        <w:t>seguimiento a los reportes elaboradas por los Comités Ciudadanos de Control y Vigilancia derivadas de la supervisión realizada a las obras</w:t>
      </w:r>
      <w:r>
        <w:rPr>
          <w:rFonts w:ascii="Palatino Linotype" w:eastAsia="Palatino Linotype" w:hAnsi="Palatino Linotype" w:cs="Palatino Linotype"/>
        </w:rPr>
        <w:t>, de conformidad con lo establecido en el Manual de Procedimientos del Órgano Interno de Control, tal como se transcribe a continuación:</w:t>
      </w:r>
    </w:p>
    <w:p w:rsidR="0029463F" w:rsidRDefault="001E578D">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MANUAL DE ORGANIZACIÓN ÓRGANO INTERNO DE CONTROL MUNICIPAL</w:t>
      </w:r>
    </w:p>
    <w:p w:rsidR="0029463F" w:rsidRDefault="0029463F">
      <w:pPr>
        <w:ind w:left="567" w:right="-716"/>
        <w:jc w:val="center"/>
        <w:rPr>
          <w:rFonts w:ascii="Palatino Linotype" w:eastAsia="Palatino Linotype" w:hAnsi="Palatino Linotype" w:cs="Palatino Linotype"/>
          <w:b/>
          <w:bCs/>
          <w:i/>
          <w:iCs/>
        </w:rPr>
      </w:pPr>
    </w:p>
    <w:p w:rsidR="0029463F" w:rsidRDefault="001E578D">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203011000 Dirección de Auditoría de Obra y Contraloría Social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Promover la participación ciudadana en la vigilancia de la aplicación de recursos federales, estatales o municipales y en la entrega y recepción de obras y acciones; planear, organizar y ejecutar auditorías e inspecciones a las dependencias municipales, e implementar y realizar acciones de control, inherentes a la Dirección.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Funciones: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5. Supervisar la constitución y operación de los Comités Ciudadanos de Control y Vigilancia y Comités Ciudadanos de Control y Vigilancia Municipal, así como la capacitación de los mismos;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6. Verificar que se invite a las y los integrantes de los Comités Ciudadanos de Control y Vigilancia, a participar en los actos de entrega-recepción de obra pública, previa solicitud de las áreas ejecutoras;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203011001 Departamento de Contraloría Social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Promover la participación ciudadana en la vigilancia de la aplicación de recursos federales, estatales o municipales otorgados mediante apoyos de programas sociales y ejecución de obras o acciones, con la finalidad de combatir actos de corrupción e impunidad. </w:t>
      </w:r>
    </w:p>
    <w:p w:rsidR="0029463F" w:rsidRDefault="0029463F">
      <w:pPr>
        <w:ind w:left="567" w:right="-716"/>
        <w:jc w:val="both"/>
        <w:rPr>
          <w:rFonts w:ascii="Palatino Linotype" w:eastAsia="Palatino Linotype" w:hAnsi="Palatino Linotype" w:cs="Palatino Linotype"/>
          <w:i/>
          <w:iCs/>
        </w:rPr>
      </w:pP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Funciones: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Programar e Integrar Comités Ciudadanos de Control y Vigilancia COCICOVI y COCICOVIM, para la supervisión de obras y acciones, realizadas con recursos federales, estatales o municipales; de acuerdo a la convocatoria y programación generada por las áreas ejecutoras; así como cuando las obras se realicen con recursos propios, con montos mínimos de $50,000.00 y que la obra no tenga un avance físico de más del 30%;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3. Participar en la asamblea general en coordinación con las áreas ejecutoras, a fin de elegir a las y los Contralores Sociales de obras y/o programas sociales, mediante la constitución de los COCICOVI y COCICOVIM, así como llevar a cabo la capacitación de los mismos;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8. Llevar a cabo el seguimiento a los reportes y/o denuncias correspondientes, elaboradas por los Comités Ciudadanos de Control y Vigilancia derivadas de la supervisión realizada a las obras, acciones y programas sociales, otorgados con recursos federales, estatales y municipales;</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highlight w:val="yellow"/>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análisis de la normatividad en estudio y al tener la certeza de la de la obra REHABILITACIÓN DE PAVIMENTACIÓN CON CARPETA ASFÁLTICA DE LA CALLE AGUSTÍN MILLÁN ENTRE CALLE MIGUEL HIDALGO Y CALLE CENTENARIO, SAN </w:t>
      </w:r>
      <w:r>
        <w:rPr>
          <w:rFonts w:ascii="Palatino Linotype" w:eastAsia="Palatino Linotype" w:hAnsi="Palatino Linotype" w:cs="Palatino Linotype"/>
        </w:rPr>
        <w:lastRenderedPageBreak/>
        <w:t xml:space="preserve">PEDRO TOTOLTЕРЕС, МUNICIPIO DE TOLUCA, MÉXICO, mediante el CONTRATO DE OBRA PÚBLICA No. MT/DGOP/FAISMUN/LPN-026/2025, se presume que la información debe existir al referirse a facultades, competencias y funciones que los ordenamientos jurídicos aplicables otorgan a los sujetos obligados, por lo que resulta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previa búsqueda exhaustiva y razonable en los archivos de la unidad administrativa competente, la entrega del </w:t>
      </w:r>
      <w:r>
        <w:rPr>
          <w:rFonts w:ascii="Palatino Linotype" w:eastAsia="Palatino Linotype" w:hAnsi="Palatino Linotype" w:cs="Palatino Linotype"/>
          <w:b/>
          <w:bCs/>
        </w:rPr>
        <w:t>documento generado por el Comité Ciudadano de Control y Vigilancia (COCICOVI), en el que conste o se advierta el avance y los trabajos de la obra referida en respuesta</w:t>
      </w:r>
      <w:r>
        <w:rPr>
          <w:rFonts w:ascii="Palatino Linotype" w:eastAsia="Palatino Linotype" w:hAnsi="Palatino Linotype" w:cs="Palatino Linotype"/>
        </w:rPr>
        <w:t>.</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cuanto al punto de solicitud </w:t>
      </w:r>
      <w:r>
        <w:rPr>
          <w:rFonts w:ascii="Palatino Linotype" w:eastAsia="Palatino Linotype" w:hAnsi="Palatino Linotype" w:cs="Palatino Linotype"/>
          <w:i/>
          <w:iCs/>
          <w:u w:val="single"/>
        </w:rPr>
        <w:t>Facturas pagadas a la empresa</w:t>
      </w:r>
      <w:r>
        <w:rPr>
          <w:rFonts w:ascii="Palatino Linotype" w:eastAsia="Palatino Linotype" w:hAnsi="Palatino Linotype" w:cs="Palatino Linotype"/>
        </w:rPr>
        <w:t xml:space="preserve">, el Sujeto Obligado, a través de la Tesorería Municipal refirió que </w:t>
      </w:r>
      <w:r>
        <w:rPr>
          <w:rFonts w:ascii="Palatino Linotype" w:eastAsia="Palatino Linotype" w:hAnsi="Palatino Linotype" w:cs="Palatino Linotype"/>
          <w:i/>
          <w:iCs/>
        </w:rPr>
        <w:t>los documentos solicitados, forman parte de la integración del cuarto informe trimestral de 2025, dicha integración es normada por los Lineamientos del Órgano Superior de Fiscalización del Estado de México en materia de integración, presentación y envío de los informes trimestrales del ejercicio fiscal 2025. Remitido un  link en formato cerrado para la consulta de dichos lineamientos</w:t>
      </w:r>
      <w:r>
        <w:rPr>
          <w:rFonts w:ascii="Palatino Linotype" w:eastAsia="Palatino Linotype" w:hAnsi="Palatino Linotype" w:cs="Palatino Linotype"/>
        </w:rPr>
        <w:t>.</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este sentido es de precisar que dentro de los procesos de adquisiciones </w:t>
      </w:r>
      <w:r>
        <w:rPr>
          <w:rFonts w:ascii="Palatino Linotype" w:eastAsia="Palatino Linotype" w:hAnsi="Palatino Linotype" w:cs="Palatino Linotype"/>
        </w:rPr>
        <w:t>se encuentra</w:t>
      </w:r>
      <w:r>
        <w:rPr>
          <w:rFonts w:ascii="Palatino Linotype" w:eastAsia="Palatino Linotype" w:hAnsi="Palatino Linotype" w:cs="Palatino Linotype"/>
          <w:color w:val="000000"/>
        </w:rPr>
        <w:t xml:space="preserve"> el fallo con base en el dictamen de adjudicación, cuya adjudicación de los contratos derivados de los procedimientos de adquisiciones de bienes o servicios, obligará a la convocante y al licitante ganador a suscribir el contrato respectivo. Consecuentemente la prestación de un bien o servicio derivado de un contrato, le sobreviene una contraprestación, que es la retribución económica del mismo.</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Por lo anterior, se considera viable analizar la naturaleza jurídica de </w:t>
      </w:r>
      <w:r>
        <w:rPr>
          <w:rFonts w:ascii="Palatino Linotype" w:eastAsia="Palatino Linotype" w:hAnsi="Palatino Linotype" w:cs="Palatino Linotype"/>
          <w:b/>
          <w:bCs/>
        </w:rPr>
        <w:t>los documentos que acrediten la erogación de un gasto</w:t>
      </w:r>
      <w:r>
        <w:rPr>
          <w:rFonts w:ascii="Palatino Linotype" w:eastAsia="Palatino Linotype" w:hAnsi="Palatino Linotype" w:cs="Palatino Linotype"/>
        </w:rPr>
        <w:t xml:space="preserve">, resulta necesario traer a </w:t>
      </w:r>
      <w:r>
        <w:rPr>
          <w:rFonts w:ascii="Palatino Linotype" w:eastAsia="Palatino Linotype" w:hAnsi="Palatino Linotype" w:cs="Palatino Linotype"/>
          <w:color w:val="000000"/>
        </w:rPr>
        <w:t>contexto</w:t>
      </w:r>
      <w:r>
        <w:rPr>
          <w:rFonts w:ascii="Palatino Linotype" w:eastAsia="Palatino Linotype" w:hAnsi="Palatino Linotype" w:cs="Palatino Linotype"/>
        </w:rPr>
        <w:t xml:space="preserve">, la Resolución Miscelánea Fiscal, establece que la </w:t>
      </w:r>
      <w:r>
        <w:rPr>
          <w:rFonts w:ascii="Palatino Linotype" w:eastAsia="Palatino Linotype" w:hAnsi="Palatino Linotype" w:cs="Palatino Linotype"/>
          <w:b/>
          <w:bCs/>
        </w:rPr>
        <w:t>factura</w:t>
      </w:r>
      <w:r>
        <w:rPr>
          <w:rFonts w:ascii="Palatino Linotype" w:eastAsia="Palatino Linotype" w:hAnsi="Palatino Linotype" w:cs="Palatino Linotype"/>
        </w:rPr>
        <w:t xml:space="preserve"> es lo mismo, que un Comprobante Fiscal Digital por Internet, por lo que, se puede considerar como el documento que comprueba la realización de una transacción</w:t>
      </w:r>
      <w:r>
        <w:rPr>
          <w:rFonts w:ascii="Palatino Linotype" w:eastAsia="Palatino Linotype" w:hAnsi="Palatino Linotype" w:cs="Palatino Linotype"/>
          <w:b/>
          <w:bCs/>
        </w:rPr>
        <w:t xml:space="preserve"> </w:t>
      </w:r>
      <w:r>
        <w:rPr>
          <w:rFonts w:ascii="Palatino Linotype" w:eastAsia="Palatino Linotype" w:hAnsi="Palatino Linotype" w:cs="Palatino Linotype"/>
        </w:rPr>
        <w:t>comercial, entre un comprador y un vendedor, mediante el cual, el primero queda obligado a realizar un pago, mientras que el segundo, a entregar o brindar un producto o servicio.</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Resulta </w:t>
      </w:r>
      <w:r>
        <w:rPr>
          <w:rFonts w:ascii="Palatino Linotype" w:eastAsia="Palatino Linotype" w:hAnsi="Palatino Linotype" w:cs="Palatino Linotype"/>
          <w:color w:val="000000"/>
        </w:rPr>
        <w:t>importante</w:t>
      </w:r>
      <w:r>
        <w:rPr>
          <w:rFonts w:ascii="Palatino Linotype" w:eastAsia="Palatino Linotype" w:hAnsi="Palatino Linotype" w:cs="Palatino Linotype"/>
        </w:rPr>
        <w:t xml:space="preserve"> señalar que este término se encuentra definido en el Glosario de Términos Hacendarios que emite el Instituto Hacendario del Estado de México, el cual expresa lo siguiente:</w:t>
      </w:r>
    </w:p>
    <w:p w:rsidR="0029463F" w:rsidRDefault="001E578D">
      <w:pPr>
        <w:ind w:left="851" w:right="851"/>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FACTURA</w:t>
      </w:r>
    </w:p>
    <w:p w:rsidR="0029463F" w:rsidRDefault="001E578D">
      <w:pPr>
        <w:ind w:left="851" w:right="85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Es el documento fiscal que emite la persona física o moral para </w:t>
      </w:r>
      <w:r>
        <w:rPr>
          <w:rFonts w:ascii="Palatino Linotype" w:eastAsia="Palatino Linotype" w:hAnsi="Palatino Linotype" w:cs="Palatino Linotype"/>
          <w:b/>
          <w:bCs/>
          <w:i/>
          <w:iCs/>
          <w:u w:val="single"/>
        </w:rPr>
        <w:t>comprobar la venta o adquisición de un bien y/o servicio</w:t>
      </w:r>
      <w:r>
        <w:rPr>
          <w:rFonts w:ascii="Palatino Linotype" w:eastAsia="Palatino Linotype" w:hAnsi="Palatino Linotype" w:cs="Palatino Linotype"/>
          <w:i/>
          <w:iCs/>
        </w:rPr>
        <w:t>.” (Sic)</w:t>
      </w:r>
    </w:p>
    <w:p w:rsidR="0029463F" w:rsidRDefault="0029463F">
      <w:pPr>
        <w:spacing w:line="360" w:lineRule="auto"/>
        <w:ind w:left="851" w:right="851"/>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de señalarse que </w:t>
      </w:r>
      <w:r>
        <w:rPr>
          <w:rFonts w:ascii="Palatino Linotype" w:eastAsia="Palatino Linotype" w:hAnsi="Palatino Linotype" w:cs="Palatino Linotype"/>
          <w:b/>
          <w:bCs/>
        </w:rPr>
        <w:t>las facturas o comprobantes que amparan las erogaciones que se realizan con erario público tienen naturaleza pública</w:t>
      </w:r>
      <w:r>
        <w:rPr>
          <w:rFonts w:ascii="Palatino Linotype" w:eastAsia="Palatino Linotype" w:hAnsi="Palatino Linotype" w:cs="Palatino Linotype"/>
        </w:rPr>
        <w:t xml:space="preserve"> pues, constituyen los medios idóneos de evidencia del gasto realizado con recursos públicos, de ahí que convenga precisar que la Constitución Política del Estado Libre y Soberano de México en su artículo 129 señala que l</w:t>
      </w:r>
      <w:r>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w:t>
      </w:r>
      <w:r>
        <w:rPr>
          <w:rFonts w:ascii="Palatino Linotype" w:eastAsia="Palatino Linotype" w:hAnsi="Palatino Linotype" w:cs="Palatino Linotype"/>
          <w:color w:val="000000"/>
        </w:rPr>
        <w:t>contexto</w:t>
      </w:r>
      <w:r>
        <w:rPr>
          <w:rFonts w:ascii="Palatino Linotype" w:eastAsia="Palatino Linotype" w:hAnsi="Palatino Linotype" w:cs="Palatino Linotype"/>
        </w:rPr>
        <w:t xml:space="preserve">, es de referir que de conformidad con  los artículos 342, 343, 344 y 345 del Código </w:t>
      </w:r>
      <w:r>
        <w:rPr>
          <w:rFonts w:ascii="Palatino Linotype" w:eastAsia="Palatino Linotype" w:hAnsi="Palatino Linotype" w:cs="Palatino Linotype"/>
          <w:color w:val="000000"/>
        </w:rPr>
        <w:t>Financiero</w:t>
      </w:r>
      <w:r>
        <w:rPr>
          <w:rFonts w:ascii="Palatino Linotype" w:eastAsia="Palatino Linotype" w:hAnsi="Palatino Linotype" w:cs="Palatino Linotype"/>
        </w:rPr>
        <w:t xml:space="preserve"> del Estado de México y Municipios, disponen el sistema y las políticas </w:t>
      </w:r>
      <w:r>
        <w:rPr>
          <w:rFonts w:ascii="Palatino Linotype" w:eastAsia="Palatino Linotype" w:hAnsi="Palatino Linotype" w:cs="Palatino Linotype"/>
        </w:rPr>
        <w:lastRenderedPageBreak/>
        <w:t xml:space="preserve">que deben seguirse para llevar el </w:t>
      </w:r>
      <w:r>
        <w:rPr>
          <w:rFonts w:ascii="Palatino Linotype" w:eastAsia="Palatino Linotype" w:hAnsi="Palatino Linotype" w:cs="Palatino Linotype"/>
          <w:b/>
          <w:bCs/>
        </w:rPr>
        <w:t>registro contable y presupuestal de las operaciones financieras</w:t>
      </w:r>
      <w:r>
        <w:rPr>
          <w:rFonts w:ascii="Palatino Linotype" w:eastAsia="Palatino Linotype" w:hAnsi="Palatino Linotype" w:cs="Palatino Linotype"/>
        </w:rPr>
        <w:t>, en los siguientes términos:</w:t>
      </w: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342.-</w:t>
      </w:r>
      <w:r>
        <w:rPr>
          <w:rFonts w:ascii="Palatino Linotype" w:eastAsia="Palatino Linotype" w:hAnsi="Palatino Linotype" w:cs="Palatino Linotype"/>
          <w:i/>
          <w:iCs/>
        </w:rPr>
        <w:t xml:space="preserve"> -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29463F" w:rsidRDefault="0029463F">
      <w:pPr>
        <w:ind w:left="567" w:right="-858"/>
        <w:jc w:val="both"/>
        <w:rPr>
          <w:rFonts w:ascii="Palatino Linotype" w:eastAsia="Palatino Linotype" w:hAnsi="Palatino Linotype" w:cs="Palatino Linotype"/>
          <w:i/>
          <w:iCs/>
        </w:rPr>
      </w:pP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En el caso de los municipios</w:t>
      </w:r>
      <w:r>
        <w:rPr>
          <w:rFonts w:ascii="Palatino Linotype" w:eastAsia="Palatino Linotype" w:hAnsi="Palatino Linotype" w:cs="Palatino Linotype"/>
          <w:i/>
          <w:iCs/>
        </w:rPr>
        <w:t>,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rsidR="0029463F" w:rsidRDefault="0029463F">
      <w:pPr>
        <w:ind w:left="567" w:right="-858"/>
        <w:jc w:val="both"/>
        <w:rPr>
          <w:rFonts w:ascii="Palatino Linotype" w:eastAsia="Palatino Linotype" w:hAnsi="Palatino Linotype" w:cs="Palatino Linotype"/>
          <w:i/>
          <w:iCs/>
        </w:rPr>
      </w:pP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343.-</w:t>
      </w:r>
      <w:r>
        <w:rPr>
          <w:rFonts w:ascii="Palatino Linotype" w:eastAsia="Palatino Linotype" w:hAnsi="Palatino Linotype" w:cs="Palatino Linotype"/>
          <w:i/>
          <w:iCs/>
        </w:rPr>
        <w:t xml:space="preserve"> -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El sistema de contabilidad sobre base acumulativa total, se sustentará en las normas emitidas por el Consejo Nacional de Armonización Contable.</w:t>
      </w:r>
    </w:p>
    <w:p w:rsidR="0029463F" w:rsidRDefault="0029463F">
      <w:pPr>
        <w:ind w:left="567" w:right="-858"/>
        <w:jc w:val="both"/>
        <w:rPr>
          <w:rFonts w:ascii="Palatino Linotype" w:eastAsia="Palatino Linotype" w:hAnsi="Palatino Linotype" w:cs="Palatino Linotype"/>
          <w:b/>
          <w:bCs/>
          <w:i/>
          <w:iCs/>
        </w:rPr>
      </w:pPr>
    </w:p>
    <w:p w:rsidR="0029463F" w:rsidRDefault="001E578D">
      <w:pPr>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344.- Los Entes Públicos, a través de cualquiera de sus unidades administrativas, de acuerdo con su naturaleza jurídica y según corresponda, registrarán contablemente el efecto patrimonial y presupuestal de las operaciones financieras que realicen</w:t>
      </w:r>
      <w:r>
        <w:rPr>
          <w:rFonts w:ascii="Palatino Linotype" w:eastAsia="Palatino Linotype" w:hAnsi="Palatino Linotype" w:cs="Palatino Linotype"/>
          <w:i/>
          <w:iCs/>
        </w:rPr>
        <w:t>, en el momento en que ocurran, con base en el sistema y políticas de registro establecidas, en el caso de los Municipios, se hará por la Tesorería.</w:t>
      </w:r>
    </w:p>
    <w:p w:rsidR="0029463F" w:rsidRDefault="0029463F">
      <w:pPr>
        <w:ind w:left="567" w:right="-858"/>
        <w:jc w:val="both"/>
        <w:rPr>
          <w:rFonts w:ascii="Palatino Linotype" w:eastAsia="Palatino Linotype" w:hAnsi="Palatino Linotype" w:cs="Palatino Linotype"/>
          <w:b/>
          <w:bCs/>
          <w:i/>
          <w:iCs/>
        </w:rPr>
      </w:pPr>
    </w:p>
    <w:p w:rsidR="0029463F" w:rsidRDefault="001E578D">
      <w:pPr>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Todo registro contable y presupuestal deberá estar soportado con los documentos de registro, justificativos y comprobatorios originales, </w:t>
      </w:r>
      <w:r>
        <w:rPr>
          <w:rFonts w:ascii="Palatino Linotype" w:eastAsia="Palatino Linotype" w:hAnsi="Palatino Linotype" w:cs="Palatino Linotype"/>
          <w:i/>
          <w:iCs/>
        </w:rPr>
        <w:t xml:space="preserve">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858"/>
        <w:jc w:val="both"/>
        <w:rPr>
          <w:rFonts w:ascii="Palatino Linotype" w:eastAsia="Palatino Linotype" w:hAnsi="Palatino Linotype" w:cs="Palatino Linotype"/>
          <w:b/>
          <w:bCs/>
          <w:i/>
          <w:iCs/>
        </w:rPr>
      </w:pP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345.-</w:t>
      </w:r>
      <w:r>
        <w:rPr>
          <w:rFonts w:ascii="Palatino Linotype" w:eastAsia="Palatino Linotype" w:hAnsi="Palatino Linotype" w:cs="Palatino Linotype"/>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rsidR="0029463F" w:rsidRDefault="0029463F">
      <w:pPr>
        <w:ind w:left="567" w:right="-858"/>
        <w:jc w:val="both"/>
        <w:rPr>
          <w:rFonts w:ascii="Palatino Linotype" w:eastAsia="Palatino Linotype" w:hAnsi="Palatino Linotype" w:cs="Palatino Linotype"/>
          <w:i/>
          <w:iCs/>
        </w:rPr>
      </w:pP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Los poderes Legislativo y Judicial, los Organismos Autónomos y las Entidades Públicas, de acuerdo con su naturaleza jurídica y según corresponda, deberán conservar la documentación contable del año en curso y la de ejercicios anteriores</w:t>
      </w:r>
      <w:r>
        <w:rPr>
          <w:rFonts w:ascii="Palatino Linotype" w:eastAsia="Palatino Linotype" w:hAnsi="Palatino Linotype" w:cs="Palatino Linotype"/>
          <w:i/>
          <w:iCs/>
        </w:rPr>
        <w:t>, cuyas cuentas públicas hayan sido revisadas y fiscalizadas, en sus propios Archivos Contables. Tratándose de los comprobantes fiscales digitales, estos deberán estar agregados en forma electrónica a cada póliza de registro contable.</w:t>
      </w:r>
    </w:p>
    <w:p w:rsidR="0029463F" w:rsidRDefault="0029463F">
      <w:pPr>
        <w:ind w:left="567" w:right="-858"/>
        <w:jc w:val="both"/>
        <w:rPr>
          <w:rFonts w:ascii="Palatino Linotype" w:eastAsia="Palatino Linotype" w:hAnsi="Palatino Linotype" w:cs="Palatino Linotype"/>
          <w:i/>
          <w:iCs/>
        </w:rPr>
      </w:pPr>
    </w:p>
    <w:p w:rsidR="0029463F" w:rsidRDefault="001E578D">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El plazo señalado en este artículo empezará a contar a partir de la publicación en el Periódico Oficial, del decreto correspondiente</w:t>
      </w:r>
      <w:r>
        <w:rPr>
          <w:rFonts w:ascii="Palatino Linotype" w:eastAsia="Palatino Linotype" w:hAnsi="Palatino Linotype" w:cs="Palatino Linotype"/>
          <w:b/>
          <w:bCs/>
          <w:i/>
          <w:iCs/>
        </w:rPr>
        <w:t xml:space="preserve"> </w:t>
      </w:r>
    </w:p>
    <w:p w:rsidR="0029463F" w:rsidRDefault="0029463F">
      <w:pPr>
        <w:spacing w:line="360" w:lineRule="auto"/>
        <w:ind w:right="-93"/>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29463F" w:rsidRDefault="0029463F">
      <w:pPr>
        <w:spacing w:line="360" w:lineRule="auto"/>
        <w:ind w:right="-93"/>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si bien es cierto que el Código Financiero del Estado de México y Municipios establece la </w:t>
      </w:r>
      <w:r>
        <w:rPr>
          <w:rFonts w:ascii="Palatino Linotype" w:eastAsia="Palatino Linotype" w:hAnsi="Palatino Linotype" w:cs="Palatino Linotype"/>
          <w:color w:val="000000"/>
        </w:rPr>
        <w:t>obligación</w:t>
      </w:r>
      <w:r>
        <w:rPr>
          <w:rFonts w:ascii="Palatino Linotype" w:eastAsia="Palatino Linotype" w:hAnsi="Palatino Linotype" w:cs="Palatino Linotype"/>
        </w:rPr>
        <w:t xml:space="preserve"> a los Municipios para llevar los registros contables y presupuestales; también lo es que, dicho ordenamiento jurídico no establece qué debemos entender por registro contable y presupuestal; sin embargo, el “</w:t>
      </w:r>
      <w:r>
        <w:rPr>
          <w:rFonts w:ascii="Palatino Linotype" w:eastAsia="Palatino Linotype" w:hAnsi="Palatino Linotype" w:cs="Palatino Linotype"/>
          <w:i/>
          <w:iCs/>
        </w:rPr>
        <w:t>Glosario de Términos para el Proceso de Planeación, Programación, Presupuestación y Evaluación en la Administración Pública”</w:t>
      </w:r>
      <w:r>
        <w:rPr>
          <w:rFonts w:ascii="Palatino Linotype" w:eastAsia="Palatino Linotype" w:hAnsi="Palatino Linotype" w:cs="Palatino Linotype"/>
        </w:rPr>
        <w:t xml:space="preserve">, elaborado por el Grupo de Trabajo de Sistemas de Información Financiera, Contable y Presupuestal de la Comisión Permanente de Funcionarios Fiscales del Instituto para el </w:t>
      </w:r>
      <w:r>
        <w:rPr>
          <w:rFonts w:ascii="Palatino Linotype" w:eastAsia="Palatino Linotype" w:hAnsi="Palatino Linotype" w:cs="Palatino Linotype"/>
        </w:rPr>
        <w:lastRenderedPageBreak/>
        <w:t>Desarrollo Técnico de las Haciendas Públicas (INDETEC) señalan las siguientes definiciones de las palabras registro contable y registro presupuestario:</w:t>
      </w:r>
    </w:p>
    <w:p w:rsidR="0029463F" w:rsidRDefault="001E578D">
      <w:pPr>
        <w:ind w:left="1134" w:right="90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REGISTRO CONTABLE. </w:t>
      </w:r>
      <w:r>
        <w:rPr>
          <w:rFonts w:ascii="Palatino Linotype" w:eastAsia="Palatino Linotype" w:hAnsi="Palatino Linotype" w:cs="Palatino Linotype"/>
          <w:i/>
          <w:iCs/>
        </w:rPr>
        <w:t>Asiento que se realiza en los libros de contabilidad de las actividades relacionadas con el ingreso y egresos de un ente económico.</w:t>
      </w:r>
    </w:p>
    <w:p w:rsidR="0029463F" w:rsidRDefault="0029463F">
      <w:pPr>
        <w:ind w:left="1134" w:right="900"/>
        <w:jc w:val="both"/>
        <w:rPr>
          <w:rFonts w:ascii="Palatino Linotype" w:eastAsia="Palatino Linotype" w:hAnsi="Palatino Linotype" w:cs="Palatino Linotype"/>
          <w:i/>
          <w:iCs/>
        </w:rPr>
      </w:pP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REGISTRO PRESUPUESTARIO. </w:t>
      </w:r>
      <w:r>
        <w:rPr>
          <w:rFonts w:ascii="Palatino Linotype" w:eastAsia="Palatino Linotype" w:hAnsi="Palatino Linotype" w:cs="Palatino Linotype"/>
          <w:i/>
          <w:iCs/>
        </w:rPr>
        <w:t>Asiento contable de las erogaciones realizadas por las dependencias y entidades con relación a la asignación, modificación y ejercicio de los recursos presupuestarios que se les hayan autorizado.</w:t>
      </w:r>
    </w:p>
    <w:p w:rsidR="0029463F" w:rsidRDefault="0029463F">
      <w:pPr>
        <w:spacing w:line="360" w:lineRule="auto"/>
        <w:jc w:val="both"/>
        <w:rPr>
          <w:rFonts w:ascii="Palatino Linotype" w:eastAsia="Palatino Linotype" w:hAnsi="Palatino Linotype" w:cs="Palatino Linotype"/>
          <w:highlight w:val="yellow"/>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w:t>
      </w:r>
      <w:r>
        <w:rPr>
          <w:rFonts w:ascii="Palatino Linotype" w:eastAsia="Palatino Linotype" w:hAnsi="Palatino Linotype" w:cs="Palatino Linotype"/>
          <w:color w:val="000000"/>
        </w:rPr>
        <w:t>cabe</w:t>
      </w:r>
      <w:r>
        <w:rPr>
          <w:rFonts w:ascii="Palatino Linotype" w:eastAsia="Palatino Linotype" w:hAnsi="Palatino Linotype" w:cs="Palatino Linotype"/>
        </w:rPr>
        <w:t xml:space="preserve"> referir que la Ley de Fiscalización Superior del Estado de México prevé en su artículo 4 que los Poderes Públicos del Estado son considerados entes fiscalizables, tal como se observa a continuación:</w:t>
      </w: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Son sujetos de fiscalización:</w:t>
      </w: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I. Los Poderes Públicos del Estado;</w:t>
      </w:r>
    </w:p>
    <w:p w:rsidR="0029463F" w:rsidRDefault="001E578D">
      <w:pPr>
        <w:ind w:left="1134" w:right="90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Los municipios del Estado de México;</w:t>
      </w:r>
    </w:p>
    <w:p w:rsidR="0029463F" w:rsidRDefault="001E578D">
      <w:pPr>
        <w:ind w:left="1134" w:right="90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el ordenamiento legal referido señala en su artículo 8, fracción XI lo siguiente: </w:t>
      </w:r>
    </w:p>
    <w:p w:rsidR="0029463F" w:rsidRDefault="0029463F">
      <w:pPr>
        <w:ind w:left="1134" w:right="900"/>
        <w:jc w:val="both"/>
        <w:rPr>
          <w:rFonts w:ascii="Palatino Linotype" w:eastAsia="Palatino Linotype" w:hAnsi="Palatino Linotype" w:cs="Palatino Linotype"/>
        </w:rPr>
      </w:pP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Artículo 8. El Órgano Superior tendrá las siguientes atribuciones:</w:t>
      </w: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w:t>
      </w:r>
      <w:r>
        <w:rPr>
          <w:rFonts w:ascii="Palatino Linotype" w:eastAsia="Palatino Linotype" w:hAnsi="Palatino Linotype" w:cs="Palatino Linotype"/>
          <w:b/>
          <w:bCs/>
          <w:i/>
          <w:iCs/>
        </w:rPr>
        <w:t>Establecer los lineamientos, criterios, procedimientos, métodos y sistemas para las acciones de control y evaluación, necesarios para la fiscalización de las cuentas públicas y los informes trimestrales</w:t>
      </w:r>
      <w:r>
        <w:rPr>
          <w:rFonts w:ascii="Palatino Linotype" w:eastAsia="Palatino Linotype" w:hAnsi="Palatino Linotype" w:cs="Palatino Linotype"/>
          <w:i/>
          <w:iCs/>
        </w:rPr>
        <w:t xml:space="preserve">…” </w:t>
      </w:r>
    </w:p>
    <w:p w:rsidR="0029463F" w:rsidRDefault="0029463F">
      <w:pPr>
        <w:tabs>
          <w:tab w:val="left" w:pos="284"/>
        </w:tabs>
        <w:spacing w:line="360" w:lineRule="auto"/>
        <w:jc w:val="both"/>
        <w:rPr>
          <w:rFonts w:ascii="Palatino Linotype" w:eastAsia="Palatino Linotype" w:hAnsi="Palatino Linotype" w:cs="Palatino Linotype"/>
          <w:highlight w:val="yellow"/>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De la normatividad previamente plasmada,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razón de lo expuesto, los sujetos obligados deberán hacer pública toda aquella información relativa a los montos y las personas a quienes entreguen, por cualquier motivo, recursos públicos y en consecuencia, los servidores públicos deberán transparentar sus acciones así como garantizar y respetar el derecho de acceso a la información pública.</w:t>
      </w:r>
    </w:p>
    <w:p w:rsidR="0029463F" w:rsidRDefault="0029463F">
      <w:pPr>
        <w:spacing w:line="360" w:lineRule="auto"/>
        <w:ind w:right="-787"/>
        <w:jc w:val="both"/>
        <w:rPr>
          <w:rFonts w:ascii="Palatino Linotype" w:eastAsia="Palatino Linotype" w:hAnsi="Palatino Linotype" w:cs="Palatino Linotype"/>
          <w:b/>
          <w:bCs/>
          <w:i/>
          <w:iCs/>
          <w:u w:val="singl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ende</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w:t>
      </w:r>
      <w:r>
        <w:rPr>
          <w:rFonts w:ascii="Palatino Linotype" w:eastAsia="Palatino Linotype" w:hAnsi="Palatino Linotype" w:cs="Palatino Linotype"/>
          <w:b/>
          <w:bCs/>
          <w:color w:val="000000"/>
        </w:rPr>
        <w:t>nueva búsqueda exhaustiva y razonable</w:t>
      </w:r>
      <w:r>
        <w:rPr>
          <w:rFonts w:ascii="Palatino Linotype" w:eastAsia="Palatino Linotype" w:hAnsi="Palatino Linotype" w:cs="Palatino Linotype"/>
          <w:color w:val="000000"/>
        </w:rPr>
        <w:t xml:space="preserve"> en las unidades administrativas que, de conformidad con sus funciones y atribuciones posean, administren o generen la información; ello con la finalidad de localizar y entregar las </w:t>
      </w:r>
      <w:r>
        <w:rPr>
          <w:rFonts w:ascii="Palatino Linotype" w:eastAsia="Palatino Linotype" w:hAnsi="Palatino Linotype" w:cs="Palatino Linotype"/>
          <w:b/>
          <w:bCs/>
          <w:color w:val="000000"/>
        </w:rPr>
        <w:t>facturas o el documento idóneo</w:t>
      </w:r>
      <w:r>
        <w:rPr>
          <w:rFonts w:ascii="Palatino Linotype" w:eastAsia="Palatino Linotype" w:hAnsi="Palatino Linotype" w:cs="Palatino Linotype"/>
          <w:color w:val="000000"/>
        </w:rPr>
        <w:t> </w:t>
      </w:r>
      <w:r>
        <w:rPr>
          <w:rFonts w:ascii="Palatino Linotype" w:eastAsia="Palatino Linotype" w:hAnsi="Palatino Linotype" w:cs="Palatino Linotype"/>
          <w:b/>
          <w:bCs/>
          <w:color w:val="000000"/>
        </w:rPr>
        <w:t xml:space="preserve"> que acredite el pago realizado a la empresa contratista, al 06 de noviembre de 2025</w:t>
      </w:r>
      <w:r>
        <w:rPr>
          <w:rFonts w:ascii="Palatino Linotype" w:eastAsia="Palatino Linotype" w:hAnsi="Palatino Linotype" w:cs="Palatino Linotype"/>
          <w:color w:val="000000"/>
        </w:rPr>
        <w:t>.</w:t>
      </w:r>
    </w:p>
    <w:p w:rsidR="0029463F" w:rsidRDefault="0029463F">
      <w:pPr>
        <w:pBdr>
          <w:top w:val="nil"/>
          <w:left w:val="nil"/>
          <w:bottom w:val="nil"/>
          <w:right w:val="nil"/>
          <w:between w:val="nil"/>
        </w:pBdr>
        <w:spacing w:line="360" w:lineRule="auto"/>
        <w:ind w:right="-788"/>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lo que respecta al punto de solicitud relativo al </w:t>
      </w:r>
      <w:r>
        <w:rPr>
          <w:rFonts w:ascii="Palatino Linotype" w:eastAsia="Palatino Linotype" w:hAnsi="Palatino Linotype" w:cs="Palatino Linotype"/>
          <w:i/>
          <w:iCs/>
          <w:u w:val="single"/>
        </w:rPr>
        <w:t>expediente técnico</w:t>
      </w:r>
      <w:r>
        <w:rPr>
          <w:rFonts w:ascii="Palatino Linotype" w:eastAsia="Palatino Linotype" w:hAnsi="Palatino Linotype" w:cs="Palatino Linotype"/>
        </w:rPr>
        <w:t xml:space="preserve">, el Sujeto Obligado remitió la </w:t>
      </w:r>
      <w:r>
        <w:rPr>
          <w:rFonts w:ascii="Palatino Linotype" w:eastAsia="Palatino Linotype" w:hAnsi="Palatino Linotype" w:cs="Palatino Linotype"/>
          <w:i/>
          <w:iCs/>
        </w:rPr>
        <w:t xml:space="preserve">"Ficha Técnica" </w:t>
      </w:r>
      <w:r>
        <w:rPr>
          <w:rFonts w:ascii="Palatino Linotype" w:eastAsia="Palatino Linotype" w:hAnsi="Palatino Linotype" w:cs="Palatino Linotype"/>
        </w:rPr>
        <w:t>de obra pública referida en la solicitud de información; no obstante, dicho documento es distinto al solicitado, por lo que es dable contextualizar la naturaleza jurídica de la información requerida.</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i/>
          <w:iCs/>
          <w:highlight w:val="yellow"/>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primer lugar, se tiene como obligación de transparencia común la de poner a disposición la información relativa la información sobre los procesos y resultados sobre procedimientos de adjudicación directa, invitación restringida y licitación de cualquier naturaleza, incluyendo la versión pública del expediente respectivo, tal como lo señala el artículo 92, de la Ley de Transparencia y Acceso a la Información Pública del Estado de México y Municipios:</w:t>
      </w:r>
    </w:p>
    <w:p w:rsidR="0029463F" w:rsidRDefault="001E578D">
      <w:pPr>
        <w:ind w:left="567" w:right="-57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Obligaciones de Transparencia Comunes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92</w:t>
      </w:r>
      <w:r>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La información sobre los procesos y resultados sobre procedimientos de adjudicación directa, invitación restringida y licitación de cualquier naturaleza, </w:t>
      </w:r>
      <w:r>
        <w:rPr>
          <w:rFonts w:ascii="Palatino Linotype" w:eastAsia="Palatino Linotype" w:hAnsi="Palatino Linotype" w:cs="Palatino Linotype"/>
          <w:b/>
          <w:bCs/>
          <w:i/>
          <w:iCs/>
          <w:u w:val="single"/>
        </w:rPr>
        <w:t>incluyendo la versión pública del expediente respectivo y de los contratos celebrados</w:t>
      </w:r>
      <w:r>
        <w:rPr>
          <w:rFonts w:ascii="Palatino Linotype" w:eastAsia="Palatino Linotype" w:hAnsi="Palatino Linotype" w:cs="Palatino Linotype"/>
          <w:i/>
          <w:iCs/>
        </w:rPr>
        <w:t xml:space="preserve">, que deberán contener, por los menos, lo siguiente: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 De licitaciones públicas o procedimientos de invitación restringida: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La convocatoria o invitación emitida, así como los fundamentos legales aplicados para llevarla a cabo;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Los nombres de los participantes o invitados;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El nombre del ganador y las razones que lo justifican;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El área solicitante y la responsable de su ejecución;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Las convocatorias e invitaciones emitidas;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6) Los dictámenes y fallo de adjudicación;</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El contrato y, en su caso, sus anexos;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La partida presupuestal, de conformidad con el clasificador por objeto del gasto, en el caso de ser aplicable;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Origen de los recursos especificando si son federales, estatales o municipales, así como el tipo de fondo de participación o aportación respectiva;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Los convenios modificatorios que, en su caso, sean firmados, precisando el objeto y la fecha de celebración;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 Los informes de avance físico y financiero sobre las obras o servicios contratados;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13) El convenio de terminación; y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14) El finiquito.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b) De las adjudicaciones directas: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La propuesta enviada por el participante;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2) Los motivos y fundamentos legales aplicados para llevarla a cabo;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La autorización del ejercicio de la opción;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En su caso, las cotizaciones consideradas, especificando los nombres de los proveedores y sus montos;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El nombre de la persona física o jurídica colectiva adjudicada;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La unidad administrativa solicitante y la responsable de su ejecución;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El número, fecha, el monto del contrato y el plazo de entrega o de ejecución de los servicios u obra;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Los informes de avance sobre las obras o servicios contratados;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El convenio de terminación; y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11) El finiquito.</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w:t>
      </w:r>
      <w:r>
        <w:rPr>
          <w:rFonts w:ascii="Palatino Linotype" w:eastAsia="Palatino Linotype" w:hAnsi="Palatino Linotype" w:cs="Palatino Linotype"/>
          <w:i/>
          <w:iCs/>
        </w:rPr>
        <w:t>.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mismo </w:t>
      </w:r>
      <w:r>
        <w:rPr>
          <w:rFonts w:ascii="Palatino Linotype" w:eastAsia="Palatino Linotype" w:hAnsi="Palatino Linotype" w:cs="Palatino Linotype"/>
        </w:rPr>
        <w:t>sentido</w:t>
      </w:r>
      <w:r>
        <w:rPr>
          <w:rFonts w:ascii="Palatino Linotype" w:eastAsia="Palatino Linotype" w:hAnsi="Palatino Linotype" w:cs="Palatino Linotype"/>
          <w:color w:val="000000"/>
        </w:rPr>
        <w:t xml:space="preserv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establecen en la fracción </w:t>
      </w:r>
      <w:r>
        <w:rPr>
          <w:rFonts w:ascii="Palatino Linotype" w:eastAsia="Palatino Linotype" w:hAnsi="Palatino Linotype" w:cs="Palatino Linotype"/>
          <w:color w:val="000000"/>
          <w:u w:val="single"/>
        </w:rPr>
        <w:t>XXVIII. La información sobre los resultados sobre procedimientos de adjudicación directa, invitación restringida y licitación de cualquier naturaleza, incluyendo la Versión Pública del Expediente respectivo y de los contratos celebrados, que deberá contener por lo menos lo siguiente:…</w:t>
      </w:r>
      <w:r>
        <w:rPr>
          <w:rFonts w:ascii="Palatino Linotype" w:eastAsia="Palatino Linotype" w:hAnsi="Palatino Linotype" w:cs="Palatino Linotype"/>
          <w:color w:val="000000"/>
        </w:rPr>
        <w:t xml:space="preserve"> establece como criterios sustantivos de contenido los siguientes:</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Criterios sustantivos de contenido</w:t>
      </w:r>
      <w:r>
        <w:rPr>
          <w:rFonts w:ascii="Palatino Linotype" w:eastAsia="Palatino Linotype" w:hAnsi="Palatino Linotype" w:cs="Palatino Linotype"/>
          <w:i/>
          <w:iCs/>
        </w:rPr>
        <w:t xml:space="preserve">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Respecto de cada una de las etapas del procedimiento de contratación </w:t>
      </w:r>
      <w:r>
        <w:rPr>
          <w:rFonts w:ascii="Palatino Linotype" w:eastAsia="Palatino Linotype" w:hAnsi="Palatino Linotype" w:cs="Palatino Linotype"/>
          <w:b/>
          <w:bCs/>
          <w:i/>
          <w:iCs/>
        </w:rPr>
        <w:t xml:space="preserve">de licitación pública, invitación a cuando menos tres personas y adjudicación directa </w:t>
      </w:r>
      <w:r>
        <w:rPr>
          <w:rFonts w:ascii="Palatino Linotype" w:eastAsia="Palatino Linotype" w:hAnsi="Palatino Linotype" w:cs="Palatino Linotype"/>
          <w:i/>
          <w:iCs/>
        </w:rPr>
        <w:t>se publicarán los siguientes datos: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3</w:t>
      </w:r>
      <w:r>
        <w:rPr>
          <w:rFonts w:ascii="Palatino Linotype" w:eastAsia="Palatino Linotype" w:hAnsi="Palatino Linotype" w:cs="Palatino Linotype"/>
          <w:i/>
          <w:iCs/>
        </w:rPr>
        <w:t xml:space="preserve"> Tipo de procedimiento (catálogo): Licitación pública/Invitación a cuando menos tres personas/ Adjudicación directa/ Otra (especificar). En caso de que no se haya llevado a cabo alguno de los tres procedimientos en el periodo que se informa, se deberá incluir un registro con el periodo respectivo, el procedimiento y señalar mediante una nota fundamentada, motivada y actualizada al periodo correspondiente, que no se llevó a cabo ningún procedimiento de ese tipo.</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4</w:t>
      </w:r>
      <w:r>
        <w:rPr>
          <w:rFonts w:ascii="Palatino Linotype" w:eastAsia="Palatino Linotype" w:hAnsi="Palatino Linotype" w:cs="Palatino Linotype"/>
          <w:i/>
          <w:iCs/>
        </w:rPr>
        <w:t xml:space="preserve"> Materia o tipo de contratación (catálogo): Obra pública/Servicios relacionados con obra pública/Adquisiciones/Arrendamientos/Servicios.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En cuanto al contrato se publicarán los siguientes datos:</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46</w:t>
      </w:r>
      <w:r>
        <w:rPr>
          <w:rFonts w:ascii="Palatino Linotype" w:eastAsia="Palatino Linotype" w:hAnsi="Palatino Linotype" w:cs="Palatino Linotype"/>
          <w:i/>
          <w:iCs/>
        </w:rPr>
        <w:t xml:space="preserve"> Monto del contrato sin impuestos incluidos (expresados en pesos mexicanos).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47</w:t>
      </w:r>
      <w:r>
        <w:rPr>
          <w:rFonts w:ascii="Palatino Linotype" w:eastAsia="Palatino Linotype" w:hAnsi="Palatino Linotype" w:cs="Palatino Linotype"/>
          <w:i/>
          <w:iCs/>
        </w:rPr>
        <w:t xml:space="preserve"> Monto total del contrato con impuestos incluidos (expresados en pesos mexicanos).</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Si se trata de obra pública y/o servicios relacionados con la misma se deberán incluir los siguientes datos: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63</w:t>
      </w:r>
      <w:r>
        <w:rPr>
          <w:rFonts w:ascii="Palatino Linotype" w:eastAsia="Palatino Linotype" w:hAnsi="Palatino Linotype" w:cs="Palatino Linotype"/>
          <w:i/>
          <w:iCs/>
        </w:rPr>
        <w:t xml:space="preserve"> Lugar donde se realizará la obra pública y/o servicio relacionado con la misma.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64</w:t>
      </w:r>
      <w:r>
        <w:rPr>
          <w:rFonts w:ascii="Palatino Linotype" w:eastAsia="Palatino Linotype" w:hAnsi="Palatino Linotype" w:cs="Palatino Linotype"/>
          <w:i/>
          <w:iCs/>
        </w:rPr>
        <w:t xml:space="preserve"> Breve descripción de la obra pública.</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67</w:t>
      </w:r>
      <w:r>
        <w:rPr>
          <w:rFonts w:ascii="Palatino Linotype" w:eastAsia="Palatino Linotype" w:hAnsi="Palatino Linotype" w:cs="Palatino Linotype"/>
          <w:i/>
          <w:iCs/>
        </w:rPr>
        <w:t xml:space="preserve"> Etapa de la obra pública y/o servicio de la misma (catálogo): En planeación/ En progreso/ Finiquito.</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Asimismo, se deberán publicar los siguientes documentos:</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74</w:t>
      </w:r>
      <w:r>
        <w:rPr>
          <w:rFonts w:ascii="Palatino Linotype" w:eastAsia="Palatino Linotype" w:hAnsi="Palatino Linotype" w:cs="Palatino Linotype"/>
          <w:i/>
          <w:iCs/>
        </w:rPr>
        <w:t xml:space="preserve"> Hipervínculo, en su caso, al (los) informe(s) de avance físicos en versión pública si así corresponde.</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78</w:t>
      </w:r>
      <w:r>
        <w:rPr>
          <w:rFonts w:ascii="Palatino Linotype" w:eastAsia="Palatino Linotype" w:hAnsi="Palatino Linotype" w:cs="Palatino Linotype"/>
          <w:i/>
          <w:iCs/>
        </w:rPr>
        <w:t xml:space="preserve"> Hipervínculo a la factura o documento que cumpla con requisitos fiscales.</w:t>
      </w:r>
    </w:p>
    <w:p w:rsidR="0029463F" w:rsidRDefault="0029463F">
      <w:pP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como en la fracción en la fracción </w:t>
      </w:r>
      <w:r>
        <w:rPr>
          <w:rFonts w:ascii="Palatino Linotype" w:eastAsia="Palatino Linotype" w:hAnsi="Palatino Linotype" w:cs="Palatino Linotype"/>
          <w:color w:val="000000"/>
          <w:u w:val="single"/>
        </w:rPr>
        <w:t>XXVII.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r>
        <w:rPr>
          <w:rFonts w:ascii="Palatino Linotype" w:eastAsia="Palatino Linotype" w:hAnsi="Palatino Linotype" w:cs="Palatino Linotype"/>
          <w:color w:val="000000"/>
        </w:rPr>
        <w:t xml:space="preserve"> establece que La información se organizará por acto jurídico y respecto de cada uno se especificará su tipo; en este sentido, la  </w:t>
      </w:r>
      <w:r>
        <w:rPr>
          <w:rFonts w:ascii="Palatino Linotype" w:eastAsia="Palatino Linotype" w:hAnsi="Palatino Linotype" w:cs="Palatino Linotype"/>
          <w:b/>
          <w:bCs/>
          <w:color w:val="000000"/>
        </w:rPr>
        <w:t>Concesión</w:t>
      </w:r>
      <w:r>
        <w:rPr>
          <w:rFonts w:ascii="Palatino Linotype" w:eastAsia="Palatino Linotype" w:hAnsi="Palatino Linotype" w:cs="Palatino Linotype"/>
          <w:color w:val="000000"/>
        </w:rPr>
        <w:t xml:space="preserve"> para ejecución y operación de obra pública; prestación de servicio público; radiodifusión; telecomunicaciones; etcétera.</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Siguiendo la misma línea, es de referir que un </w:t>
      </w:r>
      <w:r>
        <w:rPr>
          <w:rFonts w:ascii="Palatino Linotype" w:eastAsia="Palatino Linotype" w:hAnsi="Palatino Linotype" w:cs="Palatino Linotype"/>
          <w:b/>
          <w:bCs/>
          <w:color w:val="000000"/>
        </w:rPr>
        <w:t>expediente técnico de obra pública</w:t>
      </w:r>
      <w:r>
        <w:rPr>
          <w:rFonts w:ascii="Palatino Linotype" w:eastAsia="Palatino Linotype" w:hAnsi="Palatino Linotype" w:cs="Palatino Linotype"/>
          <w:color w:val="000000"/>
        </w:rPr>
        <w:t xml:space="preserve"> municipal está conformado por diversos documentos técnicos y económicos (planos, memorias, presupuestos, especificaciones) que definen detalladamente el alcance, diseño, costos y plazos de un proyecto de ingeniería, documento indispensable para la licitación y contratación de obra pública, mismo que puede contener de manera enunciativa, los componentes siguientes:</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Descripción general del proyecto, objetivos y justificación.</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Informes de suelo, topografía, impacto ambiental, entre otros.</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Planos de Ejecución</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Representación gráfica detallada de la obra.</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Especificaciones Técnicas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Reglas y procedimientos detallados (calidad de materiales, métodos de construcción).</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Cuantificación física de los trabajos a realizar.</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Presupuesto de Obra.</w:t>
      </w:r>
    </w:p>
    <w:p w:rsidR="0029463F" w:rsidRDefault="001E578D">
      <w:pPr>
        <w:numPr>
          <w:ilvl w:val="1"/>
          <w:numId w:val="11"/>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Cronograma de Ejecución. </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dentro del procedimiento de licitación la Ley de Contratación Pública del Estado de México y Municipios, establece lo siguiente en relación a las propuestas técnicas.</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35</w:t>
      </w:r>
      <w:r>
        <w:rPr>
          <w:rFonts w:ascii="Palatino Linotype" w:eastAsia="Palatino Linotype" w:hAnsi="Palatino Linotype" w:cs="Palatino Linotype"/>
          <w:i/>
          <w:iCs/>
        </w:rPr>
        <w:t xml:space="preserve">.- En los procedimientos de licitación pública se observará lo siguiente: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36</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acto de presentación y apertura de propuestas</w:t>
      </w:r>
      <w:r>
        <w:rPr>
          <w:rFonts w:ascii="Palatino Linotype" w:eastAsia="Palatino Linotype" w:hAnsi="Palatino Linotype" w:cs="Palatino Linotype"/>
          <w:i/>
          <w:iCs/>
        </w:rPr>
        <w:t xml:space="preserve"> se celebrará de manera pública y en presencia de todos los oferentes, en la forma siguiente: </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Los licitantes presentarán, por escrito y en sobre cerrado por separado, sus propuestas técnica y económica, así como los demás documentos requeridos en las bases de la licitación.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apertura de propuestas podrá efectuarse cuando se haya presentado una propuesta cuando menos.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Se abrirán las propuestas técnicas, desechándose las que cuantitativamente no cumplan con cualquiera de los requisitos establecidos en las bases de licitación, poniéndolas a disposición del interesado conjuntamente con el sobre que contenga la propuesta económica. </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IV. Se procederá a la apertura de las propuestas económicas de los licitantes cuyas propuestas técnicas fueron aceptadas cuantitativamente.</w:t>
      </w: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ind w:left="567" w:right="-574"/>
        <w:jc w:val="both"/>
        <w:rPr>
          <w:rFonts w:ascii="Palatino Linotype" w:eastAsia="Palatino Linotype" w:hAnsi="Palatino Linotype" w:cs="Palatino Linotype"/>
          <w:i/>
          <w:iCs/>
        </w:rPr>
      </w:pPr>
    </w:p>
    <w:p w:rsidR="0029463F" w:rsidRDefault="001E578D">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37.-</w:t>
      </w:r>
      <w:r>
        <w:rPr>
          <w:rFonts w:ascii="Palatino Linotype" w:eastAsia="Palatino Linotype" w:hAnsi="Palatino Linotype" w:cs="Palatino Linotype"/>
          <w:i/>
          <w:iCs/>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advierte que la propuesta técnica y económica, o en el caso concreto, el </w:t>
      </w:r>
      <w:r>
        <w:rPr>
          <w:rFonts w:ascii="Palatino Linotype" w:eastAsia="Palatino Linotype" w:hAnsi="Palatino Linotype" w:cs="Palatino Linotype"/>
          <w:b/>
          <w:bCs/>
          <w:color w:val="000000"/>
        </w:rPr>
        <w:t>expediente técnico de obra pública</w:t>
      </w:r>
      <w:r>
        <w:rPr>
          <w:rFonts w:ascii="Palatino Linotype" w:eastAsia="Palatino Linotype" w:hAnsi="Palatino Linotype" w:cs="Palatino Linotype"/>
          <w:color w:val="000000"/>
        </w:rPr>
        <w:t>, es un documento indispensable en los procedimientos de adquisición.</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razón de lo expuesto, es dable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expediente técnico de la obra</w:t>
      </w:r>
      <w:r>
        <w:rPr>
          <w:rFonts w:ascii="Palatino Linotype" w:eastAsia="Palatino Linotype" w:hAnsi="Palatino Linotype" w:cs="Palatino Linotype"/>
          <w:color w:val="000000"/>
        </w:rPr>
        <w:t xml:space="preserve"> referida en respuesta.</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Continuando con el estudio, respecto al punto de solicitud </w:t>
      </w:r>
      <w:r>
        <w:rPr>
          <w:rFonts w:ascii="Palatino Linotype" w:eastAsia="Palatino Linotype" w:hAnsi="Palatino Linotype" w:cs="Palatino Linotype"/>
          <w:i/>
          <w:iCs/>
          <w:color w:val="000000"/>
          <w:u w:val="single"/>
        </w:rPr>
        <w:t>Documento que acredite la asignación y aprobación del comité de adquisiciones</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el Sujeto Obligado refirió a través de la Dirección General de Administración que la información no es competencia de esa Dirección, por lo que es oportuno mencionar que si bien la persona solicitante omitió señalar de manera correcta el </w:t>
      </w:r>
      <w:r>
        <w:rPr>
          <w:rFonts w:ascii="Palatino Linotype" w:eastAsia="Palatino Linotype" w:hAnsi="Palatino Linotype" w:cs="Palatino Linotype"/>
          <w:b/>
          <w:bCs/>
          <w:color w:val="000000"/>
        </w:rPr>
        <w:t>nombre del comité encargado de la obra pública</w:t>
      </w:r>
      <w:r>
        <w:rPr>
          <w:rFonts w:ascii="Palatino Linotype" w:eastAsia="Palatino Linotype" w:hAnsi="Palatino Linotype" w:cs="Palatino Linotype"/>
          <w:color w:val="000000"/>
        </w:rPr>
        <w:t xml:space="preserve">, es obligación de los Sujetos Obligados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w:t>
      </w:r>
      <w:r>
        <w:rPr>
          <w:rFonts w:ascii="Palatino Linotype" w:eastAsia="Palatino Linotype" w:hAnsi="Palatino Linotype" w:cs="Palatino Linotype"/>
        </w:rPr>
        <w:t>consten</w:t>
      </w:r>
      <w:r>
        <w:rPr>
          <w:rFonts w:ascii="Palatino Linotype" w:eastAsia="Palatino Linotype" w:hAnsi="Palatino Linotype" w:cs="Palatino Linotype"/>
          <w:color w:val="000000"/>
        </w:rPr>
        <w:t xml:space="preserve"> en documentos, ya sea generados o que se encuentre en posesión de las autoridades, por tal motivo, privilegiando el principio de máxima publicidad, en el presente caso, se deberá proceder a la entrega del soporte documental en donde conste la información que brinde respuesta a la solicitud, así el particular podrá buscar conforme a su interés.</w:t>
      </w:r>
    </w:p>
    <w:p w:rsidR="0029463F" w:rsidRDefault="0029463F">
      <w:pP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sustento a lo anterior resulta aplicable el Criterio orientador 16/17, emitido por el Instituto Nacional de Transparencia, Acceso a la Información y Protección de Datos Personales, INAI, establece lo siguiente: </w:t>
      </w:r>
    </w:p>
    <w:p w:rsidR="0029463F" w:rsidRDefault="001E578D">
      <w:pPr>
        <w:pBdr>
          <w:top w:val="nil"/>
          <w:left w:val="nil"/>
          <w:bottom w:val="nil"/>
          <w:right w:val="nil"/>
          <w:between w:val="nil"/>
        </w:pBdr>
        <w:tabs>
          <w:tab w:val="left" w:pos="7938"/>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 “</w:t>
      </w:r>
      <w:r>
        <w:rPr>
          <w:rFonts w:ascii="Palatino Linotype" w:eastAsia="Palatino Linotype" w:hAnsi="Palatino Linotype" w:cs="Palatino Linotype"/>
          <w:b/>
          <w:bCs/>
          <w:i/>
          <w:iCs/>
          <w:color w:val="000000"/>
        </w:rPr>
        <w:t>Expresión documental</w:t>
      </w:r>
      <w:r>
        <w:rPr>
          <w:rFonts w:ascii="Palatino Linotype" w:eastAsia="Palatino Linotype" w:hAnsi="Palatino Linotype" w:cs="Palatino Linotype"/>
          <w:i/>
          <w:iCs/>
          <w:color w:val="000000"/>
        </w:rPr>
        <w:t>.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29463F" w:rsidRDefault="0029463F">
      <w:pPr>
        <w:pBdr>
          <w:top w:val="nil"/>
          <w:left w:val="nil"/>
          <w:bottom w:val="nil"/>
          <w:right w:val="nil"/>
          <w:between w:val="nil"/>
        </w:pBdr>
        <w:tabs>
          <w:tab w:val="left" w:pos="7938"/>
        </w:tabs>
        <w:ind w:right="900"/>
        <w:jc w:val="both"/>
        <w:rPr>
          <w:rFonts w:ascii="Palatino Linotype" w:eastAsia="Palatino Linotype" w:hAnsi="Palatino Linotype" w:cs="Palatino Linotype"/>
          <w:i/>
          <w:iCs/>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se advierte que la información a la que desea tener acceso el particular es el </w:t>
      </w:r>
      <w:r>
        <w:rPr>
          <w:rFonts w:ascii="Palatino Linotype" w:eastAsia="Palatino Linotype" w:hAnsi="Palatino Linotype" w:cs="Palatino Linotype"/>
          <w:i/>
          <w:iCs/>
          <w:color w:val="000000"/>
          <w:u w:val="single"/>
        </w:rPr>
        <w:t>Documento que acredite la asignación y aprobación de la obra referida en la solicitud de información, por el Comité Interno de Obra Pública</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por lo que es de enunciar lo que refiere la normatividad al respecto.</w:t>
      </w:r>
    </w:p>
    <w:p w:rsidR="0029463F" w:rsidRDefault="0029463F">
      <w:pPr>
        <w:pBdr>
          <w:top w:val="nil"/>
          <w:left w:val="nil"/>
          <w:bottom w:val="nil"/>
          <w:right w:val="nil"/>
          <w:between w:val="nil"/>
        </w:pBdr>
        <w:spacing w:line="360" w:lineRule="auto"/>
        <w:ind w:left="360"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dependencias, entidades, </w:t>
      </w:r>
      <w:r>
        <w:rPr>
          <w:rFonts w:ascii="Palatino Linotype" w:eastAsia="Palatino Linotype" w:hAnsi="Palatino Linotype" w:cs="Palatino Linotype"/>
          <w:b/>
          <w:bCs/>
          <w:color w:val="000000"/>
        </w:rPr>
        <w:t>ayuntamientos</w:t>
      </w:r>
      <w:r>
        <w:rPr>
          <w:rFonts w:ascii="Palatino Linotype" w:eastAsia="Palatino Linotype" w:hAnsi="Palatino Linotype" w:cs="Palatino Linotype"/>
          <w:color w:val="000000"/>
        </w:rPr>
        <w:t xml:space="preserve">, los poderes Legislativo y Judicial, así como los organismos autónomos y los Tribunales Administrativos </w:t>
      </w:r>
      <w:r>
        <w:rPr>
          <w:rFonts w:ascii="Palatino Linotype" w:eastAsia="Palatino Linotype" w:hAnsi="Palatino Linotype" w:cs="Palatino Linotype"/>
          <w:b/>
          <w:bCs/>
          <w:color w:val="000000"/>
        </w:rPr>
        <w:t>que</w:t>
      </w:r>
      <w:r>
        <w:rPr>
          <w:rFonts w:ascii="Palatino Linotype" w:eastAsia="Palatino Linotype" w:hAnsi="Palatino Linotype" w:cs="Palatino Linotype"/>
          <w:color w:val="000000"/>
        </w:rPr>
        <w:t xml:space="preserve">, por </w:t>
      </w:r>
      <w:r>
        <w:rPr>
          <w:rFonts w:ascii="Palatino Linotype" w:eastAsia="Palatino Linotype" w:hAnsi="Palatino Linotype" w:cs="Palatino Linotype"/>
        </w:rPr>
        <w:t>sí o</w:t>
      </w:r>
      <w:r>
        <w:rPr>
          <w:rFonts w:ascii="Palatino Linotype" w:eastAsia="Palatino Linotype" w:hAnsi="Palatino Linotype" w:cs="Palatino Linotype"/>
          <w:color w:val="000000"/>
        </w:rPr>
        <w:t xml:space="preserve"> por conducto de terceros, </w:t>
      </w:r>
      <w:r>
        <w:rPr>
          <w:rFonts w:ascii="Palatino Linotype" w:eastAsia="Palatino Linotype" w:hAnsi="Palatino Linotype" w:cs="Palatino Linotype"/>
          <w:b/>
          <w:bCs/>
          <w:color w:val="000000"/>
        </w:rPr>
        <w:t xml:space="preserve">realicen actividades en materia de planeación, programación, presupuestación, adjudicación, contratación, ejecución y control de la </w:t>
      </w:r>
      <w:r>
        <w:rPr>
          <w:rFonts w:ascii="Palatino Linotype" w:eastAsia="Palatino Linotype" w:hAnsi="Palatino Linotype" w:cs="Palatino Linotype"/>
          <w:b/>
          <w:bCs/>
          <w:color w:val="000000"/>
          <w:u w:val="single"/>
        </w:rPr>
        <w:t>obra pública</w:t>
      </w:r>
      <w:r>
        <w:rPr>
          <w:rFonts w:ascii="Palatino Linotype" w:eastAsia="Palatino Linotype" w:hAnsi="Palatino Linotype" w:cs="Palatino Linotype"/>
          <w:b/>
          <w:bCs/>
          <w:color w:val="000000"/>
        </w:rPr>
        <w:t xml:space="preserve"> y servicios relacionados con la misma, </w:t>
      </w:r>
      <w:r>
        <w:rPr>
          <w:rFonts w:ascii="Palatino Linotype" w:eastAsia="Palatino Linotype" w:hAnsi="Palatino Linotype" w:cs="Palatino Linotype"/>
        </w:rPr>
        <w:t>deberán</w:t>
      </w:r>
      <w:r>
        <w:rPr>
          <w:rFonts w:ascii="Palatino Linotype" w:eastAsia="Palatino Linotype" w:hAnsi="Palatino Linotype" w:cs="Palatino Linotype"/>
          <w:color w:val="000000"/>
        </w:rPr>
        <w:t xml:space="preserve"> observar las disposiciones del Reglamento del Libro Décimo Segundo del Código Administrativo del Estado de México.</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Dicho Reglamento establece que Los </w:t>
      </w:r>
      <w:r>
        <w:rPr>
          <w:rFonts w:ascii="Palatino Linotype" w:eastAsia="Palatino Linotype" w:hAnsi="Palatino Linotype" w:cs="Palatino Linotype"/>
          <w:b/>
          <w:bCs/>
          <w:color w:val="000000"/>
        </w:rPr>
        <w:t>Comités Internos de Obra Pública</w:t>
      </w:r>
      <w:r>
        <w:rPr>
          <w:rFonts w:ascii="Palatino Linotype" w:eastAsia="Palatino Linotype" w:hAnsi="Palatino Linotype" w:cs="Palatino Linotype"/>
          <w:color w:val="000000"/>
        </w:rPr>
        <w:t xml:space="preserve"> son una instancia interna auxiliar de los titulares de las dependencias y los órganos de gobierno de las entidades en los procesos de contratación de obra pública y servicios, así como de los ayuntamientos, cuyo propósito es contribuir a garantizar la transparencia, equidad y eficacia en los procesos de contratación de obra pública y servicios, y tiene dentro de sus funciones las señaladas en su artículo 23:</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23</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Comités Internos de Obra Pública</w:t>
      </w:r>
      <w:r>
        <w:rPr>
          <w:rFonts w:ascii="Palatino Linotype" w:eastAsia="Palatino Linotype" w:hAnsi="Palatino Linotype" w:cs="Palatino Linotype"/>
          <w:i/>
          <w:iCs/>
        </w:rPr>
        <w:t xml:space="preserve"> tendrán entre otras las funciones siguientes: </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 Revisar los proyectos de programas y presupuestos de obra pública o servicios, así como formular las observaciones y recomendaciones que correspondan;</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II. Dictaminar sobre la procedencia de iniciar procedimientos de invitación restringida o de adjudicación directa.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III. Los Comités Internos de Obra Pública deberán elaborar y aprobar su manual de integración y funcionamiento.</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Artículo 25.- Para las reuniones de los comités, deberá tomarse en cuenta lo siguiente:</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II. Las decisiones se tomarán por unanimidad o por mayoría de votos. En este último, en el acta de la reunión, se hará constar el nombre de quién y en qué sentido emitió el voto y, en su caso, los argumentos que lo sustenten. En caso de empate, quien presida tendrá voto de calidad;</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VII. Los casos de excepción a la licitación pública que se sometan a dictamen de procedencia deberán presentarse por escrito y contener por lo menos los documentos siguientes: a. El resumen del caso, que debe incluir: nombre de la dependencia, entidad o ayuntamiento; fecha; número de la reunión del Comité Interno de Obra Pública en la que se presenta; presupuesto disponible en la partida presupuestal correspondiente; número del oficio de autorización presupuestal de la Secretaria de Finanzas; descripción genérica de las obras o servicios que se pretendan contratar; su justificación; fundamento legal; fechas de inicio y terminación programadas; su monto estimado; el nombre del contratista o contratistas invitados; acuerdo del comité; nombres y firmas de los miembros; b. El dictamen que incluya la justificación y fundamento social, constructivo, económico y legal para llevar a cabo el procedimiento de contratación propuesto; y</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6" w:name="_heading=h.jtwrdjbm6uqw" w:colFirst="0" w:colLast="0"/>
      <w:bookmarkEnd w:id="6"/>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Comités Internos de Obra Pública tienen la función de revisar los proyectos de programas y presupuestos de obra pública o servicios, así como formular las observaciones y recomendaciones que correspondan y Dictaminar sobre la procedencia de iniciar </w:t>
      </w:r>
      <w:r w:rsidR="00F80AC2">
        <w:rPr>
          <w:rFonts w:ascii="Palatino Linotype" w:eastAsia="Palatino Linotype" w:hAnsi="Palatino Linotype" w:cs="Palatino Linotype"/>
          <w:color w:val="000000"/>
        </w:rPr>
        <w:t>procedimientos de invitación restringida o de adjudicación directa, dichos</w:t>
      </w:r>
      <w:r>
        <w:rPr>
          <w:rFonts w:ascii="Palatino Linotype" w:eastAsia="Palatino Linotype" w:hAnsi="Palatino Linotype" w:cs="Palatino Linotype"/>
          <w:color w:val="000000"/>
        </w:rPr>
        <w:t xml:space="preserve"> </w:t>
      </w:r>
      <w:r w:rsidR="00F80AC2">
        <w:rPr>
          <w:rFonts w:ascii="Palatino Linotype" w:eastAsia="Palatino Linotype" w:hAnsi="Palatino Linotype" w:cs="Palatino Linotype"/>
          <w:color w:val="000000"/>
        </w:rPr>
        <w:t>dictámenes</w:t>
      </w:r>
      <w:r>
        <w:rPr>
          <w:rFonts w:ascii="Palatino Linotype" w:eastAsia="Palatino Linotype" w:hAnsi="Palatino Linotype" w:cs="Palatino Linotype"/>
          <w:color w:val="000000"/>
        </w:rPr>
        <w:t xml:space="preserve"> debe contener entre otros puntos la justificación.</w:t>
      </w:r>
      <w:bookmarkStart w:id="7" w:name="_GoBack"/>
      <w:bookmarkEnd w:id="7"/>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 Reglamento del Libro Décimo Segundo del Código Administrativo del Estado de México, establece los Procedimientos de Adjudicación de la Obra Pública, siendo los siguientes:</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TÍTULO TERCERO</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Procedimientos de Adjudicación de la Obra Pública</w:t>
      </w:r>
    </w:p>
    <w:p w:rsidR="0029463F" w:rsidRDefault="0029463F">
      <w:pPr>
        <w:pBdr>
          <w:top w:val="nil"/>
          <w:left w:val="nil"/>
          <w:bottom w:val="nil"/>
          <w:right w:val="nil"/>
          <w:between w:val="nil"/>
        </w:pBdr>
        <w:ind w:left="567" w:right="-433"/>
        <w:jc w:val="center"/>
        <w:rPr>
          <w:rFonts w:ascii="Palatino Linotype" w:eastAsia="Palatino Linotype" w:hAnsi="Palatino Linotype" w:cs="Palatino Linotype"/>
          <w:b/>
          <w:bCs/>
          <w:i/>
          <w:iCs/>
        </w:rPr>
      </w:pP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Primero</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Licitación Pública</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Artículo 26.-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Articulo 30.- El procedimiento de licitación pública inicia con la publicación de la convocatoria y concluye con el fallo y adjudicación. Cubrirá las etapas siguientes: </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formulación de las bases de licitación;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publicación de la convocatoria;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venta de las bases de licitación;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 visita al sitio donde se realizarán los trabajos;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Las juntas de aclaraciones;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La presentación y apertura de propuestas;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La evaluación de propuestas; y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VIII. El fallo y adjudicación.</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Segundo</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Excepciones a la Licitación Pública</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69</w:t>
      </w:r>
      <w:r>
        <w:rPr>
          <w:rFonts w:ascii="Palatino Linotype" w:eastAsia="Palatino Linotype" w:hAnsi="Palatino Linotype" w:cs="Palatino Linotype"/>
          <w:i/>
          <w:iCs/>
        </w:rPr>
        <w:t xml:space="preserve">.- Cuando las dependencias, entidades y ayuntamientos determinen optar por las modalidades de </w:t>
      </w:r>
      <w:r>
        <w:rPr>
          <w:rFonts w:ascii="Palatino Linotype" w:eastAsia="Palatino Linotype" w:hAnsi="Palatino Linotype" w:cs="Palatino Linotype"/>
          <w:b/>
          <w:bCs/>
          <w:i/>
          <w:iCs/>
        </w:rPr>
        <w:t>invitación restringida o adjudicación directa</w:t>
      </w:r>
      <w:r>
        <w:rPr>
          <w:rFonts w:ascii="Palatino Linotype" w:eastAsia="Palatino Linotype" w:hAnsi="Palatino Linotype" w:cs="Palatino Linotype"/>
          <w:i/>
          <w:iCs/>
        </w:rPr>
        <w:t>, deberán respaldar su determinación en un estudio que fundamente su conveniencia por ofrecer mejores condiciones para el Estado de México…</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Sección Segunda</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Invitación Restringida</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85</w:t>
      </w:r>
      <w:r>
        <w:rPr>
          <w:rFonts w:ascii="Palatino Linotype" w:eastAsia="Palatino Linotype" w:hAnsi="Palatino Linotype" w:cs="Palatino Linotype"/>
          <w:i/>
          <w:iCs/>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descripción general de la obra o servicio;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informe del procedimiento de licitación pública que fue declarado desierto;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fecha probable de inicio de los trabajos y el plazo de ejecución de los mismos;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El presupuesto base;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autorización presupuestal;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El nombre y firma del titular del área responsable de la ejecución de los trabajos; y </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VII. El formato de caso para el dictamen de procedencia de excepción.</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Sección Tercera</w:t>
      </w:r>
    </w:p>
    <w:p w:rsidR="0029463F" w:rsidRDefault="001E578D">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Adjudicación Directa</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88.-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señaló en el procedimiento de invitación restringida. </w:t>
      </w:r>
    </w:p>
    <w:p w:rsidR="0029463F" w:rsidRDefault="0029463F">
      <w:pPr>
        <w:pBdr>
          <w:top w:val="nil"/>
          <w:left w:val="nil"/>
          <w:bottom w:val="nil"/>
          <w:right w:val="nil"/>
          <w:between w:val="nil"/>
        </w:pBdr>
        <w:ind w:left="567" w:right="-433"/>
        <w:jc w:val="both"/>
        <w:rPr>
          <w:rFonts w:ascii="Palatino Linotype" w:eastAsia="Palatino Linotype" w:hAnsi="Palatino Linotype" w:cs="Palatino Linotype"/>
          <w:i/>
          <w:iCs/>
        </w:rPr>
      </w:pP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Cuando la dependencia, entidad o ayuntamiento no cuente con Comité Interno de Obra Pública, la unidad ejecutora de obra pública deberá integrar el caso que someterá a la autorización del titular.</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orden de ideas, es de mencionar que de conformidad con el Código Reglamentario Municipal de Toluca, el titular de la </w:t>
      </w:r>
      <w:r>
        <w:rPr>
          <w:rFonts w:ascii="Palatino Linotype" w:eastAsia="Palatino Linotype" w:hAnsi="Palatino Linotype" w:cs="Palatino Linotype"/>
          <w:b/>
          <w:bCs/>
          <w:color w:val="000000"/>
        </w:rPr>
        <w:t>Dirección de Obras Públicas</w:t>
      </w:r>
      <w:r>
        <w:rPr>
          <w:rFonts w:ascii="Palatino Linotype" w:eastAsia="Palatino Linotype" w:hAnsi="Palatino Linotype" w:cs="Palatino Linotype"/>
          <w:color w:val="000000"/>
        </w:rPr>
        <w:t xml:space="preserve">, tiene la </w:t>
      </w:r>
      <w:r>
        <w:rPr>
          <w:rFonts w:ascii="Palatino Linotype" w:eastAsia="Palatino Linotype" w:hAnsi="Palatino Linotype" w:cs="Palatino Linotype"/>
          <w:color w:val="000000"/>
        </w:rPr>
        <w:lastRenderedPageBreak/>
        <w:t xml:space="preserve">atribución de </w:t>
      </w:r>
      <w:r>
        <w:rPr>
          <w:rFonts w:ascii="Palatino Linotype" w:eastAsia="Palatino Linotype" w:hAnsi="Palatino Linotype" w:cs="Palatino Linotype"/>
        </w:rPr>
        <w:t>integrar</w:t>
      </w:r>
      <w:r>
        <w:rPr>
          <w:rFonts w:ascii="Palatino Linotype" w:eastAsia="Palatino Linotype" w:hAnsi="Palatino Linotype" w:cs="Palatino Linotype"/>
          <w:color w:val="000000"/>
        </w:rPr>
        <w:t xml:space="preserve">, coordinar, supervisar y dar seguimiento al adecuado funcionamiento del </w:t>
      </w:r>
      <w:r>
        <w:rPr>
          <w:rFonts w:ascii="Palatino Linotype" w:eastAsia="Palatino Linotype" w:hAnsi="Palatino Linotype" w:cs="Palatino Linotype"/>
          <w:b/>
          <w:bCs/>
          <w:color w:val="000000"/>
        </w:rPr>
        <w:t xml:space="preserve">Comité Interno de Obra Pública. </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ello, se presume que la información debe existir si se refiere a las facultades, competencias y funciones que los ordenamientos jurídicos aplicables otorgan a los sujetos obligados, en consecuencia,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w:t>
      </w:r>
      <w:r>
        <w:rPr>
          <w:rFonts w:ascii="Palatino Linotype" w:eastAsia="Palatino Linotype" w:hAnsi="Palatino Linotype" w:cs="Palatino Linotype"/>
          <w:b/>
          <w:bCs/>
          <w:color w:val="000000"/>
        </w:rPr>
        <w:t>nueva búsqueda exhaustiva y razonable</w:t>
      </w:r>
      <w:r>
        <w:rPr>
          <w:rFonts w:ascii="Palatino Linotype" w:eastAsia="Palatino Linotype" w:hAnsi="Palatino Linotype" w:cs="Palatino Linotype"/>
          <w:color w:val="000000"/>
        </w:rPr>
        <w:t xml:space="preserve"> en las unidades administrativas que, de conformidad con sus funciones y atribuciones posean, administren o generen la información; ello con la finalidad de localizar y entregar el </w:t>
      </w:r>
      <w:r>
        <w:rPr>
          <w:rFonts w:ascii="Palatino Linotype" w:eastAsia="Palatino Linotype" w:hAnsi="Palatino Linotype" w:cs="Palatino Linotype"/>
          <w:b/>
          <w:bCs/>
          <w:color w:val="000000"/>
        </w:rPr>
        <w:t xml:space="preserve">documento generado por el Comité Interno de Obra Pública, que dé cuenta de la asignación y aprobación de la obra referida en respuesta. </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existe la obligación de publicitar la información que involucra recursos públicos, como lo son los expedientes de procedimientos de adquisiciones y servicios; los contratos celebrados derivados de un procedimiento de adquisición y servicios, así como,  el documento que ampara las erogaciones realizadas con erario público, al ser información que resulta relevante y beneficiosa para la sociedad y no simplemente de interés individual, cuya divulgación resulta útil para que el público comprenda las actividades que llevan a cabo los sujetos obligados.</w:t>
      </w:r>
    </w:p>
    <w:p w:rsidR="0029463F" w:rsidRDefault="0029463F">
      <w:pPr>
        <w:spacing w:line="360" w:lineRule="auto"/>
        <w:ind w:right="-787"/>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Resultando</w:t>
      </w:r>
      <w:r>
        <w:rPr>
          <w:rFonts w:ascii="Palatino Linotype" w:eastAsia="Palatino Linotype" w:hAnsi="Palatino Linotype" w:cs="Palatino Linotype"/>
          <w:color w:val="000000"/>
        </w:rPr>
        <w:t xml:space="preserve"> aplicable el Criterio orientador 02/17 emitido por el Pleno del Instituto Nacional de Transparencia y Acceso a la Información y Protección de Datos Personales, de título y texto siguientes:</w:t>
      </w:r>
    </w:p>
    <w:p w:rsidR="0029463F" w:rsidRDefault="001E578D">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w:t>
      </w:r>
      <w:r>
        <w:rPr>
          <w:rFonts w:ascii="Palatino Linotype" w:eastAsia="Palatino Linotype" w:hAnsi="Palatino Linotype" w:cs="Palatino Linotype"/>
          <w:i/>
          <w:iCs/>
        </w:rPr>
        <w:lastRenderedPageBreak/>
        <w:t xml:space="preserve">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29463F" w:rsidRDefault="0029463F">
      <w:pPr>
        <w:pBdr>
          <w:top w:val="nil"/>
          <w:left w:val="nil"/>
          <w:bottom w:val="nil"/>
          <w:right w:val="nil"/>
          <w:between w:val="nil"/>
        </w:pBdr>
        <w:ind w:right="851"/>
        <w:jc w:val="both"/>
        <w:rPr>
          <w:rFonts w:ascii="Palatino Linotype" w:eastAsia="Palatino Linotype" w:hAnsi="Palatino Linotype" w:cs="Palatino Linotype"/>
          <w:i/>
          <w:iCs/>
        </w:rPr>
      </w:pPr>
    </w:p>
    <w:p w:rsidR="0029463F" w:rsidRDefault="0029463F">
      <w:pPr>
        <w:pBdr>
          <w:top w:val="nil"/>
          <w:left w:val="nil"/>
          <w:bottom w:val="nil"/>
          <w:right w:val="nil"/>
          <w:between w:val="nil"/>
        </w:pBdr>
        <w:ind w:right="851"/>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Por lo anterior, este Organismo Garante, con la finalidad de garantizar el derecho humano de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y a fin de reparar el agravio causado ante la omisión en que incurriera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ya que como se señaló, su respuesta careció del principio de exhaustividad, al no pronunciarse por las consideraciones ya expuestas, por lo que se estima procedente</w:t>
      </w:r>
      <w:r>
        <w:rPr>
          <w:rFonts w:ascii="Palatino Linotype" w:eastAsia="Palatino Linotype" w:hAnsi="Palatino Linotype" w:cs="Palatino Linotype"/>
          <w:b/>
          <w:bCs/>
          <w:color w:val="000000"/>
        </w:rPr>
        <w:t xml:space="preserve"> MODIFICAR</w:t>
      </w:r>
      <w:r>
        <w:rPr>
          <w:rFonts w:ascii="Palatino Linotype" w:eastAsia="Palatino Linotype" w:hAnsi="Palatino Linotype" w:cs="Palatino Linotype"/>
          <w:color w:val="000000"/>
        </w:rPr>
        <w:t xml:space="preserve"> la respuesta emitida y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de ser procedente en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w:t>
      </w:r>
      <w:r>
        <w:rPr>
          <w:rFonts w:ascii="Palatino Linotype" w:eastAsia="Palatino Linotype" w:hAnsi="Palatino Linotype" w:cs="Palatino Linotype"/>
        </w:rPr>
        <w:t xml:space="preserve">de la información siguiente: </w:t>
      </w:r>
      <w:r>
        <w:rPr>
          <w:rFonts w:ascii="Palatino Linotype" w:eastAsia="Palatino Linotype" w:hAnsi="Palatino Linotype" w:cs="Palatino Linotype"/>
          <w:b/>
          <w:bCs/>
        </w:rPr>
        <w:t>De la obra pública referida en respuesta, al 06 de noviembre de 2025:</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Contrato de Obra Pública remitido en informe justificado en correcta versión pública; Documento generado por el Comité Ciudadano de Control y Vigilancia (COCICOVI), en el que conste o se advierta el avance y los trabajos realizados; la o las facturas o el documento idóneo que acredite el pago realizado a la empresa contratista; </w:t>
      </w:r>
      <w:r>
        <w:rPr>
          <w:rFonts w:ascii="Palatino Linotype" w:eastAsia="Palatino Linotype" w:hAnsi="Palatino Linotype" w:cs="Palatino Linotype"/>
          <w:b/>
          <w:bCs/>
          <w:color w:val="000000"/>
        </w:rPr>
        <w:t>expediente técnico; y documento generado por el Comité Interno de Obra Pública, que dé cuenta de la asignación y aprobación de la obra</w:t>
      </w:r>
      <w:r>
        <w:rPr>
          <w:rFonts w:ascii="Palatino Linotype" w:eastAsia="Palatino Linotype" w:hAnsi="Palatino Linotype" w:cs="Palatino Linotype"/>
          <w:b/>
          <w:bCs/>
        </w:rPr>
        <w:t>.</w:t>
      </w:r>
    </w:p>
    <w:p w:rsidR="0029463F" w:rsidRDefault="0029463F">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highlight w:val="yellow"/>
        </w:rPr>
      </w:pPr>
    </w:p>
    <w:p w:rsidR="0029463F" w:rsidRDefault="001E578D">
      <w:pPr>
        <w:numPr>
          <w:ilvl w:val="0"/>
          <w:numId w:val="11"/>
        </w:numPr>
        <w:pBdr>
          <w:top w:val="nil"/>
          <w:left w:val="nil"/>
          <w:bottom w:val="nil"/>
          <w:right w:val="nil"/>
          <w:between w:val="nil"/>
        </w:pBdr>
        <w:spacing w:line="360" w:lineRule="auto"/>
        <w:ind w:left="0" w:right="-788" w:firstLine="0"/>
        <w:jc w:val="both"/>
        <w:rPr>
          <w:color w:val="000000"/>
        </w:rPr>
      </w:pPr>
      <w:r>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siguiente Considerando.</w:t>
      </w:r>
    </w:p>
    <w:p w:rsidR="0029463F" w:rsidRDefault="001E578D">
      <w:pPr>
        <w:keepNext/>
        <w:keepLine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29463F" w:rsidRDefault="001E578D">
      <w:pPr>
        <w:keepNext/>
        <w:keepLines/>
        <w:numPr>
          <w:ilvl w:val="0"/>
          <w:numId w:val="13"/>
        </w:numPr>
        <w:tabs>
          <w:tab w:val="left" w:pos="284"/>
        </w:tab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w:t>
      </w:r>
      <w:r>
        <w:rPr>
          <w:rFonts w:ascii="Palatino Linotype" w:eastAsia="Palatino Linotype" w:hAnsi="Palatino Linotype" w:cs="Palatino Linotype"/>
        </w:rPr>
        <w:t>que</w:t>
      </w:r>
      <w:r>
        <w:rPr>
          <w:rFonts w:ascii="Palatino Linotype" w:eastAsia="Palatino Linotype" w:hAnsi="Palatino Linotype" w:cs="Palatino Linotype"/>
          <w:color w:val="000000"/>
        </w:rPr>
        <w:t>,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pudieran obrar datos personales susceptibles de protegerse,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29463F" w:rsidRDefault="0029463F">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29463F" w:rsidRDefault="0029463F">
      <w:pPr>
        <w:tabs>
          <w:tab w:val="left" w:pos="284"/>
        </w:tabs>
        <w:spacing w:after="160" w:line="360" w:lineRule="auto"/>
        <w:ind w:right="49"/>
        <w:jc w:val="both"/>
        <w:rPr>
          <w:rFonts w:ascii="Palatino Linotype" w:eastAsia="Palatino Linotype" w:hAnsi="Palatino Linotype" w:cs="Palatino Linotype"/>
          <w:color w:val="000000"/>
        </w:rPr>
      </w:pPr>
    </w:p>
    <w:tbl>
      <w:tblPr>
        <w:tblStyle w:val="a0"/>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29463F">
        <w:tc>
          <w:tcPr>
            <w:tcW w:w="2263" w:type="dxa"/>
          </w:tcPr>
          <w:p w:rsidR="0029463F" w:rsidRDefault="001E578D">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513" w:type="dxa"/>
          </w:tcPr>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29463F" w:rsidRDefault="001E578D">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w:t>
            </w:r>
            <w:r>
              <w:rPr>
                <w:rFonts w:ascii="Palatino Linotype" w:eastAsia="Palatino Linotype" w:hAnsi="Palatino Linotype" w:cs="Palatino Linotype"/>
                <w:color w:val="000000"/>
              </w:rPr>
              <w:lastRenderedPageBreak/>
              <w:t>clasificar dentro de un documento con diez datos, por ejemplo, susceptibles de ser clasificados.</w:t>
            </w:r>
          </w:p>
        </w:tc>
      </w:tr>
      <w:tr w:rsidR="0029463F">
        <w:tc>
          <w:tcPr>
            <w:tcW w:w="2263" w:type="dxa"/>
            <w:shd w:val="clear" w:color="auto" w:fill="F2F2F2"/>
          </w:tcPr>
          <w:p w:rsidR="0029463F" w:rsidRDefault="001E578D">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7513" w:type="dxa"/>
            <w:shd w:val="clear" w:color="auto" w:fill="F2F2F2"/>
          </w:tcPr>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9463F" w:rsidRDefault="001E578D">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9463F">
        <w:tc>
          <w:tcPr>
            <w:tcW w:w="2263" w:type="dxa"/>
          </w:tcPr>
          <w:p w:rsidR="0029463F" w:rsidRDefault="001E578D">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c) Formalidades para emitir el acuerdo de clasificación.</w:t>
            </w:r>
          </w:p>
        </w:tc>
        <w:tc>
          <w:tcPr>
            <w:tcW w:w="7513" w:type="dxa"/>
          </w:tcPr>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29463F" w:rsidRDefault="001E578D">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9463F">
        <w:tc>
          <w:tcPr>
            <w:tcW w:w="2263" w:type="dxa"/>
            <w:shd w:val="clear" w:color="auto" w:fill="F2F2F2"/>
          </w:tcPr>
          <w:p w:rsidR="0029463F" w:rsidRDefault="0029463F">
            <w:pPr>
              <w:tabs>
                <w:tab w:val="left" w:pos="284"/>
              </w:tabs>
              <w:spacing w:line="360" w:lineRule="auto"/>
              <w:rPr>
                <w:rFonts w:ascii="Palatino Linotype" w:eastAsia="Palatino Linotype" w:hAnsi="Palatino Linotype" w:cs="Palatino Linotype"/>
                <w:b/>
                <w:bCs/>
              </w:rPr>
            </w:pPr>
          </w:p>
          <w:p w:rsidR="0029463F" w:rsidRDefault="001E578D">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9463F">
        <w:tc>
          <w:tcPr>
            <w:tcW w:w="2263" w:type="dxa"/>
          </w:tcPr>
          <w:p w:rsidR="0029463F" w:rsidRDefault="001E578D">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29463F" w:rsidRDefault="001E578D">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9463F" w:rsidRDefault="001E578D">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9463F" w:rsidRDefault="0029463F">
      <w:pPr>
        <w:tabs>
          <w:tab w:val="left" w:pos="284"/>
        </w:tabs>
        <w:spacing w:line="360" w:lineRule="auto"/>
        <w:rPr>
          <w:rFonts w:ascii="Palatino Linotype" w:eastAsia="Palatino Linotype" w:hAnsi="Palatino Linotype" w:cs="Palatino Linotype"/>
          <w:color w:val="000000"/>
        </w:rPr>
      </w:pPr>
    </w:p>
    <w:p w:rsidR="0029463F" w:rsidRDefault="0029463F">
      <w:pPr>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Dada la </w:t>
      </w:r>
      <w:r>
        <w:rPr>
          <w:rFonts w:ascii="Palatino Linotype" w:eastAsia="Palatino Linotype" w:hAnsi="Palatino Linotype" w:cs="Palatino Linotype"/>
          <w:color w:val="000000"/>
        </w:rPr>
        <w:t>complejidad</w:t>
      </w:r>
      <w:r>
        <w:rPr>
          <w:rFonts w:ascii="Palatino Linotype" w:eastAsia="Palatino Linotype" w:hAnsi="Palatino Linotype" w:cs="Palatino Linotype"/>
        </w:rPr>
        <w:t xml:space="preserve">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w:t>
      </w:r>
      <w:r>
        <w:rPr>
          <w:rFonts w:ascii="Palatino Linotype" w:eastAsia="Palatino Linotype" w:hAnsi="Palatino Linotype" w:cs="Palatino Linotype"/>
          <w:color w:val="000000"/>
        </w:rPr>
        <w:t>cuentas</w:t>
      </w:r>
      <w:r>
        <w:rPr>
          <w:rFonts w:ascii="Palatino Linotype" w:eastAsia="Palatino Linotype" w:hAnsi="Palatino Linotype" w:cs="Palatino Linotype"/>
        </w:rPr>
        <w:t xml:space="preserve">, constituyen información de naturaleza pública, en razón de que el beneficio de su publicidad es mayor que el beneficio de su clasificación, </w:t>
      </w:r>
      <w:r w:rsidR="00F80AC2">
        <w:rPr>
          <w:rFonts w:ascii="Palatino Linotype" w:eastAsia="Palatino Linotype" w:hAnsi="Palatino Linotype" w:cs="Palatino Linotype"/>
        </w:rPr>
        <w:t>aun</w:t>
      </w:r>
      <w:r>
        <w:rPr>
          <w:rFonts w:ascii="Palatino Linotype" w:eastAsia="Palatino Linotype" w:hAnsi="Palatino Linotype" w:cs="Palatino Linotype"/>
        </w:rPr>
        <w:t xml:space="preserve"> tratándose de información personal.</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color w:val="000000"/>
        </w:rPr>
        <w:t>cuando</w:t>
      </w:r>
      <w:r>
        <w:rPr>
          <w:rFonts w:ascii="Palatino Linotype" w:eastAsia="Palatino Linotype" w:hAnsi="Palatino Linotype" w:cs="Palatino Linotype"/>
        </w:rPr>
        <w:t xml:space="preserve"> las personas tienen una relación comercial, laboral, de servicios, trámites o del tipo que sea, necesariamente por un tema de interés público, debe cederse un </w:t>
      </w:r>
      <w:r>
        <w:rPr>
          <w:rFonts w:ascii="Palatino Linotype" w:eastAsia="Palatino Linotype" w:hAnsi="Palatino Linotype" w:cs="Palatino Linotype"/>
        </w:rPr>
        <w:lastRenderedPageBreak/>
        <w:t>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Bajo este esquema, se aprecia que la información ordenada, puede contener información susceptible a clasificar como confidencial y otra que resulta publica; a fin de aportar mayores elementos para la correcta elaboración de las versiones públicas; de forma enunciativa más no limitativa; se analizan el Registro Federal de Contribuyentes (RFC) y la Clave Única de Registro de Población (CURP), el nombre de representante legal de una persona jurídico colectiva; entre otros, ya que son datos que obran en los documentos solicitados.</w:t>
      </w:r>
    </w:p>
    <w:p w:rsidR="0029463F" w:rsidRDefault="0029463F">
      <w:pPr>
        <w:jc w:val="both"/>
        <w:rPr>
          <w:rFonts w:ascii="Palatino Linotype" w:eastAsia="Palatino Linotype" w:hAnsi="Palatino Linotype" w:cs="Palatino Linotype"/>
          <w:b/>
          <w:bCs/>
        </w:rPr>
      </w:pPr>
    </w:p>
    <w:p w:rsidR="0029463F" w:rsidRDefault="001E578D">
      <w:pPr>
        <w:numPr>
          <w:ilvl w:val="0"/>
          <w:numId w:val="16"/>
        </w:num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Registro Federal de Contribuyentes (RFC)</w:t>
      </w:r>
    </w:p>
    <w:p w:rsidR="0029463F" w:rsidRDefault="001E578D">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Persona física.</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29463F" w:rsidRDefault="0029463F">
      <w:pPr>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acuerdo con lo establecido en el artículo en comento, esta clave se compone de trece caracteres alfanuméricos, con datos obtenidos de los apellidos, nombre(s), fecha de </w:t>
      </w:r>
      <w:r>
        <w:rPr>
          <w:rFonts w:ascii="Palatino Linotype" w:eastAsia="Palatino Linotype" w:hAnsi="Palatino Linotype" w:cs="Palatino Linotype"/>
        </w:rPr>
        <w:lastRenderedPageBreak/>
        <w:t>nacimiento del titular, más una homoclave que establece el sistema automático del Servicio de Administración Tributaria.</w:t>
      </w:r>
    </w:p>
    <w:p w:rsidR="0029463F" w:rsidRDefault="0029463F">
      <w:pPr>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29463F" w:rsidRDefault="0029463F">
      <w:pPr>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Conforme a lo expuesto, el Registro Federal de Contribuyentes, es un dato personal, ya que hace a las personas físicas identificadas e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Lo anterior, resulta congruente con el Criterio orientador 19/17 emitido por el Instituto Nacional de Transparencia, Acceso a la Información y Protección de Datos Personales, en el cual se señala lo siguiente:</w:t>
      </w:r>
    </w:p>
    <w:p w:rsidR="0029463F" w:rsidRDefault="001E578D">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xml:space="preserve"> El RFC es una clave de carácter fiscal, única e irrepetible, que permite identificar al titular, su edad y fecha de nacimiento, por lo que es un dato personal de carácter confidencial.</w:t>
      </w:r>
    </w:p>
    <w:p w:rsidR="0029463F" w:rsidRDefault="0029463F">
      <w:pPr>
        <w:spacing w:line="360" w:lineRule="auto"/>
        <w:ind w:left="56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tal suerte, el Registro Federal de Contribuyentes de persona físicas no guarda relación con la transparencia de los recursos públicos, por lo que constituye un dato personal </w:t>
      </w:r>
      <w:r>
        <w:rPr>
          <w:rFonts w:ascii="Palatino Linotype" w:eastAsia="Palatino Linotype" w:hAnsi="Palatino Linotype" w:cs="Palatino Linotype"/>
        </w:rPr>
        <w:lastRenderedPageBreak/>
        <w:t>confidencial al actualizar el supuesto normativo del artículo 143, fracción I, de la Ley de Transparencia y Acceso a la Información Pública del Estado de México y Municipios.</w:t>
      </w:r>
    </w:p>
    <w:p w:rsidR="0029463F" w:rsidRDefault="0029463F">
      <w:pPr>
        <w:jc w:val="both"/>
        <w:rPr>
          <w:rFonts w:ascii="Palatino Linotype" w:eastAsia="Palatino Linotype" w:hAnsi="Palatino Linotype" w:cs="Palatino Linotype"/>
        </w:rPr>
      </w:pPr>
    </w:p>
    <w:p w:rsidR="0029463F" w:rsidRDefault="001E578D">
      <w:pPr>
        <w:numPr>
          <w:ilvl w:val="0"/>
          <w:numId w:val="16"/>
        </w:numPr>
        <w:pBdr>
          <w:top w:val="nil"/>
          <w:left w:val="nil"/>
          <w:bottom w:val="nil"/>
          <w:right w:val="nil"/>
          <w:between w:val="nil"/>
        </w:pBdr>
        <w:spacing w:line="360" w:lineRule="auto"/>
        <w:ind w:right="-9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Persona Jurídico-colectiva.</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w:t>
      </w:r>
      <w:r>
        <w:rPr>
          <w:rFonts w:ascii="Palatino Linotype" w:eastAsia="Palatino Linotype" w:hAnsi="Palatino Linotype" w:cs="Palatino Linotype"/>
          <w:b/>
          <w:bCs/>
        </w:rPr>
        <w:t>cédula de identificación fiscal o constancia de registro.</w:t>
      </w:r>
    </w:p>
    <w:p w:rsidR="0029463F" w:rsidRDefault="0029463F">
      <w:pPr>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Por ende, la información correspondiente al Registro Federal de Contribuyentes de una persona moral da cuenta del cumplimiento o no en sus obligaciones fiscales; por tanto, no se actualiza su clasificación como confidencial.</w:t>
      </w:r>
    </w:p>
    <w:p w:rsidR="0029463F" w:rsidRDefault="0029463F">
      <w:pPr>
        <w:jc w:val="both"/>
        <w:rPr>
          <w:rFonts w:ascii="Palatino Linotype" w:eastAsia="Palatino Linotype" w:hAnsi="Palatino Linotype" w:cs="Palatino Linotype"/>
          <w:b/>
          <w:b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Además, resulta aplicable el Criterio orientador 08/19 emitido por el Instituto Nacional de Transparencia, Acceso a la Información y Protección de Datos Personales, que señala lo siguiente:</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Razón social y RFC de personas morales. </w:t>
      </w:r>
      <w:r>
        <w:rPr>
          <w:rFonts w:ascii="Palatino Linotype" w:eastAsia="Palatino Linotype" w:hAnsi="Palatino Linotype" w:cs="Palatino Linotype"/>
          <w:i/>
          <w:iCs/>
        </w:rPr>
        <w:t xml:space="preserve">La denominación o razón social de personas morales es pública, por encontrarse inscritas en el Registro Público de Comercio; asimismo, su Registro Federal de Contribuyentes (RFC), en principio, también es público, ya que no se refiere </w:t>
      </w:r>
      <w:r>
        <w:rPr>
          <w:rFonts w:ascii="Palatino Linotype" w:eastAsia="Palatino Linotype" w:hAnsi="Palatino Linotype" w:cs="Palatino Linotype"/>
          <w:i/>
          <w:iCs/>
        </w:rPr>
        <w:lastRenderedPageBreak/>
        <w:t>a hechos o actos de carácter económico, contable, jurídico o administrativo que sean útiles o representen una ventaja a sus competidores.</w:t>
      </w:r>
    </w:p>
    <w:p w:rsidR="0029463F" w:rsidRDefault="0029463F">
      <w:pPr>
        <w:spacing w:line="360" w:lineRule="auto"/>
        <w:ind w:right="-93"/>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Dicho criterio, precisa que el Registro Federal de Contribuyentes de personas morales, es público, al no referir a hechos o actos de carácter económico, contable, jurídico o administrativo que sean útiles o representen una ventaja a sus competidores.</w:t>
      </w:r>
    </w:p>
    <w:p w:rsidR="0029463F" w:rsidRDefault="0029463F">
      <w:pPr>
        <w:spacing w:line="360" w:lineRule="auto"/>
        <w:ind w:right="-93"/>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tales circunstancias, el </w:t>
      </w:r>
      <w:r>
        <w:rPr>
          <w:rFonts w:ascii="Palatino Linotype" w:eastAsia="Palatino Linotype" w:hAnsi="Palatino Linotype" w:cs="Palatino Linotype"/>
          <w:b/>
          <w:bCs/>
        </w:rPr>
        <w:t>Registro Federal de Contribuyentes de personas morales, no actualizan la causal de clasificación</w:t>
      </w:r>
      <w:r>
        <w:rPr>
          <w:rFonts w:ascii="Palatino Linotype" w:eastAsia="Palatino Linotype" w:hAnsi="Palatino Linotype" w:cs="Palatino Linotype"/>
        </w:rPr>
        <w:t>, prevista en el artículo 143, fracción I de la Ley de Transparencia y Acceso a la Información Pública del Estado de México y Municipios, al ser de naturaleza pública.</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pPr>
      <w:r>
        <w:rPr>
          <w:rFonts w:ascii="Palatino Linotype" w:eastAsia="Palatino Linotype" w:hAnsi="Palatino Linotype" w:cs="Palatino Linotype"/>
          <w:color w:val="000000"/>
        </w:rPr>
        <w:t xml:space="preserve">Además, las </w:t>
      </w:r>
      <w:r>
        <w:rPr>
          <w:rFonts w:ascii="Palatino Linotype" w:eastAsia="Palatino Linotype" w:hAnsi="Palatino Linotype" w:cs="Palatino Linotype"/>
        </w:rPr>
        <w:t>personas</w:t>
      </w:r>
      <w:r>
        <w:rPr>
          <w:rFonts w:ascii="Palatino Linotype" w:eastAsia="Palatino Linotype" w:hAnsi="Palatino Linotype" w:cs="Palatino Linotype"/>
          <w:color w:val="000000"/>
        </w:rPr>
        <w:t xml:space="preserve"> físicas que realicen las actividades contratadas por las instituciones, renuncian </w:t>
      </w:r>
      <w:r>
        <w:rPr>
          <w:rFonts w:ascii="Palatino Linotype" w:eastAsia="Palatino Linotype" w:hAnsi="Palatino Linotype" w:cs="Palatino Linotype"/>
        </w:rPr>
        <w:t>implícitamente</w:t>
      </w:r>
      <w:r>
        <w:rPr>
          <w:rFonts w:ascii="Palatino Linotype" w:eastAsia="Palatino Linotype" w:hAnsi="Palatino Linotype" w:cs="Palatino Linotype"/>
          <w:color w:val="000000"/>
        </w:rPr>
        <w:t xml:space="preserve"> a una parte de su derecho a la intimidad al obtener beneficios y lucros de los recursos públicos por dicha contratación, por lo que no puede considerarse como información clasificada lo relativo a su nombre, registro federal de contribuyentes y </w:t>
      </w:r>
      <w:r>
        <w:rPr>
          <w:rFonts w:ascii="Palatino Linotype" w:eastAsia="Palatino Linotype" w:hAnsi="Palatino Linotype" w:cs="Palatino Linotype"/>
        </w:rPr>
        <w:t>domicilio</w:t>
      </w:r>
      <w:r>
        <w:rPr>
          <w:rFonts w:ascii="Palatino Linotype" w:eastAsia="Palatino Linotype" w:hAnsi="Palatino Linotype" w:cs="Palatino Linotype"/>
          <w:color w:val="000000"/>
        </w:rPr>
        <w:t xml:space="preserve"> fiscal, atento a que dicha información es la que puede generar certeza en los gobernados en que se está ejerciendo debidamente el presupuesto.</w:t>
      </w:r>
    </w:p>
    <w:p w:rsidR="0029463F" w:rsidRDefault="0029463F">
      <w:pPr>
        <w:spacing w:line="360" w:lineRule="auto"/>
        <w:ind w:right="276"/>
        <w:jc w:val="both"/>
      </w:pPr>
    </w:p>
    <w:p w:rsidR="0029463F" w:rsidRDefault="001E578D">
      <w:pPr>
        <w:numPr>
          <w:ilvl w:val="0"/>
          <w:numId w:val="11"/>
        </w:numPr>
        <w:pBdr>
          <w:top w:val="nil"/>
          <w:left w:val="nil"/>
          <w:bottom w:val="nil"/>
          <w:right w:val="nil"/>
          <w:between w:val="nil"/>
        </w:pBdr>
        <w:spacing w:line="360" w:lineRule="auto"/>
        <w:ind w:left="0" w:right="-788" w:firstLine="0"/>
        <w:jc w:val="both"/>
      </w:pPr>
      <w:r>
        <w:rPr>
          <w:rFonts w:ascii="Palatino Linotype" w:eastAsia="Palatino Linotype" w:hAnsi="Palatino Linotype" w:cs="Palatino Linotype"/>
          <w:color w:val="000000"/>
        </w:rPr>
        <w:t>Robustece lo anterior el criterio orientador 04/21 emitido por el Instituto Nacional de Transparencia, Acceso a la Información y Protección de Datos Personales, INAI, el cual refiere:</w:t>
      </w:r>
    </w:p>
    <w:p w:rsidR="0029463F" w:rsidRDefault="001E578D">
      <w:pP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“Registro Federal de Contribuyentes (RFC) de personas físicas proveedoras o contratistas. </w:t>
      </w:r>
      <w:r>
        <w:rPr>
          <w:rFonts w:ascii="Palatino Linotype" w:eastAsia="Palatino Linotype" w:hAnsi="Palatino Linotype" w:cs="Palatino Linotype"/>
          <w:i/>
          <w:iCs/>
          <w:color w:val="000000"/>
        </w:rPr>
        <w:t xml:space="preserve">El RFC de contratistas o proveedores de los sujetos obligados debe ser público, ya que al tratarse de personas con contrataciones públicas, su difusión favorece la </w:t>
      </w:r>
      <w:r>
        <w:rPr>
          <w:rFonts w:ascii="Palatino Linotype" w:eastAsia="Palatino Linotype" w:hAnsi="Palatino Linotype" w:cs="Palatino Linotype"/>
          <w:i/>
          <w:iCs/>
        </w:rPr>
        <w:t>transparencia</w:t>
      </w:r>
      <w:r>
        <w:rPr>
          <w:rFonts w:ascii="Palatino Linotype" w:eastAsia="Palatino Linotype" w:hAnsi="Palatino Linotype" w:cs="Palatino Linotype"/>
          <w:i/>
          <w:iCs/>
          <w:color w:val="000000"/>
        </w:rPr>
        <w:t xml:space="preserve"> con la que deben administrarse los recursos públicos, en términos del artículo 134 de la Constitución Política de los Estados Unidos Mexicanos.”</w:t>
      </w:r>
    </w:p>
    <w:p w:rsidR="0029463F" w:rsidRDefault="0029463F">
      <w:pPr>
        <w:jc w:val="both"/>
        <w:rPr>
          <w:rFonts w:ascii="Palatino Linotype" w:eastAsia="Palatino Linotype" w:hAnsi="Palatino Linotype" w:cs="Palatino Linotype"/>
        </w:rPr>
      </w:pPr>
    </w:p>
    <w:p w:rsidR="0029463F" w:rsidRDefault="001E578D">
      <w:pPr>
        <w:numPr>
          <w:ilvl w:val="0"/>
          <w:numId w:val="4"/>
        </w:num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Clave Única de Registro de Población (CURP).</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w:t>
      </w:r>
      <w:r>
        <w:rPr>
          <w:rFonts w:ascii="Palatino Linotype" w:eastAsia="Palatino Linotype" w:hAnsi="Palatino Linotype" w:cs="Palatino Linotype"/>
          <w:color w:val="000000"/>
        </w:rPr>
        <w:t>como</w:t>
      </w:r>
      <w:r>
        <w:rPr>
          <w:rFonts w:ascii="Palatino Linotype" w:eastAsia="Palatino Linotype" w:hAnsi="Palatino Linotype" w:cs="Palatino Linotype"/>
        </w:rPr>
        <w:t xml:space="preserve">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29463F" w:rsidRDefault="0029463F">
      <w:pPr>
        <w:tabs>
          <w:tab w:val="left" w:pos="284"/>
        </w:tabs>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Argumento que es compartido por el Instituto Nacional de Transparencia, Acceso a la Información y Protección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Datos Personales, INAI, conforme al criterio orientador 18/17, el cual refiere: </w:t>
      </w:r>
    </w:p>
    <w:p w:rsidR="0029463F" w:rsidRDefault="001E578D">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29463F" w:rsidRDefault="0029463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Cuentas bancarias o clabes interbancarias</w:t>
      </w:r>
    </w:p>
    <w:p w:rsidR="0029463F" w:rsidRDefault="001E578D">
      <w:pPr>
        <w:numPr>
          <w:ilvl w:val="0"/>
          <w:numId w:val="11"/>
        </w:numPr>
        <w:pBdr>
          <w:top w:val="nil"/>
          <w:left w:val="nil"/>
          <w:bottom w:val="nil"/>
          <w:right w:val="nil"/>
          <w:between w:val="nil"/>
        </w:pBdr>
        <w:spacing w:line="360" w:lineRule="auto"/>
        <w:ind w:left="0" w:right="-788" w:firstLine="0"/>
        <w:jc w:val="both"/>
      </w:pPr>
      <w:r>
        <w:rPr>
          <w:rFonts w:ascii="Palatino Linotype" w:eastAsia="Palatino Linotype" w:hAnsi="Palatino Linotype" w:cs="Palatino Linotype"/>
        </w:rPr>
        <w:t xml:space="preserve">Resulta </w:t>
      </w:r>
      <w:r>
        <w:rPr>
          <w:rFonts w:ascii="Palatino Linotype" w:eastAsia="Palatino Linotype" w:hAnsi="Palatino Linotype" w:cs="Palatino Linotype"/>
          <w:color w:val="000000"/>
        </w:rPr>
        <w:t>importante</w:t>
      </w:r>
      <w:r>
        <w:rPr>
          <w:rFonts w:ascii="Palatino Linotype" w:eastAsia="Palatino Linotype" w:hAnsi="Palatino Linotype" w:cs="Palatino Linotype"/>
        </w:rPr>
        <w:t xml:space="preserve"> señalar que </w:t>
      </w:r>
      <w:r>
        <w:rPr>
          <w:rFonts w:ascii="Palatino Linotype" w:eastAsia="Palatino Linotype" w:hAnsi="Palatino Linotype" w:cs="Palatino Linotype"/>
          <w:color w:val="000000"/>
        </w:rPr>
        <w:t>tratándose de las cuentas bancarias o clabes interbancarias de los Sujetos Obligados ya que su publicidad cede a la rendición de cuentas al transparentar la forma en que son administrados los recursos públicos.</w:t>
      </w:r>
    </w:p>
    <w:p w:rsidR="0029463F" w:rsidRDefault="0029463F">
      <w:pPr>
        <w:spacing w:line="360" w:lineRule="auto"/>
        <w:ind w:right="276"/>
        <w:jc w:val="both"/>
      </w:pPr>
    </w:p>
    <w:p w:rsidR="0029463F" w:rsidRDefault="001E578D">
      <w:pPr>
        <w:numPr>
          <w:ilvl w:val="0"/>
          <w:numId w:val="11"/>
        </w:numPr>
        <w:pBdr>
          <w:top w:val="nil"/>
          <w:left w:val="nil"/>
          <w:bottom w:val="nil"/>
          <w:right w:val="nil"/>
          <w:between w:val="nil"/>
        </w:pBdr>
        <w:spacing w:line="360" w:lineRule="auto"/>
        <w:ind w:left="0" w:right="-788" w:firstLine="0"/>
        <w:jc w:val="both"/>
      </w:pPr>
      <w:r>
        <w:rPr>
          <w:rFonts w:ascii="Palatino Linotype" w:eastAsia="Palatino Linotype" w:hAnsi="Palatino Linotype" w:cs="Palatino Linotype"/>
          <w:color w:val="000000"/>
        </w:rPr>
        <w:t>Lo argumentado encuentra sustento en los criterios orientadores 10/17 y 11/17 emitidos por el Instituto Nacional de Transparencia, Acceso a la Información y Protección de Datos Personales, INAI, que llevan por rubro y texto los siguientes:</w:t>
      </w:r>
    </w:p>
    <w:p w:rsidR="0029463F" w:rsidRDefault="001E578D">
      <w:pPr>
        <w:pBdr>
          <w:top w:val="nil"/>
          <w:left w:val="nil"/>
          <w:bottom w:val="nil"/>
          <w:right w:val="nil"/>
          <w:between w:val="nil"/>
        </w:pBdr>
        <w:spacing w:before="240" w:after="240"/>
        <w:ind w:left="567" w:right="-291"/>
        <w:jc w:val="both"/>
        <w:rPr>
          <w:rFonts w:ascii="Times New Roman" w:eastAsia="Times New Roman" w:hAnsi="Times New Roman" w:cs="Times New Roman"/>
          <w:color w:val="000000"/>
        </w:rPr>
      </w:pPr>
      <w:r>
        <w:rPr>
          <w:rFonts w:ascii="Palatino Linotype" w:eastAsia="Palatino Linotype" w:hAnsi="Palatino Linotype" w:cs="Palatino Linotype"/>
          <w:b/>
          <w:bCs/>
          <w:i/>
          <w:iCs/>
          <w:color w:val="000000"/>
        </w:rPr>
        <w:lastRenderedPageBreak/>
        <w:t>“Cuentas bancarias y/o CLABE interbancaria de personas físicas y morales privadas.</w:t>
      </w:r>
      <w:r>
        <w:rPr>
          <w:rFonts w:ascii="Palatino Linotype" w:eastAsia="Palatino Linotype" w:hAnsi="Palatino Linotype" w:cs="Palatino Linotype"/>
          <w:i/>
          <w:iCs/>
          <w:color w:val="00000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29463F" w:rsidRDefault="001E578D">
      <w:pPr>
        <w:pBdr>
          <w:top w:val="nil"/>
          <w:left w:val="nil"/>
          <w:bottom w:val="nil"/>
          <w:right w:val="nil"/>
          <w:between w:val="nil"/>
        </w:pBdr>
        <w:spacing w:before="240" w:after="240"/>
        <w:ind w:left="567" w:right="-2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Cuentas bancarias y/o CLABE interbancaria de sujetos obligados que reciben y/o transfieren recursos públicos, son información pública</w:t>
      </w:r>
      <w:r>
        <w:rPr>
          <w:rFonts w:ascii="Palatino Linotype" w:eastAsia="Palatino Linotype" w:hAnsi="Palatino Linotype" w:cs="Palatino Linotype"/>
          <w:i/>
          <w:iCs/>
          <w:color w:val="000000"/>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29463F" w:rsidRDefault="0029463F">
      <w:pPr>
        <w:pBdr>
          <w:top w:val="nil"/>
          <w:left w:val="nil"/>
          <w:bottom w:val="nil"/>
          <w:right w:val="nil"/>
          <w:between w:val="nil"/>
        </w:pBdr>
        <w:spacing w:before="240" w:after="240"/>
        <w:ind w:right="1127"/>
        <w:jc w:val="both"/>
        <w:rPr>
          <w:rFonts w:ascii="Palatino Linotype" w:eastAsia="Palatino Linotype" w:hAnsi="Palatino Linotype" w:cs="Palatino Linotype"/>
          <w:i/>
          <w:iCs/>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bien las cuentas bancarias y/o CLABE de personas que reciben y/o transfieren recursos </w:t>
      </w:r>
      <w:r>
        <w:rPr>
          <w:rFonts w:ascii="Palatino Linotype" w:eastAsia="Palatino Linotype" w:hAnsi="Palatino Linotype" w:cs="Palatino Linotype"/>
          <w:color w:val="000000"/>
        </w:rPr>
        <w:t>públicos</w:t>
      </w:r>
      <w:r>
        <w:rPr>
          <w:rFonts w:ascii="Palatino Linotype" w:eastAsia="Palatino Linotype" w:hAnsi="Palatino Linotype" w:cs="Palatino Linotype"/>
        </w:rPr>
        <w:t xml:space="preserve"> corresponden a datos personales, no actualizan la causal de clasificación establecida en el artículo 143, fracción I, de la Ley de Transparencia y Acceso a la Información Pública del Estado de México y Municipios.</w:t>
      </w:r>
    </w:p>
    <w:p w:rsidR="0029463F" w:rsidRDefault="0029463F">
      <w:pPr>
        <w:spacing w:line="360" w:lineRule="auto"/>
        <w:ind w:right="-93"/>
        <w:jc w:val="both"/>
        <w:rPr>
          <w:rFonts w:ascii="Palatino Linotype" w:eastAsia="Palatino Linotype" w:hAnsi="Palatino Linotype" w:cs="Palatino Linotype"/>
        </w:rPr>
      </w:pPr>
    </w:p>
    <w:p w:rsidR="0029463F" w:rsidRDefault="001E578D">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 firma y rúbrica de representante legal.</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resulta </w:t>
      </w:r>
      <w:r>
        <w:rPr>
          <w:rFonts w:ascii="Palatino Linotype" w:eastAsia="Palatino Linotype" w:hAnsi="Palatino Linotype" w:cs="Palatino Linotype"/>
          <w:color w:val="000000"/>
        </w:rPr>
        <w:t>necesario</w:t>
      </w:r>
      <w:r>
        <w:rPr>
          <w:rFonts w:ascii="Palatino Linotype" w:eastAsia="Palatino Linotype" w:hAnsi="Palatino Linotype" w:cs="Palatino Linotype"/>
        </w:rPr>
        <w:t xml:space="preserve"> señalar que las personas jurídico colectivas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y recibir diversas Licencias de Funcionamiento.</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En esa tesitura, la representación de las personas morales se realizará por medio de representantes o apoderados, y en el caso específico de las sociedades mercantiles, dicha representación se otorgará mediante instrumento público.</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Ello, toda vez que la representación legal debe ser conocida para surtir efectos ante terceros; es decir, la publicidad de la misma tiene por objeto dar certeza a quienes se relacionan con la persona jurídico-colectiva representada, que las actuaciones de su representante están previamente autorizadas y que surtirán efectos legales a que constriñe cada acto.</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w:t>
      </w:r>
      <w:r>
        <w:rPr>
          <w:rFonts w:ascii="Palatino Linotype" w:eastAsia="Palatino Linotype" w:hAnsi="Palatino Linotype" w:cs="Palatino Linotype"/>
          <w:b/>
          <w:bCs/>
        </w:rPr>
        <w:t>nombre, la firma y la rúbrica del apoderado legal de una empresa</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es público, </w:t>
      </w:r>
      <w:r>
        <w:rPr>
          <w:rFonts w:ascii="Palatino Linotype" w:eastAsia="Palatino Linotype" w:hAnsi="Palatino Linotype" w:cs="Palatino Linotype"/>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 anterior, se robustece con el criterio orientador 01/19, emitido por el Instituto Nacional de Transparencia, Acceso a la Información Pública y Protección de Datos Personales, que establece lo siguiente:</w:t>
      </w: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Datos de identificación del representante o apoderado legal.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Naturaleza jurídica. </w:t>
      </w:r>
      <w:r>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Ante tales situaciones, </w:t>
      </w:r>
      <w:r>
        <w:rPr>
          <w:rFonts w:ascii="Palatino Linotype" w:eastAsia="Palatino Linotype" w:hAnsi="Palatino Linotype" w:cs="Palatino Linotype"/>
          <w:b/>
          <w:bCs/>
        </w:rPr>
        <w:t>el nombre, firma y rúbrica del representante legal</w:t>
      </w:r>
      <w:r>
        <w:rPr>
          <w:rFonts w:ascii="Palatino Linotype" w:eastAsia="Palatino Linotype" w:hAnsi="Palatino Linotype" w:cs="Palatino Linotype"/>
        </w:rPr>
        <w:t xml:space="preserve">, de una persona jurídica colectiva que solicitó una Licencia de Funcionamiento, </w:t>
      </w:r>
      <w:r>
        <w:rPr>
          <w:rFonts w:ascii="Palatino Linotype" w:eastAsia="Palatino Linotype" w:hAnsi="Palatino Linotype" w:cs="Palatino Linotype"/>
          <w:b/>
          <w:bCs/>
        </w:rPr>
        <w:t>no es susceptible de ser clasificado como confidencial</w:t>
      </w:r>
      <w:r>
        <w:rPr>
          <w:rFonts w:ascii="Palatino Linotype" w:eastAsia="Palatino Linotype" w:hAnsi="Palatino Linotype" w:cs="Palatino Linotype"/>
        </w:rPr>
        <w:t>, en términos del artículo 143, fracción I de la Ley Federal de Transparencia y Acceso a la Información Pública; inclusive ayuda a rendir cuentas, de que dicha autorización fue entregada a la persona adecuada.</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hd w:val="clear" w:color="auto" w:fill="FFFFFF"/>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Fiscal o legal (proveedor persona física o moral)</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De acuerdo a lo señalado en los artículos 2.17 y 2.21 del Código Civil del Estado de México, el domicilio de una persona física, es el lugar donde reside, en donde tiene el principal asiento de negocios, o en su caso, el dónde se halle; mientras, que el de personas jurídicas colectivas, es aquel donde se halle establecida su administración o ejerza sus actividades.</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Además, respecto al domicilio fiscal, resulta necesario traer el artículo 22 del Código Financiero del Estado de México y Municipios, que establece:</w:t>
      </w:r>
    </w:p>
    <w:p w:rsidR="0029463F" w:rsidRDefault="001E578D">
      <w:pPr>
        <w:tabs>
          <w:tab w:val="left" w:pos="8080"/>
        </w:tabs>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22.- Se considera domicilio fiscal de las personas físicas y </w:t>
      </w:r>
      <w:r>
        <w:rPr>
          <w:rFonts w:ascii="Palatino Linotype" w:eastAsia="Palatino Linotype" w:hAnsi="Palatino Linotype" w:cs="Palatino Linotype"/>
          <w:i/>
          <w:iCs/>
        </w:rPr>
        <w:t>jurídicas</w:t>
      </w:r>
      <w:r>
        <w:rPr>
          <w:rFonts w:ascii="Palatino Linotype" w:eastAsia="Palatino Linotype" w:hAnsi="Palatino Linotype" w:cs="Palatino Linotype"/>
          <w:b/>
          <w:bCs/>
          <w:i/>
          <w:iCs/>
        </w:rPr>
        <w:t xml:space="preserve"> colectivas: </w:t>
      </w:r>
    </w:p>
    <w:p w:rsidR="0029463F" w:rsidRDefault="0029463F">
      <w:pPr>
        <w:shd w:val="clear" w:color="auto" w:fill="FFFFFF"/>
        <w:ind w:left="1134" w:right="902"/>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lugar o establecimiento donde se realicen actividades que generen obligaciones fiscales.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 El lugar o establecimiento en que se realice el hecho generador de la obligación fiscal, cuando las actividades no se realicen en forma habitual.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inmueble en el que residan en el territorio del Estado de México, cuando realicen sus actividades en la vía pública, en puestos fijos y semifijos;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 residencia que identifique la autoridad fiscal, cuando exista certeza de que es el único lugar posible de localización del contribuyente. </w:t>
      </w:r>
    </w:p>
    <w:p w:rsidR="0029463F" w:rsidRDefault="0029463F">
      <w:pPr>
        <w:tabs>
          <w:tab w:val="left" w:pos="8080"/>
        </w:tabs>
        <w:ind w:left="567" w:right="-716"/>
        <w:jc w:val="both"/>
        <w:rPr>
          <w:rFonts w:ascii="Palatino Linotype" w:eastAsia="Palatino Linotype" w:hAnsi="Palatino Linotype" w:cs="Palatino Linotype"/>
          <w:i/>
          <w:iCs/>
        </w:rPr>
      </w:pP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 Aquel que señalen a las entidades financieras o sociedades cooperativas de ahorro y préstamo, cuando sean usuarios de los servicios que presten estas, siempre que los contribuyentes no hayan manifestado alguno de los domicilios citados en las fracciones anteriores o no hayan sido localizados en los mismos.</w:t>
      </w:r>
    </w:p>
    <w:p w:rsidR="0029463F" w:rsidRDefault="001E578D">
      <w:pPr>
        <w:tabs>
          <w:tab w:val="left" w:pos="8080"/>
        </w:tabs>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9463F" w:rsidRDefault="0029463F">
      <w:pPr>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telefónico</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b/>
          <w:bCs/>
        </w:rPr>
        <w:t>Un</w:t>
      </w:r>
      <w:r>
        <w:rPr>
          <w:rFonts w:ascii="Palatino Linotype" w:eastAsia="Palatino Linotype" w:hAnsi="Palatino Linotype" w:cs="Palatino Linotype"/>
        </w:rPr>
        <w:t> </w:t>
      </w:r>
      <w:r>
        <w:rPr>
          <w:rFonts w:ascii="Palatino Linotype" w:eastAsia="Palatino Linotype" w:hAnsi="Palatino Linotype" w:cs="Palatino Linotype"/>
          <w:b/>
          <w:bCs/>
        </w:rPr>
        <w:t>número de teléfono</w:t>
      </w:r>
      <w:r>
        <w:rPr>
          <w:rFonts w:ascii="Palatino Linotype" w:eastAsia="Palatino Linotype" w:hAnsi="Palatino Linotype" w:cs="Palatino Linotype"/>
        </w:rPr>
        <w:t> es una secuencia de </w:t>
      </w:r>
      <w:r>
        <w:rPr>
          <w:rFonts w:ascii="Palatino Linotype" w:eastAsia="Palatino Linotype" w:hAnsi="Palatino Linotype" w:cs="Palatino Linotype"/>
          <w:color w:val="000000"/>
        </w:rPr>
        <w:t>dígitos</w:t>
      </w:r>
      <w:r>
        <w:rPr>
          <w:rFonts w:ascii="Palatino Linotype" w:eastAsia="Palatino Linotype" w:hAnsi="Palatino Linotype" w:cs="Palatino Linotype"/>
        </w:rPr>
        <w:t> utilizada para identificar una </w:t>
      </w:r>
      <w:r>
        <w:rPr>
          <w:rFonts w:ascii="Palatino Linotype" w:eastAsia="Palatino Linotype" w:hAnsi="Palatino Linotype" w:cs="Palatino Linotype"/>
          <w:color w:val="000000"/>
        </w:rPr>
        <w:t>línea telefónica</w:t>
      </w:r>
      <w:r>
        <w:rPr>
          <w:rFonts w:ascii="Palatino Linotype" w:eastAsia="Palatino Linotype" w:hAnsi="Palatino Linotype" w:cs="Palatino Linotype"/>
        </w:rPr>
        <w:t> dentro de una </w:t>
      </w:r>
      <w:r>
        <w:rPr>
          <w:rFonts w:ascii="Palatino Linotype" w:eastAsia="Palatino Linotype" w:hAnsi="Palatino Linotype" w:cs="Palatino Linotype"/>
          <w:color w:val="000000"/>
        </w:rPr>
        <w:t>Red Telefónica Conmutada</w:t>
      </w:r>
      <w:r>
        <w:rPr>
          <w:rFonts w:ascii="Palatino Linotype" w:eastAsia="Palatino Linotype" w:hAnsi="Palatino Linotype" w:cs="Palatino Linotype"/>
        </w:rPr>
        <w:t>, el número contiene la información necesaria para identificar el punto final de la llamada. Los números de teléfono están a menudo asignados a líneas que tienen conectados dispositivos distintos de un </w:t>
      </w:r>
      <w:r>
        <w:rPr>
          <w:rFonts w:ascii="Palatino Linotype" w:eastAsia="Palatino Linotype" w:hAnsi="Palatino Linotype" w:cs="Palatino Linotype"/>
          <w:color w:val="000000"/>
        </w:rPr>
        <w:t>teléfono</w:t>
      </w:r>
      <w:r>
        <w:rPr>
          <w:rFonts w:ascii="Palatino Linotype" w:eastAsia="Palatino Linotype" w:hAnsi="Palatino Linotype" w:cs="Palatino Linotype"/>
        </w:rPr>
        <w:t>, tales como </w:t>
      </w:r>
      <w:r>
        <w:rPr>
          <w:rFonts w:ascii="Palatino Linotype" w:eastAsia="Palatino Linotype" w:hAnsi="Palatino Linotype" w:cs="Palatino Linotype"/>
          <w:color w:val="000000"/>
        </w:rPr>
        <w:t>faxes</w:t>
      </w:r>
      <w:r>
        <w:rPr>
          <w:rFonts w:ascii="Palatino Linotype" w:eastAsia="Palatino Linotype" w:hAnsi="Palatino Linotype" w:cs="Palatino Linotype"/>
        </w:rPr>
        <w:t> y </w:t>
      </w:r>
      <w:r>
        <w:rPr>
          <w:rFonts w:ascii="Palatino Linotype" w:eastAsia="Palatino Linotype" w:hAnsi="Palatino Linotype" w:cs="Palatino Linotype"/>
          <w:color w:val="000000"/>
        </w:rPr>
        <w:t>módems</w:t>
      </w:r>
      <w:r>
        <w:rPr>
          <w:rFonts w:ascii="Palatino Linotype" w:eastAsia="Palatino Linotype" w:hAnsi="Palatino Linotype" w:cs="Palatino Linotype"/>
        </w:rPr>
        <w:t>. Cada uno de esos </w:t>
      </w:r>
      <w:r>
        <w:rPr>
          <w:rFonts w:ascii="Palatino Linotype" w:eastAsia="Palatino Linotype" w:hAnsi="Palatino Linotype" w:cs="Palatino Linotype"/>
          <w:color w:val="000000"/>
        </w:rPr>
        <w:t>puntos de terminación de red</w:t>
      </w:r>
      <w:r>
        <w:rPr>
          <w:rFonts w:ascii="Palatino Linotype" w:eastAsia="Palatino Linotype" w:hAnsi="Palatino Linotype" w:cs="Palatino Linotype"/>
        </w:rPr>
        <w:t> deben de tener un número único en la red para poder realizar una </w:t>
      </w:r>
      <w:r>
        <w:rPr>
          <w:rFonts w:ascii="Palatino Linotype" w:eastAsia="Palatino Linotype" w:hAnsi="Palatino Linotype" w:cs="Palatino Linotype"/>
          <w:color w:val="000000"/>
        </w:rPr>
        <w:t>llamada telefónica</w:t>
      </w:r>
      <w:r>
        <w:rPr>
          <w:rFonts w:ascii="Palatino Linotype" w:eastAsia="Palatino Linotype" w:hAnsi="Palatino Linotype" w:cs="Palatino Linotype"/>
        </w:rPr>
        <w:t>.</w:t>
      </w:r>
    </w:p>
    <w:p w:rsidR="0029463F" w:rsidRDefault="0029463F">
      <w:pPr>
        <w:spacing w:line="360" w:lineRule="auto"/>
        <w:ind w:right="-93"/>
        <w:jc w:val="both"/>
        <w:rPr>
          <w:rFonts w:ascii="Palatino Linotype" w:eastAsia="Palatino Linotype" w:hAnsi="Palatino Linotype" w:cs="Palatino Linotype"/>
        </w:rPr>
      </w:pPr>
    </w:p>
    <w:p w:rsidR="0029463F" w:rsidRDefault="001E578D">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Correo electrónico</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correo electrónico</w:t>
      </w:r>
      <w:r>
        <w:rPr>
          <w:rFonts w:ascii="Palatino Linotype" w:eastAsia="Palatino Linotype" w:hAnsi="Palatino Linotype" w:cs="Palatino Linotype"/>
        </w:rPr>
        <w:t xml:space="preserve"> es un sistema de transmisión de mensajes a través de internet.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29463F" w:rsidRDefault="0029463F">
      <w:pPr>
        <w:spacing w:line="360" w:lineRule="auto"/>
        <w:jc w:val="both"/>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debe mencionarse que conforme a lo establecido en los criterios números 16, 18 y 19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artículo 70, </w:t>
      </w:r>
      <w:r>
        <w:rPr>
          <w:rFonts w:ascii="Palatino Linotype" w:eastAsia="Palatino Linotype" w:hAnsi="Palatino Linotype" w:cs="Palatino Linotype"/>
          <w:b/>
          <w:bCs/>
        </w:rPr>
        <w:t>el domicilio fiscal, y datos de contacto como teléfono y correo electrónico de los proveedores y contratistas, es un dato que debe ser público, motivo por el cual no es procedente que se realice su clasificación como confidencial.</w:t>
      </w:r>
    </w:p>
    <w:p w:rsidR="0029463F" w:rsidRDefault="0029463F">
      <w:pPr>
        <w:spacing w:line="360" w:lineRule="auto"/>
        <w:ind w:right="-787"/>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Asimismo, existe diversa información en los documentos fiscales que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 y si bien, en un momento derivan información personal de los contribuyentes, está se encuentra encriptada como se verá a continuación.</w:t>
      </w:r>
    </w:p>
    <w:p w:rsidR="0029463F" w:rsidRDefault="0029463F">
      <w:pPr>
        <w:spacing w:line="360" w:lineRule="auto"/>
        <w:jc w:val="both"/>
        <w:rPr>
          <w:rFonts w:ascii="Palatino Linotype" w:eastAsia="Palatino Linotype" w:hAnsi="Palatino Linotype" w:cs="Palatino Linotype"/>
        </w:rPr>
      </w:pPr>
    </w:p>
    <w:p w:rsidR="0029463F" w:rsidRDefault="001E578D">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Código Bidimensional o QR. </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w:t>
      </w:r>
      <w:r>
        <w:rPr>
          <w:rFonts w:ascii="Palatino Linotype" w:eastAsia="Palatino Linotype" w:hAnsi="Palatino Linotype" w:cs="Palatino Linotype"/>
        </w:rPr>
        <w:lastRenderedPageBreak/>
        <w:t xml:space="preserve">Resolución Miscelánea Fiscal para 2022, localizada en la página electrónica  </w:t>
      </w:r>
      <w:hyperlink r:id="rId9">
        <w:r>
          <w:rPr>
            <w:rFonts w:ascii="Palatino Linotype" w:eastAsia="Palatino Linotype" w:hAnsi="Palatino Linotype" w:cs="Palatino Linotype"/>
            <w:color w:val="0563C1"/>
            <w:u w:val="single"/>
          </w:rPr>
          <w:t>http://omawww.sat.gob.mx/tramitesyservicios/paginas/documentos/anexo20_2022.pdf</w:t>
        </w:r>
      </w:hyperlink>
      <w:r>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tanto del Sujeto Obligado, como de la persona física o moral correspondiente.</w:t>
      </w:r>
    </w:p>
    <w:p w:rsidR="0029463F" w:rsidRDefault="0029463F">
      <w:pPr>
        <w:spacing w:line="360" w:lineRule="auto"/>
        <w:jc w:val="both"/>
        <w:rPr>
          <w:rFonts w:ascii="Palatino Linotype" w:eastAsia="Palatino Linotype" w:hAnsi="Palatino Linotype" w:cs="Palatino Linotype"/>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toda vez que el </w:t>
      </w:r>
      <w:r>
        <w:rPr>
          <w:rFonts w:ascii="Palatino Linotype" w:eastAsia="Palatino Linotype" w:hAnsi="Palatino Linotype" w:cs="Palatino Linotype"/>
          <w:b/>
          <w:bCs/>
        </w:rPr>
        <w:t>código bidimensional</w:t>
      </w:r>
      <w:r>
        <w:rPr>
          <w:rFonts w:ascii="Palatino Linotype" w:eastAsia="Palatino Linotype" w:hAnsi="Palatino Linotype" w:cs="Palatino Linotype"/>
        </w:rPr>
        <w:t xml:space="preserve"> sólo permite el acceso al Registro Federal de Contribuyentes del proveedor y del Sujeto Obligado, los cuales guardan la naturaleza pública, se considera que </w:t>
      </w:r>
      <w:r>
        <w:rPr>
          <w:rFonts w:ascii="Palatino Linotype" w:eastAsia="Palatino Linotype" w:hAnsi="Palatino Linotype" w:cs="Palatino Linotype"/>
          <w:b/>
          <w:bCs/>
        </w:rPr>
        <w:t>no se actualiza la causal de clasificación</w:t>
      </w:r>
      <w:r>
        <w:rPr>
          <w:rFonts w:ascii="Palatino Linotype" w:eastAsia="Palatino Linotype" w:hAnsi="Palatino Linotype" w:cs="Palatino Linotype"/>
        </w:rPr>
        <w:t xml:space="preserve"> prevista en el artículo 143, fracción I de la Ley de la materia, toda vez que únicamente da cuenta de datos que como se analizó en párrafos anteriores, no son susceptibles a testar.</w:t>
      </w:r>
    </w:p>
    <w:p w:rsidR="0029463F" w:rsidRDefault="0029463F">
      <w:pPr>
        <w:spacing w:line="360" w:lineRule="auto"/>
        <w:jc w:val="both"/>
        <w:rPr>
          <w:rFonts w:ascii="Palatino Linotype" w:eastAsia="Palatino Linotype" w:hAnsi="Palatino Linotype" w:cs="Palatino Linotype"/>
        </w:rPr>
      </w:pPr>
    </w:p>
    <w:p w:rsidR="0029463F" w:rsidRDefault="001E578D">
      <w:pPr>
        <w:ind w:right="-91"/>
        <w:jc w:val="both"/>
        <w:rPr>
          <w:rFonts w:ascii="Palatino Linotype" w:eastAsia="Palatino Linotype" w:hAnsi="Palatino Linotype" w:cs="Palatino Linotype"/>
          <w:b/>
          <w:bCs/>
        </w:rPr>
      </w:pPr>
      <w:r>
        <w:rPr>
          <w:rFonts w:ascii="Palatino Linotype" w:eastAsia="Palatino Linotype" w:hAnsi="Palatino Linotype" w:cs="Palatino Linotype"/>
          <w:b/>
          <w:bCs/>
        </w:rPr>
        <w:t>Cadenas originales y sellos.</w:t>
      </w: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Las</w:t>
      </w:r>
      <w:r>
        <w:rPr>
          <w:rFonts w:ascii="Palatino Linotype" w:eastAsia="Palatino Linotype" w:hAnsi="Palatino Linotype" w:cs="Palatino Linotype"/>
          <w:b/>
          <w:bCs/>
        </w:rPr>
        <w:t xml:space="preserve"> cadenas originales y sellos</w:t>
      </w:r>
      <w:r>
        <w:rPr>
          <w:rFonts w:ascii="Palatino Linotype" w:eastAsia="Palatino Linotype" w:hAnsi="Palatino Linotype" w:cs="Palatino Linotype"/>
        </w:rPr>
        <w:t xml:space="preserve">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29463F" w:rsidRDefault="001E578D">
      <w:pPr>
        <w:ind w:left="1134" w:right="99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“Elementos utilizados en la generación de Sellos Digitales:</w:t>
      </w:r>
    </w:p>
    <w:p w:rsidR="0029463F" w:rsidRDefault="0029463F">
      <w:pPr>
        <w:ind w:left="1134" w:right="992"/>
        <w:rPr>
          <w:rFonts w:ascii="Palatino Linotype" w:eastAsia="Palatino Linotype" w:hAnsi="Palatino Linotype" w:cs="Palatino Linotype"/>
          <w:b/>
          <w:bCs/>
          <w:i/>
          <w:iCs/>
        </w:rPr>
      </w:pP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Cadena Original, el elemento a sellar, en este caso de un comprobante fiscal digital a través de Internet.</w:t>
      </w: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Certificado de Sello Digital y su correspondiente clave privada.</w:t>
      </w: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Algoritmos de criptografía de clave pública para firma electrónica avanzada.</w:t>
      </w: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i/>
          <w:iCs/>
        </w:rPr>
        <w:tab/>
        <w:t>Especificaciones de conversión de la firma electrónica avanzada a Base 64.</w:t>
      </w: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29463F" w:rsidRDefault="0029463F">
      <w:pPr>
        <w:ind w:left="1134" w:right="992"/>
        <w:jc w:val="both"/>
        <w:rPr>
          <w:rFonts w:ascii="Palatino Linotype" w:eastAsia="Palatino Linotype" w:hAnsi="Palatino Linotype" w:cs="Palatino Linotype"/>
          <w:i/>
          <w:iCs/>
        </w:rPr>
      </w:pP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Criptografía de la Clave Pública</w:t>
      </w:r>
    </w:p>
    <w:p w:rsidR="0029463F" w:rsidRDefault="001E578D">
      <w:pPr>
        <w:ind w:left="1134" w:right="992"/>
        <w:jc w:val="both"/>
        <w:rPr>
          <w:rFonts w:ascii="Palatino Linotype" w:eastAsia="Palatino Linotype" w:hAnsi="Palatino Linotype" w:cs="Palatino Linotype"/>
          <w:i/>
          <w:iCs/>
        </w:rPr>
      </w:pPr>
      <w:r>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29463F" w:rsidRDefault="0029463F">
      <w:pPr>
        <w:ind w:left="1134" w:right="992"/>
        <w:jc w:val="both"/>
        <w:rPr>
          <w:rFonts w:ascii="Palatino Linotype" w:eastAsia="Palatino Linotype" w:hAnsi="Palatino Linotype" w:cs="Palatino Linotype"/>
          <w:i/>
          <w:i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decir, por sí solos las </w:t>
      </w:r>
      <w:r>
        <w:rPr>
          <w:rFonts w:ascii="Palatino Linotype" w:eastAsia="Palatino Linotype" w:hAnsi="Palatino Linotype" w:cs="Palatino Linotype"/>
          <w:b/>
          <w:bCs/>
        </w:rPr>
        <w:t>cadenas originales y los sellos originales</w:t>
      </w:r>
      <w:r>
        <w:rPr>
          <w:rFonts w:ascii="Palatino Linotype" w:eastAsia="Palatino Linotype" w:hAnsi="Palatino Linotype" w:cs="Palatino Linotype"/>
        </w:rPr>
        <w:t xml:space="preserve"> no contienen datos personales confidenciales, por lo que se considera que </w:t>
      </w:r>
      <w:r>
        <w:rPr>
          <w:rFonts w:ascii="Palatino Linotype" w:eastAsia="Palatino Linotype" w:hAnsi="Palatino Linotype" w:cs="Palatino Linotype"/>
          <w:b/>
          <w:bCs/>
        </w:rPr>
        <w:t>no actualizan el supuesto de confidencialidad</w:t>
      </w:r>
      <w:r>
        <w:rPr>
          <w:rFonts w:ascii="Palatino Linotype" w:eastAsia="Palatino Linotype" w:hAnsi="Palatino Linotype" w:cs="Palatino Linotype"/>
        </w:rPr>
        <w:t xml:space="preserve">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29463F" w:rsidRDefault="0029463F">
      <w:pPr>
        <w:spacing w:line="360" w:lineRule="auto"/>
        <w:ind w:right="1"/>
        <w:jc w:val="both"/>
        <w:rPr>
          <w:rFonts w:ascii="Palatino Linotype" w:eastAsia="Palatino Linotype" w:hAnsi="Palatino Linotype" w:cs="Palatino Linotype"/>
          <w:b/>
          <w:bCs/>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mediante el cual de manera fundada y motivada establezca las razones por las cuales se clasifican como confidenciales los datos expuestos con anterioridad.</w:t>
      </w:r>
    </w:p>
    <w:p w:rsidR="0029463F" w:rsidRDefault="0029463F">
      <w:pPr>
        <w:tabs>
          <w:tab w:val="left" w:pos="284"/>
        </w:tabs>
        <w:spacing w:line="360" w:lineRule="auto"/>
        <w:jc w:val="both"/>
        <w:rPr>
          <w:rFonts w:ascii="Palatino Linotype" w:eastAsia="Palatino Linotype" w:hAnsi="Palatino Linotype" w:cs="Palatino Linotype"/>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w:t>
      </w:r>
      <w:r>
        <w:rPr>
          <w:rFonts w:ascii="Palatino Linotype" w:eastAsia="Palatino Linotype" w:hAnsi="Palatino Linotype" w:cs="Palatino Linotype"/>
        </w:rPr>
        <w:lastRenderedPageBreak/>
        <w:t>establecidas, asimismo que si entrega un documento testado sin el debido acuerdo de clasificación.</w:t>
      </w:r>
    </w:p>
    <w:p w:rsidR="0029463F" w:rsidRDefault="0029463F">
      <w:pPr>
        <w:spacing w:line="360" w:lineRule="auto"/>
        <w:jc w:val="both"/>
        <w:rPr>
          <w:color w:val="000000"/>
        </w:rPr>
      </w:pPr>
    </w:p>
    <w:p w:rsidR="0029463F" w:rsidRDefault="001E578D">
      <w:pPr>
        <w:numPr>
          <w:ilvl w:val="0"/>
          <w:numId w:val="1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29463F" w:rsidRDefault="0029463F">
      <w:pPr>
        <w:ind w:right="278"/>
        <w:rPr>
          <w:rFonts w:ascii="Palatino Linotype" w:eastAsia="Palatino Linotype" w:hAnsi="Palatino Linotype" w:cs="Palatino Linotype"/>
        </w:rPr>
      </w:pPr>
    </w:p>
    <w:p w:rsidR="0029463F" w:rsidRDefault="001E578D">
      <w:pPr>
        <w:spacing w:line="360" w:lineRule="auto"/>
        <w:ind w:right="276"/>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29463F" w:rsidRDefault="0029463F">
      <w:pPr>
        <w:spacing w:line="360" w:lineRule="auto"/>
        <w:ind w:right="-787"/>
        <w:jc w:val="center"/>
        <w:rPr>
          <w:rFonts w:ascii="Palatino Linotype" w:eastAsia="Palatino Linotype" w:hAnsi="Palatino Linotype" w:cs="Palatino Linotype"/>
          <w:b/>
          <w:bCs/>
        </w:rPr>
      </w:pPr>
    </w:p>
    <w:p w:rsidR="0029463F" w:rsidRDefault="001E578D">
      <w:pPr>
        <w:spacing w:line="360" w:lineRule="auto"/>
        <w:ind w:right="-71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razones o motivos de inconformidad hechos valer en el Recurso de Revisión</w:t>
      </w:r>
      <w:r>
        <w:rPr>
          <w:rFonts w:ascii="Palatino Linotype" w:eastAsia="Palatino Linotype" w:hAnsi="Palatino Linotype" w:cs="Palatino Linotype"/>
          <w:b/>
          <w:bCs/>
        </w:rPr>
        <w:t> </w:t>
      </w:r>
      <w:r>
        <w:rPr>
          <w:rFonts w:ascii="Palatino Linotype" w:eastAsia="Palatino Linotype" w:hAnsi="Palatino Linotype" w:cs="Palatino Linotype"/>
          <w:b/>
          <w:bCs/>
          <w:color w:val="000000"/>
        </w:rPr>
        <w:t xml:space="preserve">14158/INFOEM/IP/RR/2025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p>
    <w:p w:rsidR="0029463F" w:rsidRDefault="0029463F">
      <w:pPr>
        <w:spacing w:line="360" w:lineRule="auto"/>
        <w:ind w:right="-716"/>
        <w:jc w:val="both"/>
        <w:rPr>
          <w:rFonts w:ascii="Palatino Linotype" w:eastAsia="Palatino Linotype" w:hAnsi="Palatino Linotype" w:cs="Palatino Linotype"/>
          <w:b/>
          <w:bCs/>
        </w:rPr>
      </w:pPr>
    </w:p>
    <w:p w:rsidR="0029463F" w:rsidRDefault="001E578D">
      <w:pPr>
        <w:spacing w:line="360" w:lineRule="auto"/>
        <w:ind w:right="-716"/>
        <w:jc w:val="both"/>
        <w:rPr>
          <w:rFonts w:ascii="Palatino Linotype" w:eastAsia="Palatino Linotype" w:hAnsi="Palatino Linotype" w:cs="Palatino Linotype"/>
        </w:rPr>
      </w:pPr>
      <w:bookmarkStart w:id="8" w:name="_heading=h.17dp8vu"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Toluca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xml:space="preserve"> previa búsqueda exhaustiva y razonable, se ser procedente en versión pública, la siguiente información:</w:t>
      </w:r>
    </w:p>
    <w:p w:rsidR="0029463F" w:rsidRDefault="001E578D">
      <w:pPr>
        <w:numPr>
          <w:ilvl w:val="0"/>
          <w:numId w:val="6"/>
        </w:numPr>
        <w:pBdr>
          <w:top w:val="nil"/>
          <w:left w:val="nil"/>
          <w:bottom w:val="nil"/>
          <w:right w:val="nil"/>
          <w:between w:val="nil"/>
        </w:pBdr>
        <w:spacing w:line="360" w:lineRule="auto"/>
        <w:ind w:right="-71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De la obra pública referida en respuesta, al 06 de noviembre de 2025:</w:t>
      </w:r>
      <w:r>
        <w:rPr>
          <w:rFonts w:ascii="Palatino Linotype" w:eastAsia="Palatino Linotype" w:hAnsi="Palatino Linotype" w:cs="Palatino Linotype"/>
          <w:color w:val="000000"/>
        </w:rPr>
        <w:t xml:space="preserve"> </w:t>
      </w:r>
    </w:p>
    <w:p w:rsidR="0029463F" w:rsidRDefault="001E578D">
      <w:pPr>
        <w:numPr>
          <w:ilvl w:val="0"/>
          <w:numId w:val="12"/>
        </w:num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Contrato de Obra Pública remitido en informe justificado en correcta versión pública.</w:t>
      </w:r>
    </w:p>
    <w:p w:rsidR="0029463F" w:rsidRDefault="001E578D">
      <w:pPr>
        <w:numPr>
          <w:ilvl w:val="0"/>
          <w:numId w:val="12"/>
        </w:num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generado por el Comité Ciudadano de Control y Vigilancia (COCICOVI), en el que conste o se advierta el avance y los trabajos realizados.</w:t>
      </w:r>
    </w:p>
    <w:p w:rsidR="0029463F" w:rsidRDefault="001E578D">
      <w:pPr>
        <w:numPr>
          <w:ilvl w:val="0"/>
          <w:numId w:val="12"/>
        </w:num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La o las facturas o el documento idóneo que acredite el pago realizado a la empresa contratista.</w:t>
      </w:r>
    </w:p>
    <w:p w:rsidR="0029463F" w:rsidRDefault="001E578D">
      <w:pPr>
        <w:numPr>
          <w:ilvl w:val="0"/>
          <w:numId w:val="12"/>
        </w:num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Expediente técnico.</w:t>
      </w:r>
    </w:p>
    <w:p w:rsidR="0029463F" w:rsidRDefault="001E578D">
      <w:pPr>
        <w:numPr>
          <w:ilvl w:val="0"/>
          <w:numId w:val="12"/>
        </w:num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generado por el Comité Interno de Obra Pública, que dé cuenta de la asignación y aprobación de la obra.</w:t>
      </w:r>
    </w:p>
    <w:p w:rsidR="0029463F" w:rsidRDefault="0029463F">
      <w:pPr>
        <w:pBdr>
          <w:top w:val="nil"/>
          <w:left w:val="nil"/>
          <w:bottom w:val="nil"/>
          <w:right w:val="nil"/>
          <w:between w:val="nil"/>
        </w:pBdr>
        <w:spacing w:line="360" w:lineRule="auto"/>
        <w:ind w:left="993" w:right="-714"/>
        <w:jc w:val="both"/>
        <w:rPr>
          <w:rFonts w:ascii="Palatino Linotype" w:eastAsia="Palatino Linotype" w:hAnsi="Palatino Linotype" w:cs="Palatino Linotype"/>
          <w:b/>
          <w:bCs/>
          <w:color w:val="000000"/>
        </w:rPr>
      </w:pPr>
    </w:p>
    <w:p w:rsidR="0029463F" w:rsidRDefault="001E578D">
      <w:pPr>
        <w:pBdr>
          <w:top w:val="nil"/>
          <w:left w:val="nil"/>
          <w:bottom w:val="nil"/>
          <w:right w:val="nil"/>
          <w:between w:val="nil"/>
        </w:pBdr>
        <w:tabs>
          <w:tab w:val="left" w:pos="8080"/>
        </w:tabs>
        <w:spacing w:line="360" w:lineRule="auto"/>
        <w:ind w:left="993"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rsidR="0029463F" w:rsidRDefault="0029463F">
      <w:pPr>
        <w:spacing w:line="360" w:lineRule="auto"/>
        <w:ind w:right="-714"/>
        <w:jc w:val="both"/>
        <w:rPr>
          <w:rFonts w:ascii="Palatino Linotype" w:eastAsia="Palatino Linotype" w:hAnsi="Palatino Linotype" w:cs="Palatino Linotype"/>
          <w:b/>
          <w:bCs/>
        </w:rPr>
      </w:pPr>
    </w:p>
    <w:p w:rsidR="0029463F" w:rsidRDefault="001E578D">
      <w:pPr>
        <w:tabs>
          <w:tab w:val="left" w:pos="8080"/>
        </w:tabs>
        <w:spacing w:line="360" w:lineRule="auto"/>
        <w:ind w:right="-716"/>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w:t>
      </w:r>
      <w:r>
        <w:rPr>
          <w:rFonts w:ascii="Palatino Linotype" w:eastAsia="Palatino Linotype" w:hAnsi="Palatino Linotype" w:cs="Palatino Linotype"/>
          <w:b/>
          <w:bCs/>
        </w:rPr>
        <w:t>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9463F" w:rsidRDefault="0029463F">
      <w:pPr>
        <w:tabs>
          <w:tab w:val="left" w:pos="8080"/>
        </w:tabs>
        <w:spacing w:line="360" w:lineRule="auto"/>
        <w:ind w:right="-716"/>
        <w:jc w:val="both"/>
        <w:rPr>
          <w:rFonts w:ascii="Palatino Linotype" w:eastAsia="Palatino Linotype" w:hAnsi="Palatino Linotype" w:cs="Palatino Linotype"/>
          <w:color w:val="222222"/>
        </w:rPr>
      </w:pPr>
    </w:p>
    <w:p w:rsidR="0029463F" w:rsidRDefault="001E578D">
      <w:pPr>
        <w:spacing w:line="360" w:lineRule="auto"/>
        <w:ind w:right="-858"/>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29463F" w:rsidRDefault="0029463F">
      <w:pPr>
        <w:spacing w:line="360" w:lineRule="auto"/>
        <w:ind w:right="-858"/>
        <w:jc w:val="both"/>
        <w:rPr>
          <w:rFonts w:ascii="Palatino Linotype" w:eastAsia="Palatino Linotype" w:hAnsi="Palatino Linotype" w:cs="Palatino Linotype"/>
          <w:b/>
          <w:bCs/>
        </w:rPr>
      </w:pPr>
    </w:p>
    <w:p w:rsidR="0029463F" w:rsidRDefault="001E578D">
      <w:pPr>
        <w:spacing w:line="360" w:lineRule="auto"/>
        <w:ind w:right="-858"/>
        <w:jc w:val="both"/>
        <w:rPr>
          <w:rFonts w:ascii="Palatino Linotype" w:eastAsia="Palatino Linotype" w:hAnsi="Palatino Linotype" w:cs="Palatino Linotype"/>
        </w:rPr>
      </w:pPr>
      <w:r>
        <w:rPr>
          <w:rFonts w:ascii="Palatino Linotype" w:eastAsia="Palatino Linotype" w:hAnsi="Palatino Linotype" w:cs="Palatino Linotype"/>
          <w:b/>
          <w:bCs/>
        </w:rPr>
        <w:t>QUINTO.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29463F" w:rsidRDefault="0029463F">
      <w:pPr>
        <w:spacing w:line="360" w:lineRule="auto"/>
        <w:ind w:right="-858"/>
        <w:jc w:val="both"/>
        <w:rPr>
          <w:rFonts w:ascii="Palatino Linotype" w:eastAsia="Palatino Linotype" w:hAnsi="Palatino Linotype" w:cs="Palatino Linotype"/>
        </w:rPr>
      </w:pPr>
    </w:p>
    <w:p w:rsidR="001009FB" w:rsidRPr="003E2295" w:rsidRDefault="001009FB" w:rsidP="001009FB">
      <w:pPr>
        <w:spacing w:before="240" w:after="240" w:line="360" w:lineRule="auto"/>
        <w:ind w:right="-858" w:firstLine="1"/>
        <w:jc w:val="both"/>
        <w:rPr>
          <w:rFonts w:ascii="Palatino Linotype" w:hAnsi="Palatino Linotype"/>
        </w:rPr>
      </w:pPr>
      <w:bookmarkStart w:id="9"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rsidP="001009FB">
      <w:pPr>
        <w:spacing w:line="360" w:lineRule="auto"/>
        <w:ind w:right="-858"/>
        <w:jc w:val="both"/>
        <w:rPr>
          <w:rFonts w:ascii="Palatino Linotype" w:eastAsia="Palatino Linotype" w:hAnsi="Palatino Linotype" w:cs="Palatino Linotype"/>
        </w:rPr>
      </w:pPr>
    </w:p>
    <w:p w:rsidR="0029463F" w:rsidRDefault="0029463F">
      <w:pPr>
        <w:spacing w:line="360" w:lineRule="auto"/>
        <w:ind w:right="-787"/>
        <w:jc w:val="both"/>
        <w:rPr>
          <w:rFonts w:ascii="Palatino Linotype" w:eastAsia="Palatino Linotype" w:hAnsi="Palatino Linotype" w:cs="Palatino Linotype"/>
        </w:rPr>
      </w:pPr>
    </w:p>
    <w:p w:rsidR="0029463F" w:rsidRDefault="0029463F">
      <w:pPr>
        <w:spacing w:line="360" w:lineRule="auto"/>
        <w:ind w:right="-787"/>
        <w:jc w:val="both"/>
        <w:rPr>
          <w:rFonts w:ascii="Palatino Linotype" w:eastAsia="Palatino Linotype" w:hAnsi="Palatino Linotype" w:cs="Palatino Linotype"/>
        </w:rPr>
      </w:pPr>
    </w:p>
    <w:p w:rsidR="0029463F" w:rsidRDefault="0029463F">
      <w:pPr>
        <w:spacing w:line="360" w:lineRule="auto"/>
        <w:ind w:right="-787"/>
        <w:rPr>
          <w:rFonts w:ascii="Palatino Linotype" w:eastAsia="Palatino Linotype" w:hAnsi="Palatino Linotype" w:cs="Palatino Linotype"/>
        </w:rPr>
      </w:pPr>
    </w:p>
    <w:p w:rsidR="0029463F" w:rsidRDefault="0029463F">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p w:rsidR="00102559" w:rsidRDefault="00102559">
      <w:pPr>
        <w:tabs>
          <w:tab w:val="left" w:pos="3374"/>
        </w:tabs>
        <w:spacing w:line="360" w:lineRule="auto"/>
        <w:ind w:right="-787"/>
        <w:rPr>
          <w:rFonts w:ascii="Palatino Linotype" w:eastAsia="Palatino Linotype" w:hAnsi="Palatino Linotype" w:cs="Palatino Linotype"/>
        </w:rPr>
      </w:pPr>
    </w:p>
    <w:sectPr w:rsidR="00102559">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59B" w:rsidRDefault="00F9259B">
      <w:r>
        <w:separator/>
      </w:r>
    </w:p>
  </w:endnote>
  <w:endnote w:type="continuationSeparator" w:id="0">
    <w:p w:rsidR="00F9259B" w:rsidRDefault="00F9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669E869-9987-4FCB-BC2C-DBBEDCC3809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73DFADA-40F0-425B-9795-7D362466ADB2}"/>
    <w:embedBold r:id="rId3" w:fontKey="{21DDBC6D-0BD0-42FB-B3E3-150E0489248C}"/>
    <w:embedItalic r:id="rId4" w:fontKey="{181E5F60-693F-43B3-A703-10908F389F67}"/>
    <w:embedBoldItalic r:id="rId5" w:fontKey="{EAECDE29-84C8-488E-8328-18AB89A8A9C3}"/>
  </w:font>
  <w:font w:name="Calibri">
    <w:panose1 w:val="020F0502020204030204"/>
    <w:charset w:val="00"/>
    <w:family w:val="swiss"/>
    <w:pitch w:val="variable"/>
    <w:sig w:usb0="E4002EFF" w:usb1="C200247B" w:usb2="00000009" w:usb3="00000000" w:csb0="000001FF" w:csb1="00000000"/>
    <w:embedRegular r:id="rId6" w:fontKey="{9BA411FB-3607-4ACB-8579-8F2E5E76631D}"/>
    <w:embedBold r:id="rId7" w:fontKey="{24F12F17-3923-48E8-97D8-3A007D6D2C2E}"/>
  </w:font>
  <w:font w:name="Georgia">
    <w:panose1 w:val="02040502050405020303"/>
    <w:charset w:val="00"/>
    <w:family w:val="roman"/>
    <w:pitch w:val="variable"/>
    <w:sig w:usb0="00000287" w:usb1="00000000" w:usb2="00000000" w:usb3="00000000" w:csb0="0000009F" w:csb1="00000000"/>
    <w:embedItalic r:id="rId8" w:fontKey="{C6B45CA9-B74F-40EF-8888-582F18E9C463}"/>
  </w:font>
  <w:font w:name="Cambria">
    <w:panose1 w:val="02040503050406030204"/>
    <w:charset w:val="00"/>
    <w:family w:val="roman"/>
    <w:pitch w:val="variable"/>
    <w:sig w:usb0="E00006FF" w:usb1="420024FF" w:usb2="02000000" w:usb3="00000000" w:csb0="0000019F" w:csb1="00000000"/>
    <w:embedRegular r:id="rId9" w:fontKey="{7486ACE4-F457-42E3-8DBE-CEC328E17E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3F" w:rsidRDefault="001E578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80AC2">
      <w:rPr>
        <w:rFonts w:ascii="Palatino Linotype" w:eastAsia="Palatino Linotype" w:hAnsi="Palatino Linotype" w:cs="Palatino Linotype"/>
        <w:noProof/>
        <w:color w:val="000000"/>
        <w:sz w:val="22"/>
        <w:szCs w:val="22"/>
      </w:rPr>
      <w:t>53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80AC2">
      <w:rPr>
        <w:rFonts w:ascii="Palatino Linotype" w:eastAsia="Palatino Linotype" w:hAnsi="Palatino Linotype" w:cs="Palatino Linotype"/>
        <w:noProof/>
        <w:color w:val="000000"/>
        <w:sz w:val="22"/>
        <w:szCs w:val="22"/>
      </w:rPr>
      <w:t>66</w:t>
    </w:r>
    <w:r>
      <w:rPr>
        <w:rFonts w:ascii="Palatino Linotype" w:eastAsia="Palatino Linotype" w:hAnsi="Palatino Linotype" w:cs="Palatino Linotype"/>
        <w:color w:val="000000"/>
        <w:sz w:val="22"/>
        <w:szCs w:val="22"/>
      </w:rPr>
      <w:fldChar w:fldCharType="end"/>
    </w:r>
  </w:p>
  <w:p w:rsidR="0029463F" w:rsidRDefault="0029463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3F" w:rsidRDefault="001E578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80AC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80AC2">
      <w:rPr>
        <w:rFonts w:ascii="Palatino Linotype" w:eastAsia="Palatino Linotype" w:hAnsi="Palatino Linotype" w:cs="Palatino Linotype"/>
        <w:noProof/>
        <w:color w:val="000000"/>
        <w:sz w:val="22"/>
        <w:szCs w:val="22"/>
      </w:rPr>
      <w:t>66</w:t>
    </w:r>
    <w:r>
      <w:rPr>
        <w:rFonts w:ascii="Palatino Linotype" w:eastAsia="Palatino Linotype" w:hAnsi="Palatino Linotype" w:cs="Palatino Linotype"/>
        <w:color w:val="000000"/>
        <w:sz w:val="22"/>
        <w:szCs w:val="22"/>
      </w:rPr>
      <w:fldChar w:fldCharType="end"/>
    </w:r>
  </w:p>
  <w:p w:rsidR="0029463F" w:rsidRDefault="0029463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59B" w:rsidRDefault="00F9259B">
      <w:r>
        <w:separator/>
      </w:r>
    </w:p>
  </w:footnote>
  <w:footnote w:type="continuationSeparator" w:id="0">
    <w:p w:rsidR="00F9259B" w:rsidRDefault="00F925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3F" w:rsidRDefault="00F9259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3F" w:rsidRDefault="0029463F">
    <w:pPr>
      <w:widowControl w:val="0"/>
      <w:pBdr>
        <w:top w:val="nil"/>
        <w:left w:val="nil"/>
        <w:bottom w:val="nil"/>
        <w:right w:val="nil"/>
        <w:between w:val="nil"/>
      </w:pBdr>
      <w:spacing w:line="276" w:lineRule="auto"/>
      <w:rPr>
        <w:color w:val="000000"/>
      </w:rPr>
    </w:pPr>
  </w:p>
  <w:tbl>
    <w:tblPr>
      <w:tblStyle w:val="a1"/>
      <w:tblW w:w="6750" w:type="dxa"/>
      <w:tblInd w:w="3261" w:type="dxa"/>
      <w:tblLayout w:type="fixed"/>
      <w:tblLook w:val="0400" w:firstRow="0" w:lastRow="0" w:firstColumn="0" w:lastColumn="0" w:noHBand="0" w:noVBand="1"/>
    </w:tblPr>
    <w:tblGrid>
      <w:gridCol w:w="2799"/>
      <w:gridCol w:w="3951"/>
    </w:tblGrid>
    <w:tr w:rsidR="0029463F">
      <w:trPr>
        <w:trHeight w:val="227"/>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50" w:type="dxa"/>
        </w:tcPr>
        <w:p w:rsidR="0029463F" w:rsidRDefault="001E578D">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14158/INFOEM/IP/RR/2025</w:t>
          </w:r>
        </w:p>
      </w:tc>
    </w:tr>
    <w:tr w:rsidR="0029463F">
      <w:trPr>
        <w:trHeight w:val="342"/>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50" w:type="dxa"/>
        </w:tcPr>
        <w:p w:rsidR="0029463F" w:rsidRDefault="001E578D">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Toluca</w:t>
          </w:r>
        </w:p>
      </w:tc>
    </w:tr>
    <w:tr w:rsidR="0029463F">
      <w:trPr>
        <w:trHeight w:val="342"/>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50" w:type="dxa"/>
        </w:tcPr>
        <w:p w:rsidR="0029463F" w:rsidRDefault="001E578D">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9463F" w:rsidRDefault="00F9259B">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750" w:type="dxa"/>
      <w:tblInd w:w="3261" w:type="dxa"/>
      <w:tblLayout w:type="fixed"/>
      <w:tblLook w:val="0400" w:firstRow="0" w:lastRow="0" w:firstColumn="0" w:lastColumn="0" w:noHBand="0" w:noVBand="1"/>
    </w:tblPr>
    <w:tblGrid>
      <w:gridCol w:w="2799"/>
      <w:gridCol w:w="3951"/>
    </w:tblGrid>
    <w:tr w:rsidR="0029463F" w:rsidTr="00F80AC2">
      <w:trPr>
        <w:trHeight w:val="227"/>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51" w:type="dxa"/>
        </w:tcPr>
        <w:p w:rsidR="0029463F" w:rsidRDefault="001E578D">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14158/INFOEM/IP/RR/2025</w:t>
          </w:r>
        </w:p>
      </w:tc>
    </w:tr>
    <w:tr w:rsidR="0029463F" w:rsidTr="00F80AC2">
      <w:trPr>
        <w:trHeight w:val="242"/>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951" w:type="dxa"/>
        </w:tcPr>
        <w:p w:rsidR="0029463F" w:rsidRDefault="0029463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29463F" w:rsidTr="00F80AC2">
      <w:trPr>
        <w:trHeight w:val="342"/>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51" w:type="dxa"/>
        </w:tcPr>
        <w:p w:rsidR="0029463F" w:rsidRDefault="001E578D">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Toluca</w:t>
          </w:r>
        </w:p>
      </w:tc>
    </w:tr>
    <w:tr w:rsidR="0029463F" w:rsidTr="00F80AC2">
      <w:trPr>
        <w:trHeight w:val="342"/>
      </w:trPr>
      <w:tc>
        <w:tcPr>
          <w:tcW w:w="2799" w:type="dxa"/>
        </w:tcPr>
        <w:p w:rsidR="0029463F" w:rsidRDefault="001E578D">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51" w:type="dxa"/>
        </w:tcPr>
        <w:p w:rsidR="0029463F" w:rsidRDefault="001E578D">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9463F" w:rsidRDefault="00F9259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175E"/>
    <w:multiLevelType w:val="multilevel"/>
    <w:tmpl w:val="3DAA2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261FE8"/>
    <w:multiLevelType w:val="multilevel"/>
    <w:tmpl w:val="8BC68E8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1E9E3EB1"/>
    <w:multiLevelType w:val="multilevel"/>
    <w:tmpl w:val="AF8AC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84338E"/>
    <w:multiLevelType w:val="multilevel"/>
    <w:tmpl w:val="17B61780"/>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 w15:restartNumberingAfterBreak="0">
    <w:nsid w:val="278857BD"/>
    <w:multiLevelType w:val="multilevel"/>
    <w:tmpl w:val="65BA0CCE"/>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5" w15:restartNumberingAfterBreak="0">
    <w:nsid w:val="2B034090"/>
    <w:multiLevelType w:val="multilevel"/>
    <w:tmpl w:val="4210E10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370C0375"/>
    <w:multiLevelType w:val="multilevel"/>
    <w:tmpl w:val="78607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EB9724B"/>
    <w:multiLevelType w:val="multilevel"/>
    <w:tmpl w:val="F2D2E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0971A6"/>
    <w:multiLevelType w:val="multilevel"/>
    <w:tmpl w:val="9AC63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875132"/>
    <w:multiLevelType w:val="multilevel"/>
    <w:tmpl w:val="7D4C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5E3BA5"/>
    <w:multiLevelType w:val="multilevel"/>
    <w:tmpl w:val="BCEC1A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CB425C0"/>
    <w:multiLevelType w:val="multilevel"/>
    <w:tmpl w:val="C82CB42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5F6182"/>
    <w:multiLevelType w:val="multilevel"/>
    <w:tmpl w:val="192AD58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5C556BD"/>
    <w:multiLevelType w:val="multilevel"/>
    <w:tmpl w:val="ABD21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6C81D9B"/>
    <w:multiLevelType w:val="multilevel"/>
    <w:tmpl w:val="01D6D0C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5" w15:restartNumberingAfterBreak="0">
    <w:nsid w:val="79D65691"/>
    <w:multiLevelType w:val="multilevel"/>
    <w:tmpl w:val="8FD4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9"/>
  </w:num>
  <w:num w:numId="3">
    <w:abstractNumId w:val="14"/>
  </w:num>
  <w:num w:numId="4">
    <w:abstractNumId w:val="8"/>
  </w:num>
  <w:num w:numId="5">
    <w:abstractNumId w:val="6"/>
  </w:num>
  <w:num w:numId="6">
    <w:abstractNumId w:val="10"/>
  </w:num>
  <w:num w:numId="7">
    <w:abstractNumId w:val="5"/>
  </w:num>
  <w:num w:numId="8">
    <w:abstractNumId w:val="3"/>
  </w:num>
  <w:num w:numId="9">
    <w:abstractNumId w:val="13"/>
  </w:num>
  <w:num w:numId="10">
    <w:abstractNumId w:val="0"/>
  </w:num>
  <w:num w:numId="11">
    <w:abstractNumId w:val="12"/>
  </w:num>
  <w:num w:numId="12">
    <w:abstractNumId w:val="4"/>
  </w:num>
  <w:num w:numId="13">
    <w:abstractNumId w:val="11"/>
  </w:num>
  <w:num w:numId="14">
    <w:abstractNumId w:val="1"/>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3F"/>
    <w:rsid w:val="001009FB"/>
    <w:rsid w:val="00102559"/>
    <w:rsid w:val="001E578D"/>
    <w:rsid w:val="0029463F"/>
    <w:rsid w:val="00441F9E"/>
    <w:rsid w:val="0073339C"/>
    <w:rsid w:val="00B32410"/>
    <w:rsid w:val="00F80AC2"/>
    <w:rsid w:val="00F925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1506E93-7552-4459-ADC6-804BC9BC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F80AC2"/>
    <w:pPr>
      <w:tabs>
        <w:tab w:val="center" w:pos="4419"/>
        <w:tab w:val="right" w:pos="8838"/>
      </w:tabs>
    </w:pPr>
  </w:style>
  <w:style w:type="character" w:customStyle="1" w:styleId="PiedepginaCar">
    <w:name w:val="Pie de página Car"/>
    <w:basedOn w:val="Fuentedeprrafopredeter"/>
    <w:link w:val="Piedepgina"/>
    <w:uiPriority w:val="99"/>
    <w:rsid w:val="00F80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mawww.sat.gob.mx/tramitesyservicios/paginas/documentos/anexo20_2022.pdf"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i/+Xju1IOnn2Njd+L49AXV+1NQ==">CgMxLjAyCGguZ2pkZ3hzMgloLjFmb2I5dGUyCWguM3pueXNoNzIJaC4yZXQ5MnAwMgloLjF0M2g1c2YyCWguMnM4ZXlvMTIOaC5qdHdyZGpibTZ1cXcyCWguMTdkcDh2dTIIaC5sbnhiejk4AHIhMUxPVnJWcWsyOXZzMHlVS293cFY1Q3hKdWZkZ3lOWklQ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66</Pages>
  <Words>17116</Words>
  <Characters>94141</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2026-05-29T00:18:00Z</cp:lastPrinted>
  <dcterms:created xsi:type="dcterms:W3CDTF">2026-05-27T22:07:00Z</dcterms:created>
  <dcterms:modified xsi:type="dcterms:W3CDTF">2026-06-02T19:47:00Z</dcterms:modified>
</cp:coreProperties>
</file>