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338FF" w:rsidRPr="001C4942" w:rsidRDefault="00D338FF" w:rsidP="00D338FF">
      <w:pPr>
        <w:spacing w:line="360" w:lineRule="auto"/>
        <w:jc w:val="both"/>
        <w:rPr>
          <w:rFonts w:ascii="Palatino Linotype" w:eastAsia="Palatino Linotype" w:hAnsi="Palatino Linotype" w:cs="Palatino Linotype"/>
          <w:b/>
        </w:rPr>
      </w:pPr>
      <w:r w:rsidRPr="001C4942">
        <w:rPr>
          <w:rFonts w:ascii="Palatino Linotype" w:eastAsia="Palatino Linotype" w:hAnsi="Palatino Linotype" w:cs="Palatino Linotype"/>
        </w:rPr>
        <w:t xml:space="preserve">Resolución del Pleno del Instituto de Transparencia, Acceso a la Información Pública y Protección de Datos Personales del Estado de México y Municipios, con domicilio en Metepec, Estado de México; </w:t>
      </w:r>
      <w:r w:rsidRPr="001C4942">
        <w:rPr>
          <w:rFonts w:ascii="Palatino Linotype" w:eastAsia="Palatino Linotype" w:hAnsi="Palatino Linotype" w:cs="Palatino Linotype"/>
          <w:b/>
        </w:rPr>
        <w:t>de</w:t>
      </w:r>
      <w:r w:rsidR="001C4942" w:rsidRPr="001C4942">
        <w:rPr>
          <w:rFonts w:ascii="Palatino Linotype" w:eastAsia="Palatino Linotype" w:hAnsi="Palatino Linotype" w:cs="Palatino Linotype"/>
          <w:b/>
        </w:rPr>
        <w:t xml:space="preserve"> fecha</w:t>
      </w:r>
      <w:r w:rsidRPr="001C4942">
        <w:rPr>
          <w:rFonts w:ascii="Palatino Linotype" w:eastAsia="Palatino Linotype" w:hAnsi="Palatino Linotype" w:cs="Palatino Linotype"/>
          <w:b/>
        </w:rPr>
        <w:t xml:space="preserve"> cinco </w:t>
      </w:r>
      <w:r w:rsidR="001C4942" w:rsidRPr="001C4942">
        <w:rPr>
          <w:rFonts w:ascii="Palatino Linotype" w:eastAsia="Palatino Linotype" w:hAnsi="Palatino Linotype" w:cs="Palatino Linotype"/>
          <w:b/>
        </w:rPr>
        <w:t xml:space="preserve">(05) </w:t>
      </w:r>
      <w:r w:rsidRPr="001C4942">
        <w:rPr>
          <w:rFonts w:ascii="Palatino Linotype" w:eastAsia="Palatino Linotype" w:hAnsi="Palatino Linotype" w:cs="Palatino Linotype"/>
          <w:b/>
        </w:rPr>
        <w:t xml:space="preserve">de marzo de dos mil veintiséis. </w:t>
      </w:r>
    </w:p>
    <w:p w:rsidR="00D338FF" w:rsidRPr="001C4942" w:rsidRDefault="00D338FF" w:rsidP="00D338FF">
      <w:pPr>
        <w:spacing w:line="360" w:lineRule="auto"/>
        <w:jc w:val="both"/>
        <w:rPr>
          <w:rFonts w:ascii="Palatino Linotype" w:eastAsia="Palatino Linotype" w:hAnsi="Palatino Linotype" w:cs="Palatino Linotype"/>
        </w:rPr>
      </w:pPr>
    </w:p>
    <w:p w:rsidR="00D338FF" w:rsidRPr="001C4942" w:rsidRDefault="00D338FF" w:rsidP="00D338FF">
      <w:pPr>
        <w:spacing w:line="360" w:lineRule="auto"/>
        <w:jc w:val="both"/>
        <w:rPr>
          <w:rFonts w:ascii="Palatino Linotype" w:eastAsia="Palatino Linotype" w:hAnsi="Palatino Linotype" w:cs="Palatino Linotype"/>
        </w:rPr>
      </w:pPr>
      <w:r w:rsidRPr="001C4942">
        <w:rPr>
          <w:rFonts w:ascii="Palatino Linotype" w:eastAsia="Palatino Linotype" w:hAnsi="Palatino Linotype" w:cs="Palatino Linotype"/>
          <w:b/>
          <w:bCs/>
        </w:rPr>
        <w:t>VISTO</w:t>
      </w:r>
      <w:r w:rsidRPr="001C4942">
        <w:rPr>
          <w:rFonts w:ascii="Palatino Linotype" w:eastAsia="Palatino Linotype" w:hAnsi="Palatino Linotype" w:cs="Palatino Linotype"/>
        </w:rPr>
        <w:t xml:space="preserve"> el expediente electrónico formado con motivo del recurso de revisión </w:t>
      </w:r>
      <w:r w:rsidRPr="001C4942">
        <w:rPr>
          <w:rFonts w:ascii="Palatino Linotype" w:eastAsia="Palatino Linotype" w:hAnsi="Palatino Linotype" w:cs="Palatino Linotype"/>
          <w:b/>
          <w:bCs/>
        </w:rPr>
        <w:t xml:space="preserve">09998/INFOEM/IP/RR/2025, </w:t>
      </w:r>
      <w:r w:rsidRPr="001C4942">
        <w:rPr>
          <w:rFonts w:ascii="Palatino Linotype" w:eastAsia="Palatino Linotype" w:hAnsi="Palatino Linotype" w:cs="Palatino Linotype"/>
        </w:rPr>
        <w:t xml:space="preserve">promovido por </w:t>
      </w:r>
      <w:r w:rsidRPr="001C4942">
        <w:rPr>
          <w:rFonts w:ascii="Palatino Linotype" w:eastAsia="Palatino Linotype" w:hAnsi="Palatino Linotype" w:cs="Palatino Linotype"/>
          <w:b/>
        </w:rPr>
        <w:t>un usuario que no proporcionó nombre</w:t>
      </w:r>
      <w:r w:rsidRPr="001C4942">
        <w:rPr>
          <w:rFonts w:ascii="Palatino Linotype" w:eastAsia="Palatino Linotype" w:hAnsi="Palatino Linotype" w:cs="Palatino Linotype"/>
        </w:rPr>
        <w:t xml:space="preserve">, </w:t>
      </w:r>
      <w:r w:rsidR="001C4942">
        <w:rPr>
          <w:rFonts w:ascii="Palatino Linotype" w:eastAsia="Palatino Linotype" w:hAnsi="Palatino Linotype" w:cs="Palatino Linotype"/>
        </w:rPr>
        <w:t xml:space="preserve">a </w:t>
      </w:r>
      <w:r w:rsidRPr="001C4942">
        <w:rPr>
          <w:rFonts w:ascii="Palatino Linotype" w:eastAsia="Palatino Linotype" w:hAnsi="Palatino Linotype" w:cs="Palatino Linotype"/>
        </w:rPr>
        <w:t xml:space="preserve">quien en lo sucesivo se identificará como </w:t>
      </w:r>
      <w:r w:rsidRPr="001C4942">
        <w:rPr>
          <w:rFonts w:ascii="Palatino Linotype" w:eastAsia="Palatino Linotype" w:hAnsi="Palatino Linotype" w:cs="Palatino Linotype"/>
          <w:b/>
          <w:bCs/>
        </w:rPr>
        <w:t>EL RECURRENTE</w:t>
      </w:r>
      <w:r w:rsidRPr="001C4942">
        <w:rPr>
          <w:rFonts w:ascii="Palatino Linotype" w:eastAsia="Palatino Linotype" w:hAnsi="Palatino Linotype" w:cs="Palatino Linotype"/>
        </w:rPr>
        <w:t xml:space="preserve">, en contra de la respuesta del </w:t>
      </w:r>
      <w:r w:rsidRPr="001C4942">
        <w:rPr>
          <w:rFonts w:ascii="Palatino Linotype" w:eastAsia="Palatino Linotype" w:hAnsi="Palatino Linotype" w:cs="Palatino Linotype"/>
          <w:b/>
          <w:bCs/>
        </w:rPr>
        <w:t xml:space="preserve">Ayuntamiento de Toluca, </w:t>
      </w:r>
      <w:r w:rsidRPr="001C4942">
        <w:rPr>
          <w:rFonts w:ascii="Palatino Linotype" w:eastAsia="Palatino Linotype" w:hAnsi="Palatino Linotype" w:cs="Palatino Linotype"/>
        </w:rPr>
        <w:t>en adelante el</w:t>
      </w:r>
      <w:r w:rsidRPr="001C4942">
        <w:rPr>
          <w:rFonts w:ascii="Palatino Linotype" w:eastAsia="Palatino Linotype" w:hAnsi="Palatino Linotype" w:cs="Palatino Linotype"/>
          <w:b/>
          <w:bCs/>
        </w:rPr>
        <w:t xml:space="preserve"> SUJETO OBLIGADO</w:t>
      </w:r>
      <w:r w:rsidRPr="001C4942">
        <w:rPr>
          <w:rFonts w:ascii="Palatino Linotype" w:eastAsia="Palatino Linotype" w:hAnsi="Palatino Linotype" w:cs="Palatino Linotype"/>
        </w:rPr>
        <w:t>, por lo que se procede a dictar la presente resolución, con base en los siguientes:</w:t>
      </w:r>
    </w:p>
    <w:p w:rsidR="00D338FF" w:rsidRPr="001C4942" w:rsidRDefault="00D338FF" w:rsidP="00D338FF">
      <w:pPr>
        <w:spacing w:line="360" w:lineRule="auto"/>
        <w:jc w:val="both"/>
        <w:rPr>
          <w:rFonts w:ascii="Palatino Linotype" w:eastAsia="Palatino Linotype" w:hAnsi="Palatino Linotype" w:cs="Palatino Linotype"/>
          <w:b/>
          <w:bCs/>
        </w:rPr>
      </w:pPr>
    </w:p>
    <w:p w:rsidR="00D338FF" w:rsidRPr="001C4942" w:rsidRDefault="00D338FF" w:rsidP="00D338FF">
      <w:pPr>
        <w:keepNext/>
        <w:keepLines/>
        <w:spacing w:line="360" w:lineRule="auto"/>
        <w:jc w:val="center"/>
        <w:rPr>
          <w:rFonts w:ascii="Palatino Linotype" w:eastAsia="Palatino Linotype" w:hAnsi="Palatino Linotype" w:cs="Palatino Linotype"/>
          <w:b/>
          <w:bCs/>
        </w:rPr>
      </w:pPr>
      <w:bookmarkStart w:id="0" w:name="_heading=h.gjdgxs" w:colFirst="0" w:colLast="0"/>
      <w:bookmarkEnd w:id="0"/>
      <w:r w:rsidRPr="001C4942">
        <w:rPr>
          <w:rFonts w:ascii="Palatino Linotype" w:eastAsia="Palatino Linotype" w:hAnsi="Palatino Linotype" w:cs="Palatino Linotype"/>
          <w:b/>
          <w:bCs/>
        </w:rPr>
        <w:t>A N T E C E D E N T E S</w:t>
      </w:r>
    </w:p>
    <w:p w:rsidR="00D338FF" w:rsidRPr="001C4942" w:rsidRDefault="00D338FF" w:rsidP="00D338FF">
      <w:pPr>
        <w:spacing w:line="360" w:lineRule="auto"/>
        <w:rPr>
          <w:rFonts w:ascii="Palatino Linotype" w:eastAsia="Palatino Linotype" w:hAnsi="Palatino Linotype" w:cs="Palatino Linotype"/>
        </w:rPr>
      </w:pPr>
    </w:p>
    <w:p w:rsidR="00D338FF" w:rsidRPr="001C4942" w:rsidRDefault="00D338FF" w:rsidP="00D338FF">
      <w:pPr>
        <w:numPr>
          <w:ilvl w:val="0"/>
          <w:numId w:val="3"/>
        </w:numPr>
        <w:pBdr>
          <w:top w:val="nil"/>
          <w:left w:val="nil"/>
          <w:bottom w:val="nil"/>
          <w:right w:val="nil"/>
          <w:between w:val="nil"/>
        </w:pBdr>
        <w:spacing w:line="360" w:lineRule="auto"/>
        <w:ind w:left="0" w:firstLine="0"/>
        <w:jc w:val="both"/>
        <w:rPr>
          <w:rFonts w:ascii="Palatino Linotype" w:eastAsia="Palatino Linotype" w:hAnsi="Palatino Linotype" w:cs="Palatino Linotype"/>
        </w:rPr>
      </w:pPr>
      <w:r w:rsidRPr="001C4942">
        <w:rPr>
          <w:rFonts w:ascii="Palatino Linotype" w:eastAsia="Palatino Linotype" w:hAnsi="Palatino Linotype" w:cs="Palatino Linotype"/>
        </w:rPr>
        <w:t xml:space="preserve">El </w:t>
      </w:r>
      <w:r w:rsidRPr="001C4942">
        <w:rPr>
          <w:rFonts w:ascii="Palatino Linotype" w:eastAsia="Palatino Linotype" w:hAnsi="Palatino Linotype" w:cs="Palatino Linotype"/>
          <w:b/>
          <w:bCs/>
        </w:rPr>
        <w:t>treinta de junio de dos mil veinticinco</w:t>
      </w:r>
      <w:r w:rsidRPr="001C4942">
        <w:rPr>
          <w:rFonts w:ascii="Palatino Linotype" w:eastAsia="Palatino Linotype" w:hAnsi="Palatino Linotype" w:cs="Palatino Linotype"/>
        </w:rPr>
        <w:t xml:space="preserve">, </w:t>
      </w:r>
      <w:r w:rsidRPr="001C4942">
        <w:rPr>
          <w:rFonts w:ascii="Palatino Linotype" w:eastAsia="Palatino Linotype" w:hAnsi="Palatino Linotype" w:cs="Palatino Linotype"/>
          <w:b/>
          <w:bCs/>
        </w:rPr>
        <w:t>EL RECURRENTE,</w:t>
      </w:r>
      <w:r w:rsidRPr="001C4942">
        <w:rPr>
          <w:rFonts w:ascii="Palatino Linotype" w:eastAsia="Palatino Linotype" w:hAnsi="Palatino Linotype" w:cs="Palatino Linotype"/>
        </w:rPr>
        <w:t xml:space="preserve"> ante el </w:t>
      </w:r>
      <w:r w:rsidRPr="001C4942">
        <w:rPr>
          <w:rFonts w:ascii="Palatino Linotype" w:eastAsia="Palatino Linotype" w:hAnsi="Palatino Linotype" w:cs="Palatino Linotype"/>
          <w:b/>
          <w:bCs/>
        </w:rPr>
        <w:t>SUJETO OBLIGADO</w:t>
      </w:r>
      <w:r w:rsidRPr="001C4942">
        <w:rPr>
          <w:rFonts w:ascii="Palatino Linotype" w:eastAsia="Palatino Linotype" w:hAnsi="Palatino Linotype" w:cs="Palatino Linotype"/>
        </w:rPr>
        <w:t xml:space="preserve"> a través del Sistema de Acceso a la Información Mexiquense (SAIMEX), presentó una solicitud de información registrada con el número </w:t>
      </w:r>
      <w:r w:rsidRPr="001C4942">
        <w:rPr>
          <w:rFonts w:ascii="Palatino Linotype" w:eastAsia="Palatino Linotype" w:hAnsi="Palatino Linotype" w:cs="Palatino Linotype"/>
          <w:b/>
          <w:bCs/>
        </w:rPr>
        <w:t xml:space="preserve">03751/TOLUCA/IP/2025, </w:t>
      </w:r>
      <w:r w:rsidRPr="001C4942">
        <w:rPr>
          <w:rFonts w:ascii="Palatino Linotype" w:eastAsia="Palatino Linotype" w:hAnsi="Palatino Linotype" w:cs="Palatino Linotype"/>
        </w:rPr>
        <w:t>en la que se solicitó lo siguiente:</w:t>
      </w:r>
    </w:p>
    <w:p w:rsidR="00D338FF" w:rsidRPr="001C4942" w:rsidRDefault="00D338FF" w:rsidP="00D338FF">
      <w:pPr>
        <w:pBdr>
          <w:top w:val="nil"/>
          <w:left w:val="nil"/>
          <w:bottom w:val="nil"/>
          <w:right w:val="nil"/>
          <w:between w:val="nil"/>
        </w:pBdr>
        <w:spacing w:line="360" w:lineRule="auto"/>
        <w:jc w:val="both"/>
        <w:rPr>
          <w:rFonts w:ascii="Palatino Linotype" w:eastAsia="Palatino Linotype" w:hAnsi="Palatino Linotype" w:cs="Palatino Linotype"/>
        </w:rPr>
      </w:pPr>
    </w:p>
    <w:p w:rsidR="00D338FF" w:rsidRPr="001C4942" w:rsidRDefault="00D338FF" w:rsidP="00D338FF">
      <w:pPr>
        <w:pBdr>
          <w:top w:val="nil"/>
          <w:left w:val="nil"/>
          <w:bottom w:val="nil"/>
          <w:right w:val="nil"/>
          <w:between w:val="nil"/>
        </w:pBdr>
        <w:spacing w:line="360" w:lineRule="auto"/>
        <w:ind w:left="720" w:right="822"/>
        <w:jc w:val="both"/>
        <w:rPr>
          <w:rFonts w:ascii="Palatino Linotype" w:eastAsia="Palatino Linotype" w:hAnsi="Palatino Linotype" w:cs="Palatino Linotype"/>
          <w:i/>
          <w:iCs/>
        </w:rPr>
      </w:pPr>
      <w:r w:rsidRPr="001C4942">
        <w:rPr>
          <w:rFonts w:ascii="Palatino Linotype" w:eastAsia="Palatino Linotype" w:hAnsi="Palatino Linotype" w:cs="Palatino Linotype"/>
          <w:i/>
          <w:iCs/>
        </w:rPr>
        <w:t xml:space="preserve">“Que acciones aplicarán para hacer cumplí el programa hoy no círcula” (Sic) </w:t>
      </w:r>
    </w:p>
    <w:p w:rsidR="00D338FF" w:rsidRDefault="00D338FF" w:rsidP="00D338FF">
      <w:pPr>
        <w:pBdr>
          <w:top w:val="nil"/>
          <w:left w:val="nil"/>
          <w:bottom w:val="nil"/>
          <w:right w:val="nil"/>
          <w:between w:val="nil"/>
        </w:pBdr>
        <w:spacing w:line="360" w:lineRule="auto"/>
        <w:jc w:val="both"/>
        <w:rPr>
          <w:rFonts w:ascii="Palatino Linotype" w:eastAsia="Palatino Linotype" w:hAnsi="Palatino Linotype" w:cs="Palatino Linotype"/>
        </w:rPr>
      </w:pPr>
    </w:p>
    <w:p w:rsidR="001C4942" w:rsidRPr="001C4942" w:rsidRDefault="001C4942" w:rsidP="00D338FF">
      <w:pPr>
        <w:pBdr>
          <w:top w:val="nil"/>
          <w:left w:val="nil"/>
          <w:bottom w:val="nil"/>
          <w:right w:val="nil"/>
          <w:between w:val="nil"/>
        </w:pBdr>
        <w:spacing w:line="360" w:lineRule="auto"/>
        <w:jc w:val="both"/>
        <w:rPr>
          <w:rFonts w:ascii="Palatino Linotype" w:eastAsia="Palatino Linotype" w:hAnsi="Palatino Linotype" w:cs="Palatino Linotype"/>
        </w:rPr>
      </w:pPr>
    </w:p>
    <w:p w:rsidR="00D338FF" w:rsidRPr="001C4942" w:rsidRDefault="00D338FF" w:rsidP="00D338FF">
      <w:pPr>
        <w:numPr>
          <w:ilvl w:val="0"/>
          <w:numId w:val="3"/>
        </w:numPr>
        <w:pBdr>
          <w:top w:val="nil"/>
          <w:left w:val="nil"/>
          <w:bottom w:val="nil"/>
          <w:right w:val="nil"/>
          <w:between w:val="nil"/>
        </w:pBdr>
        <w:spacing w:line="360" w:lineRule="auto"/>
        <w:ind w:left="0" w:firstLine="0"/>
        <w:jc w:val="both"/>
        <w:rPr>
          <w:rFonts w:ascii="Palatino Linotype" w:eastAsia="Palatino Linotype" w:hAnsi="Palatino Linotype" w:cs="Palatino Linotype"/>
        </w:rPr>
      </w:pPr>
      <w:r w:rsidRPr="001C4942">
        <w:rPr>
          <w:rFonts w:ascii="Palatino Linotype" w:eastAsia="Palatino Linotype" w:hAnsi="Palatino Linotype" w:cs="Palatino Linotype"/>
        </w:rPr>
        <w:t xml:space="preserve">Se señaló como modalidad de entrega a través de SAIMEX.  </w:t>
      </w:r>
    </w:p>
    <w:p w:rsidR="00D338FF" w:rsidRPr="001C4942" w:rsidRDefault="00D338FF" w:rsidP="00D338FF">
      <w:pPr>
        <w:pBdr>
          <w:top w:val="nil"/>
          <w:left w:val="nil"/>
          <w:bottom w:val="nil"/>
          <w:right w:val="nil"/>
          <w:between w:val="nil"/>
        </w:pBdr>
        <w:spacing w:line="360" w:lineRule="auto"/>
        <w:jc w:val="both"/>
        <w:rPr>
          <w:rFonts w:ascii="Palatino Linotype" w:eastAsia="Palatino Linotype" w:hAnsi="Palatino Linotype" w:cs="Palatino Linotype"/>
        </w:rPr>
      </w:pPr>
    </w:p>
    <w:p w:rsidR="00D338FF" w:rsidRPr="001C4942" w:rsidRDefault="00D338FF" w:rsidP="00D338FF">
      <w:pPr>
        <w:numPr>
          <w:ilvl w:val="0"/>
          <w:numId w:val="3"/>
        </w:numPr>
        <w:pBdr>
          <w:top w:val="nil"/>
          <w:left w:val="nil"/>
          <w:bottom w:val="nil"/>
          <w:right w:val="nil"/>
          <w:between w:val="nil"/>
        </w:pBdr>
        <w:spacing w:line="360" w:lineRule="auto"/>
        <w:ind w:left="0" w:firstLine="0"/>
        <w:jc w:val="both"/>
        <w:rPr>
          <w:rFonts w:ascii="Palatino Linotype" w:eastAsia="Palatino Linotype" w:hAnsi="Palatino Linotype" w:cs="Palatino Linotype"/>
        </w:rPr>
      </w:pPr>
      <w:r w:rsidRPr="001C4942">
        <w:rPr>
          <w:rFonts w:ascii="Palatino Linotype" w:eastAsia="Palatino Linotype" w:hAnsi="Palatino Linotype" w:cs="Palatino Linotype"/>
        </w:rPr>
        <w:t xml:space="preserve">El </w:t>
      </w:r>
      <w:r w:rsidRPr="001C4942">
        <w:rPr>
          <w:rFonts w:ascii="Palatino Linotype" w:eastAsia="Palatino Linotype" w:hAnsi="Palatino Linotype" w:cs="Palatino Linotype"/>
          <w:b/>
        </w:rPr>
        <w:t>primero de julio de dos mil veinticinco</w:t>
      </w:r>
      <w:r w:rsidRPr="001C4942">
        <w:rPr>
          <w:rFonts w:ascii="Palatino Linotype" w:eastAsia="Palatino Linotype" w:hAnsi="Palatino Linotype" w:cs="Palatino Linotype"/>
        </w:rPr>
        <w:t xml:space="preserve">, se realizó un requerimiento de información al servidor público habilitado. </w:t>
      </w:r>
    </w:p>
    <w:p w:rsidR="00D338FF" w:rsidRPr="001C4942" w:rsidRDefault="00D338FF" w:rsidP="00D338FF">
      <w:pPr>
        <w:pStyle w:val="Prrafodelista"/>
        <w:rPr>
          <w:rFonts w:ascii="Palatino Linotype" w:eastAsia="Palatino Linotype" w:hAnsi="Palatino Linotype" w:cs="Palatino Linotype"/>
        </w:rPr>
      </w:pPr>
    </w:p>
    <w:p w:rsidR="00D338FF" w:rsidRPr="001C4942" w:rsidRDefault="00D338FF" w:rsidP="00D338FF">
      <w:pPr>
        <w:numPr>
          <w:ilvl w:val="0"/>
          <w:numId w:val="3"/>
        </w:numPr>
        <w:pBdr>
          <w:top w:val="nil"/>
          <w:left w:val="nil"/>
          <w:bottom w:val="nil"/>
          <w:right w:val="nil"/>
          <w:between w:val="nil"/>
        </w:pBdr>
        <w:spacing w:line="360" w:lineRule="auto"/>
        <w:ind w:left="0" w:firstLine="0"/>
        <w:jc w:val="both"/>
        <w:rPr>
          <w:rFonts w:ascii="Palatino Linotype" w:eastAsia="Palatino Linotype" w:hAnsi="Palatino Linotype" w:cs="Palatino Linotype"/>
        </w:rPr>
      </w:pPr>
      <w:r w:rsidRPr="001C4942">
        <w:rPr>
          <w:rFonts w:ascii="Palatino Linotype" w:eastAsia="Palatino Linotype" w:hAnsi="Palatino Linotype" w:cs="Palatino Linotype"/>
        </w:rPr>
        <w:lastRenderedPageBreak/>
        <w:t xml:space="preserve">El </w:t>
      </w:r>
      <w:r w:rsidRPr="001C4942">
        <w:rPr>
          <w:rFonts w:ascii="Palatino Linotype" w:eastAsia="Palatino Linotype" w:hAnsi="Palatino Linotype" w:cs="Palatino Linotype"/>
          <w:b/>
          <w:bCs/>
        </w:rPr>
        <w:t>cuatro de agosto de dos mil veinticinco</w:t>
      </w:r>
      <w:r w:rsidRPr="001C4942">
        <w:rPr>
          <w:rFonts w:ascii="Palatino Linotype" w:eastAsia="Palatino Linotype" w:hAnsi="Palatino Linotype" w:cs="Palatino Linotype"/>
        </w:rPr>
        <w:t>, el Sujeto Obligado dio respuesta a la solicitud de información en los siguientes términos:</w:t>
      </w:r>
    </w:p>
    <w:p w:rsidR="00D338FF" w:rsidRPr="001C4942" w:rsidRDefault="00D338FF" w:rsidP="00D338FF">
      <w:pPr>
        <w:pBdr>
          <w:top w:val="nil"/>
          <w:left w:val="nil"/>
          <w:bottom w:val="nil"/>
          <w:right w:val="nil"/>
          <w:between w:val="nil"/>
        </w:pBdr>
        <w:spacing w:line="360" w:lineRule="auto"/>
        <w:jc w:val="both"/>
        <w:rPr>
          <w:rFonts w:ascii="Palatino Linotype" w:eastAsia="Palatino Linotype" w:hAnsi="Palatino Linotype" w:cs="Palatino Linotype"/>
        </w:rPr>
      </w:pPr>
    </w:p>
    <w:tbl>
      <w:tblPr>
        <w:tblW w:w="7668" w:type="dxa"/>
        <w:jc w:val="center"/>
        <w:tblCellSpacing w:w="0" w:type="dxa"/>
        <w:tblCellMar>
          <w:left w:w="0" w:type="dxa"/>
          <w:right w:w="0" w:type="dxa"/>
        </w:tblCellMar>
        <w:tblLook w:val="04A0" w:firstRow="1" w:lastRow="0" w:firstColumn="1" w:lastColumn="0" w:noHBand="0" w:noVBand="1"/>
      </w:tblPr>
      <w:tblGrid>
        <w:gridCol w:w="7668"/>
      </w:tblGrid>
      <w:tr w:rsidR="00D338FF" w:rsidRPr="001C4942" w:rsidTr="00D338FF">
        <w:trPr>
          <w:trHeight w:val="300"/>
          <w:tblCellSpacing w:w="0" w:type="dxa"/>
          <w:jc w:val="center"/>
        </w:trPr>
        <w:tc>
          <w:tcPr>
            <w:tcW w:w="0" w:type="auto"/>
            <w:vAlign w:val="center"/>
            <w:hideMark/>
          </w:tcPr>
          <w:p w:rsidR="00D338FF" w:rsidRPr="001C4942" w:rsidRDefault="00D338FF" w:rsidP="00D338FF">
            <w:pPr>
              <w:jc w:val="right"/>
              <w:rPr>
                <w:rFonts w:ascii="Palatino Linotype" w:hAnsi="Palatino Linotype"/>
                <w:i/>
              </w:rPr>
            </w:pPr>
            <w:r w:rsidRPr="001C4942">
              <w:rPr>
                <w:rFonts w:ascii="Palatino Linotype" w:hAnsi="Palatino Linotype"/>
                <w:i/>
              </w:rPr>
              <w:t>“Toluca, México a 04 de Agosto de 2025</w:t>
            </w:r>
          </w:p>
        </w:tc>
      </w:tr>
      <w:tr w:rsidR="00D338FF" w:rsidRPr="001C4942" w:rsidTr="00D338FF">
        <w:trPr>
          <w:trHeight w:val="300"/>
          <w:tblCellSpacing w:w="0" w:type="dxa"/>
          <w:jc w:val="center"/>
        </w:trPr>
        <w:tc>
          <w:tcPr>
            <w:tcW w:w="0" w:type="auto"/>
            <w:vAlign w:val="center"/>
            <w:hideMark/>
          </w:tcPr>
          <w:p w:rsidR="00D338FF" w:rsidRPr="001C4942" w:rsidRDefault="00D338FF" w:rsidP="00D338FF">
            <w:pPr>
              <w:jc w:val="right"/>
              <w:rPr>
                <w:rFonts w:ascii="Palatino Linotype" w:hAnsi="Palatino Linotype"/>
                <w:i/>
              </w:rPr>
            </w:pPr>
            <w:r w:rsidRPr="001C4942">
              <w:rPr>
                <w:rFonts w:ascii="Palatino Linotype" w:hAnsi="Palatino Linotype"/>
                <w:i/>
              </w:rPr>
              <w:t>Nombre del solicitante: C. Solicitante</w:t>
            </w:r>
          </w:p>
        </w:tc>
      </w:tr>
      <w:tr w:rsidR="00D338FF" w:rsidRPr="001C4942" w:rsidTr="00D338FF">
        <w:trPr>
          <w:trHeight w:val="300"/>
          <w:tblCellSpacing w:w="0" w:type="dxa"/>
          <w:jc w:val="center"/>
        </w:trPr>
        <w:tc>
          <w:tcPr>
            <w:tcW w:w="0" w:type="auto"/>
            <w:vAlign w:val="center"/>
            <w:hideMark/>
          </w:tcPr>
          <w:p w:rsidR="00D338FF" w:rsidRPr="001C4942" w:rsidRDefault="00D338FF" w:rsidP="00D338FF">
            <w:pPr>
              <w:jc w:val="right"/>
              <w:rPr>
                <w:rFonts w:ascii="Palatino Linotype" w:hAnsi="Palatino Linotype"/>
                <w:i/>
              </w:rPr>
            </w:pPr>
            <w:r w:rsidRPr="001C4942">
              <w:rPr>
                <w:rFonts w:ascii="Palatino Linotype" w:hAnsi="Palatino Linotype"/>
                <w:i/>
              </w:rPr>
              <w:t>Folio de la solicitud: 03751/TOLUCA/IP/2025</w:t>
            </w:r>
          </w:p>
        </w:tc>
      </w:tr>
      <w:tr w:rsidR="00D338FF" w:rsidRPr="001C4942" w:rsidTr="00D338FF">
        <w:trPr>
          <w:trHeight w:val="450"/>
          <w:tblCellSpacing w:w="0" w:type="dxa"/>
          <w:jc w:val="center"/>
        </w:trPr>
        <w:tc>
          <w:tcPr>
            <w:tcW w:w="0" w:type="auto"/>
            <w:vAlign w:val="center"/>
            <w:hideMark/>
          </w:tcPr>
          <w:p w:rsidR="00D338FF" w:rsidRPr="001C4942" w:rsidRDefault="00D338FF" w:rsidP="00D338FF">
            <w:pPr>
              <w:jc w:val="right"/>
              <w:rPr>
                <w:rFonts w:ascii="Palatino Linotype" w:hAnsi="Palatino Linotype"/>
                <w:i/>
              </w:rPr>
            </w:pPr>
          </w:p>
        </w:tc>
      </w:tr>
      <w:tr w:rsidR="00D338FF" w:rsidRPr="001C4942" w:rsidTr="00D338FF">
        <w:trPr>
          <w:trHeight w:val="150"/>
          <w:tblCellSpacing w:w="0" w:type="dxa"/>
          <w:jc w:val="center"/>
        </w:trPr>
        <w:tc>
          <w:tcPr>
            <w:tcW w:w="0" w:type="auto"/>
            <w:vAlign w:val="center"/>
            <w:hideMark/>
          </w:tcPr>
          <w:p w:rsidR="00D338FF" w:rsidRPr="001C4942" w:rsidRDefault="00D338FF" w:rsidP="00D338FF">
            <w:pPr>
              <w:rPr>
                <w:rFonts w:ascii="Palatino Linotype" w:hAnsi="Palatino Linotype"/>
                <w:i/>
              </w:rPr>
            </w:pPr>
            <w:r w:rsidRPr="001C4942">
              <w:rPr>
                <w:rFonts w:ascii="Palatino Linotype" w:hAnsi="Palatino Linotype"/>
                <w:i/>
              </w:rPr>
              <w:t>En respuesta a la solicitud recibida, nos permitimos hacer de su conocimiento que con fundamento en el artículo 53, Fracciones: II, V y VI de la Ley de Transparencia y Acceso a la Información Pública del Estado de México y Municipios, le contestamos que:</w:t>
            </w:r>
          </w:p>
        </w:tc>
      </w:tr>
      <w:tr w:rsidR="00D338FF" w:rsidRPr="001C4942" w:rsidTr="00D338FF">
        <w:trPr>
          <w:trHeight w:val="375"/>
          <w:tblCellSpacing w:w="0" w:type="dxa"/>
          <w:jc w:val="center"/>
        </w:trPr>
        <w:tc>
          <w:tcPr>
            <w:tcW w:w="0" w:type="auto"/>
            <w:vAlign w:val="center"/>
            <w:hideMark/>
          </w:tcPr>
          <w:p w:rsidR="00D338FF" w:rsidRPr="001C4942" w:rsidRDefault="00D338FF" w:rsidP="00D338FF">
            <w:pPr>
              <w:rPr>
                <w:rFonts w:ascii="Palatino Linotype" w:hAnsi="Palatino Linotype"/>
                <w:i/>
              </w:rPr>
            </w:pPr>
          </w:p>
        </w:tc>
      </w:tr>
      <w:tr w:rsidR="00D338FF" w:rsidRPr="001C4942" w:rsidTr="00D338FF">
        <w:trPr>
          <w:trHeight w:val="150"/>
          <w:tblCellSpacing w:w="0" w:type="dxa"/>
          <w:jc w:val="center"/>
        </w:trPr>
        <w:tc>
          <w:tcPr>
            <w:tcW w:w="0" w:type="auto"/>
            <w:vAlign w:val="center"/>
            <w:hideMark/>
          </w:tcPr>
          <w:p w:rsidR="00D338FF" w:rsidRPr="001C4942" w:rsidRDefault="00D338FF" w:rsidP="00D338FF">
            <w:pPr>
              <w:rPr>
                <w:rFonts w:ascii="Palatino Linotype" w:hAnsi="Palatino Linotype"/>
                <w:i/>
              </w:rPr>
            </w:pPr>
            <w:r w:rsidRPr="001C4942">
              <w:rPr>
                <w:rFonts w:ascii="Palatino Linotype" w:hAnsi="Palatino Linotype"/>
                <w:i/>
              </w:rPr>
              <w:t>En atención a la solicitud con folio 03751/TOLUCA/IP/2025, me permito adjuntar al presente la respuesta correspondiente, Sin más por el momento, reciba un saludo.</w:t>
            </w:r>
          </w:p>
        </w:tc>
      </w:tr>
      <w:tr w:rsidR="00D338FF" w:rsidRPr="001C4942" w:rsidTr="00D338FF">
        <w:trPr>
          <w:trHeight w:val="375"/>
          <w:tblCellSpacing w:w="0" w:type="dxa"/>
          <w:jc w:val="center"/>
        </w:trPr>
        <w:tc>
          <w:tcPr>
            <w:tcW w:w="0" w:type="auto"/>
            <w:vAlign w:val="center"/>
            <w:hideMark/>
          </w:tcPr>
          <w:p w:rsidR="00D338FF" w:rsidRPr="001C4942" w:rsidRDefault="00D338FF" w:rsidP="00D338FF">
            <w:pPr>
              <w:rPr>
                <w:rFonts w:ascii="Palatino Linotype" w:hAnsi="Palatino Linotype"/>
                <w:i/>
              </w:rPr>
            </w:pPr>
          </w:p>
        </w:tc>
      </w:tr>
      <w:tr w:rsidR="00D338FF" w:rsidRPr="001C4942" w:rsidTr="00D338FF">
        <w:trPr>
          <w:trHeight w:val="150"/>
          <w:tblCellSpacing w:w="0" w:type="dxa"/>
          <w:jc w:val="center"/>
        </w:trPr>
        <w:tc>
          <w:tcPr>
            <w:tcW w:w="0" w:type="auto"/>
            <w:vAlign w:val="center"/>
            <w:hideMark/>
          </w:tcPr>
          <w:p w:rsidR="00D338FF" w:rsidRPr="001C4942" w:rsidRDefault="00D338FF" w:rsidP="00D338FF">
            <w:pPr>
              <w:jc w:val="center"/>
              <w:rPr>
                <w:rFonts w:ascii="Palatino Linotype" w:hAnsi="Palatino Linotype"/>
                <w:i/>
              </w:rPr>
            </w:pPr>
          </w:p>
        </w:tc>
      </w:tr>
      <w:tr w:rsidR="00D338FF" w:rsidRPr="001C4942" w:rsidTr="00D338FF">
        <w:trPr>
          <w:trHeight w:val="150"/>
          <w:tblCellSpacing w:w="0" w:type="dxa"/>
          <w:jc w:val="center"/>
        </w:trPr>
        <w:tc>
          <w:tcPr>
            <w:tcW w:w="0" w:type="auto"/>
            <w:vAlign w:val="center"/>
            <w:hideMark/>
          </w:tcPr>
          <w:p w:rsidR="00D338FF" w:rsidRPr="001C4942" w:rsidRDefault="00D338FF" w:rsidP="00D338FF">
            <w:pPr>
              <w:rPr>
                <w:rFonts w:ascii="Palatino Linotype" w:hAnsi="Palatino Linotype"/>
                <w:i/>
              </w:rPr>
            </w:pPr>
          </w:p>
        </w:tc>
      </w:tr>
      <w:tr w:rsidR="00D338FF" w:rsidRPr="001C4942" w:rsidTr="00D338FF">
        <w:trPr>
          <w:trHeight w:val="150"/>
          <w:tblCellSpacing w:w="0" w:type="dxa"/>
          <w:jc w:val="center"/>
        </w:trPr>
        <w:tc>
          <w:tcPr>
            <w:tcW w:w="0" w:type="auto"/>
            <w:vAlign w:val="center"/>
            <w:hideMark/>
          </w:tcPr>
          <w:p w:rsidR="00D338FF" w:rsidRPr="001C4942" w:rsidRDefault="00D338FF" w:rsidP="00D338FF">
            <w:pPr>
              <w:rPr>
                <w:rFonts w:ascii="Palatino Linotype" w:hAnsi="Palatino Linotype"/>
                <w:i/>
              </w:rPr>
            </w:pPr>
            <w:r w:rsidRPr="001C4942">
              <w:rPr>
                <w:rFonts w:ascii="Palatino Linotype" w:hAnsi="Palatino Linotype"/>
                <w:i/>
              </w:rPr>
              <w:t>ATENTAMENTE</w:t>
            </w:r>
          </w:p>
        </w:tc>
      </w:tr>
      <w:tr w:rsidR="00D338FF" w:rsidRPr="001C4942" w:rsidTr="00D338FF">
        <w:trPr>
          <w:trHeight w:val="225"/>
          <w:tblCellSpacing w:w="0" w:type="dxa"/>
          <w:jc w:val="center"/>
        </w:trPr>
        <w:tc>
          <w:tcPr>
            <w:tcW w:w="0" w:type="auto"/>
            <w:vAlign w:val="center"/>
            <w:hideMark/>
          </w:tcPr>
          <w:p w:rsidR="00D338FF" w:rsidRPr="001C4942" w:rsidRDefault="00D338FF" w:rsidP="00D338FF">
            <w:pPr>
              <w:rPr>
                <w:rFonts w:ascii="Palatino Linotype" w:hAnsi="Palatino Linotype"/>
                <w:i/>
              </w:rPr>
            </w:pPr>
          </w:p>
        </w:tc>
      </w:tr>
      <w:tr w:rsidR="00D338FF" w:rsidRPr="001C4942" w:rsidTr="00D338FF">
        <w:trPr>
          <w:trHeight w:val="150"/>
          <w:tblCellSpacing w:w="0" w:type="dxa"/>
          <w:jc w:val="center"/>
        </w:trPr>
        <w:tc>
          <w:tcPr>
            <w:tcW w:w="0" w:type="auto"/>
            <w:vAlign w:val="center"/>
            <w:hideMark/>
          </w:tcPr>
          <w:p w:rsidR="00D338FF" w:rsidRPr="001C4942" w:rsidRDefault="00D338FF" w:rsidP="00D338FF">
            <w:pPr>
              <w:rPr>
                <w:rFonts w:ascii="Palatino Linotype" w:hAnsi="Palatino Linotype"/>
                <w:i/>
              </w:rPr>
            </w:pPr>
            <w:r w:rsidRPr="001C4942">
              <w:rPr>
                <w:rFonts w:ascii="Palatino Linotype" w:hAnsi="Palatino Linotype"/>
                <w:i/>
              </w:rPr>
              <w:t>Dr. Nahum Miguel Mendoza Morales”</w:t>
            </w:r>
          </w:p>
        </w:tc>
      </w:tr>
    </w:tbl>
    <w:p w:rsidR="00D338FF" w:rsidRPr="001C4942" w:rsidRDefault="00D338FF" w:rsidP="00D338FF">
      <w:pPr>
        <w:spacing w:line="360" w:lineRule="auto"/>
        <w:jc w:val="both"/>
        <w:rPr>
          <w:rFonts w:ascii="Palatino Linotype" w:eastAsia="Palatino Linotype" w:hAnsi="Palatino Linotype" w:cs="Palatino Linotype"/>
        </w:rPr>
      </w:pPr>
    </w:p>
    <w:p w:rsidR="00D338FF" w:rsidRPr="001C4942" w:rsidRDefault="00D338FF" w:rsidP="00D338FF">
      <w:pPr>
        <w:spacing w:line="360" w:lineRule="auto"/>
        <w:jc w:val="both"/>
        <w:rPr>
          <w:rFonts w:ascii="Palatino Linotype" w:eastAsia="Palatino Linotype" w:hAnsi="Palatino Linotype" w:cs="Palatino Linotype"/>
        </w:rPr>
      </w:pPr>
    </w:p>
    <w:p w:rsidR="00D338FF" w:rsidRPr="001C4942" w:rsidRDefault="00D338FF" w:rsidP="001C4942">
      <w:pPr>
        <w:numPr>
          <w:ilvl w:val="0"/>
          <w:numId w:val="4"/>
        </w:numPr>
        <w:pBdr>
          <w:top w:val="nil"/>
          <w:left w:val="nil"/>
          <w:bottom w:val="nil"/>
          <w:right w:val="nil"/>
          <w:between w:val="nil"/>
        </w:pBdr>
        <w:spacing w:line="360" w:lineRule="auto"/>
        <w:ind w:left="426"/>
        <w:jc w:val="both"/>
        <w:rPr>
          <w:rFonts w:ascii="Palatino Linotype" w:eastAsia="Palatino Linotype" w:hAnsi="Palatino Linotype" w:cs="Palatino Linotype"/>
        </w:rPr>
      </w:pPr>
      <w:r w:rsidRPr="001C4942">
        <w:rPr>
          <w:rFonts w:ascii="Palatino Linotype" w:eastAsia="Palatino Linotype" w:hAnsi="Palatino Linotype" w:cs="Palatino Linotype"/>
        </w:rPr>
        <w:t>A la respuesta se adjuntaron los archivos electrónicos que se describen enseguida:</w:t>
      </w:r>
    </w:p>
    <w:p w:rsidR="00D338FF" w:rsidRPr="001C4942" w:rsidRDefault="001F22F0" w:rsidP="00D338FF">
      <w:pPr>
        <w:pStyle w:val="Prrafodelista"/>
        <w:numPr>
          <w:ilvl w:val="0"/>
          <w:numId w:val="12"/>
        </w:numPr>
        <w:pBdr>
          <w:top w:val="nil"/>
          <w:left w:val="nil"/>
          <w:bottom w:val="nil"/>
          <w:right w:val="nil"/>
          <w:between w:val="nil"/>
        </w:pBdr>
        <w:spacing w:line="360" w:lineRule="auto"/>
        <w:jc w:val="both"/>
        <w:rPr>
          <w:rFonts w:ascii="Palatino Linotype" w:eastAsia="Palatino Linotype" w:hAnsi="Palatino Linotype" w:cs="Palatino Linotype"/>
        </w:rPr>
      </w:pPr>
      <w:hyperlink r:id="rId7" w:tgtFrame="_blank" w:history="1">
        <w:r w:rsidR="00D338FF" w:rsidRPr="001C4942">
          <w:rPr>
            <w:rStyle w:val="Hipervnculo"/>
            <w:rFonts w:ascii="Palatino Linotype" w:eastAsia="Calibri" w:hAnsi="Palatino Linotype" w:cs="Arial"/>
            <w:b/>
            <w:bCs/>
            <w:color w:val="auto"/>
          </w:rPr>
          <w:t>RESPUESTA_SAIMEX_03751_TOLUCA_IP_2025.pdf</w:t>
        </w:r>
      </w:hyperlink>
      <w:r w:rsidR="00D338FF" w:rsidRPr="001C4942">
        <w:rPr>
          <w:rFonts w:ascii="Palatino Linotype" w:hAnsi="Palatino Linotype"/>
        </w:rPr>
        <w:t>: oficio número 207010000/02091/2025 de fecha tres de julio de dos mil veinticinco, suscrito por la Directora General de Medio Ambiente, quien señaló que no encontró información al respecto.</w:t>
      </w:r>
    </w:p>
    <w:p w:rsidR="00D338FF" w:rsidRPr="001C4942" w:rsidRDefault="001F22F0" w:rsidP="00D338FF">
      <w:pPr>
        <w:pStyle w:val="Prrafodelista"/>
        <w:numPr>
          <w:ilvl w:val="0"/>
          <w:numId w:val="12"/>
        </w:numPr>
        <w:pBdr>
          <w:top w:val="nil"/>
          <w:left w:val="nil"/>
          <w:bottom w:val="nil"/>
          <w:right w:val="nil"/>
          <w:between w:val="nil"/>
        </w:pBdr>
        <w:spacing w:line="360" w:lineRule="auto"/>
        <w:jc w:val="both"/>
        <w:rPr>
          <w:rFonts w:ascii="Palatino Linotype" w:eastAsia="Palatino Linotype" w:hAnsi="Palatino Linotype" w:cs="Palatino Linotype"/>
        </w:rPr>
      </w:pPr>
      <w:hyperlink r:id="rId8" w:tgtFrame="_blank" w:history="1">
        <w:r w:rsidR="00D338FF" w:rsidRPr="001C4942">
          <w:rPr>
            <w:rStyle w:val="Hipervnculo"/>
            <w:rFonts w:ascii="Palatino Linotype" w:eastAsia="Calibri" w:hAnsi="Palatino Linotype" w:cs="Arial"/>
            <w:b/>
            <w:bCs/>
            <w:color w:val="auto"/>
          </w:rPr>
          <w:t>SAIMEX 03751.pdf</w:t>
        </w:r>
      </w:hyperlink>
      <w:r w:rsidR="00D338FF" w:rsidRPr="001C4942">
        <w:rPr>
          <w:rFonts w:ascii="Palatino Linotype" w:hAnsi="Palatino Linotype"/>
        </w:rPr>
        <w:t>: oficio número 205015000/2729/2025 de fecha tres de julio de dos mil veinticinco, suscrito por el Director de Sustentabilidad Vial, quien señaló “…</w:t>
      </w:r>
      <w:r w:rsidR="00D338FF" w:rsidRPr="001C4942">
        <w:rPr>
          <w:rFonts w:ascii="Palatino Linotype" w:hAnsi="Palatino Linotype"/>
          <w:i/>
        </w:rPr>
        <w:t xml:space="preserve">por lo que esta Dirección a mi cargo, coadyuva en realizar campañas de socialización, </w:t>
      </w:r>
      <w:r w:rsidR="00D338FF" w:rsidRPr="001C4942">
        <w:rPr>
          <w:rFonts w:ascii="Palatino Linotype" w:hAnsi="Palatino Linotype"/>
          <w:i/>
        </w:rPr>
        <w:lastRenderedPageBreak/>
        <w:t>sensibilización y difusión, con el objetivo de establecer las medidas para limitar la circulación de los vehículos automotores y así poder controlar y reducir la contaminación y contingencia ambiental</w:t>
      </w:r>
      <w:r w:rsidR="00D338FF" w:rsidRPr="001C4942">
        <w:rPr>
          <w:rFonts w:ascii="Palatino Linotype" w:hAnsi="Palatino Linotype"/>
        </w:rPr>
        <w:t xml:space="preserve">”. </w:t>
      </w:r>
    </w:p>
    <w:p w:rsidR="00D338FF" w:rsidRPr="001C4942" w:rsidRDefault="00D338FF" w:rsidP="00D338FF">
      <w:pPr>
        <w:pBdr>
          <w:top w:val="nil"/>
          <w:left w:val="nil"/>
          <w:bottom w:val="nil"/>
          <w:right w:val="nil"/>
          <w:between w:val="nil"/>
        </w:pBdr>
        <w:spacing w:line="360" w:lineRule="auto"/>
        <w:jc w:val="both"/>
        <w:rPr>
          <w:rFonts w:ascii="Palatino Linotype" w:eastAsia="Palatino Linotype" w:hAnsi="Palatino Linotype" w:cs="Palatino Linotype"/>
        </w:rPr>
      </w:pPr>
    </w:p>
    <w:p w:rsidR="00D338FF" w:rsidRPr="001C4942" w:rsidRDefault="00D338FF" w:rsidP="00D338FF">
      <w:pPr>
        <w:numPr>
          <w:ilvl w:val="0"/>
          <w:numId w:val="3"/>
        </w:numPr>
        <w:pBdr>
          <w:top w:val="nil"/>
          <w:left w:val="nil"/>
          <w:bottom w:val="nil"/>
          <w:right w:val="nil"/>
          <w:between w:val="nil"/>
        </w:pBdr>
        <w:spacing w:line="360" w:lineRule="auto"/>
        <w:ind w:left="0" w:firstLine="0"/>
        <w:jc w:val="both"/>
        <w:rPr>
          <w:rFonts w:ascii="Palatino Linotype" w:eastAsia="Palatino Linotype" w:hAnsi="Palatino Linotype" w:cs="Palatino Linotype"/>
        </w:rPr>
      </w:pPr>
      <w:r w:rsidRPr="001C4942">
        <w:rPr>
          <w:rFonts w:ascii="Palatino Linotype" w:eastAsia="Palatino Linotype" w:hAnsi="Palatino Linotype" w:cs="Palatino Linotype"/>
        </w:rPr>
        <w:t xml:space="preserve">El </w:t>
      </w:r>
      <w:r w:rsidR="000E6D27" w:rsidRPr="001C4942">
        <w:rPr>
          <w:rFonts w:ascii="Palatino Linotype" w:eastAsia="Palatino Linotype" w:hAnsi="Palatino Linotype" w:cs="Palatino Linotype"/>
          <w:b/>
          <w:bCs/>
        </w:rPr>
        <w:t>veinticinco</w:t>
      </w:r>
      <w:r w:rsidRPr="001C4942">
        <w:rPr>
          <w:rFonts w:ascii="Palatino Linotype" w:eastAsia="Palatino Linotype" w:hAnsi="Palatino Linotype" w:cs="Palatino Linotype"/>
          <w:b/>
          <w:bCs/>
        </w:rPr>
        <w:t xml:space="preserve"> de agosto de dos mil veinticinco</w:t>
      </w:r>
      <w:r w:rsidRPr="001C4942">
        <w:rPr>
          <w:rFonts w:ascii="Palatino Linotype" w:eastAsia="Palatino Linotype" w:hAnsi="Palatino Linotype" w:cs="Palatino Linotype"/>
        </w:rPr>
        <w:t xml:space="preserve">, </w:t>
      </w:r>
      <w:r w:rsidRPr="001C4942">
        <w:rPr>
          <w:rFonts w:ascii="Palatino Linotype" w:eastAsia="Palatino Linotype" w:hAnsi="Palatino Linotype" w:cs="Palatino Linotype"/>
          <w:b/>
          <w:bCs/>
        </w:rPr>
        <w:t>El Recurrente</w:t>
      </w:r>
      <w:r w:rsidRPr="001C4942">
        <w:rPr>
          <w:rFonts w:ascii="Palatino Linotype" w:eastAsia="Palatino Linotype" w:hAnsi="Palatino Linotype" w:cs="Palatino Linotype"/>
        </w:rPr>
        <w:t xml:space="preserve"> interpuso el recurso de revisión, en contra de la respuesta, señalando como:</w:t>
      </w:r>
    </w:p>
    <w:p w:rsidR="00D338FF" w:rsidRPr="001C4942" w:rsidRDefault="00D338FF" w:rsidP="00D338FF">
      <w:pPr>
        <w:pBdr>
          <w:top w:val="nil"/>
          <w:left w:val="nil"/>
          <w:bottom w:val="nil"/>
          <w:right w:val="nil"/>
          <w:between w:val="nil"/>
        </w:pBdr>
        <w:spacing w:line="360" w:lineRule="auto"/>
        <w:jc w:val="both"/>
        <w:rPr>
          <w:rFonts w:ascii="Palatino Linotype" w:eastAsia="Palatino Linotype" w:hAnsi="Palatino Linotype" w:cs="Palatino Linotype"/>
        </w:rPr>
      </w:pPr>
    </w:p>
    <w:p w:rsidR="00D338FF" w:rsidRPr="001C4942" w:rsidRDefault="001C4942" w:rsidP="00D338FF">
      <w:pPr>
        <w:numPr>
          <w:ilvl w:val="0"/>
          <w:numId w:val="1"/>
        </w:numPr>
        <w:spacing w:line="360" w:lineRule="auto"/>
        <w:ind w:left="851" w:right="822" w:firstLine="0"/>
        <w:jc w:val="both"/>
      </w:pPr>
      <w:r w:rsidRPr="001C4942">
        <w:rPr>
          <w:rFonts w:ascii="Palatino Linotype" w:eastAsia="Palatino Linotype" w:hAnsi="Palatino Linotype" w:cs="Palatino Linotype"/>
          <w:b/>
          <w:bCs/>
        </w:rPr>
        <w:t>ACTO IMPUGNADO</w:t>
      </w:r>
      <w:r w:rsidRPr="001C4942">
        <w:rPr>
          <w:rFonts w:ascii="Palatino Linotype" w:eastAsia="Palatino Linotype" w:hAnsi="Palatino Linotype" w:cs="Palatino Linotype"/>
          <w:b/>
          <w:bCs/>
          <w:i/>
          <w:iCs/>
        </w:rPr>
        <w:t>:</w:t>
      </w:r>
      <w:r w:rsidRPr="001C4942">
        <w:rPr>
          <w:rFonts w:ascii="Palatino Linotype" w:eastAsia="Palatino Linotype" w:hAnsi="Palatino Linotype" w:cs="Palatino Linotype"/>
          <w:i/>
          <w:iCs/>
        </w:rPr>
        <w:t xml:space="preserve"> </w:t>
      </w:r>
      <w:r w:rsidR="00D338FF" w:rsidRPr="001C4942">
        <w:rPr>
          <w:rFonts w:ascii="Palatino Linotype" w:eastAsia="Palatino Linotype" w:hAnsi="Palatino Linotype" w:cs="Palatino Linotype"/>
          <w:i/>
          <w:iCs/>
        </w:rPr>
        <w:t>"</w:t>
      </w:r>
      <w:r w:rsidR="000E6D27" w:rsidRPr="001C4942">
        <w:rPr>
          <w:rFonts w:ascii="Palatino Linotype" w:eastAsia="Palatino Linotype" w:hAnsi="Palatino Linotype" w:cs="Palatino Linotype"/>
          <w:i/>
          <w:iCs/>
        </w:rPr>
        <w:t>NEGATIVA DE LA INFORMACIÓN SE XIGE SE ENTREGUE</w:t>
      </w:r>
      <w:r w:rsidR="00D338FF" w:rsidRPr="001C4942">
        <w:rPr>
          <w:rFonts w:ascii="Palatino Linotype" w:eastAsia="Palatino Linotype" w:hAnsi="Palatino Linotype" w:cs="Palatino Linotype"/>
          <w:i/>
          <w:iCs/>
        </w:rPr>
        <w:t>" (Sic)</w:t>
      </w:r>
    </w:p>
    <w:p w:rsidR="00D338FF" w:rsidRPr="001C4942" w:rsidRDefault="00D338FF" w:rsidP="00D338FF">
      <w:pPr>
        <w:spacing w:line="360" w:lineRule="auto"/>
        <w:ind w:left="851" w:right="822"/>
        <w:jc w:val="both"/>
      </w:pPr>
    </w:p>
    <w:p w:rsidR="00D338FF" w:rsidRPr="001C4942" w:rsidRDefault="001C4942" w:rsidP="00D338FF">
      <w:pPr>
        <w:numPr>
          <w:ilvl w:val="0"/>
          <w:numId w:val="1"/>
        </w:numPr>
        <w:spacing w:line="360" w:lineRule="auto"/>
        <w:ind w:left="851" w:right="822" w:firstLine="0"/>
        <w:jc w:val="both"/>
        <w:rPr>
          <w:rFonts w:ascii="Palatino Linotype" w:eastAsia="Palatino Linotype" w:hAnsi="Palatino Linotype" w:cs="Palatino Linotype"/>
        </w:rPr>
      </w:pPr>
      <w:r w:rsidRPr="001C4942">
        <w:rPr>
          <w:rFonts w:ascii="Palatino Linotype" w:eastAsia="Palatino Linotype" w:hAnsi="Palatino Linotype" w:cs="Palatino Linotype"/>
          <w:b/>
          <w:bCs/>
        </w:rPr>
        <w:t>RAZONES O MOTIVOS DE INCONFORMIDAD</w:t>
      </w:r>
      <w:r w:rsidR="00D338FF" w:rsidRPr="001C4942">
        <w:rPr>
          <w:rFonts w:ascii="Palatino Linotype" w:eastAsia="Palatino Linotype" w:hAnsi="Palatino Linotype" w:cs="Palatino Linotype"/>
          <w:b/>
          <w:bCs/>
        </w:rPr>
        <w:t xml:space="preserve">: </w:t>
      </w:r>
      <w:r w:rsidR="00D338FF" w:rsidRPr="001C4942">
        <w:rPr>
          <w:rFonts w:ascii="Palatino Linotype" w:eastAsia="Palatino Linotype" w:hAnsi="Palatino Linotype" w:cs="Palatino Linotype"/>
          <w:i/>
          <w:iCs/>
        </w:rPr>
        <w:t>"</w:t>
      </w:r>
      <w:r w:rsidR="000E6D27" w:rsidRPr="001C4942">
        <w:rPr>
          <w:rFonts w:ascii="Palatino Linotype" w:eastAsia="Palatino Linotype" w:hAnsi="Palatino Linotype" w:cs="Palatino Linotype"/>
          <w:i/>
          <w:iCs/>
        </w:rPr>
        <w:t>NEGATIVA DE LA INFORMACIÓN SE XIGE SE ENTREGUE</w:t>
      </w:r>
      <w:r w:rsidR="00D338FF" w:rsidRPr="001C4942">
        <w:rPr>
          <w:rFonts w:ascii="Palatino Linotype" w:eastAsia="Palatino Linotype" w:hAnsi="Palatino Linotype" w:cs="Palatino Linotype"/>
          <w:i/>
          <w:iCs/>
        </w:rPr>
        <w:t>" (Sic)</w:t>
      </w:r>
    </w:p>
    <w:p w:rsidR="00D338FF" w:rsidRPr="001C4942" w:rsidRDefault="00D338FF" w:rsidP="00D338FF">
      <w:pPr>
        <w:spacing w:line="360" w:lineRule="auto"/>
        <w:jc w:val="both"/>
        <w:rPr>
          <w:rFonts w:ascii="Palatino Linotype" w:eastAsia="Palatino Linotype" w:hAnsi="Palatino Linotype" w:cs="Palatino Linotype"/>
        </w:rPr>
      </w:pPr>
    </w:p>
    <w:p w:rsidR="00D338FF" w:rsidRPr="001C4942" w:rsidRDefault="00D338FF" w:rsidP="00D338FF">
      <w:pPr>
        <w:numPr>
          <w:ilvl w:val="0"/>
          <w:numId w:val="3"/>
        </w:numPr>
        <w:pBdr>
          <w:top w:val="nil"/>
          <w:left w:val="nil"/>
          <w:bottom w:val="nil"/>
          <w:right w:val="nil"/>
          <w:between w:val="nil"/>
        </w:pBdr>
        <w:spacing w:line="360" w:lineRule="auto"/>
        <w:ind w:left="0" w:firstLine="0"/>
        <w:jc w:val="both"/>
        <w:rPr>
          <w:rFonts w:ascii="Palatino Linotype" w:eastAsia="Palatino Linotype" w:hAnsi="Palatino Linotype" w:cs="Palatino Linotype"/>
        </w:rPr>
      </w:pPr>
      <w:r w:rsidRPr="001C4942">
        <w:rPr>
          <w:rFonts w:ascii="Palatino Linotype" w:eastAsia="Palatino Linotype" w:hAnsi="Palatino Linotype" w:cs="Palatino Linotype"/>
        </w:rPr>
        <w:t xml:space="preserve">Se registró el recurso de revisión bajo el número de expediente al rubro indicado, asimismo con fundamento en lo dispuesto por el artículo 185 fracción I de la </w:t>
      </w:r>
      <w:r w:rsidRPr="001C4942">
        <w:rPr>
          <w:rFonts w:ascii="Palatino Linotype" w:eastAsia="Palatino Linotype" w:hAnsi="Palatino Linotype" w:cs="Palatino Linotype"/>
          <w:b/>
          <w:bCs/>
        </w:rPr>
        <w:t xml:space="preserve">Ley de Transparencia y Acceso a la Información Pública del Estado de México y Municipios </w:t>
      </w:r>
      <w:r w:rsidRPr="001C4942">
        <w:rPr>
          <w:rFonts w:ascii="Palatino Linotype" w:eastAsia="Palatino Linotype" w:hAnsi="Palatino Linotype" w:cs="Palatino Linotype"/>
        </w:rPr>
        <w:t xml:space="preserve">se turna a la </w:t>
      </w:r>
      <w:r w:rsidRPr="001C4942">
        <w:rPr>
          <w:rFonts w:ascii="Palatino Linotype" w:eastAsia="Palatino Linotype" w:hAnsi="Palatino Linotype" w:cs="Palatino Linotype"/>
          <w:b/>
          <w:bCs/>
        </w:rPr>
        <w:t xml:space="preserve">Comisionada María del Rosario Mejía Ayala, </w:t>
      </w:r>
      <w:r w:rsidRPr="001C4942">
        <w:rPr>
          <w:rFonts w:ascii="Palatino Linotype" w:eastAsia="Palatino Linotype" w:hAnsi="Palatino Linotype" w:cs="Palatino Linotype"/>
        </w:rPr>
        <w:t xml:space="preserve">para su análisis. </w:t>
      </w:r>
    </w:p>
    <w:p w:rsidR="00D338FF" w:rsidRPr="001C4942" w:rsidRDefault="00D338FF" w:rsidP="00D338FF">
      <w:pPr>
        <w:pBdr>
          <w:top w:val="nil"/>
          <w:left w:val="nil"/>
          <w:bottom w:val="nil"/>
          <w:right w:val="nil"/>
          <w:between w:val="nil"/>
        </w:pBdr>
        <w:spacing w:line="360" w:lineRule="auto"/>
        <w:jc w:val="both"/>
        <w:rPr>
          <w:rFonts w:ascii="Palatino Linotype" w:eastAsia="Palatino Linotype" w:hAnsi="Palatino Linotype" w:cs="Palatino Linotype"/>
        </w:rPr>
      </w:pPr>
    </w:p>
    <w:p w:rsidR="00D338FF" w:rsidRPr="001C4942" w:rsidRDefault="001C4942" w:rsidP="00D338FF">
      <w:pPr>
        <w:numPr>
          <w:ilvl w:val="0"/>
          <w:numId w:val="3"/>
        </w:numPr>
        <w:pBdr>
          <w:top w:val="nil"/>
          <w:left w:val="nil"/>
          <w:bottom w:val="nil"/>
          <w:right w:val="nil"/>
          <w:between w:val="nil"/>
        </w:pBdr>
        <w:spacing w:line="360" w:lineRule="auto"/>
        <w:ind w:left="0" w:firstLine="0"/>
        <w:jc w:val="both"/>
        <w:rPr>
          <w:rFonts w:ascii="Palatino Linotype" w:eastAsia="Palatino Linotype" w:hAnsi="Palatino Linotype" w:cs="Palatino Linotype"/>
        </w:rPr>
      </w:pPr>
      <w:r>
        <w:rPr>
          <w:rFonts w:ascii="Palatino Linotype" w:eastAsia="Palatino Linotype" w:hAnsi="Palatino Linotype" w:cs="Palatino Linotype"/>
        </w:rPr>
        <w:t>La Comisionada p</w:t>
      </w:r>
      <w:r w:rsidR="00D338FF" w:rsidRPr="001C4942">
        <w:rPr>
          <w:rFonts w:ascii="Palatino Linotype" w:eastAsia="Palatino Linotype" w:hAnsi="Palatino Linotype" w:cs="Palatino Linotype"/>
        </w:rPr>
        <w:t xml:space="preserve">onente con fundamento en lo dispuesto por el artículo 185 fracción II de la ley de la materia, a través del acuerdo de admisión del </w:t>
      </w:r>
      <w:r w:rsidR="00D338FF" w:rsidRPr="001C4942">
        <w:rPr>
          <w:rFonts w:ascii="Palatino Linotype" w:eastAsia="Palatino Linotype" w:hAnsi="Palatino Linotype" w:cs="Palatino Linotype"/>
          <w:b/>
          <w:bCs/>
        </w:rPr>
        <w:t>veintisiete de agosto de dos mil veinticinco</w:t>
      </w:r>
      <w:r w:rsidR="00D338FF" w:rsidRPr="001C4942">
        <w:rPr>
          <w:rFonts w:ascii="Palatino Linotype" w:eastAsia="Palatino Linotype" w:hAnsi="Palatino Linotype" w:cs="Palatino Linotype"/>
        </w:rPr>
        <w:t xml:space="preserve">, puso a disposición de las partes el expediente electrónico vía </w:t>
      </w:r>
      <w:r w:rsidR="00D338FF" w:rsidRPr="001C4942">
        <w:rPr>
          <w:rFonts w:ascii="Palatino Linotype" w:eastAsia="Palatino Linotype" w:hAnsi="Palatino Linotype" w:cs="Palatino Linotype"/>
          <w:b/>
          <w:bCs/>
        </w:rPr>
        <w:t xml:space="preserve">SAIMEX </w:t>
      </w:r>
      <w:r w:rsidR="00D338FF" w:rsidRPr="001C4942">
        <w:rPr>
          <w:rFonts w:ascii="Palatino Linotype" w:eastAsia="Palatino Linotype" w:hAnsi="Palatino Linotype" w:cs="Palatino Linotype"/>
        </w:rPr>
        <w:t xml:space="preserve">a efecto de que en un plazo máximo de siete días manifestara lo que a derecho conviniera, ofreciera pruebas y alegatos según corresponda al caso concreto, de esta forma para que el </w:t>
      </w:r>
      <w:r w:rsidR="00D338FF" w:rsidRPr="001C4942">
        <w:rPr>
          <w:rFonts w:ascii="Palatino Linotype" w:eastAsia="Palatino Linotype" w:hAnsi="Palatino Linotype" w:cs="Palatino Linotype"/>
          <w:b/>
          <w:bCs/>
        </w:rPr>
        <w:t>SUJETO OBLIGADO</w:t>
      </w:r>
      <w:r w:rsidR="00D338FF" w:rsidRPr="001C4942">
        <w:rPr>
          <w:rFonts w:ascii="Palatino Linotype" w:eastAsia="Palatino Linotype" w:hAnsi="Palatino Linotype" w:cs="Palatino Linotype"/>
        </w:rPr>
        <w:t xml:space="preserve"> presentará el informe justificado procedente. </w:t>
      </w:r>
    </w:p>
    <w:p w:rsidR="00D338FF" w:rsidRPr="001C4942" w:rsidRDefault="00D338FF" w:rsidP="00D338FF">
      <w:pPr>
        <w:pBdr>
          <w:top w:val="nil"/>
          <w:left w:val="nil"/>
          <w:bottom w:val="nil"/>
          <w:right w:val="nil"/>
          <w:between w:val="nil"/>
        </w:pBdr>
        <w:ind w:left="720"/>
        <w:rPr>
          <w:rFonts w:ascii="Palatino Linotype" w:eastAsia="Palatino Linotype" w:hAnsi="Palatino Linotype" w:cs="Palatino Linotype"/>
        </w:rPr>
      </w:pPr>
    </w:p>
    <w:p w:rsidR="00D338FF" w:rsidRPr="001C4942" w:rsidRDefault="00D338FF" w:rsidP="00D338FF">
      <w:pPr>
        <w:numPr>
          <w:ilvl w:val="0"/>
          <w:numId w:val="3"/>
        </w:numPr>
        <w:pBdr>
          <w:top w:val="nil"/>
          <w:left w:val="nil"/>
          <w:bottom w:val="nil"/>
          <w:right w:val="nil"/>
          <w:between w:val="nil"/>
        </w:pBdr>
        <w:spacing w:line="360" w:lineRule="auto"/>
        <w:ind w:left="0" w:firstLine="0"/>
        <w:jc w:val="both"/>
        <w:rPr>
          <w:rFonts w:ascii="Palatino Linotype" w:eastAsia="Palatino Linotype" w:hAnsi="Palatino Linotype" w:cs="Palatino Linotype"/>
          <w:b/>
          <w:bCs/>
          <w:i/>
          <w:iCs/>
        </w:rPr>
      </w:pPr>
      <w:r w:rsidRPr="001C4942">
        <w:rPr>
          <w:rFonts w:ascii="Palatino Linotype" w:eastAsia="Palatino Linotype" w:hAnsi="Palatino Linotype" w:cs="Palatino Linotype"/>
        </w:rPr>
        <w:lastRenderedPageBreak/>
        <w:t xml:space="preserve">De las constancias del expediente electrónico SAIMEX se advierte que el Recurrente no realizó manifestaciones; por su parte, el Sujeto Obligado entregó informe justificado el </w:t>
      </w:r>
      <w:r w:rsidRPr="001C4942">
        <w:rPr>
          <w:rFonts w:ascii="Palatino Linotype" w:eastAsia="Palatino Linotype" w:hAnsi="Palatino Linotype" w:cs="Palatino Linotype"/>
          <w:b/>
          <w:bCs/>
        </w:rPr>
        <w:t>cuatro de septiembre de dos mil veinticinco</w:t>
      </w:r>
      <w:r w:rsidRPr="001C4942">
        <w:rPr>
          <w:rFonts w:ascii="Palatino Linotype" w:eastAsia="Palatino Linotype" w:hAnsi="Palatino Linotype" w:cs="Palatino Linotype"/>
        </w:rPr>
        <w:t xml:space="preserve">, mismo que se puso a la vista el </w:t>
      </w:r>
      <w:r w:rsidR="000E6D27" w:rsidRPr="001C4942">
        <w:rPr>
          <w:rFonts w:ascii="Palatino Linotype" w:eastAsia="Palatino Linotype" w:hAnsi="Palatino Linotype" w:cs="Palatino Linotype"/>
          <w:b/>
          <w:bCs/>
        </w:rPr>
        <w:t>veintiséis</w:t>
      </w:r>
      <w:r w:rsidRPr="001C4942">
        <w:rPr>
          <w:rFonts w:ascii="Palatino Linotype" w:eastAsia="Palatino Linotype" w:hAnsi="Palatino Linotype" w:cs="Palatino Linotype"/>
          <w:b/>
          <w:bCs/>
        </w:rPr>
        <w:t xml:space="preserve"> de febrero de dos mil veintiséis</w:t>
      </w:r>
      <w:r w:rsidRPr="001C4942">
        <w:rPr>
          <w:rFonts w:ascii="Palatino Linotype" w:eastAsia="Palatino Linotype" w:hAnsi="Palatino Linotype" w:cs="Palatino Linotype"/>
        </w:rPr>
        <w:t xml:space="preserve"> y que consta de los archivos que se describen enseguida:</w:t>
      </w:r>
    </w:p>
    <w:p w:rsidR="00B02F85" w:rsidRPr="001C4942" w:rsidRDefault="001F22F0" w:rsidP="000E6D27">
      <w:pPr>
        <w:numPr>
          <w:ilvl w:val="0"/>
          <w:numId w:val="7"/>
        </w:numPr>
        <w:pBdr>
          <w:top w:val="nil"/>
          <w:left w:val="nil"/>
          <w:bottom w:val="nil"/>
          <w:right w:val="nil"/>
          <w:between w:val="nil"/>
        </w:pBdr>
        <w:spacing w:line="360" w:lineRule="auto"/>
        <w:jc w:val="both"/>
        <w:rPr>
          <w:rFonts w:ascii="Palatino Linotype" w:eastAsia="Palatino Linotype" w:hAnsi="Palatino Linotype" w:cs="Palatino Linotype"/>
        </w:rPr>
      </w:pPr>
      <w:hyperlink r:id="rId9" w:history="1">
        <w:r w:rsidR="000E6D27" w:rsidRPr="001C4942">
          <w:rPr>
            <w:rStyle w:val="Hipervnculo"/>
            <w:rFonts w:ascii="Palatino Linotype" w:eastAsia="Palatino Linotype" w:hAnsi="Palatino Linotype" w:cs="Palatino Linotype"/>
            <w:b/>
            <w:bCs/>
            <w:color w:val="auto"/>
          </w:rPr>
          <w:t>ANEXOS 09998-2025.pdf</w:t>
        </w:r>
      </w:hyperlink>
      <w:r w:rsidR="000E6D27" w:rsidRPr="001C4942">
        <w:rPr>
          <w:rFonts w:ascii="Palatino Linotype" w:eastAsia="Palatino Linotype" w:hAnsi="Palatino Linotype" w:cs="Palatino Linotype"/>
          <w:bCs/>
        </w:rPr>
        <w:t xml:space="preserve">: </w:t>
      </w:r>
    </w:p>
    <w:p w:rsidR="00B02F85" w:rsidRPr="001C4942" w:rsidRDefault="00B02F85" w:rsidP="00B02F85">
      <w:pPr>
        <w:pStyle w:val="Prrafodelista"/>
        <w:numPr>
          <w:ilvl w:val="0"/>
          <w:numId w:val="12"/>
        </w:numPr>
        <w:pBdr>
          <w:top w:val="nil"/>
          <w:left w:val="nil"/>
          <w:bottom w:val="nil"/>
          <w:right w:val="nil"/>
          <w:between w:val="nil"/>
        </w:pBdr>
        <w:spacing w:line="360" w:lineRule="auto"/>
        <w:jc w:val="both"/>
        <w:rPr>
          <w:rFonts w:ascii="Palatino Linotype" w:eastAsia="Palatino Linotype" w:hAnsi="Palatino Linotype" w:cs="Palatino Linotype"/>
        </w:rPr>
      </w:pPr>
      <w:r w:rsidRPr="001C4942">
        <w:rPr>
          <w:rFonts w:ascii="Palatino Linotype" w:eastAsia="Palatino Linotype" w:hAnsi="Palatino Linotype" w:cs="Palatino Linotype"/>
          <w:bCs/>
        </w:rPr>
        <w:t>O</w:t>
      </w:r>
      <w:r w:rsidR="000E6D27" w:rsidRPr="001C4942">
        <w:rPr>
          <w:rFonts w:ascii="Palatino Linotype" w:eastAsia="Palatino Linotype" w:hAnsi="Palatino Linotype" w:cs="Palatino Linotype"/>
          <w:bCs/>
        </w:rPr>
        <w:t xml:space="preserve">ficio número 205017000/11861/2025 de fecha veintinueve de agosto de dos mil veinticinco, suscrito por la Directora Jurídica quien señaló que se ratifica la respuesta. </w:t>
      </w:r>
    </w:p>
    <w:p w:rsidR="00B02F85" w:rsidRPr="001C4942" w:rsidRDefault="000E6D27" w:rsidP="00B02F85">
      <w:pPr>
        <w:pStyle w:val="Prrafodelista"/>
        <w:numPr>
          <w:ilvl w:val="0"/>
          <w:numId w:val="12"/>
        </w:numPr>
        <w:pBdr>
          <w:top w:val="nil"/>
          <w:left w:val="nil"/>
          <w:bottom w:val="nil"/>
          <w:right w:val="nil"/>
          <w:between w:val="nil"/>
        </w:pBdr>
        <w:spacing w:line="360" w:lineRule="auto"/>
        <w:jc w:val="both"/>
        <w:rPr>
          <w:rFonts w:ascii="Palatino Linotype" w:eastAsia="Palatino Linotype" w:hAnsi="Palatino Linotype" w:cs="Palatino Linotype"/>
        </w:rPr>
      </w:pPr>
      <w:r w:rsidRPr="001C4942">
        <w:rPr>
          <w:rFonts w:ascii="Palatino Linotype" w:eastAsia="Palatino Linotype" w:hAnsi="Palatino Linotype" w:cs="Palatino Linotype"/>
          <w:bCs/>
        </w:rPr>
        <w:t xml:space="preserve">Oficio número 207010000/2702/2025 de fecha primero de septiembre de dos mil veinticinco, suscrito por </w:t>
      </w:r>
      <w:r w:rsidR="00B02F85" w:rsidRPr="001C4942">
        <w:rPr>
          <w:rFonts w:ascii="Palatino Linotype" w:eastAsia="Palatino Linotype" w:hAnsi="Palatino Linotype" w:cs="Palatino Linotype"/>
          <w:bCs/>
        </w:rPr>
        <w:t xml:space="preserve">la Directora General de Medio Ambiente quien ratificó su respuesta. </w:t>
      </w:r>
    </w:p>
    <w:p w:rsidR="000E6D27" w:rsidRPr="001C4942" w:rsidRDefault="00B02F85" w:rsidP="00B02F85">
      <w:pPr>
        <w:pStyle w:val="Prrafodelista"/>
        <w:numPr>
          <w:ilvl w:val="0"/>
          <w:numId w:val="12"/>
        </w:numPr>
        <w:pBdr>
          <w:top w:val="nil"/>
          <w:left w:val="nil"/>
          <w:bottom w:val="nil"/>
          <w:right w:val="nil"/>
          <w:between w:val="nil"/>
        </w:pBdr>
        <w:spacing w:line="360" w:lineRule="auto"/>
        <w:jc w:val="both"/>
        <w:rPr>
          <w:rFonts w:ascii="Palatino Linotype" w:eastAsia="Palatino Linotype" w:hAnsi="Palatino Linotype" w:cs="Palatino Linotype"/>
        </w:rPr>
      </w:pPr>
      <w:r w:rsidRPr="001C4942">
        <w:rPr>
          <w:rFonts w:ascii="Palatino Linotype" w:eastAsia="Palatino Linotype" w:hAnsi="Palatino Linotype" w:cs="Palatino Linotype"/>
          <w:bCs/>
        </w:rPr>
        <w:t xml:space="preserve">Oficio número 207010000/02091/2025 de fecha tres de julio de dos mil veinticinco, suscrito por la Directora General de Medio Ambiente, quien señaló que la información solicitada no es atribución de esa Unidad Administrativa. </w:t>
      </w:r>
    </w:p>
    <w:p w:rsidR="000E6D27" w:rsidRPr="001C4942" w:rsidRDefault="001F22F0" w:rsidP="000E6D27">
      <w:pPr>
        <w:numPr>
          <w:ilvl w:val="0"/>
          <w:numId w:val="7"/>
        </w:numPr>
        <w:pBdr>
          <w:top w:val="nil"/>
          <w:left w:val="nil"/>
          <w:bottom w:val="nil"/>
          <w:right w:val="nil"/>
          <w:between w:val="nil"/>
        </w:pBdr>
        <w:spacing w:line="360" w:lineRule="auto"/>
        <w:jc w:val="both"/>
        <w:rPr>
          <w:rFonts w:ascii="Palatino Linotype" w:eastAsia="Palatino Linotype" w:hAnsi="Palatino Linotype" w:cs="Palatino Linotype"/>
        </w:rPr>
      </w:pPr>
      <w:hyperlink r:id="rId10" w:history="1">
        <w:r w:rsidR="000E6D27" w:rsidRPr="001C4942">
          <w:rPr>
            <w:rStyle w:val="Hipervnculo"/>
            <w:rFonts w:ascii="Palatino Linotype" w:eastAsia="Palatino Linotype" w:hAnsi="Palatino Linotype" w:cs="Palatino Linotype"/>
            <w:b/>
            <w:bCs/>
            <w:color w:val="auto"/>
          </w:rPr>
          <w:t>Ratificación 09998.pdf</w:t>
        </w:r>
      </w:hyperlink>
      <w:r w:rsidR="000E6D27" w:rsidRPr="001C4942">
        <w:rPr>
          <w:rFonts w:ascii="Palatino Linotype" w:eastAsia="Palatino Linotype" w:hAnsi="Palatino Linotype" w:cs="Palatino Linotype"/>
        </w:rPr>
        <w:t>:</w:t>
      </w:r>
      <w:r w:rsidR="00B02F85" w:rsidRPr="001C4942">
        <w:rPr>
          <w:rFonts w:ascii="Palatino Linotype" w:eastAsia="Palatino Linotype" w:hAnsi="Palatino Linotype" w:cs="Palatino Linotype"/>
        </w:rPr>
        <w:t xml:space="preserve"> Oficio de respuesta de fecha tres de septiembre de dos mil veinticinco, suscrito por el Titular de la Unidad de Transparencia, quien señaló que ratifica la respuesta. </w:t>
      </w:r>
    </w:p>
    <w:p w:rsidR="00D338FF" w:rsidRPr="001C4942" w:rsidRDefault="00D338FF" w:rsidP="00B02F85">
      <w:pPr>
        <w:pBdr>
          <w:top w:val="nil"/>
          <w:left w:val="nil"/>
          <w:bottom w:val="nil"/>
          <w:right w:val="nil"/>
          <w:between w:val="nil"/>
        </w:pBdr>
        <w:rPr>
          <w:rFonts w:ascii="Palatino Linotype" w:eastAsia="Palatino Linotype" w:hAnsi="Palatino Linotype" w:cs="Palatino Linotype"/>
          <w:color w:val="000000"/>
        </w:rPr>
      </w:pPr>
    </w:p>
    <w:p w:rsidR="00D338FF" w:rsidRPr="001C4942" w:rsidRDefault="00D338FF" w:rsidP="00D338FF">
      <w:pPr>
        <w:numPr>
          <w:ilvl w:val="0"/>
          <w:numId w:val="3"/>
        </w:numPr>
        <w:pBdr>
          <w:top w:val="nil"/>
          <w:left w:val="nil"/>
          <w:bottom w:val="nil"/>
          <w:right w:val="nil"/>
          <w:between w:val="nil"/>
        </w:pBdr>
        <w:spacing w:line="360" w:lineRule="auto"/>
        <w:ind w:left="0" w:firstLine="0"/>
        <w:jc w:val="both"/>
        <w:rPr>
          <w:rFonts w:ascii="Palatino Linotype" w:eastAsia="Palatino Linotype" w:hAnsi="Palatino Linotype" w:cs="Palatino Linotype"/>
        </w:rPr>
      </w:pPr>
      <w:r w:rsidRPr="001C4942">
        <w:rPr>
          <w:rFonts w:ascii="Palatino Linotype" w:eastAsia="Palatino Linotype" w:hAnsi="Palatino Linotype" w:cs="Palatino Linotype"/>
        </w:rPr>
        <w:t>El</w:t>
      </w:r>
      <w:r w:rsidR="00B02F85" w:rsidRPr="001C4942">
        <w:rPr>
          <w:rFonts w:ascii="Palatino Linotype" w:eastAsia="Palatino Linotype" w:hAnsi="Palatino Linotype" w:cs="Palatino Linotype"/>
        </w:rPr>
        <w:t xml:space="preserve"> </w:t>
      </w:r>
      <w:r w:rsidR="00B02F85" w:rsidRPr="001C4942">
        <w:rPr>
          <w:rFonts w:ascii="Palatino Linotype" w:eastAsia="Palatino Linotype" w:hAnsi="Palatino Linotype" w:cs="Palatino Linotype"/>
          <w:b/>
          <w:bCs/>
        </w:rPr>
        <w:t>veintiséis de enero de dos mil veintiséis</w:t>
      </w:r>
      <w:r w:rsidRPr="001C4942">
        <w:rPr>
          <w:rFonts w:ascii="Palatino Linotype" w:eastAsia="Palatino Linotype" w:hAnsi="Palatino Linotype" w:cs="Palatino Linotype"/>
        </w:rPr>
        <w:t xml:space="preserve">, se notificó el acuerdo mediante el cual se aprobó la ampliación de plazo para emitir resolución. </w:t>
      </w:r>
    </w:p>
    <w:p w:rsidR="00B02F85" w:rsidRPr="001C4942" w:rsidRDefault="00B02F85" w:rsidP="00B02F85">
      <w:pPr>
        <w:pBdr>
          <w:top w:val="nil"/>
          <w:left w:val="nil"/>
          <w:bottom w:val="nil"/>
          <w:right w:val="nil"/>
          <w:between w:val="nil"/>
        </w:pBdr>
        <w:spacing w:line="360" w:lineRule="auto"/>
        <w:jc w:val="both"/>
        <w:rPr>
          <w:rFonts w:ascii="Palatino Linotype" w:eastAsia="Palatino Linotype" w:hAnsi="Palatino Linotype" w:cs="Palatino Linotype"/>
        </w:rPr>
      </w:pPr>
    </w:p>
    <w:p w:rsidR="00B02F85" w:rsidRDefault="00B02F85" w:rsidP="00B02F85">
      <w:pPr>
        <w:numPr>
          <w:ilvl w:val="0"/>
          <w:numId w:val="3"/>
        </w:numPr>
        <w:pBdr>
          <w:top w:val="nil"/>
          <w:left w:val="nil"/>
          <w:bottom w:val="nil"/>
          <w:right w:val="nil"/>
          <w:between w:val="nil"/>
        </w:pBdr>
        <w:spacing w:line="360" w:lineRule="auto"/>
        <w:ind w:left="0" w:firstLine="0"/>
        <w:jc w:val="both"/>
        <w:rPr>
          <w:rFonts w:ascii="Palatino Linotype" w:eastAsia="Palatino Linotype" w:hAnsi="Palatino Linotype" w:cs="Palatino Linotype"/>
        </w:rPr>
      </w:pPr>
      <w:r w:rsidRPr="001C4942">
        <w:rPr>
          <w:rFonts w:ascii="Palatino Linotype" w:eastAsia="Palatino Linotype" w:hAnsi="Palatino Linotype" w:cs="Palatino Linotype"/>
        </w:rPr>
        <w:t xml:space="preserve">El </w:t>
      </w:r>
      <w:r w:rsidRPr="001C4942">
        <w:rPr>
          <w:rFonts w:ascii="Palatino Linotype" w:eastAsia="Palatino Linotype" w:hAnsi="Palatino Linotype" w:cs="Palatino Linotype"/>
          <w:b/>
          <w:bCs/>
        </w:rPr>
        <w:t>cinco de marzo de dos mil veintiséis</w:t>
      </w:r>
      <w:r w:rsidRPr="001C4942">
        <w:rPr>
          <w:rFonts w:ascii="Palatino Linotype" w:eastAsia="Palatino Linotype" w:hAnsi="Palatino Linotype" w:cs="Palatino Linotype"/>
        </w:rPr>
        <w:t xml:space="preserve">, se notificó el acuerdo mediante el cual se decretó el cierre de instrucción. </w:t>
      </w:r>
      <w:r w:rsidR="001C4942">
        <w:rPr>
          <w:rFonts w:ascii="Palatino Linotype" w:eastAsia="Palatino Linotype" w:hAnsi="Palatino Linotype" w:cs="Palatino Linotype"/>
        </w:rPr>
        <w:t>--------------------------------------------------------------------------------</w:t>
      </w:r>
    </w:p>
    <w:p w:rsidR="001C4942" w:rsidRDefault="001C4942" w:rsidP="001C4942">
      <w:pPr>
        <w:pStyle w:val="Prrafodelista"/>
        <w:rPr>
          <w:rFonts w:ascii="Palatino Linotype" w:eastAsia="Palatino Linotype" w:hAnsi="Palatino Linotype" w:cs="Palatino Linotype"/>
        </w:rPr>
      </w:pPr>
    </w:p>
    <w:p w:rsidR="001C4942" w:rsidRPr="001C4942" w:rsidRDefault="001C4942" w:rsidP="001C4942">
      <w:pPr>
        <w:pBdr>
          <w:top w:val="nil"/>
          <w:left w:val="nil"/>
          <w:bottom w:val="nil"/>
          <w:right w:val="nil"/>
          <w:between w:val="nil"/>
        </w:pBdr>
        <w:spacing w:line="360" w:lineRule="auto"/>
        <w:jc w:val="both"/>
        <w:rPr>
          <w:rFonts w:ascii="Palatino Linotype" w:eastAsia="Palatino Linotype" w:hAnsi="Palatino Linotype" w:cs="Palatino Linotype"/>
        </w:rPr>
      </w:pPr>
    </w:p>
    <w:p w:rsidR="00D338FF" w:rsidRPr="001C4942" w:rsidRDefault="00D338FF" w:rsidP="00D338FF">
      <w:pPr>
        <w:spacing w:line="360" w:lineRule="auto"/>
        <w:jc w:val="center"/>
        <w:rPr>
          <w:rFonts w:ascii="Palatino Linotype" w:eastAsia="Palatino Linotype" w:hAnsi="Palatino Linotype" w:cs="Palatino Linotype"/>
        </w:rPr>
      </w:pPr>
      <w:bookmarkStart w:id="1" w:name="_heading=h.1fob9te" w:colFirst="0" w:colLast="0"/>
      <w:bookmarkEnd w:id="1"/>
      <w:r w:rsidRPr="001C4942">
        <w:rPr>
          <w:rFonts w:ascii="Palatino Linotype" w:eastAsia="Palatino Linotype" w:hAnsi="Palatino Linotype" w:cs="Palatino Linotype"/>
          <w:b/>
          <w:bCs/>
        </w:rPr>
        <w:lastRenderedPageBreak/>
        <w:t>C O N S I D E R A N D O</w:t>
      </w:r>
    </w:p>
    <w:p w:rsidR="00D338FF" w:rsidRPr="001C4942" w:rsidRDefault="00D338FF" w:rsidP="00D338FF">
      <w:pPr>
        <w:spacing w:line="360" w:lineRule="auto"/>
        <w:jc w:val="center"/>
        <w:rPr>
          <w:rFonts w:ascii="Palatino Linotype" w:eastAsia="Palatino Linotype" w:hAnsi="Palatino Linotype" w:cs="Palatino Linotype"/>
        </w:rPr>
      </w:pPr>
    </w:p>
    <w:p w:rsidR="00D338FF" w:rsidRPr="001C4942" w:rsidRDefault="00D338FF" w:rsidP="00D338FF">
      <w:pPr>
        <w:spacing w:line="360" w:lineRule="auto"/>
        <w:jc w:val="both"/>
        <w:rPr>
          <w:rFonts w:ascii="Palatino Linotype" w:eastAsia="Palatino Linotype" w:hAnsi="Palatino Linotype" w:cs="Palatino Linotype"/>
          <w:b/>
          <w:bCs/>
        </w:rPr>
      </w:pPr>
      <w:bookmarkStart w:id="2" w:name="_heading=h.3znysh7" w:colFirst="0" w:colLast="0"/>
      <w:bookmarkEnd w:id="2"/>
      <w:r w:rsidRPr="001C4942">
        <w:rPr>
          <w:rFonts w:ascii="Palatino Linotype" w:eastAsia="Palatino Linotype" w:hAnsi="Palatino Linotype" w:cs="Palatino Linotype"/>
          <w:b/>
          <w:bCs/>
        </w:rPr>
        <w:t>PRIMERO. De la competencia</w:t>
      </w:r>
    </w:p>
    <w:p w:rsidR="00D338FF" w:rsidRPr="001C4942" w:rsidRDefault="00D338FF" w:rsidP="00D338FF">
      <w:pPr>
        <w:numPr>
          <w:ilvl w:val="0"/>
          <w:numId w:val="3"/>
        </w:numPr>
        <w:pBdr>
          <w:top w:val="nil"/>
          <w:left w:val="nil"/>
          <w:bottom w:val="nil"/>
          <w:right w:val="nil"/>
          <w:between w:val="nil"/>
        </w:pBdr>
        <w:spacing w:before="240" w:line="360" w:lineRule="auto"/>
        <w:ind w:left="0" w:firstLine="0"/>
        <w:jc w:val="both"/>
        <w:rPr>
          <w:rFonts w:ascii="Palatino Linotype" w:eastAsia="Palatino Linotype" w:hAnsi="Palatino Linotype" w:cs="Palatino Linotype"/>
        </w:rPr>
      </w:pPr>
      <w:r w:rsidRPr="001C4942">
        <w:rPr>
          <w:rFonts w:ascii="Palatino Linotype" w:eastAsia="Palatino Linotype" w:hAnsi="Palatino Linotype" w:cs="Palatino Linotype"/>
        </w:rPr>
        <w:t>Este Instituto de Transparencia, Acceso a la Información Pública y Protección de Datos Personales del Estado de México y Municipios, es competente para conocer y resolver del presente recurso de conformidad con el artículo: 6, apartado A, fracción IV de la Constitución Política de los Estados Unidos Mexicanos; 5, párrafos trigésimo noveno, cuadragésimo y cuadragésimo primero fracciones IV y V, de la Constitución Política del Estado Libre y Soberano de México; artículos 1, 2 fracción II, 13, 29, 36 fracciones I y II, 176, 178, 179, 181 párrafo tercero y 185 de la Ley de Transparencia y Acceso a la Información Pública del Estado de México y Municipios; y 7, 9 fracciones I y XXIII, y 11 del Reglamento Interior del Instituto de Transparencia, Acceso a la Información Pública y Protección de Datos Personales del Estado de México y Municipios.</w:t>
      </w:r>
    </w:p>
    <w:p w:rsidR="00D338FF" w:rsidRPr="001C4942" w:rsidRDefault="00D338FF" w:rsidP="00D338FF">
      <w:pPr>
        <w:keepNext/>
        <w:keepLines/>
        <w:spacing w:line="360" w:lineRule="auto"/>
        <w:rPr>
          <w:rFonts w:ascii="Palatino Linotype" w:eastAsia="Palatino Linotype" w:hAnsi="Palatino Linotype" w:cs="Palatino Linotype"/>
        </w:rPr>
      </w:pPr>
      <w:bookmarkStart w:id="3" w:name="_heading=h.2et92p0" w:colFirst="0" w:colLast="0"/>
      <w:bookmarkEnd w:id="3"/>
    </w:p>
    <w:p w:rsidR="00D338FF" w:rsidRPr="001C4942" w:rsidRDefault="00D338FF" w:rsidP="00D338FF">
      <w:pPr>
        <w:keepNext/>
        <w:keepLines/>
        <w:spacing w:line="360" w:lineRule="auto"/>
        <w:rPr>
          <w:rFonts w:ascii="Palatino Linotype" w:eastAsia="Palatino Linotype" w:hAnsi="Palatino Linotype" w:cs="Palatino Linotype"/>
          <w:b/>
          <w:bCs/>
        </w:rPr>
      </w:pPr>
      <w:r w:rsidRPr="001C4942">
        <w:rPr>
          <w:rFonts w:ascii="Palatino Linotype" w:eastAsia="Palatino Linotype" w:hAnsi="Palatino Linotype" w:cs="Palatino Linotype"/>
          <w:b/>
          <w:bCs/>
        </w:rPr>
        <w:t>SEGUNDO. De la oportunidad y procedencia.</w:t>
      </w:r>
    </w:p>
    <w:p w:rsidR="00D338FF" w:rsidRPr="001C4942" w:rsidRDefault="00D338FF" w:rsidP="00D338FF">
      <w:pPr>
        <w:numPr>
          <w:ilvl w:val="0"/>
          <w:numId w:val="3"/>
        </w:numPr>
        <w:pBdr>
          <w:top w:val="nil"/>
          <w:left w:val="nil"/>
          <w:bottom w:val="nil"/>
          <w:right w:val="nil"/>
          <w:between w:val="nil"/>
        </w:pBdr>
        <w:spacing w:line="360" w:lineRule="auto"/>
        <w:ind w:left="0" w:firstLine="0"/>
        <w:jc w:val="both"/>
        <w:rPr>
          <w:rFonts w:ascii="Palatino Linotype" w:eastAsia="Palatino Linotype" w:hAnsi="Palatino Linotype" w:cs="Palatino Linotype"/>
        </w:rPr>
      </w:pPr>
      <w:r w:rsidRPr="001C4942">
        <w:rPr>
          <w:rFonts w:ascii="Palatino Linotype" w:eastAsia="Palatino Linotype" w:hAnsi="Palatino Linotype" w:cs="Palatino Linotype"/>
        </w:rPr>
        <w:t xml:space="preserve">El medio de impugnación fue presentado a través del </w:t>
      </w:r>
      <w:r w:rsidRPr="001C4942">
        <w:rPr>
          <w:rFonts w:ascii="Palatino Linotype" w:eastAsia="Palatino Linotype" w:hAnsi="Palatino Linotype" w:cs="Palatino Linotype"/>
          <w:b/>
          <w:bCs/>
        </w:rPr>
        <w:t>SAIMEX,</w:t>
      </w:r>
      <w:r w:rsidRPr="001C4942">
        <w:rPr>
          <w:rFonts w:ascii="Palatino Linotype" w:eastAsia="Palatino Linotype" w:hAnsi="Palatino Linotype" w:cs="Palatino Linotype"/>
        </w:rPr>
        <w:t xml:space="preserve"> en el formato previamente aprobado para tal efecto y dentro del plazo legal de quince días hábiles otorgados; siendo así que el </w:t>
      </w:r>
      <w:r w:rsidRPr="001C4942">
        <w:rPr>
          <w:rFonts w:ascii="Palatino Linotype" w:eastAsia="Palatino Linotype" w:hAnsi="Palatino Linotype" w:cs="Palatino Linotype"/>
          <w:b/>
          <w:bCs/>
        </w:rPr>
        <w:t>SUJETO OBLIGADO</w:t>
      </w:r>
      <w:r w:rsidRPr="001C4942">
        <w:rPr>
          <w:rFonts w:ascii="Palatino Linotype" w:eastAsia="Palatino Linotype" w:hAnsi="Palatino Linotype" w:cs="Palatino Linotype"/>
        </w:rPr>
        <w:t xml:space="preserve"> entregó respuesta a la solicitud el día </w:t>
      </w:r>
      <w:r w:rsidR="00B02F85" w:rsidRPr="001C4942">
        <w:rPr>
          <w:rFonts w:ascii="Palatino Linotype" w:eastAsia="Palatino Linotype" w:hAnsi="Palatino Linotype" w:cs="Palatino Linotype"/>
          <w:b/>
          <w:bCs/>
        </w:rPr>
        <w:t>cuatro</w:t>
      </w:r>
      <w:r w:rsidRPr="001C4942">
        <w:rPr>
          <w:rFonts w:ascii="Palatino Linotype" w:eastAsia="Palatino Linotype" w:hAnsi="Palatino Linotype" w:cs="Palatino Linotype"/>
          <w:b/>
          <w:bCs/>
        </w:rPr>
        <w:t xml:space="preserve"> de agosto de dos mil veinticinco</w:t>
      </w:r>
      <w:r w:rsidRPr="001C4942">
        <w:rPr>
          <w:rFonts w:ascii="Palatino Linotype" w:eastAsia="Palatino Linotype" w:hAnsi="Palatino Linotype" w:cs="Palatino Linotype"/>
        </w:rPr>
        <w:t>, de tal forma que el plazo para interponer el recurso de revisión transcurrió del</w:t>
      </w:r>
      <w:r w:rsidRPr="001C4942">
        <w:rPr>
          <w:rFonts w:ascii="Palatino Linotype" w:eastAsia="Palatino Linotype" w:hAnsi="Palatino Linotype" w:cs="Palatino Linotype"/>
          <w:b/>
          <w:bCs/>
        </w:rPr>
        <w:t xml:space="preserve"> </w:t>
      </w:r>
      <w:r w:rsidR="00B02F85" w:rsidRPr="001C4942">
        <w:rPr>
          <w:rFonts w:ascii="Palatino Linotype" w:eastAsia="Palatino Linotype" w:hAnsi="Palatino Linotype" w:cs="Palatino Linotype"/>
          <w:b/>
          <w:bCs/>
        </w:rPr>
        <w:t xml:space="preserve">cinco al </w:t>
      </w:r>
      <w:r w:rsidR="00E37F67" w:rsidRPr="001C4942">
        <w:rPr>
          <w:rFonts w:ascii="Palatino Linotype" w:eastAsia="Palatino Linotype" w:hAnsi="Palatino Linotype" w:cs="Palatino Linotype"/>
          <w:b/>
          <w:bCs/>
        </w:rPr>
        <w:t xml:space="preserve">veinticinco </w:t>
      </w:r>
      <w:r w:rsidRPr="001C4942">
        <w:rPr>
          <w:rFonts w:ascii="Palatino Linotype" w:eastAsia="Palatino Linotype" w:hAnsi="Palatino Linotype" w:cs="Palatino Linotype"/>
          <w:b/>
          <w:bCs/>
        </w:rPr>
        <w:t>de agosto de dos mil veinticinco</w:t>
      </w:r>
      <w:r w:rsidRPr="001C4942">
        <w:rPr>
          <w:rFonts w:ascii="Palatino Linotype" w:eastAsia="Palatino Linotype" w:hAnsi="Palatino Linotype" w:cs="Palatino Linotype"/>
        </w:rPr>
        <w:t xml:space="preserve">; en consecuencia, presentó su inconformidad el día </w:t>
      </w:r>
      <w:r w:rsidRPr="001C4942">
        <w:rPr>
          <w:rFonts w:ascii="Palatino Linotype" w:eastAsia="Palatino Linotype" w:hAnsi="Palatino Linotype" w:cs="Palatino Linotype"/>
          <w:b/>
          <w:bCs/>
        </w:rPr>
        <w:t>veinti</w:t>
      </w:r>
      <w:r w:rsidR="00E37F67" w:rsidRPr="001C4942">
        <w:rPr>
          <w:rFonts w:ascii="Palatino Linotype" w:eastAsia="Palatino Linotype" w:hAnsi="Palatino Linotype" w:cs="Palatino Linotype"/>
          <w:b/>
          <w:bCs/>
        </w:rPr>
        <w:t>cinco</w:t>
      </w:r>
      <w:r w:rsidRPr="001C4942">
        <w:rPr>
          <w:rFonts w:ascii="Palatino Linotype" w:eastAsia="Palatino Linotype" w:hAnsi="Palatino Linotype" w:cs="Palatino Linotype"/>
          <w:b/>
          <w:bCs/>
        </w:rPr>
        <w:t xml:space="preserve"> de agosto de dos mil veintiséis</w:t>
      </w:r>
      <w:r w:rsidRPr="001C4942">
        <w:rPr>
          <w:rFonts w:ascii="Palatino Linotype" w:eastAsia="Palatino Linotype" w:hAnsi="Palatino Linotype" w:cs="Palatino Linotype"/>
        </w:rPr>
        <w:t xml:space="preserve">, por lo que se encuentra dentro de los márgenes temporales previstos en el artículo 178 de la </w:t>
      </w:r>
      <w:r w:rsidRPr="001C4942">
        <w:rPr>
          <w:rFonts w:ascii="Palatino Linotype" w:eastAsia="Palatino Linotype" w:hAnsi="Palatino Linotype" w:cs="Palatino Linotype"/>
          <w:b/>
          <w:bCs/>
        </w:rPr>
        <w:t xml:space="preserve">Ley de Transparencia y Acceso a la Información Pública del Estado de México y Municipios </w:t>
      </w:r>
      <w:r w:rsidRPr="001C4942">
        <w:rPr>
          <w:rFonts w:ascii="Palatino Linotype" w:eastAsia="Palatino Linotype" w:hAnsi="Palatino Linotype" w:cs="Palatino Linotype"/>
        </w:rPr>
        <w:t>vigente.</w:t>
      </w:r>
    </w:p>
    <w:p w:rsidR="00E37F67" w:rsidRPr="001C4942" w:rsidRDefault="00E37F67" w:rsidP="00E37F67">
      <w:pPr>
        <w:numPr>
          <w:ilvl w:val="0"/>
          <w:numId w:val="3"/>
        </w:numPr>
        <w:spacing w:line="360" w:lineRule="auto"/>
        <w:ind w:left="0" w:firstLine="0"/>
        <w:contextualSpacing/>
        <w:jc w:val="both"/>
        <w:rPr>
          <w:rFonts w:ascii="Palatino Linotype" w:eastAsia="Calibri" w:hAnsi="Palatino Linotype" w:cs="Arial"/>
          <w:lang w:val="es-ES_tradnl" w:eastAsia="es-ES"/>
        </w:rPr>
      </w:pPr>
      <w:r w:rsidRPr="001C4942">
        <w:rPr>
          <w:rFonts w:ascii="Palatino Linotype" w:eastAsia="Calibri" w:hAnsi="Palatino Linotype" w:cs="Arial"/>
          <w:lang w:val="es-ES_tradnl" w:eastAsia="es-ES"/>
        </w:rPr>
        <w:lastRenderedPageBreak/>
        <w:t xml:space="preserve">Por otra parte, de la revisión al expediente electrónico del </w:t>
      </w:r>
      <w:r w:rsidRPr="001C4942">
        <w:rPr>
          <w:rFonts w:ascii="Palatino Linotype" w:eastAsia="Calibri" w:hAnsi="Palatino Linotype" w:cs="Arial"/>
          <w:b/>
          <w:lang w:val="es-ES_tradnl" w:eastAsia="es-ES"/>
        </w:rPr>
        <w:t>SAIMEX</w:t>
      </w:r>
      <w:r w:rsidRPr="001C4942">
        <w:rPr>
          <w:rFonts w:ascii="Palatino Linotype" w:eastAsia="Calibri" w:hAnsi="Palatino Linotype" w:cs="Arial"/>
          <w:lang w:val="es-ES_tradnl" w:eastAsia="es-ES"/>
        </w:rPr>
        <w:t xml:space="preserve"> se desprende que la parte solicitante en ejercicio de su derecho de acceso a la información pública en el expediente que se revisa, tanto en la solicitud de información como en el recurso de revisión no proporciona su nombre completo para que sea identificado, ni se tiene la certeza sobre su identidad; sin embargo, es importante señalar también que el nombre de los solicitantes y recurrentes no es requisito indispensable para la tramitación del acto procesal específico en materia de acceso a la información, ello en estricto apego al numeral 155 párrafo tercero de la Ley de la materia, en concatenación con el 180 del mismo ordenamiento.</w:t>
      </w:r>
    </w:p>
    <w:p w:rsidR="00E37F67" w:rsidRPr="001C4942" w:rsidRDefault="00E37F67" w:rsidP="00E37F67">
      <w:pPr>
        <w:pStyle w:val="Prrafodelista"/>
        <w:ind w:left="0"/>
        <w:rPr>
          <w:rFonts w:ascii="Palatino Linotype" w:eastAsia="Calibri" w:hAnsi="Palatino Linotype" w:cs="Arial"/>
          <w:lang w:val="es-ES_tradnl" w:eastAsia="es-ES"/>
        </w:rPr>
      </w:pPr>
    </w:p>
    <w:p w:rsidR="00E37F67" w:rsidRPr="001C4942" w:rsidRDefault="00E37F67" w:rsidP="00E37F67">
      <w:pPr>
        <w:numPr>
          <w:ilvl w:val="0"/>
          <w:numId w:val="3"/>
        </w:numPr>
        <w:spacing w:line="360" w:lineRule="auto"/>
        <w:ind w:left="0" w:firstLine="0"/>
        <w:contextualSpacing/>
        <w:jc w:val="both"/>
        <w:rPr>
          <w:rFonts w:ascii="Palatino Linotype" w:eastAsia="Calibri" w:hAnsi="Palatino Linotype" w:cs="Arial"/>
          <w:lang w:val="es-ES_tradnl" w:eastAsia="es-ES"/>
        </w:rPr>
      </w:pPr>
      <w:r w:rsidRPr="001C4942">
        <w:rPr>
          <w:rFonts w:ascii="Palatino Linotype" w:eastAsia="Calibri" w:hAnsi="Palatino Linotype" w:cs="Arial"/>
          <w:lang w:val="es-ES_tradnl" w:eastAsia="es-ES"/>
        </w:rPr>
        <w:t xml:space="preserve">Esto es así, ya que de conformidad con los artículos 6, Apartado A, fracciones III y IV de la Constitución Política de los Estados Unidos Mexicanos y </w:t>
      </w:r>
      <w:r w:rsidRPr="001C4942">
        <w:rPr>
          <w:rFonts w:ascii="Palatino Linotype" w:eastAsia="Calibri" w:hAnsi="Palatino Linotype" w:cs="Arial"/>
          <w:bCs/>
          <w:lang w:val="es-ES" w:eastAsia="es-ES"/>
        </w:rPr>
        <w:t>5, párrafos vigésimo, vigésimo primero y vigésimo segundo fracciones IV y V </w:t>
      </w:r>
      <w:r w:rsidRPr="001C4942">
        <w:rPr>
          <w:rFonts w:ascii="Palatino Linotype" w:eastAsia="Calibri" w:hAnsi="Palatino Linotype" w:cs="Arial"/>
          <w:lang w:val="es-ES_tradnl" w:eastAsia="es-ES"/>
        </w:rPr>
        <w:t>de la Constitución Política del Estado Libre y Soberano de México, se establece que toda persona, sin necesidad de acreditar interés alguno o justificar su utilización, tendrá acceso gratuito a la información pública, a sus datos personales o a la rectificación de éstos, además de que se establecerán mecanismos de acceso a la información y procedimientos de revisión expeditos que se sustanciarán ante los organismos autónomos especializados e imparciales que establece la Constitución Federal y local.</w:t>
      </w:r>
    </w:p>
    <w:p w:rsidR="00E37F67" w:rsidRPr="001C4942" w:rsidRDefault="00E37F67" w:rsidP="00E37F67">
      <w:pPr>
        <w:pStyle w:val="Prrafodelista"/>
        <w:ind w:left="0"/>
        <w:rPr>
          <w:rFonts w:ascii="Palatino Linotype" w:eastAsia="Calibri" w:hAnsi="Palatino Linotype" w:cs="Arial"/>
          <w:lang w:val="es-ES_tradnl" w:eastAsia="es-ES"/>
        </w:rPr>
      </w:pPr>
    </w:p>
    <w:p w:rsidR="00E37F67" w:rsidRPr="001C4942" w:rsidRDefault="00E37F67" w:rsidP="00E37F67">
      <w:pPr>
        <w:numPr>
          <w:ilvl w:val="0"/>
          <w:numId w:val="3"/>
        </w:numPr>
        <w:spacing w:line="360" w:lineRule="auto"/>
        <w:ind w:left="0" w:firstLine="0"/>
        <w:contextualSpacing/>
        <w:jc w:val="both"/>
        <w:rPr>
          <w:rFonts w:ascii="Palatino Linotype" w:eastAsia="Calibri" w:hAnsi="Palatino Linotype" w:cs="Arial"/>
          <w:lang w:val="es-ES_tradnl" w:eastAsia="es-ES"/>
        </w:rPr>
      </w:pPr>
      <w:r w:rsidRPr="001C4942">
        <w:rPr>
          <w:rFonts w:ascii="Palatino Linotype" w:eastAsia="Calibri" w:hAnsi="Palatino Linotype" w:cs="Arial"/>
          <w:lang w:val="es-ES_tradnl" w:eastAsia="es-ES"/>
        </w:rPr>
        <w:t xml:space="preserve">Por lo cual, de una interpretación sistemática, armónica y progresiva del derecho humano de acceso a la información pública se aprecia que toda persona, sin necesidad de acreditar interés alguno o justificar su utilización, deberá tener acceso a la información pública, es decir, dicho derecho fundamental exime a quien lo ejerce, de acreditar su legitimación en la causa o su interés en el asunto, lo que permite la posibilidad de que </w:t>
      </w:r>
      <w:r w:rsidRPr="001C4942">
        <w:rPr>
          <w:rFonts w:ascii="Palatino Linotype" w:eastAsia="Calibri" w:hAnsi="Palatino Linotype" w:cs="Arial"/>
          <w:lang w:val="es-ES_tradnl" w:eastAsia="es-ES"/>
        </w:rPr>
        <w:lastRenderedPageBreak/>
        <w:t>inclusive, la solicitud de acceso a la información pueda ser anón</w:t>
      </w:r>
      <w:bookmarkStart w:id="4" w:name="_GoBack"/>
      <w:bookmarkEnd w:id="4"/>
      <w:r w:rsidRPr="001C4942">
        <w:rPr>
          <w:rFonts w:ascii="Palatino Linotype" w:eastAsia="Calibri" w:hAnsi="Palatino Linotype" w:cs="Arial"/>
          <w:lang w:val="es-ES_tradnl" w:eastAsia="es-ES"/>
        </w:rPr>
        <w:t>ima o no contener un nombre que identifique al solicitante o que permita tener certeza sobre su identidad.</w:t>
      </w:r>
    </w:p>
    <w:p w:rsidR="00E37F67" w:rsidRPr="001C4942" w:rsidRDefault="00E37F67" w:rsidP="00E37F67">
      <w:pPr>
        <w:pStyle w:val="Prrafodelista"/>
        <w:ind w:left="0"/>
        <w:rPr>
          <w:rFonts w:ascii="Palatino Linotype" w:eastAsia="Calibri" w:hAnsi="Palatino Linotype" w:cs="Arial"/>
          <w:lang w:val="es-ES_tradnl" w:eastAsia="es-ES"/>
        </w:rPr>
      </w:pPr>
    </w:p>
    <w:p w:rsidR="00E37F67" w:rsidRPr="001C4942" w:rsidRDefault="00E37F67" w:rsidP="00E37F67">
      <w:pPr>
        <w:numPr>
          <w:ilvl w:val="0"/>
          <w:numId w:val="3"/>
        </w:numPr>
        <w:spacing w:line="360" w:lineRule="auto"/>
        <w:ind w:left="0" w:firstLine="0"/>
        <w:contextualSpacing/>
        <w:jc w:val="both"/>
        <w:rPr>
          <w:rFonts w:ascii="Palatino Linotype" w:eastAsia="Calibri" w:hAnsi="Palatino Linotype" w:cs="Arial"/>
          <w:lang w:val="es-ES_tradnl" w:eastAsia="es-ES"/>
        </w:rPr>
      </w:pPr>
      <w:r w:rsidRPr="001C4942">
        <w:rPr>
          <w:rFonts w:ascii="Palatino Linotype" w:eastAsia="Calibri" w:hAnsi="Palatino Linotype" w:cs="Arial"/>
          <w:lang w:val="es-ES_tradnl" w:eastAsia="es-ES"/>
        </w:rPr>
        <w:t>En ese entendido, se omite un análisis más profundo en torno a los conceptos de interés jurídico y legitimación, debido a que se estima que a ningún efecto práctico conduciría, puesto que la propia estructura del derecho fundamental bajo análisis no lo exige.</w:t>
      </w:r>
    </w:p>
    <w:p w:rsidR="00E37F67" w:rsidRPr="001C4942" w:rsidRDefault="00E37F67" w:rsidP="00E37F67">
      <w:pPr>
        <w:pStyle w:val="Prrafodelista"/>
        <w:ind w:left="0"/>
        <w:rPr>
          <w:rFonts w:ascii="Palatino Linotype" w:eastAsia="Calibri" w:hAnsi="Palatino Linotype" w:cs="Arial"/>
          <w:lang w:val="es-ES_tradnl" w:eastAsia="es-ES"/>
        </w:rPr>
      </w:pPr>
    </w:p>
    <w:p w:rsidR="00E37F67" w:rsidRPr="001C4942" w:rsidRDefault="00E37F67" w:rsidP="00E37F67">
      <w:pPr>
        <w:numPr>
          <w:ilvl w:val="0"/>
          <w:numId w:val="3"/>
        </w:numPr>
        <w:spacing w:line="360" w:lineRule="auto"/>
        <w:ind w:left="0" w:firstLine="0"/>
        <w:contextualSpacing/>
        <w:jc w:val="both"/>
        <w:rPr>
          <w:rFonts w:ascii="Palatino Linotype" w:eastAsia="Calibri" w:hAnsi="Palatino Linotype" w:cs="Arial"/>
          <w:lang w:val="es-ES_tradnl" w:eastAsia="es-ES"/>
        </w:rPr>
      </w:pPr>
      <w:r w:rsidRPr="001C4942">
        <w:rPr>
          <w:rFonts w:ascii="Palatino Linotype" w:eastAsia="Calibri" w:hAnsi="Palatino Linotype" w:cs="Arial"/>
          <w:lang w:val="es-ES_tradnl" w:eastAsia="es-ES"/>
        </w:rPr>
        <w:t>Por lo que el nombre del solicitando y recurrente no puede ser considerado un requisito indispensable de procedibilidad del recurso de revisión que nos ocupa, ya que el acceso a la información no está condicionado a acreditar algún interés ya sea jurídico o legítimo, máxime que es un elemento subsanable por este Órgano Resolutor.</w:t>
      </w:r>
    </w:p>
    <w:p w:rsidR="00E37F67" w:rsidRPr="001C4942" w:rsidRDefault="00E37F67" w:rsidP="00E37F67">
      <w:pPr>
        <w:pStyle w:val="Prrafodelista"/>
        <w:rPr>
          <w:rFonts w:ascii="Palatino Linotype" w:eastAsia="Palatino Linotype" w:hAnsi="Palatino Linotype" w:cs="Palatino Linotype"/>
        </w:rPr>
      </w:pPr>
    </w:p>
    <w:p w:rsidR="00D338FF" w:rsidRPr="001C4942" w:rsidRDefault="00D338FF" w:rsidP="00D338FF">
      <w:pPr>
        <w:numPr>
          <w:ilvl w:val="0"/>
          <w:numId w:val="3"/>
        </w:numPr>
        <w:pBdr>
          <w:top w:val="nil"/>
          <w:left w:val="nil"/>
          <w:bottom w:val="nil"/>
          <w:right w:val="nil"/>
          <w:between w:val="nil"/>
        </w:pBdr>
        <w:spacing w:line="360" w:lineRule="auto"/>
        <w:ind w:left="0" w:firstLine="0"/>
        <w:jc w:val="both"/>
        <w:rPr>
          <w:rFonts w:ascii="Palatino Linotype" w:eastAsia="Palatino Linotype" w:hAnsi="Palatino Linotype" w:cs="Palatino Linotype"/>
        </w:rPr>
      </w:pPr>
      <w:r w:rsidRPr="001C4942">
        <w:rPr>
          <w:rFonts w:ascii="Palatino Linotype" w:eastAsia="Palatino Linotype" w:hAnsi="Palatino Linotype" w:cs="Palatino Linotype"/>
        </w:rPr>
        <w:t>Por otro lado, el escrito contiene las formalidades previstas por el artículo 180 último párrafo de la Ley de la materia actual, por lo que es procedente que este Instituto de Transparencia, Acceso a la Información Pública y Protección de Datos Personales del Estado de México y Municipios, conozca y resuelva el presente recurso.</w:t>
      </w:r>
    </w:p>
    <w:p w:rsidR="00D338FF" w:rsidRPr="001C4942" w:rsidRDefault="00D338FF" w:rsidP="00D338FF">
      <w:pPr>
        <w:pBdr>
          <w:top w:val="nil"/>
          <w:left w:val="nil"/>
          <w:bottom w:val="nil"/>
          <w:right w:val="nil"/>
          <w:between w:val="nil"/>
        </w:pBdr>
        <w:ind w:left="720"/>
        <w:rPr>
          <w:rFonts w:ascii="Palatino Linotype" w:eastAsia="Palatino Linotype" w:hAnsi="Palatino Linotype" w:cs="Palatino Linotype"/>
        </w:rPr>
      </w:pPr>
    </w:p>
    <w:p w:rsidR="00D338FF" w:rsidRPr="001C4942" w:rsidRDefault="00D338FF" w:rsidP="00D338FF">
      <w:pPr>
        <w:pStyle w:val="Ttulo1"/>
        <w:rPr>
          <w:rFonts w:ascii="Palatino Linotype" w:eastAsia="Palatino Linotype" w:hAnsi="Palatino Linotype" w:cs="Palatino Linotype"/>
          <w:b/>
          <w:bCs/>
          <w:color w:val="000000"/>
          <w:sz w:val="24"/>
          <w:szCs w:val="24"/>
        </w:rPr>
      </w:pPr>
      <w:r w:rsidRPr="001C4942">
        <w:rPr>
          <w:rFonts w:ascii="Palatino Linotype" w:eastAsia="Palatino Linotype" w:hAnsi="Palatino Linotype" w:cs="Palatino Linotype"/>
          <w:b/>
          <w:bCs/>
          <w:color w:val="000000"/>
          <w:sz w:val="24"/>
          <w:szCs w:val="24"/>
        </w:rPr>
        <w:t xml:space="preserve">TERCERO. Planteamiento de la Litis </w:t>
      </w:r>
    </w:p>
    <w:p w:rsidR="00D338FF" w:rsidRPr="001C4942" w:rsidRDefault="00D338FF" w:rsidP="00E37F67">
      <w:pPr>
        <w:numPr>
          <w:ilvl w:val="0"/>
          <w:numId w:val="3"/>
        </w:numPr>
        <w:pBdr>
          <w:top w:val="nil"/>
          <w:left w:val="nil"/>
          <w:bottom w:val="nil"/>
          <w:right w:val="nil"/>
          <w:between w:val="nil"/>
        </w:pBdr>
        <w:spacing w:before="240" w:line="360" w:lineRule="auto"/>
        <w:ind w:left="0" w:right="49" w:firstLine="0"/>
        <w:jc w:val="both"/>
        <w:rPr>
          <w:rFonts w:ascii="Palatino Linotype" w:eastAsia="Palatino Linotype" w:hAnsi="Palatino Linotype" w:cs="Palatino Linotype"/>
          <w:i/>
          <w:iCs/>
          <w:color w:val="000000"/>
        </w:rPr>
      </w:pPr>
      <w:r w:rsidRPr="001C4942">
        <w:rPr>
          <w:rFonts w:ascii="Palatino Linotype" w:eastAsia="Palatino Linotype" w:hAnsi="Palatino Linotype" w:cs="Palatino Linotype"/>
          <w:color w:val="000000"/>
        </w:rPr>
        <w:t xml:space="preserve">El recurrente solicitó las </w:t>
      </w:r>
      <w:r w:rsidR="00E37F67" w:rsidRPr="001C4942">
        <w:rPr>
          <w:rFonts w:ascii="Palatino Linotype" w:eastAsia="Palatino Linotype" w:hAnsi="Palatino Linotype" w:cs="Palatino Linotype"/>
          <w:color w:val="000000"/>
        </w:rPr>
        <w:t xml:space="preserve">acciones que se aplicarán para hacer cumplir el programa hoy no circula. </w:t>
      </w:r>
      <w:r w:rsidRPr="001C4942">
        <w:rPr>
          <w:rFonts w:ascii="Palatino Linotype" w:eastAsia="Palatino Linotype" w:hAnsi="Palatino Linotype" w:cs="Palatino Linotype"/>
          <w:color w:val="000000"/>
        </w:rPr>
        <w:t xml:space="preserve">En respuesta, el Sujeto Obligado </w:t>
      </w:r>
      <w:r w:rsidR="00E37F67" w:rsidRPr="001C4942">
        <w:rPr>
          <w:rFonts w:ascii="Palatino Linotype" w:eastAsia="Palatino Linotype" w:hAnsi="Palatino Linotype" w:cs="Palatino Linotype"/>
          <w:color w:val="000000"/>
        </w:rPr>
        <w:t>a través del Director de Sustentabilidad Vial que coadyuva en realizar campañas de socialización, sensibilización y difusión, con el objetivo de establecer las medidas para limitar la circulación de los vehículos automotores y así poder controlar y reducir la contaminación y contingencia ambiental.</w:t>
      </w:r>
    </w:p>
    <w:p w:rsidR="00E37F67" w:rsidRPr="001C4942" w:rsidRDefault="00E37F67" w:rsidP="00E37F67">
      <w:pPr>
        <w:numPr>
          <w:ilvl w:val="0"/>
          <w:numId w:val="3"/>
        </w:numPr>
        <w:pBdr>
          <w:top w:val="nil"/>
          <w:left w:val="nil"/>
          <w:bottom w:val="nil"/>
          <w:right w:val="nil"/>
          <w:between w:val="nil"/>
        </w:pBdr>
        <w:spacing w:before="240" w:line="360" w:lineRule="auto"/>
        <w:ind w:left="0" w:right="49" w:firstLine="0"/>
        <w:jc w:val="both"/>
        <w:rPr>
          <w:rFonts w:ascii="Palatino Linotype" w:eastAsia="Palatino Linotype" w:hAnsi="Palatino Linotype" w:cs="Palatino Linotype"/>
          <w:i/>
          <w:iCs/>
          <w:color w:val="000000"/>
        </w:rPr>
      </w:pPr>
      <w:r w:rsidRPr="001C4942">
        <w:rPr>
          <w:rFonts w:ascii="Palatino Linotype" w:eastAsia="Palatino Linotype" w:hAnsi="Palatino Linotype" w:cs="Palatino Linotype"/>
          <w:color w:val="000000"/>
        </w:rPr>
        <w:t xml:space="preserve">Posteriormente, el Recurrente se inconformó por la negativa de la información. </w:t>
      </w:r>
    </w:p>
    <w:p w:rsidR="00D338FF" w:rsidRPr="001C4942" w:rsidRDefault="00D338FF" w:rsidP="00D338FF">
      <w:pPr>
        <w:pBdr>
          <w:top w:val="nil"/>
          <w:left w:val="nil"/>
          <w:bottom w:val="nil"/>
          <w:right w:val="nil"/>
          <w:between w:val="nil"/>
        </w:pBdr>
        <w:spacing w:line="360" w:lineRule="auto"/>
        <w:ind w:right="49"/>
        <w:jc w:val="both"/>
        <w:rPr>
          <w:rFonts w:ascii="Palatino Linotype" w:eastAsia="Palatino Linotype" w:hAnsi="Palatino Linotype" w:cs="Palatino Linotype"/>
          <w:i/>
          <w:iCs/>
          <w:color w:val="000000"/>
        </w:rPr>
      </w:pPr>
    </w:p>
    <w:p w:rsidR="00D338FF" w:rsidRPr="001C4942" w:rsidRDefault="00D338FF" w:rsidP="00D338FF">
      <w:pPr>
        <w:numPr>
          <w:ilvl w:val="0"/>
          <w:numId w:val="3"/>
        </w:numPr>
        <w:pBdr>
          <w:top w:val="nil"/>
          <w:left w:val="nil"/>
          <w:bottom w:val="nil"/>
          <w:right w:val="nil"/>
          <w:between w:val="nil"/>
        </w:pBdr>
        <w:spacing w:after="240" w:line="360" w:lineRule="auto"/>
        <w:ind w:left="0" w:right="49" w:firstLine="0"/>
        <w:jc w:val="both"/>
        <w:rPr>
          <w:rFonts w:ascii="Palatino Linotype" w:eastAsia="Palatino Linotype" w:hAnsi="Palatino Linotype" w:cs="Palatino Linotype"/>
          <w:i/>
          <w:iCs/>
          <w:color w:val="000000"/>
        </w:rPr>
      </w:pPr>
      <w:r w:rsidRPr="001C4942">
        <w:rPr>
          <w:rFonts w:ascii="Palatino Linotype" w:eastAsia="Palatino Linotype" w:hAnsi="Palatino Linotype" w:cs="Palatino Linotype"/>
          <w:color w:val="000000"/>
        </w:rPr>
        <w:lastRenderedPageBreak/>
        <w:t>Por lo tanto, el presente recurso de revisión se circunscribe en determinar si se actualiza la causal de procedencia</w:t>
      </w:r>
      <w:r w:rsidRPr="001C4942">
        <w:rPr>
          <w:rFonts w:ascii="Palatino Linotype" w:eastAsia="Palatino Linotype" w:hAnsi="Palatino Linotype" w:cs="Palatino Linotype"/>
          <w:b/>
          <w:bCs/>
          <w:color w:val="000000"/>
        </w:rPr>
        <w:t xml:space="preserve"> </w:t>
      </w:r>
      <w:r w:rsidRPr="001C4942">
        <w:rPr>
          <w:rFonts w:ascii="Palatino Linotype" w:eastAsia="Palatino Linotype" w:hAnsi="Palatino Linotype" w:cs="Palatino Linotype"/>
          <w:color w:val="000000"/>
        </w:rPr>
        <w:t xml:space="preserve">contenida en el artículo 179 fracción I, de la </w:t>
      </w:r>
      <w:r w:rsidRPr="001C4942">
        <w:rPr>
          <w:rFonts w:ascii="Palatino Linotype" w:eastAsia="Palatino Linotype" w:hAnsi="Palatino Linotype" w:cs="Palatino Linotype"/>
          <w:b/>
          <w:bCs/>
          <w:color w:val="000000"/>
        </w:rPr>
        <w:t>Ley de Transparencia y Acceso a la Información Pública del Estado de México y Municipios</w:t>
      </w:r>
      <w:r w:rsidRPr="001C4942">
        <w:rPr>
          <w:rFonts w:ascii="Palatino Linotype" w:eastAsia="Palatino Linotype" w:hAnsi="Palatino Linotype" w:cs="Palatino Linotype"/>
          <w:color w:val="000000"/>
        </w:rPr>
        <w:t xml:space="preserve">, relativo a la negativa de la información.  </w:t>
      </w:r>
    </w:p>
    <w:p w:rsidR="00D338FF" w:rsidRPr="001C4942" w:rsidRDefault="00D338FF" w:rsidP="00D338FF">
      <w:pPr>
        <w:pStyle w:val="Ttulo2"/>
        <w:tabs>
          <w:tab w:val="left" w:pos="426"/>
        </w:tabs>
        <w:rPr>
          <w:rFonts w:ascii="Palatino Linotype" w:eastAsia="Palatino Linotype" w:hAnsi="Palatino Linotype" w:cs="Palatino Linotype"/>
          <w:b/>
          <w:bCs/>
          <w:color w:val="000000"/>
          <w:sz w:val="24"/>
          <w:szCs w:val="24"/>
        </w:rPr>
      </w:pPr>
      <w:bookmarkStart w:id="5" w:name="_heading=h.6ktr63nmw93t" w:colFirst="0" w:colLast="0"/>
      <w:bookmarkEnd w:id="5"/>
      <w:r w:rsidRPr="001C4942">
        <w:rPr>
          <w:rFonts w:ascii="Palatino Linotype" w:eastAsia="Palatino Linotype" w:hAnsi="Palatino Linotype" w:cs="Palatino Linotype"/>
          <w:b/>
          <w:bCs/>
          <w:color w:val="000000"/>
          <w:sz w:val="24"/>
          <w:szCs w:val="24"/>
        </w:rPr>
        <w:t>CUARTO. Estudio y Resolución del asunto.</w:t>
      </w:r>
    </w:p>
    <w:p w:rsidR="00D338FF" w:rsidRPr="001C4942" w:rsidRDefault="00D338FF" w:rsidP="00D338FF">
      <w:pPr>
        <w:numPr>
          <w:ilvl w:val="0"/>
          <w:numId w:val="3"/>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1C4942">
        <w:rPr>
          <w:rFonts w:ascii="Palatino Linotype" w:eastAsia="Palatino Linotype" w:hAnsi="Palatino Linotype" w:cs="Palatino Linotype"/>
          <w:color w:val="000000"/>
        </w:rPr>
        <w:t>Derivado del Planteamiento de la Litis, se procede a analizar el contenido íntegro de las actuaciones que obran en el expediente electrónico y con ello, este Órgano Garante dicte la resolución correspondiente, tomando en consideración los elementos aportados por las partes y apegándose en todo momento al principio de máxima publicidad, de acuerdo con lo establecido en el artículo 8 de la Ley de Transparencia y Acceso a la Información Pública del Estado de México y Municipios.</w:t>
      </w:r>
    </w:p>
    <w:p w:rsidR="00D338FF" w:rsidRPr="001C4942" w:rsidRDefault="00D338FF" w:rsidP="00D338FF">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E37F67" w:rsidRPr="001C4942" w:rsidRDefault="007C0D8D" w:rsidP="00D338FF">
      <w:pPr>
        <w:numPr>
          <w:ilvl w:val="0"/>
          <w:numId w:val="3"/>
        </w:numPr>
        <w:pBdr>
          <w:top w:val="nil"/>
          <w:left w:val="nil"/>
          <w:bottom w:val="nil"/>
          <w:right w:val="nil"/>
          <w:between w:val="nil"/>
        </w:pBdr>
        <w:spacing w:line="360" w:lineRule="auto"/>
        <w:ind w:left="0" w:firstLine="0"/>
        <w:jc w:val="both"/>
        <w:rPr>
          <w:rFonts w:ascii="Palatino Linotype" w:eastAsia="Palatino Linotype" w:hAnsi="Palatino Linotype" w:cs="Palatino Linotype"/>
          <w:b/>
          <w:bCs/>
          <w:color w:val="000000"/>
        </w:rPr>
      </w:pPr>
      <w:r w:rsidRPr="001C4942">
        <w:rPr>
          <w:rFonts w:ascii="Palatino Linotype" w:eastAsia="Palatino Linotype" w:hAnsi="Palatino Linotype" w:cs="Palatino Linotype"/>
          <w:bCs/>
          <w:color w:val="000000"/>
        </w:rPr>
        <w:t>Recordemos que el Recurrente solicitó</w:t>
      </w:r>
      <w:r w:rsidRPr="001C4942">
        <w:rPr>
          <w:rFonts w:ascii="Palatino Linotype" w:eastAsia="Palatino Linotype" w:hAnsi="Palatino Linotype" w:cs="Palatino Linotype"/>
          <w:b/>
          <w:bCs/>
          <w:color w:val="000000"/>
        </w:rPr>
        <w:t xml:space="preserve"> </w:t>
      </w:r>
      <w:r w:rsidRPr="001C4942">
        <w:rPr>
          <w:rFonts w:ascii="Palatino Linotype" w:eastAsia="Palatino Linotype" w:hAnsi="Palatino Linotype" w:cs="Palatino Linotype"/>
          <w:color w:val="000000"/>
        </w:rPr>
        <w:t xml:space="preserve">las acciones que se aplicarán para hacer cumplir el programa hoy no circula. </w:t>
      </w:r>
      <w:r w:rsidR="009E5EFD" w:rsidRPr="001C4942">
        <w:rPr>
          <w:rFonts w:ascii="Palatino Linotype" w:eastAsia="Palatino Linotype" w:hAnsi="Palatino Linotype" w:cs="Palatino Linotype"/>
          <w:color w:val="000000"/>
        </w:rPr>
        <w:t xml:space="preserve">Al respecto, es necesario señalar que el Programa Hoy No Circula es implementado por el Gobierno del Estado de México, sin embargo, para el caso que nos compete, se  lleva a cabo con apoyo de las autoridades municipales del Ayuntamiento de Toluca. </w:t>
      </w:r>
    </w:p>
    <w:p w:rsidR="00E37F67" w:rsidRPr="001C4942" w:rsidRDefault="00E37F67" w:rsidP="00D47D60">
      <w:pPr>
        <w:rPr>
          <w:rFonts w:ascii="Palatino Linotype" w:eastAsia="Palatino Linotype" w:hAnsi="Palatino Linotype" w:cs="Palatino Linotype"/>
          <w:color w:val="000000"/>
        </w:rPr>
      </w:pPr>
    </w:p>
    <w:p w:rsidR="00D47D60" w:rsidRPr="001C4942" w:rsidRDefault="007C0D8D" w:rsidP="00D47D60">
      <w:pPr>
        <w:pStyle w:val="Prrafodelista"/>
        <w:numPr>
          <w:ilvl w:val="0"/>
          <w:numId w:val="3"/>
        </w:numPr>
        <w:spacing w:line="360" w:lineRule="auto"/>
        <w:ind w:left="0" w:firstLine="0"/>
        <w:jc w:val="both"/>
        <w:rPr>
          <w:rFonts w:ascii="Palatino Linotype" w:eastAsia="MS Mincho" w:hAnsi="Palatino Linotype"/>
        </w:rPr>
      </w:pPr>
      <w:r w:rsidRPr="001C4942">
        <w:rPr>
          <w:rFonts w:ascii="Palatino Linotype" w:eastAsia="Palatino Linotype" w:hAnsi="Palatino Linotype" w:cs="Palatino Linotype"/>
          <w:b/>
          <w:bCs/>
          <w:color w:val="000000"/>
        </w:rPr>
        <w:t xml:space="preserve"> </w:t>
      </w:r>
      <w:r w:rsidR="00D47D60" w:rsidRPr="001C4942">
        <w:rPr>
          <w:rFonts w:ascii="Palatino Linotype" w:eastAsia="MS Mincho" w:hAnsi="Palatino Linotype"/>
        </w:rPr>
        <w:t xml:space="preserve">Ahora bien, debemos mencionar que el acceso a la información es un derecho humano constitucional y convencionalmente reconocido y para tal efecto </w:t>
      </w:r>
      <w:r w:rsidR="00D47D60" w:rsidRPr="001C4942">
        <w:rPr>
          <w:rFonts w:ascii="Palatino Linotype" w:eastAsia="Calibri" w:hAnsi="Palatino Linotype"/>
          <w:lang w:val="es-ES"/>
        </w:rPr>
        <w:t xml:space="preserve">el párrafo tercero del artículo primero de la Constitución Política de los Estados Unidos Mexicanos establece que el deber de todas las autoridades, </w:t>
      </w:r>
      <w:r w:rsidR="00D47D60" w:rsidRPr="001C4942">
        <w:rPr>
          <w:rFonts w:ascii="Palatino Linotype" w:eastAsia="Calibri" w:hAnsi="Palatino Linotype"/>
          <w:i/>
          <w:lang w:val="es-ES"/>
        </w:rPr>
        <w:t xml:space="preserve">en el ámbito de sus atribuciones, de promover, respetar, proteger y </w:t>
      </w:r>
      <w:r w:rsidR="00D47D60" w:rsidRPr="001C4942">
        <w:rPr>
          <w:rFonts w:ascii="Palatino Linotype" w:eastAsia="Calibri" w:hAnsi="Palatino Linotype"/>
          <w:b/>
          <w:i/>
          <w:lang w:val="es-ES"/>
        </w:rPr>
        <w:t>garantizar</w:t>
      </w:r>
      <w:r w:rsidR="00D47D60" w:rsidRPr="001C4942">
        <w:rPr>
          <w:rFonts w:ascii="Palatino Linotype" w:eastAsia="Calibri" w:hAnsi="Palatino Linotype"/>
          <w:i/>
          <w:lang w:val="es-ES"/>
        </w:rPr>
        <w:t xml:space="preserve"> los derechos humanos. </w:t>
      </w:r>
      <w:r w:rsidR="00D47D60" w:rsidRPr="001C4942">
        <w:rPr>
          <w:rFonts w:ascii="Palatino Linotype" w:eastAsia="Calibri" w:hAnsi="Palatino Linotype"/>
          <w:b/>
          <w:i/>
          <w:lang w:val="es-ES"/>
        </w:rPr>
        <w:t>En cuanto al derecho de acceso a la información, la Ley de Transparencia y Acceso a la Información Pública del Estado de México y Municipios prevé establece que e</w:t>
      </w:r>
      <w:r w:rsidR="00D47D60" w:rsidRPr="001C4942">
        <w:rPr>
          <w:rFonts w:ascii="Palatino Linotype" w:hAnsi="Palatino Linotype"/>
          <w:i/>
        </w:rPr>
        <w:t xml:space="preserve">l procedimiento de acceso a la información es la garantía primaria del derecho en </w:t>
      </w:r>
      <w:r w:rsidR="00D47D60" w:rsidRPr="001C4942">
        <w:rPr>
          <w:rFonts w:ascii="Palatino Linotype" w:hAnsi="Palatino Linotype"/>
          <w:i/>
        </w:rPr>
        <w:lastRenderedPageBreak/>
        <w:t>cuestión y se rige por los principios de simplicidad, rapidez y gratuidad del procedimiento, auxilio y orientación a los particulares</w:t>
      </w:r>
      <w:r w:rsidR="00D47D60" w:rsidRPr="001C4942">
        <w:rPr>
          <w:rStyle w:val="Refdenotaalpie"/>
          <w:i/>
        </w:rPr>
        <w:footnoteReference w:id="1"/>
      </w:r>
      <w:r w:rsidR="00D47D60" w:rsidRPr="001C4942">
        <w:rPr>
          <w:rFonts w:ascii="Palatino Linotype" w:hAnsi="Palatino Linotype"/>
          <w:i/>
        </w:rPr>
        <w:t xml:space="preserve">, </w:t>
      </w:r>
      <w:r w:rsidR="00D47D60" w:rsidRPr="001C4942">
        <w:rPr>
          <w:rFonts w:ascii="Palatino Linotype" w:hAnsi="Palatino Linotype"/>
        </w:rPr>
        <w:t>asimismo establece</w:t>
      </w:r>
      <w:r w:rsidR="00D47D60" w:rsidRPr="001C4942">
        <w:rPr>
          <w:rFonts w:ascii="Palatino Linotype" w:hAnsi="Palatino Linotype"/>
          <w:i/>
        </w:rPr>
        <w:t xml:space="preserve"> que las unidades de transparencia de los Sujetos Obligados deberán garantizar las medidas y condiciones de accesibilidad para que toda persona pueda ejercer el derecho de acceso a la información, mediante solicitudes de información y deberá apoyar al solicitante en la elaboración de las mismas.</w:t>
      </w:r>
    </w:p>
    <w:p w:rsidR="00D47D60" w:rsidRPr="001C4942" w:rsidRDefault="00D47D60" w:rsidP="00D47D60">
      <w:pPr>
        <w:pStyle w:val="Prrafodelista"/>
        <w:rPr>
          <w:rFonts w:ascii="Palatino Linotype" w:eastAsia="Calibri" w:hAnsi="Palatino Linotype" w:cs="Arial"/>
        </w:rPr>
      </w:pPr>
    </w:p>
    <w:p w:rsidR="00D47D60" w:rsidRPr="001C4942" w:rsidRDefault="00D47D60" w:rsidP="00D47D60">
      <w:pPr>
        <w:pStyle w:val="Prrafodelista"/>
        <w:numPr>
          <w:ilvl w:val="0"/>
          <w:numId w:val="3"/>
        </w:numPr>
        <w:spacing w:line="360" w:lineRule="auto"/>
        <w:ind w:left="0" w:firstLine="0"/>
        <w:jc w:val="both"/>
        <w:rPr>
          <w:rFonts w:ascii="Palatino Linotype" w:eastAsia="Calibri" w:hAnsi="Palatino Linotype" w:cs="Arial"/>
        </w:rPr>
      </w:pPr>
      <w:r w:rsidRPr="001C4942">
        <w:rPr>
          <w:rFonts w:ascii="Palatino Linotype" w:hAnsi="Palatino Linotype"/>
        </w:rPr>
        <w:t>Por lo que, las actuaciones diligentes que lleven a cabo en un primer momento las Unidades de Transparencia y posteriormente  cada servidor público en su área es fundamental para la correcta tutela y el eficaz cumplimiento al derecho de acceso a la información, pues los primeros son el vínculo entre los particulares y los servidores públicos que generan, administra o poseen la información, mientras que los segundos tienen la responsabilidad de realizar una correcta gestión documental que permita localizar de manera rápida los documentos que se soliciten o bien, simplemente para el desarrollo de sus facultades, competencias y atribuciones que a diario desempeñan.</w:t>
      </w:r>
    </w:p>
    <w:p w:rsidR="00D47D60" w:rsidRPr="001C4942" w:rsidRDefault="00D47D60" w:rsidP="00D47D60">
      <w:pPr>
        <w:pStyle w:val="Prrafodelista"/>
        <w:rPr>
          <w:rFonts w:ascii="Palatino Linotype" w:hAnsi="Palatino Linotype"/>
        </w:rPr>
      </w:pPr>
    </w:p>
    <w:p w:rsidR="00D47D60" w:rsidRPr="001C4942" w:rsidRDefault="00D47D60" w:rsidP="00D47D60">
      <w:pPr>
        <w:pStyle w:val="Prrafodelista"/>
        <w:numPr>
          <w:ilvl w:val="0"/>
          <w:numId w:val="3"/>
        </w:numPr>
        <w:spacing w:line="360" w:lineRule="auto"/>
        <w:ind w:left="0" w:firstLine="0"/>
        <w:jc w:val="both"/>
        <w:rPr>
          <w:rFonts w:ascii="Palatino Linotype" w:eastAsia="Calibri" w:hAnsi="Palatino Linotype" w:cs="Arial"/>
        </w:rPr>
      </w:pPr>
      <w:r w:rsidRPr="001C4942">
        <w:rPr>
          <w:rFonts w:ascii="Palatino Linotype" w:hAnsi="Palatino Linotype"/>
        </w:rPr>
        <w:t xml:space="preserve">Es así que, su obligación es </w:t>
      </w:r>
      <w:r w:rsidRPr="001C4942">
        <w:rPr>
          <w:rFonts w:ascii="Palatino Linotype" w:hAnsi="Palatino Linotype"/>
          <w:i/>
        </w:rPr>
        <w:t>realizar, con efectividad, los trámites internos necesarios para la atención de las solicitudes de información</w:t>
      </w:r>
      <w:r w:rsidRPr="001C4942">
        <w:rPr>
          <w:rStyle w:val="Refdenotaalpie"/>
        </w:rPr>
        <w:footnoteReference w:id="2"/>
      </w:r>
      <w:r w:rsidRPr="001C4942">
        <w:rPr>
          <w:rFonts w:ascii="Palatino Linotype" w:hAnsi="Palatino Linotype"/>
        </w:rPr>
        <w:t>, es decir, deben otorgar respuestas concisas, contundentes y sobre todo que den la certeza de los actos que realizan.</w:t>
      </w:r>
    </w:p>
    <w:p w:rsidR="00D47D60" w:rsidRPr="001C4942" w:rsidRDefault="00D47D60" w:rsidP="00D47D60">
      <w:pPr>
        <w:pStyle w:val="Prrafodelista"/>
        <w:rPr>
          <w:rFonts w:ascii="Palatino Linotype" w:eastAsia="Calibri" w:hAnsi="Palatino Linotype" w:cs="Arial"/>
        </w:rPr>
      </w:pPr>
    </w:p>
    <w:p w:rsidR="00D47D60" w:rsidRPr="001C4942" w:rsidRDefault="00D47D60" w:rsidP="00D47D60">
      <w:pPr>
        <w:pStyle w:val="Prrafodelista"/>
        <w:numPr>
          <w:ilvl w:val="0"/>
          <w:numId w:val="3"/>
        </w:numPr>
        <w:spacing w:line="360" w:lineRule="auto"/>
        <w:ind w:left="0" w:firstLine="0"/>
        <w:jc w:val="both"/>
        <w:rPr>
          <w:rFonts w:ascii="Palatino Linotype" w:eastAsia="MS Mincho" w:hAnsi="Palatino Linotype"/>
        </w:rPr>
      </w:pPr>
      <w:r w:rsidRPr="001C4942">
        <w:rPr>
          <w:rFonts w:ascii="Palatino Linotype" w:eastAsia="Palatino Linotype" w:hAnsi="Palatino Linotype" w:cs="Palatino Linotype"/>
        </w:rPr>
        <w:t xml:space="preserve">Al respecto, es menester hacer referencia a lo establecido en los artículos 50, 53 fracciones II, IV y V, 58, 59 fracciones I y II, y 162 </w:t>
      </w:r>
      <w:r w:rsidRPr="001C4942">
        <w:rPr>
          <w:rFonts w:ascii="Palatino Linotype" w:eastAsia="Arial Unicode MS" w:hAnsi="Palatino Linotype" w:cs="Arial"/>
          <w:lang w:eastAsia="en-US"/>
        </w:rPr>
        <w:t>de la Ley de Transparencia y Acceso a la Información del Estado de México y Municipios, que a la letra estipulan lo siguiente:</w:t>
      </w:r>
    </w:p>
    <w:p w:rsidR="00D47D60" w:rsidRPr="001C4942" w:rsidRDefault="00D47D60" w:rsidP="00D47D60">
      <w:pPr>
        <w:spacing w:line="360" w:lineRule="auto"/>
        <w:jc w:val="both"/>
        <w:rPr>
          <w:rFonts w:ascii="Palatino Linotype" w:eastAsia="Arial Unicode MS" w:hAnsi="Palatino Linotype" w:cs="Arial"/>
          <w:lang w:eastAsia="en-US"/>
        </w:rPr>
      </w:pPr>
    </w:p>
    <w:p w:rsidR="00D47D60" w:rsidRPr="001C4942" w:rsidRDefault="00D47D60" w:rsidP="00D47D60">
      <w:pPr>
        <w:ind w:left="567" w:right="616"/>
        <w:jc w:val="both"/>
        <w:rPr>
          <w:rFonts w:ascii="Palatino Linotype" w:eastAsia="Palatino Linotype" w:hAnsi="Palatino Linotype" w:cs="Palatino Linotype"/>
          <w:i/>
          <w:iCs/>
        </w:rPr>
      </w:pPr>
      <w:r w:rsidRPr="001C4942">
        <w:rPr>
          <w:rFonts w:ascii="Palatino Linotype" w:eastAsia="Palatino Linotype" w:hAnsi="Palatino Linotype" w:cs="Palatino Linotype"/>
          <w:b/>
          <w:i/>
          <w:iCs/>
        </w:rPr>
        <w:lastRenderedPageBreak/>
        <w:t xml:space="preserve">Artículo 50. </w:t>
      </w:r>
      <w:r w:rsidRPr="001C4942">
        <w:rPr>
          <w:rFonts w:ascii="Palatino Linotype" w:eastAsia="Palatino Linotype" w:hAnsi="Palatino Linotype" w:cs="Palatino Linotype"/>
          <w:i/>
          <w:iCs/>
        </w:rPr>
        <w:t>Los sujetos obligados contarán con un área responsable para la atención de las solicitudes de información, a la que se le denominará Unidad de Transparencia.</w:t>
      </w:r>
    </w:p>
    <w:p w:rsidR="00D47D60" w:rsidRPr="001C4942" w:rsidRDefault="00D47D60" w:rsidP="00D47D60">
      <w:pPr>
        <w:ind w:left="567" w:right="616"/>
        <w:jc w:val="both"/>
        <w:rPr>
          <w:rFonts w:ascii="Palatino Linotype" w:eastAsia="Palatino Linotype" w:hAnsi="Palatino Linotype" w:cs="Palatino Linotype"/>
          <w:i/>
          <w:iCs/>
        </w:rPr>
      </w:pPr>
    </w:p>
    <w:p w:rsidR="00D47D60" w:rsidRPr="001C4942" w:rsidRDefault="00D47D60" w:rsidP="00D47D60">
      <w:pPr>
        <w:ind w:left="567" w:right="616"/>
        <w:jc w:val="both"/>
        <w:rPr>
          <w:rFonts w:ascii="Palatino Linotype" w:eastAsia="Palatino Linotype" w:hAnsi="Palatino Linotype" w:cs="Palatino Linotype"/>
          <w:i/>
          <w:iCs/>
        </w:rPr>
      </w:pPr>
      <w:r w:rsidRPr="001C4942">
        <w:rPr>
          <w:rFonts w:ascii="Palatino Linotype" w:eastAsia="Palatino Linotype" w:hAnsi="Palatino Linotype" w:cs="Palatino Linotype"/>
          <w:b/>
          <w:i/>
          <w:iCs/>
        </w:rPr>
        <w:t xml:space="preserve">Artículo 53. </w:t>
      </w:r>
      <w:r w:rsidRPr="001C4942">
        <w:rPr>
          <w:rFonts w:ascii="Palatino Linotype" w:eastAsia="Palatino Linotype" w:hAnsi="Palatino Linotype" w:cs="Palatino Linotype"/>
          <w:i/>
          <w:iCs/>
        </w:rPr>
        <w:t>Las Unidades de Transparencia tendrán las siguientes funciones:</w:t>
      </w:r>
    </w:p>
    <w:p w:rsidR="00D47D60" w:rsidRPr="001C4942" w:rsidRDefault="00D47D60" w:rsidP="00D47D60">
      <w:pPr>
        <w:ind w:left="567" w:right="616"/>
        <w:jc w:val="both"/>
        <w:rPr>
          <w:rFonts w:ascii="Palatino Linotype" w:eastAsia="Palatino Linotype" w:hAnsi="Palatino Linotype" w:cs="Palatino Linotype"/>
          <w:i/>
          <w:iCs/>
        </w:rPr>
      </w:pPr>
      <w:r w:rsidRPr="001C4942">
        <w:rPr>
          <w:rFonts w:ascii="Palatino Linotype" w:eastAsia="Palatino Linotype" w:hAnsi="Palatino Linotype" w:cs="Palatino Linotype"/>
          <w:i/>
          <w:iCs/>
        </w:rPr>
        <w:t>(…)</w:t>
      </w:r>
    </w:p>
    <w:p w:rsidR="00D47D60" w:rsidRPr="001C4942" w:rsidRDefault="00D47D60" w:rsidP="00D47D60">
      <w:pPr>
        <w:ind w:left="567" w:right="616"/>
        <w:jc w:val="both"/>
        <w:rPr>
          <w:rFonts w:ascii="Palatino Linotype" w:eastAsia="Palatino Linotype" w:hAnsi="Palatino Linotype" w:cs="Palatino Linotype"/>
          <w:i/>
          <w:iCs/>
        </w:rPr>
      </w:pPr>
      <w:r w:rsidRPr="001C4942">
        <w:rPr>
          <w:rFonts w:ascii="Palatino Linotype" w:eastAsia="Palatino Linotype" w:hAnsi="Palatino Linotype" w:cs="Palatino Linotype"/>
          <w:b/>
          <w:bCs/>
          <w:i/>
          <w:iCs/>
        </w:rPr>
        <w:t>II.</w:t>
      </w:r>
      <w:r w:rsidRPr="001C4942">
        <w:rPr>
          <w:rFonts w:ascii="Palatino Linotype" w:eastAsia="Palatino Linotype" w:hAnsi="Palatino Linotype" w:cs="Palatino Linotype"/>
          <w:i/>
          <w:iCs/>
        </w:rPr>
        <w:t xml:space="preserve"> Recibir, tramitar y dar respuesta a las solicitudes de acceso a la información;</w:t>
      </w:r>
    </w:p>
    <w:p w:rsidR="00D47D60" w:rsidRPr="001C4942" w:rsidRDefault="00D47D60" w:rsidP="00D47D60">
      <w:pPr>
        <w:ind w:left="567" w:right="616"/>
        <w:jc w:val="both"/>
        <w:rPr>
          <w:rFonts w:ascii="Palatino Linotype" w:eastAsia="Palatino Linotype" w:hAnsi="Palatino Linotype" w:cs="Palatino Linotype"/>
          <w:i/>
          <w:iCs/>
        </w:rPr>
      </w:pPr>
      <w:r w:rsidRPr="001C4942">
        <w:rPr>
          <w:rFonts w:ascii="Palatino Linotype" w:eastAsia="Palatino Linotype" w:hAnsi="Palatino Linotype" w:cs="Palatino Linotype"/>
          <w:i/>
          <w:iCs/>
        </w:rPr>
        <w:t>(…)</w:t>
      </w:r>
    </w:p>
    <w:p w:rsidR="00D47D60" w:rsidRPr="001C4942" w:rsidRDefault="00D47D60" w:rsidP="00D47D60">
      <w:pPr>
        <w:ind w:left="567" w:right="616"/>
        <w:jc w:val="both"/>
        <w:rPr>
          <w:rFonts w:ascii="Palatino Linotype" w:eastAsia="Palatino Linotype" w:hAnsi="Palatino Linotype" w:cs="Palatino Linotype"/>
          <w:i/>
          <w:iCs/>
        </w:rPr>
      </w:pPr>
      <w:r w:rsidRPr="001C4942">
        <w:rPr>
          <w:rFonts w:ascii="Palatino Linotype" w:eastAsia="Palatino Linotype" w:hAnsi="Palatino Linotype" w:cs="Palatino Linotype"/>
          <w:b/>
          <w:bCs/>
          <w:i/>
          <w:iCs/>
        </w:rPr>
        <w:t>IV.</w:t>
      </w:r>
      <w:r w:rsidRPr="001C4942">
        <w:rPr>
          <w:rFonts w:ascii="Palatino Linotype" w:eastAsia="Palatino Linotype" w:hAnsi="Palatino Linotype" w:cs="Palatino Linotype"/>
          <w:i/>
          <w:iCs/>
        </w:rPr>
        <w:t xml:space="preserve"> Realizar, con efectividad, los trámites internos necesarios para la atención de las solicitudes de acceso a la información;</w:t>
      </w:r>
    </w:p>
    <w:p w:rsidR="00D47D60" w:rsidRPr="001C4942" w:rsidRDefault="00D47D60" w:rsidP="00D47D60">
      <w:pPr>
        <w:ind w:left="567" w:right="616"/>
        <w:jc w:val="both"/>
        <w:rPr>
          <w:rFonts w:ascii="Palatino Linotype" w:eastAsia="Palatino Linotype" w:hAnsi="Palatino Linotype" w:cs="Palatino Linotype"/>
          <w:i/>
          <w:iCs/>
        </w:rPr>
      </w:pPr>
      <w:r w:rsidRPr="001C4942">
        <w:rPr>
          <w:rFonts w:ascii="Palatino Linotype" w:eastAsia="Palatino Linotype" w:hAnsi="Palatino Linotype" w:cs="Palatino Linotype"/>
          <w:b/>
          <w:bCs/>
          <w:i/>
          <w:iCs/>
        </w:rPr>
        <w:t>V.</w:t>
      </w:r>
      <w:r w:rsidRPr="001C4942">
        <w:rPr>
          <w:rFonts w:ascii="Palatino Linotype" w:eastAsia="Palatino Linotype" w:hAnsi="Palatino Linotype" w:cs="Palatino Linotype"/>
          <w:i/>
          <w:iCs/>
        </w:rPr>
        <w:t xml:space="preserve"> Entregar, en su caso, a los particulares la información solicitada;</w:t>
      </w:r>
    </w:p>
    <w:p w:rsidR="00D47D60" w:rsidRPr="001C4942" w:rsidRDefault="00D47D60" w:rsidP="00D47D60">
      <w:pPr>
        <w:ind w:left="567" w:right="616"/>
        <w:jc w:val="both"/>
        <w:rPr>
          <w:rFonts w:ascii="Palatino Linotype" w:eastAsia="Palatino Linotype" w:hAnsi="Palatino Linotype" w:cs="Palatino Linotype"/>
          <w:i/>
          <w:iCs/>
        </w:rPr>
      </w:pPr>
      <w:r w:rsidRPr="001C4942">
        <w:rPr>
          <w:rFonts w:ascii="Palatino Linotype" w:eastAsia="Palatino Linotype" w:hAnsi="Palatino Linotype" w:cs="Palatino Linotype"/>
          <w:i/>
          <w:iCs/>
        </w:rPr>
        <w:t>(…)</w:t>
      </w:r>
    </w:p>
    <w:p w:rsidR="00D47D60" w:rsidRPr="001C4942" w:rsidRDefault="00D47D60" w:rsidP="00D47D60">
      <w:pPr>
        <w:ind w:left="567" w:right="616"/>
        <w:jc w:val="both"/>
        <w:rPr>
          <w:rFonts w:ascii="Palatino Linotype" w:eastAsia="Palatino Linotype" w:hAnsi="Palatino Linotype" w:cs="Palatino Linotype"/>
          <w:i/>
          <w:iCs/>
        </w:rPr>
      </w:pPr>
    </w:p>
    <w:p w:rsidR="00D47D60" w:rsidRPr="001C4942" w:rsidRDefault="00D47D60" w:rsidP="00D47D60">
      <w:pPr>
        <w:ind w:left="567" w:right="616"/>
        <w:jc w:val="both"/>
        <w:rPr>
          <w:rFonts w:ascii="Palatino Linotype" w:eastAsia="Palatino Linotype" w:hAnsi="Palatino Linotype" w:cs="Palatino Linotype"/>
          <w:i/>
          <w:iCs/>
        </w:rPr>
      </w:pPr>
      <w:r w:rsidRPr="001C4942">
        <w:rPr>
          <w:rFonts w:ascii="Palatino Linotype" w:eastAsia="Palatino Linotype" w:hAnsi="Palatino Linotype" w:cs="Palatino Linotype"/>
          <w:b/>
          <w:i/>
          <w:iCs/>
        </w:rPr>
        <w:t xml:space="preserve">Artículo 58. </w:t>
      </w:r>
      <w:r w:rsidRPr="001C4942">
        <w:rPr>
          <w:rFonts w:ascii="Palatino Linotype" w:eastAsia="Palatino Linotype" w:hAnsi="Palatino Linotype" w:cs="Palatino Linotype"/>
          <w:i/>
          <w:iCs/>
        </w:rPr>
        <w:t>Los servidores públicos habilitados serán designados por el titular del sujeto obligado a propuesta del responsable de la Unidad de Transparencia.</w:t>
      </w:r>
    </w:p>
    <w:p w:rsidR="00D47D60" w:rsidRPr="001C4942" w:rsidRDefault="00D47D60" w:rsidP="00D47D60">
      <w:pPr>
        <w:ind w:left="567" w:right="616"/>
        <w:jc w:val="both"/>
        <w:rPr>
          <w:rFonts w:ascii="Palatino Linotype" w:eastAsia="Palatino Linotype" w:hAnsi="Palatino Linotype" w:cs="Palatino Linotype"/>
          <w:i/>
          <w:iCs/>
        </w:rPr>
      </w:pPr>
    </w:p>
    <w:p w:rsidR="00D47D60" w:rsidRPr="001C4942" w:rsidRDefault="00D47D60" w:rsidP="00D47D60">
      <w:pPr>
        <w:ind w:left="567" w:right="616"/>
        <w:jc w:val="both"/>
        <w:rPr>
          <w:rFonts w:ascii="Palatino Linotype" w:eastAsia="Palatino Linotype" w:hAnsi="Palatino Linotype" w:cs="Palatino Linotype"/>
          <w:i/>
          <w:iCs/>
        </w:rPr>
      </w:pPr>
      <w:r w:rsidRPr="001C4942">
        <w:rPr>
          <w:rFonts w:ascii="Palatino Linotype" w:eastAsia="Palatino Linotype" w:hAnsi="Palatino Linotype" w:cs="Palatino Linotype"/>
          <w:b/>
          <w:i/>
          <w:iCs/>
        </w:rPr>
        <w:t xml:space="preserve">Artículo 59. </w:t>
      </w:r>
      <w:r w:rsidRPr="001C4942">
        <w:rPr>
          <w:rFonts w:ascii="Palatino Linotype" w:eastAsia="Palatino Linotype" w:hAnsi="Palatino Linotype" w:cs="Palatino Linotype"/>
          <w:i/>
          <w:iCs/>
        </w:rPr>
        <w:t>Los servidores públicos habilitados tendrán las funciones siguientes:</w:t>
      </w:r>
    </w:p>
    <w:p w:rsidR="00D47D60" w:rsidRPr="001C4942" w:rsidRDefault="00D47D60" w:rsidP="00D47D60">
      <w:pPr>
        <w:ind w:left="567" w:right="616"/>
        <w:jc w:val="both"/>
        <w:rPr>
          <w:rFonts w:ascii="Palatino Linotype" w:eastAsia="Palatino Linotype" w:hAnsi="Palatino Linotype" w:cs="Palatino Linotype"/>
          <w:i/>
          <w:iCs/>
        </w:rPr>
      </w:pPr>
    </w:p>
    <w:p w:rsidR="00D47D60" w:rsidRPr="001C4942" w:rsidRDefault="00D47D60" w:rsidP="00D47D60">
      <w:pPr>
        <w:ind w:left="567" w:right="616"/>
        <w:jc w:val="both"/>
        <w:rPr>
          <w:rFonts w:ascii="Palatino Linotype" w:eastAsia="Palatino Linotype" w:hAnsi="Palatino Linotype" w:cs="Palatino Linotype"/>
          <w:i/>
          <w:iCs/>
        </w:rPr>
      </w:pPr>
      <w:r w:rsidRPr="001C4942">
        <w:rPr>
          <w:rFonts w:ascii="Palatino Linotype" w:eastAsia="Palatino Linotype" w:hAnsi="Palatino Linotype" w:cs="Palatino Linotype"/>
          <w:b/>
          <w:bCs/>
          <w:i/>
          <w:iCs/>
        </w:rPr>
        <w:t>I.</w:t>
      </w:r>
      <w:r w:rsidRPr="001C4942">
        <w:rPr>
          <w:rFonts w:ascii="Palatino Linotype" w:eastAsia="Palatino Linotype" w:hAnsi="Palatino Linotype" w:cs="Palatino Linotype"/>
          <w:i/>
          <w:iCs/>
        </w:rPr>
        <w:t xml:space="preserve"> Localizar la información que le solicite la Unidad de Transparencia;</w:t>
      </w:r>
    </w:p>
    <w:p w:rsidR="00D47D60" w:rsidRPr="001C4942" w:rsidRDefault="00D47D60" w:rsidP="00D47D60">
      <w:pPr>
        <w:ind w:left="567" w:right="616"/>
        <w:jc w:val="both"/>
        <w:rPr>
          <w:rFonts w:ascii="Palatino Linotype" w:eastAsia="Palatino Linotype" w:hAnsi="Palatino Linotype" w:cs="Palatino Linotype"/>
          <w:i/>
          <w:iCs/>
        </w:rPr>
      </w:pPr>
      <w:r w:rsidRPr="001C4942">
        <w:rPr>
          <w:rFonts w:ascii="Palatino Linotype" w:eastAsia="Palatino Linotype" w:hAnsi="Palatino Linotype" w:cs="Palatino Linotype"/>
          <w:b/>
          <w:bCs/>
          <w:i/>
          <w:iCs/>
        </w:rPr>
        <w:t>II.</w:t>
      </w:r>
      <w:r w:rsidRPr="001C4942">
        <w:rPr>
          <w:rFonts w:ascii="Palatino Linotype" w:eastAsia="Palatino Linotype" w:hAnsi="Palatino Linotype" w:cs="Palatino Linotype"/>
          <w:i/>
          <w:iCs/>
        </w:rPr>
        <w:t xml:space="preserve"> Proporcionar la información que obre en los archivos y que le sea solicitada por la Unidad de Transparencia;</w:t>
      </w:r>
    </w:p>
    <w:p w:rsidR="00D47D60" w:rsidRPr="001C4942" w:rsidRDefault="00D47D60" w:rsidP="00D47D60">
      <w:pPr>
        <w:ind w:left="567" w:right="616"/>
        <w:jc w:val="both"/>
        <w:rPr>
          <w:rFonts w:ascii="Palatino Linotype" w:eastAsia="Palatino Linotype" w:hAnsi="Palatino Linotype" w:cs="Palatino Linotype"/>
          <w:i/>
          <w:iCs/>
        </w:rPr>
      </w:pPr>
      <w:r w:rsidRPr="001C4942">
        <w:rPr>
          <w:rFonts w:ascii="Palatino Linotype" w:eastAsia="Palatino Linotype" w:hAnsi="Palatino Linotype" w:cs="Palatino Linotype"/>
          <w:i/>
          <w:iCs/>
        </w:rPr>
        <w:t>(...)</w:t>
      </w:r>
    </w:p>
    <w:p w:rsidR="00D47D60" w:rsidRPr="001C4942" w:rsidRDefault="00D47D60" w:rsidP="00D47D60">
      <w:pPr>
        <w:ind w:left="567" w:right="616"/>
        <w:jc w:val="both"/>
        <w:rPr>
          <w:rFonts w:ascii="Palatino Linotype" w:eastAsia="Palatino Linotype" w:hAnsi="Palatino Linotype" w:cs="Palatino Linotype"/>
          <w:i/>
          <w:iCs/>
        </w:rPr>
      </w:pPr>
    </w:p>
    <w:p w:rsidR="00D47D60" w:rsidRPr="001C4942" w:rsidRDefault="00D47D60" w:rsidP="00D47D60">
      <w:pPr>
        <w:ind w:left="567" w:right="616"/>
        <w:jc w:val="both"/>
        <w:rPr>
          <w:rFonts w:ascii="Palatino Linotype" w:eastAsia="Palatino Linotype" w:hAnsi="Palatino Linotype" w:cs="Palatino Linotype"/>
          <w:i/>
          <w:iCs/>
        </w:rPr>
      </w:pPr>
      <w:r w:rsidRPr="001C4942">
        <w:rPr>
          <w:rFonts w:ascii="Palatino Linotype" w:eastAsia="Palatino Linotype" w:hAnsi="Palatino Linotype" w:cs="Palatino Linotype"/>
          <w:b/>
          <w:i/>
          <w:iCs/>
        </w:rPr>
        <w:t xml:space="preserve">Artículo 162. </w:t>
      </w:r>
      <w:r w:rsidRPr="001C4942">
        <w:rPr>
          <w:rFonts w:ascii="Palatino Linotype" w:eastAsia="Palatino Linotype" w:hAnsi="Palatino Linotype" w:cs="Palatino Linotype"/>
          <w:i/>
          <w:iCs/>
        </w:rPr>
        <w:t>Las unidades de transparencia deberán garantizar que las solicitudes se turnen a todas las Áreas competentes que cuenten con la información o deban tenerla de acuerdo a sus facultades, competencias y funciones, con el objeto de que realicen una búsqueda exhaustiva y razonable de la información solicitada.</w:t>
      </w:r>
    </w:p>
    <w:p w:rsidR="00D47D60" w:rsidRPr="001C4942" w:rsidRDefault="00D47D60" w:rsidP="00D47D60">
      <w:pPr>
        <w:spacing w:line="360" w:lineRule="auto"/>
        <w:jc w:val="both"/>
        <w:rPr>
          <w:rFonts w:ascii="Palatino Linotype" w:eastAsia="Palatino Linotype" w:hAnsi="Palatino Linotype" w:cs="Palatino Linotype"/>
        </w:rPr>
      </w:pPr>
    </w:p>
    <w:p w:rsidR="00D47D60" w:rsidRPr="001C4942" w:rsidRDefault="00D47D60" w:rsidP="00D47D60">
      <w:pPr>
        <w:pStyle w:val="Prrafodelista"/>
        <w:numPr>
          <w:ilvl w:val="0"/>
          <w:numId w:val="3"/>
        </w:numPr>
        <w:spacing w:line="360" w:lineRule="auto"/>
        <w:ind w:left="0" w:firstLine="0"/>
        <w:jc w:val="both"/>
        <w:rPr>
          <w:rFonts w:ascii="Palatino Linotype" w:eastAsia="Arial Unicode MS" w:hAnsi="Palatino Linotype" w:cs="Arial"/>
          <w:lang w:eastAsia="en-US"/>
        </w:rPr>
      </w:pPr>
      <w:r w:rsidRPr="001C4942">
        <w:rPr>
          <w:rFonts w:ascii="Palatino Linotype" w:eastAsia="Palatino Linotype" w:hAnsi="Palatino Linotype" w:cs="Palatino Linotype"/>
        </w:rPr>
        <w:t xml:space="preserve">De los artículos citados se desprende que las Unidades de Transparencia de los sujetos obligados son las encargadas de tramitar internamente </w:t>
      </w:r>
      <w:r w:rsidRPr="001C4942">
        <w:rPr>
          <w:rFonts w:ascii="Palatino Linotype" w:eastAsia="Arial Unicode MS" w:hAnsi="Palatino Linotype" w:cs="Arial"/>
          <w:lang w:eastAsia="en-US"/>
        </w:rPr>
        <w:t xml:space="preserve">las solicitudes de información y tienen, entre otras funciones, las de recibir, tramitar y dar respuesta a las solicitudes de acceso a la información; realizar, con efectividad, los trámites internos necesarios para la atención de las solicitudes de acceso a la información; así como, entregar, en su caso, a los particulares la información solicitada. Por su parte, los servidores públicos habilitados auxiliarán a las </w:t>
      </w:r>
      <w:r w:rsidRPr="001C4942">
        <w:rPr>
          <w:rFonts w:ascii="Palatino Linotype" w:eastAsia="Arial Unicode MS" w:hAnsi="Palatino Linotype" w:cs="Arial"/>
          <w:lang w:eastAsia="en-US"/>
        </w:rPr>
        <w:lastRenderedPageBreak/>
        <w:t>Unidades de Transparencia localizando la información solicitada y proporcionando la misma que obre en sus archivos. Asimismo, es una obligación de las Unidades de Transparencia turnar a todas las áreas que se consideren competentes para que realicen una búsqueda exhaustiva y razonable de la información solicitada a fin de que ésta sea entregada a los solicitantes.</w:t>
      </w:r>
    </w:p>
    <w:p w:rsidR="00D47D60" w:rsidRPr="001C4942" w:rsidRDefault="00D47D60" w:rsidP="00D47D60">
      <w:pPr>
        <w:pStyle w:val="Prrafodelista"/>
        <w:spacing w:line="360" w:lineRule="auto"/>
        <w:ind w:left="0"/>
        <w:jc w:val="both"/>
        <w:rPr>
          <w:rFonts w:ascii="Palatino Linotype" w:eastAsia="Arial Unicode MS" w:hAnsi="Palatino Linotype" w:cs="Arial"/>
          <w:lang w:eastAsia="en-US"/>
        </w:rPr>
      </w:pPr>
    </w:p>
    <w:p w:rsidR="00D47D60" w:rsidRPr="001C4942" w:rsidRDefault="00D47D60" w:rsidP="00D47D60">
      <w:pPr>
        <w:pStyle w:val="Prrafodelista"/>
        <w:numPr>
          <w:ilvl w:val="0"/>
          <w:numId w:val="3"/>
        </w:numPr>
        <w:spacing w:line="360" w:lineRule="auto"/>
        <w:ind w:left="0" w:firstLine="0"/>
        <w:jc w:val="both"/>
        <w:rPr>
          <w:rFonts w:ascii="Palatino Linotype" w:eastAsia="Arial Unicode MS" w:hAnsi="Palatino Linotype" w:cs="Arial"/>
          <w:lang w:eastAsia="en-US"/>
        </w:rPr>
      </w:pPr>
      <w:r w:rsidRPr="001C4942">
        <w:rPr>
          <w:rFonts w:ascii="Palatino Linotype" w:eastAsia="Arial Unicode MS" w:hAnsi="Palatino Linotype" w:cs="Arial"/>
          <w:lang w:eastAsia="en-US"/>
        </w:rPr>
        <w:t>Así, se debe entender que el trámite interno que se realice a las solicitudes de acceso a la información, es con el propósito de que se realice una búsqueda exhaustiva y razonable de la información entre sus archivos y, en su caso, se entregue la información de interés para el particular.</w:t>
      </w:r>
    </w:p>
    <w:p w:rsidR="00D47D60" w:rsidRPr="001C4942" w:rsidRDefault="00D47D60" w:rsidP="00D47D60">
      <w:pPr>
        <w:pStyle w:val="Prrafodelista"/>
        <w:rPr>
          <w:rFonts w:ascii="Palatino Linotype" w:eastAsia="Arial Unicode MS" w:hAnsi="Palatino Linotype" w:cs="Arial"/>
          <w:lang w:eastAsia="en-US"/>
        </w:rPr>
      </w:pPr>
    </w:p>
    <w:p w:rsidR="00D47D60" w:rsidRPr="001C4942" w:rsidRDefault="00D47D60" w:rsidP="00D47D60">
      <w:pPr>
        <w:pStyle w:val="Prrafodelista"/>
        <w:numPr>
          <w:ilvl w:val="0"/>
          <w:numId w:val="3"/>
        </w:numPr>
        <w:spacing w:line="360" w:lineRule="auto"/>
        <w:ind w:left="0" w:firstLine="0"/>
        <w:jc w:val="both"/>
        <w:rPr>
          <w:rFonts w:ascii="Palatino Linotype" w:eastAsia="Arial Unicode MS" w:hAnsi="Palatino Linotype" w:cs="Arial"/>
          <w:lang w:eastAsia="en-US"/>
        </w:rPr>
      </w:pPr>
      <w:r w:rsidRPr="001C4942">
        <w:rPr>
          <w:rFonts w:ascii="Palatino Linotype" w:eastAsia="Arial Unicode MS" w:hAnsi="Palatino Linotype" w:cs="Arial"/>
          <w:lang w:eastAsia="en-US"/>
        </w:rPr>
        <w:t>En el caso que se resuelve, quien da respuesta a la solicitud es emitida por el Director de Sustentabilidad Vial, quien de acuerdo al Código Reglamentario de Toluca, tiene las siguientes atribuciones:</w:t>
      </w:r>
    </w:p>
    <w:p w:rsidR="00D47D60" w:rsidRPr="001C4942" w:rsidRDefault="00D47D60" w:rsidP="00D47D60">
      <w:pPr>
        <w:pStyle w:val="Prrafodelista"/>
        <w:spacing w:line="276" w:lineRule="auto"/>
        <w:ind w:left="851" w:right="822"/>
        <w:jc w:val="both"/>
        <w:rPr>
          <w:rFonts w:ascii="Palatino Linotype" w:hAnsi="Palatino Linotype"/>
          <w:i/>
        </w:rPr>
      </w:pPr>
      <w:r w:rsidRPr="001C4942">
        <w:rPr>
          <w:rFonts w:ascii="Palatino Linotype" w:hAnsi="Palatino Linotype"/>
          <w:i/>
        </w:rPr>
        <w:t xml:space="preserve">Artículo 3.39 bis. La o el titular de La Dirección de Sustentabilidad Vial, tendrá las siguientes atribuciones: </w:t>
      </w:r>
    </w:p>
    <w:p w:rsidR="00D47D60" w:rsidRPr="001C4942" w:rsidRDefault="00D47D60" w:rsidP="00D47D60">
      <w:pPr>
        <w:pStyle w:val="Prrafodelista"/>
        <w:spacing w:line="276" w:lineRule="auto"/>
        <w:ind w:left="851" w:right="822"/>
        <w:jc w:val="both"/>
        <w:rPr>
          <w:rFonts w:ascii="Palatino Linotype" w:hAnsi="Palatino Linotype"/>
          <w:i/>
        </w:rPr>
      </w:pPr>
      <w:r w:rsidRPr="001C4942">
        <w:rPr>
          <w:rFonts w:ascii="Palatino Linotype" w:hAnsi="Palatino Linotype"/>
          <w:i/>
        </w:rPr>
        <w:t xml:space="preserve">I. Planear y estructurar proyectos de infraestructura vial e ingeniería de tránsito, atendiendo a las disposiciones de la Ley General de Movilidad y Seguridad Vial; </w:t>
      </w:r>
    </w:p>
    <w:p w:rsidR="00D47D60" w:rsidRPr="001C4942" w:rsidRDefault="00D47D60" w:rsidP="00D47D60">
      <w:pPr>
        <w:pStyle w:val="Prrafodelista"/>
        <w:spacing w:line="276" w:lineRule="auto"/>
        <w:ind w:left="851" w:right="822"/>
        <w:jc w:val="both"/>
        <w:rPr>
          <w:rFonts w:ascii="Palatino Linotype" w:hAnsi="Palatino Linotype"/>
          <w:i/>
        </w:rPr>
      </w:pPr>
      <w:r w:rsidRPr="001C4942">
        <w:rPr>
          <w:rFonts w:ascii="Palatino Linotype" w:hAnsi="Palatino Linotype"/>
          <w:i/>
        </w:rPr>
        <w:t xml:space="preserve">II. Brindar atención a las peticiones ciudadanas, autorizaciones, emisión de dictámenes y opiniones técnicas en materia de vialidad y movilidad segura; </w:t>
      </w:r>
    </w:p>
    <w:p w:rsidR="00D47D60" w:rsidRPr="001C4942" w:rsidRDefault="00D47D60" w:rsidP="00D47D60">
      <w:pPr>
        <w:pStyle w:val="Prrafodelista"/>
        <w:spacing w:line="276" w:lineRule="auto"/>
        <w:ind w:left="851" w:right="822"/>
        <w:jc w:val="both"/>
        <w:rPr>
          <w:rFonts w:ascii="Palatino Linotype" w:hAnsi="Palatino Linotype"/>
          <w:i/>
        </w:rPr>
      </w:pPr>
      <w:r w:rsidRPr="001C4942">
        <w:rPr>
          <w:rFonts w:ascii="Palatino Linotype" w:hAnsi="Palatino Linotype"/>
          <w:i/>
        </w:rPr>
        <w:t xml:space="preserve">III. Analizar y modernizar los procesos administrativos, técnicos y operativos de control de infracciones, inspección de estacionómetros, mantenimiento, explotación de datos y monitoreo de la red semafórica, formulación de estudios y proyectos de vialidad, así como brindar el apoyo logístico, técnico y normativo a la red de ciclovías, espacios peatonales y vía pública; </w:t>
      </w:r>
    </w:p>
    <w:p w:rsidR="00D47D60" w:rsidRPr="001C4942" w:rsidRDefault="00D47D60" w:rsidP="00D47D60">
      <w:pPr>
        <w:pStyle w:val="Prrafodelista"/>
        <w:spacing w:line="276" w:lineRule="auto"/>
        <w:ind w:left="851" w:right="822"/>
        <w:jc w:val="both"/>
        <w:rPr>
          <w:rFonts w:ascii="Palatino Linotype" w:hAnsi="Palatino Linotype"/>
          <w:i/>
        </w:rPr>
      </w:pPr>
      <w:r w:rsidRPr="001C4942">
        <w:rPr>
          <w:rFonts w:ascii="Palatino Linotype" w:hAnsi="Palatino Linotype"/>
          <w:i/>
        </w:rPr>
        <w:t>IV. Coadyuvar con las unidades administrativas municipales correspondientes brindando atención oportuna e información certera respecto de impugnac</w:t>
      </w:r>
      <w:r w:rsidR="000642F1" w:rsidRPr="001C4942">
        <w:rPr>
          <w:rFonts w:ascii="Palatino Linotype" w:hAnsi="Palatino Linotype"/>
          <w:i/>
        </w:rPr>
        <w:t>iones de actos de autoridad emi</w:t>
      </w:r>
      <w:r w:rsidRPr="001C4942">
        <w:rPr>
          <w:rFonts w:ascii="Palatino Linotype" w:hAnsi="Palatino Linotype"/>
          <w:i/>
        </w:rPr>
        <w:t xml:space="preserve">tidos por personal de la Dirección de Tránsito y Seguridad </w:t>
      </w:r>
      <w:r w:rsidRPr="001C4942">
        <w:rPr>
          <w:rFonts w:ascii="Palatino Linotype" w:hAnsi="Palatino Linotype"/>
          <w:i/>
        </w:rPr>
        <w:lastRenderedPageBreak/>
        <w:t xml:space="preserve">Vial, relacionados con la aplicación del Reglamento de Tránsito del Estado de México y la normatividad municipal en materia de tránsito y vialidad; </w:t>
      </w:r>
    </w:p>
    <w:p w:rsidR="00D47D60" w:rsidRPr="001C4942" w:rsidRDefault="00D47D60" w:rsidP="00D47D60">
      <w:pPr>
        <w:pStyle w:val="Prrafodelista"/>
        <w:spacing w:line="276" w:lineRule="auto"/>
        <w:ind w:left="851" w:right="822"/>
        <w:jc w:val="both"/>
        <w:rPr>
          <w:rFonts w:ascii="Palatino Linotype" w:hAnsi="Palatino Linotype"/>
          <w:i/>
        </w:rPr>
      </w:pPr>
      <w:r w:rsidRPr="001C4942">
        <w:rPr>
          <w:rFonts w:ascii="Palatino Linotype" w:hAnsi="Palatino Linotype"/>
          <w:i/>
        </w:rPr>
        <w:t xml:space="preserve">V. Vigilar y aplicar las medidas de seguridad y restrictivas en materia de tránsito vehicular en la vía pública, que sirvan para mejorar la movilidad, preservar el medio ambiente, salvaguardar la integridad física de las personas, sus bienes y el patrimonio municipal, aprovechando el monitoreo a través del sistema automatizado de semáforos, detectores vehiculares y dando aviso oportuno a la población mediante sistemas tecnológicos; </w:t>
      </w:r>
    </w:p>
    <w:p w:rsidR="00D47D60" w:rsidRPr="001C4942" w:rsidRDefault="00D47D60" w:rsidP="00D47D60">
      <w:pPr>
        <w:pStyle w:val="Prrafodelista"/>
        <w:spacing w:line="276" w:lineRule="auto"/>
        <w:ind w:left="851" w:right="822"/>
        <w:jc w:val="both"/>
        <w:rPr>
          <w:rFonts w:ascii="Palatino Linotype" w:eastAsia="Arial Unicode MS" w:hAnsi="Palatino Linotype" w:cs="Arial"/>
          <w:i/>
          <w:lang w:eastAsia="en-US"/>
        </w:rPr>
      </w:pPr>
      <w:r w:rsidRPr="001C4942">
        <w:rPr>
          <w:rFonts w:ascii="Palatino Linotype" w:hAnsi="Palatino Linotype"/>
          <w:i/>
        </w:rPr>
        <w:t>VI. Promover la difusión de las medidas para la seguridad vial y concientización de ésta, como parte de las acciones conjuntas con autoridades estatales, federales e internacionales derivado del Decenio de Acción para la Seguridad Vial 2021-2030 implementado por la Organización de las Naciones Unidas, siempre alineado a la estrategia Visión Cero y Sistema Seguro;</w:t>
      </w:r>
    </w:p>
    <w:p w:rsidR="00D47D60" w:rsidRPr="001C4942" w:rsidRDefault="00D47D60" w:rsidP="00D47D60">
      <w:pPr>
        <w:spacing w:line="276" w:lineRule="auto"/>
        <w:ind w:left="851" w:right="822"/>
        <w:jc w:val="both"/>
        <w:rPr>
          <w:rFonts w:ascii="Palatino Linotype" w:hAnsi="Palatino Linotype"/>
          <w:i/>
        </w:rPr>
      </w:pPr>
      <w:r w:rsidRPr="001C4942">
        <w:rPr>
          <w:rFonts w:ascii="Palatino Linotype" w:hAnsi="Palatino Linotype"/>
          <w:i/>
        </w:rPr>
        <w:t xml:space="preserve">VII. Implementar el programa “Conduce Sin Alcohol” en el territorio municipal en coordinación con las áreas que colaboran en ellos, así como capacitar a las y los participantes en la implementación segura y eficiente de los puntos de revisión y revisión permanente, así como en técnicas para la aplicación de pruebas de alcoholemia, desarrollado bajo un esquema de mejora continua; así mismo, compartir la experiencia y conocimientos generados con autoridades de los tres ámbitos de gobierno y organizaciones para beneficio de la población; </w:t>
      </w:r>
    </w:p>
    <w:p w:rsidR="00D47D60" w:rsidRPr="001C4942" w:rsidRDefault="00D47D60" w:rsidP="00D47D60">
      <w:pPr>
        <w:spacing w:line="276" w:lineRule="auto"/>
        <w:ind w:left="851" w:right="822"/>
        <w:jc w:val="both"/>
        <w:rPr>
          <w:rFonts w:ascii="Palatino Linotype" w:hAnsi="Palatino Linotype"/>
          <w:i/>
        </w:rPr>
      </w:pPr>
      <w:r w:rsidRPr="001C4942">
        <w:rPr>
          <w:rFonts w:ascii="Palatino Linotype" w:hAnsi="Palatino Linotype"/>
          <w:i/>
        </w:rPr>
        <w:t xml:space="preserve">VIII. Analizar y proponer las alternativas de mejora para los operativos, acciones y planes orientados a la mejora de la seguridad vial en el municipio, incluidas las reformas normativas relativas y proyectos tecnológicos ad-hoc; </w:t>
      </w:r>
    </w:p>
    <w:p w:rsidR="00D47D60" w:rsidRPr="001C4942" w:rsidRDefault="00D47D60" w:rsidP="00D47D60">
      <w:pPr>
        <w:spacing w:line="276" w:lineRule="auto"/>
        <w:ind w:left="851" w:right="822"/>
        <w:jc w:val="both"/>
        <w:rPr>
          <w:rFonts w:ascii="Palatino Linotype" w:hAnsi="Palatino Linotype"/>
          <w:i/>
        </w:rPr>
      </w:pPr>
      <w:r w:rsidRPr="001C4942">
        <w:rPr>
          <w:rFonts w:ascii="Palatino Linotype" w:hAnsi="Palatino Linotype"/>
          <w:i/>
        </w:rPr>
        <w:t xml:space="preserve">IX. Proponer y presentar a la Dirección, acuerdos y convenios de coordinación de funciones, programas, proyectos operativos en materia de tránsito y vialidad, con la federación, el estado, municipios y las diversas organizaciones sociales y privadas, así como las que prestan el servicio de trasporte público en el municipio, a efecto de eficientarlo y racionalizarlo; </w:t>
      </w:r>
    </w:p>
    <w:p w:rsidR="00D47D60" w:rsidRPr="001C4942" w:rsidRDefault="00D47D60" w:rsidP="00D47D60">
      <w:pPr>
        <w:spacing w:line="276" w:lineRule="auto"/>
        <w:ind w:left="851" w:right="822"/>
        <w:jc w:val="both"/>
        <w:rPr>
          <w:rFonts w:ascii="Palatino Linotype" w:hAnsi="Palatino Linotype"/>
          <w:i/>
        </w:rPr>
      </w:pPr>
      <w:r w:rsidRPr="001C4942">
        <w:rPr>
          <w:rFonts w:ascii="Palatino Linotype" w:hAnsi="Palatino Linotype"/>
          <w:i/>
        </w:rPr>
        <w:t xml:space="preserve">X. Analizar y proponer mecanismos de cambio estructural relacionados con la infraestructura vial, de tránsito vehicular, vías ciclistas y zonas peatonales del municipio de Toluca, alineado con la Pirámide de Jerarquía de la Movilidad Urbana; </w:t>
      </w:r>
    </w:p>
    <w:p w:rsidR="00D47D60" w:rsidRPr="001C4942" w:rsidRDefault="00D47D60" w:rsidP="00D47D60">
      <w:pPr>
        <w:spacing w:line="276" w:lineRule="auto"/>
        <w:ind w:left="851" w:right="822"/>
        <w:jc w:val="both"/>
        <w:rPr>
          <w:rFonts w:ascii="Palatino Linotype" w:hAnsi="Palatino Linotype"/>
          <w:i/>
        </w:rPr>
      </w:pPr>
      <w:r w:rsidRPr="001C4942">
        <w:rPr>
          <w:rFonts w:ascii="Palatino Linotype" w:hAnsi="Palatino Linotype"/>
          <w:i/>
        </w:rPr>
        <w:lastRenderedPageBreak/>
        <w:t xml:space="preserve">XI. Coordinar y evaluar el desempeño del personal operativo de Tránsito y Vialidad sometiendo a consideración de la Comisión de Servicio Profesional de Carrera Policial a las y los elementos de la policía que puedan ser acreedores de reconocimientos, estímulos y recompensas; </w:t>
      </w:r>
    </w:p>
    <w:p w:rsidR="00D47D60" w:rsidRPr="001C4942" w:rsidRDefault="00D47D60" w:rsidP="00D47D60">
      <w:pPr>
        <w:spacing w:line="276" w:lineRule="auto"/>
        <w:ind w:left="851" w:right="822"/>
        <w:jc w:val="both"/>
        <w:rPr>
          <w:rFonts w:ascii="Palatino Linotype" w:hAnsi="Palatino Linotype"/>
          <w:i/>
        </w:rPr>
      </w:pPr>
      <w:r w:rsidRPr="001C4942">
        <w:rPr>
          <w:rFonts w:ascii="Palatino Linotype" w:hAnsi="Palatino Linotype"/>
          <w:i/>
        </w:rPr>
        <w:t xml:space="preserve">XII. Implementar la aplicación de la captura del Informe Policial Homologado (IPH), así como de datos en el Registro Nacional de Detenciones (RND) por el personal operativo de Tránsito y Vialidad, en el quehacer de sus funciones como primeros respondientes; </w:t>
      </w:r>
    </w:p>
    <w:p w:rsidR="00D47D60" w:rsidRPr="001C4942" w:rsidRDefault="00D47D60" w:rsidP="00D47D60">
      <w:pPr>
        <w:spacing w:line="276" w:lineRule="auto"/>
        <w:ind w:left="851" w:right="822"/>
        <w:jc w:val="both"/>
        <w:rPr>
          <w:rFonts w:ascii="Palatino Linotype" w:hAnsi="Palatino Linotype"/>
          <w:i/>
        </w:rPr>
      </w:pPr>
      <w:r w:rsidRPr="001C4942">
        <w:rPr>
          <w:rFonts w:ascii="Palatino Linotype" w:hAnsi="Palatino Linotype"/>
          <w:i/>
        </w:rPr>
        <w:t xml:space="preserve">XIII. Formar parte del órgano colegiado de las comisiones de Servicio Profesional de Carrera Policial y de Honor y Justicia del Municipio, con voz y voto; </w:t>
      </w:r>
    </w:p>
    <w:p w:rsidR="00D47D60" w:rsidRPr="001C4942" w:rsidRDefault="00D47D60" w:rsidP="00D47D60">
      <w:pPr>
        <w:spacing w:line="276" w:lineRule="auto"/>
        <w:ind w:left="851" w:right="822"/>
        <w:jc w:val="both"/>
        <w:rPr>
          <w:rFonts w:ascii="Palatino Linotype" w:hAnsi="Palatino Linotype"/>
          <w:i/>
        </w:rPr>
      </w:pPr>
      <w:r w:rsidRPr="001C4942">
        <w:rPr>
          <w:rFonts w:ascii="Palatino Linotype" w:hAnsi="Palatino Linotype"/>
          <w:i/>
        </w:rPr>
        <w:t xml:space="preserve">XIV. Estudiar, opinar y proponer programas, proyectos y acciones en materia de movilidad y cultura vial con la participación de los distintos sectores de la población, organismos públicos y privados para el desarrollo de éstos; </w:t>
      </w:r>
    </w:p>
    <w:p w:rsidR="00D47D60" w:rsidRPr="001C4942" w:rsidRDefault="00D47D60" w:rsidP="00D47D60">
      <w:pPr>
        <w:spacing w:line="276" w:lineRule="auto"/>
        <w:ind w:left="851" w:right="822"/>
        <w:jc w:val="both"/>
        <w:rPr>
          <w:rFonts w:ascii="Palatino Linotype" w:hAnsi="Palatino Linotype"/>
          <w:i/>
        </w:rPr>
      </w:pPr>
      <w:r w:rsidRPr="001C4942">
        <w:rPr>
          <w:rFonts w:ascii="Palatino Linotype" w:hAnsi="Palatino Linotype"/>
          <w:i/>
        </w:rPr>
        <w:t xml:space="preserve">XV. Operar, en el ámbito de su competencia, el Sistema Integral de Movilidad Sustentable para el Valle de Toluca, Previsto en la Ley de Movilidad del Estado de México; </w:t>
      </w:r>
    </w:p>
    <w:p w:rsidR="00D47D60" w:rsidRPr="001C4942" w:rsidRDefault="00D47D60" w:rsidP="00D47D60">
      <w:pPr>
        <w:spacing w:line="276" w:lineRule="auto"/>
        <w:ind w:left="851" w:right="822"/>
        <w:jc w:val="both"/>
        <w:rPr>
          <w:rFonts w:ascii="Palatino Linotype" w:hAnsi="Palatino Linotype"/>
          <w:i/>
        </w:rPr>
      </w:pPr>
      <w:r w:rsidRPr="001C4942">
        <w:rPr>
          <w:rFonts w:ascii="Palatino Linotype" w:hAnsi="Palatino Linotype"/>
          <w:i/>
        </w:rPr>
        <w:t xml:space="preserve">XVI. Dar seguimiento al desarrollo de conjuntos habitacionales y fraccionamiento en el territorio municipal para la revisión de proyectos de instalación de dispositivos de control de tránsito, en coordinación con otras dependencias municipales y estatales; y </w:t>
      </w:r>
    </w:p>
    <w:p w:rsidR="00D47D60" w:rsidRPr="001C4942" w:rsidRDefault="00D47D60" w:rsidP="00D47D60">
      <w:pPr>
        <w:spacing w:line="276" w:lineRule="auto"/>
        <w:ind w:left="851" w:right="822"/>
        <w:jc w:val="both"/>
        <w:rPr>
          <w:rFonts w:ascii="Palatino Linotype" w:eastAsia="Arial Unicode MS" w:hAnsi="Palatino Linotype" w:cs="Arial"/>
          <w:i/>
          <w:lang w:eastAsia="en-US"/>
        </w:rPr>
      </w:pPr>
      <w:r w:rsidRPr="001C4942">
        <w:rPr>
          <w:rFonts w:ascii="Palatino Linotype" w:hAnsi="Palatino Linotype"/>
          <w:i/>
        </w:rPr>
        <w:t>XVII. Las demás que les asignen otros ordenamientos, el presidente municipal y la o el Director General de Seguridad y Protección.</w:t>
      </w:r>
    </w:p>
    <w:p w:rsidR="00E37F67" w:rsidRPr="001C4942" w:rsidRDefault="00E37F67" w:rsidP="00BB3596">
      <w:pPr>
        <w:pBdr>
          <w:top w:val="nil"/>
          <w:left w:val="nil"/>
          <w:bottom w:val="nil"/>
          <w:right w:val="nil"/>
          <w:between w:val="nil"/>
        </w:pBdr>
        <w:spacing w:line="360" w:lineRule="auto"/>
        <w:jc w:val="both"/>
        <w:rPr>
          <w:rFonts w:ascii="Palatino Linotype" w:eastAsia="Palatino Linotype" w:hAnsi="Palatino Linotype" w:cs="Palatino Linotype"/>
          <w:b/>
          <w:bCs/>
          <w:color w:val="000000"/>
        </w:rPr>
      </w:pPr>
    </w:p>
    <w:p w:rsidR="00E37F67" w:rsidRPr="001C4942" w:rsidRDefault="00BB3596" w:rsidP="00D338FF">
      <w:pPr>
        <w:numPr>
          <w:ilvl w:val="0"/>
          <w:numId w:val="3"/>
        </w:numPr>
        <w:pBdr>
          <w:top w:val="nil"/>
          <w:left w:val="nil"/>
          <w:bottom w:val="nil"/>
          <w:right w:val="nil"/>
          <w:between w:val="nil"/>
        </w:pBdr>
        <w:spacing w:line="360" w:lineRule="auto"/>
        <w:ind w:left="0" w:firstLine="0"/>
        <w:jc w:val="both"/>
        <w:rPr>
          <w:rFonts w:ascii="Palatino Linotype" w:eastAsia="Palatino Linotype" w:hAnsi="Palatino Linotype" w:cs="Palatino Linotype"/>
          <w:bCs/>
          <w:color w:val="000000"/>
        </w:rPr>
      </w:pPr>
      <w:r w:rsidRPr="001C4942">
        <w:rPr>
          <w:rFonts w:ascii="Palatino Linotype" w:eastAsia="Palatino Linotype" w:hAnsi="Palatino Linotype" w:cs="Palatino Linotype"/>
          <w:bCs/>
          <w:color w:val="000000"/>
        </w:rPr>
        <w:t>Como se advierte</w:t>
      </w:r>
      <w:r w:rsidR="00C4070A" w:rsidRPr="001C4942">
        <w:rPr>
          <w:rFonts w:ascii="Palatino Linotype" w:eastAsia="Palatino Linotype" w:hAnsi="Palatino Linotype" w:cs="Palatino Linotype"/>
          <w:bCs/>
          <w:color w:val="000000"/>
        </w:rPr>
        <w:t>,</w:t>
      </w:r>
      <w:r w:rsidRPr="001C4942">
        <w:rPr>
          <w:rFonts w:ascii="Palatino Linotype" w:eastAsia="Palatino Linotype" w:hAnsi="Palatino Linotype" w:cs="Palatino Linotype"/>
          <w:bCs/>
          <w:color w:val="000000"/>
        </w:rPr>
        <w:t xml:space="preserve"> la Dirección de Sustentabilidad Vial tiene entre sus atribuciones la seguridad vial dentro del municipio, es decir, la encargada coadyuvar en la implementación del Programa Hoy no Circula en el Valle de Toluca, por lo tanto, se advierte que la respuesta fue emitida por el servidor público habilitado con facultades para genera</w:t>
      </w:r>
      <w:r w:rsidR="00C4070A" w:rsidRPr="001C4942">
        <w:rPr>
          <w:rFonts w:ascii="Palatino Linotype" w:eastAsia="Palatino Linotype" w:hAnsi="Palatino Linotype" w:cs="Palatino Linotype"/>
          <w:bCs/>
          <w:color w:val="000000"/>
        </w:rPr>
        <w:t>r</w:t>
      </w:r>
      <w:r w:rsidRPr="001C4942">
        <w:rPr>
          <w:rFonts w:ascii="Palatino Linotype" w:eastAsia="Palatino Linotype" w:hAnsi="Palatino Linotype" w:cs="Palatino Linotype"/>
          <w:bCs/>
          <w:color w:val="000000"/>
        </w:rPr>
        <w:t>, poseer o administrar la información solicitada</w:t>
      </w:r>
      <w:r w:rsidR="00C4070A" w:rsidRPr="001C4942">
        <w:rPr>
          <w:rFonts w:ascii="Palatino Linotype" w:eastAsia="Palatino Linotype" w:hAnsi="Palatino Linotype" w:cs="Palatino Linotype"/>
          <w:bCs/>
          <w:color w:val="000000"/>
        </w:rPr>
        <w:t xml:space="preserve">, dando cumplimiento al proceso de búsqueda señalado anteriormente. </w:t>
      </w:r>
      <w:r w:rsidR="00755B5D" w:rsidRPr="001C4942">
        <w:rPr>
          <w:rFonts w:ascii="Palatino Linotype" w:eastAsia="Palatino Linotype" w:hAnsi="Palatino Linotype" w:cs="Palatino Linotype"/>
          <w:bCs/>
          <w:color w:val="000000"/>
        </w:rPr>
        <w:t xml:space="preserve">Aunado a ello, se advierte que la Dirección de Sustentabilidad Vial tiene la atribución de proponer las alternativas de mejora para las acciones y planes orientados a la </w:t>
      </w:r>
      <w:r w:rsidR="00755B5D" w:rsidRPr="001C4942">
        <w:rPr>
          <w:rFonts w:ascii="Palatino Linotype" w:eastAsia="Palatino Linotype" w:hAnsi="Palatino Linotype" w:cs="Palatino Linotype"/>
          <w:bCs/>
          <w:color w:val="000000"/>
        </w:rPr>
        <w:lastRenderedPageBreak/>
        <w:t>seguridad vial en el Municipio</w:t>
      </w:r>
      <w:r w:rsidR="00864975" w:rsidRPr="001C4942">
        <w:rPr>
          <w:rFonts w:ascii="Palatino Linotype" w:eastAsia="Palatino Linotype" w:hAnsi="Palatino Linotype" w:cs="Palatino Linotype"/>
          <w:bCs/>
          <w:color w:val="000000"/>
        </w:rPr>
        <w:t>, así como de presentar proyectos operativos en materia de tránsito y vialidad con la federación, el estado, municipio y diversas organizaciones sociales.</w:t>
      </w:r>
    </w:p>
    <w:p w:rsidR="00E37F67" w:rsidRPr="001C4942" w:rsidRDefault="00E37F67" w:rsidP="00C4070A">
      <w:pPr>
        <w:pBdr>
          <w:top w:val="nil"/>
          <w:left w:val="nil"/>
          <w:bottom w:val="nil"/>
          <w:right w:val="nil"/>
          <w:between w:val="nil"/>
        </w:pBdr>
        <w:spacing w:line="360" w:lineRule="auto"/>
        <w:jc w:val="both"/>
        <w:rPr>
          <w:rFonts w:ascii="Palatino Linotype" w:eastAsia="Palatino Linotype" w:hAnsi="Palatino Linotype" w:cs="Palatino Linotype"/>
          <w:bCs/>
          <w:color w:val="000000"/>
        </w:rPr>
      </w:pPr>
    </w:p>
    <w:p w:rsidR="00C4070A" w:rsidRPr="001C4942" w:rsidRDefault="00C4070A" w:rsidP="00C4070A">
      <w:pPr>
        <w:numPr>
          <w:ilvl w:val="0"/>
          <w:numId w:val="3"/>
        </w:numPr>
        <w:pBdr>
          <w:top w:val="nil"/>
          <w:left w:val="nil"/>
          <w:bottom w:val="nil"/>
          <w:right w:val="nil"/>
          <w:between w:val="nil"/>
        </w:pBdr>
        <w:spacing w:line="360" w:lineRule="auto"/>
        <w:ind w:left="0" w:firstLine="0"/>
        <w:jc w:val="both"/>
        <w:rPr>
          <w:rFonts w:ascii="Palatino Linotype" w:eastAsia="Palatino Linotype" w:hAnsi="Palatino Linotype" w:cs="Palatino Linotype"/>
          <w:bCs/>
          <w:color w:val="000000"/>
        </w:rPr>
      </w:pPr>
      <w:r w:rsidRPr="001C4942">
        <w:rPr>
          <w:rFonts w:ascii="Palatino Linotype" w:eastAsia="Palatino Linotype" w:hAnsi="Palatino Linotype" w:cs="Palatino Linotype"/>
          <w:bCs/>
          <w:color w:val="000000"/>
        </w:rPr>
        <w:t>Ahora bien, recordemos que la Dirección de Sustentabilidad Vial señaló “…</w:t>
      </w:r>
      <w:r w:rsidRPr="001C4942">
        <w:rPr>
          <w:rFonts w:ascii="Palatino Linotype" w:eastAsia="Palatino Linotype" w:hAnsi="Palatino Linotype" w:cs="Palatino Linotype"/>
          <w:bCs/>
          <w:i/>
          <w:color w:val="000000"/>
        </w:rPr>
        <w:t>por lo que esta Dirección a mi cargo, coadyuva en realizar campañas de socialización, sensibilización y difusión, con el objetivo de establecer las medidas para limitar la circulación de los vehículos automotores y así poder controlar y reducir la contaminación y contingencia ambiental</w:t>
      </w:r>
      <w:r w:rsidRPr="001C4942">
        <w:rPr>
          <w:rFonts w:ascii="Palatino Linotype" w:eastAsia="Palatino Linotype" w:hAnsi="Palatino Linotype" w:cs="Palatino Linotype"/>
          <w:bCs/>
          <w:color w:val="000000"/>
        </w:rPr>
        <w:t>”, como se advierte, el sujeto obligado pretendió dar respuesta con un documento ad hoc</w:t>
      </w:r>
      <w:r w:rsidRPr="001C4942">
        <w:rPr>
          <w:rFonts w:ascii="Palatino Linotype" w:hAnsi="Palatino Linotype" w:cs="Arial"/>
          <w:bCs/>
        </w:rPr>
        <w:t>, es decir, un documento que se realizó para atender la solicitud; por lo que conviene traer a contexto el artículo 12 de la ley de la materia que señala:</w:t>
      </w:r>
    </w:p>
    <w:p w:rsidR="00C4070A" w:rsidRPr="001C4942" w:rsidRDefault="00C4070A" w:rsidP="00864975">
      <w:pPr>
        <w:pStyle w:val="Prrafodelista"/>
        <w:spacing w:line="276" w:lineRule="auto"/>
        <w:ind w:left="851" w:right="822"/>
        <w:jc w:val="both"/>
        <w:rPr>
          <w:rFonts w:ascii="Palatino Linotype" w:hAnsi="Palatino Linotype" w:cs="Arial"/>
          <w:bCs/>
          <w:i/>
        </w:rPr>
      </w:pPr>
      <w:r w:rsidRPr="001C4942">
        <w:rPr>
          <w:rFonts w:ascii="Palatino Linotype" w:hAnsi="Palatino Linotype" w:cs="Arial"/>
          <w:b/>
          <w:bCs/>
          <w:i/>
        </w:rPr>
        <w:t xml:space="preserve">“Artículo 12. </w:t>
      </w:r>
      <w:r w:rsidRPr="001C4942">
        <w:rPr>
          <w:rFonts w:ascii="Palatino Linotype" w:hAnsi="Palatino Linotype" w:cs="Arial"/>
          <w:bCs/>
          <w:i/>
        </w:rPr>
        <w:t>Quienes generen, recopilen, administren, manejen, procesen, archiven o conserven información pública serán responsables de la misma en los términos de las disposiciones jurídicas aplicables.</w:t>
      </w:r>
    </w:p>
    <w:p w:rsidR="00C4070A" w:rsidRPr="001C4942" w:rsidRDefault="00C4070A" w:rsidP="00864975">
      <w:pPr>
        <w:pStyle w:val="Prrafodelista"/>
        <w:spacing w:line="276" w:lineRule="auto"/>
        <w:ind w:left="851" w:right="822"/>
        <w:jc w:val="both"/>
        <w:rPr>
          <w:rFonts w:ascii="Palatino Linotype" w:hAnsi="Palatino Linotype" w:cs="Arial"/>
          <w:bCs/>
          <w:i/>
        </w:rPr>
      </w:pPr>
    </w:p>
    <w:p w:rsidR="00C4070A" w:rsidRPr="001C4942" w:rsidRDefault="00C4070A" w:rsidP="00864975">
      <w:pPr>
        <w:pStyle w:val="Prrafodelista"/>
        <w:spacing w:line="276" w:lineRule="auto"/>
        <w:ind w:left="851" w:right="822"/>
        <w:jc w:val="both"/>
        <w:rPr>
          <w:rFonts w:ascii="Palatino Linotype" w:hAnsi="Palatino Linotype" w:cs="Arial"/>
          <w:bCs/>
          <w:i/>
        </w:rPr>
      </w:pPr>
      <w:r w:rsidRPr="001C4942">
        <w:rPr>
          <w:rFonts w:ascii="Palatino Linotype" w:hAnsi="Palatino Linotype" w:cs="Arial"/>
          <w:bCs/>
          <w:i/>
        </w:rPr>
        <w:t xml:space="preserve">Los sujetos obligados </w:t>
      </w:r>
      <w:r w:rsidRPr="001C4942">
        <w:rPr>
          <w:rFonts w:ascii="Palatino Linotype" w:hAnsi="Palatino Linotype" w:cs="Arial"/>
          <w:b/>
          <w:bCs/>
          <w:i/>
        </w:rPr>
        <w:t>sólo proporcionarán la información pública que se les requiera y que obre en sus archivos</w:t>
      </w:r>
      <w:r w:rsidRPr="001C4942">
        <w:rPr>
          <w:rFonts w:ascii="Palatino Linotype" w:hAnsi="Palatino Linotype" w:cs="Arial"/>
          <w:bCs/>
          <w:i/>
        </w:rPr>
        <w:t xml:space="preserve"> </w:t>
      </w:r>
      <w:r w:rsidRPr="001C4942">
        <w:rPr>
          <w:rFonts w:ascii="Palatino Linotype" w:hAnsi="Palatino Linotype" w:cs="Arial"/>
          <w:b/>
          <w:bCs/>
          <w:i/>
        </w:rPr>
        <w:t xml:space="preserve">y en el </w:t>
      </w:r>
      <w:r w:rsidRPr="001C4942">
        <w:rPr>
          <w:rFonts w:ascii="Palatino Linotype" w:hAnsi="Palatino Linotype" w:cs="Arial"/>
          <w:b/>
          <w:bCs/>
          <w:i/>
          <w:u w:val="single"/>
        </w:rPr>
        <w:t>estado en que ésta se encuentre.</w:t>
      </w:r>
      <w:r w:rsidRPr="001C4942">
        <w:rPr>
          <w:rFonts w:ascii="Palatino Linotype" w:hAnsi="Palatino Linotype" w:cs="Arial"/>
          <w:bCs/>
          <w:i/>
        </w:rPr>
        <w:t xml:space="preserve"> La obligación de proporcionar información </w:t>
      </w:r>
      <w:r w:rsidRPr="001C4942">
        <w:rPr>
          <w:rFonts w:ascii="Palatino Linotype" w:hAnsi="Palatino Linotype" w:cs="Arial"/>
          <w:b/>
          <w:bCs/>
          <w:i/>
        </w:rPr>
        <w:t>no comprende</w:t>
      </w:r>
      <w:r w:rsidRPr="001C4942">
        <w:rPr>
          <w:rFonts w:ascii="Palatino Linotype" w:hAnsi="Palatino Linotype" w:cs="Arial"/>
          <w:bCs/>
          <w:i/>
        </w:rPr>
        <w:t xml:space="preserve"> el procesamiento de la misma, ni el presentarla conforme al interés del solicitante; no estarán obligados a generarla, resumirla, efectuar cálculos o práctica investigaciones.”</w:t>
      </w:r>
    </w:p>
    <w:p w:rsidR="00C4070A" w:rsidRPr="001C4942" w:rsidRDefault="00C4070A" w:rsidP="00C4070A">
      <w:pPr>
        <w:spacing w:line="360" w:lineRule="auto"/>
        <w:jc w:val="both"/>
        <w:rPr>
          <w:rFonts w:ascii="Palatino Linotype" w:hAnsi="Palatino Linotype" w:cs="Arial"/>
          <w:bCs/>
        </w:rPr>
      </w:pPr>
    </w:p>
    <w:p w:rsidR="00864975" w:rsidRPr="001C4942" w:rsidRDefault="00C4070A" w:rsidP="00864975">
      <w:pPr>
        <w:pStyle w:val="Prrafodelista"/>
        <w:numPr>
          <w:ilvl w:val="0"/>
          <w:numId w:val="3"/>
        </w:numPr>
        <w:spacing w:line="360" w:lineRule="auto"/>
        <w:ind w:left="0" w:firstLine="0"/>
        <w:jc w:val="both"/>
        <w:rPr>
          <w:rFonts w:ascii="Palatino Linotype" w:hAnsi="Palatino Linotype" w:cs="Arial"/>
          <w:bCs/>
        </w:rPr>
      </w:pPr>
      <w:r w:rsidRPr="001C4942">
        <w:rPr>
          <w:rFonts w:ascii="Palatino Linotype" w:hAnsi="Palatino Linotype" w:cs="Arial"/>
          <w:bCs/>
        </w:rPr>
        <w:t xml:space="preserve">El precepto legal señala que no están obligados a procesar, ni presentarla conforme al interés del solicitante, resumirla, efectuar cálculos o generar nuevos documentos para atender una solicitud, la ley tampoco lo prohíbe, es decir, los </w:t>
      </w:r>
      <w:r w:rsidRPr="001C4942">
        <w:rPr>
          <w:rFonts w:ascii="Palatino Linotype" w:hAnsi="Palatino Linotype" w:cs="Arial"/>
          <w:b/>
          <w:bCs/>
        </w:rPr>
        <w:t>SUJETOS OBLIGADOS</w:t>
      </w:r>
      <w:r w:rsidRPr="001C4942">
        <w:rPr>
          <w:rFonts w:ascii="Palatino Linotype" w:hAnsi="Palatino Linotype" w:cs="Arial"/>
          <w:bCs/>
        </w:rPr>
        <w:t xml:space="preserve"> pueden adoptar como buena práctica para atender las solicitudes de acceso a información pública la elaboración de documentos que satisfagan el derecho, dicho de otro modo, pueden proporcionar la información que atienda las solicitudes, proporcionando aquella información que atienda de manera  exacta, concreta y completa dado que no están </w:t>
      </w:r>
      <w:r w:rsidRPr="001C4942">
        <w:rPr>
          <w:rFonts w:ascii="Palatino Linotype" w:hAnsi="Palatino Linotype" w:cs="Arial"/>
          <w:bCs/>
        </w:rPr>
        <w:lastRenderedPageBreak/>
        <w:t xml:space="preserve">impedidos y no es una prohibición que la ley contemple, por ello, la generación de documentos </w:t>
      </w:r>
      <w:r w:rsidRPr="001C4942">
        <w:rPr>
          <w:rFonts w:ascii="Palatino Linotype" w:hAnsi="Palatino Linotype" w:cs="Arial"/>
          <w:b/>
          <w:bCs/>
        </w:rPr>
        <w:t>ad hoc</w:t>
      </w:r>
      <w:r w:rsidRPr="001C4942">
        <w:rPr>
          <w:rFonts w:ascii="Palatino Linotype" w:hAnsi="Palatino Linotype" w:cs="Arial"/>
          <w:bCs/>
        </w:rPr>
        <w:t>, puede llevar a cabo siempre y cuan</w:t>
      </w:r>
      <w:r w:rsidR="00755B5D" w:rsidRPr="001C4942">
        <w:rPr>
          <w:rFonts w:ascii="Palatino Linotype" w:hAnsi="Palatino Linotype" w:cs="Arial"/>
          <w:bCs/>
        </w:rPr>
        <w:t xml:space="preserve">do se </w:t>
      </w:r>
      <w:r w:rsidRPr="001C4942">
        <w:rPr>
          <w:rFonts w:ascii="Palatino Linotype" w:hAnsi="Palatino Linotype" w:cs="Arial"/>
          <w:bCs/>
        </w:rPr>
        <w:t>garantice el derecho, en este caso, con la respuesta del Sujeto Obligado no se puede dar por colmado el requerimiento del Recurrente</w:t>
      </w:r>
      <w:r w:rsidR="00864975" w:rsidRPr="001C4942">
        <w:rPr>
          <w:rFonts w:ascii="Palatino Linotype" w:hAnsi="Palatino Linotype" w:cs="Arial"/>
          <w:bCs/>
        </w:rPr>
        <w:t>, por lo tanto, es procedente ordenar una búsqueda exhaustiva de la información y ordenar su entrega.</w:t>
      </w:r>
    </w:p>
    <w:p w:rsidR="00864975" w:rsidRPr="001C4942" w:rsidRDefault="00864975" w:rsidP="00864975">
      <w:pPr>
        <w:pStyle w:val="Prrafodelista"/>
        <w:spacing w:line="360" w:lineRule="auto"/>
        <w:ind w:left="0"/>
        <w:jc w:val="both"/>
        <w:rPr>
          <w:rFonts w:ascii="Palatino Linotype" w:hAnsi="Palatino Linotype" w:cs="Arial"/>
          <w:bCs/>
        </w:rPr>
      </w:pPr>
    </w:p>
    <w:p w:rsidR="00864975" w:rsidRPr="001C4942" w:rsidRDefault="00864975" w:rsidP="00864975">
      <w:pPr>
        <w:pStyle w:val="Prrafodelista"/>
        <w:numPr>
          <w:ilvl w:val="0"/>
          <w:numId w:val="3"/>
        </w:numPr>
        <w:spacing w:line="360" w:lineRule="auto"/>
        <w:ind w:left="0" w:firstLine="0"/>
        <w:jc w:val="both"/>
        <w:rPr>
          <w:rFonts w:ascii="Palatino Linotype" w:hAnsi="Palatino Linotype" w:cs="Arial"/>
          <w:bCs/>
        </w:rPr>
      </w:pPr>
      <w:r w:rsidRPr="001C4942">
        <w:rPr>
          <w:rFonts w:ascii="Palatino Linotype" w:eastAsiaTheme="minorEastAsia" w:hAnsi="Palatino Linotype" w:cstheme="minorBidi"/>
          <w:color w:val="000000" w:themeColor="text1"/>
        </w:rPr>
        <w:t>Establecido lo anterior</w:t>
      </w:r>
      <w:r w:rsidRPr="001C4942">
        <w:rPr>
          <w:rFonts w:ascii="Palatino Linotype" w:eastAsia="MS Mincho" w:hAnsi="Palatino Linotype" w:cs="Arial"/>
          <w:color w:val="000000" w:themeColor="text1"/>
          <w:lang w:val="es-ES_tradnl"/>
        </w:rPr>
        <w:t xml:space="preserve">, el derecho de acceso a la información pública consiste en el </w:t>
      </w:r>
      <w:r w:rsidRPr="001C4942">
        <w:rPr>
          <w:rFonts w:ascii="Palatino Linotype" w:eastAsia="MS Mincho" w:hAnsi="Palatino Linotype" w:cs="Arial"/>
          <w:b/>
          <w:color w:val="000000" w:themeColor="text1"/>
          <w:lang w:val="es-ES_tradnl"/>
        </w:rPr>
        <w:t>acceso a documentos</w:t>
      </w:r>
      <w:r w:rsidRPr="001C4942">
        <w:rPr>
          <w:rFonts w:ascii="Palatino Linotype" w:eastAsia="MS Mincho" w:hAnsi="Palatino Linotype" w:cs="Arial"/>
          <w:color w:val="000000" w:themeColor="text1"/>
          <w:lang w:val="es-ES_tradnl"/>
        </w:rPr>
        <w:t xml:space="preserve"> generados, poseídos o administrados por la autoridad, en ejercicio de sus funciones, con antelación a que fuera presentada la solicitud de acceso a la información pública.</w:t>
      </w:r>
    </w:p>
    <w:p w:rsidR="00864975" w:rsidRPr="001C4942" w:rsidRDefault="00864975" w:rsidP="00864975">
      <w:pPr>
        <w:pStyle w:val="Prrafodelista"/>
        <w:rPr>
          <w:rFonts w:ascii="Palatino Linotype" w:eastAsia="MS Mincho" w:hAnsi="Palatino Linotype" w:cs="Arial"/>
          <w:color w:val="000000" w:themeColor="text1"/>
          <w:lang w:val="es-ES_tradnl"/>
        </w:rPr>
      </w:pPr>
    </w:p>
    <w:p w:rsidR="00864975" w:rsidRPr="001C4942" w:rsidRDefault="00864975" w:rsidP="00864975">
      <w:pPr>
        <w:pStyle w:val="Prrafodelista"/>
        <w:numPr>
          <w:ilvl w:val="0"/>
          <w:numId w:val="3"/>
        </w:numPr>
        <w:spacing w:line="360" w:lineRule="auto"/>
        <w:ind w:left="0" w:firstLine="0"/>
        <w:jc w:val="both"/>
        <w:rPr>
          <w:rFonts w:ascii="Palatino Linotype" w:hAnsi="Palatino Linotype" w:cs="Arial"/>
          <w:bCs/>
        </w:rPr>
      </w:pPr>
      <w:r w:rsidRPr="001C4942">
        <w:rPr>
          <w:rFonts w:ascii="Palatino Linotype" w:eastAsia="MS Mincho" w:hAnsi="Palatino Linotype" w:cs="Arial"/>
          <w:color w:val="000000" w:themeColor="text1"/>
          <w:lang w:val="es-ES_tradnl"/>
        </w:rPr>
        <w:t xml:space="preserve">Así, el </w:t>
      </w:r>
      <w:r w:rsidRPr="001C4942">
        <w:rPr>
          <w:rFonts w:ascii="Palatino Linotype" w:eastAsia="MS Mincho" w:hAnsi="Palatino Linotype" w:cs="Arial"/>
          <w:color w:val="000000" w:themeColor="text1"/>
        </w:rPr>
        <w:t>Criterio</w:t>
      </w:r>
      <w:r w:rsidRPr="001C4942">
        <w:rPr>
          <w:rFonts w:ascii="Palatino Linotype" w:eastAsia="MS Mincho" w:hAnsi="Palatino Linotype" w:cs="Arial"/>
          <w:color w:val="000000" w:themeColor="text1"/>
          <w:lang w:val="es-ES_tradnl"/>
        </w:rPr>
        <w:t xml:space="preserve"> </w:t>
      </w:r>
      <w:r w:rsidRPr="001C4942">
        <w:rPr>
          <w:rFonts w:ascii="Palatino Linotype" w:eastAsia="MS Mincho" w:hAnsi="Palatino Linotype" w:cs="Arial"/>
          <w:color w:val="000000" w:themeColor="text1"/>
        </w:rPr>
        <w:t>028-10</w:t>
      </w:r>
      <w:r w:rsidRPr="001C4942">
        <w:rPr>
          <w:rFonts w:ascii="Palatino Linotype" w:eastAsia="MS Mincho" w:hAnsi="Palatino Linotype" w:cs="Arial"/>
          <w:color w:val="000000" w:themeColor="text1"/>
          <w:lang w:val="es-ES_tradnl"/>
        </w:rPr>
        <w:t xml:space="preserve"> </w:t>
      </w:r>
      <w:r w:rsidRPr="001C4942">
        <w:rPr>
          <w:rFonts w:ascii="Palatino Linotype" w:eastAsia="MS Mincho" w:hAnsi="Palatino Linotype" w:cs="Arial"/>
          <w:color w:val="000000" w:themeColor="text1"/>
        </w:rPr>
        <w:t>emitido por</w:t>
      </w:r>
      <w:r w:rsidRPr="001C4942">
        <w:rPr>
          <w:rFonts w:ascii="Palatino Linotype" w:eastAsia="MS Mincho" w:hAnsi="Palatino Linotype" w:cs="Arial"/>
          <w:color w:val="000000" w:themeColor="text1"/>
          <w:lang w:val="es-ES_tradnl"/>
        </w:rPr>
        <w:t xml:space="preserve"> el Pleno del entonces llamado </w:t>
      </w:r>
      <w:r w:rsidRPr="001C4942">
        <w:rPr>
          <w:rFonts w:ascii="Palatino Linotype" w:eastAsia="MS Mincho" w:hAnsi="Palatino Linotype" w:cs="Arial"/>
          <w:color w:val="000000" w:themeColor="text1"/>
        </w:rPr>
        <w:t>Instituto Federal de Acceso a la Información y Protección de Datos, est</w:t>
      </w:r>
      <w:r w:rsidRPr="001C4942">
        <w:rPr>
          <w:rFonts w:ascii="Palatino Linotype" w:eastAsia="MS Mincho" w:hAnsi="Palatino Linotype" w:cs="Arial"/>
          <w:color w:val="000000" w:themeColor="text1"/>
          <w:lang w:val="es-ES_tradnl"/>
        </w:rPr>
        <w:t xml:space="preserve">ablece que se deberá garantizar </w:t>
      </w:r>
      <w:r w:rsidRPr="001C4942">
        <w:rPr>
          <w:rFonts w:ascii="Palatino Linotype" w:eastAsia="MS Mincho" w:hAnsi="Palatino Linotype" w:cs="Arial"/>
          <w:color w:val="000000" w:themeColor="text1"/>
        </w:rPr>
        <w:t xml:space="preserve">el acceso a la información contenida en documentos que los sujetos obligados generen, obtengan, adquieran, transformen o conserven por cualquier título; que se entienden como cualquier registro que documente el ejercicio de las facultades o la actividad de los sujetos obligados sin importar su fuente o fecha de elaboración, y lo anterior sin importar que </w:t>
      </w:r>
      <w:r w:rsidRPr="001C4942">
        <w:rPr>
          <w:rFonts w:ascii="Palatino Linotype" w:eastAsia="MS Mincho" w:hAnsi="Palatino Linotype" w:cs="Arial"/>
          <w:color w:val="000000" w:themeColor="text1"/>
          <w:lang w:val="es-ES_tradnl"/>
        </w:rPr>
        <w:t xml:space="preserve"> </w:t>
      </w:r>
      <w:r w:rsidRPr="001C4942">
        <w:rPr>
          <w:rFonts w:ascii="Palatino Linotype" w:eastAsia="MS Mincho" w:hAnsi="Palatino Linotype" w:cs="Arial"/>
          <w:color w:val="000000" w:themeColor="text1"/>
        </w:rPr>
        <w:t>particular lleve a cabo una solicitud de información sin identificar de forma precisa la do</w:t>
      </w:r>
      <w:r w:rsidRPr="001C4942">
        <w:rPr>
          <w:rFonts w:ascii="Palatino Linotype" w:eastAsia="MS Mincho" w:hAnsi="Palatino Linotype" w:cs="Arial"/>
          <w:color w:val="000000" w:themeColor="text1"/>
          <w:lang w:val="es-ES_tradnl"/>
        </w:rPr>
        <w:t xml:space="preserve">cumentación a la que requiere acceso, como a continuación se observa: </w:t>
      </w:r>
    </w:p>
    <w:p w:rsidR="00864975" w:rsidRPr="001C4942" w:rsidRDefault="00864975" w:rsidP="00864975">
      <w:pPr>
        <w:spacing w:before="240" w:after="360" w:line="276" w:lineRule="auto"/>
        <w:ind w:left="851" w:right="822"/>
        <w:contextualSpacing/>
        <w:jc w:val="both"/>
        <w:rPr>
          <w:rFonts w:ascii="Palatino Linotype" w:eastAsia="MS Mincho" w:hAnsi="Palatino Linotype" w:cs="Arial"/>
          <w:i/>
          <w:iCs/>
          <w:color w:val="000000" w:themeColor="text1"/>
          <w:lang w:val="es-ES_tradnl"/>
        </w:rPr>
      </w:pPr>
      <w:r w:rsidRPr="001C4942">
        <w:rPr>
          <w:rFonts w:ascii="Palatino Linotype" w:eastAsia="MS Mincho" w:hAnsi="Palatino Linotype" w:cs="Arial"/>
          <w:b/>
          <w:bCs/>
          <w:i/>
          <w:iCs/>
          <w:color w:val="000000" w:themeColor="text1"/>
          <w:lang w:val="es-ES_tradnl"/>
        </w:rPr>
        <w:t>“Cuando en una solicitud de información no se identifique un documento en específico, si ésta tiene una expresión documental, el sujeto obligado deberá entregar al particular el documento en específico.</w:t>
      </w:r>
      <w:r w:rsidRPr="001C4942">
        <w:rPr>
          <w:rFonts w:ascii="Palatino Linotype" w:eastAsia="MS Mincho" w:hAnsi="Palatino Linotype" w:cs="Arial"/>
          <w:i/>
          <w:iCs/>
          <w:color w:val="000000" w:themeColor="text1"/>
          <w:lang w:val="es-ES_tradnl"/>
        </w:rPr>
        <w:t xml:space="preserve"> La Ley Federal de Transparencia y Acceso a la Información Pública Gubernamental tiene por objeto garantizar el acceso a la información contenida en documentos que los sujetos obligados generen, obtengan, adquieran, transformen o conserven por cualquier título; que se entienden como cualquier registro que documente el ejercicio de las </w:t>
      </w:r>
      <w:r w:rsidRPr="001C4942">
        <w:rPr>
          <w:rFonts w:ascii="Palatino Linotype" w:eastAsia="MS Mincho" w:hAnsi="Palatino Linotype" w:cs="Arial"/>
          <w:i/>
          <w:iCs/>
          <w:color w:val="000000" w:themeColor="text1"/>
          <w:lang w:val="es-ES_tradnl"/>
        </w:rPr>
        <w:lastRenderedPageBreak/>
        <w:t>facultades o la actividad de los sujetos obligados sin importar su fuente o fecha de elaboración. En este sentido, cuando el particular lleve a cabo una solicitud de información sin identificar de forma precisa la documentación específica que pudiera contener dicha información, o bien pareciera que más bien la solicitud se constituye como una consulta y no como una solicitud de acceso en términos de la Ley Federal de Transparencia y Acceso a la Información Pública Gubernamental, pero su respuesta puede obrar en algún documento, el sujeto obligado debe dar a la solicitud una interpretación que le dé una expresión documental. Es decir, si la respuesta a la solicitud obra en algún documento en poder de la autoridad, pero el particular no hace referencia específica a tal documento, se deberá hacer entrega del mismo al solicitante.”</w:t>
      </w:r>
    </w:p>
    <w:p w:rsidR="00864975" w:rsidRPr="001C4942" w:rsidRDefault="00864975" w:rsidP="00864975">
      <w:pPr>
        <w:spacing w:before="240" w:after="360" w:line="360" w:lineRule="auto"/>
        <w:ind w:right="616"/>
        <w:contextualSpacing/>
        <w:jc w:val="both"/>
        <w:rPr>
          <w:rFonts w:ascii="Palatino Linotype" w:eastAsia="MS Mincho" w:hAnsi="Palatino Linotype" w:cs="Arial"/>
          <w:i/>
          <w:iCs/>
          <w:color w:val="000000" w:themeColor="text1"/>
          <w:lang w:val="es-ES_tradnl"/>
        </w:rPr>
      </w:pPr>
    </w:p>
    <w:p w:rsidR="00864975" w:rsidRPr="001C4942" w:rsidRDefault="00864975" w:rsidP="00864975">
      <w:pPr>
        <w:pStyle w:val="Prrafodelista"/>
        <w:numPr>
          <w:ilvl w:val="0"/>
          <w:numId w:val="3"/>
        </w:numPr>
        <w:spacing w:before="240" w:after="360" w:line="360" w:lineRule="auto"/>
        <w:ind w:left="0" w:firstLine="0"/>
        <w:jc w:val="both"/>
        <w:rPr>
          <w:rFonts w:ascii="Palatino Linotype" w:eastAsia="MS Mincho" w:hAnsi="Palatino Linotype" w:cs="Arial"/>
          <w:color w:val="000000" w:themeColor="text1"/>
          <w:lang w:val="es-ES_tradnl"/>
        </w:rPr>
      </w:pPr>
      <w:r w:rsidRPr="001C4942">
        <w:rPr>
          <w:rFonts w:ascii="Palatino Linotype" w:eastAsia="MS Mincho" w:hAnsi="Palatino Linotype" w:cs="Arial"/>
          <w:color w:val="000000" w:themeColor="text1"/>
        </w:rPr>
        <w:t xml:space="preserve">Robustece lo anterior </w:t>
      </w:r>
      <w:r w:rsidRPr="001C4942">
        <w:rPr>
          <w:rFonts w:ascii="Palatino Linotype" w:eastAsia="MS Mincho" w:hAnsi="Palatino Linotype" w:cs="Arial"/>
          <w:color w:val="000000" w:themeColor="text1"/>
          <w:lang w:val="es-ES_tradnl"/>
        </w:rPr>
        <w:t>el criterio orientador 16/17 emitido de igual forma por el Instituto Nacional de Transparencia, Acceso a la Información y Protección de Datos Personales que a la literalidad prevé:</w:t>
      </w:r>
    </w:p>
    <w:p w:rsidR="00864975" w:rsidRPr="001C4942" w:rsidRDefault="00864975" w:rsidP="00FF00BE">
      <w:pPr>
        <w:spacing w:before="240" w:after="360" w:line="276" w:lineRule="auto"/>
        <w:ind w:left="851" w:right="822"/>
        <w:contextualSpacing/>
        <w:jc w:val="both"/>
        <w:rPr>
          <w:rFonts w:ascii="Palatino Linotype" w:eastAsia="MS Mincho" w:hAnsi="Palatino Linotype" w:cs="Arial"/>
          <w:i/>
          <w:color w:val="000000" w:themeColor="text1"/>
          <w:lang w:val="es-ES_tradnl"/>
        </w:rPr>
      </w:pPr>
      <w:r w:rsidRPr="001C4942">
        <w:rPr>
          <w:rFonts w:ascii="Palatino Linotype" w:eastAsia="MS Mincho" w:hAnsi="Palatino Linotype" w:cs="Arial"/>
          <w:b/>
          <w:i/>
          <w:color w:val="000000" w:themeColor="text1"/>
          <w:lang w:val="es-ES_tradnl"/>
        </w:rPr>
        <w:t>“Expresión documental</w:t>
      </w:r>
      <w:r w:rsidRPr="001C4942">
        <w:rPr>
          <w:rFonts w:ascii="Palatino Linotype" w:eastAsia="MS Mincho" w:hAnsi="Palatino Linotype" w:cs="Arial"/>
          <w:i/>
          <w:color w:val="000000" w:themeColor="text1"/>
          <w:lang w:val="es-ES_tradnl"/>
        </w:rPr>
        <w:t xml:space="preserve">. Cuando los particulares presenten solicitudes de acceso a la información sin identificar de forma precisa la documentación que pudiera contener la información de su interés, o bien, la solicitud constituya una consulta, pero la respuesta pudiera obrar en algún documento en poder de los sujetos obligados, éstos deben dar a dichas solicitudes una interpretación que les otorgue una expresión documental. </w:t>
      </w:r>
    </w:p>
    <w:p w:rsidR="00864975" w:rsidRPr="001C4942" w:rsidRDefault="00864975" w:rsidP="00FF00BE">
      <w:pPr>
        <w:spacing w:before="240" w:after="360" w:line="276" w:lineRule="auto"/>
        <w:ind w:left="851" w:right="822"/>
        <w:contextualSpacing/>
        <w:jc w:val="both"/>
        <w:rPr>
          <w:rFonts w:ascii="Palatino Linotype" w:eastAsia="MS Mincho" w:hAnsi="Palatino Linotype" w:cs="Arial"/>
          <w:i/>
          <w:color w:val="000000" w:themeColor="text1"/>
          <w:lang w:val="es-ES_tradnl"/>
        </w:rPr>
      </w:pPr>
      <w:r w:rsidRPr="001C4942">
        <w:rPr>
          <w:rFonts w:ascii="Palatino Linotype" w:eastAsia="MS Mincho" w:hAnsi="Palatino Linotype" w:cs="Arial"/>
          <w:i/>
          <w:color w:val="000000" w:themeColor="text1"/>
          <w:lang w:val="es-ES_tradnl"/>
        </w:rPr>
        <w:t>Resoluciones:</w:t>
      </w:r>
    </w:p>
    <w:p w:rsidR="00864975" w:rsidRPr="001C4942" w:rsidRDefault="00864975" w:rsidP="00864975">
      <w:pPr>
        <w:spacing w:before="240" w:after="360" w:line="276" w:lineRule="auto"/>
        <w:ind w:left="851" w:right="822"/>
        <w:contextualSpacing/>
        <w:jc w:val="both"/>
        <w:rPr>
          <w:rFonts w:ascii="Palatino Linotype" w:eastAsia="MS Mincho" w:hAnsi="Palatino Linotype" w:cs="Arial"/>
          <w:i/>
          <w:color w:val="000000" w:themeColor="text1"/>
          <w:lang w:val="es-ES_tradnl"/>
        </w:rPr>
      </w:pPr>
      <w:r w:rsidRPr="001C4942">
        <w:rPr>
          <w:rFonts w:ascii="Palatino Linotype" w:eastAsia="MS Mincho" w:hAnsi="Palatino Linotype" w:cs="Arial"/>
          <w:i/>
          <w:color w:val="000000" w:themeColor="text1"/>
          <w:lang w:val="es-ES_tradnl"/>
        </w:rPr>
        <w:t>•</w:t>
      </w:r>
      <w:r w:rsidRPr="001C4942">
        <w:rPr>
          <w:rFonts w:ascii="Palatino Linotype" w:eastAsia="MS Mincho" w:hAnsi="Palatino Linotype" w:cs="Arial"/>
          <w:i/>
          <w:color w:val="000000" w:themeColor="text1"/>
          <w:lang w:val="es-ES_tradnl"/>
        </w:rPr>
        <w:tab/>
        <w:t>RRA 0774/16. Secretaría de Salud. 31 de agosto de 2016. Por unanimidad. Comisionada Ponente María Patricia Kurczyn Villalobos.</w:t>
      </w:r>
    </w:p>
    <w:p w:rsidR="00864975" w:rsidRPr="001C4942" w:rsidRDefault="00864975" w:rsidP="00864975">
      <w:pPr>
        <w:spacing w:before="240" w:after="360" w:line="276" w:lineRule="auto"/>
        <w:ind w:left="851" w:right="822"/>
        <w:contextualSpacing/>
        <w:jc w:val="both"/>
        <w:rPr>
          <w:rFonts w:ascii="Palatino Linotype" w:eastAsia="MS Mincho" w:hAnsi="Palatino Linotype" w:cs="Arial"/>
          <w:i/>
          <w:color w:val="000000" w:themeColor="text1"/>
          <w:lang w:val="es-ES_tradnl"/>
        </w:rPr>
      </w:pPr>
      <w:r w:rsidRPr="001C4942">
        <w:rPr>
          <w:rFonts w:ascii="Palatino Linotype" w:eastAsia="MS Mincho" w:hAnsi="Palatino Linotype" w:cs="Arial"/>
          <w:i/>
          <w:color w:val="000000" w:themeColor="text1"/>
          <w:lang w:val="es-ES_tradnl"/>
        </w:rPr>
        <w:t>•</w:t>
      </w:r>
      <w:r w:rsidRPr="001C4942">
        <w:rPr>
          <w:rFonts w:ascii="Palatino Linotype" w:eastAsia="MS Mincho" w:hAnsi="Palatino Linotype" w:cs="Arial"/>
          <w:i/>
          <w:color w:val="000000" w:themeColor="text1"/>
          <w:lang w:val="es-ES_tradnl"/>
        </w:rPr>
        <w:tab/>
        <w:t xml:space="preserve">RRA 0143/17. Universidad Autónoma Agraria Antonio Narro. 22 de febrero de 2017. Por unanimidad. Comisionado Ponente Oscar Mauricio Guerra Ford. </w:t>
      </w:r>
    </w:p>
    <w:p w:rsidR="00864975" w:rsidRPr="001C4942" w:rsidRDefault="00864975" w:rsidP="00864975">
      <w:pPr>
        <w:spacing w:before="240" w:after="360" w:line="276" w:lineRule="auto"/>
        <w:ind w:left="851" w:right="822"/>
        <w:contextualSpacing/>
        <w:jc w:val="both"/>
        <w:rPr>
          <w:rFonts w:ascii="Palatino Linotype" w:eastAsia="MS Mincho" w:hAnsi="Palatino Linotype" w:cs="Arial"/>
          <w:i/>
          <w:color w:val="000000" w:themeColor="text1"/>
          <w:lang w:val="es-ES_tradnl"/>
        </w:rPr>
      </w:pPr>
      <w:r w:rsidRPr="001C4942">
        <w:rPr>
          <w:rFonts w:ascii="Palatino Linotype" w:eastAsia="MS Mincho" w:hAnsi="Palatino Linotype" w:cs="Arial"/>
          <w:i/>
          <w:color w:val="000000" w:themeColor="text1"/>
          <w:lang w:val="es-ES_tradnl"/>
        </w:rPr>
        <w:t>•</w:t>
      </w:r>
      <w:r w:rsidRPr="001C4942">
        <w:rPr>
          <w:rFonts w:ascii="Palatino Linotype" w:eastAsia="MS Mincho" w:hAnsi="Palatino Linotype" w:cs="Arial"/>
          <w:i/>
          <w:color w:val="000000" w:themeColor="text1"/>
          <w:lang w:val="es-ES_tradnl"/>
        </w:rPr>
        <w:tab/>
        <w:t>RRA 0540/17. Secretaría de Economía. 08 de marzo del 2017. Por unanimidad. Comisionado Ponente Francisco Javier Acuña Llamas”</w:t>
      </w:r>
    </w:p>
    <w:p w:rsidR="00864975" w:rsidRPr="001C4942" w:rsidRDefault="00864975" w:rsidP="00864975">
      <w:pPr>
        <w:spacing w:before="240" w:after="360" w:line="360" w:lineRule="auto"/>
        <w:ind w:left="567" w:right="616"/>
        <w:contextualSpacing/>
        <w:jc w:val="both"/>
        <w:rPr>
          <w:rFonts w:ascii="Palatino Linotype" w:eastAsia="MS Mincho" w:hAnsi="Palatino Linotype" w:cs="Arial"/>
          <w:i/>
          <w:color w:val="000000" w:themeColor="text1"/>
          <w:lang w:val="es-ES_tradnl"/>
        </w:rPr>
      </w:pPr>
    </w:p>
    <w:p w:rsidR="00E37F67" w:rsidRPr="001C4942" w:rsidRDefault="00FF00BE" w:rsidP="00D338FF">
      <w:pPr>
        <w:numPr>
          <w:ilvl w:val="0"/>
          <w:numId w:val="3"/>
        </w:numPr>
        <w:pBdr>
          <w:top w:val="nil"/>
          <w:left w:val="nil"/>
          <w:bottom w:val="nil"/>
          <w:right w:val="nil"/>
          <w:between w:val="nil"/>
        </w:pBdr>
        <w:spacing w:line="360" w:lineRule="auto"/>
        <w:ind w:left="0" w:firstLine="0"/>
        <w:jc w:val="both"/>
        <w:rPr>
          <w:rFonts w:ascii="Palatino Linotype" w:eastAsia="Palatino Linotype" w:hAnsi="Palatino Linotype" w:cs="Palatino Linotype"/>
          <w:bCs/>
          <w:color w:val="000000"/>
        </w:rPr>
      </w:pPr>
      <w:r w:rsidRPr="001C4942">
        <w:rPr>
          <w:rFonts w:ascii="Palatino Linotype" w:eastAsia="Palatino Linotype" w:hAnsi="Palatino Linotype" w:cs="Palatino Linotype"/>
          <w:bCs/>
          <w:color w:val="000000"/>
        </w:rPr>
        <w:lastRenderedPageBreak/>
        <w:t xml:space="preserve">En el caso particular, no se advierte de forma precisa el documento al que desea acceder el particular, por ello, el Sujeto Obligado debe atender a lo establecido en párrafos anteriores e identificar el documento que pueda colmar el derecho de acceso a la información pública del particular, o en su caso, la elaboración de un documento ad hoc, siempre y cuando, este contenga la información requerida. </w:t>
      </w:r>
    </w:p>
    <w:p w:rsidR="00E37F67" w:rsidRPr="001C4942" w:rsidRDefault="00E37F67" w:rsidP="00FF00BE">
      <w:pPr>
        <w:pBdr>
          <w:top w:val="nil"/>
          <w:left w:val="nil"/>
          <w:bottom w:val="nil"/>
          <w:right w:val="nil"/>
          <w:between w:val="nil"/>
        </w:pBdr>
        <w:spacing w:line="360" w:lineRule="auto"/>
        <w:jc w:val="both"/>
        <w:rPr>
          <w:rFonts w:ascii="Palatino Linotype" w:eastAsia="Palatino Linotype" w:hAnsi="Palatino Linotype" w:cs="Palatino Linotype"/>
          <w:b/>
          <w:bCs/>
          <w:color w:val="000000"/>
        </w:rPr>
      </w:pPr>
    </w:p>
    <w:p w:rsidR="00D338FF" w:rsidRPr="001C4942" w:rsidRDefault="00D338FF" w:rsidP="00D338FF">
      <w:pPr>
        <w:numPr>
          <w:ilvl w:val="0"/>
          <w:numId w:val="3"/>
        </w:numPr>
        <w:pBdr>
          <w:top w:val="nil"/>
          <w:left w:val="nil"/>
          <w:bottom w:val="nil"/>
          <w:right w:val="nil"/>
          <w:between w:val="nil"/>
        </w:pBdr>
        <w:spacing w:line="360" w:lineRule="auto"/>
        <w:ind w:left="0" w:firstLine="0"/>
        <w:jc w:val="both"/>
        <w:rPr>
          <w:rFonts w:ascii="Palatino Linotype" w:eastAsia="Palatino Linotype" w:hAnsi="Palatino Linotype" w:cs="Palatino Linotype"/>
          <w:b/>
          <w:bCs/>
          <w:color w:val="000000"/>
        </w:rPr>
      </w:pPr>
      <w:r w:rsidRPr="001C4942">
        <w:rPr>
          <w:rFonts w:ascii="Palatino Linotype" w:eastAsia="Palatino Linotype" w:hAnsi="Palatino Linotype" w:cs="Palatino Linotype"/>
          <w:color w:val="000000"/>
        </w:rPr>
        <w:t xml:space="preserve">Por lo tanto, con lo expuesto en líneas anteriores y con fundamento en el artículo 186, fracción III, de la Ley de Transparencia y Acceso a la Información Pública del Estado de México y Municipios, este Instituto considera procedente </w:t>
      </w:r>
      <w:r w:rsidRPr="001C4942">
        <w:rPr>
          <w:rFonts w:ascii="Palatino Linotype" w:eastAsia="Palatino Linotype" w:hAnsi="Palatino Linotype" w:cs="Palatino Linotype"/>
          <w:b/>
          <w:bCs/>
          <w:color w:val="000000"/>
        </w:rPr>
        <w:t xml:space="preserve">REVOCAR </w:t>
      </w:r>
      <w:r w:rsidRPr="001C4942">
        <w:rPr>
          <w:rFonts w:ascii="Palatino Linotype" w:eastAsia="Palatino Linotype" w:hAnsi="Palatino Linotype" w:cs="Palatino Linotype"/>
          <w:color w:val="000000"/>
        </w:rPr>
        <w:t xml:space="preserve">la respuesta otorgada por el Sujeto Obligado, y determina que es dable </w:t>
      </w:r>
      <w:r w:rsidRPr="001C4942">
        <w:rPr>
          <w:rFonts w:ascii="Palatino Linotype" w:eastAsia="Palatino Linotype" w:hAnsi="Palatino Linotype" w:cs="Palatino Linotype"/>
          <w:b/>
          <w:bCs/>
          <w:color w:val="000000"/>
        </w:rPr>
        <w:t>ORDENAR</w:t>
      </w:r>
      <w:r w:rsidRPr="001C4942">
        <w:rPr>
          <w:rFonts w:ascii="Palatino Linotype" w:eastAsia="Palatino Linotype" w:hAnsi="Palatino Linotype" w:cs="Palatino Linotype"/>
          <w:color w:val="000000"/>
        </w:rPr>
        <w:t>, de ser procedente en versión pública, la siguiente información:</w:t>
      </w:r>
      <w:r w:rsidRPr="001C4942">
        <w:rPr>
          <w:rFonts w:ascii="Palatino Linotype" w:eastAsia="Palatino Linotype" w:hAnsi="Palatino Linotype" w:cs="Palatino Linotype"/>
          <w:b/>
          <w:bCs/>
          <w:color w:val="000000"/>
        </w:rPr>
        <w:t xml:space="preserve"> </w:t>
      </w:r>
    </w:p>
    <w:p w:rsidR="00D338FF" w:rsidRPr="001C4942" w:rsidRDefault="00FF00BE" w:rsidP="00D338FF">
      <w:pPr>
        <w:numPr>
          <w:ilvl w:val="0"/>
          <w:numId w:val="6"/>
        </w:numPr>
        <w:pBdr>
          <w:top w:val="nil"/>
          <w:left w:val="nil"/>
          <w:bottom w:val="nil"/>
          <w:right w:val="nil"/>
          <w:between w:val="nil"/>
        </w:pBdr>
        <w:spacing w:line="360" w:lineRule="auto"/>
        <w:ind w:left="851" w:right="822" w:firstLine="0"/>
        <w:jc w:val="both"/>
        <w:rPr>
          <w:rFonts w:ascii="Palatino Linotype" w:eastAsia="Palatino Linotype" w:hAnsi="Palatino Linotype" w:cs="Palatino Linotype"/>
          <w:b/>
          <w:bCs/>
          <w:color w:val="000000"/>
        </w:rPr>
      </w:pPr>
      <w:bookmarkStart w:id="6" w:name="_heading=h.mh3q47ksvucp" w:colFirst="0" w:colLast="0"/>
      <w:bookmarkEnd w:id="6"/>
      <w:r w:rsidRPr="001C4942">
        <w:rPr>
          <w:rFonts w:ascii="Palatino Linotype" w:eastAsia="Palatino Linotype" w:hAnsi="Palatino Linotype" w:cs="Palatino Linotype"/>
          <w:b/>
          <w:bCs/>
          <w:color w:val="000000"/>
        </w:rPr>
        <w:t xml:space="preserve">Soporte documental donde consten las acciones que se aplicarán para el cumplimiento del Programa Hoy No Circula por parte del Ayuntamiento de Toluca, vigentes al treinta de junio de 2025. </w:t>
      </w:r>
    </w:p>
    <w:p w:rsidR="00D338FF" w:rsidRPr="001C4942" w:rsidRDefault="00D338FF" w:rsidP="00D338FF">
      <w:pPr>
        <w:spacing w:line="360" w:lineRule="auto"/>
        <w:ind w:left="851" w:right="822"/>
        <w:jc w:val="both"/>
        <w:rPr>
          <w:rFonts w:ascii="Palatino Linotype" w:eastAsia="Palatino Linotype" w:hAnsi="Palatino Linotype" w:cs="Palatino Linotype"/>
          <w:b/>
          <w:bCs/>
        </w:rPr>
      </w:pPr>
    </w:p>
    <w:p w:rsidR="00D338FF" w:rsidRPr="001C4942" w:rsidRDefault="00D338FF" w:rsidP="00D338FF">
      <w:pPr>
        <w:spacing w:line="360" w:lineRule="auto"/>
        <w:ind w:right="822"/>
        <w:rPr>
          <w:rFonts w:ascii="Palatino Linotype" w:eastAsia="Palatino Linotype" w:hAnsi="Palatino Linotype" w:cs="Palatino Linotype"/>
          <w:b/>
          <w:bCs/>
        </w:rPr>
      </w:pPr>
      <w:r w:rsidRPr="001C4942">
        <w:rPr>
          <w:rFonts w:ascii="Palatino Linotype" w:eastAsia="Palatino Linotype" w:hAnsi="Palatino Linotype" w:cs="Palatino Linotype"/>
          <w:b/>
          <w:bCs/>
        </w:rPr>
        <w:t>QUINTO. De la versión pública.</w:t>
      </w:r>
    </w:p>
    <w:p w:rsidR="00D338FF" w:rsidRPr="001C4942" w:rsidRDefault="00D338FF" w:rsidP="00D338FF">
      <w:pPr>
        <w:numPr>
          <w:ilvl w:val="0"/>
          <w:numId w:val="3"/>
        </w:numPr>
        <w:pBdr>
          <w:top w:val="nil"/>
          <w:left w:val="nil"/>
          <w:bottom w:val="nil"/>
          <w:right w:val="nil"/>
          <w:between w:val="nil"/>
        </w:pBdr>
        <w:tabs>
          <w:tab w:val="left" w:pos="0"/>
        </w:tabs>
        <w:spacing w:line="360" w:lineRule="auto"/>
        <w:ind w:left="0" w:right="49" w:firstLine="0"/>
        <w:jc w:val="both"/>
        <w:rPr>
          <w:rFonts w:ascii="Palatino Linotype" w:eastAsia="Palatino Linotype" w:hAnsi="Palatino Linotype" w:cs="Palatino Linotype"/>
          <w:color w:val="000000"/>
        </w:rPr>
      </w:pPr>
      <w:r w:rsidRPr="001C4942">
        <w:rPr>
          <w:rFonts w:ascii="Palatino Linotype" w:eastAsia="Palatino Linotype" w:hAnsi="Palatino Linotype" w:cs="Palatino Linotype"/>
          <w:color w:val="000000"/>
        </w:rPr>
        <w:t>Debe destacarse que, debido a la naturaleza de la información solicitada</w:t>
      </w:r>
      <w:r w:rsidRPr="001C4942">
        <w:rPr>
          <w:rFonts w:ascii="Palatino Linotype" w:eastAsia="Palatino Linotype" w:hAnsi="Palatino Linotype" w:cs="Palatino Linotype"/>
          <w:b/>
          <w:bCs/>
          <w:color w:val="000000"/>
        </w:rPr>
        <w:t xml:space="preserve">, </w:t>
      </w:r>
      <w:r w:rsidRPr="001C4942">
        <w:rPr>
          <w:rFonts w:ascii="Palatino Linotype" w:eastAsia="Palatino Linotype" w:hAnsi="Palatino Linotype" w:cs="Palatino Linotype"/>
          <w:color w:val="000000"/>
        </w:rPr>
        <w:t xml:space="preserve">eventualmente pudiera obrar datos personales susceptibles de protegerse, así como información susceptible de clasificarse como reservada, el </w:t>
      </w:r>
      <w:r w:rsidRPr="001C4942">
        <w:rPr>
          <w:rFonts w:ascii="Palatino Linotype" w:eastAsia="Palatino Linotype" w:hAnsi="Palatino Linotype" w:cs="Palatino Linotype"/>
          <w:b/>
          <w:bCs/>
          <w:color w:val="000000"/>
        </w:rPr>
        <w:t xml:space="preserve">Sujeto Obligado </w:t>
      </w:r>
      <w:r w:rsidRPr="001C4942">
        <w:rPr>
          <w:rFonts w:ascii="Palatino Linotype" w:eastAsia="Palatino Linotype" w:hAnsi="Palatino Linotype" w:cs="Palatino Linotype"/>
          <w:color w:val="000000"/>
        </w:rPr>
        <w:t xml:space="preserve">deberá de hacer la adecuada versión pública, protegiendo los datos que no son susceptibles de ser proporcionados. </w:t>
      </w:r>
    </w:p>
    <w:p w:rsidR="00D338FF" w:rsidRPr="001C4942" w:rsidRDefault="00D338FF" w:rsidP="00D338FF">
      <w:pPr>
        <w:pBdr>
          <w:top w:val="nil"/>
          <w:left w:val="nil"/>
          <w:bottom w:val="nil"/>
          <w:right w:val="nil"/>
          <w:between w:val="nil"/>
        </w:pBdr>
        <w:tabs>
          <w:tab w:val="left" w:pos="0"/>
          <w:tab w:val="left" w:pos="284"/>
        </w:tabs>
        <w:spacing w:line="360" w:lineRule="auto"/>
        <w:ind w:right="49"/>
        <w:jc w:val="both"/>
        <w:rPr>
          <w:rFonts w:ascii="Palatino Linotype" w:eastAsia="Palatino Linotype" w:hAnsi="Palatino Linotype" w:cs="Palatino Linotype"/>
          <w:color w:val="000000"/>
        </w:rPr>
      </w:pPr>
    </w:p>
    <w:p w:rsidR="00D338FF" w:rsidRPr="001C4942" w:rsidRDefault="00D338FF" w:rsidP="00D338FF">
      <w:pPr>
        <w:numPr>
          <w:ilvl w:val="0"/>
          <w:numId w:val="3"/>
        </w:numPr>
        <w:tabs>
          <w:tab w:val="left" w:pos="284"/>
        </w:tabs>
        <w:spacing w:line="360" w:lineRule="auto"/>
        <w:ind w:left="0" w:right="49" w:firstLine="0"/>
        <w:jc w:val="both"/>
        <w:rPr>
          <w:rFonts w:ascii="Palatino Linotype" w:eastAsia="Palatino Linotype" w:hAnsi="Palatino Linotype" w:cs="Palatino Linotype"/>
        </w:rPr>
      </w:pPr>
      <w:r w:rsidRPr="001C4942">
        <w:rPr>
          <w:rFonts w:ascii="Palatino Linotype" w:eastAsia="Palatino Linotype" w:hAnsi="Palatino Linotype" w:cs="Palatino Linotype"/>
        </w:rPr>
        <w:t xml:space="preserve">No pasa desapercibido para este Órgano Garante que los </w:t>
      </w:r>
      <w:r w:rsidRPr="001C4942">
        <w:rPr>
          <w:rFonts w:ascii="Palatino Linotype" w:eastAsia="Palatino Linotype" w:hAnsi="Palatino Linotype" w:cs="Palatino Linotype"/>
          <w:b/>
          <w:bCs/>
        </w:rPr>
        <w:t xml:space="preserve">Sujetos Obligados </w:t>
      </w:r>
      <w:r w:rsidRPr="001C4942">
        <w:rPr>
          <w:rFonts w:ascii="Palatino Linotype" w:eastAsia="Palatino Linotype" w:hAnsi="Palatino Linotype" w:cs="Palatino Linotype"/>
        </w:rPr>
        <w:t xml:space="preserve">serán responsables de los datos personales en su posesión y que, en caso de localizarse datos concernientes a terceros, éstos no podrán difundir, distribuir o comercializar los datos </w:t>
      </w:r>
      <w:r w:rsidRPr="001C4942">
        <w:rPr>
          <w:rFonts w:ascii="Palatino Linotype" w:eastAsia="Palatino Linotype" w:hAnsi="Palatino Linotype" w:cs="Palatino Linotype"/>
        </w:rPr>
        <w:lastRenderedPageBreak/>
        <w:t>personales. Cabe destacar que, para la realización de la clasificación de la información, se deben seguir una serie de pasos y procedimientos, por lo que es menester reiterar los mismos:</w:t>
      </w:r>
    </w:p>
    <w:p w:rsidR="00D338FF" w:rsidRPr="001C4942" w:rsidRDefault="00D338FF" w:rsidP="00D338FF">
      <w:pPr>
        <w:tabs>
          <w:tab w:val="left" w:pos="284"/>
        </w:tabs>
        <w:spacing w:line="360" w:lineRule="auto"/>
        <w:ind w:right="49"/>
        <w:jc w:val="both"/>
        <w:rPr>
          <w:rFonts w:ascii="Palatino Linotype" w:eastAsia="Palatino Linotype" w:hAnsi="Palatino Linotype" w:cs="Palatino Linotype"/>
        </w:rPr>
      </w:pPr>
    </w:p>
    <w:tbl>
      <w:tblPr>
        <w:tblW w:w="991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830"/>
        <w:gridCol w:w="7088"/>
      </w:tblGrid>
      <w:tr w:rsidR="00D338FF" w:rsidRPr="001C4942" w:rsidTr="001C4942">
        <w:tc>
          <w:tcPr>
            <w:tcW w:w="2830" w:type="dxa"/>
          </w:tcPr>
          <w:p w:rsidR="00D338FF" w:rsidRPr="001C4942" w:rsidRDefault="00D338FF" w:rsidP="00D338FF">
            <w:pPr>
              <w:tabs>
                <w:tab w:val="left" w:pos="284"/>
              </w:tabs>
              <w:spacing w:line="360" w:lineRule="auto"/>
              <w:rPr>
                <w:rFonts w:ascii="Palatino Linotype" w:eastAsia="Palatino Linotype" w:hAnsi="Palatino Linotype" w:cs="Palatino Linotype"/>
                <w:b/>
              </w:rPr>
            </w:pPr>
            <w:r w:rsidRPr="001C4942">
              <w:rPr>
                <w:rFonts w:ascii="Palatino Linotype" w:eastAsia="Palatino Linotype" w:hAnsi="Palatino Linotype" w:cs="Palatino Linotype"/>
                <w:b/>
              </w:rPr>
              <w:t>a) Requisitos previos.</w:t>
            </w:r>
          </w:p>
        </w:tc>
        <w:tc>
          <w:tcPr>
            <w:tcW w:w="7088" w:type="dxa"/>
          </w:tcPr>
          <w:p w:rsidR="00D338FF" w:rsidRPr="001C4942" w:rsidRDefault="00D338FF" w:rsidP="00D338FF">
            <w:pPr>
              <w:tabs>
                <w:tab w:val="left" w:pos="284"/>
              </w:tabs>
              <w:spacing w:line="276" w:lineRule="auto"/>
              <w:jc w:val="both"/>
              <w:rPr>
                <w:rFonts w:ascii="Palatino Linotype" w:eastAsia="Palatino Linotype" w:hAnsi="Palatino Linotype" w:cs="Palatino Linotype"/>
                <w:i/>
                <w:color w:val="000000"/>
              </w:rPr>
            </w:pPr>
            <w:r w:rsidRPr="001C4942">
              <w:rPr>
                <w:rFonts w:ascii="Palatino Linotype" w:eastAsia="Palatino Linotype" w:hAnsi="Palatino Linotype" w:cs="Palatino Linotype"/>
                <w:i/>
                <w:color w:val="000000"/>
              </w:rPr>
              <w:t xml:space="preserve">El artículo 122 de la Ley Estatal señala que si los Sujetos Obligados determinan que la información actualiza alguno de los supuestos de clasificación, es deber de los titulares de las áreas proponer su clasificación y no del Comité de Transparencia. </w:t>
            </w:r>
          </w:p>
          <w:p w:rsidR="00D338FF" w:rsidRPr="001C4942" w:rsidRDefault="00D338FF" w:rsidP="00D338FF">
            <w:pPr>
              <w:tabs>
                <w:tab w:val="left" w:pos="284"/>
              </w:tabs>
              <w:spacing w:line="276" w:lineRule="auto"/>
              <w:jc w:val="both"/>
              <w:rPr>
                <w:rFonts w:ascii="Palatino Linotype" w:eastAsia="Palatino Linotype" w:hAnsi="Palatino Linotype" w:cs="Palatino Linotype"/>
                <w:i/>
                <w:color w:val="000000"/>
              </w:rPr>
            </w:pPr>
            <w:r w:rsidRPr="001C4942">
              <w:rPr>
                <w:rFonts w:ascii="Palatino Linotype" w:eastAsia="Palatino Linotype" w:hAnsi="Palatino Linotype" w:cs="Palatino Linotype"/>
                <w:i/>
                <w:color w:val="000000"/>
              </w:rPr>
              <w:t>Al hacerlo tienen que precisar de qué información se trata, señalando el supuesto de clasificación (confidencialidad o reserva).</w:t>
            </w:r>
          </w:p>
          <w:p w:rsidR="00D338FF" w:rsidRPr="001C4942" w:rsidRDefault="00D338FF" w:rsidP="00D338FF">
            <w:pPr>
              <w:tabs>
                <w:tab w:val="left" w:pos="284"/>
              </w:tabs>
              <w:spacing w:line="276" w:lineRule="auto"/>
              <w:jc w:val="both"/>
              <w:rPr>
                <w:rFonts w:ascii="Palatino Linotype" w:eastAsia="Palatino Linotype" w:hAnsi="Palatino Linotype" w:cs="Palatino Linotype"/>
                <w:i/>
                <w:color w:val="000000"/>
              </w:rPr>
            </w:pPr>
            <w:r w:rsidRPr="001C4942">
              <w:rPr>
                <w:rFonts w:ascii="Palatino Linotype" w:eastAsia="Palatino Linotype" w:hAnsi="Palatino Linotype" w:cs="Palatino Linotype"/>
                <w:i/>
                <w:color w:val="000000"/>
              </w:rPr>
              <w:t>Además, se debe señalar el procedimiento, de los tres que establecen el artículo 132 de la Ley Estatal.</w:t>
            </w:r>
          </w:p>
          <w:p w:rsidR="00D338FF" w:rsidRPr="001C4942" w:rsidRDefault="00D338FF" w:rsidP="00D338FF">
            <w:pPr>
              <w:tabs>
                <w:tab w:val="left" w:pos="284"/>
              </w:tabs>
              <w:spacing w:line="276" w:lineRule="auto"/>
              <w:jc w:val="both"/>
              <w:rPr>
                <w:rFonts w:ascii="Palatino Linotype" w:eastAsia="Palatino Linotype" w:hAnsi="Palatino Linotype" w:cs="Palatino Linotype"/>
                <w:i/>
              </w:rPr>
            </w:pPr>
            <w:r w:rsidRPr="001C4942">
              <w:rPr>
                <w:rFonts w:ascii="Palatino Linotype" w:eastAsia="Palatino Linotype" w:hAnsi="Palatino Linotype" w:cs="Palatino Linotype"/>
                <w:i/>
                <w:color w:val="000000"/>
              </w:rPr>
              <w:t xml:space="preserve">El último de estos requisitos previos consiste en que no se pueden emitir acuerdos de carácter general ni particular, esto es, </w:t>
            </w:r>
            <w:r w:rsidRPr="001C4942">
              <w:rPr>
                <w:rFonts w:ascii="Palatino Linotype" w:eastAsia="Palatino Linotype" w:hAnsi="Palatino Linotype" w:cs="Palatino Linotype"/>
                <w:i/>
                <w:color w:val="000000"/>
                <w:u w:val="single"/>
              </w:rPr>
              <w:t>no se puede hacer un acuerdo para clasificar de manera general todos los documentos de un expediente o área, sin</w:t>
            </w:r>
            <w:r w:rsidRPr="001C4942">
              <w:rPr>
                <w:rFonts w:ascii="Palatino Linotype" w:eastAsia="Palatino Linotype" w:hAnsi="Palatino Linotype" w:cs="Palatino Linotype"/>
                <w:i/>
                <w:color w:val="000000"/>
              </w:rPr>
              <w:t xml:space="preserve"> individualizar su análisis y tampoco se puede hacer un acuerdo por cada dato que se vaya a clasificar dentro de un documento con diez datos, por ejemplo, susceptibles de ser clasificados.</w:t>
            </w:r>
          </w:p>
        </w:tc>
      </w:tr>
      <w:tr w:rsidR="00D338FF" w:rsidRPr="001C4942" w:rsidTr="001C4942">
        <w:tc>
          <w:tcPr>
            <w:tcW w:w="2830" w:type="dxa"/>
            <w:shd w:val="clear" w:color="auto" w:fill="D9D9D9" w:themeFill="background1" w:themeFillShade="D9"/>
          </w:tcPr>
          <w:p w:rsidR="00D338FF" w:rsidRPr="001C4942" w:rsidRDefault="00D338FF" w:rsidP="00D338FF">
            <w:pPr>
              <w:tabs>
                <w:tab w:val="left" w:pos="284"/>
              </w:tabs>
              <w:spacing w:line="360" w:lineRule="auto"/>
              <w:rPr>
                <w:rFonts w:ascii="Palatino Linotype" w:eastAsia="Palatino Linotype" w:hAnsi="Palatino Linotype" w:cs="Palatino Linotype"/>
                <w:b/>
              </w:rPr>
            </w:pPr>
            <w:r w:rsidRPr="001C4942">
              <w:rPr>
                <w:rFonts w:ascii="Palatino Linotype" w:eastAsia="Palatino Linotype" w:hAnsi="Palatino Linotype" w:cs="Palatino Linotype"/>
                <w:b/>
              </w:rPr>
              <w:t>b) Supuestos de clasificación.</w:t>
            </w:r>
          </w:p>
        </w:tc>
        <w:tc>
          <w:tcPr>
            <w:tcW w:w="7088" w:type="dxa"/>
            <w:shd w:val="clear" w:color="auto" w:fill="D9D9D9" w:themeFill="background1" w:themeFillShade="D9"/>
          </w:tcPr>
          <w:p w:rsidR="00D338FF" w:rsidRPr="001C4942" w:rsidRDefault="00D338FF" w:rsidP="00D338FF">
            <w:pPr>
              <w:tabs>
                <w:tab w:val="left" w:pos="284"/>
              </w:tabs>
              <w:spacing w:line="276" w:lineRule="auto"/>
              <w:jc w:val="both"/>
              <w:rPr>
                <w:rFonts w:ascii="Palatino Linotype" w:eastAsia="Palatino Linotype" w:hAnsi="Palatino Linotype" w:cs="Palatino Linotype"/>
                <w:i/>
                <w:color w:val="000000"/>
              </w:rPr>
            </w:pPr>
            <w:r w:rsidRPr="001C4942">
              <w:rPr>
                <w:rFonts w:ascii="Palatino Linotype" w:eastAsia="Palatino Linotype" w:hAnsi="Palatino Linotype" w:cs="Palatino Linotype"/>
                <w:i/>
                <w:color w:val="000000"/>
              </w:rPr>
              <w:t>Las disposiciones constitucionales y legales en la materia establecen los dos supuestos generales para clasificar la información: por reserva y por confidencialidad.</w:t>
            </w:r>
          </w:p>
          <w:p w:rsidR="00D338FF" w:rsidRPr="001C4942" w:rsidRDefault="00D338FF" w:rsidP="00D338FF">
            <w:pPr>
              <w:tabs>
                <w:tab w:val="left" w:pos="284"/>
              </w:tabs>
              <w:spacing w:line="276" w:lineRule="auto"/>
              <w:jc w:val="both"/>
              <w:rPr>
                <w:rFonts w:ascii="Palatino Linotype" w:eastAsia="Palatino Linotype" w:hAnsi="Palatino Linotype" w:cs="Palatino Linotype"/>
                <w:i/>
                <w:color w:val="000000"/>
              </w:rPr>
            </w:pPr>
            <w:r w:rsidRPr="001C4942">
              <w:rPr>
                <w:rFonts w:ascii="Palatino Linotype" w:eastAsia="Palatino Linotype" w:hAnsi="Palatino Linotype" w:cs="Palatino Linotype"/>
                <w:i/>
                <w:color w:val="000000"/>
              </w:rPr>
              <w:t>El artículo 143 de la Ley Estatal señala los supuestos para que la información pueda ser clasificada como confidencial. Mientras que el artículo 130 de la Ley Estatal señala que la aplicación de estos supuestos debe realizarse de manera restrictiva y limitada, por lo que debe acreditarse que se cumple con esta condición y no se pueden ampliar las excepciones o supuestos de clasificación aduciendo analogía o mayoría de razón.</w:t>
            </w:r>
          </w:p>
          <w:p w:rsidR="00D338FF" w:rsidRPr="001C4942" w:rsidRDefault="00D338FF" w:rsidP="00D338FF">
            <w:pPr>
              <w:tabs>
                <w:tab w:val="left" w:pos="284"/>
              </w:tabs>
              <w:spacing w:line="276" w:lineRule="auto"/>
              <w:jc w:val="both"/>
              <w:rPr>
                <w:rFonts w:ascii="Palatino Linotype" w:eastAsia="Palatino Linotype" w:hAnsi="Palatino Linotype" w:cs="Palatino Linotype"/>
                <w:i/>
              </w:rPr>
            </w:pPr>
            <w:r w:rsidRPr="001C4942">
              <w:rPr>
                <w:rFonts w:ascii="Palatino Linotype" w:eastAsia="Palatino Linotype" w:hAnsi="Palatino Linotype" w:cs="Palatino Linotype"/>
                <w:i/>
                <w:color w:val="000000"/>
              </w:rPr>
              <w:t xml:space="preserve">El </w:t>
            </w:r>
            <w:r w:rsidRPr="001C4942">
              <w:rPr>
                <w:rFonts w:ascii="Palatino Linotype" w:eastAsia="Palatino Linotype" w:hAnsi="Palatino Linotype" w:cs="Palatino Linotype"/>
                <w:b/>
                <w:i/>
                <w:color w:val="000000"/>
              </w:rPr>
              <w:t>Sujeto Obligado</w:t>
            </w:r>
            <w:r w:rsidRPr="001C4942">
              <w:rPr>
                <w:rFonts w:ascii="Palatino Linotype" w:eastAsia="Palatino Linotype" w:hAnsi="Palatino Linotype" w:cs="Palatino Linotype"/>
                <w:i/>
                <w:color w:val="000000"/>
              </w:rPr>
              <w:t xml:space="preserve"> debe identificar claramente el tipo de información y hacer un juicio de subsunción o encaje para acreditar que el supuesto de hecho corresponde estrictamente con la hipótesis jurídica. Esto </w:t>
            </w:r>
            <w:r w:rsidRPr="001C4942">
              <w:rPr>
                <w:rFonts w:ascii="Palatino Linotype" w:eastAsia="Palatino Linotype" w:hAnsi="Palatino Linotype" w:cs="Palatino Linotype"/>
                <w:i/>
                <w:color w:val="000000"/>
              </w:rPr>
              <w:lastRenderedPageBreak/>
              <w:t>también lo debe de realizar el servidor público habilitado y el titular del área que administra la información.</w:t>
            </w:r>
          </w:p>
        </w:tc>
      </w:tr>
      <w:tr w:rsidR="00D338FF" w:rsidRPr="001C4942" w:rsidTr="001C4942">
        <w:tc>
          <w:tcPr>
            <w:tcW w:w="2830" w:type="dxa"/>
          </w:tcPr>
          <w:p w:rsidR="00D338FF" w:rsidRPr="001C4942" w:rsidRDefault="00D338FF" w:rsidP="00D338FF">
            <w:pPr>
              <w:tabs>
                <w:tab w:val="left" w:pos="284"/>
              </w:tabs>
              <w:spacing w:line="360" w:lineRule="auto"/>
              <w:rPr>
                <w:rFonts w:ascii="Palatino Linotype" w:eastAsia="Palatino Linotype" w:hAnsi="Palatino Linotype" w:cs="Palatino Linotype"/>
                <w:b/>
              </w:rPr>
            </w:pPr>
            <w:r w:rsidRPr="001C4942">
              <w:rPr>
                <w:rFonts w:ascii="Palatino Linotype" w:eastAsia="Palatino Linotype" w:hAnsi="Palatino Linotype" w:cs="Palatino Linotype"/>
                <w:b/>
              </w:rPr>
              <w:lastRenderedPageBreak/>
              <w:t>c) Formalidades para emitir el acuerdo de clasificación.</w:t>
            </w:r>
          </w:p>
        </w:tc>
        <w:tc>
          <w:tcPr>
            <w:tcW w:w="7088" w:type="dxa"/>
          </w:tcPr>
          <w:p w:rsidR="00D338FF" w:rsidRPr="001C4942" w:rsidRDefault="00D338FF" w:rsidP="00D338FF">
            <w:pPr>
              <w:tabs>
                <w:tab w:val="left" w:pos="284"/>
              </w:tabs>
              <w:spacing w:line="276" w:lineRule="auto"/>
              <w:jc w:val="both"/>
              <w:rPr>
                <w:rFonts w:ascii="Palatino Linotype" w:eastAsia="Palatino Linotype" w:hAnsi="Palatino Linotype" w:cs="Palatino Linotype"/>
                <w:i/>
                <w:color w:val="000000"/>
              </w:rPr>
            </w:pPr>
            <w:r w:rsidRPr="001C4942">
              <w:rPr>
                <w:rFonts w:ascii="Palatino Linotype" w:eastAsia="Palatino Linotype" w:hAnsi="Palatino Linotype" w:cs="Palatino Linotype"/>
                <w:i/>
                <w:color w:val="000000"/>
              </w:rPr>
              <w:t xml:space="preserve">El Comité de Transparencia, según lo dispuesto en los artículos cuenta con las facultades para aprobar, modificar o revocar la clasificación de la información que haya propuesto. </w:t>
            </w:r>
          </w:p>
          <w:p w:rsidR="00D338FF" w:rsidRPr="001C4942" w:rsidRDefault="00D338FF" w:rsidP="00D338FF">
            <w:pPr>
              <w:tabs>
                <w:tab w:val="left" w:pos="284"/>
              </w:tabs>
              <w:spacing w:line="276" w:lineRule="auto"/>
              <w:jc w:val="both"/>
              <w:rPr>
                <w:rFonts w:ascii="Palatino Linotype" w:eastAsia="Palatino Linotype" w:hAnsi="Palatino Linotype" w:cs="Palatino Linotype"/>
                <w:i/>
                <w:color w:val="000000"/>
              </w:rPr>
            </w:pPr>
            <w:r w:rsidRPr="001C4942">
              <w:rPr>
                <w:rFonts w:ascii="Palatino Linotype" w:eastAsia="Palatino Linotype" w:hAnsi="Palatino Linotype" w:cs="Palatino Linotype"/>
                <w:i/>
                <w:color w:val="000000"/>
              </w:rPr>
              <w:t xml:space="preserve">Es necesario que </w:t>
            </w:r>
            <w:r w:rsidRPr="001C4942">
              <w:rPr>
                <w:rFonts w:ascii="Palatino Linotype" w:eastAsia="Palatino Linotype" w:hAnsi="Palatino Linotype" w:cs="Palatino Linotype"/>
                <w:b/>
                <w:i/>
                <w:color w:val="000000"/>
                <w:u w:val="single"/>
              </w:rPr>
              <w:t>el acto reúna con los requisitos elementales</w:t>
            </w:r>
            <w:r w:rsidRPr="001C4942">
              <w:rPr>
                <w:rFonts w:ascii="Palatino Linotype" w:eastAsia="Palatino Linotype" w:hAnsi="Palatino Linotype" w:cs="Palatino Linotype"/>
                <w:i/>
                <w:color w:val="000000"/>
              </w:rPr>
              <w:t>, entre ellos, que la autoridad que va a emitir el acto de autoridad sea la legalmente facultada para ello.</w:t>
            </w:r>
          </w:p>
          <w:p w:rsidR="00D338FF" w:rsidRPr="001C4942" w:rsidRDefault="00D338FF" w:rsidP="00D338FF">
            <w:pPr>
              <w:tabs>
                <w:tab w:val="left" w:pos="284"/>
              </w:tabs>
              <w:spacing w:line="276" w:lineRule="auto"/>
              <w:jc w:val="both"/>
              <w:rPr>
                <w:rFonts w:ascii="Palatino Linotype" w:eastAsia="Palatino Linotype" w:hAnsi="Palatino Linotype" w:cs="Palatino Linotype"/>
                <w:i/>
              </w:rPr>
            </w:pPr>
            <w:r w:rsidRPr="001C4942">
              <w:rPr>
                <w:rFonts w:ascii="Palatino Linotype" w:eastAsia="Palatino Linotype" w:hAnsi="Palatino Linotype" w:cs="Palatino Linotype"/>
                <w:i/>
                <w:color w:val="000000"/>
              </w:rPr>
              <w:t xml:space="preserve">La decisión de aprobar, modificar o revocar la clasificación deberá de asentarse en un documento que registre la determinación a la que se llegue después de un análisis minucioso a partir de lo propuesto por el Titular del I. </w:t>
            </w:r>
            <w:r w:rsidRPr="001C4942">
              <w:rPr>
                <w:rFonts w:ascii="Palatino Linotype" w:eastAsia="Palatino Linotype" w:hAnsi="Palatino Linotype" w:cs="Palatino Linotype"/>
                <w:i/>
              </w:rPr>
              <w:t>El área</w:t>
            </w:r>
            <w:r w:rsidRPr="001C4942">
              <w:rPr>
                <w:rFonts w:ascii="Palatino Linotype" w:eastAsia="Palatino Linotype" w:hAnsi="Palatino Linotype" w:cs="Palatino Linotype"/>
                <w:i/>
                <w:color w:val="000000"/>
              </w:rPr>
              <w:t xml:space="preserve"> que administra la información, cuyo análisis debe integrarse en la agenda de los asuntos a tratar en las sesiones, se insiste, a partir de las decisiones adoptadas previamente por los titulares de áreas y que son sujetas a control, en primera instancia, por el Comité de Transparencia.</w:t>
            </w:r>
          </w:p>
        </w:tc>
      </w:tr>
      <w:tr w:rsidR="00D338FF" w:rsidRPr="001C4942" w:rsidTr="001C4942">
        <w:tc>
          <w:tcPr>
            <w:tcW w:w="2830" w:type="dxa"/>
            <w:shd w:val="clear" w:color="auto" w:fill="D9D9D9" w:themeFill="background1" w:themeFillShade="D9"/>
          </w:tcPr>
          <w:p w:rsidR="00D338FF" w:rsidRPr="001C4942" w:rsidRDefault="00D338FF" w:rsidP="00D338FF">
            <w:pPr>
              <w:tabs>
                <w:tab w:val="left" w:pos="284"/>
              </w:tabs>
              <w:spacing w:line="360" w:lineRule="auto"/>
              <w:rPr>
                <w:rFonts w:ascii="Palatino Linotype" w:eastAsia="Palatino Linotype" w:hAnsi="Palatino Linotype" w:cs="Palatino Linotype"/>
                <w:b/>
              </w:rPr>
            </w:pPr>
          </w:p>
          <w:p w:rsidR="00D338FF" w:rsidRPr="001C4942" w:rsidRDefault="00D338FF" w:rsidP="00D338FF">
            <w:pPr>
              <w:tabs>
                <w:tab w:val="left" w:pos="284"/>
              </w:tabs>
              <w:spacing w:line="360" w:lineRule="auto"/>
              <w:jc w:val="both"/>
              <w:rPr>
                <w:rFonts w:ascii="Palatino Linotype" w:eastAsia="Palatino Linotype" w:hAnsi="Palatino Linotype" w:cs="Palatino Linotype"/>
                <w:b/>
              </w:rPr>
            </w:pPr>
            <w:r w:rsidRPr="001C4942">
              <w:rPr>
                <w:rFonts w:ascii="Palatino Linotype" w:eastAsia="Palatino Linotype" w:hAnsi="Palatino Linotype" w:cs="Palatino Linotype"/>
                <w:b/>
                <w:color w:val="000000"/>
              </w:rPr>
              <w:t xml:space="preserve">d) Requisitos de fondo del acuerdo de clasificación. </w:t>
            </w:r>
          </w:p>
        </w:tc>
        <w:tc>
          <w:tcPr>
            <w:tcW w:w="7088" w:type="dxa"/>
            <w:shd w:val="clear" w:color="auto" w:fill="D9D9D9" w:themeFill="background1" w:themeFillShade="D9"/>
          </w:tcPr>
          <w:p w:rsidR="00D338FF" w:rsidRPr="001C4942" w:rsidRDefault="00D338FF" w:rsidP="00D338FF">
            <w:pPr>
              <w:tabs>
                <w:tab w:val="left" w:pos="284"/>
              </w:tabs>
              <w:spacing w:line="276" w:lineRule="auto"/>
              <w:jc w:val="both"/>
              <w:rPr>
                <w:rFonts w:ascii="Palatino Linotype" w:eastAsia="Palatino Linotype" w:hAnsi="Palatino Linotype" w:cs="Palatino Linotype"/>
                <w:i/>
                <w:color w:val="000000"/>
              </w:rPr>
            </w:pPr>
            <w:r w:rsidRPr="001C4942">
              <w:rPr>
                <w:rFonts w:ascii="Palatino Linotype" w:eastAsia="Palatino Linotype" w:hAnsi="Palatino Linotype" w:cs="Palatino Linotype"/>
                <w:i/>
                <w:color w:val="000000"/>
              </w:rPr>
              <w:t xml:space="preserve">Como se ha señalado antes, al hacer el juicio de subsunción o encaje entre el supuesto de hecho y la hipótesis jurídica, se debe acreditar la estricta correspondencia entre un elemento y otro. Ahora, en esta parte del procedimiento, que se desahoga en sede del Comité de Transparencia, la ley señala que la carga de la prueba, para justificar las restricciones, corresponde a los </w:t>
            </w:r>
            <w:r w:rsidRPr="001C4942">
              <w:rPr>
                <w:rFonts w:ascii="Palatino Linotype" w:eastAsia="Palatino Linotype" w:hAnsi="Palatino Linotype" w:cs="Palatino Linotype"/>
                <w:b/>
                <w:i/>
                <w:color w:val="000000"/>
              </w:rPr>
              <w:t>Sujetos Obligados</w:t>
            </w:r>
            <w:r w:rsidRPr="001C4942">
              <w:rPr>
                <w:rFonts w:ascii="Palatino Linotype" w:eastAsia="Palatino Linotype" w:hAnsi="Palatino Linotype" w:cs="Palatino Linotype"/>
                <w:i/>
                <w:color w:val="000000"/>
              </w:rPr>
              <w:t xml:space="preserve">, por lo que deberán fundar y motivar debidamente la clasificación. </w:t>
            </w:r>
          </w:p>
          <w:p w:rsidR="00D338FF" w:rsidRPr="001C4942" w:rsidRDefault="00D338FF" w:rsidP="00D338FF">
            <w:pPr>
              <w:tabs>
                <w:tab w:val="left" w:pos="284"/>
              </w:tabs>
              <w:spacing w:line="276" w:lineRule="auto"/>
              <w:jc w:val="both"/>
              <w:rPr>
                <w:rFonts w:ascii="Palatino Linotype" w:eastAsia="Palatino Linotype" w:hAnsi="Palatino Linotype" w:cs="Palatino Linotype"/>
                <w:i/>
                <w:color w:val="000000"/>
              </w:rPr>
            </w:pPr>
            <w:r w:rsidRPr="001C4942">
              <w:rPr>
                <w:rFonts w:ascii="Palatino Linotype" w:eastAsia="Palatino Linotype" w:hAnsi="Palatino Linotype" w:cs="Palatino Linotype"/>
                <w:i/>
                <w:color w:val="000000"/>
              </w:rPr>
              <w:t xml:space="preserve">De lo anterior, se desprende que para una correcta </w:t>
            </w:r>
            <w:r w:rsidRPr="001C4942">
              <w:rPr>
                <w:rFonts w:ascii="Palatino Linotype" w:eastAsia="Palatino Linotype" w:hAnsi="Palatino Linotype" w:cs="Palatino Linotype"/>
                <w:b/>
                <w:i/>
                <w:color w:val="000000"/>
              </w:rPr>
              <w:t>clasificación total o parcial</w:t>
            </w:r>
            <w:r w:rsidRPr="001C4942">
              <w:rPr>
                <w:rFonts w:ascii="Palatino Linotype" w:eastAsia="Palatino Linotype" w:hAnsi="Palatino Linotype" w:cs="Palatino Linotype"/>
                <w:i/>
                <w:color w:val="000000"/>
              </w:rPr>
              <w:t>, esto es determinar los datos que se suprimen en las versiones públicas, es necesario fundar y motivar, de manera correcta, la clasificación; considerando que todo acto que la autoridad pronuncie en el ejercicio de sus atribuciones, debe expresar los fundamentos legales que le dieron origen y las razones por las que se deben aplicar al caso concreto.</w:t>
            </w:r>
          </w:p>
          <w:p w:rsidR="00D338FF" w:rsidRPr="001C4942" w:rsidRDefault="00D338FF" w:rsidP="00D338FF">
            <w:pPr>
              <w:tabs>
                <w:tab w:val="left" w:pos="284"/>
              </w:tabs>
              <w:spacing w:line="276" w:lineRule="auto"/>
              <w:jc w:val="both"/>
              <w:rPr>
                <w:rFonts w:ascii="Palatino Linotype" w:eastAsia="Palatino Linotype" w:hAnsi="Palatino Linotype" w:cs="Palatino Linotype"/>
                <w:i/>
                <w:color w:val="000000"/>
              </w:rPr>
            </w:pPr>
            <w:r w:rsidRPr="001C4942">
              <w:rPr>
                <w:rFonts w:ascii="Palatino Linotype" w:eastAsia="Palatino Linotype" w:hAnsi="Palatino Linotype" w:cs="Palatino Linotype"/>
                <w:i/>
                <w:color w:val="000000"/>
              </w:rPr>
              <w:t xml:space="preserve">Así, en un acto de autoridad se cumple con la debida fundamentación cuando se cita el precepto legal aplicable al caso concreto y la debida </w:t>
            </w:r>
            <w:r w:rsidRPr="001C4942">
              <w:rPr>
                <w:rFonts w:ascii="Palatino Linotype" w:eastAsia="Palatino Linotype" w:hAnsi="Palatino Linotype" w:cs="Palatino Linotype"/>
                <w:i/>
                <w:color w:val="000000"/>
              </w:rPr>
              <w:lastRenderedPageBreak/>
              <w:t>motivación cuando se expresan las razones, motivos o circunstancias que tomó en cuenta la autoridad para adecuar el hecho a los fundamentos de derecho. De este modo, la persona que se sienta afectada pueda impugnar la decisión, permitiéndole una real y auténtica defensa.</w:t>
            </w:r>
          </w:p>
          <w:p w:rsidR="00D338FF" w:rsidRPr="001C4942" w:rsidRDefault="00D338FF" w:rsidP="00D338FF">
            <w:pPr>
              <w:tabs>
                <w:tab w:val="left" w:pos="284"/>
              </w:tabs>
              <w:spacing w:line="276" w:lineRule="auto"/>
              <w:jc w:val="both"/>
              <w:rPr>
                <w:rFonts w:ascii="Palatino Linotype" w:eastAsia="Palatino Linotype" w:hAnsi="Palatino Linotype" w:cs="Palatino Linotype"/>
                <w:i/>
                <w:color w:val="000000"/>
              </w:rPr>
            </w:pPr>
            <w:r w:rsidRPr="001C4942">
              <w:rPr>
                <w:rFonts w:ascii="Palatino Linotype" w:eastAsia="Palatino Linotype" w:hAnsi="Palatino Linotype" w:cs="Palatino Linotype"/>
                <w:i/>
                <w:color w:val="000000"/>
              </w:rPr>
              <w:t>En ese mismo sentido, el numeral trigésimo tercero fracción V de los Lineamientos Generales, precisa que para motivar la clasificación se deben acreditar las circunstancias de tiempo, modo y lugar.</w:t>
            </w:r>
          </w:p>
          <w:p w:rsidR="00D338FF" w:rsidRPr="001C4942" w:rsidRDefault="00D338FF" w:rsidP="00D338FF">
            <w:pPr>
              <w:tabs>
                <w:tab w:val="left" w:pos="284"/>
              </w:tabs>
              <w:spacing w:line="276" w:lineRule="auto"/>
              <w:jc w:val="both"/>
              <w:rPr>
                <w:rFonts w:ascii="Palatino Linotype" w:eastAsia="Palatino Linotype" w:hAnsi="Palatino Linotype" w:cs="Palatino Linotype"/>
                <w:i/>
                <w:color w:val="000000"/>
              </w:rPr>
            </w:pPr>
            <w:r w:rsidRPr="001C4942">
              <w:rPr>
                <w:rFonts w:ascii="Palatino Linotype" w:eastAsia="Palatino Linotype" w:hAnsi="Palatino Linotype" w:cs="Palatino Linotype"/>
                <w:i/>
                <w:color w:val="000000"/>
              </w:rPr>
              <w:t xml:space="preserve">Ahora bien, </w:t>
            </w:r>
            <w:r w:rsidRPr="001C4942">
              <w:rPr>
                <w:rFonts w:ascii="Palatino Linotype" w:eastAsia="Palatino Linotype" w:hAnsi="Palatino Linotype" w:cs="Palatino Linotype"/>
                <w:b/>
                <w:i/>
                <w:color w:val="000000"/>
                <w:u w:val="single"/>
              </w:rPr>
              <w:t>para cada caso además de fundar y motivar</w:t>
            </w:r>
            <w:r w:rsidRPr="001C4942">
              <w:rPr>
                <w:rFonts w:ascii="Palatino Linotype" w:eastAsia="Palatino Linotype" w:hAnsi="Palatino Linotype" w:cs="Palatino Linotype"/>
                <w:i/>
                <w:color w:val="000000"/>
              </w:rPr>
              <w:t xml:space="preserve">, se debe identificar con claridad </w:t>
            </w:r>
            <w:r w:rsidRPr="001C4942">
              <w:rPr>
                <w:rFonts w:ascii="Palatino Linotype" w:eastAsia="Palatino Linotype" w:hAnsi="Palatino Linotype" w:cs="Palatino Linotype"/>
                <w:i/>
              </w:rPr>
              <w:t>qué</w:t>
            </w:r>
            <w:r w:rsidRPr="001C4942">
              <w:rPr>
                <w:rFonts w:ascii="Palatino Linotype" w:eastAsia="Palatino Linotype" w:hAnsi="Palatino Linotype" w:cs="Palatino Linotype"/>
                <w:i/>
                <w:color w:val="000000"/>
              </w:rPr>
              <w:t xml:space="preserve"> datos contenidos en las documentales que son susceptibles de suprimirse, por ejemplo; Clave Única de Registro de Población (CURP), Registro Federal de Contribuyentes (R.F.C.), claves de seguros, préstamos o descuentos personales, secretos bancario, fiduciario, industrial, comercial, fiscal, bursátil y postal, cuya titularidad corresponda a particulares, entre otros.</w:t>
            </w:r>
          </w:p>
        </w:tc>
      </w:tr>
      <w:tr w:rsidR="00D338FF" w:rsidRPr="001C4942" w:rsidTr="001C4942">
        <w:tc>
          <w:tcPr>
            <w:tcW w:w="2830" w:type="dxa"/>
          </w:tcPr>
          <w:p w:rsidR="00D338FF" w:rsidRPr="001C4942" w:rsidRDefault="00D338FF" w:rsidP="00D338FF">
            <w:pPr>
              <w:tabs>
                <w:tab w:val="left" w:pos="284"/>
              </w:tabs>
              <w:spacing w:line="360" w:lineRule="auto"/>
              <w:jc w:val="both"/>
              <w:rPr>
                <w:rFonts w:ascii="Palatino Linotype" w:eastAsia="Palatino Linotype" w:hAnsi="Palatino Linotype" w:cs="Palatino Linotype"/>
                <w:b/>
              </w:rPr>
            </w:pPr>
            <w:r w:rsidRPr="001C4942">
              <w:rPr>
                <w:rFonts w:ascii="Palatino Linotype" w:eastAsia="Palatino Linotype" w:hAnsi="Palatino Linotype" w:cs="Palatino Linotype"/>
                <w:b/>
              </w:rPr>
              <w:lastRenderedPageBreak/>
              <w:t xml:space="preserve">e) Condiciones especiales de la clasificación de la información como confidencial. </w:t>
            </w:r>
          </w:p>
        </w:tc>
        <w:tc>
          <w:tcPr>
            <w:tcW w:w="7088" w:type="dxa"/>
          </w:tcPr>
          <w:p w:rsidR="00D338FF" w:rsidRPr="001C4942" w:rsidRDefault="00D338FF" w:rsidP="00D338FF">
            <w:pPr>
              <w:tabs>
                <w:tab w:val="left" w:pos="284"/>
              </w:tabs>
              <w:spacing w:line="276" w:lineRule="auto"/>
              <w:jc w:val="both"/>
              <w:rPr>
                <w:rFonts w:ascii="Palatino Linotype" w:eastAsia="Palatino Linotype" w:hAnsi="Palatino Linotype" w:cs="Palatino Linotype"/>
                <w:i/>
                <w:color w:val="000000"/>
              </w:rPr>
            </w:pPr>
            <w:r w:rsidRPr="001C4942">
              <w:rPr>
                <w:rFonts w:ascii="Palatino Linotype" w:eastAsia="Palatino Linotype" w:hAnsi="Palatino Linotype" w:cs="Palatino Linotype"/>
                <w:i/>
                <w:color w:val="000000"/>
              </w:rPr>
              <w:t xml:space="preserve">Los artículos 148 de la Ley Estatal establece que aun tratándose de datos personales, se podrán proporcionar, incluso sin solicitar el consentimiento de su titular. </w:t>
            </w:r>
          </w:p>
          <w:p w:rsidR="00D338FF" w:rsidRPr="001C4942" w:rsidRDefault="00D338FF" w:rsidP="00D338FF">
            <w:pPr>
              <w:tabs>
                <w:tab w:val="left" w:pos="284"/>
              </w:tabs>
              <w:spacing w:line="276" w:lineRule="auto"/>
              <w:jc w:val="both"/>
              <w:rPr>
                <w:rFonts w:ascii="Palatino Linotype" w:eastAsia="Palatino Linotype" w:hAnsi="Palatino Linotype" w:cs="Palatino Linotype"/>
                <w:i/>
                <w:color w:val="000000"/>
              </w:rPr>
            </w:pPr>
            <w:r w:rsidRPr="001C4942">
              <w:rPr>
                <w:rFonts w:ascii="Palatino Linotype" w:eastAsia="Palatino Linotype" w:hAnsi="Palatino Linotype" w:cs="Palatino Linotype"/>
                <w:i/>
                <w:color w:val="000000"/>
              </w:rPr>
              <w:t xml:space="preserve">En el caso de lo señalado en la fracción IV, será el Instituto quien deba aplicar la prueba de interés público, considerando también que como recientemente ha discutido la Suprema Corte de Justicia de la Nación, los servidores públicos nos encontramos sujetos a un régimen menor de protección. </w:t>
            </w:r>
          </w:p>
          <w:p w:rsidR="00D338FF" w:rsidRPr="001C4942" w:rsidRDefault="00D338FF" w:rsidP="00D338FF">
            <w:pPr>
              <w:tabs>
                <w:tab w:val="left" w:pos="284"/>
              </w:tabs>
              <w:spacing w:line="276" w:lineRule="auto"/>
              <w:rPr>
                <w:rFonts w:ascii="Palatino Linotype" w:eastAsia="Palatino Linotype" w:hAnsi="Palatino Linotype" w:cs="Palatino Linotype"/>
                <w:i/>
              </w:rPr>
            </w:pPr>
            <w:r w:rsidRPr="001C4942">
              <w:rPr>
                <w:rFonts w:ascii="Palatino Linotype" w:eastAsia="Palatino Linotype" w:hAnsi="Palatino Linotype" w:cs="Palatino Linotype"/>
                <w:i/>
                <w:color w:val="000000"/>
              </w:rPr>
              <w:t>Pero si la información que se pretende clasificar como confidencial no se encuentra en los supuestos de los artículos señalados y es posible, se deberá consultar al titular de los datos si permite o no el acceso. De no ser posible, la realización de la consulta, procede, fundando y motivando, la clasificación.</w:t>
            </w:r>
          </w:p>
        </w:tc>
      </w:tr>
    </w:tbl>
    <w:p w:rsidR="00D338FF" w:rsidRDefault="00D338FF" w:rsidP="00D338FF">
      <w:pPr>
        <w:pBdr>
          <w:top w:val="nil"/>
          <w:left w:val="nil"/>
          <w:bottom w:val="nil"/>
          <w:right w:val="nil"/>
          <w:between w:val="nil"/>
        </w:pBdr>
        <w:tabs>
          <w:tab w:val="left" w:pos="0"/>
        </w:tabs>
        <w:spacing w:line="360" w:lineRule="auto"/>
        <w:ind w:right="51"/>
        <w:jc w:val="both"/>
        <w:rPr>
          <w:rFonts w:ascii="Palatino Linotype" w:eastAsia="Palatino Linotype" w:hAnsi="Palatino Linotype" w:cs="Palatino Linotype"/>
          <w:color w:val="000000"/>
        </w:rPr>
      </w:pPr>
    </w:p>
    <w:p w:rsidR="001C4942" w:rsidRDefault="001C4942" w:rsidP="00D338FF">
      <w:pPr>
        <w:pBdr>
          <w:top w:val="nil"/>
          <w:left w:val="nil"/>
          <w:bottom w:val="nil"/>
          <w:right w:val="nil"/>
          <w:between w:val="nil"/>
        </w:pBdr>
        <w:tabs>
          <w:tab w:val="left" w:pos="0"/>
        </w:tabs>
        <w:spacing w:line="360" w:lineRule="auto"/>
        <w:ind w:right="51"/>
        <w:jc w:val="both"/>
        <w:rPr>
          <w:rFonts w:ascii="Palatino Linotype" w:eastAsia="Palatino Linotype" w:hAnsi="Palatino Linotype" w:cs="Palatino Linotype"/>
          <w:color w:val="000000"/>
        </w:rPr>
      </w:pPr>
    </w:p>
    <w:p w:rsidR="001C4942" w:rsidRPr="001C4942" w:rsidRDefault="001C4942" w:rsidP="00D338FF">
      <w:pPr>
        <w:pBdr>
          <w:top w:val="nil"/>
          <w:left w:val="nil"/>
          <w:bottom w:val="nil"/>
          <w:right w:val="nil"/>
          <w:between w:val="nil"/>
        </w:pBdr>
        <w:tabs>
          <w:tab w:val="left" w:pos="0"/>
        </w:tabs>
        <w:spacing w:line="360" w:lineRule="auto"/>
        <w:ind w:right="51"/>
        <w:jc w:val="both"/>
        <w:rPr>
          <w:rFonts w:ascii="Palatino Linotype" w:eastAsia="Palatino Linotype" w:hAnsi="Palatino Linotype" w:cs="Palatino Linotype"/>
          <w:color w:val="000000"/>
        </w:rPr>
      </w:pPr>
    </w:p>
    <w:p w:rsidR="00D338FF" w:rsidRPr="001C4942" w:rsidRDefault="00D338FF" w:rsidP="00D338FF">
      <w:pPr>
        <w:numPr>
          <w:ilvl w:val="0"/>
          <w:numId w:val="3"/>
        </w:numPr>
        <w:pBdr>
          <w:top w:val="nil"/>
          <w:left w:val="nil"/>
          <w:bottom w:val="nil"/>
          <w:right w:val="nil"/>
          <w:between w:val="nil"/>
        </w:pBdr>
        <w:tabs>
          <w:tab w:val="left" w:pos="0"/>
        </w:tabs>
        <w:spacing w:line="360" w:lineRule="auto"/>
        <w:ind w:left="0" w:right="51" w:firstLine="0"/>
        <w:jc w:val="both"/>
        <w:rPr>
          <w:rFonts w:ascii="Palatino Linotype" w:eastAsia="Palatino Linotype" w:hAnsi="Palatino Linotype" w:cs="Palatino Linotype"/>
          <w:color w:val="000000"/>
        </w:rPr>
      </w:pPr>
      <w:r w:rsidRPr="001C4942">
        <w:rPr>
          <w:rFonts w:ascii="Palatino Linotype" w:eastAsia="Palatino Linotype" w:hAnsi="Palatino Linotype" w:cs="Palatino Linotype"/>
          <w:color w:val="000000"/>
        </w:rPr>
        <w:lastRenderedPageBreak/>
        <w:t xml:space="preserve">Por lo anteriormente expuesto y fundado, este </w:t>
      </w:r>
      <w:r w:rsidRPr="001C4942">
        <w:rPr>
          <w:rFonts w:ascii="Palatino Linotype" w:eastAsia="Palatino Linotype" w:hAnsi="Palatino Linotype" w:cs="Palatino Linotype"/>
          <w:b/>
          <w:bCs/>
          <w:color w:val="000000"/>
        </w:rPr>
        <w:t>ÓRGANO GARANTE</w:t>
      </w:r>
      <w:r w:rsidRPr="001C4942">
        <w:rPr>
          <w:rFonts w:ascii="Palatino Linotype" w:eastAsia="Palatino Linotype" w:hAnsi="Palatino Linotype" w:cs="Palatino Linotype"/>
          <w:color w:val="000000"/>
        </w:rPr>
        <w:t xml:space="preserve"> emite los siguientes:</w:t>
      </w:r>
    </w:p>
    <w:p w:rsidR="00D338FF" w:rsidRPr="001C4942" w:rsidRDefault="001C4942" w:rsidP="00D338FF">
      <w:pPr>
        <w:pStyle w:val="Ttulo1"/>
        <w:jc w:val="center"/>
        <w:rPr>
          <w:rFonts w:ascii="Palatino Linotype" w:eastAsia="Palatino Linotype" w:hAnsi="Palatino Linotype" w:cs="Palatino Linotype"/>
          <w:b/>
          <w:bCs/>
          <w:color w:val="000000"/>
          <w:sz w:val="24"/>
          <w:szCs w:val="24"/>
        </w:rPr>
      </w:pPr>
      <w:bookmarkStart w:id="7" w:name="_heading=h.jszhvncxdys9" w:colFirst="0" w:colLast="0"/>
      <w:bookmarkEnd w:id="7"/>
      <w:r>
        <w:rPr>
          <w:rFonts w:ascii="Palatino Linotype" w:eastAsia="Palatino Linotype" w:hAnsi="Palatino Linotype" w:cs="Palatino Linotype"/>
          <w:b/>
          <w:bCs/>
          <w:color w:val="000000"/>
          <w:sz w:val="24"/>
          <w:szCs w:val="24"/>
        </w:rPr>
        <w:t>R</w:t>
      </w:r>
      <w:r w:rsidR="00D338FF" w:rsidRPr="001C4942">
        <w:rPr>
          <w:rFonts w:ascii="Palatino Linotype" w:eastAsia="Palatino Linotype" w:hAnsi="Palatino Linotype" w:cs="Palatino Linotype"/>
          <w:b/>
          <w:bCs/>
          <w:color w:val="000000"/>
          <w:sz w:val="24"/>
          <w:szCs w:val="24"/>
        </w:rPr>
        <w:t xml:space="preserve"> E S O L U T I V O S</w:t>
      </w:r>
    </w:p>
    <w:p w:rsidR="00D338FF" w:rsidRPr="001C4942" w:rsidRDefault="00D338FF" w:rsidP="00D338FF">
      <w:pPr>
        <w:keepNext/>
        <w:keepLines/>
        <w:spacing w:line="360" w:lineRule="auto"/>
        <w:jc w:val="center"/>
        <w:rPr>
          <w:rFonts w:ascii="Palatino Linotype" w:eastAsia="Palatino Linotype" w:hAnsi="Palatino Linotype" w:cs="Palatino Linotype"/>
          <w:b/>
          <w:bCs/>
        </w:rPr>
      </w:pPr>
    </w:p>
    <w:p w:rsidR="00D338FF" w:rsidRPr="001C4942" w:rsidRDefault="00D338FF" w:rsidP="00D338FF">
      <w:pPr>
        <w:spacing w:line="360" w:lineRule="auto"/>
        <w:jc w:val="both"/>
        <w:rPr>
          <w:rFonts w:ascii="Palatino Linotype" w:eastAsia="Palatino Linotype" w:hAnsi="Palatino Linotype" w:cs="Palatino Linotype"/>
        </w:rPr>
      </w:pPr>
      <w:r w:rsidRPr="001C4942">
        <w:rPr>
          <w:rFonts w:ascii="Palatino Linotype" w:eastAsia="Palatino Linotype" w:hAnsi="Palatino Linotype" w:cs="Palatino Linotype"/>
          <w:b/>
          <w:bCs/>
        </w:rPr>
        <w:t xml:space="preserve">PRIMERO. </w:t>
      </w:r>
      <w:r w:rsidRPr="001C4942">
        <w:rPr>
          <w:rFonts w:ascii="Palatino Linotype" w:eastAsia="Palatino Linotype" w:hAnsi="Palatino Linotype" w:cs="Palatino Linotype"/>
        </w:rPr>
        <w:t>Resultan fundadas las</w:t>
      </w:r>
      <w:r w:rsidRPr="001C4942">
        <w:rPr>
          <w:rFonts w:ascii="Palatino Linotype" w:eastAsia="Palatino Linotype" w:hAnsi="Palatino Linotype" w:cs="Palatino Linotype"/>
          <w:b/>
          <w:bCs/>
        </w:rPr>
        <w:t xml:space="preserve"> </w:t>
      </w:r>
      <w:r w:rsidRPr="001C4942">
        <w:rPr>
          <w:rFonts w:ascii="Palatino Linotype" w:eastAsia="Palatino Linotype" w:hAnsi="Palatino Linotype" w:cs="Palatino Linotype"/>
        </w:rPr>
        <w:t xml:space="preserve">razones o motivos de inconformidad hechos valer en el recurso de revisión </w:t>
      </w:r>
      <w:r w:rsidR="00FF00BE" w:rsidRPr="001C4942">
        <w:rPr>
          <w:rFonts w:ascii="Palatino Linotype" w:eastAsia="Palatino Linotype" w:hAnsi="Palatino Linotype" w:cs="Palatino Linotype"/>
          <w:b/>
          <w:bCs/>
        </w:rPr>
        <w:t>09998</w:t>
      </w:r>
      <w:r w:rsidRPr="001C4942">
        <w:rPr>
          <w:rFonts w:ascii="Palatino Linotype" w:eastAsia="Palatino Linotype" w:hAnsi="Palatino Linotype" w:cs="Palatino Linotype"/>
          <w:b/>
          <w:bCs/>
        </w:rPr>
        <w:t xml:space="preserve">/INFOEM/IP/RR/2025 </w:t>
      </w:r>
      <w:r w:rsidRPr="001C4942">
        <w:rPr>
          <w:rFonts w:ascii="Palatino Linotype" w:eastAsia="Palatino Linotype" w:hAnsi="Palatino Linotype" w:cs="Palatino Linotype"/>
        </w:rPr>
        <w:t>en términos de los</w:t>
      </w:r>
      <w:r w:rsidRPr="001C4942">
        <w:rPr>
          <w:rFonts w:ascii="Palatino Linotype" w:eastAsia="Palatino Linotype" w:hAnsi="Palatino Linotype" w:cs="Palatino Linotype"/>
          <w:b/>
          <w:bCs/>
        </w:rPr>
        <w:t xml:space="preserve"> Considerandos</w:t>
      </w:r>
      <w:r w:rsidRPr="001C4942">
        <w:rPr>
          <w:rFonts w:ascii="Palatino Linotype" w:eastAsia="Palatino Linotype" w:hAnsi="Palatino Linotype" w:cs="Palatino Linotype"/>
        </w:rPr>
        <w:t xml:space="preserve"> </w:t>
      </w:r>
      <w:r w:rsidRPr="001C4942">
        <w:rPr>
          <w:rFonts w:ascii="Palatino Linotype" w:eastAsia="Palatino Linotype" w:hAnsi="Palatino Linotype" w:cs="Palatino Linotype"/>
          <w:b/>
          <w:bCs/>
        </w:rPr>
        <w:t>CUARTO y QUINTO</w:t>
      </w:r>
      <w:r w:rsidRPr="001C4942">
        <w:rPr>
          <w:rFonts w:ascii="Palatino Linotype" w:eastAsia="Palatino Linotype" w:hAnsi="Palatino Linotype" w:cs="Palatino Linotype"/>
        </w:rPr>
        <w:t xml:space="preserve"> de la presente resolución.</w:t>
      </w:r>
    </w:p>
    <w:p w:rsidR="00D338FF" w:rsidRPr="001C4942" w:rsidRDefault="00D338FF" w:rsidP="00D338FF">
      <w:pPr>
        <w:spacing w:line="360" w:lineRule="auto"/>
        <w:jc w:val="both"/>
        <w:rPr>
          <w:rFonts w:ascii="Palatino Linotype" w:eastAsia="Palatino Linotype" w:hAnsi="Palatino Linotype" w:cs="Palatino Linotype"/>
          <w:b/>
          <w:bCs/>
        </w:rPr>
      </w:pPr>
    </w:p>
    <w:p w:rsidR="00D338FF" w:rsidRPr="001C4942" w:rsidRDefault="00D338FF" w:rsidP="00D338FF">
      <w:p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1C4942">
        <w:rPr>
          <w:rFonts w:ascii="Palatino Linotype" w:eastAsia="Palatino Linotype" w:hAnsi="Palatino Linotype" w:cs="Palatino Linotype"/>
          <w:b/>
          <w:bCs/>
          <w:color w:val="000000"/>
        </w:rPr>
        <w:t xml:space="preserve">SEGUNDO. </w:t>
      </w:r>
      <w:r w:rsidRPr="001C4942">
        <w:rPr>
          <w:rFonts w:ascii="Palatino Linotype" w:eastAsia="Palatino Linotype" w:hAnsi="Palatino Linotype" w:cs="Palatino Linotype"/>
          <w:color w:val="000000"/>
        </w:rPr>
        <w:t xml:space="preserve">Se </w:t>
      </w:r>
      <w:r w:rsidRPr="001C4942">
        <w:rPr>
          <w:rFonts w:ascii="Palatino Linotype" w:eastAsia="Palatino Linotype" w:hAnsi="Palatino Linotype" w:cs="Palatino Linotype"/>
          <w:b/>
          <w:bCs/>
          <w:color w:val="000000"/>
        </w:rPr>
        <w:t>REVOCA</w:t>
      </w:r>
      <w:r w:rsidRPr="001C4942">
        <w:rPr>
          <w:rFonts w:ascii="Palatino Linotype" w:eastAsia="Palatino Linotype" w:hAnsi="Palatino Linotype" w:cs="Palatino Linotype"/>
          <w:color w:val="000000"/>
        </w:rPr>
        <w:t xml:space="preserve"> la respuesta y se </w:t>
      </w:r>
      <w:r w:rsidRPr="001C4942">
        <w:rPr>
          <w:rFonts w:ascii="Palatino Linotype" w:eastAsia="Palatino Linotype" w:hAnsi="Palatino Linotype" w:cs="Palatino Linotype"/>
          <w:b/>
          <w:bCs/>
          <w:color w:val="000000"/>
        </w:rPr>
        <w:t xml:space="preserve">ORDENA </w:t>
      </w:r>
      <w:r w:rsidRPr="001C4942">
        <w:rPr>
          <w:rFonts w:ascii="Palatino Linotype" w:eastAsia="Palatino Linotype" w:hAnsi="Palatino Linotype" w:cs="Palatino Linotype"/>
          <w:color w:val="000000"/>
        </w:rPr>
        <w:t xml:space="preserve">al </w:t>
      </w:r>
      <w:r w:rsidRPr="001C4942">
        <w:rPr>
          <w:rFonts w:ascii="Palatino Linotype" w:eastAsia="Palatino Linotype" w:hAnsi="Palatino Linotype" w:cs="Palatino Linotype"/>
          <w:b/>
          <w:bCs/>
          <w:color w:val="000000"/>
        </w:rPr>
        <w:t xml:space="preserve">Ayuntamiento de Toluca, </w:t>
      </w:r>
      <w:r w:rsidRPr="001C4942">
        <w:rPr>
          <w:rFonts w:ascii="Palatino Linotype" w:eastAsia="Palatino Linotype" w:hAnsi="Palatino Linotype" w:cs="Palatino Linotype"/>
          <w:color w:val="000000"/>
        </w:rPr>
        <w:t>entregar vía Sistema de Acceso a la Información Mexiquense (SAIMEX),</w:t>
      </w:r>
      <w:r w:rsidR="00FF00BE" w:rsidRPr="001C4942">
        <w:rPr>
          <w:rFonts w:ascii="Palatino Linotype" w:eastAsia="Palatino Linotype" w:hAnsi="Palatino Linotype" w:cs="Palatino Linotype"/>
          <w:color w:val="000000"/>
        </w:rPr>
        <w:t xml:space="preserve"> de ser procedente</w:t>
      </w:r>
      <w:r w:rsidRPr="001C4942">
        <w:rPr>
          <w:rFonts w:ascii="Palatino Linotype" w:eastAsia="Palatino Linotype" w:hAnsi="Palatino Linotype" w:cs="Palatino Linotype"/>
          <w:color w:val="000000"/>
        </w:rPr>
        <w:t xml:space="preserve"> en versión pública</w:t>
      </w:r>
      <w:r w:rsidRPr="001C4942">
        <w:rPr>
          <w:rFonts w:ascii="Palatino Linotype" w:eastAsia="Palatino Linotype" w:hAnsi="Palatino Linotype" w:cs="Palatino Linotype"/>
          <w:b/>
          <w:bCs/>
          <w:color w:val="000000"/>
        </w:rPr>
        <w:t>,</w:t>
      </w:r>
      <w:r w:rsidRPr="001C4942">
        <w:rPr>
          <w:rFonts w:ascii="Palatino Linotype" w:eastAsia="Palatino Linotype" w:hAnsi="Palatino Linotype" w:cs="Palatino Linotype"/>
          <w:color w:val="000000"/>
        </w:rPr>
        <w:t xml:space="preserve"> la siguiente información:</w:t>
      </w:r>
    </w:p>
    <w:p w:rsidR="00D338FF" w:rsidRPr="001C4942" w:rsidRDefault="00D338FF" w:rsidP="00D338FF">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FF00BE" w:rsidRPr="001C4942" w:rsidRDefault="00FF00BE" w:rsidP="00FF00BE">
      <w:pPr>
        <w:numPr>
          <w:ilvl w:val="0"/>
          <w:numId w:val="2"/>
        </w:numPr>
        <w:pBdr>
          <w:top w:val="nil"/>
          <w:left w:val="nil"/>
          <w:bottom w:val="nil"/>
          <w:right w:val="nil"/>
          <w:between w:val="nil"/>
        </w:pBdr>
        <w:spacing w:line="360" w:lineRule="auto"/>
        <w:ind w:left="851" w:right="822" w:firstLine="0"/>
        <w:jc w:val="both"/>
        <w:rPr>
          <w:rFonts w:ascii="Palatino Linotype" w:eastAsia="Palatino Linotype" w:hAnsi="Palatino Linotype" w:cs="Palatino Linotype"/>
          <w:b/>
          <w:bCs/>
          <w:color w:val="000000"/>
        </w:rPr>
      </w:pPr>
      <w:r w:rsidRPr="001C4942">
        <w:rPr>
          <w:rFonts w:ascii="Palatino Linotype" w:eastAsia="Palatino Linotype" w:hAnsi="Palatino Linotype" w:cs="Palatino Linotype"/>
          <w:b/>
          <w:bCs/>
          <w:color w:val="000000"/>
        </w:rPr>
        <w:t xml:space="preserve">Soporte documental donde consten las acciones que se aplicarán para el cumplimiento del Programa Hoy No Circula por parte del Ayuntamiento de Toluca, vigentes al treinta de junio de 2025. </w:t>
      </w:r>
    </w:p>
    <w:p w:rsidR="00D338FF" w:rsidRPr="001C4942" w:rsidRDefault="00D338FF" w:rsidP="00D338FF">
      <w:pPr>
        <w:pBdr>
          <w:top w:val="nil"/>
          <w:left w:val="nil"/>
          <w:bottom w:val="nil"/>
          <w:right w:val="nil"/>
          <w:between w:val="nil"/>
        </w:pBdr>
        <w:spacing w:line="360" w:lineRule="auto"/>
        <w:ind w:left="720" w:right="822"/>
        <w:jc w:val="both"/>
        <w:rPr>
          <w:rFonts w:ascii="Palatino Linotype" w:eastAsia="Palatino Linotype" w:hAnsi="Palatino Linotype" w:cs="Palatino Linotype"/>
          <w:b/>
          <w:bCs/>
          <w:color w:val="000000"/>
        </w:rPr>
      </w:pPr>
    </w:p>
    <w:p w:rsidR="00D338FF" w:rsidRPr="001C4942" w:rsidRDefault="00D338FF" w:rsidP="00D338FF">
      <w:pPr>
        <w:spacing w:after="160" w:line="360" w:lineRule="auto"/>
        <w:ind w:right="115"/>
        <w:jc w:val="both"/>
        <w:rPr>
          <w:rFonts w:ascii="Palatino Linotype" w:eastAsia="Palatino Linotype" w:hAnsi="Palatino Linotype" w:cs="Palatino Linotype"/>
        </w:rPr>
      </w:pPr>
      <w:r w:rsidRPr="001C4942">
        <w:rPr>
          <w:rFonts w:ascii="Palatino Linotype" w:eastAsia="Palatino Linotype" w:hAnsi="Palatino Linotype" w:cs="Palatino Linotype"/>
        </w:rPr>
        <w:t xml:space="preserve">Para efectos de lo anterior se deberá emitir el Acuerdo del Comité de Transparencia en términos de los artículos 49 fracción VIII y 132 fracción II de la Ley de Transparencia y Acceso a la Información Pública del Estado de México y Municipios, en el que funde y motive las razones sobre los datos que se supriman o eliminen dentro del soporte documental respectivo objeto de las versiones públicas que se formulen y se ponga a disposición de la parte recurrente. </w:t>
      </w:r>
    </w:p>
    <w:p w:rsidR="00D338FF" w:rsidRPr="001C4942" w:rsidRDefault="00D338FF" w:rsidP="00D338FF">
      <w:pPr>
        <w:tabs>
          <w:tab w:val="left" w:pos="284"/>
          <w:tab w:val="left" w:pos="8080"/>
        </w:tabs>
        <w:spacing w:line="360" w:lineRule="auto"/>
        <w:ind w:right="49"/>
        <w:jc w:val="both"/>
        <w:rPr>
          <w:rFonts w:ascii="Palatino Linotype" w:eastAsia="Palatino Linotype" w:hAnsi="Palatino Linotype" w:cs="Palatino Linotype"/>
        </w:rPr>
      </w:pPr>
      <w:r w:rsidRPr="001C4942">
        <w:rPr>
          <w:rFonts w:ascii="Palatino Linotype" w:eastAsia="Palatino Linotype" w:hAnsi="Palatino Linotype" w:cs="Palatino Linotype"/>
          <w:b/>
          <w:bCs/>
        </w:rPr>
        <w:t>TERCERO. NOTIFÍQUESE</w:t>
      </w:r>
      <w:r w:rsidRPr="001C4942">
        <w:rPr>
          <w:rFonts w:ascii="Palatino Linotype" w:eastAsia="Palatino Linotype" w:hAnsi="Palatino Linotype" w:cs="Palatino Linotype"/>
        </w:rPr>
        <w:t xml:space="preserve"> la presente resolución al Titular de la Unidad de Transparencia del Sujeto Obligado </w:t>
      </w:r>
      <w:r w:rsidRPr="001C4942">
        <w:rPr>
          <w:rFonts w:ascii="Palatino Linotype" w:eastAsia="Palatino Linotype" w:hAnsi="Palatino Linotype" w:cs="Palatino Linotype"/>
          <w:b/>
          <w:bCs/>
        </w:rPr>
        <w:t>vía SAIMEX</w:t>
      </w:r>
      <w:r w:rsidRPr="001C4942">
        <w:rPr>
          <w:rFonts w:ascii="Palatino Linotype" w:eastAsia="Palatino Linotype" w:hAnsi="Palatino Linotype" w:cs="Palatino Linotype"/>
        </w:rPr>
        <w:t xml:space="preserve">, para que conforme al artículo 186 último párrafo, 189 </w:t>
      </w:r>
      <w:r w:rsidRPr="001C4942">
        <w:rPr>
          <w:rFonts w:ascii="Palatino Linotype" w:eastAsia="Palatino Linotype" w:hAnsi="Palatino Linotype" w:cs="Palatino Linotype"/>
        </w:rPr>
        <w:lastRenderedPageBreak/>
        <w:t xml:space="preserve">segundo párrafo y 194 de la Ley de Transparencia y Acceso a la Información Pública del Estado de México y Municipios; </w:t>
      </w:r>
      <w:r w:rsidRPr="001C4942">
        <w:rPr>
          <w:rFonts w:ascii="Palatino Linotype" w:eastAsia="Palatino Linotype" w:hAnsi="Palatino Linotype" w:cs="Palatino Linotype"/>
          <w:b/>
        </w:rPr>
        <w:t>dé cumplimiento a lo ordenado dentro del plazo de diez días hábiles</w:t>
      </w:r>
      <w:r w:rsidRPr="001C4942">
        <w:rPr>
          <w:rFonts w:ascii="Palatino Linotype" w:eastAsia="Palatino Linotype" w:hAnsi="Palatino Linotype" w:cs="Palatino Linotype"/>
        </w:rPr>
        <w:t>,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rsidR="00D338FF" w:rsidRPr="001C4942" w:rsidRDefault="00D338FF" w:rsidP="00D338FF">
      <w:pPr>
        <w:tabs>
          <w:tab w:val="left" w:pos="284"/>
          <w:tab w:val="left" w:pos="8080"/>
        </w:tabs>
        <w:spacing w:line="360" w:lineRule="auto"/>
        <w:ind w:right="49"/>
        <w:jc w:val="both"/>
        <w:rPr>
          <w:rFonts w:ascii="Palatino Linotype" w:eastAsia="Palatino Linotype" w:hAnsi="Palatino Linotype" w:cs="Palatino Linotype"/>
        </w:rPr>
      </w:pPr>
    </w:p>
    <w:p w:rsidR="00D338FF" w:rsidRPr="001C4942" w:rsidRDefault="00D338FF" w:rsidP="00D338FF">
      <w:pPr>
        <w:tabs>
          <w:tab w:val="left" w:pos="284"/>
        </w:tabs>
        <w:spacing w:line="360" w:lineRule="auto"/>
        <w:jc w:val="both"/>
        <w:rPr>
          <w:rFonts w:ascii="Palatino Linotype" w:eastAsia="Palatino Linotype" w:hAnsi="Palatino Linotype" w:cs="Palatino Linotype"/>
        </w:rPr>
      </w:pPr>
      <w:r w:rsidRPr="001C4942">
        <w:rPr>
          <w:rFonts w:ascii="Palatino Linotype" w:eastAsia="Palatino Linotype" w:hAnsi="Palatino Linotype" w:cs="Palatino Linotype"/>
          <w:b/>
          <w:bCs/>
        </w:rPr>
        <w:t xml:space="preserve">CUARTO. Notifíquese </w:t>
      </w:r>
      <w:r w:rsidRPr="001C4942">
        <w:rPr>
          <w:rFonts w:ascii="Palatino Linotype" w:eastAsia="Palatino Linotype" w:hAnsi="Palatino Linotype" w:cs="Palatino Linotype"/>
        </w:rPr>
        <w:t xml:space="preserve">al </w:t>
      </w:r>
      <w:r w:rsidRPr="001C4942">
        <w:rPr>
          <w:rFonts w:ascii="Palatino Linotype" w:eastAsia="Palatino Linotype" w:hAnsi="Palatino Linotype" w:cs="Palatino Linotype"/>
          <w:b/>
          <w:bCs/>
        </w:rPr>
        <w:t xml:space="preserve">RECURRENTE </w:t>
      </w:r>
      <w:r w:rsidRPr="001C4942">
        <w:rPr>
          <w:rFonts w:ascii="Palatino Linotype" w:eastAsia="Palatino Linotype" w:hAnsi="Palatino Linotype" w:cs="Palatino Linotype"/>
        </w:rPr>
        <w:t>la presente resolución a través del Sistema de Acceso a la Información Mexiquense (SAIMEX).</w:t>
      </w:r>
    </w:p>
    <w:p w:rsidR="00D338FF" w:rsidRPr="001C4942" w:rsidRDefault="00D338FF" w:rsidP="00D338FF">
      <w:pPr>
        <w:tabs>
          <w:tab w:val="left" w:pos="284"/>
        </w:tabs>
        <w:spacing w:line="360" w:lineRule="auto"/>
        <w:jc w:val="both"/>
        <w:rPr>
          <w:rFonts w:ascii="Palatino Linotype" w:eastAsia="Palatino Linotype" w:hAnsi="Palatino Linotype" w:cs="Palatino Linotype"/>
        </w:rPr>
      </w:pPr>
    </w:p>
    <w:p w:rsidR="00D338FF" w:rsidRPr="001C4942" w:rsidRDefault="00D338FF" w:rsidP="00D338FF">
      <w:pPr>
        <w:spacing w:line="360" w:lineRule="auto"/>
        <w:jc w:val="both"/>
        <w:rPr>
          <w:rFonts w:ascii="Palatino Linotype" w:eastAsia="Palatino Linotype" w:hAnsi="Palatino Linotype" w:cs="Palatino Linotype"/>
        </w:rPr>
      </w:pPr>
      <w:r w:rsidRPr="001C4942">
        <w:rPr>
          <w:rFonts w:ascii="Palatino Linotype" w:eastAsia="Palatino Linotype" w:hAnsi="Palatino Linotype" w:cs="Palatino Linotype"/>
          <w:b/>
          <w:bCs/>
        </w:rPr>
        <w:t xml:space="preserve">QUINTO. </w:t>
      </w:r>
      <w:r w:rsidRPr="001C4942">
        <w:rPr>
          <w:rFonts w:ascii="Palatino Linotype" w:eastAsia="Palatino Linotype" w:hAnsi="Palatino Linotype" w:cs="Palatino Linotype"/>
        </w:rPr>
        <w:t>De conformidad con el artículo 198 de la Ley de Transparencia y Acceso a la Información Pública del Estado de México y Municipios, de considerarlo procedente, el Sujeto Obligado de manera fundada y motivada, podrá solicitar una ampliación de plazo para el cumplimiento de la presente resolución.</w:t>
      </w:r>
    </w:p>
    <w:p w:rsidR="00D338FF" w:rsidRPr="001C4942" w:rsidRDefault="00D338FF" w:rsidP="00D338FF">
      <w:pPr>
        <w:spacing w:before="240" w:after="360" w:line="360" w:lineRule="auto"/>
        <w:jc w:val="both"/>
        <w:rPr>
          <w:rFonts w:ascii="Palatino Linotype" w:eastAsia="Palatino Linotype" w:hAnsi="Palatino Linotype" w:cs="Palatino Linotype"/>
        </w:rPr>
      </w:pPr>
      <w:r w:rsidRPr="001C4942">
        <w:rPr>
          <w:rFonts w:ascii="Palatino Linotype" w:eastAsia="Palatino Linotype" w:hAnsi="Palatino Linotype" w:cs="Palatino Linotype"/>
          <w:b/>
          <w:bCs/>
        </w:rPr>
        <w:t>SEXTO.</w:t>
      </w:r>
      <w:r w:rsidRPr="001C4942">
        <w:rPr>
          <w:rFonts w:ascii="Palatino Linotype" w:eastAsia="Palatino Linotype" w:hAnsi="Palatino Linotype" w:cs="Palatino Linotype"/>
        </w:rPr>
        <w:t xml:space="preserve"> Se hace del conocimiento del </w:t>
      </w:r>
      <w:r w:rsidRPr="001C4942">
        <w:rPr>
          <w:rFonts w:ascii="Palatino Linotype" w:eastAsia="Palatino Linotype" w:hAnsi="Palatino Linotype" w:cs="Palatino Linotype"/>
          <w:b/>
          <w:bCs/>
        </w:rPr>
        <w:t xml:space="preserve">Recurrente </w:t>
      </w:r>
      <w:r w:rsidRPr="001C4942">
        <w:rPr>
          <w:rFonts w:ascii="Palatino Linotype" w:eastAsia="Palatino Linotype" w:hAnsi="Palatino Linotype" w:cs="Palatino Linotype"/>
        </w:rPr>
        <w:t>que, de conformidad con lo establecido en el artículo 196 de la Ley de Transparencia y Acceso a la Información Pública del Estado de México y Municipios, en caso de que considere que la resolución le cause algún perjuicio podrá impugnarla vía juicio de amparo en los términos de las leyes aplicables.</w:t>
      </w:r>
    </w:p>
    <w:p w:rsidR="004E0AAB" w:rsidRPr="001C4942" w:rsidRDefault="004E0AAB" w:rsidP="004E0AAB">
      <w:pPr>
        <w:spacing w:before="240" w:after="240" w:line="360" w:lineRule="auto"/>
        <w:ind w:firstLine="1"/>
        <w:jc w:val="both"/>
        <w:rPr>
          <w:rFonts w:ascii="Palatino Linotype" w:hAnsi="Palatino Linotype"/>
        </w:rPr>
      </w:pPr>
      <w:bookmarkStart w:id="8" w:name="_Hlk99014733"/>
      <w:r w:rsidRPr="001C4942">
        <w:rPr>
          <w:rFonts w:ascii="Palatino Linotype" w:hAnsi="Palatino Linotype" w:cs="Palatino Linotype"/>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w:t>
      </w:r>
      <w:r w:rsidRPr="001C4942">
        <w:rPr>
          <w:rFonts w:ascii="Palatino Linotype" w:hAnsi="Palatino Linotype" w:cs="Palatino Linotype"/>
        </w:rPr>
        <w:lastRenderedPageBreak/>
        <w:t xml:space="preserve">AYALA, SHARON CRISTINA MORALES MARTÍNEZ, LUIS GUSTAVO PARRA NORIEGA Y GUADALUPE RAMÍREZ PEÑA; EN LA OCTAVA SESIÓN ORDINARIA, CELEBRADA EL CINCO (05) DE MARZO DE DOS MIL VEINTISÉIS, ANTE EL SECRETARIO TÉCNICO DEL PLENO </w:t>
      </w:r>
      <w:r w:rsidRPr="001C4942">
        <w:rPr>
          <w:rFonts w:ascii="Palatino Linotype" w:hAnsi="Palatino Linotype" w:cs="Palatino Linotype"/>
          <w:color w:val="000000" w:themeColor="text1"/>
        </w:rPr>
        <w:t>ALEXIS TAPIA RAMÍREZ.</w:t>
      </w:r>
    </w:p>
    <w:bookmarkEnd w:id="8"/>
    <w:p w:rsidR="00D338FF" w:rsidRPr="001C4942" w:rsidRDefault="00D338FF" w:rsidP="00D338FF">
      <w:pPr>
        <w:pBdr>
          <w:top w:val="nil"/>
          <w:left w:val="nil"/>
          <w:bottom w:val="nil"/>
          <w:right w:val="nil"/>
          <w:between w:val="nil"/>
        </w:pBdr>
        <w:spacing w:line="360" w:lineRule="auto"/>
        <w:jc w:val="both"/>
        <w:rPr>
          <w:rFonts w:ascii="Palatino Linotype" w:eastAsia="Palatino Linotype" w:hAnsi="Palatino Linotype" w:cs="Palatino Linotype"/>
        </w:rPr>
      </w:pPr>
    </w:p>
    <w:p w:rsidR="00D338FF" w:rsidRPr="001C4942" w:rsidRDefault="00D338FF" w:rsidP="00D338FF"/>
    <w:p w:rsidR="00D338FF" w:rsidRPr="001C4942" w:rsidRDefault="00D338FF" w:rsidP="00D338FF"/>
    <w:p w:rsidR="00D338FF" w:rsidRPr="001C4942" w:rsidRDefault="00D338FF" w:rsidP="00D338FF"/>
    <w:p w:rsidR="00D338FF" w:rsidRPr="001C4942" w:rsidRDefault="00D338FF" w:rsidP="00D338FF"/>
    <w:p w:rsidR="00D338FF" w:rsidRPr="001C4942" w:rsidRDefault="00D338FF" w:rsidP="00D338FF"/>
    <w:p w:rsidR="00D338FF" w:rsidRPr="001C4942" w:rsidRDefault="00D338FF" w:rsidP="00D338FF"/>
    <w:p w:rsidR="00D338FF" w:rsidRPr="001C4942" w:rsidRDefault="00D338FF" w:rsidP="00D338FF"/>
    <w:p w:rsidR="00D338FF" w:rsidRPr="001C4942" w:rsidRDefault="00D338FF" w:rsidP="00D338FF"/>
    <w:p w:rsidR="00D338FF" w:rsidRPr="001C4942" w:rsidRDefault="00D338FF" w:rsidP="00D338FF"/>
    <w:p w:rsidR="00D338FF" w:rsidRPr="001C4942" w:rsidRDefault="00D338FF" w:rsidP="00D338FF"/>
    <w:p w:rsidR="00FB2FED" w:rsidRPr="001C4942" w:rsidRDefault="00FB2FED"/>
    <w:p w:rsidR="009B3EA3" w:rsidRPr="001C4942" w:rsidRDefault="009B3EA3"/>
    <w:p w:rsidR="009B3EA3" w:rsidRPr="001C4942" w:rsidRDefault="009B3EA3"/>
    <w:p w:rsidR="009B3EA3" w:rsidRPr="001C4942" w:rsidRDefault="009B3EA3"/>
    <w:p w:rsidR="009B3EA3" w:rsidRPr="001C4942" w:rsidRDefault="009B3EA3"/>
    <w:p w:rsidR="009B3EA3" w:rsidRPr="001C4942" w:rsidRDefault="009B3EA3"/>
    <w:p w:rsidR="009B3EA3" w:rsidRPr="001C4942" w:rsidRDefault="009B3EA3"/>
    <w:p w:rsidR="009B3EA3" w:rsidRPr="001C4942" w:rsidRDefault="009B3EA3"/>
    <w:p w:rsidR="009B3EA3" w:rsidRPr="001C4942" w:rsidRDefault="009B3EA3"/>
    <w:p w:rsidR="009B3EA3" w:rsidRPr="001C4942" w:rsidRDefault="009B3EA3"/>
    <w:p w:rsidR="009B3EA3" w:rsidRPr="001C4942" w:rsidRDefault="009B3EA3"/>
    <w:p w:rsidR="009B3EA3" w:rsidRPr="001C4942" w:rsidRDefault="009B3EA3"/>
    <w:p w:rsidR="009B3EA3" w:rsidRDefault="009B3EA3"/>
    <w:p w:rsidR="001C4942" w:rsidRDefault="001C4942"/>
    <w:p w:rsidR="001C4942" w:rsidRDefault="001C4942"/>
    <w:p w:rsidR="001C4942" w:rsidRDefault="001C4942"/>
    <w:p w:rsidR="001C4942" w:rsidRDefault="001C4942"/>
    <w:p w:rsidR="001C4942" w:rsidRDefault="001C4942"/>
    <w:p w:rsidR="001C4942" w:rsidRDefault="001C4942"/>
    <w:p w:rsidR="001C4942" w:rsidRPr="001C4942" w:rsidRDefault="001C4942"/>
    <w:p w:rsidR="009B3EA3" w:rsidRPr="001C4942" w:rsidRDefault="009B3EA3"/>
    <w:p w:rsidR="009B3EA3" w:rsidRPr="001C4942" w:rsidRDefault="009B3EA3"/>
    <w:p w:rsidR="009B3EA3" w:rsidRPr="001C4942" w:rsidRDefault="009B3EA3"/>
    <w:p w:rsidR="009B3EA3" w:rsidRPr="001C4942" w:rsidRDefault="009B3EA3"/>
    <w:p w:rsidR="009B3EA3" w:rsidRPr="001C4942" w:rsidRDefault="009B3EA3"/>
    <w:sectPr w:rsidR="009B3EA3" w:rsidRPr="001C4942" w:rsidSect="001C4942">
      <w:headerReference w:type="even" r:id="rId11"/>
      <w:headerReference w:type="default" r:id="rId12"/>
      <w:footerReference w:type="default" r:id="rId13"/>
      <w:headerReference w:type="first" r:id="rId14"/>
      <w:footerReference w:type="first" r:id="rId15"/>
      <w:pgSz w:w="12240" w:h="15840"/>
      <w:pgMar w:top="80" w:right="900" w:bottom="1418" w:left="1588" w:header="709" w:footer="91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F22F0" w:rsidRDefault="001F22F0" w:rsidP="00D338FF">
      <w:r>
        <w:separator/>
      </w:r>
    </w:p>
  </w:endnote>
  <w:endnote w:type="continuationSeparator" w:id="0">
    <w:p w:rsidR="001F22F0" w:rsidRDefault="001F22F0" w:rsidP="00D338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4070A" w:rsidRPr="001C4942" w:rsidRDefault="00C4070A">
    <w:pPr>
      <w:pBdr>
        <w:top w:val="nil"/>
        <w:left w:val="nil"/>
        <w:bottom w:val="nil"/>
        <w:right w:val="nil"/>
        <w:between w:val="nil"/>
      </w:pBdr>
      <w:tabs>
        <w:tab w:val="center" w:pos="4419"/>
        <w:tab w:val="right" w:pos="8838"/>
      </w:tabs>
      <w:jc w:val="right"/>
      <w:rPr>
        <w:rFonts w:ascii="Palatino Linotype" w:hAnsi="Palatino Linotype"/>
        <w:b/>
        <w:color w:val="000000"/>
        <w:sz w:val="22"/>
      </w:rPr>
    </w:pPr>
    <w:r w:rsidRPr="001C4942">
      <w:rPr>
        <w:rFonts w:ascii="Palatino Linotype" w:hAnsi="Palatino Linotype"/>
        <w:b/>
        <w:color w:val="000000"/>
        <w:sz w:val="22"/>
      </w:rPr>
      <w:t xml:space="preserve">Página </w:t>
    </w:r>
    <w:r w:rsidRPr="001C4942">
      <w:rPr>
        <w:rFonts w:ascii="Palatino Linotype" w:hAnsi="Palatino Linotype"/>
        <w:b/>
        <w:bCs/>
        <w:color w:val="000000"/>
        <w:sz w:val="22"/>
      </w:rPr>
      <w:fldChar w:fldCharType="begin"/>
    </w:r>
    <w:r w:rsidRPr="001C4942">
      <w:rPr>
        <w:rFonts w:ascii="Palatino Linotype" w:hAnsi="Palatino Linotype"/>
        <w:b/>
        <w:bCs/>
        <w:color w:val="000000"/>
        <w:sz w:val="22"/>
      </w:rPr>
      <w:instrText>PAGE</w:instrText>
    </w:r>
    <w:r w:rsidRPr="001C4942">
      <w:rPr>
        <w:rFonts w:ascii="Palatino Linotype" w:hAnsi="Palatino Linotype"/>
        <w:b/>
        <w:bCs/>
        <w:color w:val="000000"/>
        <w:sz w:val="22"/>
      </w:rPr>
      <w:fldChar w:fldCharType="separate"/>
    </w:r>
    <w:r w:rsidR="00994E95">
      <w:rPr>
        <w:rFonts w:ascii="Palatino Linotype" w:hAnsi="Palatino Linotype"/>
        <w:b/>
        <w:bCs/>
        <w:noProof/>
        <w:color w:val="000000"/>
        <w:sz w:val="22"/>
      </w:rPr>
      <w:t>22</w:t>
    </w:r>
    <w:r w:rsidRPr="001C4942">
      <w:rPr>
        <w:rFonts w:ascii="Palatino Linotype" w:hAnsi="Palatino Linotype"/>
        <w:b/>
        <w:bCs/>
        <w:color w:val="000000"/>
        <w:sz w:val="22"/>
      </w:rPr>
      <w:fldChar w:fldCharType="end"/>
    </w:r>
    <w:r w:rsidRPr="001C4942">
      <w:rPr>
        <w:rFonts w:ascii="Palatino Linotype" w:hAnsi="Palatino Linotype"/>
        <w:b/>
        <w:color w:val="000000"/>
        <w:sz w:val="22"/>
      </w:rPr>
      <w:t xml:space="preserve"> de </w:t>
    </w:r>
    <w:r w:rsidRPr="001C4942">
      <w:rPr>
        <w:rFonts w:ascii="Palatino Linotype" w:hAnsi="Palatino Linotype"/>
        <w:b/>
        <w:bCs/>
        <w:color w:val="000000"/>
        <w:sz w:val="22"/>
      </w:rPr>
      <w:fldChar w:fldCharType="begin"/>
    </w:r>
    <w:r w:rsidRPr="001C4942">
      <w:rPr>
        <w:rFonts w:ascii="Palatino Linotype" w:hAnsi="Palatino Linotype"/>
        <w:b/>
        <w:bCs/>
        <w:color w:val="000000"/>
        <w:sz w:val="22"/>
      </w:rPr>
      <w:instrText>NUMPAGES</w:instrText>
    </w:r>
    <w:r w:rsidRPr="001C4942">
      <w:rPr>
        <w:rFonts w:ascii="Palatino Linotype" w:hAnsi="Palatino Linotype"/>
        <w:b/>
        <w:bCs/>
        <w:color w:val="000000"/>
        <w:sz w:val="22"/>
      </w:rPr>
      <w:fldChar w:fldCharType="separate"/>
    </w:r>
    <w:r w:rsidR="00994E95">
      <w:rPr>
        <w:rFonts w:ascii="Palatino Linotype" w:hAnsi="Palatino Linotype"/>
        <w:b/>
        <w:bCs/>
        <w:noProof/>
        <w:color w:val="000000"/>
        <w:sz w:val="22"/>
      </w:rPr>
      <w:t>24</w:t>
    </w:r>
    <w:r w:rsidRPr="001C4942">
      <w:rPr>
        <w:rFonts w:ascii="Palatino Linotype" w:hAnsi="Palatino Linotype"/>
        <w:b/>
        <w:bCs/>
        <w:color w:val="000000"/>
        <w:sz w:val="22"/>
      </w:rPr>
      <w:fldChar w:fldCharType="end"/>
    </w:r>
  </w:p>
  <w:p w:rsidR="00C4070A" w:rsidRDefault="00C4070A">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4070A" w:rsidRPr="001C4942" w:rsidRDefault="00C4070A">
    <w:pPr>
      <w:pBdr>
        <w:top w:val="nil"/>
        <w:left w:val="nil"/>
        <w:bottom w:val="nil"/>
        <w:right w:val="nil"/>
        <w:between w:val="nil"/>
      </w:pBdr>
      <w:tabs>
        <w:tab w:val="center" w:pos="4419"/>
        <w:tab w:val="right" w:pos="8838"/>
      </w:tabs>
      <w:jc w:val="right"/>
      <w:rPr>
        <w:rFonts w:ascii="Palatino Linotype" w:hAnsi="Palatino Linotype"/>
        <w:b/>
        <w:color w:val="000000"/>
        <w:sz w:val="22"/>
      </w:rPr>
    </w:pPr>
    <w:r w:rsidRPr="001C4942">
      <w:rPr>
        <w:rFonts w:ascii="Palatino Linotype" w:hAnsi="Palatino Linotype"/>
        <w:b/>
        <w:color w:val="000000"/>
        <w:sz w:val="22"/>
      </w:rPr>
      <w:t xml:space="preserve">Página </w:t>
    </w:r>
    <w:r w:rsidRPr="001C4942">
      <w:rPr>
        <w:rFonts w:ascii="Palatino Linotype" w:hAnsi="Palatino Linotype"/>
        <w:b/>
        <w:bCs/>
        <w:color w:val="000000"/>
        <w:sz w:val="22"/>
      </w:rPr>
      <w:fldChar w:fldCharType="begin"/>
    </w:r>
    <w:r w:rsidRPr="001C4942">
      <w:rPr>
        <w:rFonts w:ascii="Palatino Linotype" w:hAnsi="Palatino Linotype"/>
        <w:b/>
        <w:bCs/>
        <w:color w:val="000000"/>
        <w:sz w:val="22"/>
      </w:rPr>
      <w:instrText>PAGE</w:instrText>
    </w:r>
    <w:r w:rsidRPr="001C4942">
      <w:rPr>
        <w:rFonts w:ascii="Palatino Linotype" w:hAnsi="Palatino Linotype"/>
        <w:b/>
        <w:bCs/>
        <w:color w:val="000000"/>
        <w:sz w:val="22"/>
      </w:rPr>
      <w:fldChar w:fldCharType="separate"/>
    </w:r>
    <w:r w:rsidR="00994E95">
      <w:rPr>
        <w:rFonts w:ascii="Palatino Linotype" w:hAnsi="Palatino Linotype"/>
        <w:b/>
        <w:bCs/>
        <w:noProof/>
        <w:color w:val="000000"/>
        <w:sz w:val="22"/>
      </w:rPr>
      <w:t>1</w:t>
    </w:r>
    <w:r w:rsidRPr="001C4942">
      <w:rPr>
        <w:rFonts w:ascii="Palatino Linotype" w:hAnsi="Palatino Linotype"/>
        <w:b/>
        <w:bCs/>
        <w:color w:val="000000"/>
        <w:sz w:val="22"/>
      </w:rPr>
      <w:fldChar w:fldCharType="end"/>
    </w:r>
    <w:r w:rsidRPr="001C4942">
      <w:rPr>
        <w:rFonts w:ascii="Palatino Linotype" w:hAnsi="Palatino Linotype"/>
        <w:b/>
        <w:color w:val="000000"/>
        <w:sz w:val="22"/>
      </w:rPr>
      <w:t xml:space="preserve"> de </w:t>
    </w:r>
    <w:r w:rsidRPr="001C4942">
      <w:rPr>
        <w:rFonts w:ascii="Palatino Linotype" w:hAnsi="Palatino Linotype"/>
        <w:b/>
        <w:bCs/>
        <w:color w:val="000000"/>
        <w:sz w:val="22"/>
      </w:rPr>
      <w:fldChar w:fldCharType="begin"/>
    </w:r>
    <w:r w:rsidRPr="001C4942">
      <w:rPr>
        <w:rFonts w:ascii="Palatino Linotype" w:hAnsi="Palatino Linotype"/>
        <w:b/>
        <w:bCs/>
        <w:color w:val="000000"/>
        <w:sz w:val="22"/>
      </w:rPr>
      <w:instrText>NUMPAGES</w:instrText>
    </w:r>
    <w:r w:rsidRPr="001C4942">
      <w:rPr>
        <w:rFonts w:ascii="Palatino Linotype" w:hAnsi="Palatino Linotype"/>
        <w:b/>
        <w:bCs/>
        <w:color w:val="000000"/>
        <w:sz w:val="22"/>
      </w:rPr>
      <w:fldChar w:fldCharType="separate"/>
    </w:r>
    <w:r w:rsidR="00994E95">
      <w:rPr>
        <w:rFonts w:ascii="Palatino Linotype" w:hAnsi="Palatino Linotype"/>
        <w:b/>
        <w:bCs/>
        <w:noProof/>
        <w:color w:val="000000"/>
        <w:sz w:val="22"/>
      </w:rPr>
      <w:t>24</w:t>
    </w:r>
    <w:r w:rsidRPr="001C4942">
      <w:rPr>
        <w:rFonts w:ascii="Palatino Linotype" w:hAnsi="Palatino Linotype"/>
        <w:b/>
        <w:bCs/>
        <w:color w:val="000000"/>
        <w:sz w:val="22"/>
      </w:rPr>
      <w:fldChar w:fldCharType="end"/>
    </w:r>
  </w:p>
  <w:p w:rsidR="00C4070A" w:rsidRDefault="00C4070A">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F22F0" w:rsidRDefault="001F22F0" w:rsidP="00D338FF">
      <w:r>
        <w:separator/>
      </w:r>
    </w:p>
  </w:footnote>
  <w:footnote w:type="continuationSeparator" w:id="0">
    <w:p w:rsidR="001F22F0" w:rsidRDefault="001F22F0" w:rsidP="00D338FF">
      <w:r>
        <w:continuationSeparator/>
      </w:r>
    </w:p>
  </w:footnote>
  <w:footnote w:id="1">
    <w:p w:rsidR="00C4070A" w:rsidRDefault="00C4070A" w:rsidP="00D47D60">
      <w:pPr>
        <w:pStyle w:val="Textonotapie"/>
      </w:pPr>
      <w:r>
        <w:rPr>
          <w:rStyle w:val="Refdenotaalpie"/>
        </w:rPr>
        <w:footnoteRef/>
      </w:r>
      <w:r>
        <w:t xml:space="preserve"> Artículo 150. Ley de Transparencia y Acceso a la Información Pública del Estado de México y Municipios.</w:t>
      </w:r>
    </w:p>
    <w:p w:rsidR="00C4070A" w:rsidRDefault="00C4070A" w:rsidP="00D47D60">
      <w:pPr>
        <w:pStyle w:val="Textonotapie"/>
      </w:pPr>
      <w:r>
        <w:t>Artículo 151. Ibídem.</w:t>
      </w:r>
    </w:p>
  </w:footnote>
  <w:footnote w:id="2">
    <w:p w:rsidR="00C4070A" w:rsidRDefault="00C4070A" w:rsidP="00D47D60">
      <w:pPr>
        <w:pStyle w:val="Textonotapie"/>
      </w:pPr>
      <w:r>
        <w:rPr>
          <w:rStyle w:val="Refdenotaalpie"/>
        </w:rPr>
        <w:footnoteRef/>
      </w:r>
      <w:r>
        <w:t xml:space="preserve"> Fracción IV. Artículo 53. Ibídem.</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4070A" w:rsidRDefault="001F22F0">
    <w:pPr>
      <w:pBdr>
        <w:top w:val="nil"/>
        <w:left w:val="nil"/>
        <w:bottom w:val="nil"/>
        <w:right w:val="nil"/>
        <w:between w:val="nil"/>
      </w:pBdr>
      <w:tabs>
        <w:tab w:val="center" w:pos="4419"/>
        <w:tab w:val="right" w:pos="8838"/>
      </w:tabs>
      <w:rPr>
        <w:color w:val="000000"/>
      </w:rPr>
    </w:pPr>
    <w:r>
      <w:rPr>
        <w:color w:val="00000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1" type="#_x0000_t75" alt="" style="position:absolute;margin-left:0;margin-top:0;width:589.8pt;height:768pt;z-index:-251659776;mso-position-horizontal:center;mso-position-horizontal-relative:margin;mso-position-vertical:center;mso-position-vertical-relative:margin">
          <v:imagedata r:id="rId1" o:title="image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206" w:type="dxa"/>
      <w:tblLayout w:type="fixed"/>
      <w:tblLook w:val="0400" w:firstRow="0" w:lastRow="0" w:firstColumn="0" w:lastColumn="0" w:noHBand="0" w:noVBand="1"/>
    </w:tblPr>
    <w:tblGrid>
      <w:gridCol w:w="2268"/>
      <w:gridCol w:w="7938"/>
    </w:tblGrid>
    <w:tr w:rsidR="00C4070A" w:rsidTr="001C4942">
      <w:trPr>
        <w:trHeight w:val="1435"/>
      </w:trPr>
      <w:tc>
        <w:tcPr>
          <w:tcW w:w="2268" w:type="dxa"/>
          <w:shd w:val="clear" w:color="auto" w:fill="auto"/>
        </w:tcPr>
        <w:p w:rsidR="00C4070A" w:rsidRDefault="00C4070A">
          <w:pPr>
            <w:tabs>
              <w:tab w:val="right" w:pos="4273"/>
            </w:tabs>
            <w:rPr>
              <w:rFonts w:ascii="Garamond" w:eastAsia="Garamond" w:hAnsi="Garamond" w:cs="Garamond"/>
              <w:sz w:val="16"/>
              <w:szCs w:val="16"/>
            </w:rPr>
          </w:pPr>
        </w:p>
      </w:tc>
      <w:tc>
        <w:tcPr>
          <w:tcW w:w="7938" w:type="dxa"/>
          <w:shd w:val="clear" w:color="auto" w:fill="auto"/>
        </w:tcPr>
        <w:tbl>
          <w:tblPr>
            <w:tblW w:w="6940" w:type="dxa"/>
            <w:tblInd w:w="1168" w:type="dxa"/>
            <w:tblLayout w:type="fixed"/>
            <w:tblLook w:val="0400" w:firstRow="0" w:lastRow="0" w:firstColumn="0" w:lastColumn="0" w:noHBand="0" w:noVBand="1"/>
          </w:tblPr>
          <w:tblGrid>
            <w:gridCol w:w="2829"/>
            <w:gridCol w:w="4111"/>
          </w:tblGrid>
          <w:tr w:rsidR="00C4070A" w:rsidTr="001C4942">
            <w:trPr>
              <w:trHeight w:val="150"/>
            </w:trPr>
            <w:tc>
              <w:tcPr>
                <w:tcW w:w="2829" w:type="dxa"/>
                <w:shd w:val="clear" w:color="auto" w:fill="auto"/>
              </w:tcPr>
              <w:p w:rsidR="00C4070A" w:rsidRPr="001C4942" w:rsidRDefault="00C4070A">
                <w:pPr>
                  <w:tabs>
                    <w:tab w:val="right" w:pos="8838"/>
                  </w:tabs>
                  <w:ind w:right="-105"/>
                  <w:rPr>
                    <w:rFonts w:ascii="Palatino Linotype" w:eastAsia="Palatino Linotype" w:hAnsi="Palatino Linotype" w:cs="Palatino Linotype"/>
                    <w:b/>
                    <w:bCs/>
                    <w:szCs w:val="22"/>
                  </w:rPr>
                </w:pPr>
                <w:r w:rsidRPr="001C4942">
                  <w:rPr>
                    <w:rFonts w:ascii="Palatino Linotype" w:eastAsia="Palatino Linotype" w:hAnsi="Palatino Linotype" w:cs="Palatino Linotype"/>
                    <w:b/>
                    <w:bCs/>
                    <w:szCs w:val="22"/>
                  </w:rPr>
                  <w:t>Recurso de Revisión:</w:t>
                </w:r>
              </w:p>
            </w:tc>
            <w:tc>
              <w:tcPr>
                <w:tcW w:w="4111" w:type="dxa"/>
                <w:shd w:val="clear" w:color="auto" w:fill="auto"/>
              </w:tcPr>
              <w:p w:rsidR="00C4070A" w:rsidRPr="001C4942" w:rsidRDefault="00C4070A">
                <w:pPr>
                  <w:tabs>
                    <w:tab w:val="right" w:pos="8838"/>
                  </w:tabs>
                  <w:ind w:left="-108" w:right="-1090"/>
                  <w:jc w:val="both"/>
                  <w:rPr>
                    <w:rFonts w:ascii="Palatino Linotype" w:eastAsia="Palatino Linotype" w:hAnsi="Palatino Linotype" w:cs="Palatino Linotype"/>
                    <w:szCs w:val="22"/>
                  </w:rPr>
                </w:pPr>
                <w:r w:rsidRPr="001C4942">
                  <w:rPr>
                    <w:rFonts w:ascii="Palatino Linotype" w:eastAsia="Palatino Linotype" w:hAnsi="Palatino Linotype" w:cs="Palatino Linotype"/>
                    <w:szCs w:val="22"/>
                  </w:rPr>
                  <w:t>09998/INFOEM/IP/RR/2025</w:t>
                </w:r>
                <w:r w:rsidRPr="001C4942">
                  <w:rPr>
                    <w:rFonts w:ascii="Palatino Linotype" w:eastAsia="Palatino Linotype" w:hAnsi="Palatino Linotype" w:cs="Palatino Linotype"/>
                    <w:b/>
                    <w:bCs/>
                    <w:szCs w:val="22"/>
                  </w:rPr>
                  <w:t xml:space="preserve"> </w:t>
                </w:r>
              </w:p>
            </w:tc>
          </w:tr>
          <w:tr w:rsidR="00C4070A" w:rsidTr="001C4942">
            <w:trPr>
              <w:trHeight w:val="295"/>
            </w:trPr>
            <w:tc>
              <w:tcPr>
                <w:tcW w:w="2829" w:type="dxa"/>
                <w:shd w:val="clear" w:color="auto" w:fill="auto"/>
              </w:tcPr>
              <w:p w:rsidR="00C4070A" w:rsidRPr="001C4942" w:rsidRDefault="00C4070A">
                <w:pPr>
                  <w:tabs>
                    <w:tab w:val="right" w:pos="8838"/>
                  </w:tabs>
                  <w:ind w:right="-105"/>
                  <w:rPr>
                    <w:rFonts w:ascii="Palatino Linotype" w:eastAsia="Palatino Linotype" w:hAnsi="Palatino Linotype" w:cs="Palatino Linotype"/>
                    <w:b/>
                    <w:bCs/>
                    <w:szCs w:val="22"/>
                  </w:rPr>
                </w:pPr>
                <w:r w:rsidRPr="001C4942">
                  <w:rPr>
                    <w:rFonts w:ascii="Palatino Linotype" w:eastAsia="Palatino Linotype" w:hAnsi="Palatino Linotype" w:cs="Palatino Linotype"/>
                    <w:b/>
                    <w:bCs/>
                    <w:szCs w:val="22"/>
                  </w:rPr>
                  <w:t>Sujeto Obligado:</w:t>
                </w:r>
              </w:p>
            </w:tc>
            <w:tc>
              <w:tcPr>
                <w:tcW w:w="4111" w:type="dxa"/>
                <w:shd w:val="clear" w:color="auto" w:fill="auto"/>
              </w:tcPr>
              <w:p w:rsidR="00C4070A" w:rsidRPr="001C4942" w:rsidRDefault="00C4070A">
                <w:pPr>
                  <w:tabs>
                    <w:tab w:val="left" w:pos="2834"/>
                    <w:tab w:val="right" w:pos="8838"/>
                  </w:tabs>
                  <w:ind w:left="-108" w:right="-1090"/>
                  <w:jc w:val="both"/>
                  <w:rPr>
                    <w:rFonts w:ascii="Palatino Linotype" w:eastAsia="Palatino Linotype" w:hAnsi="Palatino Linotype" w:cs="Palatino Linotype"/>
                    <w:szCs w:val="22"/>
                  </w:rPr>
                </w:pPr>
                <w:r w:rsidRPr="001C4942">
                  <w:rPr>
                    <w:rFonts w:ascii="Palatino Linotype" w:eastAsia="Palatino Linotype" w:hAnsi="Palatino Linotype" w:cs="Palatino Linotype"/>
                    <w:szCs w:val="22"/>
                  </w:rPr>
                  <w:t>Ayuntamiento de Toluca</w:t>
                </w:r>
              </w:p>
            </w:tc>
          </w:tr>
          <w:tr w:rsidR="00C4070A" w:rsidTr="001C4942">
            <w:trPr>
              <w:trHeight w:val="295"/>
            </w:trPr>
            <w:tc>
              <w:tcPr>
                <w:tcW w:w="2829" w:type="dxa"/>
                <w:shd w:val="clear" w:color="auto" w:fill="auto"/>
              </w:tcPr>
              <w:p w:rsidR="00C4070A" w:rsidRPr="001C4942" w:rsidRDefault="00C4070A">
                <w:pPr>
                  <w:tabs>
                    <w:tab w:val="right" w:pos="8838"/>
                  </w:tabs>
                  <w:ind w:right="-105"/>
                  <w:rPr>
                    <w:rFonts w:ascii="Palatino Linotype" w:eastAsia="Palatino Linotype" w:hAnsi="Palatino Linotype" w:cs="Palatino Linotype"/>
                    <w:b/>
                    <w:bCs/>
                    <w:szCs w:val="22"/>
                  </w:rPr>
                </w:pPr>
                <w:r w:rsidRPr="001C4942">
                  <w:rPr>
                    <w:rFonts w:ascii="Palatino Linotype" w:eastAsia="Palatino Linotype" w:hAnsi="Palatino Linotype" w:cs="Palatino Linotype"/>
                    <w:b/>
                    <w:bCs/>
                    <w:szCs w:val="22"/>
                  </w:rPr>
                  <w:t>Comisionado ponente:</w:t>
                </w:r>
              </w:p>
            </w:tc>
            <w:tc>
              <w:tcPr>
                <w:tcW w:w="4111" w:type="dxa"/>
                <w:shd w:val="clear" w:color="auto" w:fill="auto"/>
              </w:tcPr>
              <w:p w:rsidR="00C4070A" w:rsidRPr="001C4942" w:rsidRDefault="00C4070A">
                <w:pPr>
                  <w:tabs>
                    <w:tab w:val="right" w:pos="8838"/>
                  </w:tabs>
                  <w:ind w:left="-108" w:right="-1090"/>
                  <w:jc w:val="both"/>
                  <w:rPr>
                    <w:rFonts w:ascii="Palatino Linotype" w:eastAsia="Palatino Linotype" w:hAnsi="Palatino Linotype" w:cs="Palatino Linotype"/>
                    <w:szCs w:val="22"/>
                  </w:rPr>
                </w:pPr>
                <w:r w:rsidRPr="001C4942">
                  <w:rPr>
                    <w:rFonts w:ascii="Palatino Linotype" w:eastAsia="Palatino Linotype" w:hAnsi="Palatino Linotype" w:cs="Palatino Linotype"/>
                    <w:szCs w:val="22"/>
                  </w:rPr>
                  <w:t>María del Rosario Mejía Ayala</w:t>
                </w:r>
              </w:p>
              <w:p w:rsidR="00C4070A" w:rsidRPr="001C4942" w:rsidRDefault="00C4070A">
                <w:pPr>
                  <w:tabs>
                    <w:tab w:val="right" w:pos="8838"/>
                  </w:tabs>
                  <w:ind w:left="-108" w:right="-1090"/>
                  <w:jc w:val="both"/>
                  <w:rPr>
                    <w:rFonts w:ascii="Palatino Linotype" w:eastAsia="Palatino Linotype" w:hAnsi="Palatino Linotype" w:cs="Palatino Linotype"/>
                    <w:b/>
                    <w:bCs/>
                    <w:szCs w:val="22"/>
                  </w:rPr>
                </w:pPr>
              </w:p>
            </w:tc>
          </w:tr>
        </w:tbl>
        <w:p w:rsidR="00C4070A" w:rsidRDefault="00C4070A">
          <w:pPr>
            <w:tabs>
              <w:tab w:val="right" w:pos="8838"/>
            </w:tabs>
            <w:ind w:left="-28"/>
            <w:jc w:val="both"/>
            <w:rPr>
              <w:rFonts w:ascii="Arial" w:eastAsia="Arial" w:hAnsi="Arial" w:cs="Arial"/>
              <w:b/>
              <w:bCs/>
              <w:sz w:val="22"/>
              <w:szCs w:val="22"/>
            </w:rPr>
          </w:pPr>
        </w:p>
      </w:tc>
    </w:tr>
  </w:tbl>
  <w:p w:rsidR="00C4070A" w:rsidRDefault="001F22F0">
    <w:pPr>
      <w:pBdr>
        <w:top w:val="nil"/>
        <w:left w:val="nil"/>
        <w:bottom w:val="nil"/>
        <w:right w:val="nil"/>
        <w:between w:val="nil"/>
      </w:pBdr>
      <w:tabs>
        <w:tab w:val="center" w:pos="4419"/>
        <w:tab w:val="right" w:pos="8838"/>
      </w:tabs>
      <w:rPr>
        <w:color w:val="000000"/>
        <w:sz w:val="14"/>
        <w:szCs w:val="14"/>
      </w:rPr>
    </w:pPr>
    <w:r>
      <w:rPr>
        <w:color w:val="000000"/>
        <w:sz w:val="14"/>
        <w:szCs w:val="1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margin-left:-68.8pt;margin-top:-120.5pt;width:589.8pt;height:768pt;z-index:-251658752;mso-position-horizontal:absolute;mso-position-horizontal-relative:margin;mso-position-vertical:absolute;mso-position-vertical-relative:margin">
          <v:imagedata r:id="rId1" o:title="image1"/>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020" w:type="dxa"/>
      <w:tblLayout w:type="fixed"/>
      <w:tblLook w:val="0400" w:firstRow="0" w:lastRow="0" w:firstColumn="0" w:lastColumn="0" w:noHBand="0" w:noVBand="1"/>
    </w:tblPr>
    <w:tblGrid>
      <w:gridCol w:w="2265"/>
      <w:gridCol w:w="7755"/>
    </w:tblGrid>
    <w:tr w:rsidR="00C4070A">
      <w:trPr>
        <w:trHeight w:val="1435"/>
      </w:trPr>
      <w:tc>
        <w:tcPr>
          <w:tcW w:w="2265" w:type="dxa"/>
          <w:shd w:val="clear" w:color="auto" w:fill="auto"/>
        </w:tcPr>
        <w:p w:rsidR="00C4070A" w:rsidRDefault="00C4070A">
          <w:pPr>
            <w:tabs>
              <w:tab w:val="right" w:pos="4273"/>
            </w:tabs>
            <w:rPr>
              <w:rFonts w:ascii="Garamond" w:eastAsia="Garamond" w:hAnsi="Garamond" w:cs="Garamond"/>
              <w:sz w:val="22"/>
              <w:szCs w:val="22"/>
            </w:rPr>
          </w:pPr>
        </w:p>
      </w:tc>
      <w:tc>
        <w:tcPr>
          <w:tcW w:w="7755" w:type="dxa"/>
          <w:shd w:val="clear" w:color="auto" w:fill="auto"/>
        </w:tcPr>
        <w:tbl>
          <w:tblPr>
            <w:tblW w:w="7655" w:type="dxa"/>
            <w:tblInd w:w="1455" w:type="dxa"/>
            <w:tblLayout w:type="fixed"/>
            <w:tblLook w:val="0400" w:firstRow="0" w:lastRow="0" w:firstColumn="0" w:lastColumn="0" w:noHBand="0" w:noVBand="1"/>
          </w:tblPr>
          <w:tblGrid>
            <w:gridCol w:w="2690"/>
            <w:gridCol w:w="4965"/>
          </w:tblGrid>
          <w:tr w:rsidR="00C4070A" w:rsidTr="001C4942">
            <w:trPr>
              <w:trHeight w:val="144"/>
            </w:trPr>
            <w:tc>
              <w:tcPr>
                <w:tcW w:w="2690" w:type="dxa"/>
                <w:shd w:val="clear" w:color="auto" w:fill="auto"/>
              </w:tcPr>
              <w:p w:rsidR="00C4070A" w:rsidRPr="001C4942" w:rsidRDefault="00C4070A">
                <w:pPr>
                  <w:tabs>
                    <w:tab w:val="right" w:pos="8838"/>
                  </w:tabs>
                  <w:ind w:left="-264" w:right="-105" w:firstLine="195"/>
                  <w:rPr>
                    <w:rFonts w:ascii="Palatino Linotype" w:eastAsia="Palatino Linotype" w:hAnsi="Palatino Linotype" w:cs="Palatino Linotype"/>
                    <w:b/>
                    <w:bCs/>
                    <w:szCs w:val="22"/>
                  </w:rPr>
                </w:pPr>
                <w:r w:rsidRPr="001C4942">
                  <w:rPr>
                    <w:rFonts w:ascii="Palatino Linotype" w:eastAsia="Palatino Linotype" w:hAnsi="Palatino Linotype" w:cs="Palatino Linotype"/>
                    <w:b/>
                    <w:bCs/>
                    <w:szCs w:val="22"/>
                  </w:rPr>
                  <w:t>Recurso de Revisión:</w:t>
                </w:r>
              </w:p>
            </w:tc>
            <w:tc>
              <w:tcPr>
                <w:tcW w:w="4965" w:type="dxa"/>
                <w:shd w:val="clear" w:color="auto" w:fill="auto"/>
              </w:tcPr>
              <w:p w:rsidR="00C4070A" w:rsidRPr="001C4942" w:rsidRDefault="00994E95">
                <w:pPr>
                  <w:tabs>
                    <w:tab w:val="right" w:pos="8838"/>
                  </w:tabs>
                  <w:ind w:left="-74" w:right="-1269"/>
                  <w:rPr>
                    <w:rFonts w:ascii="Palatino Linotype" w:eastAsia="Palatino Linotype" w:hAnsi="Palatino Linotype" w:cs="Palatino Linotype"/>
                    <w:szCs w:val="22"/>
                  </w:rPr>
                </w:pPr>
                <w:r w:rsidRPr="001C4942">
                  <w:rPr>
                    <w:rFonts w:ascii="Palatino Linotype" w:eastAsia="Palatino Linotype" w:hAnsi="Palatino Linotype" w:cs="Palatino Linotype"/>
                    <w:szCs w:val="22"/>
                  </w:rPr>
                  <w:t>09998/INFOEM/IP/RR/2025</w:t>
                </w:r>
              </w:p>
            </w:tc>
          </w:tr>
          <w:tr w:rsidR="00C4070A" w:rsidTr="001C4942">
            <w:trPr>
              <w:trHeight w:val="144"/>
            </w:trPr>
            <w:tc>
              <w:tcPr>
                <w:tcW w:w="2690" w:type="dxa"/>
                <w:shd w:val="clear" w:color="auto" w:fill="auto"/>
              </w:tcPr>
              <w:p w:rsidR="00C4070A" w:rsidRPr="001C4942" w:rsidRDefault="00C4070A">
                <w:pPr>
                  <w:tabs>
                    <w:tab w:val="right" w:pos="8838"/>
                  </w:tabs>
                  <w:ind w:left="-74" w:right="-105"/>
                  <w:rPr>
                    <w:rFonts w:ascii="Palatino Linotype" w:eastAsia="Palatino Linotype" w:hAnsi="Palatino Linotype" w:cs="Palatino Linotype"/>
                    <w:b/>
                    <w:bCs/>
                    <w:szCs w:val="22"/>
                  </w:rPr>
                </w:pPr>
                <w:r w:rsidRPr="001C4942">
                  <w:rPr>
                    <w:rFonts w:ascii="Palatino Linotype" w:eastAsia="Palatino Linotype" w:hAnsi="Palatino Linotype" w:cs="Palatino Linotype"/>
                    <w:b/>
                    <w:bCs/>
                    <w:szCs w:val="22"/>
                  </w:rPr>
                  <w:t>Recurrente:</w:t>
                </w:r>
              </w:p>
            </w:tc>
            <w:tc>
              <w:tcPr>
                <w:tcW w:w="4965" w:type="dxa"/>
                <w:shd w:val="clear" w:color="auto" w:fill="auto"/>
              </w:tcPr>
              <w:p w:rsidR="00C4070A" w:rsidRPr="001C4942" w:rsidRDefault="00C4070A">
                <w:pPr>
                  <w:tabs>
                    <w:tab w:val="left" w:pos="3122"/>
                    <w:tab w:val="right" w:pos="8838"/>
                  </w:tabs>
                  <w:ind w:left="-74" w:right="-1269"/>
                  <w:rPr>
                    <w:rFonts w:ascii="Palatino Linotype" w:eastAsia="Palatino Linotype" w:hAnsi="Palatino Linotype" w:cs="Palatino Linotype"/>
                    <w:szCs w:val="22"/>
                  </w:rPr>
                </w:pPr>
              </w:p>
            </w:tc>
          </w:tr>
          <w:tr w:rsidR="00C4070A" w:rsidTr="001C4942">
            <w:trPr>
              <w:trHeight w:val="283"/>
            </w:trPr>
            <w:tc>
              <w:tcPr>
                <w:tcW w:w="2690" w:type="dxa"/>
                <w:shd w:val="clear" w:color="auto" w:fill="auto"/>
              </w:tcPr>
              <w:p w:rsidR="00C4070A" w:rsidRPr="001C4942" w:rsidRDefault="00C4070A">
                <w:pPr>
                  <w:tabs>
                    <w:tab w:val="right" w:pos="8838"/>
                  </w:tabs>
                  <w:ind w:left="-74" w:right="-105"/>
                  <w:rPr>
                    <w:rFonts w:ascii="Palatino Linotype" w:eastAsia="Palatino Linotype" w:hAnsi="Palatino Linotype" w:cs="Palatino Linotype"/>
                    <w:b/>
                    <w:bCs/>
                    <w:szCs w:val="22"/>
                  </w:rPr>
                </w:pPr>
                <w:r w:rsidRPr="001C4942">
                  <w:rPr>
                    <w:rFonts w:ascii="Palatino Linotype" w:eastAsia="Palatino Linotype" w:hAnsi="Palatino Linotype" w:cs="Palatino Linotype"/>
                    <w:b/>
                    <w:bCs/>
                    <w:szCs w:val="22"/>
                  </w:rPr>
                  <w:t>Sujeto Obligado:</w:t>
                </w:r>
              </w:p>
            </w:tc>
            <w:tc>
              <w:tcPr>
                <w:tcW w:w="4965" w:type="dxa"/>
                <w:shd w:val="clear" w:color="auto" w:fill="auto"/>
              </w:tcPr>
              <w:p w:rsidR="00C4070A" w:rsidRPr="001C4942" w:rsidRDefault="00C4070A">
                <w:pPr>
                  <w:tabs>
                    <w:tab w:val="left" w:pos="2834"/>
                    <w:tab w:val="right" w:pos="8838"/>
                  </w:tabs>
                  <w:ind w:left="-74" w:right="-1269"/>
                  <w:rPr>
                    <w:rFonts w:ascii="Palatino Linotype" w:eastAsia="Palatino Linotype" w:hAnsi="Palatino Linotype" w:cs="Palatino Linotype"/>
                    <w:szCs w:val="22"/>
                  </w:rPr>
                </w:pPr>
                <w:r w:rsidRPr="001C4942">
                  <w:rPr>
                    <w:rFonts w:ascii="Palatino Linotype" w:eastAsia="Palatino Linotype" w:hAnsi="Palatino Linotype" w:cs="Palatino Linotype"/>
                    <w:szCs w:val="22"/>
                  </w:rPr>
                  <w:t>Ayuntamiento de Toluca</w:t>
                </w:r>
              </w:p>
            </w:tc>
          </w:tr>
          <w:tr w:rsidR="00C4070A" w:rsidTr="001C4942">
            <w:trPr>
              <w:trHeight w:val="283"/>
            </w:trPr>
            <w:tc>
              <w:tcPr>
                <w:tcW w:w="2690" w:type="dxa"/>
                <w:shd w:val="clear" w:color="auto" w:fill="auto"/>
              </w:tcPr>
              <w:p w:rsidR="00C4070A" w:rsidRPr="001C4942" w:rsidRDefault="00C4070A">
                <w:pPr>
                  <w:tabs>
                    <w:tab w:val="right" w:pos="8838"/>
                  </w:tabs>
                  <w:ind w:left="-74" w:right="-105"/>
                  <w:rPr>
                    <w:rFonts w:ascii="Palatino Linotype" w:eastAsia="Palatino Linotype" w:hAnsi="Palatino Linotype" w:cs="Palatino Linotype"/>
                    <w:b/>
                    <w:bCs/>
                    <w:szCs w:val="22"/>
                  </w:rPr>
                </w:pPr>
                <w:r w:rsidRPr="001C4942">
                  <w:rPr>
                    <w:rFonts w:ascii="Palatino Linotype" w:eastAsia="Palatino Linotype" w:hAnsi="Palatino Linotype" w:cs="Palatino Linotype"/>
                    <w:b/>
                    <w:bCs/>
                    <w:szCs w:val="22"/>
                  </w:rPr>
                  <w:t>Comisionado ponente:</w:t>
                </w:r>
              </w:p>
            </w:tc>
            <w:tc>
              <w:tcPr>
                <w:tcW w:w="4965" w:type="dxa"/>
                <w:shd w:val="clear" w:color="auto" w:fill="auto"/>
              </w:tcPr>
              <w:p w:rsidR="00C4070A" w:rsidRPr="001C4942" w:rsidRDefault="00C4070A">
                <w:pPr>
                  <w:tabs>
                    <w:tab w:val="right" w:pos="8838"/>
                  </w:tabs>
                  <w:ind w:left="-74" w:right="-1269"/>
                  <w:rPr>
                    <w:rFonts w:ascii="Palatino Linotype" w:eastAsia="Palatino Linotype" w:hAnsi="Palatino Linotype" w:cs="Palatino Linotype"/>
                    <w:szCs w:val="22"/>
                  </w:rPr>
                </w:pPr>
                <w:r w:rsidRPr="001C4942">
                  <w:rPr>
                    <w:rFonts w:ascii="Palatino Linotype" w:eastAsia="Palatino Linotype" w:hAnsi="Palatino Linotype" w:cs="Palatino Linotype"/>
                    <w:szCs w:val="22"/>
                  </w:rPr>
                  <w:t>María del Rosario Mejía Ayala</w:t>
                </w:r>
              </w:p>
              <w:p w:rsidR="00C4070A" w:rsidRPr="001C4942" w:rsidRDefault="00C4070A">
                <w:pPr>
                  <w:tabs>
                    <w:tab w:val="right" w:pos="8838"/>
                  </w:tabs>
                  <w:ind w:left="-74" w:right="-1269"/>
                  <w:rPr>
                    <w:rFonts w:ascii="Palatino Linotype" w:eastAsia="Palatino Linotype" w:hAnsi="Palatino Linotype" w:cs="Palatino Linotype"/>
                    <w:b/>
                    <w:bCs/>
                    <w:szCs w:val="22"/>
                  </w:rPr>
                </w:pPr>
              </w:p>
            </w:tc>
          </w:tr>
        </w:tbl>
        <w:p w:rsidR="00C4070A" w:rsidRDefault="00C4070A">
          <w:pPr>
            <w:tabs>
              <w:tab w:val="right" w:pos="8838"/>
            </w:tabs>
            <w:ind w:left="-28"/>
            <w:jc w:val="both"/>
            <w:rPr>
              <w:rFonts w:ascii="Arial" w:eastAsia="Arial" w:hAnsi="Arial" w:cs="Arial"/>
              <w:b/>
              <w:bCs/>
              <w:sz w:val="22"/>
              <w:szCs w:val="22"/>
            </w:rPr>
          </w:pPr>
        </w:p>
      </w:tc>
    </w:tr>
  </w:tbl>
  <w:p w:rsidR="00C4070A" w:rsidRDefault="001F22F0">
    <w:pPr>
      <w:pBdr>
        <w:top w:val="nil"/>
        <w:left w:val="nil"/>
        <w:bottom w:val="nil"/>
        <w:right w:val="nil"/>
        <w:between w:val="nil"/>
      </w:pBdr>
      <w:tabs>
        <w:tab w:val="center" w:pos="4419"/>
        <w:tab w:val="right" w:pos="8838"/>
      </w:tabs>
      <w:rPr>
        <w:color w:val="000000"/>
        <w:sz w:val="2"/>
        <w:szCs w:val="2"/>
      </w:rPr>
    </w:pPr>
    <w:r>
      <w:rPr>
        <w:color w:val="000000"/>
        <w:sz w:val="2"/>
        <w:szCs w:val="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0" type="#_x0000_t75" alt="" style="position:absolute;margin-left:-68.8pt;margin-top:-117.6pt;width:589.8pt;height:768pt;z-index:-251657728;mso-position-horizontal:absolute;mso-position-horizontal-relative:margin;mso-position-vertical:absolute;mso-position-vertical-relative:margin">
          <v:imagedata r:id="rId1" o:title="image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904FA4"/>
    <w:multiLevelType w:val="hybridMultilevel"/>
    <w:tmpl w:val="17A2FECA"/>
    <w:lvl w:ilvl="0" w:tplc="57E2D054">
      <w:start w:val="9"/>
      <w:numFmt w:val="decimal"/>
      <w:lvlText w:val="%1."/>
      <w:lvlJc w:val="left"/>
      <w:pPr>
        <w:ind w:left="360" w:hanging="360"/>
      </w:pPr>
      <w:rPr>
        <w:rFonts w:hint="default"/>
        <w:b/>
        <w:i w:val="0"/>
        <w:sz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3F977D9"/>
    <w:multiLevelType w:val="multilevel"/>
    <w:tmpl w:val="123C0A1C"/>
    <w:lvl w:ilvl="0">
      <w:start w:val="1"/>
      <w:numFmt w:val="decimal"/>
      <w:lvlText w:val="%1."/>
      <w:lvlJc w:val="left"/>
      <w:pPr>
        <w:ind w:left="360" w:hanging="360"/>
      </w:pPr>
      <w:rPr>
        <w:b/>
        <w:bCs/>
        <w:i w:val="0"/>
        <w:iCs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FBA60E1"/>
    <w:multiLevelType w:val="hybridMultilevel"/>
    <w:tmpl w:val="2A62481A"/>
    <w:lvl w:ilvl="0" w:tplc="087AAEF6">
      <w:numFmt w:val="bullet"/>
      <w:lvlText w:val="-"/>
      <w:lvlJc w:val="left"/>
      <w:pPr>
        <w:ind w:left="720" w:hanging="360"/>
      </w:pPr>
      <w:rPr>
        <w:rFonts w:ascii="Palatino Linotype" w:eastAsia="Times New Roman" w:hAnsi="Palatino Linotype" w:cs="Tahoma"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242C6B97"/>
    <w:multiLevelType w:val="multilevel"/>
    <w:tmpl w:val="7F86AE42"/>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4730B03"/>
    <w:multiLevelType w:val="hybridMultilevel"/>
    <w:tmpl w:val="D2247086"/>
    <w:lvl w:ilvl="0" w:tplc="7CEA9B3C">
      <w:start w:val="43"/>
      <w:numFmt w:val="bullet"/>
      <w:lvlText w:val="-"/>
      <w:lvlJc w:val="left"/>
      <w:pPr>
        <w:ind w:left="1080" w:hanging="360"/>
      </w:pPr>
      <w:rPr>
        <w:rFonts w:ascii="Palatino Linotype" w:eastAsia="Palatino Linotype" w:hAnsi="Palatino Linotype" w:cs="Palatino Linotype"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5" w15:restartNumberingAfterBreak="0">
    <w:nsid w:val="27621B8A"/>
    <w:multiLevelType w:val="multilevel"/>
    <w:tmpl w:val="688C2C6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29817984"/>
    <w:multiLevelType w:val="hybridMultilevel"/>
    <w:tmpl w:val="B22E1BB6"/>
    <w:lvl w:ilvl="0" w:tplc="E494C5D4">
      <w:start w:val="1"/>
      <w:numFmt w:val="bullet"/>
      <w:lvlText w:val="-"/>
      <w:lvlJc w:val="left"/>
      <w:pPr>
        <w:ind w:left="720" w:hanging="360"/>
      </w:pPr>
      <w:rPr>
        <w:rFonts w:ascii="Courier New" w:hAnsi="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32BE5019"/>
    <w:multiLevelType w:val="multilevel"/>
    <w:tmpl w:val="17289882"/>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34317490"/>
    <w:multiLevelType w:val="hybridMultilevel"/>
    <w:tmpl w:val="D66EF4A0"/>
    <w:lvl w:ilvl="0" w:tplc="50A2BCFA">
      <w:start w:val="1"/>
      <w:numFmt w:val="decimal"/>
      <w:lvlText w:val="%1."/>
      <w:lvlJc w:val="left"/>
      <w:pPr>
        <w:ind w:left="360" w:hanging="360"/>
      </w:pPr>
      <w:rPr>
        <w:rFonts w:ascii="Palatino Linotype" w:hAnsi="Palatino Linotype" w:hint="default"/>
        <w:b/>
        <w:i w:val="0"/>
        <w:sz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3DC040D1"/>
    <w:multiLevelType w:val="hybridMultilevel"/>
    <w:tmpl w:val="8438C5B6"/>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0" w15:restartNumberingAfterBreak="0">
    <w:nsid w:val="45307CD6"/>
    <w:multiLevelType w:val="multilevel"/>
    <w:tmpl w:val="C518A2B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45A21EB5"/>
    <w:multiLevelType w:val="multilevel"/>
    <w:tmpl w:val="71AC2DA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5C9933A4"/>
    <w:multiLevelType w:val="hybridMultilevel"/>
    <w:tmpl w:val="8D348A8A"/>
    <w:lvl w:ilvl="0" w:tplc="15048A84">
      <w:numFmt w:val="bullet"/>
      <w:lvlText w:val="-"/>
      <w:lvlJc w:val="left"/>
      <w:pPr>
        <w:ind w:left="1080" w:hanging="360"/>
      </w:pPr>
      <w:rPr>
        <w:rFonts w:ascii="Palatino Linotype" w:eastAsia="Palatino Linotype" w:hAnsi="Palatino Linotype" w:cs="Palatino Linotype"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3" w15:restartNumberingAfterBreak="0">
    <w:nsid w:val="770136A0"/>
    <w:multiLevelType w:val="hybridMultilevel"/>
    <w:tmpl w:val="7D443150"/>
    <w:lvl w:ilvl="0" w:tplc="080A000F">
      <w:start w:val="1"/>
      <w:numFmt w:val="decimal"/>
      <w:lvlText w:val="%1."/>
      <w:lvlJc w:val="left"/>
      <w:pPr>
        <w:ind w:left="8582" w:hanging="360"/>
      </w:pPr>
      <w:rPr>
        <w:rFonts w:hint="default"/>
        <w:i w:val="0"/>
      </w:rPr>
    </w:lvl>
    <w:lvl w:ilvl="1" w:tplc="080A0019">
      <w:start w:val="1"/>
      <w:numFmt w:val="lowerLetter"/>
      <w:lvlText w:val="%2."/>
      <w:lvlJc w:val="left"/>
      <w:pPr>
        <w:ind w:left="1440" w:hanging="360"/>
      </w:pPr>
    </w:lvl>
    <w:lvl w:ilvl="2" w:tplc="41A230E4">
      <w:start w:val="1"/>
      <w:numFmt w:val="upperRoman"/>
      <w:lvlText w:val="%3."/>
      <w:lvlJc w:val="left"/>
      <w:pPr>
        <w:ind w:left="2700" w:hanging="720"/>
      </w:pPr>
      <w:rPr>
        <w:rFonts w:hint="default"/>
      </w:rPr>
    </w:lvl>
    <w:lvl w:ilvl="3" w:tplc="E882483A">
      <w:start w:val="1"/>
      <w:numFmt w:val="lowerLetter"/>
      <w:lvlText w:val="%4)"/>
      <w:lvlJc w:val="left"/>
      <w:pPr>
        <w:ind w:left="2895" w:hanging="375"/>
      </w:pPr>
      <w:rPr>
        <w:rFonts w:eastAsia="Times New Roman" w:cs="Times New Roman" w:hint="default"/>
        <w:color w:val="auto"/>
        <w:sz w:val="24"/>
      </w:r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79D77E99"/>
    <w:multiLevelType w:val="multilevel"/>
    <w:tmpl w:val="26C8158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4"/>
  </w:num>
  <w:num w:numId="2">
    <w:abstractNumId w:val="7"/>
  </w:num>
  <w:num w:numId="3">
    <w:abstractNumId w:val="1"/>
  </w:num>
  <w:num w:numId="4">
    <w:abstractNumId w:val="5"/>
  </w:num>
  <w:num w:numId="5">
    <w:abstractNumId w:val="10"/>
  </w:num>
  <w:num w:numId="6">
    <w:abstractNumId w:val="3"/>
  </w:num>
  <w:num w:numId="7">
    <w:abstractNumId w:val="11"/>
  </w:num>
  <w:num w:numId="8">
    <w:abstractNumId w:val="2"/>
  </w:num>
  <w:num w:numId="9">
    <w:abstractNumId w:val="6"/>
  </w:num>
  <w:num w:numId="10">
    <w:abstractNumId w:val="9"/>
  </w:num>
  <w:num w:numId="11">
    <w:abstractNumId w:val="4"/>
  </w:num>
  <w:num w:numId="12">
    <w:abstractNumId w:val="12"/>
  </w:num>
  <w:num w:numId="13">
    <w:abstractNumId w:val="8"/>
  </w:num>
  <w:num w:numId="14">
    <w:abstractNumId w:val="13"/>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38FF"/>
    <w:rsid w:val="00006B0B"/>
    <w:rsid w:val="000642F1"/>
    <w:rsid w:val="000E6D27"/>
    <w:rsid w:val="001C4942"/>
    <w:rsid w:val="001F22F0"/>
    <w:rsid w:val="002843CB"/>
    <w:rsid w:val="00382742"/>
    <w:rsid w:val="00465CEB"/>
    <w:rsid w:val="004E0AAB"/>
    <w:rsid w:val="00755B5D"/>
    <w:rsid w:val="007C0D8D"/>
    <w:rsid w:val="00864975"/>
    <w:rsid w:val="00994E95"/>
    <w:rsid w:val="009B3EA3"/>
    <w:rsid w:val="009E5EFD"/>
    <w:rsid w:val="00AE226C"/>
    <w:rsid w:val="00B02F85"/>
    <w:rsid w:val="00BB3596"/>
    <w:rsid w:val="00C4070A"/>
    <w:rsid w:val="00D14B5F"/>
    <w:rsid w:val="00D338FF"/>
    <w:rsid w:val="00D47D60"/>
    <w:rsid w:val="00E37F67"/>
    <w:rsid w:val="00FB2FED"/>
    <w:rsid w:val="00FF00B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chartTrackingRefBased/>
  <w15:docId w15:val="{FD7D8D20-3D9C-471E-BA7F-53D505507E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D338FF"/>
    <w:pPr>
      <w:spacing w:after="0" w:line="240" w:lineRule="auto"/>
    </w:pPr>
    <w:rPr>
      <w:rFonts w:ascii="Times New Roman" w:eastAsia="Times New Roman" w:hAnsi="Times New Roman" w:cs="Times New Roman"/>
      <w:sz w:val="24"/>
      <w:szCs w:val="24"/>
      <w:lang w:eastAsia="es-MX"/>
    </w:rPr>
  </w:style>
  <w:style w:type="paragraph" w:styleId="Ttulo1">
    <w:name w:val="heading 1"/>
    <w:basedOn w:val="Normal"/>
    <w:next w:val="Normal"/>
    <w:link w:val="Ttulo1Car"/>
    <w:rsid w:val="00D338FF"/>
    <w:pPr>
      <w:keepNext/>
      <w:keepLines/>
      <w:spacing w:before="240"/>
      <w:outlineLvl w:val="0"/>
    </w:pPr>
    <w:rPr>
      <w:rFonts w:ascii="Calibri" w:eastAsia="Calibri" w:hAnsi="Calibri" w:cs="Calibri"/>
      <w:color w:val="2E75B5"/>
      <w:sz w:val="32"/>
      <w:szCs w:val="32"/>
    </w:rPr>
  </w:style>
  <w:style w:type="paragraph" w:styleId="Ttulo2">
    <w:name w:val="heading 2"/>
    <w:basedOn w:val="Normal"/>
    <w:next w:val="Normal"/>
    <w:link w:val="Ttulo2Car"/>
    <w:rsid w:val="00D338FF"/>
    <w:pPr>
      <w:keepNext/>
      <w:keepLines/>
      <w:spacing w:before="40"/>
      <w:outlineLvl w:val="1"/>
    </w:pPr>
    <w:rPr>
      <w:rFonts w:ascii="Calibri" w:eastAsia="Calibri" w:hAnsi="Calibri" w:cs="Calibri"/>
      <w:color w:val="2E75B5"/>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D338FF"/>
    <w:rPr>
      <w:rFonts w:ascii="Calibri" w:eastAsia="Calibri" w:hAnsi="Calibri" w:cs="Calibri"/>
      <w:color w:val="2E75B5"/>
      <w:sz w:val="32"/>
      <w:szCs w:val="32"/>
      <w:lang w:eastAsia="es-MX"/>
    </w:rPr>
  </w:style>
  <w:style w:type="character" w:customStyle="1" w:styleId="Ttulo2Car">
    <w:name w:val="Título 2 Car"/>
    <w:basedOn w:val="Fuentedeprrafopredeter"/>
    <w:link w:val="Ttulo2"/>
    <w:rsid w:val="00D338FF"/>
    <w:rPr>
      <w:rFonts w:ascii="Calibri" w:eastAsia="Calibri" w:hAnsi="Calibri" w:cs="Calibri"/>
      <w:color w:val="2E75B5"/>
      <w:sz w:val="26"/>
      <w:szCs w:val="26"/>
      <w:lang w:eastAsia="es-MX"/>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D338FF"/>
    <w:pPr>
      <w:ind w:left="720"/>
      <w:contextualSpacing/>
    </w:p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D338FF"/>
    <w:rPr>
      <w:rFonts w:ascii="Times New Roman" w:eastAsia="Times New Roman" w:hAnsi="Times New Roman" w:cs="Times New Roman"/>
      <w:sz w:val="24"/>
      <w:szCs w:val="24"/>
      <w:lang w:eastAsia="es-MX"/>
    </w:rPr>
  </w:style>
  <w:style w:type="character" w:styleId="Hipervnculo">
    <w:name w:val="Hyperlink"/>
    <w:aliases w:val="Hipervínculo1,Hipervínculo11,Hipervínculo12,Hipervínculo13,Hipervínculo14,Hipervínculo15"/>
    <w:basedOn w:val="Fuentedeprrafopredeter"/>
    <w:uiPriority w:val="99"/>
    <w:unhideWhenUsed/>
    <w:rsid w:val="00D338FF"/>
    <w:rPr>
      <w:color w:val="0563C1" w:themeColor="hyperlink"/>
      <w:u w:val="single"/>
    </w:rPr>
  </w:style>
  <w:style w:type="paragraph" w:styleId="Piedepgina">
    <w:name w:val="footer"/>
    <w:basedOn w:val="Normal"/>
    <w:link w:val="PiedepginaCar"/>
    <w:uiPriority w:val="99"/>
    <w:unhideWhenUsed/>
    <w:rsid w:val="00D338FF"/>
    <w:pPr>
      <w:tabs>
        <w:tab w:val="center" w:pos="4419"/>
        <w:tab w:val="right" w:pos="8838"/>
      </w:tabs>
    </w:pPr>
  </w:style>
  <w:style w:type="character" w:customStyle="1" w:styleId="PiedepginaCar">
    <w:name w:val="Pie de página Car"/>
    <w:basedOn w:val="Fuentedeprrafopredeter"/>
    <w:link w:val="Piedepgina"/>
    <w:uiPriority w:val="99"/>
    <w:rsid w:val="00D338FF"/>
    <w:rPr>
      <w:rFonts w:ascii="Times New Roman" w:eastAsia="Times New Roman" w:hAnsi="Times New Roman" w:cs="Times New Roman"/>
      <w:sz w:val="24"/>
      <w:szCs w:val="24"/>
      <w:lang w:eastAsia="es-MX"/>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D47D60"/>
    <w:rPr>
      <w:rFonts w:asciiTheme="minorHAnsi" w:eastAsiaTheme="minorHAnsi" w:hAnsiTheme="minorHAnsi" w:cstheme="minorBidi"/>
      <w:sz w:val="20"/>
      <w:szCs w:val="20"/>
      <w:lang w:eastAsia="en-U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rsid w:val="00D47D60"/>
    <w:rPr>
      <w:sz w:val="20"/>
      <w:szCs w:val="20"/>
    </w:rPr>
  </w:style>
  <w:style w:type="character" w:styleId="Refdenotaalpie">
    <w:name w:val="footnote reference"/>
    <w:aliases w:val="Footnotes refss,Texto de nota al pie,Ref. de nota al pie 2,Appel note de bas de page,referencia nota al pie,BVI fnr,Footnote number,4_G,16 Point,Superscript 6 Point,Texto nota al pie,Footnote Reference Char3,Ref,de nota al pie,註腳內容"/>
    <w:basedOn w:val="Fuentedeprrafopredeter"/>
    <w:uiPriority w:val="99"/>
    <w:unhideWhenUsed/>
    <w:qFormat/>
    <w:rsid w:val="00D47D6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7637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aimex.org.mx/saimex/solicitud/downloadAttach/2501748.page"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saimex.org.mx/saimex/solicitud/downloadAttach/2500272.page" TargetMode="Externa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s://saimex.org.mx/saimex/solicitud/downloadAttach/2553238.page" TargetMode="External"/><Relationship Id="rId4" Type="http://schemas.openxmlformats.org/officeDocument/2006/relationships/webSettings" Target="webSettings.xml"/><Relationship Id="rId9" Type="http://schemas.openxmlformats.org/officeDocument/2006/relationships/hyperlink" Target="https://saimex.org.mx/saimex/solicitud/downloadAttach/2553237.page" TargetMode="Externa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136</TotalTime>
  <Pages>24</Pages>
  <Words>6014</Words>
  <Characters>33080</Characters>
  <Application>Microsoft Office Word</Application>
  <DocSecurity>0</DocSecurity>
  <Lines>275</Lines>
  <Paragraphs>78</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39016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INFOEM549</dc:creator>
  <cp:keywords/>
  <dc:description/>
  <cp:lastModifiedBy>Cuenta Microsoft</cp:lastModifiedBy>
  <cp:revision>8</cp:revision>
  <cp:lastPrinted>2026-03-06T19:29:00Z</cp:lastPrinted>
  <dcterms:created xsi:type="dcterms:W3CDTF">2026-02-26T17:48:00Z</dcterms:created>
  <dcterms:modified xsi:type="dcterms:W3CDTF">2026-03-13T20:18:00Z</dcterms:modified>
</cp:coreProperties>
</file>