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005" w:rsidRPr="00B90BDC" w:rsidRDefault="00114D49">
      <w:pPr>
        <w:tabs>
          <w:tab w:val="left" w:pos="3465"/>
        </w:tabs>
        <w:spacing w:line="360" w:lineRule="auto"/>
        <w:ind w:right="49"/>
        <w:jc w:val="both"/>
        <w:rPr>
          <w:rFonts w:ascii="Palatino Linotype" w:eastAsia="Palatino Linotype" w:hAnsi="Palatino Linotype" w:cs="Palatino Linotype"/>
          <w:b/>
        </w:rPr>
      </w:pPr>
      <w:bookmarkStart w:id="0" w:name="_heading=h.gjdgxs" w:colFirst="0" w:colLast="0"/>
      <w:bookmarkStart w:id="1" w:name="_GoBack"/>
      <w:bookmarkEnd w:id="0"/>
      <w:bookmarkEnd w:id="1"/>
      <w:r w:rsidRPr="00B90BDC">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B90BDC">
        <w:rPr>
          <w:rFonts w:ascii="Palatino Linotype" w:eastAsia="Palatino Linotype" w:hAnsi="Palatino Linotype" w:cs="Palatino Linotype"/>
          <w:b/>
        </w:rPr>
        <w:t>de fecha cinco</w:t>
      </w:r>
      <w:r w:rsidR="00B90BDC" w:rsidRPr="00B90BDC">
        <w:rPr>
          <w:rFonts w:ascii="Palatino Linotype" w:eastAsia="Palatino Linotype" w:hAnsi="Palatino Linotype" w:cs="Palatino Linotype"/>
          <w:b/>
        </w:rPr>
        <w:t xml:space="preserve"> (05)</w:t>
      </w:r>
      <w:r w:rsidRPr="00B90BDC">
        <w:rPr>
          <w:rFonts w:ascii="Palatino Linotype" w:eastAsia="Palatino Linotype" w:hAnsi="Palatino Linotype" w:cs="Palatino Linotype"/>
          <w:b/>
        </w:rPr>
        <w:t xml:space="preserve"> de marzo de dos mil veintiséis.</w:t>
      </w:r>
    </w:p>
    <w:p w:rsidR="00C12005" w:rsidRPr="00B90BDC" w:rsidRDefault="00C12005">
      <w:pPr>
        <w:tabs>
          <w:tab w:val="left" w:pos="3465"/>
        </w:tabs>
        <w:spacing w:line="360" w:lineRule="auto"/>
        <w:ind w:right="49"/>
        <w:jc w:val="both"/>
        <w:rPr>
          <w:rFonts w:ascii="Palatino Linotype" w:eastAsia="Palatino Linotype" w:hAnsi="Palatino Linotype" w:cs="Palatino Linotype"/>
        </w:rPr>
      </w:pPr>
    </w:p>
    <w:p w:rsidR="00C12005" w:rsidRPr="00B90BDC" w:rsidRDefault="00114D49">
      <w:pPr>
        <w:pBdr>
          <w:top w:val="nil"/>
          <w:left w:val="nil"/>
          <w:bottom w:val="nil"/>
          <w:right w:val="nil"/>
          <w:between w:val="nil"/>
        </w:pBdr>
        <w:tabs>
          <w:tab w:val="left" w:pos="426"/>
        </w:tabs>
        <w:spacing w:line="360" w:lineRule="auto"/>
        <w:ind w:right="27"/>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b/>
          <w:bCs/>
          <w:color w:val="000000"/>
        </w:rPr>
        <w:t xml:space="preserve">VISTAS </w:t>
      </w:r>
      <w:r w:rsidRPr="00B90BDC">
        <w:rPr>
          <w:rFonts w:ascii="Palatino Linotype" w:eastAsia="Palatino Linotype" w:hAnsi="Palatino Linotype" w:cs="Palatino Linotype"/>
          <w:color w:val="000000"/>
        </w:rPr>
        <w:t xml:space="preserve">las constancias para resolver el Recurso de Revisión presentado por </w:t>
      </w:r>
      <w:r w:rsidR="004907EC">
        <w:rPr>
          <w:rFonts w:ascii="Palatino Linotype" w:eastAsia="Palatino Linotype" w:hAnsi="Palatino Linotype" w:cs="Palatino Linotype"/>
          <w:b/>
          <w:bCs/>
          <w:color w:val="000000"/>
        </w:rPr>
        <w:t>XXXX</w:t>
      </w:r>
      <w:r w:rsidRPr="00B90BDC">
        <w:rPr>
          <w:rFonts w:ascii="Palatino Linotype" w:eastAsia="Palatino Linotype" w:hAnsi="Palatino Linotype" w:cs="Palatino Linotype"/>
          <w:b/>
          <w:bCs/>
          <w:color w:val="000000"/>
        </w:rPr>
        <w:t>,</w:t>
      </w:r>
      <w:r w:rsidRPr="00B90BDC">
        <w:rPr>
          <w:rFonts w:ascii="Palatino Linotype" w:eastAsia="Palatino Linotype" w:hAnsi="Palatino Linotype" w:cs="Palatino Linotype"/>
          <w:color w:val="000000"/>
        </w:rPr>
        <w:t xml:space="preserve"> en lo sucesivo el </w:t>
      </w:r>
      <w:r w:rsidRPr="00B90BDC">
        <w:rPr>
          <w:rFonts w:ascii="Palatino Linotype" w:eastAsia="Palatino Linotype" w:hAnsi="Palatino Linotype" w:cs="Palatino Linotype"/>
          <w:b/>
          <w:bCs/>
          <w:color w:val="000000"/>
        </w:rPr>
        <w:t>RECURRENTE,</w:t>
      </w:r>
      <w:r w:rsidRPr="00B90BDC">
        <w:rPr>
          <w:rFonts w:ascii="Palatino Linotype" w:eastAsia="Palatino Linotype" w:hAnsi="Palatino Linotype" w:cs="Palatino Linotype"/>
          <w:color w:val="000000"/>
        </w:rPr>
        <w:t xml:space="preserve"> en contra de la respuesta otorgada a la Solicitud de Acceso a Datos Personales con número de folio </w:t>
      </w:r>
      <w:r w:rsidRPr="00B90BDC">
        <w:rPr>
          <w:rFonts w:ascii="Palatino Linotype" w:eastAsia="Palatino Linotype" w:hAnsi="Palatino Linotype" w:cs="Palatino Linotype"/>
          <w:b/>
          <w:bCs/>
          <w:color w:val="000000"/>
        </w:rPr>
        <w:t>00693/PJUDICI/IP/2025</w:t>
      </w:r>
      <w:r w:rsidRPr="00B90BDC">
        <w:rPr>
          <w:rFonts w:ascii="Palatino Linotype" w:eastAsia="Palatino Linotype" w:hAnsi="Palatino Linotype" w:cs="Palatino Linotype"/>
          <w:color w:val="000000"/>
        </w:rPr>
        <w:t xml:space="preserve">, que dio origen al Recurso de Revisión </w:t>
      </w:r>
      <w:r w:rsidRPr="00B90BDC">
        <w:rPr>
          <w:rFonts w:ascii="Palatino Linotype" w:eastAsia="Palatino Linotype" w:hAnsi="Palatino Linotype" w:cs="Palatino Linotype"/>
          <w:b/>
          <w:bCs/>
          <w:color w:val="000000"/>
        </w:rPr>
        <w:t>09133/INFOEM/IP/RR/2025</w:t>
      </w:r>
      <w:r w:rsidRPr="00B90BDC">
        <w:rPr>
          <w:rFonts w:ascii="Palatino Linotype" w:eastAsia="Palatino Linotype" w:hAnsi="Palatino Linotype" w:cs="Palatino Linotype"/>
          <w:color w:val="000000"/>
        </w:rPr>
        <w:t xml:space="preserve">, por parte del </w:t>
      </w:r>
      <w:r w:rsidRPr="00B90BDC">
        <w:rPr>
          <w:rFonts w:ascii="Palatino Linotype" w:eastAsia="Palatino Linotype" w:hAnsi="Palatino Linotype" w:cs="Palatino Linotype"/>
          <w:b/>
          <w:color w:val="000000"/>
        </w:rPr>
        <w:t xml:space="preserve">Poder </w:t>
      </w:r>
      <w:r w:rsidR="00A46156" w:rsidRPr="00B90BDC">
        <w:rPr>
          <w:rFonts w:ascii="Palatino Linotype" w:eastAsia="Palatino Linotype" w:hAnsi="Palatino Linotype" w:cs="Palatino Linotype"/>
          <w:b/>
          <w:color w:val="000000"/>
        </w:rPr>
        <w:t>Judicial</w:t>
      </w:r>
      <w:r w:rsidRPr="00B90BDC">
        <w:rPr>
          <w:rFonts w:ascii="Palatino Linotype" w:eastAsia="Palatino Linotype" w:hAnsi="Palatino Linotype" w:cs="Palatino Linotype"/>
          <w:color w:val="000000"/>
        </w:rPr>
        <w:t xml:space="preserve"> en adelante el</w:t>
      </w:r>
      <w:r w:rsidRPr="00B90BDC">
        <w:rPr>
          <w:rFonts w:ascii="Palatino Linotype" w:eastAsia="Palatino Linotype" w:hAnsi="Palatino Linotype" w:cs="Palatino Linotype"/>
          <w:b/>
          <w:bCs/>
          <w:color w:val="000000"/>
        </w:rPr>
        <w:t xml:space="preserve"> SUJETO OBLIGADO</w:t>
      </w:r>
      <w:r w:rsidRPr="00B90BDC">
        <w:rPr>
          <w:rFonts w:ascii="Palatino Linotype" w:eastAsia="Palatino Linotype" w:hAnsi="Palatino Linotype" w:cs="Palatino Linotype"/>
          <w:color w:val="000000"/>
        </w:rPr>
        <w:t>, se emite la presente Resolución con base en los siguientes:</w:t>
      </w:r>
    </w:p>
    <w:p w:rsidR="00C12005" w:rsidRPr="00B90BDC" w:rsidRDefault="00C12005">
      <w:pPr>
        <w:spacing w:line="360" w:lineRule="auto"/>
        <w:ind w:right="49"/>
        <w:jc w:val="both"/>
        <w:rPr>
          <w:rFonts w:ascii="Palatino Linotype" w:eastAsia="Palatino Linotype" w:hAnsi="Palatino Linotype" w:cs="Palatino Linotype"/>
          <w:b/>
          <w:bCs/>
        </w:rPr>
      </w:pPr>
    </w:p>
    <w:p w:rsidR="00C12005" w:rsidRPr="00B90BDC" w:rsidRDefault="00114D49">
      <w:pPr>
        <w:pStyle w:val="Ttulo1"/>
        <w:spacing w:before="0" w:line="360" w:lineRule="auto"/>
        <w:ind w:right="49"/>
        <w:jc w:val="center"/>
        <w:rPr>
          <w:rFonts w:ascii="Palatino Linotype" w:eastAsia="Palatino Linotype" w:hAnsi="Palatino Linotype" w:cs="Palatino Linotype"/>
          <w:b/>
          <w:bCs/>
          <w:color w:val="000000"/>
          <w:sz w:val="24"/>
          <w:szCs w:val="24"/>
        </w:rPr>
      </w:pPr>
      <w:bookmarkStart w:id="2" w:name="_heading=h.30j0zll" w:colFirst="0" w:colLast="0"/>
      <w:bookmarkEnd w:id="2"/>
      <w:r w:rsidRPr="00B90BDC">
        <w:rPr>
          <w:rFonts w:ascii="Palatino Linotype" w:eastAsia="Palatino Linotype" w:hAnsi="Palatino Linotype" w:cs="Palatino Linotype"/>
          <w:b/>
          <w:bCs/>
          <w:color w:val="000000"/>
          <w:sz w:val="24"/>
          <w:szCs w:val="24"/>
        </w:rPr>
        <w:t>A N T E C E D E N T E S</w:t>
      </w:r>
    </w:p>
    <w:p w:rsidR="00C12005" w:rsidRPr="00B90BDC" w:rsidRDefault="00C12005">
      <w:pPr>
        <w:pBdr>
          <w:top w:val="nil"/>
          <w:left w:val="nil"/>
          <w:bottom w:val="nil"/>
          <w:right w:val="nil"/>
          <w:between w:val="nil"/>
        </w:pBdr>
        <w:spacing w:line="360" w:lineRule="auto"/>
        <w:ind w:right="49"/>
        <w:jc w:val="both"/>
        <w:rPr>
          <w:rFonts w:ascii="Palatino Linotype" w:eastAsia="Palatino Linotype" w:hAnsi="Palatino Linotype" w:cs="Palatino Linotype"/>
          <w:b/>
          <w:bCs/>
          <w:color w:val="000000"/>
          <w:u w:val="single"/>
        </w:rPr>
      </w:pPr>
    </w:p>
    <w:p w:rsidR="00C12005" w:rsidRPr="00B90BDC" w:rsidRDefault="00114D49">
      <w:pPr>
        <w:numPr>
          <w:ilvl w:val="0"/>
          <w:numId w:val="7"/>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t>El día</w:t>
      </w:r>
      <w:r w:rsidRPr="00B90BDC">
        <w:rPr>
          <w:rFonts w:ascii="Palatino Linotype" w:eastAsia="Palatino Linotype" w:hAnsi="Palatino Linotype" w:cs="Palatino Linotype"/>
          <w:b/>
          <w:bCs/>
          <w:color w:val="000000"/>
        </w:rPr>
        <w:t xml:space="preserve"> tres de julio de dos mil veinticinco</w:t>
      </w:r>
      <w:r w:rsidRPr="00B90BDC">
        <w:rPr>
          <w:rFonts w:ascii="Palatino Linotype" w:eastAsia="Palatino Linotype" w:hAnsi="Palatino Linotype" w:cs="Palatino Linotype"/>
          <w:color w:val="000000"/>
        </w:rPr>
        <w:t>,</w:t>
      </w:r>
      <w:r w:rsidRPr="00B90BDC">
        <w:rPr>
          <w:rFonts w:ascii="Palatino Linotype" w:eastAsia="Palatino Linotype" w:hAnsi="Palatino Linotype" w:cs="Palatino Linotype"/>
          <w:b/>
          <w:bCs/>
          <w:color w:val="000000"/>
        </w:rPr>
        <w:t xml:space="preserve"> </w:t>
      </w:r>
      <w:r w:rsidRPr="00B90BDC">
        <w:rPr>
          <w:rFonts w:ascii="Palatino Linotype" w:eastAsia="Palatino Linotype" w:hAnsi="Palatino Linotype" w:cs="Palatino Linotype"/>
          <w:color w:val="000000"/>
        </w:rPr>
        <w:t xml:space="preserve">se presentó ante el </w:t>
      </w:r>
      <w:r w:rsidRPr="00B90BDC">
        <w:rPr>
          <w:rFonts w:ascii="Palatino Linotype" w:eastAsia="Palatino Linotype" w:hAnsi="Palatino Linotype" w:cs="Palatino Linotype"/>
          <w:b/>
          <w:bCs/>
          <w:color w:val="000000"/>
        </w:rPr>
        <w:t>SUJETO OBLIGADO</w:t>
      </w:r>
      <w:r w:rsidRPr="00B90BDC">
        <w:rPr>
          <w:rFonts w:ascii="Palatino Linotype" w:eastAsia="Palatino Linotype" w:hAnsi="Palatino Linotype" w:cs="Palatino Linotype"/>
          <w:color w:val="000000"/>
        </w:rPr>
        <w:t xml:space="preserve"> la solicitud de acceso a datos a través del Sistema de Acceso a la Información Mexiquense (SAIMEX), con el número de folio </w:t>
      </w:r>
      <w:r w:rsidRPr="00B90BDC">
        <w:rPr>
          <w:rFonts w:ascii="Palatino Linotype" w:eastAsia="Palatino Linotype" w:hAnsi="Palatino Linotype" w:cs="Palatino Linotype"/>
          <w:b/>
          <w:bCs/>
        </w:rPr>
        <w:t>00693/PJUDICI/IP/2025</w:t>
      </w:r>
      <w:r w:rsidRPr="00B90BDC">
        <w:rPr>
          <w:rFonts w:ascii="Palatino Linotype" w:eastAsia="Palatino Linotype" w:hAnsi="Palatino Linotype" w:cs="Palatino Linotype"/>
          <w:color w:val="000000"/>
        </w:rPr>
        <w:t xml:space="preserve">, </w:t>
      </w:r>
      <w:r w:rsidR="00B90BDC">
        <w:rPr>
          <w:rFonts w:ascii="Palatino Linotype" w:eastAsia="Palatino Linotype" w:hAnsi="Palatino Linotype" w:cs="Palatino Linotype"/>
          <w:color w:val="000000"/>
        </w:rPr>
        <w:t>en la que se solicitó lo</w:t>
      </w:r>
      <w:r w:rsidRPr="00B90BDC">
        <w:rPr>
          <w:rFonts w:ascii="Palatino Linotype" w:eastAsia="Palatino Linotype" w:hAnsi="Palatino Linotype" w:cs="Palatino Linotype"/>
          <w:color w:val="000000"/>
        </w:rPr>
        <w:t xml:space="preserve"> siguiente:</w:t>
      </w:r>
    </w:p>
    <w:p w:rsidR="00C12005" w:rsidRPr="00B90BDC" w:rsidRDefault="00C12005">
      <w:pPr>
        <w:pBdr>
          <w:top w:val="nil"/>
          <w:left w:val="nil"/>
          <w:bottom w:val="nil"/>
          <w:right w:val="nil"/>
          <w:between w:val="nil"/>
        </w:pBdr>
        <w:tabs>
          <w:tab w:val="left" w:pos="0"/>
        </w:tabs>
        <w:spacing w:line="360" w:lineRule="auto"/>
        <w:ind w:left="502" w:right="49"/>
        <w:jc w:val="both"/>
        <w:rPr>
          <w:rFonts w:ascii="Palatino Linotype" w:eastAsia="Palatino Linotype" w:hAnsi="Palatino Linotype" w:cs="Palatino Linotype"/>
        </w:rPr>
      </w:pPr>
    </w:p>
    <w:p w:rsidR="00C12005" w:rsidRPr="00B90BDC" w:rsidRDefault="00114D49">
      <w:pPr>
        <w:ind w:left="1134" w:right="900"/>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i/>
          <w:iCs/>
          <w:color w:val="000000"/>
        </w:rPr>
        <w:t>“</w:t>
      </w:r>
      <w:r w:rsidRPr="00B90BDC">
        <w:rPr>
          <w:rFonts w:ascii="Palatino Linotype" w:eastAsia="Palatino Linotype" w:hAnsi="Palatino Linotype" w:cs="Palatino Linotype"/>
          <w:i/>
          <w:iCs/>
        </w:rPr>
        <w:t xml:space="preserve">Solicito se aporten: C. Datos de estadística judicial para el período comprendido entre el 6 de julio al 15 de noviembre de 2023 y 2024 en relación con todos los Juzgados Civiles de Primera Instancia del Poder Judicial del Estado de México, considerando los tipos de resoluciones y los plazos específicos de 15 días para sentencias definitivas, 5 días para sentencias definitivas en Procedimientos de Controversia de Violencia Familiar y sentencias interlocutorias, y 3 días para Recursos de Revocación, en los siguientes términos: 1. Tiempo promedio de resolución de juicios desde su ingreso al Juzgado hasta la emisión de la sentencia. 2. Promedio de Tiempo de emisión Resolución por Tipo de Sentencia y Juzgado (desde que el asunto se turna para resolución): Promedio de días necesarios para emitir sentencias definitivas, definitivas de controversia familiar, interlocutorias, </w:t>
      </w:r>
      <w:r w:rsidRPr="00B90BDC">
        <w:rPr>
          <w:rFonts w:ascii="Palatino Linotype" w:eastAsia="Palatino Linotype" w:hAnsi="Palatino Linotype" w:cs="Palatino Linotype"/>
          <w:i/>
          <w:iCs/>
        </w:rPr>
        <w:lastRenderedPageBreak/>
        <w:t>y resoluciones de recursos de revocación, desglosado por cada juzgado durante el periodo. Se aclara que lo que se solicita es que el tiempo promedio sea expresado desde el momento en el que los asuntos son turnados para resolución. 3. Número de Resoluciones Emitidas Fuera de los Plazos de 15, 5 y 3 Días: Cantidad de resoluciones en cada juzgado que excedieron los plazos de 15 días (para sentencias definitivas), 5 días (para sentencias de controversia familiar y interlocutorias) y 3 días (para recursos de revocación), desglosado por tipo de asunto, contados desde que el asunto es turnado para resolución. 4. Sentencias revocadas: Se solicita se proporcione el número de resoluciones (sentencias definitivas, de controversia familiar, interlocutorias y recursos de revocación) que fueron modificadas o revocadas en segunda instancia, desglosado por juzgado y tipo de resolución, para evaluar la solidez de las decisiones en función del tiempo de resolución..</w:t>
      </w:r>
      <w:r w:rsidRPr="00B90BDC">
        <w:rPr>
          <w:rFonts w:ascii="Palatino Linotype" w:eastAsia="Palatino Linotype" w:hAnsi="Palatino Linotype" w:cs="Palatino Linotype"/>
          <w:i/>
          <w:iCs/>
          <w:color w:val="000000"/>
        </w:rPr>
        <w:t>”(Sic).</w:t>
      </w:r>
    </w:p>
    <w:p w:rsidR="00C12005" w:rsidRPr="00B90BDC" w:rsidRDefault="00C12005">
      <w:pPr>
        <w:ind w:left="1134" w:right="900"/>
        <w:jc w:val="both"/>
        <w:rPr>
          <w:rFonts w:ascii="Palatino Linotype" w:eastAsia="Palatino Linotype" w:hAnsi="Palatino Linotype" w:cs="Palatino Linotype"/>
          <w:i/>
          <w:iCs/>
          <w:color w:val="000000"/>
        </w:rPr>
      </w:pPr>
    </w:p>
    <w:p w:rsidR="00C12005" w:rsidRPr="00B90BDC" w:rsidRDefault="00114D49" w:rsidP="00B90BDC">
      <w:pPr>
        <w:numPr>
          <w:ilvl w:val="0"/>
          <w:numId w:val="8"/>
        </w:numPr>
        <w:pBdr>
          <w:top w:val="nil"/>
          <w:left w:val="nil"/>
          <w:bottom w:val="nil"/>
          <w:right w:val="nil"/>
          <w:between w:val="nil"/>
        </w:pBdr>
        <w:spacing w:line="360" w:lineRule="auto"/>
        <w:ind w:left="284" w:right="474"/>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b/>
          <w:bCs/>
          <w:color w:val="000000"/>
        </w:rPr>
        <w:t>Modalidad de entrega</w:t>
      </w:r>
      <w:r w:rsidRPr="00B90BDC">
        <w:rPr>
          <w:rFonts w:ascii="Palatino Linotype" w:eastAsia="Palatino Linotype" w:hAnsi="Palatino Linotype" w:cs="Palatino Linotype"/>
          <w:color w:val="000000"/>
        </w:rPr>
        <w:t xml:space="preserve">: a través del </w:t>
      </w:r>
      <w:r w:rsidRPr="00B90BDC">
        <w:rPr>
          <w:rFonts w:ascii="Palatino Linotype" w:eastAsia="Palatino Linotype" w:hAnsi="Palatino Linotype" w:cs="Palatino Linotype"/>
          <w:b/>
          <w:bCs/>
          <w:color w:val="000000"/>
        </w:rPr>
        <w:t>SAIMEX.</w:t>
      </w:r>
    </w:p>
    <w:p w:rsidR="00C12005" w:rsidRPr="00B90BDC" w:rsidRDefault="00C12005">
      <w:pPr>
        <w:pBdr>
          <w:top w:val="nil"/>
          <w:left w:val="nil"/>
          <w:bottom w:val="nil"/>
          <w:right w:val="nil"/>
          <w:between w:val="nil"/>
        </w:pBdr>
        <w:spacing w:line="360" w:lineRule="auto"/>
        <w:ind w:left="567" w:right="474"/>
        <w:jc w:val="both"/>
        <w:rPr>
          <w:rFonts w:ascii="Palatino Linotype" w:eastAsia="Palatino Linotype" w:hAnsi="Palatino Linotype" w:cs="Palatino Linotype"/>
          <w:color w:val="000000"/>
        </w:rPr>
      </w:pPr>
    </w:p>
    <w:p w:rsidR="00C12005" w:rsidRPr="00B90BDC" w:rsidRDefault="00114D49">
      <w:pPr>
        <w:numPr>
          <w:ilvl w:val="0"/>
          <w:numId w:val="7"/>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t xml:space="preserve">En fecha </w:t>
      </w:r>
      <w:r w:rsidRPr="00B90BDC">
        <w:rPr>
          <w:rFonts w:ascii="Palatino Linotype" w:eastAsia="Palatino Linotype" w:hAnsi="Palatino Linotype" w:cs="Palatino Linotype"/>
          <w:b/>
          <w:bCs/>
          <w:color w:val="000000"/>
        </w:rPr>
        <w:t>dieciséis de julio de dos mil veinticinco</w:t>
      </w:r>
      <w:r w:rsidRPr="00B90BDC">
        <w:rPr>
          <w:rFonts w:ascii="Palatino Linotype" w:eastAsia="Palatino Linotype" w:hAnsi="Palatino Linotype" w:cs="Palatino Linotype"/>
          <w:color w:val="000000"/>
        </w:rPr>
        <w:t xml:space="preserve"> el </w:t>
      </w:r>
      <w:r w:rsidRPr="00B90BDC">
        <w:rPr>
          <w:rFonts w:ascii="Palatino Linotype" w:eastAsia="Palatino Linotype" w:hAnsi="Palatino Linotype" w:cs="Palatino Linotype"/>
          <w:b/>
          <w:bCs/>
          <w:color w:val="000000"/>
        </w:rPr>
        <w:t>SUJETO OBLIGADO</w:t>
      </w:r>
      <w:r w:rsidRPr="00B90BDC">
        <w:rPr>
          <w:rFonts w:ascii="Palatino Linotype" w:eastAsia="Palatino Linotype" w:hAnsi="Palatino Linotype" w:cs="Palatino Linotype"/>
          <w:color w:val="000000"/>
        </w:rPr>
        <w:t>, a través del responsable de transparencia, entregó respuestas mediante cuatro archivos  electrónicos en formato pdf y txt donde medularmente se señala lo siguiente:</w:t>
      </w:r>
    </w:p>
    <w:p w:rsidR="00C12005" w:rsidRPr="00B90BDC" w:rsidRDefault="00114D49">
      <w:pPr>
        <w:pBdr>
          <w:top w:val="nil"/>
          <w:left w:val="nil"/>
          <w:bottom w:val="nil"/>
          <w:right w:val="nil"/>
          <w:between w:val="nil"/>
        </w:pBdr>
        <w:tabs>
          <w:tab w:val="left" w:pos="1134"/>
        </w:tabs>
        <w:spacing w:line="360"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b/>
          <w:bCs/>
          <w:color w:val="000000"/>
        </w:rPr>
        <w:t xml:space="preserve">Acuse Carbonio.pdf: </w:t>
      </w:r>
      <w:r w:rsidRPr="00B90BDC">
        <w:rPr>
          <w:rFonts w:ascii="Palatino Linotype" w:eastAsia="Palatino Linotype" w:hAnsi="Palatino Linotype" w:cs="Palatino Linotype"/>
          <w:i/>
          <w:iCs/>
          <w:color w:val="000000"/>
        </w:rPr>
        <w:t>Donde Coordinación General de la Unidad de Transparencia adjunta respuesta y anexos.</w:t>
      </w:r>
    </w:p>
    <w:p w:rsidR="00C12005" w:rsidRPr="00B90BDC" w:rsidRDefault="00114D49">
      <w:pPr>
        <w:pBdr>
          <w:top w:val="nil"/>
          <w:left w:val="nil"/>
          <w:bottom w:val="nil"/>
          <w:right w:val="nil"/>
          <w:between w:val="nil"/>
        </w:pBdr>
        <w:tabs>
          <w:tab w:val="left" w:pos="1134"/>
        </w:tabs>
        <w:spacing w:line="360"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b/>
          <w:bCs/>
          <w:color w:val="000000"/>
        </w:rPr>
        <w:t xml:space="preserve">Anexo.xlsx: </w:t>
      </w:r>
      <w:r w:rsidRPr="00B90BDC">
        <w:rPr>
          <w:rFonts w:ascii="Palatino Linotype" w:eastAsia="Palatino Linotype" w:hAnsi="Palatino Linotype" w:cs="Palatino Linotype"/>
          <w:i/>
          <w:iCs/>
          <w:color w:val="000000"/>
        </w:rPr>
        <w:t>Contiene</w:t>
      </w:r>
      <w:r w:rsidRPr="00B90BDC">
        <w:rPr>
          <w:rFonts w:ascii="Palatino Linotype" w:eastAsia="Palatino Linotype" w:hAnsi="Palatino Linotype" w:cs="Palatino Linotype"/>
          <w:b/>
          <w:bCs/>
          <w:color w:val="000000"/>
        </w:rPr>
        <w:t xml:space="preserve"> </w:t>
      </w:r>
      <w:r w:rsidRPr="00B90BDC">
        <w:rPr>
          <w:rFonts w:ascii="Palatino Linotype" w:eastAsia="Palatino Linotype" w:hAnsi="Palatino Linotype" w:cs="Palatino Linotype"/>
          <w:i/>
          <w:iCs/>
          <w:color w:val="000000"/>
        </w:rPr>
        <w:t xml:space="preserve">cuatro listados del seis de julio al quince de noviembre de dos mil veintitrés y dos mil veinticuatro que contienen el tiempo promedio en días naturales para emisión de sentencias desagregado por juzgado se consideran sentencias definitivas e interlocutorias , así mismo se informa que el tiempo indicado inicia de la fecha de radicación hasta la emisión de sentencias y segundo listado que señala el total de sentencias emitidas en juzgados civiles de primera instancia que hayan sido modificadas o revocadas durante los mismos periodos en salas de Segunda Instancia, desagregado por </w:t>
      </w:r>
      <w:r w:rsidRPr="00B90BDC">
        <w:rPr>
          <w:rFonts w:ascii="Palatino Linotype" w:eastAsia="Palatino Linotype" w:hAnsi="Palatino Linotype" w:cs="Palatino Linotype"/>
          <w:i/>
          <w:iCs/>
          <w:color w:val="000000"/>
        </w:rPr>
        <w:lastRenderedPageBreak/>
        <w:t>tipo de sentencia, por sentencias emitidas en juicios de violencia familiar y por juzgado que emite sentencia</w:t>
      </w:r>
    </w:p>
    <w:p w:rsidR="00C12005" w:rsidRPr="00B90BDC" w:rsidRDefault="00114D49">
      <w:pPr>
        <w:pBdr>
          <w:top w:val="nil"/>
          <w:left w:val="nil"/>
          <w:bottom w:val="nil"/>
          <w:right w:val="nil"/>
          <w:between w:val="nil"/>
        </w:pBdr>
        <w:tabs>
          <w:tab w:val="left" w:pos="1134"/>
        </w:tabs>
        <w:spacing w:line="360"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b/>
          <w:bCs/>
          <w:color w:val="000000"/>
        </w:rPr>
        <w:t xml:space="preserve">Anexo.txt: </w:t>
      </w:r>
      <w:r w:rsidRPr="00B90BDC">
        <w:rPr>
          <w:rFonts w:ascii="Palatino Linotype" w:eastAsia="Palatino Linotype" w:hAnsi="Palatino Linotype" w:cs="Palatino Linotype"/>
          <w:i/>
          <w:iCs/>
          <w:color w:val="000000"/>
        </w:rPr>
        <w:t>dos listados del seis de julio al quince de noviembre de dos mil veintitrés que contienen el tiempo promedio en días naturales para emisión de sentencias desagregado por juzgado se consideran sentencias definitivas e interlocutorias , así mismo se informa que el tiempo indicado inicia de la fecha de radicación hasta la emisión de sentencias y segundo listado que señala el total de sentencias emitidas en juzgados civiles de primera instancia que hayan sido modificadas o revocadas durante los mismos periodos en salas de Segunda Instancia, desagregado por tipo de sentencia, por sentencias emitidas en juicios de violencia familiar y por juzgado que emite sentencia</w:t>
      </w:r>
    </w:p>
    <w:p w:rsidR="00C12005" w:rsidRPr="00B90BDC" w:rsidRDefault="00114D49">
      <w:pPr>
        <w:pBdr>
          <w:top w:val="nil"/>
          <w:left w:val="nil"/>
          <w:bottom w:val="nil"/>
          <w:right w:val="nil"/>
          <w:between w:val="nil"/>
        </w:pBdr>
        <w:tabs>
          <w:tab w:val="left" w:pos="1134"/>
        </w:tabs>
        <w:spacing w:line="360"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b/>
          <w:bCs/>
          <w:color w:val="000000"/>
        </w:rPr>
        <w:t xml:space="preserve">RESPUESTA 693-2025.pdf: </w:t>
      </w:r>
      <w:r w:rsidRPr="00B90BDC">
        <w:rPr>
          <w:rFonts w:ascii="Palatino Linotype" w:eastAsia="Palatino Linotype" w:hAnsi="Palatino Linotype" w:cs="Palatino Linotype"/>
          <w:i/>
          <w:iCs/>
          <w:color w:val="000000"/>
        </w:rPr>
        <w:t>Donde el Titular de la Unidad de Transparencia informó que tras una revisión exhaustiva de los índices, registros, informes y variables con los que cuenta sobre el tema relacionado, adjunta respuesta del Director de Información y Estadística mediante un archivo en formato Excel que contiene una hoja de cálculo que comprende el periodo del 6 de julio de 2023 al 15 de noviembre de 2023 y del 6 de julio de 2024 al 15 de noviembre de 2024 respectivamente para cada año, la cual contiene Tiempo promedio en días naturales para emisión de Sentencias durante el periodo establecido en Juzgados Civiles; desagregado por juzgado y total de sentencias emitidas en Juzgados civiles de primera instancia que han sido modificadas o revocadas durante el periodo establecido en Salas de segunda instancia; desagregado por tipo de sentencia, por sentencias emitidas en juicios de violencia familiar y por juzgado de emisión de la sentencia.</w:t>
      </w:r>
    </w:p>
    <w:p w:rsidR="00C12005" w:rsidRPr="00B90BDC" w:rsidRDefault="00C12005">
      <w:pPr>
        <w:pBdr>
          <w:top w:val="nil"/>
          <w:left w:val="nil"/>
          <w:bottom w:val="nil"/>
          <w:right w:val="nil"/>
          <w:between w:val="nil"/>
        </w:pBdr>
        <w:tabs>
          <w:tab w:val="left" w:pos="1134"/>
        </w:tabs>
        <w:spacing w:line="360" w:lineRule="auto"/>
        <w:ind w:left="1134" w:right="1389"/>
        <w:jc w:val="both"/>
        <w:rPr>
          <w:rFonts w:ascii="Palatino Linotype" w:eastAsia="Palatino Linotype" w:hAnsi="Palatino Linotype" w:cs="Palatino Linotype"/>
          <w:i/>
          <w:iCs/>
          <w:color w:val="000000"/>
        </w:rPr>
      </w:pPr>
    </w:p>
    <w:p w:rsidR="00C12005" w:rsidRPr="00B90BDC" w:rsidRDefault="00114D49">
      <w:pPr>
        <w:numPr>
          <w:ilvl w:val="0"/>
          <w:numId w:val="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lastRenderedPageBreak/>
        <w:t>Inconforme con la respuesta emitida por el Sujeto Obligado, el Recurrente interpuso el presente recurso de revisión el día</w:t>
      </w:r>
      <w:r w:rsidRPr="00B90BDC">
        <w:rPr>
          <w:rFonts w:ascii="Palatino Linotype" w:eastAsia="Palatino Linotype" w:hAnsi="Palatino Linotype" w:cs="Palatino Linotype"/>
          <w:b/>
          <w:bCs/>
          <w:color w:val="000000"/>
        </w:rPr>
        <w:t xml:space="preserve"> cuatro de agosto de dos mil veinticinco</w:t>
      </w:r>
      <w:r w:rsidRPr="00B90BDC">
        <w:rPr>
          <w:rFonts w:ascii="Palatino Linotype" w:eastAsia="Palatino Linotype" w:hAnsi="Palatino Linotype" w:cs="Palatino Linotype"/>
          <w:color w:val="000000"/>
        </w:rPr>
        <w:t xml:space="preserve">, con el expediente número </w:t>
      </w:r>
      <w:r w:rsidRPr="00B90BDC">
        <w:rPr>
          <w:rFonts w:ascii="Palatino Linotype" w:eastAsia="Palatino Linotype" w:hAnsi="Palatino Linotype" w:cs="Palatino Linotype"/>
          <w:b/>
          <w:bCs/>
          <w:color w:val="000000"/>
        </w:rPr>
        <w:t>09133/INFOEM/IP/RR/2025</w:t>
      </w:r>
      <w:r w:rsidRPr="00B90BDC">
        <w:rPr>
          <w:rFonts w:ascii="Palatino Linotype" w:eastAsia="Palatino Linotype" w:hAnsi="Palatino Linotype" w:cs="Palatino Linotype"/>
          <w:color w:val="000000"/>
        </w:rPr>
        <w:t>, manifestando lo siguiente:</w:t>
      </w:r>
    </w:p>
    <w:p w:rsidR="00C12005" w:rsidRPr="00B90BDC" w:rsidRDefault="00C12005">
      <w:pPr>
        <w:pBdr>
          <w:top w:val="nil"/>
          <w:left w:val="nil"/>
          <w:bottom w:val="nil"/>
          <w:right w:val="nil"/>
          <w:between w:val="nil"/>
        </w:pBdr>
        <w:spacing w:line="360" w:lineRule="auto"/>
        <w:ind w:left="644"/>
        <w:jc w:val="both"/>
        <w:rPr>
          <w:rFonts w:ascii="Palatino Linotype" w:eastAsia="Palatino Linotype" w:hAnsi="Palatino Linotype" w:cs="Palatino Linotype"/>
        </w:rPr>
      </w:pPr>
    </w:p>
    <w:p w:rsidR="00C12005" w:rsidRPr="00B90BDC" w:rsidRDefault="00114D49" w:rsidP="00B90BDC">
      <w:pPr>
        <w:pStyle w:val="Prrafodelista"/>
        <w:numPr>
          <w:ilvl w:val="0"/>
          <w:numId w:val="14"/>
        </w:numPr>
        <w:ind w:right="567"/>
        <w:jc w:val="both"/>
        <w:rPr>
          <w:rFonts w:ascii="Palatino Linotype" w:eastAsia="Palatino Linotype" w:hAnsi="Palatino Linotype" w:cs="Palatino Linotype"/>
          <w:b/>
          <w:bCs/>
          <w:sz w:val="24"/>
        </w:rPr>
      </w:pPr>
      <w:r w:rsidRPr="00B90BDC">
        <w:rPr>
          <w:rFonts w:ascii="Palatino Linotype" w:eastAsia="Palatino Linotype" w:hAnsi="Palatino Linotype" w:cs="Palatino Linotype"/>
          <w:b/>
          <w:bCs/>
          <w:sz w:val="24"/>
        </w:rPr>
        <w:t xml:space="preserve">ACTO IMPUGNADO </w:t>
      </w:r>
    </w:p>
    <w:p w:rsidR="00C12005" w:rsidRPr="00B90BDC" w:rsidRDefault="00114D49" w:rsidP="00B90BDC">
      <w:pPr>
        <w:ind w:left="360" w:right="900" w:firstLine="60"/>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i/>
          <w:iCs/>
          <w:color w:val="000000"/>
        </w:rPr>
        <w:t>“Respuesta de fecha 16 de julio de 2025. a la solicitud con folio 00693/PJUDICI/IP/2025,” (Sic)</w:t>
      </w:r>
    </w:p>
    <w:p w:rsidR="00C12005" w:rsidRPr="00B90BDC" w:rsidRDefault="00C12005" w:rsidP="00B90BDC">
      <w:pPr>
        <w:ind w:right="567"/>
        <w:jc w:val="both"/>
        <w:rPr>
          <w:rFonts w:ascii="Palatino Linotype" w:eastAsia="Palatino Linotype" w:hAnsi="Palatino Linotype" w:cs="Palatino Linotype"/>
          <w:b/>
          <w:bCs/>
        </w:rPr>
      </w:pPr>
    </w:p>
    <w:p w:rsidR="00C12005" w:rsidRPr="00B90BDC" w:rsidRDefault="00114D49" w:rsidP="00B90BDC">
      <w:pPr>
        <w:pStyle w:val="Prrafodelista"/>
        <w:numPr>
          <w:ilvl w:val="0"/>
          <w:numId w:val="14"/>
        </w:numPr>
        <w:ind w:right="567"/>
        <w:jc w:val="both"/>
        <w:rPr>
          <w:rFonts w:ascii="Palatino Linotype" w:eastAsia="Palatino Linotype" w:hAnsi="Palatino Linotype" w:cs="Palatino Linotype"/>
          <w:b/>
          <w:bCs/>
          <w:sz w:val="24"/>
        </w:rPr>
      </w:pPr>
      <w:r w:rsidRPr="00B90BDC">
        <w:rPr>
          <w:rFonts w:ascii="Palatino Linotype" w:eastAsia="Palatino Linotype" w:hAnsi="Palatino Linotype" w:cs="Palatino Linotype"/>
          <w:b/>
          <w:bCs/>
          <w:sz w:val="24"/>
        </w:rPr>
        <w:t>RAZONES O MOTIVOS DE INCONFORMIDAD</w:t>
      </w:r>
    </w:p>
    <w:p w:rsidR="00C12005" w:rsidRPr="00B90BDC" w:rsidRDefault="00114D49" w:rsidP="00B90BDC">
      <w:pPr>
        <w:ind w:left="360"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i/>
          <w:iCs/>
          <w:color w:val="000000"/>
        </w:rPr>
        <w:t xml:space="preserve">“Se omite la entrega de información completa. En la solicitud se pidió, según se transcribe en el propio oficio de respuesta, lo sisguiente: “Solicito se aporten: C. Datos de estadística judicial para el período comprendido entre el 6 de julio al 15 de noviembre de 2023 y 2024 en relación con todos los Juzgados Civiles de Primera Instancia del Poder Judicial del Estado de México, considerando los tipos de resoluciones y los plazos específicos de 15 días para sentencias definitivas, 5 días para sentencias definitivas en Procedimientos de Controversia de Violencia Familiar y sentencias interlocutorias, y 3 días para Recursos de Revocación, en los siguientes términos: 1.Tiempo promedio de resolución de juicios desde su ingreso al Juzgado hasta la emisión de la sentencia. 2.Promedio de Tiempo de emisión Resolución por Tipo de Sentencia y Juzgado (desde que el asunto se turna para resolución): Promedio de días necesarios para emitir sentencias definitivas, definitivas de controversia familiar, interlocutorias, y resoluciones de recursos de revocación, desglosado por cada juzgado durante el periodo. Se aclara que lo que se solicita es que el tiempo promedio sea expresado desde el momento en el que los asuntos son turnados para resolución. 3.Número de Resoluciones Emitidas Fuera de los Plazos de 15, 5 y 3 Días: Cantidad de resoluciones en cada juzgado que excedieron los plazos de 15 días (para sentencias definitivas), 5 días (para sentencias de controversia familiar y interlocutorias) y 3 días (para recursos de revocación), desglosado por tipo de asunto, contados desde que el asunto es turnado para resolución. 4.Sentencias revocadas: Se solicita se proporcione el número de resoluciones (sentencias definitivas, de controversia familiar, interlocutorias y recursos de revocación) que fueron modificadas o revocadas en segunda instancia, desglosado por juzgado y tipo de resolución, para evaluar la solidez de las decisiones en función del tiempo de resolución (Sic) En cuanto al punto 2, se solicitó el tiempo de emisió promedio de sentencias desde que el asunto se turna para resolución; sin embargo, el documento de excel recibido aclara que el tiempo promedio </w:t>
      </w:r>
      <w:r w:rsidRPr="00B90BDC">
        <w:rPr>
          <w:rFonts w:ascii="Palatino Linotype" w:eastAsia="Palatino Linotype" w:hAnsi="Palatino Linotype" w:cs="Palatino Linotype"/>
          <w:i/>
          <w:iCs/>
          <w:color w:val="000000"/>
        </w:rPr>
        <w:lastRenderedPageBreak/>
        <w:t>considerado en el reporte es "desde la fecha de radicación del asunto hasya la emisión de la sentencia". Sobr eel punto 3 no se aprecia en el documento de excel adjunto a la respuesta el detalle del numero de resoluciones qemitidas fuera de los plazos indicados.” (Sic)</w:t>
      </w:r>
    </w:p>
    <w:p w:rsidR="00C12005" w:rsidRPr="00B90BDC" w:rsidRDefault="00C12005">
      <w:pPr>
        <w:pBdr>
          <w:top w:val="nil"/>
          <w:left w:val="nil"/>
          <w:bottom w:val="nil"/>
          <w:right w:val="nil"/>
          <w:between w:val="nil"/>
        </w:pBdr>
        <w:tabs>
          <w:tab w:val="left" w:pos="142"/>
        </w:tabs>
        <w:spacing w:line="360" w:lineRule="auto"/>
        <w:ind w:left="426" w:right="333"/>
        <w:jc w:val="center"/>
        <w:rPr>
          <w:rFonts w:ascii="Palatino Linotype" w:eastAsia="Palatino Linotype" w:hAnsi="Palatino Linotype" w:cs="Palatino Linotype"/>
          <w:i/>
          <w:iCs/>
          <w:color w:val="000000"/>
        </w:rPr>
      </w:pPr>
    </w:p>
    <w:p w:rsidR="00C12005" w:rsidRPr="00B90BDC" w:rsidRDefault="00B90BDC">
      <w:pPr>
        <w:numPr>
          <w:ilvl w:val="0"/>
          <w:numId w:val="1"/>
        </w:numPr>
        <w:spacing w:line="360" w:lineRule="auto"/>
        <w:ind w:left="0" w:right="-28"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Posteriormente, la Comisionada p</w:t>
      </w:r>
      <w:r w:rsidR="00114D49" w:rsidRPr="00B90BDC">
        <w:rPr>
          <w:rFonts w:ascii="Palatino Linotype" w:eastAsia="Palatino Linotype" w:hAnsi="Palatino Linotype" w:cs="Palatino Linotype"/>
        </w:rPr>
        <w:t xml:space="preserve">onente con fundamento en lo dispuesto por el artículo 185, fracción II, de la Ley de la materia, a través del acuerdo de admisión del </w:t>
      </w:r>
      <w:r w:rsidR="00114D49" w:rsidRPr="00B90BDC">
        <w:rPr>
          <w:rFonts w:ascii="Palatino Linotype" w:eastAsia="Palatino Linotype" w:hAnsi="Palatino Linotype" w:cs="Palatino Linotype"/>
          <w:b/>
          <w:bCs/>
        </w:rPr>
        <w:t>siete de agosto de dos mil veinticinco</w:t>
      </w:r>
      <w:r w:rsidR="00114D49" w:rsidRPr="00B90BDC">
        <w:rPr>
          <w:rFonts w:ascii="Palatino Linotype" w:eastAsia="Palatino Linotype" w:hAnsi="Palatino Linotype" w:cs="Palatino Linotype"/>
        </w:rPr>
        <w:t xml:space="preserve">, puso a disposición de las partes el expediente electrónico vía </w:t>
      </w:r>
      <w:r w:rsidR="00114D49" w:rsidRPr="00B90BDC">
        <w:rPr>
          <w:rFonts w:ascii="Palatino Linotype" w:eastAsia="Palatino Linotype" w:hAnsi="Palatino Linotype" w:cs="Palatino Linotype"/>
          <w:b/>
          <w:bCs/>
        </w:rPr>
        <w:t xml:space="preserve">SAIMEX </w:t>
      </w:r>
      <w:r w:rsidR="00114D49" w:rsidRPr="00B90BDC">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00114D49" w:rsidRPr="00B90BDC">
        <w:rPr>
          <w:rFonts w:ascii="Palatino Linotype" w:eastAsia="Palatino Linotype" w:hAnsi="Palatino Linotype" w:cs="Palatino Linotype"/>
          <w:b/>
          <w:bCs/>
        </w:rPr>
        <w:t>SUJETO OBLIGADO</w:t>
      </w:r>
      <w:r w:rsidR="00114D49" w:rsidRPr="00B90BDC">
        <w:rPr>
          <w:rFonts w:ascii="Palatino Linotype" w:eastAsia="Palatino Linotype" w:hAnsi="Palatino Linotype" w:cs="Palatino Linotype"/>
        </w:rPr>
        <w:t xml:space="preserve"> presentase el informe justificado procedente. </w:t>
      </w:r>
    </w:p>
    <w:p w:rsidR="00C12005" w:rsidRPr="00B90BDC" w:rsidRDefault="00C12005">
      <w:pPr>
        <w:spacing w:line="360" w:lineRule="auto"/>
        <w:ind w:right="-28"/>
        <w:jc w:val="both"/>
        <w:rPr>
          <w:rFonts w:ascii="Palatino Linotype" w:eastAsia="Palatino Linotype" w:hAnsi="Palatino Linotype" w:cs="Palatino Linotype"/>
          <w:color w:val="000000"/>
        </w:rPr>
      </w:pPr>
    </w:p>
    <w:p w:rsidR="00C12005" w:rsidRPr="00B90BDC" w:rsidRDefault="00114D49">
      <w:pPr>
        <w:numPr>
          <w:ilvl w:val="0"/>
          <w:numId w:val="1"/>
        </w:numPr>
        <w:pBdr>
          <w:top w:val="nil"/>
          <w:left w:val="nil"/>
          <w:bottom w:val="nil"/>
          <w:right w:val="nil"/>
          <w:between w:val="nil"/>
        </w:pBdr>
        <w:spacing w:after="280" w:line="360" w:lineRule="auto"/>
        <w:ind w:left="0" w:firstLine="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t xml:space="preserve">Durante la etapa de manifestaciones en fecha </w:t>
      </w:r>
      <w:r w:rsidRPr="00B90BDC">
        <w:rPr>
          <w:rFonts w:ascii="Palatino Linotype" w:eastAsia="Palatino Linotype" w:hAnsi="Palatino Linotype" w:cs="Palatino Linotype"/>
          <w:b/>
          <w:bCs/>
          <w:color w:val="000000"/>
        </w:rPr>
        <w:t xml:space="preserve">quince de agosto de dos mil veinticinco </w:t>
      </w:r>
      <w:r w:rsidRPr="00B90BDC">
        <w:rPr>
          <w:rFonts w:ascii="Palatino Linotype" w:eastAsia="Palatino Linotype" w:hAnsi="Palatino Linotype" w:cs="Palatino Linotype"/>
          <w:color w:val="000000"/>
        </w:rPr>
        <w:t>el Sujeto Obligado mediante tres archivos electrónicos rindió el Informe Justificado correspondiente a derecho, informe que fue puesto a la vista del recurrente en fecha dos de octubre  de dos mil veinticinco y que medularmente refiere lo siguiente:</w:t>
      </w:r>
    </w:p>
    <w:p w:rsidR="00C12005" w:rsidRPr="00B90BDC" w:rsidRDefault="00114D49">
      <w:pPr>
        <w:pBdr>
          <w:top w:val="nil"/>
          <w:left w:val="nil"/>
          <w:bottom w:val="nil"/>
          <w:right w:val="nil"/>
          <w:between w:val="nil"/>
        </w:pBdr>
        <w:tabs>
          <w:tab w:val="left" w:pos="1134"/>
        </w:tabs>
        <w:spacing w:line="276"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b/>
          <w:bCs/>
          <w:color w:val="000000"/>
        </w:rPr>
        <w:t xml:space="preserve">INFORME JUSTIFICADO 09133 25.pdf: </w:t>
      </w:r>
      <w:r w:rsidRPr="00B90BDC">
        <w:rPr>
          <w:rFonts w:ascii="Palatino Linotype" w:eastAsia="Palatino Linotype" w:hAnsi="Palatino Linotype" w:cs="Palatino Linotype"/>
          <w:i/>
          <w:iCs/>
          <w:color w:val="000000"/>
        </w:rPr>
        <w:t>Medularmente el Titular de la Unidad de Transparencia confirma su respuesta.</w:t>
      </w:r>
    </w:p>
    <w:p w:rsidR="00C12005" w:rsidRPr="00B90BDC" w:rsidRDefault="00C12005">
      <w:pPr>
        <w:pBdr>
          <w:top w:val="nil"/>
          <w:left w:val="nil"/>
          <w:bottom w:val="nil"/>
          <w:right w:val="nil"/>
          <w:between w:val="nil"/>
        </w:pBdr>
        <w:tabs>
          <w:tab w:val="left" w:pos="1134"/>
        </w:tabs>
        <w:spacing w:line="276" w:lineRule="auto"/>
        <w:ind w:left="1134" w:right="1389"/>
        <w:jc w:val="both"/>
        <w:rPr>
          <w:rFonts w:ascii="Palatino Linotype" w:eastAsia="Palatino Linotype" w:hAnsi="Palatino Linotype" w:cs="Palatino Linotype"/>
          <w:i/>
          <w:iCs/>
          <w:color w:val="000000"/>
        </w:rPr>
      </w:pPr>
    </w:p>
    <w:p w:rsidR="00C12005" w:rsidRPr="00B90BDC" w:rsidRDefault="00114D49">
      <w:pPr>
        <w:pBdr>
          <w:top w:val="nil"/>
          <w:left w:val="nil"/>
          <w:bottom w:val="nil"/>
          <w:right w:val="nil"/>
          <w:between w:val="nil"/>
        </w:pBdr>
        <w:tabs>
          <w:tab w:val="left" w:pos="1134"/>
        </w:tabs>
        <w:spacing w:line="276"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b/>
          <w:bCs/>
          <w:color w:val="000000"/>
        </w:rPr>
        <w:t xml:space="preserve">Anexo.xlsx: </w:t>
      </w:r>
      <w:r w:rsidRPr="00B90BDC">
        <w:rPr>
          <w:rFonts w:ascii="Palatino Linotype" w:eastAsia="Palatino Linotype" w:hAnsi="Palatino Linotype" w:cs="Palatino Linotype"/>
          <w:i/>
          <w:iCs/>
          <w:color w:val="000000"/>
        </w:rPr>
        <w:t>Contiene</w:t>
      </w:r>
      <w:r w:rsidRPr="00B90BDC">
        <w:rPr>
          <w:rFonts w:ascii="Palatino Linotype" w:eastAsia="Palatino Linotype" w:hAnsi="Palatino Linotype" w:cs="Palatino Linotype"/>
          <w:b/>
          <w:bCs/>
          <w:color w:val="000000"/>
        </w:rPr>
        <w:t xml:space="preserve"> </w:t>
      </w:r>
      <w:r w:rsidRPr="00B90BDC">
        <w:rPr>
          <w:rFonts w:ascii="Palatino Linotype" w:eastAsia="Palatino Linotype" w:hAnsi="Palatino Linotype" w:cs="Palatino Linotype"/>
          <w:i/>
          <w:iCs/>
          <w:color w:val="000000"/>
        </w:rPr>
        <w:t>cuatro listados del seis de julio al quince de noviembre de dos mil veintitrés y dos mil veinticuatro que contienen el tiempo promedio en días naturales para emisión de sentencias desagregado por juzgado se consideran sentencias definitivas e interlocutorias , así mismo se informa que el tiempo indicado inicia de la fecha de radicación hasta la emisión de sentencias y segundo listado que señala el total de sentencias emitidas en juzgados civiles de primera instancia que hayan sido modificadas o revocadas durante los mismos periodos en salas de Segunda Instancia, desagregado por tipo de sentencia, por sentencias emitidas en juicios de violencia familiar y por juzgado que emite sentencia</w:t>
      </w:r>
    </w:p>
    <w:p w:rsidR="00C12005" w:rsidRPr="00B90BDC" w:rsidRDefault="00114D49">
      <w:pPr>
        <w:pBdr>
          <w:top w:val="nil"/>
          <w:left w:val="nil"/>
          <w:bottom w:val="nil"/>
          <w:right w:val="nil"/>
          <w:between w:val="nil"/>
        </w:pBdr>
        <w:tabs>
          <w:tab w:val="left" w:pos="1134"/>
        </w:tabs>
        <w:spacing w:line="276"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b/>
          <w:bCs/>
          <w:color w:val="000000"/>
        </w:rPr>
        <w:lastRenderedPageBreak/>
        <w:t xml:space="preserve">Anexo.txt: </w:t>
      </w:r>
      <w:r w:rsidRPr="00B90BDC">
        <w:rPr>
          <w:rFonts w:ascii="Palatino Linotype" w:eastAsia="Palatino Linotype" w:hAnsi="Palatino Linotype" w:cs="Palatino Linotype"/>
          <w:i/>
          <w:iCs/>
          <w:color w:val="000000"/>
        </w:rPr>
        <w:t>dos listados del seis de julio al quince de noviembre de dos mil veintitrés que contienen el tiempo promedio en días naturales para emisión de sentencias desagregado por juzgado se consideran sentencias definitivas e interlocutorias , así mismo se informa que el tiempo indicado inicia de la fecha de radicación hasta la emisión de sentencias y segundo listado que señala el total de sentencias emitidas en juzgados civiles de primera instancia que hayan sido modificadas o revocadas durante los mismos periodos en salas de Segunda Instancia, desagregado por tipo de sentencia, por sentencias emitidas en juicios de violencia familiar y por juzgado que emite sentencia</w:t>
      </w:r>
    </w:p>
    <w:p w:rsidR="00C12005" w:rsidRPr="00B90BDC" w:rsidRDefault="00C12005">
      <w:pPr>
        <w:pBdr>
          <w:top w:val="nil"/>
          <w:left w:val="nil"/>
          <w:bottom w:val="nil"/>
          <w:right w:val="nil"/>
          <w:between w:val="nil"/>
        </w:pBdr>
        <w:ind w:left="1134" w:right="1389"/>
        <w:jc w:val="both"/>
        <w:rPr>
          <w:rFonts w:ascii="Palatino Linotype" w:eastAsia="Palatino Linotype" w:hAnsi="Palatino Linotype" w:cs="Palatino Linotype"/>
          <w:b/>
          <w:bCs/>
          <w:color w:val="000000"/>
        </w:rPr>
      </w:pPr>
    </w:p>
    <w:p w:rsidR="00C12005" w:rsidRPr="00B90BDC" w:rsidRDefault="00114D49">
      <w:pPr>
        <w:pBdr>
          <w:top w:val="nil"/>
          <w:left w:val="nil"/>
          <w:bottom w:val="nil"/>
          <w:right w:val="nil"/>
          <w:between w:val="nil"/>
        </w:pBdr>
        <w:tabs>
          <w:tab w:val="left" w:pos="426"/>
        </w:tabs>
        <w:spacing w:line="360" w:lineRule="auto"/>
        <w:ind w:right="27"/>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t xml:space="preserve">Por su parte, el </w:t>
      </w:r>
      <w:r w:rsidRPr="00B90BDC">
        <w:rPr>
          <w:rFonts w:ascii="Palatino Linotype" w:eastAsia="Palatino Linotype" w:hAnsi="Palatino Linotype" w:cs="Palatino Linotype"/>
          <w:b/>
          <w:bCs/>
          <w:color w:val="000000"/>
        </w:rPr>
        <w:t>RECURRENTE</w:t>
      </w:r>
      <w:r w:rsidRPr="00B90BDC">
        <w:rPr>
          <w:rFonts w:ascii="Palatino Linotype" w:eastAsia="Palatino Linotype" w:hAnsi="Palatino Linotype" w:cs="Palatino Linotype"/>
          <w:color w:val="000000"/>
        </w:rPr>
        <w:t xml:space="preserve"> no realizó manifestaciones que a su derecho convinieran y asistieran.</w:t>
      </w:r>
    </w:p>
    <w:p w:rsidR="00C12005" w:rsidRPr="00B90BDC" w:rsidRDefault="00C12005">
      <w:pPr>
        <w:pBdr>
          <w:top w:val="nil"/>
          <w:left w:val="nil"/>
          <w:bottom w:val="nil"/>
          <w:right w:val="nil"/>
          <w:between w:val="nil"/>
        </w:pBdr>
        <w:tabs>
          <w:tab w:val="left" w:pos="0"/>
        </w:tabs>
        <w:spacing w:line="360" w:lineRule="auto"/>
        <w:ind w:left="644" w:right="1389"/>
        <w:jc w:val="both"/>
        <w:rPr>
          <w:rFonts w:ascii="Palatino Linotype" w:eastAsia="Palatino Linotype" w:hAnsi="Palatino Linotype" w:cs="Palatino Linotype"/>
          <w:i/>
          <w:iCs/>
          <w:color w:val="000000"/>
        </w:rPr>
      </w:pPr>
    </w:p>
    <w:p w:rsidR="00C12005" w:rsidRPr="00B90BDC" w:rsidRDefault="00114D49">
      <w:pPr>
        <w:numPr>
          <w:ilvl w:val="0"/>
          <w:numId w:val="12"/>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b/>
          <w:bCs/>
          <w:color w:val="000000"/>
        </w:rPr>
      </w:pPr>
      <w:r w:rsidRPr="00B90BDC">
        <w:rPr>
          <w:rFonts w:ascii="Palatino Linotype" w:eastAsia="Palatino Linotype" w:hAnsi="Palatino Linotype" w:cs="Palatino Linotype"/>
          <w:color w:val="000000"/>
        </w:rPr>
        <w:t xml:space="preserve">En </w:t>
      </w:r>
      <w:r w:rsidRPr="00B90BDC">
        <w:rPr>
          <w:rFonts w:ascii="Palatino Linotype" w:eastAsia="Palatino Linotype" w:hAnsi="Palatino Linotype" w:cs="Palatino Linotype"/>
          <w:b/>
          <w:bCs/>
          <w:color w:val="000000"/>
        </w:rPr>
        <w:t>fecha dos de octubre de dos mil veinticinco</w:t>
      </w:r>
      <w:r w:rsidRPr="00B90BDC">
        <w:rPr>
          <w:rFonts w:ascii="Palatino Linotype" w:eastAsia="Palatino Linotype" w:hAnsi="Palatino Linotype" w:cs="Palatino Linotype"/>
          <w:color w:val="000000"/>
        </w:rPr>
        <w:t>, se acordó ampliar el término para resolver el presente asunto.</w:t>
      </w:r>
    </w:p>
    <w:p w:rsidR="00C12005" w:rsidRPr="00B90BDC" w:rsidRDefault="00C12005">
      <w:pPr>
        <w:pBdr>
          <w:top w:val="nil"/>
          <w:left w:val="nil"/>
          <w:bottom w:val="nil"/>
          <w:right w:val="nil"/>
          <w:between w:val="nil"/>
        </w:pBdr>
        <w:ind w:right="27"/>
        <w:rPr>
          <w:rFonts w:ascii="Palatino Linotype" w:eastAsia="Palatino Linotype" w:hAnsi="Palatino Linotype" w:cs="Palatino Linotype"/>
          <w:b/>
          <w:bCs/>
          <w:color w:val="000000"/>
        </w:rPr>
      </w:pPr>
    </w:p>
    <w:p w:rsidR="00C12005" w:rsidRPr="00B90BDC" w:rsidRDefault="00114D49">
      <w:pPr>
        <w:numPr>
          <w:ilvl w:val="0"/>
          <w:numId w:val="12"/>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rsidR="00C12005" w:rsidRPr="00B90BDC" w:rsidRDefault="00C12005">
      <w:pPr>
        <w:pBdr>
          <w:top w:val="nil"/>
          <w:left w:val="nil"/>
          <w:bottom w:val="nil"/>
          <w:right w:val="nil"/>
          <w:between w:val="nil"/>
        </w:pBdr>
        <w:ind w:left="720"/>
        <w:rPr>
          <w:rFonts w:ascii="Palatino Linotype" w:eastAsia="Palatino Linotype" w:hAnsi="Palatino Linotype" w:cs="Palatino Linotype"/>
          <w:color w:val="000000"/>
        </w:rPr>
      </w:pPr>
    </w:p>
    <w:p w:rsidR="00C12005" w:rsidRPr="00B90BDC" w:rsidRDefault="00B90BDC">
      <w:pPr>
        <w:numPr>
          <w:ilvl w:val="0"/>
          <w:numId w:val="12"/>
        </w:numPr>
        <w:spacing w:line="360" w:lineRule="auto"/>
        <w:ind w:left="0" w:right="-29" w:firstLine="0"/>
        <w:jc w:val="both"/>
        <w:rPr>
          <w:rFonts w:ascii="Palatino Linotype" w:eastAsia="Palatino Linotype" w:hAnsi="Palatino Linotype" w:cs="Palatino Linotype"/>
        </w:rPr>
      </w:pPr>
      <w:r>
        <w:rPr>
          <w:rFonts w:ascii="Palatino Linotype" w:eastAsia="Palatino Linotype" w:hAnsi="Palatino Linotype" w:cs="Palatino Linotype"/>
        </w:rPr>
        <w:t>La Comisionada p</w:t>
      </w:r>
      <w:r w:rsidR="00114D49" w:rsidRPr="00B90BDC">
        <w:rPr>
          <w:rFonts w:ascii="Palatino Linotype" w:eastAsia="Palatino Linotype" w:hAnsi="Palatino Linotype" w:cs="Palatino Linotype"/>
        </w:rPr>
        <w:t xml:space="preserve">onente decretó el cierre de instrucción mediante el acuerdo del </w:t>
      </w:r>
      <w:r w:rsidR="00114D49" w:rsidRPr="00B90BDC">
        <w:rPr>
          <w:rFonts w:ascii="Palatino Linotype" w:eastAsia="Palatino Linotype" w:hAnsi="Palatino Linotype" w:cs="Palatino Linotype"/>
          <w:b/>
          <w:bCs/>
        </w:rPr>
        <w:t xml:space="preserve">nueve de octubre de dos mil veintiséis; </w:t>
      </w:r>
      <w:r w:rsidR="00114D49" w:rsidRPr="00B90BDC">
        <w:rPr>
          <w:rFonts w:ascii="Palatino Linotype" w:eastAsia="Palatino Linotype" w:hAnsi="Palatino Linotype" w:cs="Palatino Linotype"/>
        </w:rPr>
        <w:t xml:space="preserve">por lo que en virtud de que el expediente electrónico ha sido debidamente substanciado y no existe diligencia pendiente de desahogo, se procede a emitir la presente resolución que conforme a Derecho corresponda y; </w:t>
      </w:r>
      <w:r>
        <w:rPr>
          <w:rFonts w:ascii="Palatino Linotype" w:eastAsia="Palatino Linotype" w:hAnsi="Palatino Linotype" w:cs="Palatino Linotype"/>
        </w:rPr>
        <w:t>´----------------------------------------</w:t>
      </w:r>
    </w:p>
    <w:p w:rsidR="00C12005" w:rsidRPr="00B90BDC" w:rsidRDefault="00C12005">
      <w:pPr>
        <w:spacing w:line="360" w:lineRule="auto"/>
        <w:ind w:right="-29"/>
        <w:jc w:val="both"/>
        <w:rPr>
          <w:rFonts w:ascii="Palatino Linotype" w:eastAsia="Palatino Linotype" w:hAnsi="Palatino Linotype" w:cs="Palatino Linotype"/>
        </w:rPr>
      </w:pPr>
    </w:p>
    <w:p w:rsidR="00C12005" w:rsidRPr="00B90BDC" w:rsidRDefault="00114D49">
      <w:pPr>
        <w:spacing w:before="600" w:after="600" w:line="276" w:lineRule="auto"/>
        <w:jc w:val="center"/>
        <w:rPr>
          <w:rFonts w:ascii="Palatino Linotype" w:eastAsia="Palatino Linotype" w:hAnsi="Palatino Linotype" w:cs="Palatino Linotype"/>
          <w:b/>
          <w:bCs/>
        </w:rPr>
      </w:pPr>
      <w:r w:rsidRPr="00B90BDC">
        <w:rPr>
          <w:rFonts w:ascii="Palatino Linotype" w:eastAsia="Palatino Linotype" w:hAnsi="Palatino Linotype" w:cs="Palatino Linotype"/>
          <w:b/>
          <w:bCs/>
        </w:rPr>
        <w:lastRenderedPageBreak/>
        <w:t>C</w:t>
      </w:r>
      <w:r w:rsidR="00B90BDC">
        <w:rPr>
          <w:rFonts w:ascii="Palatino Linotype" w:eastAsia="Palatino Linotype" w:hAnsi="Palatino Linotype" w:cs="Palatino Linotype"/>
          <w:b/>
          <w:bCs/>
        </w:rPr>
        <w:t xml:space="preserve"> </w:t>
      </w:r>
      <w:r w:rsidRPr="00B90BDC">
        <w:rPr>
          <w:rFonts w:ascii="Palatino Linotype" w:eastAsia="Palatino Linotype" w:hAnsi="Palatino Linotype" w:cs="Palatino Linotype"/>
          <w:b/>
          <w:bCs/>
        </w:rPr>
        <w:t>O</w:t>
      </w:r>
      <w:r w:rsidR="00B90BDC">
        <w:rPr>
          <w:rFonts w:ascii="Palatino Linotype" w:eastAsia="Palatino Linotype" w:hAnsi="Palatino Linotype" w:cs="Palatino Linotype"/>
          <w:b/>
          <w:bCs/>
        </w:rPr>
        <w:t xml:space="preserve"> </w:t>
      </w:r>
      <w:r w:rsidRPr="00B90BDC">
        <w:rPr>
          <w:rFonts w:ascii="Palatino Linotype" w:eastAsia="Palatino Linotype" w:hAnsi="Palatino Linotype" w:cs="Palatino Linotype"/>
          <w:b/>
          <w:bCs/>
        </w:rPr>
        <w:t>N</w:t>
      </w:r>
      <w:r w:rsidR="00B90BDC">
        <w:rPr>
          <w:rFonts w:ascii="Palatino Linotype" w:eastAsia="Palatino Linotype" w:hAnsi="Palatino Linotype" w:cs="Palatino Linotype"/>
          <w:b/>
          <w:bCs/>
        </w:rPr>
        <w:t xml:space="preserve"> </w:t>
      </w:r>
      <w:r w:rsidRPr="00B90BDC">
        <w:rPr>
          <w:rFonts w:ascii="Palatino Linotype" w:eastAsia="Palatino Linotype" w:hAnsi="Palatino Linotype" w:cs="Palatino Linotype"/>
          <w:b/>
          <w:bCs/>
        </w:rPr>
        <w:t>S</w:t>
      </w:r>
      <w:r w:rsidR="00B90BDC">
        <w:rPr>
          <w:rFonts w:ascii="Palatino Linotype" w:eastAsia="Palatino Linotype" w:hAnsi="Palatino Linotype" w:cs="Palatino Linotype"/>
          <w:b/>
          <w:bCs/>
        </w:rPr>
        <w:t xml:space="preserve"> </w:t>
      </w:r>
      <w:r w:rsidRPr="00B90BDC">
        <w:rPr>
          <w:rFonts w:ascii="Palatino Linotype" w:eastAsia="Palatino Linotype" w:hAnsi="Palatino Linotype" w:cs="Palatino Linotype"/>
          <w:b/>
          <w:bCs/>
        </w:rPr>
        <w:t>I</w:t>
      </w:r>
      <w:r w:rsidR="00B90BDC">
        <w:rPr>
          <w:rFonts w:ascii="Palatino Linotype" w:eastAsia="Palatino Linotype" w:hAnsi="Palatino Linotype" w:cs="Palatino Linotype"/>
          <w:b/>
          <w:bCs/>
        </w:rPr>
        <w:t xml:space="preserve"> </w:t>
      </w:r>
      <w:r w:rsidRPr="00B90BDC">
        <w:rPr>
          <w:rFonts w:ascii="Palatino Linotype" w:eastAsia="Palatino Linotype" w:hAnsi="Palatino Linotype" w:cs="Palatino Linotype"/>
          <w:b/>
          <w:bCs/>
        </w:rPr>
        <w:t>D</w:t>
      </w:r>
      <w:r w:rsidR="00B90BDC">
        <w:rPr>
          <w:rFonts w:ascii="Palatino Linotype" w:eastAsia="Palatino Linotype" w:hAnsi="Palatino Linotype" w:cs="Palatino Linotype"/>
          <w:b/>
          <w:bCs/>
        </w:rPr>
        <w:t xml:space="preserve"> </w:t>
      </w:r>
      <w:r w:rsidRPr="00B90BDC">
        <w:rPr>
          <w:rFonts w:ascii="Palatino Linotype" w:eastAsia="Palatino Linotype" w:hAnsi="Palatino Linotype" w:cs="Palatino Linotype"/>
          <w:b/>
          <w:bCs/>
        </w:rPr>
        <w:t>E</w:t>
      </w:r>
      <w:r w:rsidR="00B90BDC">
        <w:rPr>
          <w:rFonts w:ascii="Palatino Linotype" w:eastAsia="Palatino Linotype" w:hAnsi="Palatino Linotype" w:cs="Palatino Linotype"/>
          <w:b/>
          <w:bCs/>
        </w:rPr>
        <w:t xml:space="preserve"> </w:t>
      </w:r>
      <w:r w:rsidRPr="00B90BDC">
        <w:rPr>
          <w:rFonts w:ascii="Palatino Linotype" w:eastAsia="Palatino Linotype" w:hAnsi="Palatino Linotype" w:cs="Palatino Linotype"/>
          <w:b/>
          <w:bCs/>
        </w:rPr>
        <w:t>R</w:t>
      </w:r>
      <w:r w:rsidR="00B90BDC">
        <w:rPr>
          <w:rFonts w:ascii="Palatino Linotype" w:eastAsia="Palatino Linotype" w:hAnsi="Palatino Linotype" w:cs="Palatino Linotype"/>
          <w:b/>
          <w:bCs/>
        </w:rPr>
        <w:t xml:space="preserve"> </w:t>
      </w:r>
      <w:r w:rsidRPr="00B90BDC">
        <w:rPr>
          <w:rFonts w:ascii="Palatino Linotype" w:eastAsia="Palatino Linotype" w:hAnsi="Palatino Linotype" w:cs="Palatino Linotype"/>
          <w:b/>
          <w:bCs/>
        </w:rPr>
        <w:t>A</w:t>
      </w:r>
      <w:r w:rsidR="00B90BDC">
        <w:rPr>
          <w:rFonts w:ascii="Palatino Linotype" w:eastAsia="Palatino Linotype" w:hAnsi="Palatino Linotype" w:cs="Palatino Linotype"/>
          <w:b/>
          <w:bCs/>
        </w:rPr>
        <w:t xml:space="preserve"> </w:t>
      </w:r>
      <w:r w:rsidRPr="00B90BDC">
        <w:rPr>
          <w:rFonts w:ascii="Palatino Linotype" w:eastAsia="Palatino Linotype" w:hAnsi="Palatino Linotype" w:cs="Palatino Linotype"/>
          <w:b/>
          <w:bCs/>
        </w:rPr>
        <w:t>N</w:t>
      </w:r>
      <w:r w:rsidR="00B90BDC">
        <w:rPr>
          <w:rFonts w:ascii="Palatino Linotype" w:eastAsia="Palatino Linotype" w:hAnsi="Palatino Linotype" w:cs="Palatino Linotype"/>
          <w:b/>
          <w:bCs/>
        </w:rPr>
        <w:t xml:space="preserve"> </w:t>
      </w:r>
      <w:r w:rsidRPr="00B90BDC">
        <w:rPr>
          <w:rFonts w:ascii="Palatino Linotype" w:eastAsia="Palatino Linotype" w:hAnsi="Palatino Linotype" w:cs="Palatino Linotype"/>
          <w:b/>
          <w:bCs/>
        </w:rPr>
        <w:t>D</w:t>
      </w:r>
      <w:r w:rsidR="00B90BDC">
        <w:rPr>
          <w:rFonts w:ascii="Palatino Linotype" w:eastAsia="Palatino Linotype" w:hAnsi="Palatino Linotype" w:cs="Palatino Linotype"/>
          <w:b/>
          <w:bCs/>
        </w:rPr>
        <w:t xml:space="preserve"> </w:t>
      </w:r>
      <w:r w:rsidRPr="00B90BDC">
        <w:rPr>
          <w:rFonts w:ascii="Palatino Linotype" w:eastAsia="Palatino Linotype" w:hAnsi="Palatino Linotype" w:cs="Palatino Linotype"/>
          <w:b/>
          <w:bCs/>
        </w:rPr>
        <w:t>O</w:t>
      </w:r>
      <w:r w:rsidR="00B90BDC">
        <w:rPr>
          <w:rFonts w:ascii="Palatino Linotype" w:eastAsia="Palatino Linotype" w:hAnsi="Palatino Linotype" w:cs="Palatino Linotype"/>
          <w:b/>
          <w:bCs/>
        </w:rPr>
        <w:t xml:space="preserve"> </w:t>
      </w:r>
    </w:p>
    <w:p w:rsidR="00C12005" w:rsidRPr="00B90BDC" w:rsidRDefault="00B90BDC" w:rsidP="00B90BDC">
      <w:pPr>
        <w:widowControl w:val="0"/>
        <w:tabs>
          <w:tab w:val="left" w:pos="1701"/>
        </w:tabs>
        <w:spacing w:before="280" w:line="360" w:lineRule="auto"/>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sidR="00114D49" w:rsidRPr="00B90BDC">
        <w:rPr>
          <w:rFonts w:ascii="Palatino Linotype" w:eastAsia="Palatino Linotype" w:hAnsi="Palatino Linotype" w:cs="Palatino Linotype"/>
          <w:b/>
          <w:bCs/>
        </w:rPr>
        <w:t>De la Competencia</w:t>
      </w:r>
      <w:r w:rsidR="00114D49" w:rsidRPr="00B90BDC">
        <w:rPr>
          <w:rFonts w:ascii="Palatino Linotype" w:eastAsia="Palatino Linotype" w:hAnsi="Palatino Linotype" w:cs="Palatino Linotype"/>
        </w:rPr>
        <w:t>.</w:t>
      </w:r>
      <w:r w:rsidR="00114D49" w:rsidRPr="00B90BDC">
        <w:rPr>
          <w:rFonts w:ascii="Palatino Linotype" w:eastAsia="Palatino Linotype" w:hAnsi="Palatino Linotype" w:cs="Palatino Linotype"/>
          <w:b/>
          <w:bCs/>
        </w:rPr>
        <w:t xml:space="preserve"> </w:t>
      </w:r>
    </w:p>
    <w:p w:rsidR="00C12005" w:rsidRPr="00B90BDC" w:rsidRDefault="00114D49">
      <w:pPr>
        <w:numPr>
          <w:ilvl w:val="0"/>
          <w:numId w:val="12"/>
        </w:numPr>
        <w:pBdr>
          <w:top w:val="nil"/>
          <w:left w:val="nil"/>
          <w:bottom w:val="nil"/>
          <w:right w:val="nil"/>
          <w:between w:val="nil"/>
        </w:pBdr>
        <w:spacing w:line="360" w:lineRule="auto"/>
        <w:ind w:left="0" w:right="-28" w:firstLine="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C12005" w:rsidRPr="00B90BDC" w:rsidRDefault="00C12005">
      <w:pPr>
        <w:spacing w:line="360" w:lineRule="auto"/>
        <w:ind w:right="-28"/>
        <w:jc w:val="both"/>
        <w:rPr>
          <w:rFonts w:ascii="Palatino Linotype" w:eastAsia="Palatino Linotype" w:hAnsi="Palatino Linotype" w:cs="Palatino Linotype"/>
        </w:rPr>
      </w:pPr>
    </w:p>
    <w:p w:rsidR="00C12005" w:rsidRPr="00B90BDC" w:rsidRDefault="00114D49">
      <w:pPr>
        <w:pStyle w:val="Ttulo2"/>
        <w:spacing w:before="0" w:line="360" w:lineRule="auto"/>
        <w:rPr>
          <w:rFonts w:ascii="Palatino Linotype" w:eastAsia="Palatino Linotype" w:hAnsi="Palatino Linotype" w:cs="Palatino Linotype"/>
          <w:b/>
          <w:bCs/>
          <w:color w:val="000000"/>
          <w:sz w:val="24"/>
          <w:szCs w:val="24"/>
        </w:rPr>
      </w:pPr>
      <w:r w:rsidRPr="00B90BDC">
        <w:rPr>
          <w:rFonts w:ascii="Palatino Linotype" w:eastAsia="Palatino Linotype" w:hAnsi="Palatino Linotype" w:cs="Palatino Linotype"/>
          <w:b/>
          <w:bCs/>
          <w:color w:val="000000"/>
          <w:sz w:val="24"/>
          <w:szCs w:val="24"/>
        </w:rPr>
        <w:t>SEGUNDO. De la oportunidad y procedencia.</w:t>
      </w:r>
    </w:p>
    <w:p w:rsidR="00C12005" w:rsidRPr="00B90BDC" w:rsidRDefault="00114D49" w:rsidP="00B90BDC">
      <w:pPr>
        <w:pStyle w:val="Prrafodelista"/>
        <w:numPr>
          <w:ilvl w:val="0"/>
          <w:numId w:val="13"/>
        </w:numPr>
        <w:pBdr>
          <w:top w:val="nil"/>
          <w:left w:val="nil"/>
          <w:bottom w:val="nil"/>
          <w:right w:val="nil"/>
          <w:between w:val="nil"/>
        </w:pBdr>
        <w:spacing w:after="240" w:line="360" w:lineRule="auto"/>
        <w:ind w:left="0" w:right="49" w:firstLine="0"/>
        <w:jc w:val="both"/>
        <w:rPr>
          <w:rFonts w:ascii="Palatino Linotype" w:eastAsia="Palatino Linotype" w:hAnsi="Palatino Linotype" w:cs="Palatino Linotype"/>
          <w:color w:val="000000"/>
          <w:sz w:val="24"/>
        </w:rPr>
      </w:pPr>
      <w:r w:rsidRPr="00B90BDC">
        <w:rPr>
          <w:rFonts w:ascii="Palatino Linotype" w:eastAsia="Palatino Linotype" w:hAnsi="Palatino Linotype" w:cs="Palatino Linotype"/>
          <w:color w:val="000000"/>
          <w:sz w:val="24"/>
        </w:rPr>
        <w:t xml:space="preserve">Los medios de impugnación fueron presentados a través del </w:t>
      </w:r>
      <w:r w:rsidRPr="00B90BDC">
        <w:rPr>
          <w:rFonts w:ascii="Palatino Linotype" w:eastAsia="Palatino Linotype" w:hAnsi="Palatino Linotype" w:cs="Palatino Linotype"/>
          <w:b/>
          <w:bCs/>
          <w:color w:val="000000"/>
          <w:sz w:val="24"/>
        </w:rPr>
        <w:t>SAIMEX,</w:t>
      </w:r>
      <w:r w:rsidRPr="00B90BDC">
        <w:rPr>
          <w:rFonts w:ascii="Palatino Linotype" w:eastAsia="Palatino Linotype" w:hAnsi="Palatino Linotype" w:cs="Palatino Linotype"/>
          <w:color w:val="000000"/>
          <w:sz w:val="24"/>
        </w:rPr>
        <w:t xml:space="preserve"> en el formato previamente aprobado para tal efecto y dentro del plazo legal de quince días hábiles otorgados; para el caso en particular es de señalar que el </w:t>
      </w:r>
      <w:r w:rsidRPr="00B90BDC">
        <w:rPr>
          <w:rFonts w:ascii="Palatino Linotype" w:eastAsia="Palatino Linotype" w:hAnsi="Palatino Linotype" w:cs="Palatino Linotype"/>
          <w:b/>
          <w:bCs/>
          <w:color w:val="000000"/>
          <w:sz w:val="24"/>
        </w:rPr>
        <w:t>SUJETO OBLIGADO</w:t>
      </w:r>
      <w:r w:rsidRPr="00B90BDC">
        <w:rPr>
          <w:rFonts w:ascii="Palatino Linotype" w:eastAsia="Palatino Linotype" w:hAnsi="Palatino Linotype" w:cs="Palatino Linotype"/>
          <w:color w:val="000000"/>
          <w:sz w:val="24"/>
        </w:rPr>
        <w:t xml:space="preserve"> entregó su respuesta el </w:t>
      </w:r>
      <w:r w:rsidRPr="00B90BDC">
        <w:rPr>
          <w:rFonts w:ascii="Palatino Linotype" w:eastAsia="Palatino Linotype" w:hAnsi="Palatino Linotype" w:cs="Palatino Linotype"/>
          <w:b/>
          <w:bCs/>
          <w:color w:val="000000"/>
          <w:sz w:val="24"/>
        </w:rPr>
        <w:t>dieciséis de julio de dos mil veinticinco</w:t>
      </w:r>
      <w:r w:rsidRPr="00B90BDC">
        <w:rPr>
          <w:rFonts w:ascii="Palatino Linotype" w:eastAsia="Palatino Linotype" w:hAnsi="Palatino Linotype" w:cs="Palatino Linotype"/>
          <w:color w:val="000000"/>
          <w:sz w:val="24"/>
        </w:rPr>
        <w:t xml:space="preserve">, de tal forma que el plazo para interponer el recurso de revisión transcurrió del día </w:t>
      </w:r>
      <w:r w:rsidRPr="00B90BDC">
        <w:rPr>
          <w:rFonts w:ascii="Palatino Linotype" w:eastAsia="Palatino Linotype" w:hAnsi="Palatino Linotype" w:cs="Palatino Linotype"/>
          <w:b/>
          <w:bCs/>
          <w:color w:val="000000"/>
          <w:sz w:val="24"/>
        </w:rPr>
        <w:t>diecisiete de julio  al veinte de agosto de dos mil veinticinco</w:t>
      </w:r>
      <w:r w:rsidRPr="00B90BDC">
        <w:rPr>
          <w:rFonts w:ascii="Palatino Linotype" w:eastAsia="Palatino Linotype" w:hAnsi="Palatino Linotype" w:cs="Palatino Linotype"/>
          <w:color w:val="000000"/>
          <w:sz w:val="24"/>
        </w:rPr>
        <w:t xml:space="preserve">; en consecuencia, el ahora </w:t>
      </w:r>
      <w:r w:rsidRPr="00B90BDC">
        <w:rPr>
          <w:rFonts w:ascii="Palatino Linotype" w:eastAsia="Palatino Linotype" w:hAnsi="Palatino Linotype" w:cs="Palatino Linotype"/>
          <w:b/>
          <w:bCs/>
          <w:color w:val="000000"/>
          <w:sz w:val="24"/>
        </w:rPr>
        <w:t>RECURRENTE</w:t>
      </w:r>
      <w:r w:rsidRPr="00B90BDC">
        <w:rPr>
          <w:rFonts w:ascii="Palatino Linotype" w:eastAsia="Palatino Linotype" w:hAnsi="Palatino Linotype" w:cs="Palatino Linotype"/>
          <w:color w:val="000000"/>
          <w:sz w:val="24"/>
        </w:rPr>
        <w:t xml:space="preserve"> presentó su inconformidad el día </w:t>
      </w:r>
      <w:r w:rsidRPr="00B90BDC">
        <w:rPr>
          <w:rFonts w:ascii="Palatino Linotype" w:eastAsia="Palatino Linotype" w:hAnsi="Palatino Linotype" w:cs="Palatino Linotype"/>
          <w:b/>
          <w:bCs/>
          <w:color w:val="000000"/>
          <w:sz w:val="24"/>
        </w:rPr>
        <w:t>cuatro de agosto de dos mil veinticinco</w:t>
      </w:r>
      <w:r w:rsidRPr="00B90BDC">
        <w:rPr>
          <w:rFonts w:ascii="Palatino Linotype" w:eastAsia="Palatino Linotype" w:hAnsi="Palatino Linotype" w:cs="Palatino Linotype"/>
          <w:color w:val="000000"/>
          <w:sz w:val="24"/>
        </w:rPr>
        <w:t>, dentro del lapso legalmente establecido para tal efecto.</w:t>
      </w:r>
    </w:p>
    <w:p w:rsidR="00C12005" w:rsidRPr="00B90BDC" w:rsidRDefault="00C1200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12005" w:rsidRPr="00B90BDC" w:rsidRDefault="00114D49">
      <w:pPr>
        <w:numPr>
          <w:ilvl w:val="0"/>
          <w:numId w:val="1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lastRenderedPageBreak/>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C12005" w:rsidRPr="00B90BDC" w:rsidRDefault="00C12005">
      <w:pPr>
        <w:pBdr>
          <w:top w:val="nil"/>
          <w:left w:val="nil"/>
          <w:bottom w:val="nil"/>
          <w:right w:val="nil"/>
          <w:between w:val="nil"/>
        </w:pBdr>
        <w:spacing w:line="720" w:lineRule="auto"/>
        <w:ind w:left="720"/>
        <w:rPr>
          <w:rFonts w:ascii="Palatino Linotype" w:eastAsia="Palatino Linotype" w:hAnsi="Palatino Linotype" w:cs="Palatino Linotype"/>
          <w:color w:val="000000"/>
        </w:rPr>
      </w:pPr>
    </w:p>
    <w:p w:rsidR="00C12005" w:rsidRPr="00B90BDC" w:rsidRDefault="00114D49">
      <w:pPr>
        <w:pStyle w:val="Ttulo2"/>
        <w:spacing w:before="0" w:line="360" w:lineRule="auto"/>
        <w:rPr>
          <w:rFonts w:ascii="Palatino Linotype" w:eastAsia="Palatino Linotype" w:hAnsi="Palatino Linotype" w:cs="Palatino Linotype"/>
          <w:b/>
          <w:bCs/>
          <w:color w:val="000000"/>
          <w:sz w:val="24"/>
          <w:szCs w:val="24"/>
        </w:rPr>
      </w:pPr>
      <w:r w:rsidRPr="00B90BDC">
        <w:rPr>
          <w:rFonts w:ascii="Palatino Linotype" w:eastAsia="Palatino Linotype" w:hAnsi="Palatino Linotype" w:cs="Palatino Linotype"/>
          <w:b/>
          <w:bCs/>
          <w:color w:val="000000"/>
          <w:sz w:val="24"/>
          <w:szCs w:val="24"/>
        </w:rPr>
        <w:t>TERCERO. Del planteamiento de la Litis</w:t>
      </w:r>
    </w:p>
    <w:p w:rsidR="00C12005" w:rsidRPr="00B90BDC" w:rsidRDefault="00114D49" w:rsidP="00B90BDC">
      <w:pPr>
        <w:pStyle w:val="Prrafodelista"/>
        <w:numPr>
          <w:ilvl w:val="0"/>
          <w:numId w:val="1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rPr>
      </w:pPr>
      <w:r w:rsidRPr="00B90BDC">
        <w:rPr>
          <w:rFonts w:ascii="Palatino Linotype" w:eastAsia="Palatino Linotype" w:hAnsi="Palatino Linotype" w:cs="Palatino Linotype"/>
          <w:color w:val="000000"/>
          <w:sz w:val="24"/>
        </w:rPr>
        <w:t>De las constancias en el expediente al rubro indicado, se desprende que el particular  solicitó tener acceso a la información que a continuación se desagrega:</w:t>
      </w:r>
    </w:p>
    <w:p w:rsidR="00C12005" w:rsidRPr="00B90BDC" w:rsidRDefault="00114D49" w:rsidP="00B90BDC">
      <w:pPr>
        <w:pBdr>
          <w:top w:val="nil"/>
          <w:left w:val="nil"/>
          <w:bottom w:val="nil"/>
          <w:right w:val="nil"/>
          <w:between w:val="nil"/>
        </w:pBdr>
        <w:spacing w:line="360" w:lineRule="auto"/>
        <w:jc w:val="both"/>
        <w:rPr>
          <w:rFonts w:ascii="Palatino Linotype" w:eastAsia="Palatino Linotype" w:hAnsi="Palatino Linotype" w:cs="Palatino Linotype"/>
          <w:i/>
          <w:iCs/>
        </w:rPr>
      </w:pPr>
      <w:r w:rsidRPr="00B90BDC">
        <w:rPr>
          <w:rFonts w:ascii="Palatino Linotype" w:eastAsia="Palatino Linotype" w:hAnsi="Palatino Linotype" w:cs="Palatino Linotype"/>
          <w:i/>
          <w:iCs/>
        </w:rPr>
        <w:t xml:space="preserve">Para el período comprendido entre el 6 de julio al 15 de noviembre de 2023 y 2024 en relación con todos los Juzgados Civiles de Primera Instancia del Poder Judicial del Estado de México, considerando los tipos de resoluciones y los plazos específicos de 15 días para sentencias definitivas, 5 días para sentencias definitivas en Procedimientos de Controversia de Violencia Familiar y sentencias interlocutorias, y 3 días para Recursos de Revocación, en los siguientes términos: </w:t>
      </w:r>
    </w:p>
    <w:p w:rsidR="00C12005" w:rsidRPr="00B90BDC" w:rsidRDefault="00114D49">
      <w:pPr>
        <w:pBdr>
          <w:top w:val="nil"/>
          <w:left w:val="nil"/>
          <w:bottom w:val="nil"/>
          <w:right w:val="nil"/>
          <w:between w:val="nil"/>
        </w:pBdr>
        <w:spacing w:line="360" w:lineRule="auto"/>
        <w:ind w:left="1134" w:right="822"/>
        <w:jc w:val="both"/>
        <w:rPr>
          <w:rFonts w:ascii="Palatino Linotype" w:eastAsia="Palatino Linotype" w:hAnsi="Palatino Linotype" w:cs="Palatino Linotype"/>
          <w:i/>
          <w:iCs/>
        </w:rPr>
      </w:pPr>
      <w:r w:rsidRPr="00B90BDC">
        <w:rPr>
          <w:rFonts w:ascii="Palatino Linotype" w:eastAsia="Palatino Linotype" w:hAnsi="Palatino Linotype" w:cs="Palatino Linotype"/>
          <w:i/>
          <w:iCs/>
        </w:rPr>
        <w:t xml:space="preserve">1. Tiempo promedio de resolución de juicios desde su ingreso al Juzgado hasta la emisión de la sentencia. </w:t>
      </w:r>
    </w:p>
    <w:p w:rsidR="00C12005" w:rsidRPr="00B90BDC" w:rsidRDefault="00114D49">
      <w:pPr>
        <w:pBdr>
          <w:top w:val="nil"/>
          <w:left w:val="nil"/>
          <w:bottom w:val="nil"/>
          <w:right w:val="nil"/>
          <w:between w:val="nil"/>
        </w:pBdr>
        <w:spacing w:line="360" w:lineRule="auto"/>
        <w:ind w:left="1134" w:right="822"/>
        <w:jc w:val="both"/>
        <w:rPr>
          <w:rFonts w:ascii="Palatino Linotype" w:eastAsia="Palatino Linotype" w:hAnsi="Palatino Linotype" w:cs="Palatino Linotype"/>
          <w:i/>
          <w:iCs/>
        </w:rPr>
      </w:pPr>
      <w:r w:rsidRPr="00B90BDC">
        <w:rPr>
          <w:rFonts w:ascii="Palatino Linotype" w:eastAsia="Palatino Linotype" w:hAnsi="Palatino Linotype" w:cs="Palatino Linotype"/>
          <w:i/>
          <w:iCs/>
        </w:rPr>
        <w:t xml:space="preserve">2. Promedio de Tiempo de emisión Resolución por Tipo de Sentencia y Juzgado (desde que el asunto se turna para resolución): </w:t>
      </w:r>
    </w:p>
    <w:p w:rsidR="00C12005" w:rsidRPr="00B90BDC" w:rsidRDefault="00114D49">
      <w:pPr>
        <w:pBdr>
          <w:top w:val="nil"/>
          <w:left w:val="nil"/>
          <w:bottom w:val="nil"/>
          <w:right w:val="nil"/>
          <w:between w:val="nil"/>
        </w:pBdr>
        <w:spacing w:line="360" w:lineRule="auto"/>
        <w:ind w:left="1134" w:right="822"/>
        <w:jc w:val="both"/>
        <w:rPr>
          <w:rFonts w:ascii="Palatino Linotype" w:eastAsia="Palatino Linotype" w:hAnsi="Palatino Linotype" w:cs="Palatino Linotype"/>
          <w:i/>
          <w:iCs/>
        </w:rPr>
      </w:pPr>
      <w:r w:rsidRPr="00B90BDC">
        <w:rPr>
          <w:rFonts w:ascii="Palatino Linotype" w:eastAsia="Palatino Linotype" w:hAnsi="Palatino Linotype" w:cs="Palatino Linotype"/>
          <w:i/>
          <w:iCs/>
        </w:rPr>
        <w:t xml:space="preserve">3. Promedio de días necesarios para emitir sentencias definitivas, definitivas de controversia familiar, interlocutorias, y resoluciones de recursos de revocación, desglosado por cada juzgado durante el periodo. Se aclara que lo que se solicita es que el tiempo promedio sea expresado desde el momento en el que los asuntos son turnados para resolución. </w:t>
      </w:r>
    </w:p>
    <w:p w:rsidR="00C12005" w:rsidRPr="00B90BDC" w:rsidRDefault="00114D49">
      <w:pPr>
        <w:pBdr>
          <w:top w:val="nil"/>
          <w:left w:val="nil"/>
          <w:bottom w:val="nil"/>
          <w:right w:val="nil"/>
          <w:between w:val="nil"/>
        </w:pBdr>
        <w:spacing w:line="360" w:lineRule="auto"/>
        <w:ind w:left="1134" w:right="822"/>
        <w:jc w:val="both"/>
        <w:rPr>
          <w:rFonts w:ascii="Palatino Linotype" w:eastAsia="Palatino Linotype" w:hAnsi="Palatino Linotype" w:cs="Palatino Linotype"/>
          <w:i/>
          <w:iCs/>
        </w:rPr>
      </w:pPr>
      <w:r w:rsidRPr="00B90BDC">
        <w:rPr>
          <w:rFonts w:ascii="Palatino Linotype" w:eastAsia="Palatino Linotype" w:hAnsi="Palatino Linotype" w:cs="Palatino Linotype"/>
          <w:i/>
          <w:iCs/>
        </w:rPr>
        <w:t xml:space="preserve">3. Número de Resoluciones Emitidas Fuera de los Plazos de 15, 5 y 3 Días: Cantidad de resoluciones en cada juzgado que excedieron los plazos de 15 días (para </w:t>
      </w:r>
      <w:r w:rsidRPr="00B90BDC">
        <w:rPr>
          <w:rFonts w:ascii="Palatino Linotype" w:eastAsia="Palatino Linotype" w:hAnsi="Palatino Linotype" w:cs="Palatino Linotype"/>
          <w:i/>
          <w:iCs/>
        </w:rPr>
        <w:lastRenderedPageBreak/>
        <w:t xml:space="preserve">sentencias definitivas), 5 días (para sentencias de controversia familiar e interlocutorias) y 3 días (para recursos de revocación), desglosado por tipo de asunto, contados desde que el asunto es turnado para resolución. </w:t>
      </w:r>
    </w:p>
    <w:p w:rsidR="00C12005" w:rsidRPr="00B90BDC" w:rsidRDefault="00114D49">
      <w:pPr>
        <w:pBdr>
          <w:top w:val="nil"/>
          <w:left w:val="nil"/>
          <w:bottom w:val="nil"/>
          <w:right w:val="nil"/>
          <w:between w:val="nil"/>
        </w:pBdr>
        <w:spacing w:line="360" w:lineRule="auto"/>
        <w:ind w:left="1134" w:right="822"/>
        <w:jc w:val="both"/>
        <w:rPr>
          <w:rFonts w:ascii="Palatino Linotype" w:eastAsia="Palatino Linotype" w:hAnsi="Palatino Linotype" w:cs="Palatino Linotype"/>
          <w:i/>
          <w:iCs/>
        </w:rPr>
      </w:pPr>
      <w:r w:rsidRPr="00B90BDC">
        <w:rPr>
          <w:rFonts w:ascii="Palatino Linotype" w:eastAsia="Palatino Linotype" w:hAnsi="Palatino Linotype" w:cs="Palatino Linotype"/>
          <w:i/>
          <w:iCs/>
        </w:rPr>
        <w:t>4. Sentencias revocadas: Se solicita se proporcione el número de resoluciones (sentencias definitivas, de controversia familiar, interlocutorias y recursos de revocación) que fueron modificadas o revocadas en segunda instancia, desglosado por juzgado y tipo de resolución.</w:t>
      </w:r>
    </w:p>
    <w:p w:rsidR="00C12005" w:rsidRPr="00B90BDC" w:rsidRDefault="00C12005">
      <w:pPr>
        <w:pBdr>
          <w:top w:val="nil"/>
          <w:left w:val="nil"/>
          <w:bottom w:val="nil"/>
          <w:right w:val="nil"/>
          <w:between w:val="nil"/>
        </w:pBdr>
        <w:spacing w:line="360" w:lineRule="auto"/>
        <w:ind w:left="285"/>
        <w:jc w:val="both"/>
        <w:rPr>
          <w:rFonts w:ascii="Palatino Linotype" w:eastAsia="Palatino Linotype" w:hAnsi="Palatino Linotype" w:cs="Palatino Linotype"/>
          <w:i/>
          <w:iCs/>
        </w:rPr>
      </w:pPr>
    </w:p>
    <w:p w:rsidR="00C12005" w:rsidRPr="00B90BDC" w:rsidRDefault="00114D49" w:rsidP="00B90BDC">
      <w:pPr>
        <w:numPr>
          <w:ilvl w:val="0"/>
          <w:numId w:val="1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t xml:space="preserve">En respuesta, el </w:t>
      </w:r>
      <w:r w:rsidRPr="00B90BDC">
        <w:rPr>
          <w:rFonts w:ascii="Palatino Linotype" w:eastAsia="Palatino Linotype" w:hAnsi="Palatino Linotype" w:cs="Palatino Linotype"/>
          <w:b/>
          <w:bCs/>
          <w:color w:val="000000"/>
        </w:rPr>
        <w:t>SUJETO OBLIGADO</w:t>
      </w:r>
      <w:r w:rsidRPr="00B90BDC">
        <w:rPr>
          <w:rFonts w:ascii="Palatino Linotype" w:eastAsia="Palatino Linotype" w:hAnsi="Palatino Linotype" w:cs="Palatino Linotype"/>
          <w:color w:val="000000"/>
        </w:rPr>
        <w:t>, remitió los archivos electrónicos, cuyo contenido se desglosa en el numeral dos del presente.</w:t>
      </w:r>
    </w:p>
    <w:p w:rsidR="00C12005" w:rsidRPr="00B90BDC" w:rsidRDefault="00C1200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12005" w:rsidRPr="00B90BDC" w:rsidRDefault="00114D49" w:rsidP="00B90BDC">
      <w:pPr>
        <w:numPr>
          <w:ilvl w:val="0"/>
          <w:numId w:val="1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t xml:space="preserve">Por lo que, el particular se inconformó por la entrega incompleta de la información por parte del  </w:t>
      </w:r>
      <w:r w:rsidRPr="00B90BDC">
        <w:rPr>
          <w:rFonts w:ascii="Palatino Linotype" w:eastAsia="Palatino Linotype" w:hAnsi="Palatino Linotype" w:cs="Palatino Linotype"/>
          <w:b/>
          <w:bCs/>
          <w:color w:val="000000"/>
        </w:rPr>
        <w:t>SUJETO OBLIGADO.</w:t>
      </w:r>
    </w:p>
    <w:p w:rsidR="00C12005" w:rsidRPr="00B90BDC" w:rsidRDefault="00C12005">
      <w:pPr>
        <w:pBdr>
          <w:top w:val="nil"/>
          <w:left w:val="nil"/>
          <w:bottom w:val="nil"/>
          <w:right w:val="nil"/>
          <w:between w:val="nil"/>
        </w:pBdr>
        <w:ind w:left="720"/>
        <w:rPr>
          <w:rFonts w:ascii="Palatino Linotype" w:eastAsia="Palatino Linotype" w:hAnsi="Palatino Linotype" w:cs="Palatino Linotype"/>
          <w:color w:val="000000"/>
        </w:rPr>
      </w:pPr>
    </w:p>
    <w:p w:rsidR="00C12005" w:rsidRPr="00B90BDC" w:rsidRDefault="00114D49" w:rsidP="00B90BDC">
      <w:pPr>
        <w:numPr>
          <w:ilvl w:val="0"/>
          <w:numId w:val="13"/>
        </w:numPr>
        <w:spacing w:line="360" w:lineRule="auto"/>
        <w:ind w:left="0" w:firstLine="0"/>
        <w:jc w:val="both"/>
        <w:rPr>
          <w:rFonts w:ascii="Palatino Linotype" w:eastAsia="Palatino Linotype" w:hAnsi="Palatino Linotype" w:cs="Palatino Linotype"/>
        </w:rPr>
      </w:pPr>
      <w:r w:rsidRPr="00B90BDC">
        <w:rPr>
          <w:rFonts w:ascii="Palatino Linotype" w:eastAsia="Palatino Linotype" w:hAnsi="Palatino Linotype" w:cs="Palatino Linotype"/>
        </w:rPr>
        <w:t xml:space="preserve">En dichas condiciones, la </w:t>
      </w:r>
      <w:r w:rsidRPr="00B90BDC">
        <w:rPr>
          <w:rFonts w:ascii="Palatino Linotype" w:eastAsia="Palatino Linotype" w:hAnsi="Palatino Linotype" w:cs="Palatino Linotype"/>
          <w:i/>
          <w:iCs/>
        </w:rPr>
        <w:t>Litis</w:t>
      </w:r>
      <w:r w:rsidRPr="00B90BDC">
        <w:rPr>
          <w:rFonts w:ascii="Palatino Linotype" w:eastAsia="Palatino Linotype" w:hAnsi="Palatino Linotype" w:cs="Palatino Linotype"/>
        </w:rPr>
        <w:t xml:space="preserve"> a resolver en este recurso se circunscribe a determinar si se actualizan las causales de procedencia previstas en el artículo 179, </w:t>
      </w:r>
      <w:r w:rsidRPr="00B90BDC">
        <w:rPr>
          <w:rFonts w:ascii="Palatino Linotype" w:eastAsia="Palatino Linotype" w:hAnsi="Palatino Linotype" w:cs="Palatino Linotype"/>
          <w:b/>
          <w:bCs/>
        </w:rPr>
        <w:t xml:space="preserve">fracción V </w:t>
      </w:r>
      <w:r w:rsidRPr="00B90BDC">
        <w:rPr>
          <w:rFonts w:ascii="Palatino Linotype" w:eastAsia="Palatino Linotype" w:hAnsi="Palatino Linotype" w:cs="Palatino Linotype"/>
        </w:rPr>
        <w:t xml:space="preserve">de la </w:t>
      </w:r>
      <w:r w:rsidRPr="00B90BDC">
        <w:rPr>
          <w:rFonts w:ascii="Palatino Linotype" w:eastAsia="Palatino Linotype" w:hAnsi="Palatino Linotype" w:cs="Palatino Linotype"/>
          <w:b/>
          <w:bCs/>
        </w:rPr>
        <w:t>Ley de Transparencia y Acceso a la Información Pública del Estado de México y Municipios</w:t>
      </w:r>
      <w:r w:rsidRPr="00B90BDC">
        <w:rPr>
          <w:rFonts w:ascii="Palatino Linotype" w:eastAsia="Palatino Linotype" w:hAnsi="Palatino Linotype" w:cs="Palatino Linotype"/>
        </w:rPr>
        <w:t xml:space="preserve">; </w:t>
      </w:r>
      <w:r w:rsidRPr="00B90BDC">
        <w:rPr>
          <w:rFonts w:ascii="Palatino Linotype" w:eastAsia="Palatino Linotype" w:hAnsi="Palatino Linotype" w:cs="Palatino Linotype"/>
          <w:color w:val="000000"/>
        </w:rPr>
        <w:t xml:space="preserve">fracción que determina la entrega incompleta de la información por parte del Sujeto Obligado; </w:t>
      </w:r>
      <w:r w:rsidRPr="00B90BDC">
        <w:rPr>
          <w:rFonts w:ascii="Palatino Linotype" w:eastAsia="Palatino Linotype" w:hAnsi="Palatino Linotype" w:cs="Palatino Linotype"/>
        </w:rPr>
        <w:t xml:space="preserve">contexto del  cual se dolió </w:t>
      </w:r>
      <w:r w:rsidRPr="00B90BDC">
        <w:rPr>
          <w:rFonts w:ascii="Palatino Linotype" w:eastAsia="Palatino Linotype" w:hAnsi="Palatino Linotype" w:cs="Palatino Linotype"/>
          <w:b/>
          <w:bCs/>
        </w:rPr>
        <w:t xml:space="preserve">EL RECURRENTE </w:t>
      </w:r>
      <w:r w:rsidRPr="00B90BDC">
        <w:rPr>
          <w:rFonts w:ascii="Palatino Linotype" w:eastAsia="Palatino Linotype" w:hAnsi="Palatino Linotype" w:cs="Palatino Linotype"/>
        </w:rPr>
        <w:t>al momento de interponer su inconformidad.</w:t>
      </w:r>
      <w:r w:rsidRPr="00B90BDC">
        <w:rPr>
          <w:rFonts w:ascii="Palatino Linotype" w:eastAsia="Palatino Linotype" w:hAnsi="Palatino Linotype" w:cs="Palatino Linotype"/>
          <w:color w:val="000000"/>
        </w:rPr>
        <w:t xml:space="preserve"> </w:t>
      </w:r>
    </w:p>
    <w:p w:rsidR="00C12005" w:rsidRPr="00B90BDC" w:rsidRDefault="00C12005">
      <w:pPr>
        <w:pBdr>
          <w:top w:val="nil"/>
          <w:left w:val="nil"/>
          <w:bottom w:val="nil"/>
          <w:right w:val="nil"/>
          <w:between w:val="nil"/>
        </w:pBdr>
        <w:ind w:left="720"/>
        <w:rPr>
          <w:rFonts w:ascii="Palatino Linotype" w:eastAsia="Palatino Linotype" w:hAnsi="Palatino Linotype" w:cs="Palatino Linotype"/>
          <w:color w:val="000000"/>
        </w:rPr>
      </w:pPr>
    </w:p>
    <w:p w:rsidR="00C12005" w:rsidRPr="00B90BDC" w:rsidRDefault="00114D49" w:rsidP="00B90BDC">
      <w:pPr>
        <w:numPr>
          <w:ilvl w:val="0"/>
          <w:numId w:val="13"/>
        </w:numPr>
        <w:spacing w:line="360" w:lineRule="auto"/>
        <w:ind w:left="0" w:firstLine="0"/>
        <w:jc w:val="both"/>
        <w:rPr>
          <w:rFonts w:ascii="Palatino Linotype" w:eastAsia="Palatino Linotype" w:hAnsi="Palatino Linotype" w:cs="Palatino Linotype"/>
        </w:rPr>
      </w:pPr>
      <w:r w:rsidRPr="00B90BDC">
        <w:rPr>
          <w:rFonts w:ascii="Palatino Linotype" w:eastAsia="Palatino Linotype" w:hAnsi="Palatino Linotype" w:cs="Palatino Linotype"/>
          <w:color w:val="000000"/>
        </w:rPr>
        <w:t xml:space="preserve">De modo tal que el presente recurso de revisión se abocará en determinar si el </w:t>
      </w:r>
      <w:r w:rsidRPr="00B90BDC">
        <w:rPr>
          <w:rFonts w:ascii="Palatino Linotype" w:eastAsia="Palatino Linotype" w:hAnsi="Palatino Linotype" w:cs="Palatino Linotype"/>
          <w:b/>
          <w:bCs/>
          <w:color w:val="000000"/>
        </w:rPr>
        <w:t>SUJETO</w:t>
      </w:r>
      <w:r w:rsidRPr="00B90BDC">
        <w:rPr>
          <w:rFonts w:ascii="Palatino Linotype" w:eastAsia="Palatino Linotype" w:hAnsi="Palatino Linotype" w:cs="Palatino Linotype"/>
          <w:color w:val="000000"/>
        </w:rPr>
        <w:t xml:space="preserve"> </w:t>
      </w:r>
      <w:r w:rsidRPr="00B90BDC">
        <w:rPr>
          <w:rFonts w:ascii="Palatino Linotype" w:eastAsia="Palatino Linotype" w:hAnsi="Palatino Linotype" w:cs="Palatino Linotype"/>
          <w:b/>
          <w:bCs/>
          <w:color w:val="000000"/>
        </w:rPr>
        <w:t>OBLIGADO</w:t>
      </w:r>
      <w:r w:rsidRPr="00B90BDC">
        <w:rPr>
          <w:rFonts w:ascii="Palatino Linotype" w:eastAsia="Palatino Linotype" w:hAnsi="Palatino Linotype" w:cs="Palatino Linotype"/>
          <w:color w:val="000000"/>
        </w:rPr>
        <w:t xml:space="preserve"> con su respuesta ciertamente actualiza las causales de procedencia</w:t>
      </w:r>
      <w:r w:rsidRPr="00B90BDC">
        <w:rPr>
          <w:rFonts w:ascii="Palatino Linotype" w:eastAsia="Palatino Linotype" w:hAnsi="Palatino Linotype" w:cs="Palatino Linotype"/>
          <w:b/>
          <w:bCs/>
          <w:color w:val="000000"/>
        </w:rPr>
        <w:t xml:space="preserve"> </w:t>
      </w:r>
      <w:r w:rsidRPr="00B90BDC">
        <w:rPr>
          <w:rFonts w:ascii="Palatino Linotype" w:eastAsia="Palatino Linotype" w:hAnsi="Palatino Linotype" w:cs="Palatino Linotype"/>
          <w:color w:val="000000"/>
        </w:rPr>
        <w:t xml:space="preserve">antes señalada; asimismo, determinar si se vulnera el derecho de acceso a la información de la particular por la inobservancia a los principios contenidos en el artículo 11 de la Ley de Transparencia y Acceso a la Información Pública del Estado de México y Municipios, los cuales </w:t>
      </w:r>
      <w:r w:rsidRPr="00B90BDC">
        <w:rPr>
          <w:rFonts w:ascii="Palatino Linotype" w:eastAsia="Palatino Linotype" w:hAnsi="Palatino Linotype" w:cs="Palatino Linotype"/>
          <w:color w:val="000000"/>
        </w:rPr>
        <w:lastRenderedPageBreak/>
        <w:t>señala entre otros, que en la generación y entrega de información se deberá garantizar que sea oportuna, expedita, completa e integral.</w:t>
      </w:r>
    </w:p>
    <w:p w:rsidR="00C12005" w:rsidRPr="00B90BDC" w:rsidRDefault="00C12005">
      <w:pPr>
        <w:pStyle w:val="Ttulo2"/>
        <w:spacing w:before="0" w:line="360" w:lineRule="auto"/>
        <w:rPr>
          <w:rFonts w:ascii="Palatino Linotype" w:eastAsia="Palatino Linotype" w:hAnsi="Palatino Linotype" w:cs="Palatino Linotype"/>
          <w:b/>
          <w:bCs/>
          <w:color w:val="000000"/>
          <w:sz w:val="24"/>
          <w:szCs w:val="24"/>
          <w:highlight w:val="white"/>
        </w:rPr>
      </w:pPr>
    </w:p>
    <w:p w:rsidR="00C12005" w:rsidRPr="00B90BDC" w:rsidRDefault="00114D49">
      <w:pPr>
        <w:pStyle w:val="Ttulo2"/>
        <w:spacing w:before="0" w:line="360" w:lineRule="auto"/>
        <w:rPr>
          <w:rFonts w:ascii="Palatino Linotype" w:eastAsia="Palatino Linotype" w:hAnsi="Palatino Linotype" w:cs="Palatino Linotype"/>
          <w:b/>
          <w:bCs/>
          <w:color w:val="000000"/>
          <w:sz w:val="24"/>
          <w:szCs w:val="24"/>
          <w:highlight w:val="white"/>
        </w:rPr>
      </w:pPr>
      <w:r w:rsidRPr="00B90BDC">
        <w:rPr>
          <w:rFonts w:ascii="Palatino Linotype" w:eastAsia="Palatino Linotype" w:hAnsi="Palatino Linotype" w:cs="Palatino Linotype"/>
          <w:b/>
          <w:bCs/>
          <w:color w:val="000000"/>
          <w:sz w:val="24"/>
          <w:szCs w:val="24"/>
          <w:highlight w:val="white"/>
        </w:rPr>
        <w:t>CUARTO. Del estudio y resolución del asunto.</w:t>
      </w:r>
    </w:p>
    <w:p w:rsidR="00C12005" w:rsidRPr="00B90BDC" w:rsidRDefault="00114D49">
      <w:pPr>
        <w:pStyle w:val="Ttulo1"/>
        <w:numPr>
          <w:ilvl w:val="0"/>
          <w:numId w:val="3"/>
        </w:numPr>
        <w:spacing w:before="0" w:after="240" w:line="360" w:lineRule="auto"/>
        <w:ind w:left="786" w:hanging="360"/>
        <w:rPr>
          <w:rFonts w:ascii="Palatino Linotype" w:eastAsia="Palatino Linotype" w:hAnsi="Palatino Linotype" w:cs="Palatino Linotype"/>
          <w:b/>
          <w:bCs/>
          <w:color w:val="000000"/>
          <w:sz w:val="24"/>
          <w:szCs w:val="24"/>
        </w:rPr>
      </w:pPr>
      <w:bookmarkStart w:id="3" w:name="_heading=h.2s8eyo1" w:colFirst="0" w:colLast="0"/>
      <w:bookmarkEnd w:id="3"/>
      <w:r w:rsidRPr="00B90BDC">
        <w:rPr>
          <w:rFonts w:ascii="Palatino Linotype" w:eastAsia="Palatino Linotype" w:hAnsi="Palatino Linotype" w:cs="Palatino Linotype"/>
          <w:b/>
          <w:bCs/>
          <w:color w:val="000000"/>
          <w:sz w:val="24"/>
          <w:szCs w:val="24"/>
        </w:rPr>
        <w:t>Del derecho de acceso a la información.</w:t>
      </w:r>
    </w:p>
    <w:p w:rsidR="00C12005" w:rsidRPr="00B90BDC" w:rsidRDefault="00114D49" w:rsidP="00B90BDC">
      <w:pPr>
        <w:numPr>
          <w:ilvl w:val="0"/>
          <w:numId w:val="13"/>
        </w:numPr>
        <w:spacing w:line="360" w:lineRule="auto"/>
        <w:ind w:left="0" w:firstLine="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C12005" w:rsidRPr="00B90BDC" w:rsidRDefault="00C12005">
      <w:pPr>
        <w:jc w:val="both"/>
        <w:rPr>
          <w:rFonts w:ascii="Palatino Linotype" w:eastAsia="Palatino Linotype" w:hAnsi="Palatino Linotype" w:cs="Palatino Linotype"/>
          <w:color w:val="000000"/>
        </w:rPr>
      </w:pPr>
    </w:p>
    <w:p w:rsidR="00C12005" w:rsidRPr="00B90BDC" w:rsidRDefault="00114D49" w:rsidP="00B90BDC">
      <w:pPr>
        <w:numPr>
          <w:ilvl w:val="0"/>
          <w:numId w:val="13"/>
        </w:numPr>
        <w:spacing w:before="240" w:line="360" w:lineRule="auto"/>
        <w:ind w:left="0" w:right="49" w:firstLine="0"/>
        <w:jc w:val="both"/>
        <w:rPr>
          <w:rFonts w:ascii="Palatino Linotype" w:eastAsia="Palatino Linotype" w:hAnsi="Palatino Linotype" w:cs="Palatino Linotype"/>
        </w:rPr>
      </w:pPr>
      <w:r w:rsidRPr="00B90BDC">
        <w:rPr>
          <w:rFonts w:ascii="Palatino Linotype" w:eastAsia="Palatino Linotype" w:hAnsi="Palatino Linotype" w:cs="Palatino Linotype"/>
        </w:rPr>
        <w:t xml:space="preserve">Definiendo el Derecho de Acceso a la Información Pública como: </w:t>
      </w:r>
    </w:p>
    <w:p w:rsidR="00C12005" w:rsidRPr="00B90BDC" w:rsidRDefault="00114D49">
      <w:pPr>
        <w:spacing w:before="240"/>
        <w:ind w:left="1134" w:right="1389"/>
        <w:jc w:val="both"/>
        <w:rPr>
          <w:rFonts w:ascii="Palatino Linotype" w:eastAsia="Palatino Linotype" w:hAnsi="Palatino Linotype" w:cs="Palatino Linotype"/>
        </w:rPr>
      </w:pPr>
      <w:r w:rsidRPr="00B90BDC">
        <w:rPr>
          <w:rFonts w:ascii="Palatino Linotype" w:eastAsia="Palatino Linotype" w:hAnsi="Palatino Linotype" w:cs="Palatino Linotype"/>
          <w:i/>
          <w:iCs/>
          <w:color w:val="000000"/>
        </w:rPr>
        <w:t>La igualdad de oportunidades para recibir, buscar e impartir información</w:t>
      </w:r>
      <w:r w:rsidRPr="00B90BDC">
        <w:rPr>
          <w:rFonts w:ascii="Palatino Linotype" w:eastAsia="Palatino Linotype" w:hAnsi="Palatino Linotype" w:cs="Palatino Linotype"/>
          <w:i/>
          <w:iCs/>
          <w:vertAlign w:val="superscript"/>
        </w:rPr>
        <w:footnoteReference w:id="1"/>
      </w:r>
      <w:r w:rsidRPr="00B90BDC">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B90BDC">
        <w:rPr>
          <w:rFonts w:ascii="Palatino Linotype" w:eastAsia="Palatino Linotype" w:hAnsi="Palatino Linotype" w:cs="Palatino Linotype"/>
          <w:i/>
          <w:iCs/>
          <w:vertAlign w:val="superscript"/>
        </w:rPr>
        <w:footnoteReference w:id="2"/>
      </w:r>
      <w:r w:rsidRPr="00B90BDC">
        <w:rPr>
          <w:rFonts w:ascii="Palatino Linotype" w:eastAsia="Palatino Linotype" w:hAnsi="Palatino Linotype" w:cs="Palatino Linotype"/>
          <w:color w:val="000000"/>
        </w:rPr>
        <w:t>que se constituye como una herramienta fundamental para ejercer</w:t>
      </w:r>
      <w:r w:rsidRPr="00B90BDC">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B90BDC">
        <w:rPr>
          <w:rFonts w:ascii="Palatino Linotype" w:eastAsia="Palatino Linotype" w:hAnsi="Palatino Linotype" w:cs="Palatino Linotype"/>
          <w:i/>
          <w:iCs/>
          <w:vertAlign w:val="superscript"/>
        </w:rPr>
        <w:footnoteReference w:id="3"/>
      </w:r>
      <w:r w:rsidRPr="00B90BDC">
        <w:rPr>
          <w:rFonts w:ascii="Palatino Linotype" w:eastAsia="Palatino Linotype" w:hAnsi="Palatino Linotype" w:cs="Palatino Linotype"/>
          <w:color w:val="000000"/>
        </w:rPr>
        <w:t>fomentando</w:t>
      </w:r>
      <w:r w:rsidRPr="00B90BDC">
        <w:rPr>
          <w:rFonts w:ascii="Palatino Linotype" w:eastAsia="Palatino Linotype" w:hAnsi="Palatino Linotype" w:cs="Palatino Linotype"/>
          <w:i/>
          <w:iCs/>
          <w:color w:val="000000"/>
        </w:rPr>
        <w:t xml:space="preserve"> la transparencia de las actividades estatales y </w:t>
      </w:r>
      <w:r w:rsidRPr="00B90BDC">
        <w:rPr>
          <w:rFonts w:ascii="Palatino Linotype" w:eastAsia="Palatino Linotype" w:hAnsi="Palatino Linotype" w:cs="Palatino Linotype"/>
          <w:color w:val="000000"/>
        </w:rPr>
        <w:t>promoviendo</w:t>
      </w:r>
      <w:r w:rsidRPr="00B90BDC">
        <w:rPr>
          <w:rFonts w:ascii="Palatino Linotype" w:eastAsia="Palatino Linotype" w:hAnsi="Palatino Linotype" w:cs="Palatino Linotype"/>
          <w:i/>
          <w:iCs/>
          <w:color w:val="000000"/>
        </w:rPr>
        <w:t xml:space="preserve"> la responsabilidad de los funcionarios sobre su gestión pública,</w:t>
      </w:r>
      <w:r w:rsidRPr="00B90BDC">
        <w:rPr>
          <w:rFonts w:ascii="Palatino Linotype" w:eastAsia="Palatino Linotype" w:hAnsi="Palatino Linotype" w:cs="Palatino Linotype"/>
          <w:i/>
          <w:iCs/>
          <w:vertAlign w:val="superscript"/>
        </w:rPr>
        <w:footnoteReference w:id="4"/>
      </w:r>
      <w:r w:rsidRPr="00B90BDC">
        <w:rPr>
          <w:rFonts w:ascii="Palatino Linotype" w:eastAsia="Palatino Linotype" w:hAnsi="Palatino Linotype" w:cs="Palatino Linotype"/>
          <w:color w:val="000000"/>
        </w:rPr>
        <w:t>que permite</w:t>
      </w:r>
      <w:r w:rsidRPr="00B90BDC">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C12005" w:rsidRPr="00B90BDC" w:rsidRDefault="00114D49" w:rsidP="00B90BDC">
      <w:pPr>
        <w:numPr>
          <w:ilvl w:val="0"/>
          <w:numId w:val="13"/>
        </w:numPr>
        <w:spacing w:line="360" w:lineRule="auto"/>
        <w:ind w:left="0" w:right="49" w:firstLine="0"/>
        <w:jc w:val="both"/>
        <w:rPr>
          <w:rFonts w:ascii="Palatino Linotype" w:eastAsia="Palatino Linotype" w:hAnsi="Palatino Linotype" w:cs="Palatino Linotype"/>
        </w:rPr>
      </w:pPr>
      <w:r w:rsidRPr="00B90BDC">
        <w:rPr>
          <w:rFonts w:ascii="Palatino Linotype" w:eastAsia="Palatino Linotype" w:hAnsi="Palatino Linotype" w:cs="Palatino Linotype"/>
        </w:rPr>
        <w:lastRenderedPageBreak/>
        <w:t>En México, además de los derechos, están reconocidas las garantías para su protección, en ese sentido el párrafo tercero de artículo primero de la Constitución Política de los Estados Unidos Mexicanos dispone lo siguiente:</w:t>
      </w:r>
    </w:p>
    <w:p w:rsidR="00C12005" w:rsidRPr="00B90BDC" w:rsidRDefault="00114D49">
      <w:pPr>
        <w:ind w:left="1134" w:right="900"/>
        <w:jc w:val="both"/>
        <w:rPr>
          <w:rFonts w:ascii="Palatino Linotype" w:eastAsia="Palatino Linotype" w:hAnsi="Palatino Linotype" w:cs="Palatino Linotype"/>
          <w:i/>
          <w:iCs/>
        </w:rPr>
      </w:pPr>
      <w:r w:rsidRPr="00B90BDC">
        <w:rPr>
          <w:rFonts w:ascii="Palatino Linotype" w:eastAsia="Palatino Linotype" w:hAnsi="Palatino Linotype" w:cs="Palatino Linotype"/>
          <w:i/>
          <w:iCs/>
        </w:rPr>
        <w:t>“</w:t>
      </w:r>
      <w:r w:rsidRPr="00B90BDC">
        <w:rPr>
          <w:rFonts w:ascii="Palatino Linotype" w:eastAsia="Palatino Linotype" w:hAnsi="Palatino Linotype" w:cs="Palatino Linotype"/>
          <w:b/>
          <w:bCs/>
          <w:i/>
          <w:iCs/>
        </w:rPr>
        <w:t>Artículo 1.-</w:t>
      </w:r>
      <w:r w:rsidRPr="00B90BDC">
        <w:rPr>
          <w:rFonts w:ascii="Palatino Linotype" w:eastAsia="Palatino Linotype" w:hAnsi="Palatino Linotype" w:cs="Palatino Linotype"/>
          <w:i/>
          <w:iCs/>
        </w:rPr>
        <w:t xml:space="preserve"> </w:t>
      </w:r>
    </w:p>
    <w:p w:rsidR="00C12005" w:rsidRPr="00B90BDC" w:rsidRDefault="00114D49">
      <w:pPr>
        <w:ind w:left="1134" w:right="900"/>
        <w:jc w:val="both"/>
        <w:rPr>
          <w:rFonts w:ascii="Palatino Linotype" w:eastAsia="Palatino Linotype" w:hAnsi="Palatino Linotype" w:cs="Palatino Linotype"/>
          <w:i/>
          <w:iCs/>
        </w:rPr>
      </w:pPr>
      <w:r w:rsidRPr="00B90BDC">
        <w:rPr>
          <w:rFonts w:ascii="Palatino Linotype" w:eastAsia="Palatino Linotype" w:hAnsi="Palatino Linotype" w:cs="Palatino Linotype"/>
          <w:i/>
          <w:iCs/>
        </w:rPr>
        <w:t>(…)</w:t>
      </w:r>
    </w:p>
    <w:p w:rsidR="00C12005" w:rsidRPr="00B90BDC" w:rsidRDefault="00114D49">
      <w:pPr>
        <w:ind w:left="1134" w:right="1389"/>
        <w:jc w:val="both"/>
        <w:rPr>
          <w:rFonts w:ascii="Palatino Linotype" w:eastAsia="Palatino Linotype" w:hAnsi="Palatino Linotype" w:cs="Palatino Linotype"/>
          <w:i/>
          <w:iCs/>
        </w:rPr>
      </w:pPr>
      <w:r w:rsidRPr="00B90BDC">
        <w:rPr>
          <w:rFonts w:ascii="Palatino Linotype" w:eastAsia="Palatino Linotype" w:hAnsi="Palatino Linotype" w:cs="Palatino Linotype"/>
          <w:i/>
          <w:iCs/>
        </w:rPr>
        <w:t>Todas las</w:t>
      </w:r>
      <w:r w:rsidRPr="00B90BDC">
        <w:rPr>
          <w:rFonts w:ascii="Palatino Linotype" w:eastAsia="Palatino Linotype" w:hAnsi="Palatino Linotype" w:cs="Palatino Linotype"/>
        </w:rPr>
        <w:t xml:space="preserve"> </w:t>
      </w:r>
      <w:r w:rsidRPr="00B90BDC">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C12005" w:rsidRPr="00B90BDC" w:rsidRDefault="00114D49">
      <w:pPr>
        <w:ind w:left="1134" w:right="1389"/>
        <w:jc w:val="both"/>
        <w:rPr>
          <w:rFonts w:ascii="Palatino Linotype" w:eastAsia="Palatino Linotype" w:hAnsi="Palatino Linotype" w:cs="Palatino Linotype"/>
        </w:rPr>
      </w:pPr>
      <w:r w:rsidRPr="00B90BDC">
        <w:rPr>
          <w:rFonts w:ascii="Palatino Linotype" w:eastAsia="Palatino Linotype" w:hAnsi="Palatino Linotype" w:cs="Palatino Linotype"/>
          <w:i/>
          <w:iCs/>
        </w:rPr>
        <w:t>(…)</w:t>
      </w:r>
      <w:r w:rsidRPr="00B90BDC">
        <w:rPr>
          <w:rFonts w:ascii="Palatino Linotype" w:eastAsia="Palatino Linotype" w:hAnsi="Palatino Linotype" w:cs="Palatino Linotype"/>
        </w:rPr>
        <w:t>”.</w:t>
      </w:r>
    </w:p>
    <w:p w:rsidR="00C12005" w:rsidRPr="00B90BDC" w:rsidRDefault="00C12005">
      <w:pPr>
        <w:ind w:left="1134" w:right="1389"/>
        <w:jc w:val="both"/>
        <w:rPr>
          <w:rFonts w:ascii="Palatino Linotype" w:eastAsia="Palatino Linotype" w:hAnsi="Palatino Linotype" w:cs="Palatino Linotype"/>
        </w:rPr>
      </w:pPr>
    </w:p>
    <w:p w:rsidR="00C12005" w:rsidRPr="00B90BDC" w:rsidRDefault="00114D49" w:rsidP="00B90BDC">
      <w:pPr>
        <w:numPr>
          <w:ilvl w:val="0"/>
          <w:numId w:val="13"/>
        </w:numPr>
        <w:spacing w:line="360" w:lineRule="auto"/>
        <w:ind w:left="0" w:right="49" w:firstLine="0"/>
        <w:jc w:val="both"/>
        <w:rPr>
          <w:rFonts w:ascii="Palatino Linotype" w:eastAsia="Palatino Linotype" w:hAnsi="Palatino Linotype" w:cs="Palatino Linotype"/>
        </w:rPr>
      </w:pPr>
      <w:r w:rsidRPr="00B90BDC">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C12005" w:rsidRPr="00B90BDC" w:rsidRDefault="00C12005">
      <w:pPr>
        <w:spacing w:line="360" w:lineRule="auto"/>
        <w:ind w:right="49"/>
        <w:jc w:val="both"/>
        <w:rPr>
          <w:rFonts w:ascii="Palatino Linotype" w:eastAsia="Palatino Linotype" w:hAnsi="Palatino Linotype" w:cs="Palatino Linotype"/>
        </w:rPr>
      </w:pPr>
    </w:p>
    <w:p w:rsidR="00C12005" w:rsidRPr="00B90BDC" w:rsidRDefault="00114D49" w:rsidP="00B90BDC">
      <w:pPr>
        <w:numPr>
          <w:ilvl w:val="0"/>
          <w:numId w:val="13"/>
        </w:numPr>
        <w:spacing w:line="360" w:lineRule="auto"/>
        <w:ind w:left="0" w:right="49" w:firstLine="0"/>
        <w:jc w:val="both"/>
        <w:rPr>
          <w:rFonts w:ascii="Palatino Linotype" w:eastAsia="Palatino Linotype" w:hAnsi="Palatino Linotype" w:cs="Palatino Linotype"/>
        </w:rPr>
      </w:pPr>
      <w:r w:rsidRPr="00B90BDC">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C12005" w:rsidRPr="00B90BDC" w:rsidRDefault="00114D49">
      <w:pPr>
        <w:spacing w:after="240"/>
        <w:ind w:left="1134" w:right="1389"/>
        <w:jc w:val="both"/>
        <w:rPr>
          <w:rFonts w:ascii="Palatino Linotype" w:eastAsia="Palatino Linotype" w:hAnsi="Palatino Linotype" w:cs="Palatino Linotype"/>
          <w:b/>
          <w:bCs/>
          <w:i/>
          <w:iCs/>
        </w:rPr>
      </w:pPr>
      <w:r w:rsidRPr="00B90BDC">
        <w:rPr>
          <w:rFonts w:ascii="Palatino Linotype" w:eastAsia="Palatino Linotype" w:hAnsi="Palatino Linotype" w:cs="Palatino Linotype"/>
          <w:b/>
          <w:bCs/>
          <w:i/>
          <w:iCs/>
        </w:rPr>
        <w:t>Constitución Política de los Estados Unidos Mexicanos</w:t>
      </w:r>
    </w:p>
    <w:p w:rsidR="00C12005" w:rsidRPr="00B90BDC" w:rsidRDefault="00114D49">
      <w:pPr>
        <w:spacing w:before="240" w:after="240"/>
        <w:ind w:left="1134" w:right="1389"/>
        <w:jc w:val="both"/>
        <w:rPr>
          <w:rFonts w:ascii="Palatino Linotype" w:eastAsia="Palatino Linotype" w:hAnsi="Palatino Linotype" w:cs="Palatino Linotype"/>
          <w:b/>
          <w:bCs/>
          <w:i/>
          <w:iCs/>
        </w:rPr>
      </w:pPr>
      <w:r w:rsidRPr="00B90BDC">
        <w:rPr>
          <w:rFonts w:ascii="Palatino Linotype" w:eastAsia="Palatino Linotype" w:hAnsi="Palatino Linotype" w:cs="Palatino Linotype"/>
          <w:b/>
          <w:bCs/>
          <w:i/>
          <w:iCs/>
        </w:rPr>
        <w:t>“Artículo 6.</w:t>
      </w:r>
    </w:p>
    <w:p w:rsidR="00C12005" w:rsidRPr="00B90BDC" w:rsidRDefault="00114D49">
      <w:pPr>
        <w:spacing w:before="240" w:after="240"/>
        <w:ind w:left="1134" w:right="1389"/>
        <w:jc w:val="both"/>
        <w:rPr>
          <w:rFonts w:ascii="Palatino Linotype" w:eastAsia="Palatino Linotype" w:hAnsi="Palatino Linotype" w:cs="Palatino Linotype"/>
          <w:i/>
          <w:iCs/>
        </w:rPr>
      </w:pPr>
      <w:r w:rsidRPr="00B90BDC">
        <w:rPr>
          <w:rFonts w:ascii="Palatino Linotype" w:eastAsia="Palatino Linotype" w:hAnsi="Palatino Linotype" w:cs="Palatino Linotype"/>
          <w:i/>
          <w:iCs/>
        </w:rPr>
        <w:t>(…)</w:t>
      </w:r>
    </w:p>
    <w:p w:rsidR="00C12005" w:rsidRPr="00B90BDC" w:rsidRDefault="00114D49">
      <w:pPr>
        <w:spacing w:before="240" w:after="240"/>
        <w:ind w:left="1134" w:right="1389"/>
        <w:jc w:val="both"/>
        <w:rPr>
          <w:rFonts w:ascii="Palatino Linotype" w:eastAsia="Palatino Linotype" w:hAnsi="Palatino Linotype" w:cs="Palatino Linotype"/>
          <w:i/>
          <w:iCs/>
        </w:rPr>
      </w:pPr>
      <w:r w:rsidRPr="00B90BDC">
        <w:rPr>
          <w:rFonts w:ascii="Palatino Linotype" w:eastAsia="Palatino Linotype" w:hAnsi="Palatino Linotype" w:cs="Palatino Linotype"/>
          <w:i/>
          <w:iCs/>
        </w:rPr>
        <w:t>Para efectos de lo dispuesto en el presente artículo se observará lo siguiente:</w:t>
      </w:r>
    </w:p>
    <w:p w:rsidR="00C12005" w:rsidRPr="00B90BDC" w:rsidRDefault="00114D49">
      <w:pPr>
        <w:spacing w:before="240" w:after="240"/>
        <w:ind w:left="1134" w:right="1389"/>
        <w:jc w:val="both"/>
        <w:rPr>
          <w:rFonts w:ascii="Palatino Linotype" w:eastAsia="Palatino Linotype" w:hAnsi="Palatino Linotype" w:cs="Palatino Linotype"/>
          <w:b/>
          <w:bCs/>
          <w:i/>
          <w:iCs/>
        </w:rPr>
      </w:pPr>
      <w:r w:rsidRPr="00B90BDC">
        <w:rPr>
          <w:rFonts w:ascii="Palatino Linotype" w:eastAsia="Palatino Linotype" w:hAnsi="Palatino Linotype" w:cs="Palatino Linotype"/>
          <w:b/>
          <w:bCs/>
          <w:i/>
          <w:iCs/>
        </w:rPr>
        <w:lastRenderedPageBreak/>
        <w:t>A</w:t>
      </w:r>
      <w:r w:rsidRPr="00B90BDC">
        <w:rPr>
          <w:rFonts w:ascii="Palatino Linotype" w:eastAsia="Palatino Linotype" w:hAnsi="Palatino Linotype" w:cs="Palatino Linotype"/>
          <w:i/>
          <w:iCs/>
        </w:rPr>
        <w:t xml:space="preserve">. </w:t>
      </w:r>
      <w:r w:rsidRPr="00B90BDC">
        <w:rPr>
          <w:rFonts w:ascii="Palatino Linotype" w:eastAsia="Palatino Linotype" w:hAnsi="Palatino Linotype" w:cs="Palatino Linotype"/>
          <w:b/>
          <w:bCs/>
          <w:i/>
          <w:iCs/>
        </w:rPr>
        <w:t>Para el ejercicio del derecho de acceso a la información</w:t>
      </w:r>
      <w:r w:rsidRPr="00B90BDC">
        <w:rPr>
          <w:rFonts w:ascii="Palatino Linotype" w:eastAsia="Palatino Linotype" w:hAnsi="Palatino Linotype" w:cs="Palatino Linotype"/>
          <w:i/>
          <w:iCs/>
        </w:rPr>
        <w:t xml:space="preserve">, la Federación y </w:t>
      </w:r>
      <w:r w:rsidRPr="00B90BDC">
        <w:rPr>
          <w:rFonts w:ascii="Palatino Linotype" w:eastAsia="Palatino Linotype" w:hAnsi="Palatino Linotype" w:cs="Palatino Linotype"/>
          <w:b/>
          <w:bCs/>
          <w:i/>
          <w:iCs/>
        </w:rPr>
        <w:t>las entidades federativas, en el ámbito de sus respectivas competencias, se regirán por los siguientes principios y bases:</w:t>
      </w:r>
    </w:p>
    <w:p w:rsidR="00C12005" w:rsidRPr="00B90BDC" w:rsidRDefault="00114D49">
      <w:pPr>
        <w:spacing w:before="240" w:after="240"/>
        <w:ind w:left="1134" w:right="1389"/>
        <w:jc w:val="both"/>
        <w:rPr>
          <w:rFonts w:ascii="Palatino Linotype" w:eastAsia="Palatino Linotype" w:hAnsi="Palatino Linotype" w:cs="Palatino Linotype"/>
          <w:i/>
          <w:iCs/>
        </w:rPr>
      </w:pPr>
      <w:r w:rsidRPr="00B90BDC">
        <w:rPr>
          <w:rFonts w:ascii="Palatino Linotype" w:eastAsia="Palatino Linotype" w:hAnsi="Palatino Linotype" w:cs="Palatino Linotype"/>
          <w:b/>
          <w:bCs/>
          <w:i/>
          <w:iCs/>
        </w:rPr>
        <w:t xml:space="preserve">I. </w:t>
      </w:r>
      <w:r w:rsidRPr="00B90BDC">
        <w:rPr>
          <w:rFonts w:ascii="Palatino Linotype" w:eastAsia="Palatino Linotype" w:hAnsi="Palatino Linotype" w:cs="Palatino Linotype"/>
          <w:b/>
          <w:bCs/>
          <w:i/>
          <w:iCs/>
        </w:rPr>
        <w:tab/>
        <w:t>Toda la información en posesión de cualquier</w:t>
      </w:r>
      <w:r w:rsidRPr="00B90BDC">
        <w:rPr>
          <w:rFonts w:ascii="Palatino Linotype" w:eastAsia="Palatino Linotype" w:hAnsi="Palatino Linotype" w:cs="Palatino Linotype"/>
          <w:i/>
          <w:iCs/>
        </w:rPr>
        <w:t xml:space="preserve"> </w:t>
      </w:r>
      <w:r w:rsidRPr="00B90BDC">
        <w:rPr>
          <w:rFonts w:ascii="Palatino Linotype" w:eastAsia="Palatino Linotype" w:hAnsi="Palatino Linotype" w:cs="Palatino Linotype"/>
          <w:b/>
          <w:bCs/>
          <w:i/>
          <w:iCs/>
        </w:rPr>
        <w:t>autoridad</w:t>
      </w:r>
      <w:r w:rsidRPr="00B90BDC">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B90BDC">
        <w:rPr>
          <w:rFonts w:ascii="Palatino Linotype" w:eastAsia="Palatino Linotype" w:hAnsi="Palatino Linotype" w:cs="Palatino Linotype"/>
          <w:b/>
          <w:bCs/>
          <w:i/>
          <w:iCs/>
        </w:rPr>
        <w:t>municipal</w:t>
      </w:r>
      <w:r w:rsidRPr="00B90BDC">
        <w:rPr>
          <w:rFonts w:ascii="Palatino Linotype" w:eastAsia="Palatino Linotype" w:hAnsi="Palatino Linotype" w:cs="Palatino Linotype"/>
          <w:i/>
          <w:iCs/>
        </w:rPr>
        <w:t xml:space="preserve">, </w:t>
      </w:r>
      <w:r w:rsidRPr="00B90BDC">
        <w:rPr>
          <w:rFonts w:ascii="Palatino Linotype" w:eastAsia="Palatino Linotype" w:hAnsi="Palatino Linotype" w:cs="Palatino Linotype"/>
          <w:b/>
          <w:bCs/>
          <w:i/>
          <w:iCs/>
        </w:rPr>
        <w:t>es pública</w:t>
      </w:r>
      <w:r w:rsidRPr="00B90BDC">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B90BDC">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B90BDC">
        <w:rPr>
          <w:rFonts w:ascii="Palatino Linotype" w:eastAsia="Palatino Linotype" w:hAnsi="Palatino Linotype" w:cs="Palatino Linotype"/>
          <w:i/>
          <w:iCs/>
        </w:rPr>
        <w:t>, la ley determinará los supuestos específicos bajo los cuales procederá la declaración de inexistencia de la información.”</w:t>
      </w:r>
    </w:p>
    <w:p w:rsidR="00C12005" w:rsidRPr="00B90BDC" w:rsidRDefault="00C12005">
      <w:pPr>
        <w:pBdr>
          <w:top w:val="nil"/>
          <w:left w:val="nil"/>
          <w:bottom w:val="nil"/>
          <w:right w:val="nil"/>
          <w:between w:val="nil"/>
        </w:pBdr>
        <w:tabs>
          <w:tab w:val="left" w:pos="567"/>
        </w:tabs>
        <w:spacing w:before="240" w:after="240"/>
        <w:ind w:left="1134" w:right="1389"/>
        <w:jc w:val="both"/>
        <w:rPr>
          <w:rFonts w:ascii="Palatino Linotype" w:eastAsia="Palatino Linotype" w:hAnsi="Palatino Linotype" w:cs="Palatino Linotype"/>
          <w:b/>
          <w:bCs/>
          <w:i/>
          <w:iCs/>
          <w:color w:val="000000"/>
        </w:rPr>
      </w:pPr>
    </w:p>
    <w:p w:rsidR="00C12005" w:rsidRPr="00B90BDC" w:rsidRDefault="00114D49">
      <w:pPr>
        <w:spacing w:before="240" w:after="240"/>
        <w:ind w:left="1134" w:right="1389"/>
        <w:jc w:val="both"/>
        <w:rPr>
          <w:rFonts w:ascii="Palatino Linotype" w:eastAsia="Palatino Linotype" w:hAnsi="Palatino Linotype" w:cs="Palatino Linotype"/>
          <w:b/>
          <w:bCs/>
          <w:i/>
          <w:iCs/>
        </w:rPr>
      </w:pPr>
      <w:r w:rsidRPr="00B90BDC">
        <w:rPr>
          <w:rFonts w:ascii="Palatino Linotype" w:eastAsia="Palatino Linotype" w:hAnsi="Palatino Linotype" w:cs="Palatino Linotype"/>
          <w:b/>
          <w:bCs/>
          <w:i/>
          <w:iCs/>
        </w:rPr>
        <w:t>Constitución Política del Estado Libre y Soberano de México</w:t>
      </w:r>
    </w:p>
    <w:p w:rsidR="00C12005" w:rsidRPr="00B90BDC" w:rsidRDefault="00114D49">
      <w:pPr>
        <w:spacing w:before="240" w:after="240"/>
        <w:ind w:left="1134" w:right="1389"/>
        <w:jc w:val="both"/>
        <w:rPr>
          <w:rFonts w:ascii="Palatino Linotype" w:eastAsia="Palatino Linotype" w:hAnsi="Palatino Linotype" w:cs="Palatino Linotype"/>
          <w:i/>
          <w:iCs/>
        </w:rPr>
      </w:pPr>
      <w:r w:rsidRPr="00B90BDC">
        <w:rPr>
          <w:rFonts w:ascii="Palatino Linotype" w:eastAsia="Palatino Linotype" w:hAnsi="Palatino Linotype" w:cs="Palatino Linotype"/>
          <w:b/>
          <w:bCs/>
          <w:i/>
          <w:iCs/>
        </w:rPr>
        <w:t>“Artículo 5</w:t>
      </w:r>
      <w:r w:rsidRPr="00B90BDC">
        <w:rPr>
          <w:rFonts w:ascii="Palatino Linotype" w:eastAsia="Palatino Linotype" w:hAnsi="Palatino Linotype" w:cs="Palatino Linotype"/>
          <w:i/>
          <w:iCs/>
        </w:rPr>
        <w:t xml:space="preserve">.- </w:t>
      </w:r>
    </w:p>
    <w:p w:rsidR="00C12005" w:rsidRPr="00B90BDC" w:rsidRDefault="00114D49">
      <w:pPr>
        <w:spacing w:before="240" w:after="240"/>
        <w:ind w:left="1134" w:right="1389"/>
        <w:jc w:val="both"/>
        <w:rPr>
          <w:rFonts w:ascii="Palatino Linotype" w:eastAsia="Palatino Linotype" w:hAnsi="Palatino Linotype" w:cs="Palatino Linotype"/>
          <w:i/>
          <w:iCs/>
        </w:rPr>
      </w:pPr>
      <w:r w:rsidRPr="00B90BDC">
        <w:rPr>
          <w:rFonts w:ascii="Palatino Linotype" w:eastAsia="Palatino Linotype" w:hAnsi="Palatino Linotype" w:cs="Palatino Linotype"/>
          <w:i/>
          <w:iCs/>
        </w:rPr>
        <w:t>(…)</w:t>
      </w:r>
    </w:p>
    <w:p w:rsidR="00C12005" w:rsidRPr="00B90BDC" w:rsidRDefault="00114D49">
      <w:pPr>
        <w:spacing w:before="240" w:after="240"/>
        <w:ind w:left="1134" w:right="1389"/>
        <w:jc w:val="both"/>
        <w:rPr>
          <w:rFonts w:ascii="Palatino Linotype" w:eastAsia="Palatino Linotype" w:hAnsi="Palatino Linotype" w:cs="Palatino Linotype"/>
          <w:i/>
          <w:iCs/>
        </w:rPr>
      </w:pPr>
      <w:r w:rsidRPr="00B90BDC">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B90BDC">
        <w:rPr>
          <w:rFonts w:ascii="Palatino Linotype" w:eastAsia="Palatino Linotype" w:hAnsi="Palatino Linotype" w:cs="Palatino Linotype"/>
          <w:i/>
          <w:iCs/>
        </w:rPr>
        <w:t>.</w:t>
      </w:r>
    </w:p>
    <w:p w:rsidR="00C12005" w:rsidRPr="00B90BDC" w:rsidRDefault="00114D49">
      <w:pPr>
        <w:spacing w:before="240" w:after="240"/>
        <w:ind w:left="1134" w:right="1389"/>
        <w:jc w:val="both"/>
        <w:rPr>
          <w:rFonts w:ascii="Palatino Linotype" w:eastAsia="Palatino Linotype" w:hAnsi="Palatino Linotype" w:cs="Palatino Linotype"/>
          <w:i/>
          <w:iCs/>
        </w:rPr>
      </w:pPr>
      <w:r w:rsidRPr="00B90BDC">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C12005" w:rsidRPr="00B90BDC" w:rsidRDefault="00114D49">
      <w:pPr>
        <w:spacing w:before="240" w:after="240"/>
        <w:ind w:left="1134" w:right="1389"/>
        <w:jc w:val="both"/>
        <w:rPr>
          <w:rFonts w:ascii="Palatino Linotype" w:eastAsia="Palatino Linotype" w:hAnsi="Palatino Linotype" w:cs="Palatino Linotype"/>
          <w:i/>
          <w:iCs/>
        </w:rPr>
      </w:pPr>
      <w:r w:rsidRPr="00B90BDC">
        <w:rPr>
          <w:rFonts w:ascii="Palatino Linotype" w:eastAsia="Palatino Linotype" w:hAnsi="Palatino Linotype" w:cs="Palatino Linotype"/>
          <w:b/>
          <w:bCs/>
          <w:i/>
          <w:iCs/>
        </w:rPr>
        <w:t>Este derecho se regirá por los principios y bases siguientes</w:t>
      </w:r>
      <w:r w:rsidRPr="00B90BDC">
        <w:rPr>
          <w:rFonts w:ascii="Palatino Linotype" w:eastAsia="Palatino Linotype" w:hAnsi="Palatino Linotype" w:cs="Palatino Linotype"/>
          <w:i/>
          <w:iCs/>
        </w:rPr>
        <w:t>:</w:t>
      </w:r>
    </w:p>
    <w:p w:rsidR="00C12005" w:rsidRPr="00B90BDC" w:rsidRDefault="00114D49">
      <w:pPr>
        <w:spacing w:before="240" w:after="240"/>
        <w:ind w:left="1134" w:right="1389"/>
        <w:jc w:val="both"/>
        <w:rPr>
          <w:rFonts w:ascii="Palatino Linotype" w:eastAsia="Palatino Linotype" w:hAnsi="Palatino Linotype" w:cs="Palatino Linotype"/>
          <w:i/>
          <w:iCs/>
        </w:rPr>
      </w:pPr>
      <w:r w:rsidRPr="00B90BDC">
        <w:rPr>
          <w:rFonts w:ascii="Palatino Linotype" w:eastAsia="Palatino Linotype" w:hAnsi="Palatino Linotype" w:cs="Palatino Linotype"/>
          <w:b/>
          <w:bCs/>
          <w:i/>
          <w:iCs/>
        </w:rPr>
        <w:t>I. Toda la información en posesión de cualquier autoridad, entidad, órgano y organismos de los</w:t>
      </w:r>
      <w:r w:rsidRPr="00B90BDC">
        <w:rPr>
          <w:rFonts w:ascii="Palatino Linotype" w:eastAsia="Palatino Linotype" w:hAnsi="Palatino Linotype" w:cs="Palatino Linotype"/>
          <w:i/>
          <w:iCs/>
        </w:rPr>
        <w:t xml:space="preserve"> Poderes Ejecutivo, Legislativo y Judicial, órganos autónomos, partidos políticos, fideicomisos y fondos públicos </w:t>
      </w:r>
      <w:r w:rsidRPr="00B90BDC">
        <w:rPr>
          <w:rFonts w:ascii="Palatino Linotype" w:eastAsia="Palatino Linotype" w:hAnsi="Palatino Linotype" w:cs="Palatino Linotype"/>
          <w:i/>
          <w:iCs/>
        </w:rPr>
        <w:lastRenderedPageBreak/>
        <w:t xml:space="preserve">estatales y </w:t>
      </w:r>
      <w:r w:rsidRPr="00B90BDC">
        <w:rPr>
          <w:rFonts w:ascii="Palatino Linotype" w:eastAsia="Palatino Linotype" w:hAnsi="Palatino Linotype" w:cs="Palatino Linotype"/>
          <w:b/>
          <w:bCs/>
          <w:i/>
          <w:iCs/>
        </w:rPr>
        <w:t>municipales</w:t>
      </w:r>
      <w:r w:rsidRPr="00B90BDC">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B90BDC">
        <w:rPr>
          <w:rFonts w:ascii="Palatino Linotype" w:eastAsia="Palatino Linotype" w:hAnsi="Palatino Linotype" w:cs="Palatino Linotype"/>
          <w:b/>
          <w:bCs/>
          <w:i/>
          <w:iCs/>
        </w:rPr>
        <w:t>es pública</w:t>
      </w:r>
      <w:r w:rsidRPr="00B90BDC">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B90BDC">
        <w:rPr>
          <w:rFonts w:ascii="Palatino Linotype" w:eastAsia="Palatino Linotype" w:hAnsi="Palatino Linotype" w:cs="Palatino Linotype"/>
          <w:b/>
          <w:bCs/>
          <w:i/>
          <w:iCs/>
        </w:rPr>
        <w:t>En la interpretación de este derecho deberá prevalecer el principio de máxima publicidad</w:t>
      </w:r>
      <w:r w:rsidRPr="00B90BDC">
        <w:rPr>
          <w:rFonts w:ascii="Palatino Linotype" w:eastAsia="Palatino Linotype" w:hAnsi="Palatino Linotype" w:cs="Palatino Linotype"/>
          <w:i/>
          <w:iCs/>
        </w:rPr>
        <w:t xml:space="preserve">. </w:t>
      </w:r>
      <w:r w:rsidRPr="00B90BDC">
        <w:rPr>
          <w:rFonts w:ascii="Palatino Linotype" w:eastAsia="Palatino Linotype" w:hAnsi="Palatino Linotype" w:cs="Palatino Linotype"/>
          <w:b/>
          <w:bCs/>
          <w:i/>
          <w:iCs/>
        </w:rPr>
        <w:t>Los sujetos obligados deberán documentar todo acto que derive del ejercicio de sus facultades, competencias o funciones</w:t>
      </w:r>
      <w:r w:rsidRPr="00B90BDC">
        <w:rPr>
          <w:rFonts w:ascii="Palatino Linotype" w:eastAsia="Palatino Linotype" w:hAnsi="Palatino Linotype" w:cs="Palatino Linotype"/>
          <w:i/>
          <w:iCs/>
        </w:rPr>
        <w:t>, la ley determinará los supuestos específicos bajo los cuales procederá la declaración de inexistencia de la información.”</w:t>
      </w:r>
    </w:p>
    <w:p w:rsidR="00C12005" w:rsidRPr="00B90BDC" w:rsidRDefault="00C12005">
      <w:pPr>
        <w:tabs>
          <w:tab w:val="left" w:pos="567"/>
        </w:tabs>
        <w:spacing w:before="240" w:after="240"/>
        <w:ind w:right="567"/>
        <w:jc w:val="both"/>
        <w:rPr>
          <w:rFonts w:ascii="Palatino Linotype" w:eastAsia="Palatino Linotype" w:hAnsi="Palatino Linotype" w:cs="Palatino Linotype"/>
          <w:b/>
          <w:bCs/>
          <w:i/>
          <w:iCs/>
        </w:rPr>
      </w:pPr>
    </w:p>
    <w:p w:rsidR="00B90BDC" w:rsidRDefault="00114D49" w:rsidP="00B90BDC">
      <w:pPr>
        <w:numPr>
          <w:ilvl w:val="0"/>
          <w:numId w:val="13"/>
        </w:numPr>
        <w:spacing w:before="240" w:line="360" w:lineRule="auto"/>
        <w:ind w:left="0" w:right="49" w:firstLine="0"/>
        <w:jc w:val="both"/>
        <w:rPr>
          <w:rFonts w:ascii="Palatino Linotype" w:eastAsia="Palatino Linotype" w:hAnsi="Palatino Linotype" w:cs="Palatino Linotype"/>
        </w:rPr>
      </w:pPr>
      <w:r w:rsidRPr="00B90BDC">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B90BDC">
        <w:rPr>
          <w:rFonts w:ascii="Palatino Linotype" w:eastAsia="Palatino Linotype" w:hAnsi="Palatino Linotype" w:cs="Palatino Linotype"/>
          <w:i/>
          <w:iCs/>
        </w:rPr>
        <w:t>por los principios de simplicidad, rapidez gratuidad del procedimiento, auxilio y orientación a los particulares</w:t>
      </w:r>
      <w:r w:rsidRPr="00B90BDC">
        <w:rPr>
          <w:rFonts w:ascii="Palatino Linotype" w:eastAsia="Palatino Linotype" w:hAnsi="Palatino Linotype" w:cs="Palatino Linotype"/>
        </w:rPr>
        <w:t>, contemplando el derecho de las personas con discapacidad y hablantes de lengua indígena.</w:t>
      </w:r>
    </w:p>
    <w:p w:rsidR="00B90BDC" w:rsidRPr="00B90BDC" w:rsidRDefault="00B90BDC" w:rsidP="00B90BDC">
      <w:pPr>
        <w:spacing w:before="240" w:line="360" w:lineRule="auto"/>
        <w:ind w:right="49"/>
        <w:jc w:val="both"/>
        <w:rPr>
          <w:rFonts w:ascii="Palatino Linotype" w:eastAsia="Palatino Linotype" w:hAnsi="Palatino Linotype" w:cs="Palatino Linotype"/>
        </w:rPr>
      </w:pPr>
    </w:p>
    <w:p w:rsidR="00C12005" w:rsidRPr="00B90BDC" w:rsidRDefault="00114D49" w:rsidP="00B90BDC">
      <w:pPr>
        <w:numPr>
          <w:ilvl w:val="0"/>
          <w:numId w:val="13"/>
        </w:numPr>
        <w:spacing w:line="360" w:lineRule="auto"/>
        <w:ind w:left="0" w:right="49" w:firstLine="0"/>
        <w:jc w:val="both"/>
        <w:rPr>
          <w:rFonts w:ascii="Palatino Linotype" w:eastAsia="Palatino Linotype" w:hAnsi="Palatino Linotype" w:cs="Palatino Linotype"/>
        </w:rPr>
      </w:pPr>
      <w:bookmarkStart w:id="4" w:name="_heading=h.17dp8vu" w:colFirst="0" w:colLast="0"/>
      <w:bookmarkEnd w:id="4"/>
      <w:r w:rsidRPr="00B90BDC">
        <w:rPr>
          <w:rFonts w:ascii="Palatino Linotype" w:eastAsia="Palatino Linotype" w:hAnsi="Palatino Linotype" w:cs="Palatino Linotype"/>
        </w:rPr>
        <w:t xml:space="preserve">Así entonces, se procede analizar, en primer lugar, si el </w:t>
      </w:r>
      <w:r w:rsidRPr="00B90BDC">
        <w:rPr>
          <w:rFonts w:ascii="Palatino Linotype" w:eastAsia="Palatino Linotype" w:hAnsi="Palatino Linotype" w:cs="Palatino Linotype"/>
          <w:b/>
          <w:bCs/>
        </w:rPr>
        <w:t>SUJETO OBLIGADO</w:t>
      </w:r>
      <w:r w:rsidRPr="00B90BDC">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C12005" w:rsidRPr="00B90BDC" w:rsidRDefault="00C12005">
      <w:pPr>
        <w:spacing w:line="360" w:lineRule="auto"/>
        <w:ind w:right="49"/>
        <w:jc w:val="both"/>
        <w:rPr>
          <w:rFonts w:ascii="Palatino Linotype" w:eastAsia="Palatino Linotype" w:hAnsi="Palatino Linotype" w:cs="Palatino Linotype"/>
        </w:rPr>
      </w:pPr>
    </w:p>
    <w:p w:rsidR="00C12005" w:rsidRPr="00B90BDC" w:rsidRDefault="00114D49">
      <w:pPr>
        <w:pStyle w:val="Ttulo1"/>
        <w:spacing w:before="0" w:line="360" w:lineRule="auto"/>
        <w:rPr>
          <w:rFonts w:ascii="Palatino Linotype" w:eastAsia="Palatino Linotype" w:hAnsi="Palatino Linotype" w:cs="Palatino Linotype"/>
          <w:b/>
          <w:bCs/>
          <w:color w:val="000000"/>
          <w:sz w:val="24"/>
          <w:szCs w:val="24"/>
        </w:rPr>
      </w:pPr>
      <w:bookmarkStart w:id="5" w:name="_heading=h.3rdcrjn" w:colFirst="0" w:colLast="0"/>
      <w:bookmarkEnd w:id="5"/>
      <w:r w:rsidRPr="00B90BDC">
        <w:rPr>
          <w:rFonts w:ascii="Palatino Linotype" w:eastAsia="Palatino Linotype" w:hAnsi="Palatino Linotype" w:cs="Palatino Linotype"/>
          <w:b/>
          <w:bCs/>
          <w:color w:val="000000"/>
          <w:sz w:val="24"/>
          <w:szCs w:val="24"/>
        </w:rPr>
        <w:t>II. De la información solicitada y la respuesta del SUJETO OBLIGADO</w:t>
      </w:r>
    </w:p>
    <w:p w:rsidR="00C12005" w:rsidRPr="00B90BDC" w:rsidRDefault="00114D49" w:rsidP="00B90BDC">
      <w:pPr>
        <w:numPr>
          <w:ilvl w:val="0"/>
          <w:numId w:val="13"/>
        </w:numPr>
        <w:spacing w:line="360" w:lineRule="auto"/>
        <w:ind w:left="0" w:firstLine="0"/>
        <w:jc w:val="both"/>
        <w:rPr>
          <w:rFonts w:ascii="Palatino Linotype" w:eastAsia="Palatino Linotype" w:hAnsi="Palatino Linotype" w:cs="Palatino Linotype"/>
        </w:rPr>
      </w:pPr>
      <w:r w:rsidRPr="00B90BDC">
        <w:rPr>
          <w:rFonts w:ascii="Palatino Linotype" w:eastAsia="Palatino Linotype" w:hAnsi="Palatino Linotype" w:cs="Palatino Linotype"/>
          <w:color w:val="000000"/>
        </w:rPr>
        <w:t xml:space="preserve">Acotada la </w:t>
      </w:r>
      <w:r w:rsidRPr="00B90BDC">
        <w:rPr>
          <w:rFonts w:ascii="Palatino Linotype" w:eastAsia="Palatino Linotype" w:hAnsi="Palatino Linotype" w:cs="Palatino Linotype"/>
          <w:i/>
          <w:iCs/>
          <w:color w:val="000000"/>
        </w:rPr>
        <w:t>Litis</w:t>
      </w:r>
      <w:r w:rsidRPr="00B90BDC">
        <w:rPr>
          <w:rFonts w:ascii="Palatino Linotype" w:eastAsia="Palatino Linotype" w:hAnsi="Palatino Linotype" w:cs="Palatino Linotype"/>
          <w:color w:val="000000"/>
        </w:rPr>
        <w:t xml:space="preserve"> del presente asunto, es menester precisar que del escrito de inconformidad, se observa que el particular se duele por la entrega incompleta de la información del Sujeto Obligado. </w:t>
      </w:r>
    </w:p>
    <w:p w:rsidR="00C12005" w:rsidRPr="00B90BDC" w:rsidRDefault="00114D49" w:rsidP="00B90BDC">
      <w:pPr>
        <w:numPr>
          <w:ilvl w:val="0"/>
          <w:numId w:val="13"/>
        </w:numPr>
        <w:spacing w:line="360" w:lineRule="auto"/>
        <w:ind w:left="0" w:firstLine="0"/>
        <w:jc w:val="both"/>
        <w:rPr>
          <w:rFonts w:ascii="Palatino Linotype" w:eastAsia="Palatino Linotype" w:hAnsi="Palatino Linotype" w:cs="Palatino Linotype"/>
        </w:rPr>
      </w:pPr>
      <w:r w:rsidRPr="00B90BDC">
        <w:rPr>
          <w:rFonts w:ascii="Palatino Linotype" w:eastAsia="Palatino Linotype" w:hAnsi="Palatino Linotype" w:cs="Palatino Linotype"/>
        </w:rPr>
        <w:lastRenderedPageBreak/>
        <w:t xml:space="preserve">En ese sentido, es importante recordar la información que fue solicitada por el </w:t>
      </w:r>
      <w:r w:rsidRPr="00B90BDC">
        <w:rPr>
          <w:rFonts w:ascii="Palatino Linotype" w:eastAsia="Palatino Linotype" w:hAnsi="Palatino Linotype" w:cs="Palatino Linotype"/>
          <w:b/>
          <w:bCs/>
        </w:rPr>
        <w:t xml:space="preserve">RECURRENTE. </w:t>
      </w:r>
    </w:p>
    <w:p w:rsidR="00C12005" w:rsidRPr="00B90BDC" w:rsidRDefault="00114D49">
      <w:pPr>
        <w:spacing w:line="360" w:lineRule="auto"/>
        <w:ind w:left="1134" w:right="708"/>
        <w:jc w:val="both"/>
        <w:rPr>
          <w:rFonts w:ascii="Palatino Linotype" w:eastAsia="Palatino Linotype" w:hAnsi="Palatino Linotype" w:cs="Palatino Linotype"/>
          <w:i/>
          <w:iCs/>
        </w:rPr>
      </w:pPr>
      <w:r w:rsidRPr="00B90BDC">
        <w:rPr>
          <w:rFonts w:ascii="Palatino Linotype" w:eastAsia="Palatino Linotype" w:hAnsi="Palatino Linotype" w:cs="Palatino Linotype"/>
          <w:i/>
          <w:iCs/>
        </w:rPr>
        <w:t xml:space="preserve">Para el período comprendido entre el 6 de julio al 15 de noviembre de 2023 y 2024 en relación con todos los Juzgados Civiles de Primera Instancia del Poder Judicial del Estado de México, considerando los tipos de resoluciones y los plazos específicos de 15 días para sentencias definitivas, 5 días para sentencias definitivas en Procedimientos de Controversia de Violencia Familiar y sentencias interlocutorias, y 3 días para Recursos de Revocación, en los siguientes términos: </w:t>
      </w:r>
    </w:p>
    <w:p w:rsidR="00C12005" w:rsidRPr="00B90BDC" w:rsidRDefault="00C12005">
      <w:pPr>
        <w:spacing w:line="360" w:lineRule="auto"/>
        <w:ind w:left="1134" w:right="708"/>
        <w:jc w:val="both"/>
        <w:rPr>
          <w:rFonts w:ascii="Palatino Linotype" w:eastAsia="Palatino Linotype" w:hAnsi="Palatino Linotype" w:cs="Palatino Linotype"/>
          <w:i/>
          <w:iCs/>
        </w:rPr>
      </w:pPr>
    </w:p>
    <w:p w:rsidR="00C12005" w:rsidRPr="00B90BDC" w:rsidRDefault="00114D49">
      <w:pPr>
        <w:spacing w:line="360" w:lineRule="auto"/>
        <w:ind w:left="1134" w:right="708"/>
        <w:jc w:val="both"/>
        <w:rPr>
          <w:rFonts w:ascii="Palatino Linotype" w:eastAsia="Palatino Linotype" w:hAnsi="Palatino Linotype" w:cs="Palatino Linotype"/>
          <w:i/>
          <w:iCs/>
        </w:rPr>
      </w:pPr>
      <w:r w:rsidRPr="00B90BDC">
        <w:rPr>
          <w:rFonts w:ascii="Palatino Linotype" w:eastAsia="Palatino Linotype" w:hAnsi="Palatino Linotype" w:cs="Palatino Linotype"/>
          <w:i/>
          <w:iCs/>
        </w:rPr>
        <w:t xml:space="preserve">1. Tiempo promedio de resolución de juicios desde su ingreso al Juzgado hasta la emisión de la sentencia. </w:t>
      </w:r>
    </w:p>
    <w:p w:rsidR="00C12005" w:rsidRPr="00B90BDC" w:rsidRDefault="00114D49">
      <w:pPr>
        <w:spacing w:line="360" w:lineRule="auto"/>
        <w:ind w:left="1134" w:right="708"/>
        <w:jc w:val="both"/>
        <w:rPr>
          <w:rFonts w:ascii="Palatino Linotype" w:eastAsia="Palatino Linotype" w:hAnsi="Palatino Linotype" w:cs="Palatino Linotype"/>
          <w:i/>
          <w:iCs/>
        </w:rPr>
      </w:pPr>
      <w:r w:rsidRPr="00B90BDC">
        <w:rPr>
          <w:rFonts w:ascii="Palatino Linotype" w:eastAsia="Palatino Linotype" w:hAnsi="Palatino Linotype" w:cs="Palatino Linotype"/>
          <w:i/>
          <w:iCs/>
        </w:rPr>
        <w:t xml:space="preserve">2. Promedio de Tiempo de emisión Resolución por Tipo de Sentencia y Juzgado (desde que el asunto se turna para resolución): </w:t>
      </w:r>
    </w:p>
    <w:p w:rsidR="00C12005" w:rsidRPr="00B90BDC" w:rsidRDefault="00114D49">
      <w:pPr>
        <w:spacing w:line="360" w:lineRule="auto"/>
        <w:ind w:left="1134" w:right="708"/>
        <w:jc w:val="both"/>
        <w:rPr>
          <w:rFonts w:ascii="Palatino Linotype" w:eastAsia="Palatino Linotype" w:hAnsi="Palatino Linotype" w:cs="Palatino Linotype"/>
          <w:i/>
          <w:iCs/>
        </w:rPr>
      </w:pPr>
      <w:r w:rsidRPr="00B90BDC">
        <w:rPr>
          <w:rFonts w:ascii="Palatino Linotype" w:eastAsia="Palatino Linotype" w:hAnsi="Palatino Linotype" w:cs="Palatino Linotype"/>
          <w:i/>
          <w:iCs/>
        </w:rPr>
        <w:t xml:space="preserve">3. Promedio de días necesarios para emitir sentencias definitivas, definitivas de controversia familiar, interlocutorias, y resoluciones de recursos de revocación, desglosado por cada juzgado durante el periodo. Se aclara que lo que se solicita es que el tiempo promedio sea expresado desde el momento en el que los asuntos son turnados para resolución. </w:t>
      </w:r>
    </w:p>
    <w:p w:rsidR="00C12005" w:rsidRPr="00B90BDC" w:rsidRDefault="00114D49">
      <w:pPr>
        <w:spacing w:line="360" w:lineRule="auto"/>
        <w:ind w:left="1134" w:right="708"/>
        <w:jc w:val="both"/>
        <w:rPr>
          <w:rFonts w:ascii="Palatino Linotype" w:eastAsia="Palatino Linotype" w:hAnsi="Palatino Linotype" w:cs="Palatino Linotype"/>
          <w:i/>
          <w:iCs/>
        </w:rPr>
      </w:pPr>
      <w:r w:rsidRPr="00B90BDC">
        <w:rPr>
          <w:rFonts w:ascii="Palatino Linotype" w:eastAsia="Palatino Linotype" w:hAnsi="Palatino Linotype" w:cs="Palatino Linotype"/>
          <w:i/>
          <w:iCs/>
        </w:rPr>
        <w:t xml:space="preserve">3. Número de Resoluciones Emitidas Fuera de los Plazos de 15, 5 y 3 Días: Cantidad de resoluciones en cada juzgado que excedieron los plazos de 15 días (para sentencias definitivas), 5 días (para sentencias de controversia familiar e interlocutorias) y 3 días (para recursos de revocación), desglosado por tipo de asunto, contados desde que el asunto es turnado para resolución. </w:t>
      </w:r>
    </w:p>
    <w:p w:rsidR="00C12005" w:rsidRPr="00B90BDC" w:rsidRDefault="00114D49">
      <w:pPr>
        <w:spacing w:line="360" w:lineRule="auto"/>
        <w:ind w:left="1134" w:right="708"/>
        <w:jc w:val="both"/>
        <w:rPr>
          <w:rFonts w:ascii="Palatino Linotype" w:eastAsia="Palatino Linotype" w:hAnsi="Palatino Linotype" w:cs="Palatino Linotype"/>
          <w:i/>
          <w:iCs/>
        </w:rPr>
      </w:pPr>
      <w:r w:rsidRPr="00B90BDC">
        <w:rPr>
          <w:rFonts w:ascii="Palatino Linotype" w:eastAsia="Palatino Linotype" w:hAnsi="Palatino Linotype" w:cs="Palatino Linotype"/>
          <w:i/>
          <w:iCs/>
        </w:rPr>
        <w:t xml:space="preserve">4. Sentencias revocadas: Se solicita se proporcione el número de resoluciones (sentencias definitivas, de controversia familiar, interlocutorias y recursos de </w:t>
      </w:r>
      <w:r w:rsidRPr="00B90BDC">
        <w:rPr>
          <w:rFonts w:ascii="Palatino Linotype" w:eastAsia="Palatino Linotype" w:hAnsi="Palatino Linotype" w:cs="Palatino Linotype"/>
          <w:i/>
          <w:iCs/>
        </w:rPr>
        <w:lastRenderedPageBreak/>
        <w:t>revocación) que fueron modificadas o revocadas en segunda instancia, desglosado por juzgado y tipo de resolución.</w:t>
      </w:r>
    </w:p>
    <w:p w:rsidR="00C12005" w:rsidRPr="00B90BDC" w:rsidRDefault="00C12005">
      <w:pPr>
        <w:spacing w:line="360" w:lineRule="auto"/>
        <w:ind w:left="1134" w:right="708"/>
        <w:jc w:val="both"/>
        <w:rPr>
          <w:rFonts w:ascii="Palatino Linotype" w:eastAsia="Palatino Linotype" w:hAnsi="Palatino Linotype" w:cs="Palatino Linotype"/>
          <w:i/>
          <w:iCs/>
        </w:rPr>
      </w:pPr>
    </w:p>
    <w:p w:rsidR="00C12005" w:rsidRPr="00B90BDC" w:rsidRDefault="00114D49" w:rsidP="00B90BDC">
      <w:pPr>
        <w:pStyle w:val="Prrafodelista"/>
        <w:numPr>
          <w:ilvl w:val="0"/>
          <w:numId w:val="1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rPr>
      </w:pPr>
      <w:r w:rsidRPr="00B90BDC">
        <w:rPr>
          <w:rFonts w:ascii="Palatino Linotype" w:eastAsia="Palatino Linotype" w:hAnsi="Palatino Linotype" w:cs="Palatino Linotype"/>
          <w:color w:val="000000"/>
          <w:sz w:val="24"/>
        </w:rPr>
        <w:t>Así mismo se puede advertir que el ejercicio del derecho de acceso a la información pública se centra en la potestad de los particulares para conocer el contenido de los documentos que obren en los archivos de los Sujetos Obligados, ya sea porque los generen, administren o simplemente los posean en el ejercicio de sus atribuciones.</w:t>
      </w:r>
    </w:p>
    <w:p w:rsidR="00C12005" w:rsidRPr="00B90BDC" w:rsidRDefault="00C12005">
      <w:pPr>
        <w:spacing w:line="360" w:lineRule="auto"/>
        <w:jc w:val="both"/>
        <w:rPr>
          <w:rFonts w:ascii="Palatino Linotype" w:eastAsia="Palatino Linotype" w:hAnsi="Palatino Linotype" w:cs="Palatino Linotype"/>
        </w:rPr>
      </w:pPr>
    </w:p>
    <w:p w:rsidR="00C12005" w:rsidRPr="00B90BDC" w:rsidRDefault="00114D49" w:rsidP="00B90BDC">
      <w:pPr>
        <w:pStyle w:val="Prrafodelista"/>
        <w:numPr>
          <w:ilvl w:val="0"/>
          <w:numId w:val="13"/>
        </w:numPr>
        <w:spacing w:line="360" w:lineRule="auto"/>
        <w:ind w:left="0" w:right="-29" w:firstLine="0"/>
        <w:jc w:val="both"/>
        <w:rPr>
          <w:rFonts w:ascii="Palatino Linotype" w:eastAsia="Palatino Linotype" w:hAnsi="Palatino Linotype" w:cs="Palatino Linotype"/>
          <w:sz w:val="24"/>
        </w:rPr>
      </w:pPr>
      <w:r w:rsidRPr="00B90BDC">
        <w:rPr>
          <w:rFonts w:ascii="Palatino Linotype" w:eastAsia="Palatino Linotype" w:hAnsi="Palatino Linotype" w:cs="Palatino Linotype"/>
          <w:color w:val="000000"/>
          <w:sz w:val="24"/>
        </w:rPr>
        <w:t xml:space="preserve">A más de lo anterior, es de explorado derecho que este Instituto no se encuentra facultado para dudar de la veracidad de la </w:t>
      </w:r>
      <w:r w:rsidRPr="00B90BDC">
        <w:rPr>
          <w:rFonts w:ascii="Palatino Linotype" w:eastAsia="Palatino Linotype" w:hAnsi="Palatino Linotype" w:cs="Palatino Linotype"/>
          <w:sz w:val="24"/>
        </w:rPr>
        <w:t>información</w:t>
      </w:r>
      <w:r w:rsidRPr="00B90BDC">
        <w:rPr>
          <w:rFonts w:ascii="Palatino Linotype" w:eastAsia="Palatino Linotype" w:hAnsi="Palatino Linotype" w:cs="Palatino Linotype"/>
          <w:color w:val="000000"/>
          <w:sz w:val="24"/>
        </w:rPr>
        <w:t xml:space="preserve"> que le fue entregada al hoy </w:t>
      </w:r>
      <w:r w:rsidRPr="00B90BDC">
        <w:rPr>
          <w:rFonts w:ascii="Palatino Linotype" w:eastAsia="Palatino Linotype" w:hAnsi="Palatino Linotype" w:cs="Palatino Linotype"/>
          <w:b/>
          <w:bCs/>
          <w:color w:val="000000"/>
          <w:sz w:val="24"/>
        </w:rPr>
        <w:t>RECURRENTE</w:t>
      </w:r>
      <w:r w:rsidRPr="00B90BDC">
        <w:rPr>
          <w:rFonts w:ascii="Palatino Linotype" w:eastAsia="Palatino Linotype" w:hAnsi="Palatino Linotype" w:cs="Palatino Linotype"/>
          <w:color w:val="000000"/>
          <w:sz w:val="24"/>
        </w:rPr>
        <w:t xml:space="preserve"> en el presente asunto, ni de las respuestas, ni de las documentales que ponen a disposición de los solicitantes los sujetos obligados, </w:t>
      </w:r>
      <w:r w:rsidRPr="00B90BDC">
        <w:rPr>
          <w:rFonts w:ascii="Palatino Linotype" w:eastAsia="Palatino Linotype" w:hAnsi="Palatino Linotype" w:cs="Palatino Linotype"/>
          <w:sz w:val="24"/>
        </w:rPr>
        <w:t xml:space="preserve">situación que se aleja de las atribuciones de este Instituto </w:t>
      </w:r>
      <w:r w:rsidRPr="00B90BDC">
        <w:rPr>
          <w:rFonts w:ascii="Palatino Linotype" w:eastAsia="Palatino Linotype" w:hAnsi="Palatino Linotype" w:cs="Palatino Linotype"/>
          <w:i/>
          <w:iCs/>
          <w:color w:val="000000"/>
          <w:sz w:val="24"/>
        </w:rPr>
        <w:t>máxime</w:t>
      </w:r>
      <w:r w:rsidRPr="00B90BDC">
        <w:rPr>
          <w:rFonts w:ascii="Palatino Linotype" w:eastAsia="Palatino Linotype" w:hAnsi="Palatino Linotype" w:cs="Palatino Linotype"/>
          <w:color w:val="000000"/>
          <w:sz w:val="24"/>
        </w:rPr>
        <w:t xml:space="preserve"> que al momento que ponen a disposición ésta, la misma tiene el carácter oficial y se presume veraz, tan es así que la misma queda registrada en el Sistema de Acceso a la Información Mexiquense (SAIMEX).</w:t>
      </w:r>
    </w:p>
    <w:p w:rsidR="00C12005" w:rsidRPr="00B90BDC" w:rsidRDefault="00C12005">
      <w:pPr>
        <w:pBdr>
          <w:top w:val="nil"/>
          <w:left w:val="nil"/>
          <w:bottom w:val="nil"/>
          <w:right w:val="nil"/>
          <w:between w:val="nil"/>
        </w:pBdr>
        <w:spacing w:line="360" w:lineRule="auto"/>
        <w:ind w:right="-29"/>
        <w:rPr>
          <w:rFonts w:ascii="Palatino Linotype" w:eastAsia="Palatino Linotype" w:hAnsi="Palatino Linotype" w:cs="Palatino Linotype"/>
          <w:color w:val="000000"/>
        </w:rPr>
      </w:pPr>
    </w:p>
    <w:p w:rsidR="00C12005" w:rsidRPr="00B90BDC" w:rsidRDefault="00114D49" w:rsidP="00B90BDC">
      <w:pPr>
        <w:numPr>
          <w:ilvl w:val="0"/>
          <w:numId w:val="13"/>
        </w:numPr>
        <w:spacing w:line="360" w:lineRule="auto"/>
        <w:ind w:left="0" w:right="-29" w:firstLine="0"/>
        <w:jc w:val="both"/>
        <w:rPr>
          <w:rFonts w:ascii="Palatino Linotype" w:eastAsia="Palatino Linotype" w:hAnsi="Palatino Linotype" w:cs="Palatino Linotype"/>
        </w:rPr>
      </w:pPr>
      <w:r w:rsidRPr="00B90BDC">
        <w:rPr>
          <w:rFonts w:ascii="Palatino Linotype" w:eastAsia="Palatino Linotype" w:hAnsi="Palatino Linotype" w:cs="Palatino Linotype"/>
        </w:rPr>
        <w:t xml:space="preserve">Sirviendo de apoyo a lo anterior por analogía, el criterio 31-10 emitido por el entonces Instituto </w:t>
      </w:r>
      <w:r w:rsidRPr="00B90BDC">
        <w:rPr>
          <w:rFonts w:ascii="Palatino Linotype" w:eastAsia="Palatino Linotype" w:hAnsi="Palatino Linotype" w:cs="Palatino Linotype"/>
          <w:color w:val="000000"/>
        </w:rPr>
        <w:t>Nacional</w:t>
      </w:r>
      <w:r w:rsidRPr="00B90BDC">
        <w:rPr>
          <w:rFonts w:ascii="Palatino Linotype" w:eastAsia="Palatino Linotype" w:hAnsi="Palatino Linotype" w:cs="Palatino Linotype"/>
        </w:rPr>
        <w:t xml:space="preserve"> de Transparencia, Acceso a la Información y Protección de Datos Personales, que a la letra dice:</w:t>
      </w:r>
    </w:p>
    <w:p w:rsidR="00C12005" w:rsidRPr="00B90BDC" w:rsidRDefault="00114D49">
      <w:pPr>
        <w:pBdr>
          <w:top w:val="nil"/>
          <w:left w:val="nil"/>
          <w:bottom w:val="nil"/>
          <w:right w:val="nil"/>
          <w:between w:val="nil"/>
        </w:pBdr>
        <w:spacing w:line="276"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i/>
          <w:iCs/>
          <w:color w:val="000000"/>
        </w:rPr>
        <w:t xml:space="preserve">“El Instituto Federal de Acceso a la Información y Protección de Datos </w:t>
      </w:r>
      <w:r w:rsidRPr="00B90BDC">
        <w:rPr>
          <w:rFonts w:ascii="Palatino Linotype" w:eastAsia="Palatino Linotype" w:hAnsi="Palatino Linotype" w:cs="Palatino Linotype"/>
          <w:b/>
          <w:bCs/>
          <w:i/>
          <w:iCs/>
          <w:color w:val="000000"/>
        </w:rPr>
        <w:t>no cuenta con facultades para pronunciarse respecto de la veracidad de los documentos proporcionados por los sujetos obligados.</w:t>
      </w:r>
      <w:r w:rsidRPr="00B90BDC">
        <w:rPr>
          <w:rFonts w:ascii="Palatino Linotype" w:eastAsia="Palatino Linotype" w:hAnsi="Palatino Linotype" w:cs="Palatino Linotype"/>
          <w:i/>
          <w:iCs/>
          <w:color w:val="000000"/>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w:t>
      </w:r>
      <w:r w:rsidRPr="00B90BDC">
        <w:rPr>
          <w:rFonts w:ascii="Palatino Linotype" w:eastAsia="Palatino Linotype" w:hAnsi="Palatino Linotype" w:cs="Palatino Linotype"/>
          <w:i/>
          <w:iCs/>
          <w:color w:val="000000"/>
        </w:rPr>
        <w:lastRenderedPageBreak/>
        <w:t>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C12005" w:rsidRPr="00B90BDC" w:rsidRDefault="00C12005">
      <w:pPr>
        <w:pBdr>
          <w:top w:val="nil"/>
          <w:left w:val="nil"/>
          <w:bottom w:val="nil"/>
          <w:right w:val="nil"/>
          <w:between w:val="nil"/>
        </w:pBdr>
        <w:spacing w:line="360" w:lineRule="auto"/>
        <w:ind w:right="-29"/>
        <w:jc w:val="both"/>
        <w:rPr>
          <w:rFonts w:ascii="Palatino Linotype" w:eastAsia="Palatino Linotype" w:hAnsi="Palatino Linotype" w:cs="Palatino Linotype"/>
          <w:i/>
          <w:iCs/>
          <w:color w:val="000000"/>
        </w:rPr>
      </w:pPr>
    </w:p>
    <w:p w:rsidR="00C12005" w:rsidRPr="00B90BDC" w:rsidRDefault="00114D49" w:rsidP="00B90BDC">
      <w:pPr>
        <w:numPr>
          <w:ilvl w:val="0"/>
          <w:numId w:val="13"/>
        </w:numPr>
        <w:spacing w:line="360" w:lineRule="auto"/>
        <w:ind w:left="0" w:right="-29" w:firstLine="0"/>
        <w:jc w:val="both"/>
        <w:rPr>
          <w:rFonts w:ascii="Palatino Linotype" w:eastAsia="Palatino Linotype" w:hAnsi="Palatino Linotype" w:cs="Palatino Linotype"/>
          <w:i/>
          <w:iCs/>
        </w:rPr>
      </w:pPr>
      <w:r w:rsidRPr="00B90BDC">
        <w:rPr>
          <w:rFonts w:ascii="Palatino Linotype" w:eastAsia="Palatino Linotype" w:hAnsi="Palatino Linotype" w:cs="Palatino Linotype"/>
        </w:rPr>
        <w:t xml:space="preserve">Así como lo dispuesto por la </w:t>
      </w:r>
      <w:r w:rsidRPr="00B90BDC">
        <w:rPr>
          <w:rFonts w:ascii="Palatino Linotype" w:eastAsia="Palatino Linotype" w:hAnsi="Palatino Linotype" w:cs="Palatino Linotype"/>
          <w:b/>
          <w:bCs/>
        </w:rPr>
        <w:t xml:space="preserve">Ley de Transparencia y Acceso a la Información Pública del </w:t>
      </w:r>
      <w:r w:rsidRPr="00B90BDC">
        <w:rPr>
          <w:rFonts w:ascii="Palatino Linotype" w:eastAsia="Palatino Linotype" w:hAnsi="Palatino Linotype" w:cs="Palatino Linotype"/>
          <w:color w:val="000000"/>
        </w:rPr>
        <w:t>Estado</w:t>
      </w:r>
      <w:r w:rsidRPr="00B90BDC">
        <w:rPr>
          <w:rFonts w:ascii="Palatino Linotype" w:eastAsia="Palatino Linotype" w:hAnsi="Palatino Linotype" w:cs="Palatino Linotype"/>
          <w:b/>
          <w:bCs/>
        </w:rPr>
        <w:t xml:space="preserve"> de México y Municipios</w:t>
      </w:r>
      <w:r w:rsidRPr="00B90BDC">
        <w:rPr>
          <w:rFonts w:ascii="Palatino Linotype" w:eastAsia="Palatino Linotype" w:hAnsi="Palatino Linotype" w:cs="Palatino Linotype"/>
        </w:rPr>
        <w:t xml:space="preserve"> en su artículo 3, el cual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C12005" w:rsidRDefault="00114D49">
      <w:pPr>
        <w:pBdr>
          <w:top w:val="nil"/>
          <w:left w:val="nil"/>
          <w:bottom w:val="nil"/>
          <w:right w:val="nil"/>
          <w:between w:val="nil"/>
        </w:pBdr>
        <w:tabs>
          <w:tab w:val="left" w:pos="7938"/>
        </w:tabs>
        <w:ind w:left="1134" w:right="1389"/>
        <w:jc w:val="both"/>
        <w:rPr>
          <w:rFonts w:ascii="Palatino Linotype" w:eastAsia="Palatino Linotype" w:hAnsi="Palatino Linotype" w:cs="Palatino Linotype"/>
          <w:b/>
          <w:bCs/>
          <w:i/>
          <w:iCs/>
          <w:color w:val="000000"/>
        </w:rPr>
      </w:pPr>
      <w:r w:rsidRPr="00B90BDC">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B90BDC">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rsidR="00B90BDC" w:rsidRPr="00B90BDC" w:rsidRDefault="00B90BDC">
      <w:pPr>
        <w:pBdr>
          <w:top w:val="nil"/>
          <w:left w:val="nil"/>
          <w:bottom w:val="nil"/>
          <w:right w:val="nil"/>
          <w:between w:val="nil"/>
        </w:pBdr>
        <w:tabs>
          <w:tab w:val="left" w:pos="7938"/>
        </w:tabs>
        <w:ind w:left="1134" w:right="1389"/>
        <w:jc w:val="both"/>
        <w:rPr>
          <w:rFonts w:ascii="Palatino Linotype" w:eastAsia="Palatino Linotype" w:hAnsi="Palatino Linotype" w:cs="Palatino Linotype"/>
          <w:b/>
          <w:bCs/>
          <w:i/>
          <w:iCs/>
          <w:color w:val="000000"/>
        </w:rPr>
      </w:pPr>
    </w:p>
    <w:p w:rsidR="00C12005" w:rsidRPr="00B90BDC" w:rsidRDefault="00114D49" w:rsidP="00B90BDC">
      <w:pPr>
        <w:numPr>
          <w:ilvl w:val="0"/>
          <w:numId w:val="13"/>
        </w:numPr>
        <w:spacing w:line="360" w:lineRule="auto"/>
        <w:ind w:left="0" w:right="-29" w:firstLine="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rPr>
        <w:t xml:space="preserve">Numerales que compelen al </w:t>
      </w:r>
      <w:r w:rsidRPr="00B90BDC">
        <w:rPr>
          <w:rFonts w:ascii="Palatino Linotype" w:eastAsia="Palatino Linotype" w:hAnsi="Palatino Linotype" w:cs="Palatino Linotype"/>
          <w:b/>
          <w:bCs/>
        </w:rPr>
        <w:t>SUJETO OBLIGADO</w:t>
      </w:r>
      <w:r w:rsidRPr="00B90BDC">
        <w:rPr>
          <w:rFonts w:ascii="Palatino Linotype" w:eastAsia="Palatino Linotype" w:hAnsi="Palatino Linotype" w:cs="Palatino Linotype"/>
        </w:rPr>
        <w:t xml:space="preserve"> apegarse en todo momento a los criterios ya expuestos, impidiendo a este Órgano Colegiado cuestionar la veracidad de la información.</w:t>
      </w:r>
    </w:p>
    <w:p w:rsidR="00C12005" w:rsidRPr="00B90BDC" w:rsidRDefault="00C12005">
      <w:pPr>
        <w:spacing w:line="360" w:lineRule="auto"/>
        <w:ind w:right="-29"/>
        <w:jc w:val="both"/>
        <w:rPr>
          <w:rFonts w:ascii="Palatino Linotype" w:eastAsia="Palatino Linotype" w:hAnsi="Palatino Linotype" w:cs="Palatino Linotype"/>
          <w:color w:val="000000"/>
        </w:rPr>
      </w:pPr>
    </w:p>
    <w:p w:rsidR="00C12005" w:rsidRPr="00B90BDC" w:rsidRDefault="00114D49" w:rsidP="00B90BDC">
      <w:pPr>
        <w:numPr>
          <w:ilvl w:val="0"/>
          <w:numId w:val="13"/>
        </w:numPr>
        <w:pBdr>
          <w:top w:val="nil"/>
          <w:left w:val="nil"/>
          <w:bottom w:val="nil"/>
          <w:right w:val="nil"/>
          <w:between w:val="nil"/>
        </w:pBdr>
        <w:shd w:val="clear" w:color="auto" w:fill="FDFCFB"/>
        <w:ind w:left="0" w:right="27" w:firstLine="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t>Ahora bien, es importante señalar que el artículo 4, párrafo segundo de la Ley de Transparencia y Acceso a la Información Pública del Estado de México y Municipios, dispone:</w:t>
      </w:r>
    </w:p>
    <w:p w:rsidR="00C12005" w:rsidRPr="00B90BDC" w:rsidRDefault="00114D49">
      <w:pPr>
        <w:shd w:val="clear" w:color="auto" w:fill="FDFCFB"/>
        <w:ind w:right="27"/>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b/>
          <w:bCs/>
          <w:color w:val="000000"/>
        </w:rPr>
        <w:t> </w:t>
      </w:r>
    </w:p>
    <w:p w:rsidR="00C12005" w:rsidRPr="00B90BDC" w:rsidRDefault="00114D49">
      <w:pPr>
        <w:shd w:val="clear" w:color="auto" w:fill="FDFCFB"/>
        <w:ind w:left="1134" w:right="1389"/>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i/>
          <w:iCs/>
          <w:color w:val="000000"/>
        </w:rPr>
        <w:lastRenderedPageBreak/>
        <w:t>“</w:t>
      </w:r>
      <w:r w:rsidRPr="00B90BDC">
        <w:rPr>
          <w:rFonts w:ascii="Palatino Linotype" w:eastAsia="Palatino Linotype" w:hAnsi="Palatino Linotype" w:cs="Palatino Linotype"/>
          <w:b/>
          <w:bCs/>
          <w:i/>
          <w:iCs/>
          <w:color w:val="000000"/>
        </w:rPr>
        <w:t>Artículo 4. …</w:t>
      </w:r>
    </w:p>
    <w:p w:rsidR="00C12005" w:rsidRPr="00B90BDC" w:rsidRDefault="00114D49">
      <w:pPr>
        <w:shd w:val="clear" w:color="auto" w:fill="FDFCFB"/>
        <w:ind w:left="1134" w:right="1389"/>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i/>
          <w:iCs/>
          <w:color w:val="00000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C12005" w:rsidRDefault="00114D49">
      <w:pPr>
        <w:shd w:val="clear" w:color="auto" w:fill="FDFCFB"/>
        <w:ind w:left="1134" w:right="1389"/>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t> </w:t>
      </w:r>
    </w:p>
    <w:p w:rsidR="00B90BDC" w:rsidRPr="00B90BDC" w:rsidRDefault="00B90BDC">
      <w:pPr>
        <w:shd w:val="clear" w:color="auto" w:fill="FDFCFB"/>
        <w:ind w:left="1134" w:right="1389"/>
        <w:rPr>
          <w:rFonts w:ascii="Palatino Linotype" w:eastAsia="Palatino Linotype" w:hAnsi="Palatino Linotype" w:cs="Palatino Linotype"/>
          <w:color w:val="000000"/>
        </w:rPr>
      </w:pPr>
    </w:p>
    <w:p w:rsidR="00C12005" w:rsidRPr="00B90BDC" w:rsidRDefault="00114D49" w:rsidP="00B90BDC">
      <w:pPr>
        <w:numPr>
          <w:ilvl w:val="0"/>
          <w:numId w:val="13"/>
        </w:numPr>
        <w:pBdr>
          <w:top w:val="nil"/>
          <w:left w:val="nil"/>
          <w:bottom w:val="nil"/>
          <w:right w:val="nil"/>
          <w:between w:val="nil"/>
        </w:pBdr>
        <w:shd w:val="clear" w:color="auto" w:fill="FDFCFB"/>
        <w:spacing w:line="360" w:lineRule="auto"/>
        <w:ind w:left="0" w:right="27" w:firstLine="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rsidR="00C12005" w:rsidRPr="00B90BDC" w:rsidRDefault="00114D49">
      <w:pPr>
        <w:shd w:val="clear" w:color="auto" w:fill="FDFCFB"/>
        <w:ind w:right="27"/>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b/>
          <w:bCs/>
          <w:color w:val="000000"/>
        </w:rPr>
        <w:t> </w:t>
      </w:r>
    </w:p>
    <w:p w:rsidR="00C12005" w:rsidRPr="00B90BDC" w:rsidRDefault="00114D49" w:rsidP="00B90BDC">
      <w:pPr>
        <w:numPr>
          <w:ilvl w:val="0"/>
          <w:numId w:val="13"/>
        </w:numPr>
        <w:pBdr>
          <w:top w:val="nil"/>
          <w:left w:val="nil"/>
          <w:bottom w:val="nil"/>
          <w:right w:val="nil"/>
          <w:between w:val="nil"/>
        </w:pBdr>
        <w:shd w:val="clear" w:color="auto" w:fill="FDFCFB"/>
        <w:spacing w:line="360" w:lineRule="auto"/>
        <w:ind w:left="0" w:right="27" w:firstLine="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t>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w:t>
      </w:r>
    </w:p>
    <w:p w:rsidR="00C12005" w:rsidRPr="00B90BDC" w:rsidRDefault="00114D49" w:rsidP="00B90BDC">
      <w:pPr>
        <w:shd w:val="clear" w:color="auto" w:fill="FDFCFB"/>
        <w:ind w:left="720" w:right="27"/>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i/>
          <w:iCs/>
          <w:color w:val="000000"/>
        </w:rPr>
        <w:t>“</w:t>
      </w:r>
      <w:r w:rsidRPr="00B90BDC">
        <w:rPr>
          <w:rFonts w:ascii="Palatino Linotype" w:eastAsia="Palatino Linotype" w:hAnsi="Palatino Linotype" w:cs="Palatino Linotype"/>
          <w:b/>
          <w:bCs/>
          <w:i/>
          <w:iCs/>
          <w:color w:val="000000"/>
        </w:rPr>
        <w:t>Artículo 12.</w:t>
      </w:r>
      <w:r w:rsidRPr="00B90BDC">
        <w:rPr>
          <w:rFonts w:ascii="Palatino Linotype" w:eastAsia="Palatino Linotype" w:hAnsi="Palatino Linotype" w:cs="Palatino Linotype"/>
          <w:i/>
          <w:iCs/>
          <w:color w:val="000000"/>
        </w:rPr>
        <w:t> Quienes generen, recopilen, administren, manejen, procesen, archiven o conserven información pública serán responsables de la misma en los términos de las disposiciones jurídicas aplicables.</w:t>
      </w:r>
    </w:p>
    <w:p w:rsidR="00C12005" w:rsidRPr="00B90BDC" w:rsidRDefault="00114D49">
      <w:pPr>
        <w:shd w:val="clear" w:color="auto" w:fill="FDFCFB"/>
        <w:ind w:left="1134" w:right="1389"/>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i/>
          <w:iCs/>
          <w:color w:val="000000"/>
        </w:rPr>
        <w:t> </w:t>
      </w:r>
    </w:p>
    <w:p w:rsidR="00C12005" w:rsidRPr="00B90BDC" w:rsidRDefault="00114D49">
      <w:pPr>
        <w:shd w:val="clear" w:color="auto" w:fill="FDFCFB"/>
        <w:ind w:left="1134" w:right="1389"/>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i/>
          <w:iCs/>
          <w:color w:val="00000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C12005" w:rsidRPr="00B90BDC" w:rsidRDefault="00114D49">
      <w:pPr>
        <w:shd w:val="clear" w:color="auto" w:fill="FDFCFB"/>
        <w:ind w:right="27"/>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t> </w:t>
      </w:r>
    </w:p>
    <w:p w:rsidR="00C12005" w:rsidRPr="00B90BDC" w:rsidRDefault="00114D49" w:rsidP="00B90BDC">
      <w:pPr>
        <w:numPr>
          <w:ilvl w:val="0"/>
          <w:numId w:val="13"/>
        </w:numPr>
        <w:pBdr>
          <w:top w:val="nil"/>
          <w:left w:val="nil"/>
          <w:bottom w:val="nil"/>
          <w:right w:val="nil"/>
          <w:between w:val="nil"/>
        </w:pBdr>
        <w:shd w:val="clear" w:color="auto" w:fill="FDFCFB"/>
        <w:spacing w:line="360" w:lineRule="auto"/>
        <w:ind w:left="0" w:right="27" w:firstLine="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lastRenderedPageBreak/>
        <w:t xml:space="preserve">En síntesis, el derecho de acceso a la información pública se satisface en aquellos casos en que se entregue el soporte documental en que conste la información pública, toda vez que, los Sujetos Obligados </w:t>
      </w:r>
      <w:r w:rsidRPr="00B90BDC">
        <w:rPr>
          <w:rFonts w:ascii="Palatino Linotype" w:eastAsia="Palatino Linotype" w:hAnsi="Palatino Linotype" w:cs="Palatino Linotype"/>
          <w:b/>
          <w:bCs/>
          <w:color w:val="000000"/>
        </w:rPr>
        <w:t>no tienen el deber de generar, poseer o administrar la información pública con el grado de detalle solicitado</w:t>
      </w:r>
      <w:r w:rsidRPr="00B90BDC">
        <w:rPr>
          <w:rFonts w:ascii="Palatino Linotype" w:eastAsia="Palatino Linotype" w:hAnsi="Palatino Linotype" w:cs="Palatino Linotype"/>
          <w:color w:val="000000"/>
        </w:rPr>
        <w:t xml:space="preserve">; esto es, que </w:t>
      </w:r>
      <w:r w:rsidRPr="00B90BDC">
        <w:rPr>
          <w:rFonts w:ascii="Palatino Linotype" w:eastAsia="Palatino Linotype" w:hAnsi="Palatino Linotype" w:cs="Palatino Linotype"/>
          <w:b/>
          <w:bCs/>
          <w:color w:val="000000"/>
        </w:rPr>
        <w:t>no tienen el deber de generar un documento ad hoc,</w:t>
      </w:r>
      <w:r w:rsidRPr="00B90BDC">
        <w:rPr>
          <w:rFonts w:ascii="Palatino Linotype" w:eastAsia="Palatino Linotype" w:hAnsi="Palatino Linotype" w:cs="Palatino Linotype"/>
          <w:color w:val="000000"/>
        </w:rPr>
        <w:t xml:space="preserve"> para satisfacer el derecho de acceso a la información pública.</w:t>
      </w:r>
    </w:p>
    <w:p w:rsidR="00C12005" w:rsidRPr="00B90BDC" w:rsidRDefault="00114D49">
      <w:pPr>
        <w:shd w:val="clear" w:color="auto" w:fill="FDFCFB"/>
        <w:spacing w:line="360" w:lineRule="auto"/>
        <w:ind w:right="27"/>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b/>
          <w:bCs/>
          <w:color w:val="000000"/>
        </w:rPr>
        <w:t> </w:t>
      </w:r>
    </w:p>
    <w:p w:rsidR="00C12005" w:rsidRPr="00B90BDC" w:rsidRDefault="00114D49" w:rsidP="00B90BDC">
      <w:pPr>
        <w:numPr>
          <w:ilvl w:val="0"/>
          <w:numId w:val="13"/>
        </w:numPr>
        <w:pBdr>
          <w:top w:val="nil"/>
          <w:left w:val="nil"/>
          <w:bottom w:val="nil"/>
          <w:right w:val="nil"/>
          <w:between w:val="nil"/>
        </w:pBdr>
        <w:shd w:val="clear" w:color="auto" w:fill="FDFCFB"/>
        <w:spacing w:line="360" w:lineRule="auto"/>
        <w:ind w:left="0" w:right="27" w:firstLine="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t>Como apoyo a lo anterior, es aplicable el Criterio 03-17, emitido por el Instituto Nacional de Transparencia, Acceso a la Información y Protección de Datos Personales, que dice:</w:t>
      </w:r>
    </w:p>
    <w:p w:rsidR="00C12005" w:rsidRPr="00B90BDC" w:rsidRDefault="00114D49" w:rsidP="00B90BDC">
      <w:pPr>
        <w:shd w:val="clear" w:color="auto" w:fill="FDFCFB"/>
        <w:ind w:left="720" w:right="68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b/>
          <w:bCs/>
          <w:i/>
          <w:iCs/>
          <w:color w:val="000000"/>
        </w:rPr>
        <w:t>“No existe obligación de elaborar documentos ad hoc para atender las solicitudes de acceso a la información.</w:t>
      </w:r>
      <w:r w:rsidRPr="00B90BDC">
        <w:rPr>
          <w:rFonts w:ascii="Palatino Linotype" w:eastAsia="Palatino Linotype" w:hAnsi="Palatino Linotype" w:cs="Palatino Linotype"/>
          <w:i/>
          <w:iCs/>
          <w:color w:val="000000"/>
        </w:rPr>
        <w:t>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C12005" w:rsidRPr="00B90BDC" w:rsidRDefault="00114D49">
      <w:pPr>
        <w:shd w:val="clear" w:color="auto" w:fill="FDFCFB"/>
        <w:ind w:left="1134" w:right="1389"/>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i/>
          <w:iCs/>
          <w:color w:val="000000"/>
        </w:rPr>
        <w:t> </w:t>
      </w:r>
    </w:p>
    <w:p w:rsidR="00C12005" w:rsidRPr="00B90BDC" w:rsidRDefault="00114D49">
      <w:pPr>
        <w:shd w:val="clear" w:color="auto" w:fill="FDFCFB"/>
        <w:ind w:left="1134" w:right="1389"/>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i/>
          <w:iCs/>
          <w:color w:val="000000"/>
        </w:rPr>
        <w:t>Resoluciones:</w:t>
      </w:r>
    </w:p>
    <w:p w:rsidR="00C12005" w:rsidRPr="00B90BDC" w:rsidRDefault="00114D49">
      <w:pPr>
        <w:shd w:val="clear" w:color="auto" w:fill="FDFCFB"/>
        <w:ind w:left="1134" w:right="1389"/>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i/>
          <w:iCs/>
          <w:color w:val="000000"/>
        </w:rPr>
        <w:t> RRA 0050/16. Instituto Nacional para la Evaluación de la Educación. 13 julio de 2016. Por unanimidad. Comisionado Ponente: Francisco Javier Acuña Llamas.</w:t>
      </w:r>
    </w:p>
    <w:p w:rsidR="00C12005" w:rsidRPr="00B90BDC" w:rsidRDefault="00114D49">
      <w:pPr>
        <w:shd w:val="clear" w:color="auto" w:fill="FDFCFB"/>
        <w:ind w:left="1134" w:right="1389"/>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i/>
          <w:iCs/>
          <w:color w:val="000000"/>
        </w:rPr>
        <w:t> RRA 0310/16. Instituto Nacional de Transparencia, Acceso a la Información y Protección de Datos Personales. </w:t>
      </w:r>
      <w:r w:rsidRPr="00B90BDC">
        <w:rPr>
          <w:rFonts w:ascii="Palatino Linotype" w:eastAsia="Palatino Linotype" w:hAnsi="Palatino Linotype" w:cs="Palatino Linotype"/>
          <w:i/>
          <w:iCs/>
          <w:color w:val="51862F"/>
        </w:rPr>
        <w:t>10 de agosto</w:t>
      </w:r>
      <w:r w:rsidRPr="00B90BDC">
        <w:rPr>
          <w:rFonts w:ascii="Palatino Linotype" w:eastAsia="Palatino Linotype" w:hAnsi="Palatino Linotype" w:cs="Palatino Linotype"/>
          <w:i/>
          <w:iCs/>
          <w:color w:val="000000"/>
        </w:rPr>
        <w:t> de 2016. Por unanimidad. Comisionada Ponente. Areli Cano Guadiana.</w:t>
      </w:r>
    </w:p>
    <w:p w:rsidR="00C12005" w:rsidRPr="00B90BDC" w:rsidRDefault="00114D49">
      <w:pPr>
        <w:shd w:val="clear" w:color="auto" w:fill="FDFCFB"/>
        <w:ind w:left="1134" w:right="1389"/>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i/>
          <w:iCs/>
          <w:color w:val="000000"/>
        </w:rPr>
        <w:t> RRA 1889/16. Secretaría de Hacienda y Crédito Público. </w:t>
      </w:r>
      <w:r w:rsidRPr="00B90BDC">
        <w:rPr>
          <w:rFonts w:ascii="Palatino Linotype" w:eastAsia="Palatino Linotype" w:hAnsi="Palatino Linotype" w:cs="Palatino Linotype"/>
          <w:i/>
          <w:iCs/>
          <w:color w:val="51862F"/>
        </w:rPr>
        <w:t>05 de octubre</w:t>
      </w:r>
      <w:r w:rsidRPr="00B90BDC">
        <w:rPr>
          <w:rFonts w:ascii="Palatino Linotype" w:eastAsia="Palatino Linotype" w:hAnsi="Palatino Linotype" w:cs="Palatino Linotype"/>
          <w:i/>
          <w:iCs/>
          <w:color w:val="000000"/>
        </w:rPr>
        <w:t> de 2016. Por unanimidad. Comisionada Ponente. Ximena Puente de la Mora.”</w:t>
      </w:r>
    </w:p>
    <w:p w:rsidR="00C12005" w:rsidRPr="00B90BDC" w:rsidRDefault="00114D49">
      <w:pPr>
        <w:shd w:val="clear" w:color="auto" w:fill="FDFCFB"/>
        <w:ind w:left="1134" w:right="1389"/>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b/>
          <w:bCs/>
          <w:color w:val="000000"/>
        </w:rPr>
        <w:t> </w:t>
      </w:r>
    </w:p>
    <w:p w:rsidR="00C12005" w:rsidRPr="00B90BDC" w:rsidRDefault="00114D49" w:rsidP="00B90BDC">
      <w:pPr>
        <w:numPr>
          <w:ilvl w:val="0"/>
          <w:numId w:val="13"/>
        </w:numPr>
        <w:pBdr>
          <w:top w:val="nil"/>
          <w:left w:val="nil"/>
          <w:bottom w:val="nil"/>
          <w:right w:val="nil"/>
          <w:between w:val="nil"/>
        </w:pBdr>
        <w:shd w:val="clear" w:color="auto" w:fill="FDFCFB"/>
        <w:spacing w:line="360" w:lineRule="auto"/>
        <w:ind w:left="0" w:right="27" w:firstLine="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lastRenderedPageBreak/>
        <w:t>Así 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C12005" w:rsidRPr="00B90BDC" w:rsidRDefault="00114D49">
      <w:pPr>
        <w:shd w:val="clear" w:color="auto" w:fill="FDFCFB"/>
        <w:spacing w:line="360" w:lineRule="auto"/>
        <w:ind w:right="27"/>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b/>
          <w:bCs/>
          <w:color w:val="000000"/>
        </w:rPr>
        <w:t> </w:t>
      </w:r>
    </w:p>
    <w:p w:rsidR="00C12005" w:rsidRPr="00B90BDC" w:rsidRDefault="00114D49" w:rsidP="00B90BDC">
      <w:pPr>
        <w:numPr>
          <w:ilvl w:val="0"/>
          <w:numId w:val="13"/>
        </w:numPr>
        <w:pBdr>
          <w:top w:val="nil"/>
          <w:left w:val="nil"/>
          <w:bottom w:val="nil"/>
          <w:right w:val="nil"/>
          <w:between w:val="nil"/>
        </w:pBdr>
        <w:shd w:val="clear" w:color="auto" w:fill="FDFCFB"/>
        <w:spacing w:line="360" w:lineRule="auto"/>
        <w:ind w:left="0" w:right="27" w:firstLine="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rsidR="00C12005" w:rsidRPr="00B90BDC" w:rsidRDefault="00114D49">
      <w:pPr>
        <w:shd w:val="clear" w:color="auto" w:fill="FDFCFB"/>
        <w:ind w:left="1134" w:right="153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t> </w:t>
      </w:r>
      <w:r w:rsidRPr="00B90BDC">
        <w:rPr>
          <w:rFonts w:ascii="Palatino Linotype" w:eastAsia="Palatino Linotype" w:hAnsi="Palatino Linotype" w:cs="Palatino Linotype"/>
          <w:b/>
          <w:bCs/>
          <w:i/>
          <w:iCs/>
          <w:color w:val="000000"/>
        </w:rPr>
        <w:t>“Artículo 3.</w:t>
      </w:r>
      <w:r w:rsidRPr="00B90BDC">
        <w:rPr>
          <w:rFonts w:ascii="Palatino Linotype" w:eastAsia="Palatino Linotype" w:hAnsi="Palatino Linotype" w:cs="Palatino Linotype"/>
          <w:i/>
          <w:iCs/>
          <w:color w:val="000000"/>
        </w:rPr>
        <w:t> Para los efectos de la presente Ley se entenderá por:</w:t>
      </w:r>
    </w:p>
    <w:p w:rsidR="00C12005" w:rsidRPr="00B90BDC" w:rsidRDefault="00114D49">
      <w:pPr>
        <w:shd w:val="clear" w:color="auto" w:fill="FDFCFB"/>
        <w:ind w:left="1134" w:right="153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i/>
          <w:iCs/>
          <w:color w:val="000000"/>
        </w:rPr>
        <w:t>(…)</w:t>
      </w:r>
    </w:p>
    <w:p w:rsidR="00C12005" w:rsidRPr="00B90BDC" w:rsidRDefault="00114D49">
      <w:pPr>
        <w:shd w:val="clear" w:color="auto" w:fill="FDFCFB"/>
        <w:ind w:left="1134" w:right="153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b/>
          <w:bCs/>
          <w:i/>
          <w:iCs/>
          <w:color w:val="000000"/>
        </w:rPr>
        <w:t>XI. Documento:</w:t>
      </w:r>
      <w:r w:rsidRPr="00B90BDC">
        <w:rPr>
          <w:rFonts w:ascii="Palatino Linotype" w:eastAsia="Palatino Linotype" w:hAnsi="Palatino Linotype" w:cs="Palatino Linotype"/>
          <w:i/>
          <w:iCs/>
          <w:color w:val="000000"/>
        </w:rPr>
        <w:t>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B90BDC">
        <w:rPr>
          <w:rFonts w:ascii="Palatino Linotype" w:eastAsia="Palatino Linotype" w:hAnsi="Palatino Linotype" w:cs="Palatino Linotype"/>
          <w:b/>
          <w:bCs/>
          <w:i/>
          <w:iCs/>
          <w:color w:val="000000"/>
        </w:rPr>
        <w:t>Los documentos podrán estar en cualquier medio, sea escrito, impreso, sonoro, visual, electrónico, informático u holográfico;</w:t>
      </w:r>
    </w:p>
    <w:p w:rsidR="00C12005" w:rsidRPr="00B90BDC" w:rsidRDefault="00114D49">
      <w:pPr>
        <w:shd w:val="clear" w:color="auto" w:fill="FDFCFB"/>
        <w:ind w:right="27"/>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i/>
          <w:iCs/>
          <w:color w:val="000000"/>
        </w:rPr>
        <w:t>(…)”</w:t>
      </w:r>
    </w:p>
    <w:p w:rsidR="00C12005" w:rsidRDefault="00C12005">
      <w:pPr>
        <w:shd w:val="clear" w:color="auto" w:fill="FDFCFB"/>
        <w:ind w:right="27"/>
        <w:jc w:val="both"/>
        <w:rPr>
          <w:rFonts w:ascii="Palatino Linotype" w:eastAsia="Palatino Linotype" w:hAnsi="Palatino Linotype" w:cs="Palatino Linotype"/>
          <w:color w:val="000000"/>
        </w:rPr>
      </w:pPr>
    </w:p>
    <w:p w:rsidR="00B90BDC" w:rsidRPr="00B90BDC" w:rsidRDefault="00B90BDC">
      <w:pPr>
        <w:shd w:val="clear" w:color="auto" w:fill="FDFCFB"/>
        <w:ind w:right="27"/>
        <w:jc w:val="both"/>
        <w:rPr>
          <w:rFonts w:ascii="Palatino Linotype" w:eastAsia="Palatino Linotype" w:hAnsi="Palatino Linotype" w:cs="Palatino Linotype"/>
          <w:color w:val="000000"/>
        </w:rPr>
      </w:pPr>
    </w:p>
    <w:p w:rsidR="00C12005" w:rsidRPr="00B90BDC" w:rsidRDefault="00114D49" w:rsidP="00B90BDC">
      <w:pPr>
        <w:widowControl w:val="0"/>
        <w:numPr>
          <w:ilvl w:val="0"/>
          <w:numId w:val="13"/>
        </w:numPr>
        <w:pBdr>
          <w:top w:val="nil"/>
          <w:left w:val="nil"/>
          <w:bottom w:val="nil"/>
          <w:right w:val="nil"/>
          <w:between w:val="nil"/>
        </w:pBdr>
        <w:spacing w:line="360" w:lineRule="auto"/>
        <w:ind w:left="0" w:right="-29" w:firstLine="0"/>
        <w:jc w:val="both"/>
        <w:rPr>
          <w:rFonts w:ascii="Palatino Linotype" w:eastAsia="Palatino Linotype" w:hAnsi="Palatino Linotype" w:cs="Palatino Linotype"/>
          <w:color w:val="0D0D0D"/>
        </w:rPr>
      </w:pPr>
      <w:r w:rsidRPr="00B90BDC">
        <w:rPr>
          <w:rFonts w:ascii="Palatino Linotype" w:eastAsia="Palatino Linotype" w:hAnsi="Palatino Linotype" w:cs="Palatino Linotype"/>
          <w:color w:val="0D0D0D"/>
        </w:rPr>
        <w:t xml:space="preserve">Ahora bien, el Criterio orientador, con clave de control SO/008/2023, de la Tercera </w:t>
      </w:r>
      <w:r w:rsidRPr="00B90BDC">
        <w:rPr>
          <w:rFonts w:ascii="Palatino Linotype" w:eastAsia="Palatino Linotype" w:hAnsi="Palatino Linotype" w:cs="Palatino Linotype"/>
          <w:color w:val="0D0D0D"/>
        </w:rPr>
        <w:lastRenderedPageBreak/>
        <w:t>Época, emitido por el Pleno del entonces Instituto Nacional de Transparencia, Acceso a la Información y Protección de Datos Personales, establece que la información estadística es de naturaleza pública, al ser el producto de un conjunto de resultados cuantitativos obtenidos de un proceso sistemático de captación de datos primarios obtenidos sobre hechos que constan en la documentación que los sujetos obligados poseen, por lo que, dichos datos no se encuentran individualizados o personalizados.</w:t>
      </w:r>
    </w:p>
    <w:p w:rsidR="00C12005" w:rsidRPr="00B90BDC" w:rsidRDefault="00C12005">
      <w:pPr>
        <w:pBdr>
          <w:top w:val="nil"/>
          <w:left w:val="nil"/>
          <w:bottom w:val="nil"/>
          <w:right w:val="nil"/>
          <w:between w:val="nil"/>
        </w:pBdr>
        <w:spacing w:line="360" w:lineRule="auto"/>
        <w:ind w:right="-29"/>
        <w:jc w:val="both"/>
        <w:rPr>
          <w:rFonts w:ascii="Palatino Linotype" w:eastAsia="Palatino Linotype" w:hAnsi="Palatino Linotype" w:cs="Palatino Linotype"/>
          <w:color w:val="000000"/>
        </w:rPr>
      </w:pPr>
    </w:p>
    <w:p w:rsidR="00C12005" w:rsidRPr="00B90BDC" w:rsidRDefault="00114D49" w:rsidP="00B90BDC">
      <w:pPr>
        <w:numPr>
          <w:ilvl w:val="0"/>
          <w:numId w:val="13"/>
        </w:numPr>
        <w:pBdr>
          <w:top w:val="nil"/>
          <w:left w:val="nil"/>
          <w:bottom w:val="nil"/>
          <w:right w:val="nil"/>
          <w:between w:val="nil"/>
        </w:pBdr>
        <w:tabs>
          <w:tab w:val="left" w:pos="851"/>
        </w:tabs>
        <w:spacing w:before="240" w:after="240" w:line="360" w:lineRule="auto"/>
        <w:ind w:left="0" w:right="-29" w:firstLine="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t xml:space="preserve">Por lo expuesto , resulta vital importancia destacar que los requerimientos formulados por el particular, van encaminados a conocer un </w:t>
      </w:r>
      <w:r w:rsidRPr="00B90BDC">
        <w:rPr>
          <w:rFonts w:ascii="Palatino Linotype" w:eastAsia="Palatino Linotype" w:hAnsi="Palatino Linotype" w:cs="Palatino Linotype"/>
          <w:b/>
          <w:bCs/>
          <w:i/>
          <w:iCs/>
          <w:color w:val="000000"/>
        </w:rPr>
        <w:t>datos de orden estadístico</w:t>
      </w:r>
      <w:r w:rsidRPr="00B90BDC">
        <w:rPr>
          <w:rFonts w:ascii="Palatino Linotype" w:eastAsia="Palatino Linotype" w:hAnsi="Palatino Linotype" w:cs="Palatino Linotype"/>
          <w:color w:val="000000"/>
        </w:rPr>
        <w:t>, luego entonces en términos de los criterios emitidos por el Instituto Federal de Transparencia, Acceso a la Información Pública y Protección de Datos Personales ahora Instituto Nacional de Transparencia, Acceso a la Información Pública y Protección de Datos Personales:</w:t>
      </w:r>
    </w:p>
    <w:p w:rsidR="00C12005" w:rsidRPr="00B90BDC" w:rsidRDefault="00114D49">
      <w:pPr>
        <w:pBdr>
          <w:top w:val="nil"/>
          <w:left w:val="nil"/>
          <w:bottom w:val="nil"/>
          <w:right w:val="nil"/>
          <w:between w:val="nil"/>
        </w:pBdr>
        <w:spacing w:after="120" w:line="276" w:lineRule="auto"/>
        <w:ind w:left="1134" w:right="900"/>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b/>
          <w:bCs/>
          <w:i/>
          <w:iCs/>
          <w:color w:val="000000"/>
        </w:rPr>
        <w:t xml:space="preserve">“Bases de datos. Deberá otorgarse acceso a las mismas, en el formato en el que obren en los archivos de los sujetos obligados, a fin de garantizar la libre explotación, manipulación y reutilización de la información que contienen. </w:t>
      </w:r>
      <w:r w:rsidRPr="00B90BDC">
        <w:rPr>
          <w:rFonts w:ascii="Palatino Linotype" w:eastAsia="Palatino Linotype" w:hAnsi="Palatino Linotype" w:cs="Palatino Linotype"/>
          <w:i/>
          <w:iCs/>
          <w:color w:val="000000"/>
        </w:rPr>
        <w:t xml:space="preserve">Uno de los objetivos de la Ley Federal de Transparencia y Acceso a la Información Pública Gubernamental, previsto en el artículo 4, fracción I, es garantizar el acceso a la información en posesión de los sujetos obligados. En este sentido, al amparo de la Ley es posible solicitar acceso a la información contenida en documentos, en el sentido más amplio  del  término,  en el formato  en  el  que  se  encuentren  en  los  archivos  de  las dependencias y entidades, el cual puede ser escrito, impreso, sonoro, visual, electrónico, informático u holográfico, de conformidad con lo dispuesto en las fracciones III y V del artículo 3 de la Ley. En este contexto y de conformidad con lo dispuesto en el artículo 42 de dicho ordenamiento legal que establece que las dependencias y entidades están obligadas a proporcionar la información que se encuentra en sus archivos, en la forma en que lo permita el documento de que se trate, ante </w:t>
      </w:r>
      <w:r w:rsidRPr="00B90BDC">
        <w:rPr>
          <w:rFonts w:ascii="Palatino Linotype" w:eastAsia="Palatino Linotype" w:hAnsi="Palatino Linotype" w:cs="Palatino Linotype"/>
          <w:i/>
          <w:iCs/>
          <w:color w:val="000000"/>
        </w:rPr>
        <w:lastRenderedPageBreak/>
        <w:t>solicitudes de acceso en las que se requieran bases de datos, o información pública contenida en éstas, deberá otorgarse acceso a las mismas, por tratarse de documentos en archivo electrónico a partir de los cuales se recoge, genera, transforma o conserva información de los sujetos obligados. La entrega de dicha información no constituye la elaboración de un documento ad hoc, ni resulta una carga para las autoridades, pues consiste, simplemente, en poner a disposición de los particulares las bases de datos, o el repositorio de las mismas, en el formato en el que obran en sus archivos, garantizando a los solicitantes la libre explotación, manipulación y reutilización de la información gubernamental.</w:t>
      </w:r>
    </w:p>
    <w:p w:rsidR="00C12005" w:rsidRPr="00B90BDC" w:rsidRDefault="00114D49">
      <w:pPr>
        <w:pBdr>
          <w:top w:val="nil"/>
          <w:left w:val="nil"/>
          <w:bottom w:val="nil"/>
          <w:right w:val="nil"/>
          <w:between w:val="nil"/>
        </w:pBdr>
        <w:spacing w:after="120" w:line="276" w:lineRule="auto"/>
        <w:ind w:left="1134" w:right="958"/>
        <w:jc w:val="both"/>
        <w:rPr>
          <w:color w:val="000000"/>
        </w:rPr>
      </w:pPr>
      <w:r w:rsidRPr="00B90BDC">
        <w:rPr>
          <w:rFonts w:ascii="Palatino Linotype" w:eastAsia="Palatino Linotype" w:hAnsi="Palatino Linotype" w:cs="Palatino Linotype"/>
          <w:b/>
          <w:bCs/>
          <w:i/>
          <w:iCs/>
          <w:color w:val="000000"/>
        </w:rPr>
        <w:t xml:space="preserve">La información estadística es de naturaleza pública, independientemente de la materia con la que se encuentre vinculada. </w:t>
      </w:r>
      <w:r w:rsidRPr="00B90BDC">
        <w:rPr>
          <w:rFonts w:ascii="Palatino Linotype" w:eastAsia="Palatino Linotype" w:hAnsi="Palatino Linotype" w:cs="Palatino Linotype"/>
          <w:i/>
          <w:iCs/>
          <w:color w:val="000000"/>
        </w:rPr>
        <w:t>Considerando que la información   estadística   es   el   producto   de   un   conjunto   de   resultados cuantitativos obtenidos de un proceso sistemático de captación de datos primarios obtenidos sobre hechos que constan en documentos que las dependencias y entidades poseen, derivado del ejercicio de sus atribuciones, y que el artículo 7, fracción XVII de la Ley Federal de Transparencia y Acceso a la Información Pública Gubernamental establece que los sujetos obligados deberán poner a disposición del público, entre otra, la relativa a la que con base en la información estadística, responda a las preguntas hechas con más frecuencia por el público, es posible afirmar que la información estadística es de naturaleza pública. Lo anterior se debe también a que, por definición, los datos estadísticos no se encuentran individualizados o personalizados a casos o situaciones específicas que pudieran llegar a justificar su clasificación.” (Sic)</w:t>
      </w:r>
    </w:p>
    <w:p w:rsidR="00C12005" w:rsidRPr="00B90BDC" w:rsidRDefault="00C12005">
      <w:pPr>
        <w:pBdr>
          <w:top w:val="nil"/>
          <w:left w:val="nil"/>
          <w:bottom w:val="nil"/>
          <w:right w:val="nil"/>
          <w:between w:val="nil"/>
        </w:pBdr>
        <w:spacing w:after="120"/>
        <w:ind w:left="1134" w:right="958"/>
        <w:jc w:val="both"/>
        <w:rPr>
          <w:color w:val="000000"/>
        </w:rPr>
      </w:pPr>
    </w:p>
    <w:p w:rsidR="00C12005" w:rsidRPr="00B90BDC" w:rsidRDefault="00114D49" w:rsidP="00B90BDC">
      <w:pPr>
        <w:numPr>
          <w:ilvl w:val="0"/>
          <w:numId w:val="13"/>
        </w:numPr>
        <w:pBdr>
          <w:top w:val="nil"/>
          <w:left w:val="nil"/>
          <w:bottom w:val="nil"/>
          <w:right w:val="nil"/>
          <w:between w:val="nil"/>
        </w:pBdr>
        <w:tabs>
          <w:tab w:val="left" w:pos="567"/>
        </w:tabs>
        <w:spacing w:line="360" w:lineRule="auto"/>
        <w:ind w:left="0" w:right="-29" w:firstLine="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t xml:space="preserve">Es así que, la información estadística, independientemente de la materia con la que se encuentre vinculada, no es susceptible de ser clasificada, por lo que debe ordenarse su entrega. </w:t>
      </w:r>
    </w:p>
    <w:p w:rsidR="00C12005" w:rsidRPr="00B90BDC" w:rsidRDefault="00C12005">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rPr>
      </w:pPr>
    </w:p>
    <w:p w:rsidR="00C12005" w:rsidRPr="00B90BDC" w:rsidRDefault="00114D49" w:rsidP="00B90BDC">
      <w:pPr>
        <w:numPr>
          <w:ilvl w:val="0"/>
          <w:numId w:val="13"/>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color w:val="000000"/>
        </w:rPr>
      </w:pPr>
      <w:r w:rsidRPr="00B90BDC">
        <w:rPr>
          <w:rFonts w:ascii="Palatino Linotype" w:eastAsia="Palatino Linotype" w:hAnsi="Palatino Linotype" w:cs="Palatino Linotype"/>
          <w:color w:val="000000"/>
        </w:rPr>
        <w:t xml:space="preserve">En virtud de lo anterior, se tiene que en el caso concreto, el </w:t>
      </w:r>
      <w:r w:rsidRPr="00B90BDC">
        <w:rPr>
          <w:rFonts w:ascii="Palatino Linotype" w:eastAsia="Palatino Linotype" w:hAnsi="Palatino Linotype" w:cs="Palatino Linotype"/>
          <w:b/>
          <w:bCs/>
          <w:color w:val="000000"/>
        </w:rPr>
        <w:t>Sujeto Obligado</w:t>
      </w:r>
      <w:r w:rsidRPr="00B90BDC">
        <w:rPr>
          <w:rFonts w:ascii="Palatino Linotype" w:eastAsia="Palatino Linotype" w:hAnsi="Palatino Linotype" w:cs="Palatino Linotype"/>
          <w:color w:val="000000"/>
        </w:rPr>
        <w:t xml:space="preserve"> dio cabal cumplimiento con el requisito de turnar la solicitud de información al área competente que puede poseer, generar y/o administrar la información requerida.</w:t>
      </w:r>
    </w:p>
    <w:p w:rsidR="00C12005" w:rsidRPr="00B90BDC" w:rsidRDefault="00114D49" w:rsidP="00B90BDC">
      <w:pPr>
        <w:numPr>
          <w:ilvl w:val="0"/>
          <w:numId w:val="13"/>
        </w:numPr>
        <w:pBdr>
          <w:top w:val="nil"/>
          <w:left w:val="nil"/>
          <w:bottom w:val="nil"/>
          <w:right w:val="nil"/>
          <w:between w:val="nil"/>
        </w:pBdr>
        <w:spacing w:before="240" w:after="160" w:line="360" w:lineRule="auto"/>
        <w:ind w:left="0" w:right="27" w:firstLine="0"/>
        <w:jc w:val="both"/>
        <w:rPr>
          <w:rFonts w:ascii="Palatino Linotype" w:eastAsia="Palatino Linotype" w:hAnsi="Palatino Linotype" w:cs="Palatino Linotype"/>
          <w:b/>
          <w:bCs/>
          <w:i/>
          <w:iCs/>
          <w:color w:val="000000"/>
        </w:rPr>
      </w:pPr>
      <w:r w:rsidRPr="00B90BDC">
        <w:rPr>
          <w:rFonts w:ascii="Palatino Linotype" w:eastAsia="Palatino Linotype" w:hAnsi="Palatino Linotype" w:cs="Palatino Linotype"/>
          <w:color w:val="000000"/>
        </w:rPr>
        <w:lastRenderedPageBreak/>
        <w:t xml:space="preserve"> Ahora bien, la Dirección de Información y Estadística  posee las atribuciones</w:t>
      </w:r>
      <w:r w:rsidRPr="00B90BDC">
        <w:rPr>
          <w:rFonts w:ascii="Palatino Linotype" w:eastAsia="Palatino Linotype" w:hAnsi="Palatino Linotype" w:cs="Palatino Linotype"/>
          <w:color w:val="000000"/>
          <w:vertAlign w:val="superscript"/>
        </w:rPr>
        <w:footnoteReference w:id="5"/>
      </w:r>
      <w:r w:rsidRPr="00B90BDC">
        <w:rPr>
          <w:rFonts w:ascii="Palatino Linotype" w:eastAsia="Palatino Linotype" w:hAnsi="Palatino Linotype" w:cs="Palatino Linotype"/>
          <w:color w:val="000000"/>
        </w:rPr>
        <w:t xml:space="preserve"> siguientes:</w:t>
      </w:r>
    </w:p>
    <w:p w:rsidR="00C12005" w:rsidRPr="00B90BDC" w:rsidRDefault="00114D49">
      <w:pPr>
        <w:pBdr>
          <w:top w:val="nil"/>
          <w:left w:val="nil"/>
          <w:bottom w:val="nil"/>
          <w:right w:val="nil"/>
          <w:between w:val="nil"/>
        </w:pBdr>
        <w:spacing w:before="240" w:after="160" w:line="276"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i/>
          <w:iCs/>
          <w:color w:val="000000"/>
        </w:rPr>
        <w:t>I. Recabar, organizar, procesar y analizar la información estadística relativa a las actividades que realizan los órganos jurisdiccionales, unidades administrativas y órganos desconcentrados o auxiliares del Poder Judicial del Estado de México;</w:t>
      </w:r>
    </w:p>
    <w:p w:rsidR="00C12005" w:rsidRPr="00B90BDC" w:rsidRDefault="00114D49">
      <w:pPr>
        <w:pBdr>
          <w:top w:val="nil"/>
          <w:left w:val="nil"/>
          <w:bottom w:val="nil"/>
          <w:right w:val="nil"/>
          <w:between w:val="nil"/>
        </w:pBdr>
        <w:spacing w:before="240" w:after="160" w:line="276"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i/>
          <w:iCs/>
          <w:color w:val="000000"/>
        </w:rPr>
        <w:t>II. Suscribir previa aprobación del Director o Directora General de Finanzas y Planeación, los actos necesarios para el cumplimiento de los fines del presupuesto institucional;</w:t>
      </w:r>
    </w:p>
    <w:p w:rsidR="00C12005" w:rsidRPr="00B90BDC" w:rsidRDefault="00114D49">
      <w:pPr>
        <w:pBdr>
          <w:top w:val="nil"/>
          <w:left w:val="nil"/>
          <w:bottom w:val="nil"/>
          <w:right w:val="nil"/>
          <w:between w:val="nil"/>
        </w:pBdr>
        <w:spacing w:before="240" w:after="160" w:line="276"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i/>
          <w:iCs/>
          <w:color w:val="000000"/>
        </w:rPr>
        <w:t>III. Contar con información actualizada que sirva para la toma de decisiones, promoviendo para su integración el empleo de la tecnología;</w:t>
      </w:r>
    </w:p>
    <w:p w:rsidR="00C12005" w:rsidRPr="00B90BDC" w:rsidRDefault="00114D49">
      <w:pPr>
        <w:pBdr>
          <w:top w:val="nil"/>
          <w:left w:val="nil"/>
          <w:bottom w:val="nil"/>
          <w:right w:val="nil"/>
          <w:between w:val="nil"/>
        </w:pBdr>
        <w:spacing w:before="240" w:after="160" w:line="276"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i/>
          <w:iCs/>
          <w:color w:val="000000"/>
        </w:rPr>
        <w:t>IV. Presentar al Director o Directora General de Finanzas y Planeación un informe mensual estadístico sobre el estado que guardan los órganos jurisdiccionales;</w:t>
      </w:r>
    </w:p>
    <w:p w:rsidR="00C12005" w:rsidRPr="00B90BDC" w:rsidRDefault="00114D49">
      <w:pPr>
        <w:pBdr>
          <w:top w:val="nil"/>
          <w:left w:val="nil"/>
          <w:bottom w:val="nil"/>
          <w:right w:val="nil"/>
          <w:between w:val="nil"/>
        </w:pBdr>
        <w:spacing w:before="240" w:after="160" w:line="276"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i/>
          <w:iCs/>
          <w:color w:val="000000"/>
        </w:rPr>
        <w:t>V. Solicitar, previa aprobación del Órgano de Administración Judicial y por conducto de la Secretaria o Secretario Técnico, a los órganos jurisdiccionales, a las unidades administrativas y a los órganos desconcentrados o auxiliares del Poder Judicial del Estado de México, la información necesaria para el cumplimiento de sus funciones;</w:t>
      </w:r>
    </w:p>
    <w:p w:rsidR="00C12005" w:rsidRPr="00B90BDC" w:rsidRDefault="00114D49">
      <w:pPr>
        <w:pBdr>
          <w:top w:val="nil"/>
          <w:left w:val="nil"/>
          <w:bottom w:val="nil"/>
          <w:right w:val="nil"/>
          <w:between w:val="nil"/>
        </w:pBdr>
        <w:spacing w:before="240" w:after="160" w:line="276"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i/>
          <w:iCs/>
          <w:color w:val="000000"/>
        </w:rPr>
        <w:t>VI. Administrar las bases de datos estadísticos del área a su cargo;</w:t>
      </w:r>
    </w:p>
    <w:p w:rsidR="00C12005" w:rsidRPr="00B90BDC" w:rsidRDefault="00114D49">
      <w:pPr>
        <w:pBdr>
          <w:top w:val="nil"/>
          <w:left w:val="nil"/>
          <w:bottom w:val="nil"/>
          <w:right w:val="nil"/>
          <w:between w:val="nil"/>
        </w:pBdr>
        <w:spacing w:before="240" w:after="160" w:line="276"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i/>
          <w:iCs/>
          <w:color w:val="000000"/>
        </w:rPr>
        <w:t>VII. Supervisar y autorizar la actualización y validación de los datos captados en los sistemas institucionales; y</w:t>
      </w:r>
    </w:p>
    <w:p w:rsidR="00C12005" w:rsidRPr="00B90BDC" w:rsidRDefault="00114D49">
      <w:pPr>
        <w:pBdr>
          <w:top w:val="nil"/>
          <w:left w:val="nil"/>
          <w:bottom w:val="nil"/>
          <w:right w:val="nil"/>
          <w:between w:val="nil"/>
        </w:pBdr>
        <w:spacing w:before="240" w:after="160" w:line="276"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i/>
          <w:iCs/>
          <w:color w:val="000000"/>
        </w:rPr>
        <w:t>VIII. Las demás que le otorguen las disposiciones legales aplicables y las que expresamente le sean conferidas por el Órgano de Administración Judicial.</w:t>
      </w:r>
    </w:p>
    <w:p w:rsidR="00C12005" w:rsidRPr="00B90BDC" w:rsidRDefault="00114D49" w:rsidP="00B90BDC">
      <w:pPr>
        <w:numPr>
          <w:ilvl w:val="0"/>
          <w:numId w:val="13"/>
        </w:numPr>
        <w:pBdr>
          <w:top w:val="nil"/>
          <w:left w:val="nil"/>
          <w:bottom w:val="nil"/>
          <w:right w:val="nil"/>
          <w:between w:val="nil"/>
        </w:pBdr>
        <w:spacing w:before="240" w:after="160" w:line="360" w:lineRule="auto"/>
        <w:ind w:left="0" w:right="27" w:firstLine="0"/>
        <w:jc w:val="both"/>
        <w:rPr>
          <w:rFonts w:ascii="Palatino Linotype" w:eastAsia="Palatino Linotype" w:hAnsi="Palatino Linotype" w:cs="Palatino Linotype"/>
          <w:b/>
          <w:bCs/>
          <w:i/>
          <w:iCs/>
          <w:color w:val="000000"/>
        </w:rPr>
      </w:pPr>
      <w:r w:rsidRPr="00B90BDC">
        <w:rPr>
          <w:rFonts w:ascii="Palatino Linotype" w:eastAsia="Palatino Linotype" w:hAnsi="Palatino Linotype" w:cs="Palatino Linotype"/>
          <w:color w:val="000000"/>
        </w:rPr>
        <w:lastRenderedPageBreak/>
        <w:t>Así mismo el Departamento de Procesos Estadísticos dependiente de la Dirección en cita cuyo objetivo general consiste en procesar la información que general los órganos jurisdiccionales, órganos desconcentrados y unidades administrativas del Poder Judicial del Estado de México para proporcionar información veraz y oportuna al usuario y cuyas funciones</w:t>
      </w:r>
      <w:r w:rsidRPr="00B90BDC">
        <w:rPr>
          <w:rFonts w:ascii="Palatino Linotype" w:eastAsia="Palatino Linotype" w:hAnsi="Palatino Linotype" w:cs="Palatino Linotype"/>
          <w:color w:val="000000"/>
          <w:vertAlign w:val="superscript"/>
        </w:rPr>
        <w:footnoteReference w:id="6"/>
      </w:r>
      <w:r w:rsidRPr="00B90BDC">
        <w:rPr>
          <w:rFonts w:ascii="Palatino Linotype" w:eastAsia="Palatino Linotype" w:hAnsi="Palatino Linotype" w:cs="Palatino Linotype"/>
          <w:color w:val="000000"/>
        </w:rPr>
        <w:t xml:space="preserve"> se desglosan: </w:t>
      </w:r>
    </w:p>
    <w:p w:rsidR="00C12005" w:rsidRPr="00B90BDC" w:rsidRDefault="00114D49">
      <w:pPr>
        <w:pBdr>
          <w:top w:val="nil"/>
          <w:left w:val="nil"/>
          <w:bottom w:val="nil"/>
          <w:right w:val="nil"/>
          <w:between w:val="nil"/>
        </w:pBdr>
        <w:spacing w:before="240" w:after="160" w:line="276"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i/>
          <w:iCs/>
          <w:color w:val="000000"/>
        </w:rPr>
        <w:t>I. Ejecutar las actividades que integran la Planificación Anual de Trabajo del</w:t>
      </w:r>
    </w:p>
    <w:p w:rsidR="00C12005" w:rsidRPr="00B90BDC" w:rsidRDefault="00114D49">
      <w:pPr>
        <w:pBdr>
          <w:top w:val="nil"/>
          <w:left w:val="nil"/>
          <w:bottom w:val="nil"/>
          <w:right w:val="nil"/>
          <w:between w:val="nil"/>
        </w:pBdr>
        <w:spacing w:before="240" w:after="160" w:line="276"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i/>
          <w:iCs/>
          <w:color w:val="000000"/>
        </w:rPr>
        <w:t>Departamento; así como, informar de los avances y logros alcanzados.</w:t>
      </w:r>
    </w:p>
    <w:p w:rsidR="00C12005" w:rsidRPr="00B90BDC" w:rsidRDefault="00114D49">
      <w:pPr>
        <w:pBdr>
          <w:top w:val="nil"/>
          <w:left w:val="nil"/>
          <w:bottom w:val="nil"/>
          <w:right w:val="nil"/>
          <w:between w:val="nil"/>
        </w:pBdr>
        <w:spacing w:before="240" w:after="160" w:line="276"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i/>
          <w:iCs/>
          <w:color w:val="000000"/>
        </w:rPr>
        <w:t>II. Desarrollar mecanismos y procedimientos de trabajo para el procesamiento de la información estadística de los órganos jurisdiccionales, órganos desconcentrados y unidades administrativas en las diversas regiones, instancias y materias de atención.</w:t>
      </w:r>
    </w:p>
    <w:p w:rsidR="00C12005" w:rsidRPr="00B90BDC" w:rsidRDefault="00114D49">
      <w:pPr>
        <w:pBdr>
          <w:top w:val="nil"/>
          <w:left w:val="nil"/>
          <w:bottom w:val="nil"/>
          <w:right w:val="nil"/>
          <w:between w:val="nil"/>
        </w:pBdr>
        <w:spacing w:before="240" w:after="160" w:line="276" w:lineRule="auto"/>
        <w:ind w:left="1134" w:right="1389"/>
        <w:jc w:val="both"/>
        <w:rPr>
          <w:rFonts w:ascii="Palatino Linotype" w:eastAsia="Palatino Linotype" w:hAnsi="Palatino Linotype" w:cs="Palatino Linotype"/>
          <w:b/>
          <w:bCs/>
          <w:i/>
          <w:iCs/>
          <w:color w:val="000000"/>
        </w:rPr>
      </w:pPr>
      <w:r w:rsidRPr="00B90BDC">
        <w:rPr>
          <w:rFonts w:ascii="Palatino Linotype" w:eastAsia="Palatino Linotype" w:hAnsi="Palatino Linotype" w:cs="Palatino Linotype"/>
          <w:b/>
          <w:bCs/>
          <w:i/>
          <w:iCs/>
          <w:color w:val="000000"/>
        </w:rPr>
        <w:t>III. Analizar los requerimientos necesarios para la elaboración de procesos que permitan la manipulación de la información institucional enviada o registrada por órganos jurisdiccionales, órganos desconcentrados, unidades administrativas o alguna otra fuente.</w:t>
      </w:r>
    </w:p>
    <w:p w:rsidR="00C12005" w:rsidRPr="00B90BDC" w:rsidRDefault="00114D49">
      <w:pPr>
        <w:pBdr>
          <w:top w:val="nil"/>
          <w:left w:val="nil"/>
          <w:bottom w:val="nil"/>
          <w:right w:val="nil"/>
          <w:between w:val="nil"/>
        </w:pBdr>
        <w:spacing w:before="240" w:after="160" w:line="276"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i/>
          <w:iCs/>
          <w:color w:val="000000"/>
        </w:rPr>
        <w:t>IV. Verificar el funcionamiento de las herramientas bajo resguardo de la Dirección de Información y Estadística que acerquen información institucional a las y los usuarios internos y externos.</w:t>
      </w:r>
    </w:p>
    <w:p w:rsidR="00C12005" w:rsidRPr="00B90BDC" w:rsidRDefault="00114D49">
      <w:pPr>
        <w:pBdr>
          <w:top w:val="nil"/>
          <w:left w:val="nil"/>
          <w:bottom w:val="nil"/>
          <w:right w:val="nil"/>
          <w:between w:val="nil"/>
        </w:pBdr>
        <w:spacing w:before="240" w:after="160" w:line="276"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i/>
          <w:iCs/>
          <w:color w:val="000000"/>
        </w:rPr>
        <w:t>V. Desarrollar los mecanismos que apoyen el procesamiento de información institucional con base en los requerimientos obtenidos.</w:t>
      </w:r>
    </w:p>
    <w:p w:rsidR="00C12005" w:rsidRPr="00B90BDC" w:rsidRDefault="00114D49">
      <w:pPr>
        <w:pBdr>
          <w:top w:val="nil"/>
          <w:left w:val="nil"/>
          <w:bottom w:val="nil"/>
          <w:right w:val="nil"/>
          <w:between w:val="nil"/>
        </w:pBdr>
        <w:spacing w:before="240" w:after="160" w:line="276"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i/>
          <w:iCs/>
          <w:color w:val="000000"/>
        </w:rPr>
        <w:t>VI. Proponer a la Subdirección de Procesos Estadísticos mejoras que optimicen los procesos de análisis y procesamiento de la información, para eficientar el trabajo operativo de la Dirección de Información y Estadística.</w:t>
      </w:r>
    </w:p>
    <w:p w:rsidR="00C12005" w:rsidRPr="00B90BDC" w:rsidRDefault="00114D49">
      <w:pPr>
        <w:pBdr>
          <w:top w:val="nil"/>
          <w:left w:val="nil"/>
          <w:bottom w:val="nil"/>
          <w:right w:val="nil"/>
          <w:between w:val="nil"/>
        </w:pBdr>
        <w:spacing w:before="240" w:after="160" w:line="276" w:lineRule="auto"/>
        <w:ind w:left="1134" w:right="1389"/>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i/>
          <w:iCs/>
          <w:color w:val="000000"/>
        </w:rPr>
        <w:lastRenderedPageBreak/>
        <w:t>VII. Desarrollar las demás funciones inherentes al área de su competencia.</w:t>
      </w:r>
    </w:p>
    <w:p w:rsidR="00C12005" w:rsidRPr="00B90BDC" w:rsidRDefault="00114D49">
      <w:pPr>
        <w:pBdr>
          <w:top w:val="nil"/>
          <w:left w:val="nil"/>
          <w:bottom w:val="nil"/>
          <w:right w:val="nil"/>
          <w:between w:val="nil"/>
        </w:pBdr>
        <w:spacing w:before="240" w:after="160" w:line="360" w:lineRule="auto"/>
        <w:ind w:right="27"/>
        <w:jc w:val="both"/>
        <w:rPr>
          <w:rFonts w:ascii="Palatino Linotype" w:eastAsia="Palatino Linotype" w:hAnsi="Palatino Linotype" w:cs="Palatino Linotype"/>
          <w:i/>
          <w:iCs/>
          <w:color w:val="000000"/>
        </w:rPr>
      </w:pPr>
      <w:r w:rsidRPr="00B90BDC">
        <w:rPr>
          <w:rFonts w:ascii="Palatino Linotype" w:eastAsia="Palatino Linotype" w:hAnsi="Palatino Linotype" w:cs="Palatino Linotype"/>
          <w:color w:val="000000"/>
        </w:rPr>
        <w:t xml:space="preserve"> </w:t>
      </w:r>
    </w:p>
    <w:p w:rsidR="00C12005" w:rsidRPr="00B90BDC" w:rsidRDefault="00114D49" w:rsidP="00B90BDC">
      <w:pPr>
        <w:pStyle w:val="Prrafodelista"/>
        <w:numPr>
          <w:ilvl w:val="0"/>
          <w:numId w:val="13"/>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color w:val="000000"/>
          <w:sz w:val="24"/>
        </w:rPr>
      </w:pPr>
      <w:r w:rsidRPr="00B90BDC">
        <w:rPr>
          <w:rFonts w:ascii="Palatino Linotype" w:eastAsia="Palatino Linotype" w:hAnsi="Palatino Linotype" w:cs="Palatino Linotype"/>
          <w:color w:val="000000"/>
          <w:sz w:val="24"/>
        </w:rPr>
        <w:t>Por lo que al haber señalado el Sujeto Obligado haber entregado la información en el nivel de desagregación al que lo constriñe la ley y haber realizado una búsqueda minuciosa, exhaustiva y razonable en los documentos y registros que dieran cuenta a lo solicitado por el hoy Recurrente; es que fue colmada la pretensión del particular.</w:t>
      </w:r>
    </w:p>
    <w:p w:rsidR="00C12005" w:rsidRPr="00B90BDC" w:rsidRDefault="00C12005">
      <w:pPr>
        <w:pBdr>
          <w:top w:val="nil"/>
          <w:left w:val="nil"/>
          <w:bottom w:val="nil"/>
          <w:right w:val="nil"/>
          <w:between w:val="nil"/>
        </w:pBdr>
        <w:spacing w:line="360" w:lineRule="auto"/>
        <w:ind w:left="1495" w:right="27"/>
        <w:jc w:val="both"/>
        <w:rPr>
          <w:rFonts w:ascii="Palatino Linotype" w:eastAsia="Palatino Linotype" w:hAnsi="Palatino Linotype" w:cs="Palatino Linotype"/>
        </w:rPr>
      </w:pPr>
    </w:p>
    <w:p w:rsidR="00C12005" w:rsidRPr="00B90BDC" w:rsidRDefault="00114D49">
      <w:pPr>
        <w:spacing w:line="360" w:lineRule="auto"/>
        <w:ind w:right="49"/>
        <w:jc w:val="both"/>
        <w:rPr>
          <w:rFonts w:ascii="Palatino Linotype" w:eastAsia="Palatino Linotype" w:hAnsi="Palatino Linotype" w:cs="Palatino Linotype"/>
          <w:b/>
          <w:bCs/>
        </w:rPr>
      </w:pPr>
      <w:r w:rsidRPr="00B90BDC">
        <w:rPr>
          <w:rFonts w:ascii="Palatino Linotype" w:eastAsia="Palatino Linotype" w:hAnsi="Palatino Linotype" w:cs="Palatino Linotype"/>
          <w:b/>
          <w:bCs/>
        </w:rPr>
        <w:t>Conclusión</w:t>
      </w:r>
    </w:p>
    <w:p w:rsidR="00C12005" w:rsidRPr="00B90BDC" w:rsidRDefault="00114D49" w:rsidP="00B90BDC">
      <w:pPr>
        <w:pStyle w:val="Prrafodelista"/>
        <w:numPr>
          <w:ilvl w:val="0"/>
          <w:numId w:val="1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sz w:val="24"/>
        </w:rPr>
      </w:pPr>
      <w:r w:rsidRPr="00B90BDC">
        <w:rPr>
          <w:rFonts w:ascii="Palatino Linotype" w:eastAsia="Palatino Linotype" w:hAnsi="Palatino Linotype" w:cs="Palatino Linotype"/>
          <w:color w:val="000000"/>
          <w:sz w:val="24"/>
        </w:rPr>
        <w:t xml:space="preserve">En mérito de lo expuesto, resultan infundadas las razones o motivos de inconformidad hechos valer por el RECURRENTE dentro del recurso de revisión </w:t>
      </w:r>
      <w:r w:rsidRPr="00B90BDC">
        <w:rPr>
          <w:rFonts w:ascii="Palatino Linotype" w:eastAsia="Palatino Linotype" w:hAnsi="Palatino Linotype" w:cs="Palatino Linotype"/>
          <w:b/>
          <w:bCs/>
          <w:color w:val="000000"/>
          <w:sz w:val="24"/>
        </w:rPr>
        <w:t xml:space="preserve">09133/INFOEM/IP/RR/2025, </w:t>
      </w:r>
      <w:r w:rsidRPr="00B90BDC">
        <w:rPr>
          <w:rFonts w:ascii="Palatino Linotype" w:eastAsia="Palatino Linotype" w:hAnsi="Palatino Linotype" w:cs="Palatino Linotype"/>
          <w:color w:val="000000"/>
          <w:sz w:val="24"/>
        </w:rPr>
        <w:t>por ello, éste Órgano Garante determina</w:t>
      </w:r>
      <w:r w:rsidRPr="00B90BDC">
        <w:rPr>
          <w:rFonts w:ascii="Palatino Linotype" w:eastAsia="Palatino Linotype" w:hAnsi="Palatino Linotype" w:cs="Palatino Linotype"/>
          <w:b/>
          <w:bCs/>
          <w:color w:val="000000"/>
          <w:sz w:val="24"/>
        </w:rPr>
        <w:t xml:space="preserve"> CONFIRMAR  </w:t>
      </w:r>
      <w:r w:rsidRPr="00B90BDC">
        <w:rPr>
          <w:rFonts w:ascii="Palatino Linotype" w:eastAsia="Palatino Linotype" w:hAnsi="Palatino Linotype" w:cs="Palatino Linotype"/>
          <w:color w:val="000000"/>
          <w:sz w:val="24"/>
        </w:rPr>
        <w:t>la respuesta otorgada por el</w:t>
      </w:r>
      <w:r w:rsidRPr="00B90BDC">
        <w:rPr>
          <w:rFonts w:ascii="Palatino Linotype" w:eastAsia="Palatino Linotype" w:hAnsi="Palatino Linotype" w:cs="Palatino Linotype"/>
          <w:b/>
          <w:bCs/>
          <w:color w:val="000000"/>
          <w:sz w:val="24"/>
        </w:rPr>
        <w:t xml:space="preserve"> SUJETO OBLIGADO  </w:t>
      </w:r>
      <w:r w:rsidRPr="00B90BDC">
        <w:rPr>
          <w:rFonts w:ascii="Palatino Linotype" w:eastAsia="Palatino Linotype" w:hAnsi="Palatino Linotype" w:cs="Palatino Linotype"/>
          <w:color w:val="000000"/>
          <w:sz w:val="24"/>
        </w:rPr>
        <w:t>en la solicitud de información</w:t>
      </w:r>
      <w:r w:rsidRPr="00B90BDC">
        <w:rPr>
          <w:rFonts w:ascii="Palatino Linotype" w:eastAsia="Palatino Linotype" w:hAnsi="Palatino Linotype" w:cs="Palatino Linotype"/>
          <w:b/>
          <w:bCs/>
          <w:color w:val="000000"/>
          <w:sz w:val="24"/>
        </w:rPr>
        <w:t xml:space="preserve"> 00693/PJUDICI/IP/2025.</w:t>
      </w:r>
      <w:r w:rsidRPr="00B90BDC">
        <w:rPr>
          <w:rFonts w:ascii="Palatino Linotype" w:eastAsia="Palatino Linotype" w:hAnsi="Palatino Linotype" w:cs="Palatino Linotype"/>
          <w:b/>
          <w:bCs/>
          <w:color w:val="000000"/>
          <w:sz w:val="24"/>
        </w:rPr>
        <w:tab/>
      </w:r>
    </w:p>
    <w:p w:rsidR="00C12005" w:rsidRPr="00B90BDC" w:rsidRDefault="00C12005">
      <w:pPr>
        <w:ind w:right="-28"/>
        <w:jc w:val="both"/>
        <w:rPr>
          <w:rFonts w:ascii="Palatino Linotype" w:eastAsia="Palatino Linotype" w:hAnsi="Palatino Linotype" w:cs="Palatino Linotype"/>
        </w:rPr>
      </w:pPr>
    </w:p>
    <w:p w:rsidR="00C12005" w:rsidRPr="00B90BDC" w:rsidRDefault="00114D49" w:rsidP="00B90BDC">
      <w:pPr>
        <w:pStyle w:val="Prrafodelista"/>
        <w:numPr>
          <w:ilvl w:val="0"/>
          <w:numId w:val="1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sz w:val="24"/>
        </w:rPr>
      </w:pPr>
      <w:r w:rsidRPr="00B90BDC">
        <w:rPr>
          <w:rFonts w:ascii="Palatino Linotype" w:eastAsia="Palatino Linotype" w:hAnsi="Palatino Linotype" w:cs="Palatino Linotype"/>
          <w:sz w:val="24"/>
        </w:rPr>
        <w:t>Con fundamento en lo prescrito en los artículos 5, párrafos trigésimo, trigésimo primero y trigésimo segundo de la Constitución Política del Estado Libre y Soberano de México; 2, fracción II; 29, 36 fracciones I y II; 176, 178, 179, 181 y 185 de la Ley de Transparencia y Acceso a la Información Pública del Estado de México y Municipios, este Pleno:</w:t>
      </w:r>
    </w:p>
    <w:p w:rsidR="00C12005" w:rsidRPr="00B90BDC" w:rsidRDefault="00C12005">
      <w:pPr>
        <w:spacing w:line="720" w:lineRule="auto"/>
        <w:ind w:right="-28"/>
        <w:jc w:val="both"/>
        <w:rPr>
          <w:rFonts w:ascii="Palatino Linotype" w:eastAsia="Palatino Linotype" w:hAnsi="Palatino Linotype" w:cs="Palatino Linotype"/>
        </w:rPr>
      </w:pPr>
    </w:p>
    <w:p w:rsidR="00C12005" w:rsidRPr="00B90BDC" w:rsidRDefault="00114D49">
      <w:pPr>
        <w:keepNext/>
        <w:keepLines/>
        <w:spacing w:line="360" w:lineRule="auto"/>
        <w:ind w:right="-28"/>
        <w:jc w:val="center"/>
        <w:rPr>
          <w:rFonts w:ascii="Palatino Linotype" w:eastAsia="Palatino Linotype" w:hAnsi="Palatino Linotype" w:cs="Palatino Linotype"/>
          <w:b/>
          <w:bCs/>
          <w:color w:val="000000"/>
        </w:rPr>
      </w:pPr>
      <w:r w:rsidRPr="00B90BDC">
        <w:rPr>
          <w:rFonts w:ascii="Palatino Linotype" w:eastAsia="Palatino Linotype" w:hAnsi="Palatino Linotype" w:cs="Palatino Linotype"/>
          <w:b/>
          <w:bCs/>
          <w:color w:val="000000"/>
        </w:rPr>
        <w:t xml:space="preserve">R E S U E L V E </w:t>
      </w:r>
    </w:p>
    <w:p w:rsidR="00C12005" w:rsidRPr="00B90BDC" w:rsidRDefault="00C12005">
      <w:pPr>
        <w:keepNext/>
        <w:keepLines/>
        <w:ind w:right="-28"/>
        <w:jc w:val="center"/>
        <w:rPr>
          <w:rFonts w:ascii="Palatino Linotype" w:eastAsia="Palatino Linotype" w:hAnsi="Palatino Linotype" w:cs="Palatino Linotype"/>
          <w:b/>
          <w:bCs/>
        </w:rPr>
      </w:pPr>
    </w:p>
    <w:p w:rsidR="00C12005" w:rsidRPr="00B90BDC" w:rsidRDefault="00114D49">
      <w:pPr>
        <w:spacing w:line="360" w:lineRule="auto"/>
        <w:ind w:right="-28"/>
        <w:jc w:val="both"/>
        <w:rPr>
          <w:rFonts w:ascii="Palatino Linotype" w:eastAsia="Palatino Linotype" w:hAnsi="Palatino Linotype" w:cs="Palatino Linotype"/>
        </w:rPr>
      </w:pPr>
      <w:r w:rsidRPr="00B90BDC">
        <w:rPr>
          <w:rFonts w:ascii="Palatino Linotype" w:eastAsia="Palatino Linotype" w:hAnsi="Palatino Linotype" w:cs="Palatino Linotype"/>
          <w:b/>
          <w:bCs/>
        </w:rPr>
        <w:t xml:space="preserve">PRIMERO. </w:t>
      </w:r>
      <w:r w:rsidRPr="00B90BDC">
        <w:rPr>
          <w:rFonts w:ascii="Palatino Linotype" w:eastAsia="Palatino Linotype" w:hAnsi="Palatino Linotype" w:cs="Palatino Linotype"/>
        </w:rPr>
        <w:t>Resultan infundadas las</w:t>
      </w:r>
      <w:r w:rsidRPr="00B90BDC">
        <w:rPr>
          <w:rFonts w:ascii="Palatino Linotype" w:eastAsia="Palatino Linotype" w:hAnsi="Palatino Linotype" w:cs="Palatino Linotype"/>
          <w:b/>
          <w:bCs/>
        </w:rPr>
        <w:t xml:space="preserve"> </w:t>
      </w:r>
      <w:r w:rsidRPr="00B90BDC">
        <w:rPr>
          <w:rFonts w:ascii="Palatino Linotype" w:eastAsia="Palatino Linotype" w:hAnsi="Palatino Linotype" w:cs="Palatino Linotype"/>
        </w:rPr>
        <w:t>razones o motivos de inconformidad hechos valer en el recurso de revisión</w:t>
      </w:r>
      <w:r w:rsidRPr="00B90BDC">
        <w:rPr>
          <w:rFonts w:ascii="Palatino Linotype" w:eastAsia="Palatino Linotype" w:hAnsi="Palatino Linotype" w:cs="Palatino Linotype"/>
          <w:b/>
          <w:bCs/>
        </w:rPr>
        <w:t xml:space="preserve"> 09133/INFOEM/IP/RR/2025, </w:t>
      </w:r>
      <w:r w:rsidRPr="00B90BDC">
        <w:rPr>
          <w:rFonts w:ascii="Palatino Linotype" w:eastAsia="Palatino Linotype" w:hAnsi="Palatino Linotype" w:cs="Palatino Linotype"/>
        </w:rPr>
        <w:t xml:space="preserve">en términos del </w:t>
      </w:r>
      <w:r w:rsidRPr="00B90BDC">
        <w:rPr>
          <w:rFonts w:ascii="Palatino Linotype" w:eastAsia="Palatino Linotype" w:hAnsi="Palatino Linotype" w:cs="Palatino Linotype"/>
          <w:b/>
          <w:bCs/>
        </w:rPr>
        <w:t>Considerando</w:t>
      </w:r>
      <w:r w:rsidRPr="00B90BDC">
        <w:rPr>
          <w:rFonts w:ascii="Palatino Linotype" w:eastAsia="Palatino Linotype" w:hAnsi="Palatino Linotype" w:cs="Palatino Linotype"/>
        </w:rPr>
        <w:t xml:space="preserve"> </w:t>
      </w:r>
      <w:r w:rsidRPr="00B90BDC">
        <w:rPr>
          <w:rFonts w:ascii="Palatino Linotype" w:eastAsia="Palatino Linotype" w:hAnsi="Palatino Linotype" w:cs="Palatino Linotype"/>
          <w:b/>
          <w:bCs/>
        </w:rPr>
        <w:t>CUARTO</w:t>
      </w:r>
      <w:r w:rsidRPr="00B90BDC">
        <w:rPr>
          <w:rFonts w:ascii="Palatino Linotype" w:eastAsia="Palatino Linotype" w:hAnsi="Palatino Linotype" w:cs="Palatino Linotype"/>
        </w:rPr>
        <w:t xml:space="preserve"> de la presente resolución.</w:t>
      </w:r>
    </w:p>
    <w:p w:rsidR="00C12005" w:rsidRPr="00B90BDC" w:rsidRDefault="00C12005">
      <w:pPr>
        <w:ind w:right="-28"/>
        <w:jc w:val="both"/>
        <w:rPr>
          <w:rFonts w:ascii="Palatino Linotype" w:eastAsia="Palatino Linotype" w:hAnsi="Palatino Linotype" w:cs="Palatino Linotype"/>
        </w:rPr>
      </w:pPr>
    </w:p>
    <w:p w:rsidR="00C12005" w:rsidRPr="00B90BDC" w:rsidRDefault="00114D49">
      <w:pPr>
        <w:spacing w:line="360" w:lineRule="auto"/>
        <w:jc w:val="both"/>
        <w:rPr>
          <w:rFonts w:ascii="Palatino Linotype" w:eastAsia="Palatino Linotype" w:hAnsi="Palatino Linotype" w:cs="Palatino Linotype"/>
          <w:b/>
          <w:bCs/>
        </w:rPr>
      </w:pPr>
      <w:r w:rsidRPr="00B90BDC">
        <w:rPr>
          <w:rFonts w:ascii="Palatino Linotype" w:eastAsia="Palatino Linotype" w:hAnsi="Palatino Linotype" w:cs="Palatino Linotype"/>
          <w:b/>
          <w:bCs/>
        </w:rPr>
        <w:t>SEGUNDO.</w:t>
      </w:r>
      <w:r w:rsidRPr="00B90BDC">
        <w:rPr>
          <w:rFonts w:ascii="Palatino Linotype" w:eastAsia="Palatino Linotype" w:hAnsi="Palatino Linotype" w:cs="Palatino Linotype"/>
          <w:b/>
          <w:bCs/>
          <w:color w:val="2E75B5"/>
        </w:rPr>
        <w:t xml:space="preserve"> </w:t>
      </w:r>
      <w:r w:rsidRPr="00B90BDC">
        <w:rPr>
          <w:rFonts w:ascii="Palatino Linotype" w:eastAsia="Palatino Linotype" w:hAnsi="Palatino Linotype" w:cs="Palatino Linotype"/>
        </w:rPr>
        <w:t>Se</w:t>
      </w:r>
      <w:r w:rsidRPr="00B90BDC">
        <w:rPr>
          <w:rFonts w:ascii="Palatino Linotype" w:eastAsia="Palatino Linotype" w:hAnsi="Palatino Linotype" w:cs="Palatino Linotype"/>
          <w:b/>
          <w:bCs/>
        </w:rPr>
        <w:t xml:space="preserve"> CONFIRMA </w:t>
      </w:r>
      <w:r w:rsidRPr="00B90BDC">
        <w:rPr>
          <w:rFonts w:ascii="Palatino Linotype" w:eastAsia="Palatino Linotype" w:hAnsi="Palatino Linotype" w:cs="Palatino Linotype"/>
        </w:rPr>
        <w:t xml:space="preserve">la respuesta emitida por el Poder Judicial dentro de  la solicitud de información </w:t>
      </w:r>
      <w:r w:rsidRPr="00B90BDC">
        <w:rPr>
          <w:rFonts w:ascii="Palatino Linotype" w:eastAsia="Palatino Linotype" w:hAnsi="Palatino Linotype" w:cs="Palatino Linotype"/>
          <w:b/>
          <w:bCs/>
        </w:rPr>
        <w:t>00693/PJUDICI/IP/2025.</w:t>
      </w:r>
    </w:p>
    <w:p w:rsidR="00C12005" w:rsidRPr="00B90BDC" w:rsidRDefault="00C12005">
      <w:pPr>
        <w:ind w:right="-28"/>
        <w:jc w:val="both"/>
        <w:rPr>
          <w:rFonts w:ascii="Palatino Linotype" w:eastAsia="Palatino Linotype" w:hAnsi="Palatino Linotype" w:cs="Palatino Linotype"/>
          <w:b/>
          <w:bCs/>
        </w:rPr>
      </w:pPr>
    </w:p>
    <w:p w:rsidR="00C12005" w:rsidRPr="00B90BDC" w:rsidRDefault="00114D49">
      <w:pPr>
        <w:tabs>
          <w:tab w:val="left" w:pos="8080"/>
        </w:tabs>
        <w:spacing w:line="360" w:lineRule="auto"/>
        <w:ind w:right="-28"/>
        <w:jc w:val="both"/>
        <w:rPr>
          <w:rFonts w:ascii="Palatino Linotype" w:eastAsia="Palatino Linotype" w:hAnsi="Palatino Linotype" w:cs="Palatino Linotype"/>
          <w:b/>
          <w:bCs/>
        </w:rPr>
      </w:pPr>
      <w:r w:rsidRPr="00B90BDC">
        <w:rPr>
          <w:rFonts w:ascii="Palatino Linotype" w:eastAsia="Palatino Linotype" w:hAnsi="Palatino Linotype" w:cs="Palatino Linotype"/>
          <w:b/>
          <w:bCs/>
        </w:rPr>
        <w:t xml:space="preserve">TERCERO. NOTIFÍQUESE, </w:t>
      </w:r>
      <w:r w:rsidRPr="00B90BDC">
        <w:rPr>
          <w:rFonts w:ascii="Palatino Linotype" w:eastAsia="Palatino Linotype" w:hAnsi="Palatino Linotype" w:cs="Palatino Linotype"/>
        </w:rPr>
        <w:t xml:space="preserve">vía Sistema de Acceso a la Información Mexiquense </w:t>
      </w:r>
      <w:r w:rsidRPr="00B90BDC">
        <w:rPr>
          <w:rFonts w:ascii="Palatino Linotype" w:eastAsia="Palatino Linotype" w:hAnsi="Palatino Linotype" w:cs="Palatino Linotype"/>
          <w:b/>
          <w:bCs/>
        </w:rPr>
        <w:t>(SAIMEX),</w:t>
      </w:r>
      <w:r w:rsidRPr="00B90BDC">
        <w:rPr>
          <w:rFonts w:ascii="Palatino Linotype" w:eastAsia="Palatino Linotype" w:hAnsi="Palatino Linotype" w:cs="Palatino Linotype"/>
        </w:rPr>
        <w:t xml:space="preserve"> la presente resolución al Titular de la Unidad de Transparencia del </w:t>
      </w:r>
      <w:r w:rsidRPr="00B90BDC">
        <w:rPr>
          <w:rFonts w:ascii="Palatino Linotype" w:eastAsia="Palatino Linotype" w:hAnsi="Palatino Linotype" w:cs="Palatino Linotype"/>
          <w:b/>
          <w:bCs/>
        </w:rPr>
        <w:t>SUJETO OBLIGADO.</w:t>
      </w:r>
    </w:p>
    <w:p w:rsidR="00C12005" w:rsidRPr="00B90BDC" w:rsidRDefault="00C12005">
      <w:pPr>
        <w:tabs>
          <w:tab w:val="left" w:pos="8080"/>
        </w:tabs>
        <w:ind w:right="-28"/>
        <w:jc w:val="both"/>
        <w:rPr>
          <w:rFonts w:ascii="Palatino Linotype" w:eastAsia="Palatino Linotype" w:hAnsi="Palatino Linotype" w:cs="Palatino Linotype"/>
          <w:b/>
          <w:bCs/>
        </w:rPr>
      </w:pPr>
    </w:p>
    <w:p w:rsidR="00C12005" w:rsidRPr="00B90BDC" w:rsidRDefault="00114D49">
      <w:pPr>
        <w:shd w:val="clear" w:color="auto" w:fill="FFFFFF"/>
        <w:spacing w:line="360" w:lineRule="auto"/>
        <w:ind w:right="-28"/>
        <w:jc w:val="both"/>
        <w:rPr>
          <w:rFonts w:ascii="Palatino Linotype" w:eastAsia="Palatino Linotype" w:hAnsi="Palatino Linotype" w:cs="Palatino Linotype"/>
        </w:rPr>
      </w:pPr>
      <w:r w:rsidRPr="00B90BDC">
        <w:rPr>
          <w:rFonts w:ascii="Palatino Linotype" w:eastAsia="Palatino Linotype" w:hAnsi="Palatino Linotype" w:cs="Palatino Linotype"/>
          <w:b/>
          <w:bCs/>
        </w:rPr>
        <w:t xml:space="preserve">CUARTO. </w:t>
      </w:r>
      <w:r w:rsidRPr="00B90BDC">
        <w:rPr>
          <w:rFonts w:ascii="Palatino Linotype" w:eastAsia="Palatino Linotype" w:hAnsi="Palatino Linotype" w:cs="Palatino Linotype"/>
          <w:b/>
          <w:bCs/>
          <w:color w:val="222222"/>
        </w:rPr>
        <w:t>Notifíquese al RECURRENTE</w:t>
      </w:r>
      <w:r w:rsidRPr="00B90BDC">
        <w:rPr>
          <w:rFonts w:ascii="Palatino Linotype" w:eastAsia="Palatino Linotype" w:hAnsi="Palatino Linotype" w:cs="Palatino Linotype"/>
          <w:b/>
          <w:bCs/>
        </w:rPr>
        <w:t xml:space="preserve"> </w:t>
      </w:r>
      <w:r w:rsidRPr="00B90BDC">
        <w:rPr>
          <w:rFonts w:ascii="Palatino Linotype" w:eastAsia="Palatino Linotype" w:hAnsi="Palatino Linotype" w:cs="Palatino Linotype"/>
        </w:rPr>
        <w:t xml:space="preserve">la presente resolución a través del </w:t>
      </w:r>
      <w:r w:rsidRPr="00B90BDC">
        <w:rPr>
          <w:rFonts w:ascii="Palatino Linotype" w:eastAsia="Palatino Linotype" w:hAnsi="Palatino Linotype" w:cs="Palatino Linotype"/>
          <w:b/>
          <w:bCs/>
        </w:rPr>
        <w:t>SAIMEX.</w:t>
      </w:r>
    </w:p>
    <w:p w:rsidR="00C12005" w:rsidRPr="00B90BDC" w:rsidRDefault="00114D49">
      <w:pPr>
        <w:spacing w:before="240" w:after="240" w:line="360" w:lineRule="auto"/>
        <w:ind w:right="-28"/>
        <w:jc w:val="both"/>
        <w:rPr>
          <w:rFonts w:ascii="Palatino Linotype" w:eastAsia="Palatino Linotype" w:hAnsi="Palatino Linotype" w:cs="Palatino Linotype"/>
        </w:rPr>
      </w:pPr>
      <w:r w:rsidRPr="00B90BDC">
        <w:rPr>
          <w:rFonts w:ascii="Palatino Linotype" w:eastAsia="Palatino Linotype" w:hAnsi="Palatino Linotype" w:cs="Palatino Linotype"/>
          <w:b/>
          <w:bCs/>
        </w:rPr>
        <w:t>QUINTO.</w:t>
      </w:r>
      <w:r w:rsidRPr="00B90BDC">
        <w:rPr>
          <w:rFonts w:ascii="Palatino Linotype" w:eastAsia="Palatino Linotype" w:hAnsi="Palatino Linotype" w:cs="Palatino Linotype"/>
        </w:rPr>
        <w:t xml:space="preserve"> Se hace del conocimiento del </w:t>
      </w:r>
      <w:r w:rsidRPr="00B90BDC">
        <w:rPr>
          <w:rFonts w:ascii="Palatino Linotype" w:eastAsia="Palatino Linotype" w:hAnsi="Palatino Linotype" w:cs="Palatino Linotype"/>
          <w:b/>
          <w:bCs/>
          <w:color w:val="222222"/>
        </w:rPr>
        <w:t>RECURRENTE</w:t>
      </w:r>
      <w:r w:rsidRPr="00B90BDC">
        <w:rPr>
          <w:rFonts w:ascii="Palatino Linotype" w:eastAsia="Palatino Linotype" w:hAnsi="Palatino Linotype" w:cs="Palatino Linotype"/>
          <w:b/>
          <w:bCs/>
        </w:rPr>
        <w:t xml:space="preserve"> </w:t>
      </w:r>
      <w:r w:rsidRPr="00B90BDC">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A46156" w:rsidRPr="00B90BDC" w:rsidRDefault="00A46156">
      <w:pPr>
        <w:spacing w:before="240" w:after="240" w:line="360" w:lineRule="auto"/>
        <w:ind w:right="-28"/>
        <w:jc w:val="both"/>
        <w:rPr>
          <w:rFonts w:ascii="Palatino Linotype" w:eastAsia="Palatino Linotype" w:hAnsi="Palatino Linotype" w:cs="Palatino Linotype"/>
        </w:rPr>
      </w:pPr>
    </w:p>
    <w:p w:rsidR="00A46156" w:rsidRPr="00B90BDC" w:rsidRDefault="00A46156" w:rsidP="00A46156">
      <w:pPr>
        <w:spacing w:before="240" w:after="240" w:line="360" w:lineRule="auto"/>
        <w:ind w:firstLine="1"/>
        <w:jc w:val="both"/>
        <w:rPr>
          <w:rFonts w:ascii="Palatino Linotype" w:hAnsi="Palatino Linotype"/>
        </w:rPr>
      </w:pPr>
      <w:bookmarkStart w:id="6" w:name="_heading=h.91yxav6a0u1y" w:colFirst="0" w:colLast="0"/>
      <w:bookmarkStart w:id="7" w:name="_Hlk99014733"/>
      <w:bookmarkEnd w:id="6"/>
      <w:r w:rsidRPr="00B90BDC">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B90BDC">
        <w:rPr>
          <w:rFonts w:ascii="Palatino Linotype" w:hAnsi="Palatino Linotype" w:cs="Palatino Linotype"/>
          <w:color w:val="000000" w:themeColor="text1"/>
        </w:rPr>
        <w:t>ALEXIS TAPIA RAMÍREZ.</w:t>
      </w:r>
    </w:p>
    <w:bookmarkEnd w:id="7"/>
    <w:p w:rsidR="00C12005" w:rsidRPr="00B90BDC" w:rsidRDefault="00C12005">
      <w:pPr>
        <w:spacing w:line="360" w:lineRule="auto"/>
        <w:ind w:right="-28"/>
        <w:rPr>
          <w:rFonts w:ascii="Palatino Linotype" w:eastAsia="Palatino Linotype" w:hAnsi="Palatino Linotype" w:cs="Palatino Linotype"/>
        </w:rPr>
      </w:pPr>
    </w:p>
    <w:p w:rsidR="00C12005" w:rsidRPr="00B90BDC" w:rsidRDefault="00C12005">
      <w:pPr>
        <w:spacing w:line="360" w:lineRule="auto"/>
        <w:ind w:right="-28"/>
        <w:rPr>
          <w:rFonts w:ascii="Palatino Linotype" w:eastAsia="Palatino Linotype" w:hAnsi="Palatino Linotype" w:cs="Palatino Linotype"/>
        </w:rPr>
      </w:pPr>
    </w:p>
    <w:p w:rsidR="00C12005" w:rsidRPr="00B90BDC" w:rsidRDefault="00C12005">
      <w:pPr>
        <w:spacing w:line="360" w:lineRule="auto"/>
        <w:ind w:right="-28"/>
        <w:rPr>
          <w:rFonts w:ascii="Palatino Linotype" w:eastAsia="Palatino Linotype" w:hAnsi="Palatino Linotype" w:cs="Palatino Linotype"/>
        </w:rPr>
      </w:pPr>
    </w:p>
    <w:p w:rsidR="00C12005" w:rsidRPr="00B90BDC" w:rsidRDefault="00C12005">
      <w:pPr>
        <w:spacing w:line="360" w:lineRule="auto"/>
        <w:ind w:right="-28"/>
        <w:rPr>
          <w:rFonts w:ascii="Palatino Linotype" w:eastAsia="Palatino Linotype" w:hAnsi="Palatino Linotype" w:cs="Palatino Linotype"/>
        </w:rPr>
      </w:pPr>
    </w:p>
    <w:p w:rsidR="00C12005" w:rsidRPr="00B90BDC" w:rsidRDefault="00C12005">
      <w:pPr>
        <w:spacing w:line="360" w:lineRule="auto"/>
        <w:ind w:right="-28"/>
        <w:rPr>
          <w:rFonts w:ascii="Palatino Linotype" w:eastAsia="Palatino Linotype" w:hAnsi="Palatino Linotype" w:cs="Palatino Linotype"/>
        </w:rPr>
      </w:pPr>
    </w:p>
    <w:p w:rsidR="00C12005" w:rsidRPr="00B90BDC" w:rsidRDefault="00C12005">
      <w:pPr>
        <w:spacing w:line="360" w:lineRule="auto"/>
        <w:ind w:right="-28"/>
        <w:rPr>
          <w:rFonts w:ascii="Palatino Linotype" w:eastAsia="Palatino Linotype" w:hAnsi="Palatino Linotype" w:cs="Palatino Linotype"/>
        </w:rPr>
      </w:pPr>
    </w:p>
    <w:p w:rsidR="00C12005" w:rsidRPr="00B90BDC" w:rsidRDefault="00C12005">
      <w:pPr>
        <w:spacing w:line="360" w:lineRule="auto"/>
        <w:ind w:right="-28"/>
        <w:rPr>
          <w:rFonts w:ascii="Palatino Linotype" w:eastAsia="Palatino Linotype" w:hAnsi="Palatino Linotype" w:cs="Palatino Linotype"/>
        </w:rPr>
      </w:pPr>
    </w:p>
    <w:p w:rsidR="00C12005" w:rsidRPr="00B90BDC" w:rsidRDefault="00C12005">
      <w:pPr>
        <w:spacing w:line="360" w:lineRule="auto"/>
        <w:ind w:right="-28"/>
        <w:rPr>
          <w:rFonts w:ascii="Palatino Linotype" w:eastAsia="Palatino Linotype" w:hAnsi="Palatino Linotype" w:cs="Palatino Linotype"/>
        </w:rPr>
      </w:pPr>
    </w:p>
    <w:p w:rsidR="00C12005" w:rsidRPr="00B90BDC" w:rsidRDefault="00C12005">
      <w:pPr>
        <w:spacing w:line="360" w:lineRule="auto"/>
        <w:ind w:right="-28"/>
        <w:rPr>
          <w:rFonts w:ascii="Palatino Linotype" w:eastAsia="Palatino Linotype" w:hAnsi="Palatino Linotype" w:cs="Palatino Linotype"/>
        </w:rPr>
      </w:pPr>
    </w:p>
    <w:p w:rsidR="00C12005" w:rsidRPr="00B90BDC" w:rsidRDefault="00C12005">
      <w:pPr>
        <w:spacing w:line="360" w:lineRule="auto"/>
        <w:ind w:right="-28"/>
        <w:rPr>
          <w:rFonts w:ascii="Palatino Linotype" w:eastAsia="Palatino Linotype" w:hAnsi="Palatino Linotype" w:cs="Palatino Linotype"/>
        </w:rPr>
      </w:pPr>
    </w:p>
    <w:p w:rsidR="00C12005" w:rsidRPr="00B90BDC" w:rsidRDefault="00C12005">
      <w:pPr>
        <w:spacing w:line="360" w:lineRule="auto"/>
        <w:ind w:right="-28"/>
        <w:rPr>
          <w:rFonts w:ascii="Palatino Linotype" w:eastAsia="Palatino Linotype" w:hAnsi="Palatino Linotype" w:cs="Palatino Linotype"/>
        </w:rPr>
      </w:pPr>
    </w:p>
    <w:p w:rsidR="00C12005" w:rsidRPr="00B90BDC" w:rsidRDefault="00C12005">
      <w:pPr>
        <w:spacing w:line="360" w:lineRule="auto"/>
        <w:ind w:right="-28"/>
        <w:rPr>
          <w:rFonts w:ascii="Palatino Linotype" w:eastAsia="Palatino Linotype" w:hAnsi="Palatino Linotype" w:cs="Palatino Linotype"/>
        </w:rPr>
      </w:pPr>
    </w:p>
    <w:p w:rsidR="00C12005" w:rsidRPr="00B90BDC" w:rsidRDefault="00C12005">
      <w:pPr>
        <w:spacing w:line="360" w:lineRule="auto"/>
        <w:ind w:right="-28"/>
        <w:rPr>
          <w:rFonts w:ascii="Palatino Linotype" w:eastAsia="Palatino Linotype" w:hAnsi="Palatino Linotype" w:cs="Palatino Linotype"/>
        </w:rPr>
      </w:pPr>
    </w:p>
    <w:p w:rsidR="00C12005" w:rsidRPr="00B90BDC" w:rsidRDefault="00C12005">
      <w:pPr>
        <w:spacing w:line="360" w:lineRule="auto"/>
        <w:ind w:right="-28"/>
        <w:rPr>
          <w:rFonts w:ascii="Palatino Linotype" w:eastAsia="Palatino Linotype" w:hAnsi="Palatino Linotype" w:cs="Palatino Linotype"/>
        </w:rPr>
      </w:pPr>
    </w:p>
    <w:p w:rsidR="00C12005" w:rsidRPr="00B90BDC" w:rsidRDefault="00C12005">
      <w:pPr>
        <w:spacing w:line="360" w:lineRule="auto"/>
        <w:ind w:right="-28"/>
        <w:rPr>
          <w:rFonts w:ascii="Palatino Linotype" w:eastAsia="Palatino Linotype" w:hAnsi="Palatino Linotype" w:cs="Palatino Linotype"/>
        </w:rPr>
      </w:pPr>
    </w:p>
    <w:p w:rsidR="00C12005" w:rsidRPr="00B90BDC" w:rsidRDefault="00C12005">
      <w:pPr>
        <w:spacing w:line="360" w:lineRule="auto"/>
        <w:ind w:right="-28"/>
        <w:rPr>
          <w:rFonts w:ascii="Palatino Linotype" w:eastAsia="Palatino Linotype" w:hAnsi="Palatino Linotype" w:cs="Palatino Linotype"/>
        </w:rPr>
      </w:pPr>
    </w:p>
    <w:p w:rsidR="00C12005" w:rsidRPr="00B90BDC" w:rsidRDefault="00C12005">
      <w:pPr>
        <w:spacing w:line="360" w:lineRule="auto"/>
        <w:ind w:right="-28"/>
        <w:rPr>
          <w:rFonts w:ascii="Palatino Linotype" w:eastAsia="Palatino Linotype" w:hAnsi="Palatino Linotype" w:cs="Palatino Linotype"/>
        </w:rPr>
      </w:pPr>
    </w:p>
    <w:sectPr w:rsidR="00C12005" w:rsidRPr="00B90BDC" w:rsidSect="00B90BDC">
      <w:headerReference w:type="even" r:id="rId8"/>
      <w:headerReference w:type="default" r:id="rId9"/>
      <w:footerReference w:type="default" r:id="rId10"/>
      <w:headerReference w:type="first" r:id="rId11"/>
      <w:footerReference w:type="first" r:id="rId12"/>
      <w:pgSz w:w="12240" w:h="15840"/>
      <w:pgMar w:top="156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897" w:rsidRDefault="00992897">
      <w:r>
        <w:separator/>
      </w:r>
    </w:p>
  </w:endnote>
  <w:endnote w:type="continuationSeparator" w:id="0">
    <w:p w:rsidR="00992897" w:rsidRDefault="00992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2B41200C-FFED-42B8-B630-EA3F56BDE9BD}"/>
    <w:embedBold r:id="rId2" w:fontKey="{3D7FD111-731C-405D-A9A3-742C89A45E10}"/>
    <w:embedItalic r:id="rId3" w:fontKey="{1F890484-0706-4F0F-8AF1-BFE6C3D758BE}"/>
    <w:embedBoldItalic r:id="rId4" w:fontKey="{51423E67-355E-4344-B231-0048B467DDF8}"/>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5" w:fontKey="{28748BC0-FF95-48AC-9B59-682ADAFA3B25}"/>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6" w:fontKey="{81CC261E-F3BB-4F12-9F7E-BBEF6DB87E52}"/>
    <w:embedItalic r:id="rId7" w:fontKey="{BC273314-EB55-4F85-8EA2-86DC0D5945DA}"/>
  </w:font>
  <w:font w:name="Calibri Light">
    <w:panose1 w:val="020F0302020204030204"/>
    <w:charset w:val="00"/>
    <w:family w:val="swiss"/>
    <w:pitch w:val="variable"/>
    <w:sig w:usb0="E4002EFF" w:usb1="C200247B" w:usb2="00000009" w:usb3="00000000" w:csb0="000001FF" w:csb1="00000000"/>
    <w:embedRegular r:id="rId8" w:fontKey="{F77E95AE-9FC9-4EA4-B330-D24AA3F1D83F}"/>
  </w:font>
  <w:font w:name="Century Gothic">
    <w:panose1 w:val="020B0502020202020204"/>
    <w:charset w:val="00"/>
    <w:family w:val="swiss"/>
    <w:pitch w:val="variable"/>
    <w:sig w:usb0="00000287" w:usb1="00000000" w:usb2="00000000" w:usb3="00000000" w:csb0="0000009F" w:csb1="00000000"/>
    <w:embedRegular r:id="rId9" w:fontKey="{98F92BB2-D3B9-441C-9B10-0A672BEA6857}"/>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0" w:fontKey="{913DCE69-3572-4227-85A4-760FAF5FE150}"/>
  </w:font>
  <w:font w:name="Liberation Serif">
    <w:panose1 w:val="00000000000000000000"/>
    <w:charset w:val="00"/>
    <w:family w:val="roman"/>
    <w:notTrueType/>
    <w:pitch w:val="default"/>
  </w:font>
  <w:font w:name="DejaVu Sans">
    <w:panose1 w:val="00000000000000000000"/>
    <w:charset w:val="00"/>
    <w:family w:val="roman"/>
    <w:notTrueType/>
    <w:pitch w:val="default"/>
  </w:font>
  <w:font w:name="Lohit Hindi">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Palatino">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11" w:fontKey="{DFE7A1FD-EF35-4CAD-8C44-CC446041CBB3}"/>
  </w:font>
  <w:font w:name="Montserrat">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12" w:fontKey="{4A77561B-04E0-4257-97C3-09FB7ADBAB1F}"/>
  </w:font>
  <w:font w:name="Garamond">
    <w:panose1 w:val="02020404030301010803"/>
    <w:charset w:val="00"/>
    <w:family w:val="roman"/>
    <w:pitch w:val="variable"/>
    <w:sig w:usb0="00000287" w:usb1="00000000" w:usb2="00000000" w:usb3="00000000" w:csb0="0000009F" w:csb1="00000000"/>
    <w:embedRegular r:id="rId13" w:fontKey="{575D1E86-EB18-4276-AB7D-4C0F7468A65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005" w:rsidRDefault="00114D49">
    <w:pPr>
      <w:pBdr>
        <w:top w:val="nil"/>
        <w:left w:val="nil"/>
        <w:bottom w:val="nil"/>
        <w:right w:val="nil"/>
        <w:between w:val="nil"/>
      </w:pBdr>
      <w:tabs>
        <w:tab w:val="center" w:pos="4419"/>
        <w:tab w:val="right" w:pos="8838"/>
      </w:tabs>
      <w:jc w:val="right"/>
      <w:rPr>
        <w:color w:val="000000"/>
      </w:rPr>
    </w:pPr>
    <w:r>
      <w:rPr>
        <w:color w:val="000000"/>
      </w:rPr>
      <w:t xml:space="preserve">Página </w:t>
    </w:r>
    <w:r>
      <w:rPr>
        <w:b/>
        <w:bCs/>
        <w:color w:val="000000"/>
      </w:rPr>
      <w:fldChar w:fldCharType="begin"/>
    </w:r>
    <w:r>
      <w:rPr>
        <w:b/>
        <w:bCs/>
        <w:color w:val="000000"/>
      </w:rPr>
      <w:instrText>PAGE</w:instrText>
    </w:r>
    <w:r>
      <w:rPr>
        <w:b/>
        <w:bCs/>
        <w:color w:val="000000"/>
      </w:rPr>
      <w:fldChar w:fldCharType="separate"/>
    </w:r>
    <w:r w:rsidR="004907EC">
      <w:rPr>
        <w:b/>
        <w:bCs/>
        <w:noProof/>
        <w:color w:val="000000"/>
      </w:rPr>
      <w:t>21</w:t>
    </w:r>
    <w:r>
      <w:rPr>
        <w:b/>
        <w:bCs/>
        <w:color w:val="000000"/>
      </w:rPr>
      <w:fldChar w:fldCharType="end"/>
    </w:r>
    <w:r>
      <w:rPr>
        <w:color w:val="000000"/>
      </w:rPr>
      <w:t xml:space="preserve"> de </w:t>
    </w:r>
    <w:r>
      <w:rPr>
        <w:b/>
        <w:bCs/>
        <w:color w:val="000000"/>
      </w:rPr>
      <w:fldChar w:fldCharType="begin"/>
    </w:r>
    <w:r>
      <w:rPr>
        <w:b/>
        <w:bCs/>
        <w:color w:val="000000"/>
      </w:rPr>
      <w:instrText>NUMPAGES</w:instrText>
    </w:r>
    <w:r>
      <w:rPr>
        <w:b/>
        <w:bCs/>
        <w:color w:val="000000"/>
      </w:rPr>
      <w:fldChar w:fldCharType="separate"/>
    </w:r>
    <w:r w:rsidR="004907EC">
      <w:rPr>
        <w:b/>
        <w:bCs/>
        <w:noProof/>
        <w:color w:val="000000"/>
      </w:rPr>
      <w:t>26</w:t>
    </w:r>
    <w:r>
      <w:rPr>
        <w:b/>
        <w:bCs/>
        <w:color w:val="000000"/>
      </w:rPr>
      <w:fldChar w:fldCharType="end"/>
    </w:r>
  </w:p>
  <w:p w:rsidR="00C12005" w:rsidRDefault="00C1200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005" w:rsidRDefault="00114D49">
    <w:pPr>
      <w:pBdr>
        <w:top w:val="nil"/>
        <w:left w:val="nil"/>
        <w:bottom w:val="nil"/>
        <w:right w:val="nil"/>
        <w:between w:val="nil"/>
      </w:pBdr>
      <w:tabs>
        <w:tab w:val="center" w:pos="4419"/>
        <w:tab w:val="right" w:pos="8838"/>
      </w:tabs>
      <w:jc w:val="right"/>
      <w:rPr>
        <w:color w:val="000000"/>
      </w:rPr>
    </w:pPr>
    <w:r>
      <w:rPr>
        <w:color w:val="000000"/>
      </w:rPr>
      <w:t xml:space="preserve">Página </w:t>
    </w:r>
    <w:r>
      <w:rPr>
        <w:b/>
        <w:bCs/>
        <w:color w:val="000000"/>
      </w:rPr>
      <w:fldChar w:fldCharType="begin"/>
    </w:r>
    <w:r>
      <w:rPr>
        <w:b/>
        <w:bCs/>
        <w:color w:val="000000"/>
      </w:rPr>
      <w:instrText>PAGE</w:instrText>
    </w:r>
    <w:r>
      <w:rPr>
        <w:b/>
        <w:bCs/>
        <w:color w:val="000000"/>
      </w:rPr>
      <w:fldChar w:fldCharType="separate"/>
    </w:r>
    <w:r w:rsidR="004907EC">
      <w:rPr>
        <w:b/>
        <w:bCs/>
        <w:noProof/>
        <w:color w:val="000000"/>
      </w:rPr>
      <w:t>1</w:t>
    </w:r>
    <w:r>
      <w:rPr>
        <w:b/>
        <w:bCs/>
        <w:color w:val="000000"/>
      </w:rPr>
      <w:fldChar w:fldCharType="end"/>
    </w:r>
    <w:r>
      <w:rPr>
        <w:color w:val="000000"/>
      </w:rPr>
      <w:t xml:space="preserve"> de </w:t>
    </w:r>
    <w:r>
      <w:rPr>
        <w:b/>
        <w:bCs/>
        <w:color w:val="000000"/>
      </w:rPr>
      <w:fldChar w:fldCharType="begin"/>
    </w:r>
    <w:r>
      <w:rPr>
        <w:b/>
        <w:bCs/>
        <w:color w:val="000000"/>
      </w:rPr>
      <w:instrText>NUMPAGES</w:instrText>
    </w:r>
    <w:r>
      <w:rPr>
        <w:b/>
        <w:bCs/>
        <w:color w:val="000000"/>
      </w:rPr>
      <w:fldChar w:fldCharType="separate"/>
    </w:r>
    <w:r w:rsidR="004907EC">
      <w:rPr>
        <w:b/>
        <w:bCs/>
        <w:noProof/>
        <w:color w:val="000000"/>
      </w:rPr>
      <w:t>26</w:t>
    </w:r>
    <w:r>
      <w:rPr>
        <w:b/>
        <w:bCs/>
        <w:color w:val="000000"/>
      </w:rPr>
      <w:fldChar w:fldCharType="end"/>
    </w:r>
  </w:p>
  <w:p w:rsidR="00C12005" w:rsidRDefault="00C1200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897" w:rsidRDefault="00992897">
      <w:r>
        <w:separator/>
      </w:r>
    </w:p>
  </w:footnote>
  <w:footnote w:type="continuationSeparator" w:id="0">
    <w:p w:rsidR="00992897" w:rsidRDefault="00992897">
      <w:r>
        <w:continuationSeparator/>
      </w:r>
    </w:p>
  </w:footnote>
  <w:footnote w:id="1">
    <w:p w:rsidR="00C12005" w:rsidRDefault="00114D4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C12005" w:rsidRDefault="00114D4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C12005" w:rsidRDefault="00114D4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C12005" w:rsidRDefault="00114D4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 w:id="5">
    <w:p w:rsidR="00C12005" w:rsidRDefault="00114D49">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Calibri" w:eastAsia="Calibri" w:hAnsi="Calibri" w:cs="Calibri"/>
          <w:color w:val="000000"/>
          <w:sz w:val="20"/>
          <w:szCs w:val="20"/>
        </w:rPr>
        <w:t xml:space="preserve"> </w:t>
      </w:r>
      <w:r>
        <w:rPr>
          <w:rFonts w:ascii="Palatino Linotype" w:eastAsia="Palatino Linotype" w:hAnsi="Palatino Linotype" w:cs="Palatino Linotype"/>
          <w:color w:val="000000"/>
          <w:sz w:val="18"/>
          <w:szCs w:val="18"/>
        </w:rPr>
        <w:t>Reglamento Interior del Órgano de Administración Judicial del Poder Judicial del Estado de México. Artículo 53</w:t>
      </w:r>
    </w:p>
  </w:footnote>
  <w:footnote w:id="6">
    <w:p w:rsidR="00C12005" w:rsidRDefault="00114D49">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Calibri" w:eastAsia="Calibri" w:hAnsi="Calibri" w:cs="Calibri"/>
          <w:color w:val="000000"/>
          <w:sz w:val="20"/>
          <w:szCs w:val="20"/>
        </w:rPr>
        <w:t xml:space="preserve"> </w:t>
      </w:r>
      <w:r>
        <w:rPr>
          <w:rFonts w:ascii="Palatino Linotype" w:eastAsia="Palatino Linotype" w:hAnsi="Palatino Linotype" w:cs="Palatino Linotype"/>
          <w:color w:val="000000"/>
          <w:sz w:val="18"/>
          <w:szCs w:val="18"/>
        </w:rPr>
        <w:t>Manual General de Organización del Consejo de la Judicatura del Poder Judicial del Estado de México. Apartado 3013103101.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005" w:rsidRDefault="00992897">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290" w:type="dxa"/>
      <w:tblInd w:w="0" w:type="dxa"/>
      <w:tblLayout w:type="fixed"/>
      <w:tblLook w:val="0400" w:firstRow="0" w:lastRow="0" w:firstColumn="0" w:lastColumn="0" w:noHBand="0" w:noVBand="1"/>
    </w:tblPr>
    <w:tblGrid>
      <w:gridCol w:w="2310"/>
      <w:gridCol w:w="7980"/>
    </w:tblGrid>
    <w:tr w:rsidR="00C12005">
      <w:trPr>
        <w:trHeight w:val="917"/>
      </w:trPr>
      <w:tc>
        <w:tcPr>
          <w:tcW w:w="2310" w:type="dxa"/>
          <w:shd w:val="clear" w:color="auto" w:fill="auto"/>
        </w:tcPr>
        <w:p w:rsidR="00C12005" w:rsidRDefault="00C12005">
          <w:pPr>
            <w:tabs>
              <w:tab w:val="right" w:pos="4273"/>
            </w:tabs>
            <w:rPr>
              <w:rFonts w:ascii="Garamond" w:eastAsia="Garamond" w:hAnsi="Garamond" w:cs="Garamond"/>
              <w:sz w:val="16"/>
              <w:szCs w:val="16"/>
            </w:rPr>
          </w:pPr>
        </w:p>
      </w:tc>
      <w:tc>
        <w:tcPr>
          <w:tcW w:w="7980" w:type="dxa"/>
          <w:shd w:val="clear" w:color="auto" w:fill="auto"/>
        </w:tcPr>
        <w:tbl>
          <w:tblPr>
            <w:tblStyle w:val="a0"/>
            <w:tblW w:w="7588" w:type="dxa"/>
            <w:tblInd w:w="552" w:type="dxa"/>
            <w:tblLayout w:type="fixed"/>
            <w:tblLook w:val="0400" w:firstRow="0" w:lastRow="0" w:firstColumn="0" w:lastColumn="0" w:noHBand="0" w:noVBand="1"/>
          </w:tblPr>
          <w:tblGrid>
            <w:gridCol w:w="3628"/>
            <w:gridCol w:w="3960"/>
          </w:tblGrid>
          <w:tr w:rsidR="00C12005" w:rsidTr="00B90BDC">
            <w:trPr>
              <w:trHeight w:val="68"/>
            </w:trPr>
            <w:tc>
              <w:tcPr>
                <w:tcW w:w="3628" w:type="dxa"/>
                <w:shd w:val="clear" w:color="auto" w:fill="auto"/>
              </w:tcPr>
              <w:p w:rsidR="00C12005" w:rsidRPr="00B90BDC" w:rsidRDefault="00114D49">
                <w:pPr>
                  <w:tabs>
                    <w:tab w:val="right" w:pos="8838"/>
                  </w:tabs>
                  <w:ind w:left="850" w:right="-274"/>
                  <w:rPr>
                    <w:rFonts w:ascii="Palatino Linotype" w:eastAsia="Palatino Linotype" w:hAnsi="Palatino Linotype" w:cs="Palatino Linotype"/>
                    <w:b/>
                    <w:bCs/>
                    <w:szCs w:val="22"/>
                  </w:rPr>
                </w:pPr>
                <w:r w:rsidRPr="00B90BDC">
                  <w:rPr>
                    <w:rFonts w:ascii="Palatino Linotype" w:eastAsia="Palatino Linotype" w:hAnsi="Palatino Linotype" w:cs="Palatino Linotype"/>
                    <w:b/>
                    <w:bCs/>
                    <w:szCs w:val="22"/>
                  </w:rPr>
                  <w:t>Recurso de Revisión:</w:t>
                </w:r>
              </w:p>
            </w:tc>
            <w:tc>
              <w:tcPr>
                <w:tcW w:w="3960" w:type="dxa"/>
                <w:shd w:val="clear" w:color="auto" w:fill="auto"/>
              </w:tcPr>
              <w:p w:rsidR="00C12005" w:rsidRPr="00B90BDC" w:rsidRDefault="00114D49">
                <w:pPr>
                  <w:ind w:right="-1512"/>
                  <w:rPr>
                    <w:rFonts w:ascii="Palatino Linotype" w:eastAsia="Palatino Linotype" w:hAnsi="Palatino Linotype" w:cs="Palatino Linotype"/>
                    <w:szCs w:val="22"/>
                  </w:rPr>
                </w:pPr>
                <w:r w:rsidRPr="00B90BDC">
                  <w:rPr>
                    <w:rFonts w:ascii="Palatino Linotype" w:eastAsia="Palatino Linotype" w:hAnsi="Palatino Linotype" w:cs="Palatino Linotype"/>
                    <w:szCs w:val="22"/>
                  </w:rPr>
                  <w:t>09133/INFOEM/IP/RR/2025</w:t>
                </w:r>
              </w:p>
            </w:tc>
          </w:tr>
          <w:tr w:rsidR="00C12005" w:rsidTr="00B90BDC">
            <w:trPr>
              <w:trHeight w:val="135"/>
            </w:trPr>
            <w:tc>
              <w:tcPr>
                <w:tcW w:w="3628" w:type="dxa"/>
                <w:shd w:val="clear" w:color="auto" w:fill="auto"/>
              </w:tcPr>
              <w:p w:rsidR="00C12005" w:rsidRPr="00B90BDC" w:rsidRDefault="00114D49">
                <w:pPr>
                  <w:tabs>
                    <w:tab w:val="right" w:pos="8838"/>
                  </w:tabs>
                  <w:ind w:left="850" w:right="-274"/>
                  <w:rPr>
                    <w:rFonts w:ascii="Palatino Linotype" w:eastAsia="Palatino Linotype" w:hAnsi="Palatino Linotype" w:cs="Palatino Linotype"/>
                    <w:b/>
                    <w:bCs/>
                    <w:szCs w:val="22"/>
                  </w:rPr>
                </w:pPr>
                <w:r w:rsidRPr="00B90BDC">
                  <w:rPr>
                    <w:rFonts w:ascii="Palatino Linotype" w:eastAsia="Palatino Linotype" w:hAnsi="Palatino Linotype" w:cs="Palatino Linotype"/>
                    <w:b/>
                    <w:bCs/>
                    <w:szCs w:val="22"/>
                  </w:rPr>
                  <w:t>Sujeto Obligado:</w:t>
                </w:r>
              </w:p>
            </w:tc>
            <w:tc>
              <w:tcPr>
                <w:tcW w:w="3960" w:type="dxa"/>
                <w:shd w:val="clear" w:color="auto" w:fill="auto"/>
              </w:tcPr>
              <w:p w:rsidR="00C12005" w:rsidRPr="00B90BDC" w:rsidRDefault="00114D49">
                <w:pPr>
                  <w:tabs>
                    <w:tab w:val="left" w:pos="2834"/>
                  </w:tabs>
                  <w:ind w:right="-810"/>
                  <w:rPr>
                    <w:rFonts w:ascii="Palatino Linotype" w:eastAsia="Palatino Linotype" w:hAnsi="Palatino Linotype" w:cs="Palatino Linotype"/>
                    <w:szCs w:val="22"/>
                  </w:rPr>
                </w:pPr>
                <w:r w:rsidRPr="00B90BDC">
                  <w:rPr>
                    <w:rFonts w:ascii="Palatino Linotype" w:eastAsia="Palatino Linotype" w:hAnsi="Palatino Linotype" w:cs="Palatino Linotype"/>
                    <w:szCs w:val="22"/>
                  </w:rPr>
                  <w:t>Poder Judicial</w:t>
                </w:r>
              </w:p>
            </w:tc>
          </w:tr>
          <w:tr w:rsidR="00C12005" w:rsidTr="00B90BDC">
            <w:trPr>
              <w:trHeight w:val="135"/>
            </w:trPr>
            <w:tc>
              <w:tcPr>
                <w:tcW w:w="3628" w:type="dxa"/>
                <w:shd w:val="clear" w:color="auto" w:fill="auto"/>
              </w:tcPr>
              <w:p w:rsidR="00C12005" w:rsidRPr="00B90BDC" w:rsidRDefault="00114D49">
                <w:pPr>
                  <w:tabs>
                    <w:tab w:val="right" w:pos="8838"/>
                  </w:tabs>
                  <w:ind w:left="850" w:right="-274"/>
                  <w:rPr>
                    <w:rFonts w:ascii="Palatino Linotype" w:eastAsia="Palatino Linotype" w:hAnsi="Palatino Linotype" w:cs="Palatino Linotype"/>
                    <w:b/>
                    <w:bCs/>
                    <w:szCs w:val="22"/>
                  </w:rPr>
                </w:pPr>
                <w:r w:rsidRPr="00B90BDC">
                  <w:rPr>
                    <w:rFonts w:ascii="Palatino Linotype" w:eastAsia="Palatino Linotype" w:hAnsi="Palatino Linotype" w:cs="Palatino Linotype"/>
                    <w:b/>
                    <w:bCs/>
                    <w:szCs w:val="22"/>
                  </w:rPr>
                  <w:t>Comisionada ponente:</w:t>
                </w:r>
              </w:p>
            </w:tc>
            <w:tc>
              <w:tcPr>
                <w:tcW w:w="3960" w:type="dxa"/>
                <w:shd w:val="clear" w:color="auto" w:fill="auto"/>
              </w:tcPr>
              <w:p w:rsidR="00C12005" w:rsidRPr="00B90BDC" w:rsidRDefault="00114D49">
                <w:pPr>
                  <w:ind w:right="-1512"/>
                  <w:rPr>
                    <w:rFonts w:ascii="Palatino Linotype" w:eastAsia="Palatino Linotype" w:hAnsi="Palatino Linotype" w:cs="Palatino Linotype"/>
                    <w:szCs w:val="22"/>
                  </w:rPr>
                </w:pPr>
                <w:r w:rsidRPr="00B90BDC">
                  <w:rPr>
                    <w:rFonts w:ascii="Palatino Linotype" w:eastAsia="Palatino Linotype" w:hAnsi="Palatino Linotype" w:cs="Palatino Linotype"/>
                    <w:szCs w:val="22"/>
                  </w:rPr>
                  <w:t>María del Rosario Mejía Ayala</w:t>
                </w:r>
              </w:p>
              <w:p w:rsidR="00C12005" w:rsidRPr="00B90BDC" w:rsidRDefault="00C12005">
                <w:pPr>
                  <w:ind w:right="-1512"/>
                  <w:rPr>
                    <w:rFonts w:ascii="Palatino Linotype" w:eastAsia="Palatino Linotype" w:hAnsi="Palatino Linotype" w:cs="Palatino Linotype"/>
                    <w:szCs w:val="22"/>
                  </w:rPr>
                </w:pPr>
              </w:p>
            </w:tc>
          </w:tr>
        </w:tbl>
        <w:p w:rsidR="00C12005" w:rsidRDefault="00C12005">
          <w:pPr>
            <w:tabs>
              <w:tab w:val="right" w:pos="8838"/>
            </w:tabs>
            <w:ind w:left="-28"/>
            <w:jc w:val="both"/>
            <w:rPr>
              <w:rFonts w:ascii="Arial" w:eastAsia="Arial" w:hAnsi="Arial" w:cs="Arial"/>
              <w:b/>
              <w:bCs/>
              <w:sz w:val="22"/>
              <w:szCs w:val="22"/>
            </w:rPr>
          </w:pPr>
        </w:p>
      </w:tc>
    </w:tr>
  </w:tbl>
  <w:p w:rsidR="00C12005" w:rsidRDefault="00992897">
    <w:pPr>
      <w:pBdr>
        <w:top w:val="nil"/>
        <w:left w:val="nil"/>
        <w:bottom w:val="nil"/>
        <w:right w:val="nil"/>
        <w:between w:val="nil"/>
      </w:pBdr>
      <w:tabs>
        <w:tab w:val="center" w:pos="4419"/>
        <w:tab w:val="right" w:pos="8838"/>
      </w:tabs>
      <w:rPr>
        <w:color w:val="000000"/>
        <w:sz w:val="14"/>
        <w:szCs w:val="14"/>
      </w:rPr>
    </w:pPr>
    <w:r>
      <w:rPr>
        <w:sz w:val="14"/>
        <w:szCs w:val="14"/>
      </w:rPr>
      <w:pict w14:anchorId="545169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52.2pt;margin-top:-120.65pt;width:589.8pt;height:768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10350" w:type="dxa"/>
      <w:tblInd w:w="0" w:type="dxa"/>
      <w:tblLayout w:type="fixed"/>
      <w:tblLook w:val="0400" w:firstRow="0" w:lastRow="0" w:firstColumn="0" w:lastColumn="0" w:noHBand="0" w:noVBand="1"/>
    </w:tblPr>
    <w:tblGrid>
      <w:gridCol w:w="3092"/>
      <w:gridCol w:w="7258"/>
    </w:tblGrid>
    <w:tr w:rsidR="00C12005">
      <w:trPr>
        <w:trHeight w:val="2303"/>
      </w:trPr>
      <w:tc>
        <w:tcPr>
          <w:tcW w:w="3092" w:type="dxa"/>
          <w:shd w:val="clear" w:color="auto" w:fill="auto"/>
        </w:tcPr>
        <w:p w:rsidR="00C12005" w:rsidRDefault="00C12005">
          <w:pPr>
            <w:tabs>
              <w:tab w:val="right" w:pos="4273"/>
            </w:tabs>
            <w:rPr>
              <w:rFonts w:ascii="Garamond" w:eastAsia="Garamond" w:hAnsi="Garamond" w:cs="Garamond"/>
              <w:sz w:val="22"/>
              <w:szCs w:val="22"/>
            </w:rPr>
          </w:pPr>
        </w:p>
      </w:tc>
      <w:tc>
        <w:tcPr>
          <w:tcW w:w="7258" w:type="dxa"/>
          <w:shd w:val="clear" w:color="auto" w:fill="auto"/>
        </w:tcPr>
        <w:tbl>
          <w:tblPr>
            <w:tblStyle w:val="a2"/>
            <w:tblW w:w="10433" w:type="dxa"/>
            <w:tblInd w:w="621" w:type="dxa"/>
            <w:tblLayout w:type="fixed"/>
            <w:tblLook w:val="0400" w:firstRow="0" w:lastRow="0" w:firstColumn="0" w:lastColumn="0" w:noHBand="0" w:noVBand="1"/>
          </w:tblPr>
          <w:tblGrid>
            <w:gridCol w:w="2693"/>
            <w:gridCol w:w="3870"/>
            <w:gridCol w:w="3870"/>
          </w:tblGrid>
          <w:tr w:rsidR="00C12005" w:rsidTr="00B90BDC">
            <w:trPr>
              <w:trHeight w:val="144"/>
            </w:trPr>
            <w:tc>
              <w:tcPr>
                <w:tcW w:w="2693" w:type="dxa"/>
                <w:shd w:val="clear" w:color="auto" w:fill="auto"/>
              </w:tcPr>
              <w:p w:rsidR="00C12005" w:rsidRPr="00B90BDC" w:rsidRDefault="00114D49" w:rsidP="00B90BDC">
                <w:pPr>
                  <w:tabs>
                    <w:tab w:val="right" w:pos="8838"/>
                  </w:tabs>
                  <w:ind w:right="-105" w:firstLine="26"/>
                  <w:jc w:val="both"/>
                  <w:rPr>
                    <w:rFonts w:ascii="Palatino Linotype" w:eastAsia="Palatino Linotype" w:hAnsi="Palatino Linotype" w:cs="Palatino Linotype"/>
                    <w:b/>
                    <w:bCs/>
                    <w:szCs w:val="22"/>
                  </w:rPr>
                </w:pPr>
                <w:r w:rsidRPr="00B90BDC">
                  <w:rPr>
                    <w:rFonts w:ascii="Palatino Linotype" w:eastAsia="Palatino Linotype" w:hAnsi="Palatino Linotype" w:cs="Palatino Linotype"/>
                    <w:b/>
                    <w:bCs/>
                    <w:szCs w:val="22"/>
                  </w:rPr>
                  <w:t>Recurso de Revisión:</w:t>
                </w:r>
              </w:p>
            </w:tc>
            <w:tc>
              <w:tcPr>
                <w:tcW w:w="3870" w:type="dxa"/>
              </w:tcPr>
              <w:p w:rsidR="00C12005" w:rsidRPr="00B90BDC" w:rsidRDefault="00114D49" w:rsidP="00B90BDC">
                <w:pPr>
                  <w:ind w:right="68" w:firstLine="26"/>
                  <w:jc w:val="both"/>
                  <w:rPr>
                    <w:rFonts w:ascii="Palatino Linotype" w:eastAsia="Palatino Linotype" w:hAnsi="Palatino Linotype" w:cs="Palatino Linotype"/>
                    <w:b/>
                    <w:bCs/>
                    <w:szCs w:val="22"/>
                  </w:rPr>
                </w:pPr>
                <w:r w:rsidRPr="00B90BDC">
                  <w:rPr>
                    <w:rFonts w:ascii="Palatino Linotype" w:eastAsia="Palatino Linotype" w:hAnsi="Palatino Linotype" w:cs="Palatino Linotype"/>
                    <w:szCs w:val="22"/>
                  </w:rPr>
                  <w:t>09133/INFOEM/IP/RR/202</w:t>
                </w:r>
                <w:r w:rsidRPr="00B90BDC">
                  <w:rPr>
                    <w:rFonts w:ascii="Palatino Linotype" w:eastAsia="Palatino Linotype" w:hAnsi="Palatino Linotype" w:cs="Palatino Linotype"/>
                    <w:b/>
                    <w:bCs/>
                    <w:szCs w:val="22"/>
                  </w:rPr>
                  <w:t>5</w:t>
                </w:r>
              </w:p>
            </w:tc>
            <w:tc>
              <w:tcPr>
                <w:tcW w:w="3870" w:type="dxa"/>
                <w:shd w:val="clear" w:color="auto" w:fill="auto"/>
              </w:tcPr>
              <w:p w:rsidR="00C12005" w:rsidRDefault="00114D49">
                <w:pPr>
                  <w:ind w:right="-81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04403/INFOEM/IP/RR/2025</w:t>
                </w:r>
              </w:p>
            </w:tc>
          </w:tr>
          <w:tr w:rsidR="00C12005" w:rsidTr="00B90BDC">
            <w:trPr>
              <w:trHeight w:val="144"/>
            </w:trPr>
            <w:tc>
              <w:tcPr>
                <w:tcW w:w="2693" w:type="dxa"/>
                <w:shd w:val="clear" w:color="auto" w:fill="auto"/>
              </w:tcPr>
              <w:p w:rsidR="00C12005" w:rsidRPr="00B90BDC" w:rsidRDefault="00114D49" w:rsidP="00B90BDC">
                <w:pPr>
                  <w:tabs>
                    <w:tab w:val="right" w:pos="8838"/>
                  </w:tabs>
                  <w:ind w:right="-105" w:firstLine="26"/>
                  <w:jc w:val="both"/>
                  <w:rPr>
                    <w:rFonts w:ascii="Palatino Linotype" w:eastAsia="Palatino Linotype" w:hAnsi="Palatino Linotype" w:cs="Palatino Linotype"/>
                    <w:b/>
                    <w:bCs/>
                    <w:szCs w:val="22"/>
                  </w:rPr>
                </w:pPr>
                <w:r w:rsidRPr="00B90BDC">
                  <w:rPr>
                    <w:rFonts w:ascii="Palatino Linotype" w:eastAsia="Palatino Linotype" w:hAnsi="Palatino Linotype" w:cs="Palatino Linotype"/>
                    <w:b/>
                    <w:bCs/>
                    <w:szCs w:val="22"/>
                  </w:rPr>
                  <w:t>Recurrente:</w:t>
                </w:r>
              </w:p>
            </w:tc>
            <w:tc>
              <w:tcPr>
                <w:tcW w:w="3870" w:type="dxa"/>
              </w:tcPr>
              <w:p w:rsidR="00C12005" w:rsidRPr="00B90BDC" w:rsidRDefault="004907EC" w:rsidP="00B90BDC">
                <w:pPr>
                  <w:ind w:firstLine="26"/>
                  <w:jc w:val="both"/>
                  <w:rPr>
                    <w:rFonts w:ascii="Palatino Linotype" w:eastAsia="Palatino Linotype" w:hAnsi="Palatino Linotype" w:cs="Palatino Linotype"/>
                    <w:szCs w:val="22"/>
                  </w:rPr>
                </w:pPr>
                <w:r>
                  <w:rPr>
                    <w:rFonts w:ascii="Palatino Linotype" w:eastAsia="Palatino Linotype" w:hAnsi="Palatino Linotype" w:cs="Palatino Linotype"/>
                    <w:szCs w:val="22"/>
                  </w:rPr>
                  <w:t>XXXX</w:t>
                </w:r>
              </w:p>
            </w:tc>
            <w:tc>
              <w:tcPr>
                <w:tcW w:w="3870" w:type="dxa"/>
                <w:shd w:val="clear" w:color="auto" w:fill="auto"/>
              </w:tcPr>
              <w:p w:rsidR="00C12005" w:rsidRDefault="00C12005">
                <w:pPr>
                  <w:tabs>
                    <w:tab w:val="left" w:pos="3122"/>
                  </w:tabs>
                  <w:ind w:right="-810"/>
                  <w:rPr>
                    <w:rFonts w:ascii="Palatino Linotype" w:eastAsia="Palatino Linotype" w:hAnsi="Palatino Linotype" w:cs="Palatino Linotype"/>
                    <w:sz w:val="22"/>
                    <w:szCs w:val="22"/>
                  </w:rPr>
                </w:pPr>
              </w:p>
            </w:tc>
          </w:tr>
          <w:tr w:rsidR="00C12005" w:rsidTr="00B90BDC">
            <w:trPr>
              <w:trHeight w:val="20"/>
            </w:trPr>
            <w:tc>
              <w:tcPr>
                <w:tcW w:w="2693" w:type="dxa"/>
                <w:shd w:val="clear" w:color="auto" w:fill="auto"/>
              </w:tcPr>
              <w:p w:rsidR="00C12005" w:rsidRDefault="00114D49" w:rsidP="00B90BDC">
                <w:pPr>
                  <w:tabs>
                    <w:tab w:val="right" w:pos="8838"/>
                  </w:tabs>
                  <w:ind w:right="-105" w:firstLine="26"/>
                  <w:jc w:val="both"/>
                  <w:rPr>
                    <w:rFonts w:ascii="Palatino Linotype" w:eastAsia="Palatino Linotype" w:hAnsi="Palatino Linotype" w:cs="Palatino Linotype"/>
                    <w:b/>
                    <w:bCs/>
                    <w:szCs w:val="22"/>
                  </w:rPr>
                </w:pPr>
                <w:r w:rsidRPr="00B90BDC">
                  <w:rPr>
                    <w:rFonts w:ascii="Palatino Linotype" w:eastAsia="Palatino Linotype" w:hAnsi="Palatino Linotype" w:cs="Palatino Linotype"/>
                    <w:b/>
                    <w:bCs/>
                    <w:szCs w:val="22"/>
                  </w:rPr>
                  <w:t>Sujeto Obligado:</w:t>
                </w:r>
              </w:p>
              <w:p w:rsidR="00B90BDC" w:rsidRDefault="00B90BDC" w:rsidP="00B90BDC">
                <w:pPr>
                  <w:tabs>
                    <w:tab w:val="right" w:pos="8838"/>
                  </w:tabs>
                  <w:ind w:right="-105" w:firstLine="26"/>
                  <w:jc w:val="both"/>
                  <w:rPr>
                    <w:rFonts w:ascii="Palatino Linotype" w:eastAsia="Palatino Linotype" w:hAnsi="Palatino Linotype" w:cs="Palatino Linotype"/>
                    <w:b/>
                    <w:bCs/>
                    <w:szCs w:val="22"/>
                  </w:rPr>
                </w:pPr>
                <w:r>
                  <w:rPr>
                    <w:rFonts w:ascii="Palatino Linotype" w:eastAsia="Palatino Linotype" w:hAnsi="Palatino Linotype" w:cs="Palatino Linotype"/>
                    <w:b/>
                    <w:bCs/>
                    <w:szCs w:val="22"/>
                  </w:rPr>
                  <w:t>Comisionada ponente:</w:t>
                </w:r>
              </w:p>
              <w:p w:rsidR="00B90BDC" w:rsidRPr="00B90BDC" w:rsidRDefault="00B90BDC" w:rsidP="00B90BDC">
                <w:pPr>
                  <w:tabs>
                    <w:tab w:val="right" w:pos="8838"/>
                  </w:tabs>
                  <w:ind w:right="-105" w:firstLine="26"/>
                  <w:jc w:val="both"/>
                  <w:rPr>
                    <w:rFonts w:ascii="Palatino Linotype" w:eastAsia="Palatino Linotype" w:hAnsi="Palatino Linotype" w:cs="Palatino Linotype"/>
                    <w:b/>
                    <w:bCs/>
                    <w:szCs w:val="22"/>
                  </w:rPr>
                </w:pPr>
              </w:p>
            </w:tc>
            <w:tc>
              <w:tcPr>
                <w:tcW w:w="3870" w:type="dxa"/>
              </w:tcPr>
              <w:p w:rsidR="00C12005" w:rsidRDefault="00114D49" w:rsidP="00B90BDC">
                <w:pPr>
                  <w:ind w:right="68" w:firstLine="26"/>
                  <w:jc w:val="both"/>
                  <w:rPr>
                    <w:rFonts w:ascii="Palatino Linotype" w:eastAsia="Palatino Linotype" w:hAnsi="Palatino Linotype" w:cs="Palatino Linotype"/>
                    <w:szCs w:val="22"/>
                  </w:rPr>
                </w:pPr>
                <w:r w:rsidRPr="00B90BDC">
                  <w:rPr>
                    <w:rFonts w:ascii="Palatino Linotype" w:eastAsia="Palatino Linotype" w:hAnsi="Palatino Linotype" w:cs="Palatino Linotype"/>
                    <w:szCs w:val="22"/>
                  </w:rPr>
                  <w:t>Poder Judicial</w:t>
                </w:r>
              </w:p>
              <w:p w:rsidR="00B90BDC" w:rsidRPr="00B90BDC" w:rsidRDefault="00B90BDC" w:rsidP="00B90BDC">
                <w:pPr>
                  <w:ind w:right="68" w:firstLine="26"/>
                  <w:jc w:val="both"/>
                  <w:rPr>
                    <w:rFonts w:ascii="Palatino Linotype" w:eastAsia="Palatino Linotype" w:hAnsi="Palatino Linotype" w:cs="Palatino Linotype"/>
                    <w:szCs w:val="22"/>
                  </w:rPr>
                </w:pPr>
                <w:r>
                  <w:rPr>
                    <w:rFonts w:ascii="Palatino Linotype" w:eastAsia="Palatino Linotype" w:hAnsi="Palatino Linotype" w:cs="Palatino Linotype"/>
                    <w:szCs w:val="22"/>
                  </w:rPr>
                  <w:t>María del Rosario Mejía Ayala</w:t>
                </w:r>
              </w:p>
            </w:tc>
            <w:tc>
              <w:tcPr>
                <w:tcW w:w="3870" w:type="dxa"/>
                <w:shd w:val="clear" w:color="auto" w:fill="auto"/>
              </w:tcPr>
              <w:p w:rsidR="00C12005" w:rsidRDefault="00114D49">
                <w:pPr>
                  <w:tabs>
                    <w:tab w:val="left" w:pos="2834"/>
                  </w:tabs>
                  <w:ind w:right="-81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Instituto de Transparencia, Acceso a la Información Pública y Protección de</w:t>
                </w:r>
              </w:p>
              <w:p w:rsidR="00C12005" w:rsidRDefault="00114D49">
                <w:pPr>
                  <w:tabs>
                    <w:tab w:val="left" w:pos="2834"/>
                  </w:tabs>
                  <w:ind w:right="-81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 xml:space="preserve">Datos Personales del Estado de </w:t>
                </w:r>
              </w:p>
              <w:p w:rsidR="00C12005" w:rsidRDefault="00114D49">
                <w:pPr>
                  <w:tabs>
                    <w:tab w:val="left" w:pos="2834"/>
                  </w:tabs>
                  <w:ind w:right="-810"/>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México y Municipios</w:t>
                </w:r>
              </w:p>
            </w:tc>
          </w:tr>
        </w:tbl>
        <w:p w:rsidR="00C12005" w:rsidRDefault="00C12005">
          <w:pPr>
            <w:tabs>
              <w:tab w:val="right" w:pos="8838"/>
            </w:tabs>
            <w:ind w:left="-28"/>
            <w:jc w:val="both"/>
            <w:rPr>
              <w:rFonts w:ascii="Arial" w:eastAsia="Arial" w:hAnsi="Arial" w:cs="Arial"/>
              <w:b/>
              <w:bCs/>
              <w:sz w:val="22"/>
              <w:szCs w:val="22"/>
            </w:rPr>
          </w:pPr>
        </w:p>
      </w:tc>
    </w:tr>
  </w:tbl>
  <w:p w:rsidR="00C12005" w:rsidRDefault="00992897">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52.6pt;margin-top:-157.25pt;width:589.8pt;height:768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52E81"/>
    <w:multiLevelType w:val="multilevel"/>
    <w:tmpl w:val="A5C6204C"/>
    <w:lvl w:ilvl="0">
      <w:start w:val="34"/>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F05A90"/>
    <w:multiLevelType w:val="multilevel"/>
    <w:tmpl w:val="228A6218"/>
    <w:lvl w:ilvl="0">
      <w:start w:val="1"/>
      <w:numFmt w:val="decimal"/>
      <w:lvlText w:val="%1."/>
      <w:lvlJc w:val="left"/>
      <w:pPr>
        <w:ind w:left="1920" w:hanging="360"/>
      </w:pPr>
      <w:rPr>
        <w:b/>
        <w:bCs/>
        <w:smallCaps/>
        <w:sz w:val="28"/>
        <w:szCs w:val="28"/>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E11D23"/>
    <w:multiLevelType w:val="multilevel"/>
    <w:tmpl w:val="E03E5B7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22037704"/>
    <w:multiLevelType w:val="multilevel"/>
    <w:tmpl w:val="33967A56"/>
    <w:lvl w:ilvl="0">
      <w:start w:val="43"/>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88D4462"/>
    <w:multiLevelType w:val="multilevel"/>
    <w:tmpl w:val="532C177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BA90443"/>
    <w:multiLevelType w:val="multilevel"/>
    <w:tmpl w:val="0F5A5B6C"/>
    <w:lvl w:ilvl="0">
      <w:start w:val="10"/>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CB643A4"/>
    <w:multiLevelType w:val="multilevel"/>
    <w:tmpl w:val="69FEBE46"/>
    <w:lvl w:ilvl="0">
      <w:start w:val="5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D9E068A"/>
    <w:multiLevelType w:val="multilevel"/>
    <w:tmpl w:val="1CF8BF4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A73579E"/>
    <w:multiLevelType w:val="multilevel"/>
    <w:tmpl w:val="29A27C8C"/>
    <w:lvl w:ilvl="0">
      <w:start w:val="6"/>
      <w:numFmt w:val="decimal"/>
      <w:lvlText w:val="%1."/>
      <w:lvlJc w:val="left"/>
      <w:pPr>
        <w:ind w:left="644" w:hanging="357"/>
      </w:pPr>
      <w:rPr>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6B363A7"/>
    <w:multiLevelType w:val="multilevel"/>
    <w:tmpl w:val="7A1846A4"/>
    <w:lvl w:ilvl="0">
      <w:start w:val="32"/>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FEB0F97"/>
    <w:multiLevelType w:val="multilevel"/>
    <w:tmpl w:val="7E865082"/>
    <w:lvl w:ilvl="0">
      <w:start w:val="3"/>
      <w:numFmt w:val="decimal"/>
      <w:lvlText w:val="%1."/>
      <w:lvlJc w:val="left"/>
      <w:pPr>
        <w:ind w:left="644" w:hanging="357"/>
      </w:pPr>
      <w:rPr>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6B90E1F"/>
    <w:multiLevelType w:val="hybridMultilevel"/>
    <w:tmpl w:val="CF4057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D290E75"/>
    <w:multiLevelType w:val="multilevel"/>
    <w:tmpl w:val="7D1CFF92"/>
    <w:lvl w:ilvl="0">
      <w:start w:val="52"/>
      <w:numFmt w:val="decimal"/>
      <w:lvlText w:val="%1."/>
      <w:lvlJc w:val="left"/>
      <w:pPr>
        <w:ind w:left="644" w:hanging="357"/>
      </w:pPr>
      <w:rPr>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FCD3A58"/>
    <w:multiLevelType w:val="multilevel"/>
    <w:tmpl w:val="F5B4B9D4"/>
    <w:lvl w:ilvl="0">
      <w:start w:val="18"/>
      <w:numFmt w:val="decimal"/>
      <w:lvlText w:val="%1."/>
      <w:lvlJc w:val="left"/>
      <w:pPr>
        <w:ind w:left="644" w:hanging="358"/>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637"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13"/>
  </w:num>
  <w:num w:numId="3">
    <w:abstractNumId w:val="4"/>
  </w:num>
  <w:num w:numId="4">
    <w:abstractNumId w:val="12"/>
  </w:num>
  <w:num w:numId="5">
    <w:abstractNumId w:val="3"/>
  </w:num>
  <w:num w:numId="6">
    <w:abstractNumId w:val="9"/>
  </w:num>
  <w:num w:numId="7">
    <w:abstractNumId w:val="7"/>
  </w:num>
  <w:num w:numId="8">
    <w:abstractNumId w:val="2"/>
  </w:num>
  <w:num w:numId="9">
    <w:abstractNumId w:val="0"/>
  </w:num>
  <w:num w:numId="10">
    <w:abstractNumId w:val="6"/>
  </w:num>
  <w:num w:numId="11">
    <w:abstractNumId w:val="1"/>
  </w:num>
  <w:num w:numId="12">
    <w:abstractNumId w:val="8"/>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005"/>
    <w:rsid w:val="00114D49"/>
    <w:rsid w:val="00133C00"/>
    <w:rsid w:val="004907EC"/>
    <w:rsid w:val="004D25F7"/>
    <w:rsid w:val="00992897"/>
    <w:rsid w:val="00A46156"/>
    <w:rsid w:val="00B90BDC"/>
    <w:rsid w:val="00BA20E6"/>
    <w:rsid w:val="00C12005"/>
    <w:rsid w:val="00C36473"/>
    <w:rsid w:val="00E051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4F150A3-27DF-4A5D-A67F-1DCEC88A3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Ttulo1Car">
    <w:name w:val="Título 1 Car"/>
    <w:basedOn w:val="Fuentedeprrafopredeter"/>
    <w:uiPriority w:val="9"/>
    <w:rsid w:val="00CE3EF5"/>
    <w:rPr>
      <w:rFonts w:asciiTheme="majorHAnsi" w:eastAsiaTheme="majorEastAsia" w:hAnsiTheme="majorHAnsi" w:cstheme="majorBidi"/>
      <w:color w:val="2E74B5" w:themeColor="accent1" w:themeShade="BF"/>
      <w:sz w:val="32"/>
      <w:szCs w:val="32"/>
      <w:lang w:eastAsia="es-MX"/>
    </w:rPr>
  </w:style>
  <w:style w:type="character" w:customStyle="1" w:styleId="Ttulo2Car">
    <w:name w:val="Título 2 Car"/>
    <w:basedOn w:val="Fuentedeprrafopredeter"/>
    <w:uiPriority w:val="9"/>
    <w:rsid w:val="00CE3EF5"/>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E3EF5"/>
    <w:pPr>
      <w:tabs>
        <w:tab w:val="center" w:pos="4419"/>
        <w:tab w:val="right" w:pos="8838"/>
      </w:tabs>
    </w:pPr>
  </w:style>
  <w:style w:type="character" w:customStyle="1" w:styleId="EncabezadoCar">
    <w:name w:val="Encabezado Car"/>
    <w:basedOn w:val="Fuentedeprrafopredeter"/>
    <w:link w:val="Encabezado"/>
    <w:uiPriority w:val="99"/>
    <w:rsid w:val="00CE3EF5"/>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CE3EF5"/>
    <w:pPr>
      <w:tabs>
        <w:tab w:val="center" w:pos="4419"/>
        <w:tab w:val="right" w:pos="8838"/>
      </w:tabs>
    </w:pPr>
  </w:style>
  <w:style w:type="character" w:customStyle="1" w:styleId="PiedepginaCar">
    <w:name w:val="Pie de página Car"/>
    <w:basedOn w:val="Fuentedeprrafopredeter"/>
    <w:link w:val="Piedepgina"/>
    <w:uiPriority w:val="99"/>
    <w:rsid w:val="00CE3EF5"/>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E3EF5"/>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CE3EF5"/>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CE3EF5"/>
    <w:rPr>
      <w:color w:val="0563C1"/>
      <w:u w:val="single"/>
    </w:rPr>
  </w:style>
  <w:style w:type="paragraph" w:styleId="Sinespaciado">
    <w:name w:val="No Spacing"/>
    <w:aliases w:val="Francesa,INAI,Fundamentos"/>
    <w:link w:val="SinespaciadoCar"/>
    <w:uiPriority w:val="1"/>
    <w:qFormat/>
    <w:rsid w:val="00CE3EF5"/>
  </w:style>
  <w:style w:type="character" w:customStyle="1" w:styleId="SinespaciadoCar">
    <w:name w:val="Sin espaciado Car"/>
    <w:aliases w:val="Francesa Car,INAI Car,Fundamentos Car"/>
    <w:link w:val="Sinespaciado"/>
    <w:uiPriority w:val="1"/>
    <w:qFormat/>
    <w:locked/>
    <w:rsid w:val="00CE3EF5"/>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CE3EF5"/>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CE3EF5"/>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CE3EF5"/>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CE3EF5"/>
    <w:rPr>
      <w:rFonts w:ascii="Times New Roman" w:eastAsia="Times New Roman" w:hAnsi="Times New Roman" w:cs="Times New Roman"/>
      <w:sz w:val="20"/>
      <w:szCs w:val="20"/>
      <w:lang w:eastAsia="es-MX"/>
    </w:rPr>
  </w:style>
  <w:style w:type="character" w:styleId="Hipervnculovisitado">
    <w:name w:val="FollowedHyperlink"/>
    <w:basedOn w:val="Fuentedeprrafopredeter"/>
    <w:uiPriority w:val="99"/>
    <w:semiHidden/>
    <w:unhideWhenUsed/>
    <w:rsid w:val="00243D8E"/>
    <w:rPr>
      <w:color w:val="954F72" w:themeColor="followedHyperlink"/>
      <w:u w:val="single"/>
    </w:rPr>
  </w:style>
  <w:style w:type="table" w:styleId="Tabladecuadrcula6concolores">
    <w:name w:val="Grid Table 6 Colorful"/>
    <w:basedOn w:val="Tablanormal"/>
    <w:uiPriority w:val="51"/>
    <w:rsid w:val="00DC69E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qFormat/>
    <w:rsid w:val="0095227B"/>
    <w:pPr>
      <w:autoSpaceDE w:val="0"/>
      <w:autoSpaceDN w:val="0"/>
      <w:adjustRightInd w:val="0"/>
    </w:pPr>
    <w:rPr>
      <w:rFonts w:ascii="Arial" w:hAnsi="Arial" w:cs="Arial"/>
      <w:color w:val="000000"/>
    </w:rPr>
  </w:style>
  <w:style w:type="character" w:customStyle="1" w:styleId="markedcontent">
    <w:name w:val="markedcontent"/>
    <w:basedOn w:val="Fuentedeprrafopredeter"/>
    <w:rsid w:val="00AD0C84"/>
  </w:style>
  <w:style w:type="numbering" w:customStyle="1" w:styleId="Estiloimportado1">
    <w:name w:val="Estilo importado 1"/>
    <w:rsid w:val="008B5F61"/>
  </w:style>
  <w:style w:type="table" w:customStyle="1" w:styleId="Tablanormal13">
    <w:name w:val="Tabla normal 13"/>
    <w:basedOn w:val="Tablanormal"/>
    <w:next w:val="Tablanormal1"/>
    <w:uiPriority w:val="41"/>
    <w:rsid w:val="002023A6"/>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2023A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4">
    <w:name w:val="24"/>
    <w:basedOn w:val="TableNormal1"/>
    <w:rPr>
      <w:color w:val="000000"/>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1"/>
    <w:tblPr>
      <w:tblStyleRowBandSize w:val="1"/>
      <w:tblStyleColBandSize w:val="1"/>
      <w:tblCellMar>
        <w:left w:w="115" w:type="dxa"/>
        <w:right w:w="115" w:type="dxa"/>
      </w:tblCellMar>
    </w:tblPr>
  </w:style>
  <w:style w:type="table" w:customStyle="1" w:styleId="21">
    <w:name w:val="21"/>
    <w:basedOn w:val="TableNormal1"/>
    <w:tblPr>
      <w:tblStyleRowBandSize w:val="1"/>
      <w:tblStyleColBandSize w:val="1"/>
      <w:tblCellMar>
        <w:left w:w="115" w:type="dxa"/>
        <w:right w:w="115" w:type="dxa"/>
      </w:tblCellMar>
    </w:tblPr>
  </w:style>
  <w:style w:type="table" w:customStyle="1" w:styleId="20">
    <w:name w:val="20"/>
    <w:basedOn w:val="TableNormal1"/>
    <w:tblPr>
      <w:tblStyleRowBandSize w:val="1"/>
      <w:tblStyleColBandSize w:val="1"/>
      <w:tblCellMar>
        <w:left w:w="115" w:type="dxa"/>
        <w:right w:w="115" w:type="dxa"/>
      </w:tblCellMar>
    </w:tblPr>
  </w:style>
  <w:style w:type="table" w:customStyle="1" w:styleId="19">
    <w:name w:val="19"/>
    <w:basedOn w:val="TableNormal1"/>
    <w:rPr>
      <w:color w:val="000000"/>
    </w:r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18">
    <w:name w:val="18"/>
    <w:basedOn w:val="TableNormal1"/>
    <w:rPr>
      <w:color w:val="000000"/>
    </w:rPr>
    <w:tblPr>
      <w:tblStyleRowBandSize w:val="1"/>
      <w:tblStyleColBandSize w:val="1"/>
      <w:tblCellMar>
        <w:left w:w="115" w:type="dxa"/>
        <w:right w:w="115" w:type="dxa"/>
      </w:tblCellMar>
    </w:tblPr>
  </w:style>
  <w:style w:type="table" w:customStyle="1" w:styleId="17">
    <w:name w:val="17"/>
    <w:basedOn w:val="TableNormal1"/>
    <w:rPr>
      <w:color w:val="000000"/>
    </w:rPr>
    <w:tblPr>
      <w:tblStyleRowBandSize w:val="1"/>
      <w:tblStyleColBandSize w:val="1"/>
      <w:tblCellMar>
        <w:left w:w="115" w:type="dxa"/>
        <w:right w:w="115" w:type="dxa"/>
      </w:tblCellMar>
    </w:tblPr>
  </w:style>
  <w:style w:type="table" w:customStyle="1" w:styleId="16">
    <w:name w:val="16"/>
    <w:basedOn w:val="TableNormal1"/>
    <w:rPr>
      <w:color w:val="000000"/>
    </w:rPr>
    <w:tblPr>
      <w:tblStyleRowBandSize w:val="1"/>
      <w:tblStyleColBandSize w:val="1"/>
      <w:tblCellMar>
        <w:left w:w="115" w:type="dxa"/>
        <w:right w:w="115" w:type="dxa"/>
      </w:tblCellMar>
    </w:tblPr>
  </w:style>
  <w:style w:type="table" w:customStyle="1" w:styleId="15">
    <w:name w:val="15"/>
    <w:basedOn w:val="TableNormal1"/>
    <w:rPr>
      <w:color w:val="000000"/>
    </w:rPr>
    <w:tblPr>
      <w:tblStyleRowBandSize w:val="1"/>
      <w:tblStyleColBandSize w:val="1"/>
      <w:tblCellMar>
        <w:left w:w="115" w:type="dxa"/>
        <w:right w:w="115" w:type="dxa"/>
      </w:tblCellMar>
    </w:tblPr>
  </w:style>
  <w:style w:type="character" w:customStyle="1" w:styleId="Mencinsinresolver1">
    <w:name w:val="Mención sin resolver1"/>
    <w:basedOn w:val="Fuentedeprrafopredeter"/>
    <w:uiPriority w:val="99"/>
    <w:semiHidden/>
    <w:unhideWhenUsed/>
    <w:rsid w:val="00EF7312"/>
    <w:rPr>
      <w:color w:val="605E5C"/>
      <w:shd w:val="clear" w:color="auto" w:fill="E1DFDD"/>
    </w:rPr>
  </w:style>
  <w:style w:type="character" w:styleId="Refdecomentario">
    <w:name w:val="annotation reference"/>
    <w:basedOn w:val="Fuentedeprrafopredeter"/>
    <w:uiPriority w:val="99"/>
    <w:semiHidden/>
    <w:unhideWhenUsed/>
    <w:rsid w:val="00E60A26"/>
    <w:rPr>
      <w:sz w:val="16"/>
      <w:szCs w:val="16"/>
    </w:rPr>
  </w:style>
  <w:style w:type="paragraph" w:styleId="Textocomentario">
    <w:name w:val="annotation text"/>
    <w:basedOn w:val="Normal"/>
    <w:link w:val="TextocomentarioCar"/>
    <w:uiPriority w:val="99"/>
    <w:unhideWhenUsed/>
    <w:rsid w:val="00E60A26"/>
    <w:rPr>
      <w:sz w:val="20"/>
      <w:szCs w:val="20"/>
    </w:rPr>
  </w:style>
  <w:style w:type="character" w:customStyle="1" w:styleId="TextocomentarioCar">
    <w:name w:val="Texto comentario Car"/>
    <w:basedOn w:val="Fuentedeprrafopredeter"/>
    <w:link w:val="Textocomentario"/>
    <w:uiPriority w:val="99"/>
    <w:rsid w:val="00E60A26"/>
    <w:rPr>
      <w:sz w:val="20"/>
      <w:szCs w:val="20"/>
    </w:rPr>
  </w:style>
  <w:style w:type="paragraph" w:styleId="Asuntodelcomentario">
    <w:name w:val="annotation subject"/>
    <w:basedOn w:val="Textocomentario"/>
    <w:next w:val="Textocomentario"/>
    <w:link w:val="AsuntodelcomentarioCar"/>
    <w:uiPriority w:val="99"/>
    <w:semiHidden/>
    <w:unhideWhenUsed/>
    <w:rsid w:val="00E60A26"/>
    <w:rPr>
      <w:b/>
      <w:bCs/>
    </w:rPr>
  </w:style>
  <w:style w:type="character" w:customStyle="1" w:styleId="AsuntodelcomentarioCar">
    <w:name w:val="Asunto del comentario Car"/>
    <w:basedOn w:val="TextocomentarioCar"/>
    <w:link w:val="Asuntodelcomentario"/>
    <w:uiPriority w:val="99"/>
    <w:semiHidden/>
    <w:rsid w:val="00E60A26"/>
    <w:rPr>
      <w:b/>
      <w:bCs/>
      <w:sz w:val="20"/>
      <w:szCs w:val="20"/>
    </w:rPr>
  </w:style>
  <w:style w:type="paragraph" w:styleId="Textodeglobo">
    <w:name w:val="Balloon Text"/>
    <w:basedOn w:val="Normal"/>
    <w:link w:val="TextodegloboCar"/>
    <w:uiPriority w:val="99"/>
    <w:semiHidden/>
    <w:unhideWhenUsed/>
    <w:rsid w:val="00E60A2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60A26"/>
    <w:rPr>
      <w:rFonts w:ascii="Segoe UI" w:hAnsi="Segoe UI" w:cs="Segoe UI"/>
      <w:sz w:val="18"/>
      <w:szCs w:val="18"/>
    </w:rPr>
  </w:style>
  <w:style w:type="table" w:styleId="Tablaconcuadrcula">
    <w:name w:val="Table Grid"/>
    <w:basedOn w:val="Tablanormal"/>
    <w:uiPriority w:val="59"/>
    <w:rsid w:val="00D46DD8"/>
    <w:rPr>
      <w:rFonts w:asciiTheme="minorHAnsi" w:eastAsiaTheme="minorEastAsia" w:hAnsiTheme="minorHAnsi" w:cstheme="minorBidi"/>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14"/>
    <w:basedOn w:val="TableNormal2"/>
    <w:rPr>
      <w:rFonts w:ascii="Calibri" w:eastAsia="Calibri" w:hAnsi="Calibri" w:cs="Calibri"/>
      <w:color w:val="000000"/>
    </w:rPr>
    <w:tblPr>
      <w:tblStyleRowBandSize w:val="1"/>
      <w:tblStyleColBandSize w:val="1"/>
      <w:tblCellMar>
        <w:left w:w="108" w:type="dxa"/>
        <w:right w:w="108" w:type="dxa"/>
      </w:tblCellMar>
    </w:tblPr>
  </w:style>
  <w:style w:type="table" w:customStyle="1" w:styleId="13">
    <w:name w:val="13"/>
    <w:basedOn w:val="TableNormal2"/>
    <w:tblPr>
      <w:tblStyleRowBandSize w:val="1"/>
      <w:tblStyleColBandSize w:val="1"/>
      <w:tblCellMar>
        <w:left w:w="115" w:type="dxa"/>
        <w:right w:w="115" w:type="dxa"/>
      </w:tblCellMar>
    </w:tblPr>
  </w:style>
  <w:style w:type="table" w:customStyle="1" w:styleId="12">
    <w:name w:val="12"/>
    <w:basedOn w:val="TableNormal2"/>
    <w:rPr>
      <w:color w:val="000000"/>
    </w:rPr>
    <w:tblPr>
      <w:tblStyleRowBandSize w:val="1"/>
      <w:tblStyleColBandSize w:val="1"/>
      <w:tblCellMar>
        <w:left w:w="115" w:type="dxa"/>
        <w:right w:w="115" w:type="dxa"/>
      </w:tblCellMar>
    </w:tblPr>
  </w:style>
  <w:style w:type="table" w:customStyle="1" w:styleId="11">
    <w:name w:val="11"/>
    <w:basedOn w:val="TableNormal2"/>
    <w:rPr>
      <w:color w:val="000000"/>
    </w:rPr>
    <w:tblPr>
      <w:tblStyleRowBandSize w:val="1"/>
      <w:tblStyleColBandSize w:val="1"/>
      <w:tblCellMar>
        <w:left w:w="115" w:type="dxa"/>
        <w:right w:w="115" w:type="dxa"/>
      </w:tblCellMar>
    </w:tblPr>
  </w:style>
  <w:style w:type="table" w:customStyle="1" w:styleId="10">
    <w:name w:val="10"/>
    <w:basedOn w:val="TableNormal2"/>
    <w:rPr>
      <w:color w:val="000000"/>
    </w:rPr>
    <w:tblPr>
      <w:tblStyleRowBandSize w:val="1"/>
      <w:tblStyleColBandSize w:val="1"/>
      <w:tblCellMar>
        <w:left w:w="115" w:type="dxa"/>
        <w:right w:w="115" w:type="dxa"/>
      </w:tblCellMar>
    </w:tblPr>
  </w:style>
  <w:style w:type="table" w:customStyle="1" w:styleId="9">
    <w:name w:val="9"/>
    <w:basedOn w:val="TableNormal2"/>
    <w:rPr>
      <w:color w:val="000000"/>
    </w:rPr>
    <w:tblPr>
      <w:tblStyleRowBandSize w:val="1"/>
      <w:tblStyleColBandSize w:val="1"/>
      <w:tblCellMar>
        <w:left w:w="115" w:type="dxa"/>
        <w:right w:w="115" w:type="dxa"/>
      </w:tblCellMar>
    </w:tblPr>
  </w:style>
  <w:style w:type="table" w:customStyle="1" w:styleId="8">
    <w:name w:val="8"/>
    <w:basedOn w:val="TableNormal3"/>
    <w:rPr>
      <w:rFonts w:ascii="Calibri" w:eastAsia="Calibri" w:hAnsi="Calibri" w:cs="Calibri"/>
      <w:color w:val="000000"/>
    </w:rPr>
    <w:tblPr>
      <w:tblStyleRowBandSize w:val="1"/>
      <w:tblStyleColBandSize w:val="1"/>
      <w:tblCellMar>
        <w:left w:w="115" w:type="dxa"/>
        <w:right w:w="115" w:type="dxa"/>
      </w:tblCellMar>
    </w:tblPr>
  </w:style>
  <w:style w:type="table" w:customStyle="1" w:styleId="7">
    <w:name w:val="7"/>
    <w:basedOn w:val="TableNormal3"/>
    <w:rPr>
      <w:rFonts w:ascii="Calibri" w:eastAsia="Calibri" w:hAnsi="Calibri" w:cs="Calibri"/>
      <w:color w:val="000000"/>
    </w:rPr>
    <w:tblPr>
      <w:tblStyleRowBandSize w:val="1"/>
      <w:tblStyleColBandSize w:val="1"/>
      <w:tblCellMar>
        <w:left w:w="115" w:type="dxa"/>
        <w:right w:w="115" w:type="dxa"/>
      </w:tblCellMar>
    </w:tblPr>
  </w:style>
  <w:style w:type="table" w:customStyle="1" w:styleId="6">
    <w:name w:val="6"/>
    <w:basedOn w:val="TableNormal3"/>
    <w:rPr>
      <w:rFonts w:ascii="Calibri" w:eastAsia="Calibri" w:hAnsi="Calibri" w:cs="Calibri"/>
      <w:color w:val="000000"/>
    </w:rPr>
    <w:tblPr>
      <w:tblStyleRowBandSize w:val="1"/>
      <w:tblStyleColBandSize w:val="1"/>
      <w:tblCellMar>
        <w:left w:w="115" w:type="dxa"/>
        <w:right w:w="115" w:type="dxa"/>
      </w:tblCellMar>
    </w:tblPr>
  </w:style>
  <w:style w:type="table" w:customStyle="1" w:styleId="5">
    <w:name w:val="5"/>
    <w:basedOn w:val="TableNormal3"/>
    <w:rPr>
      <w:rFonts w:ascii="Calibri" w:eastAsia="Calibri" w:hAnsi="Calibri" w:cs="Calibri"/>
      <w:color w:val="000000"/>
    </w:rPr>
    <w:tblPr>
      <w:tblStyleRowBandSize w:val="1"/>
      <w:tblStyleColBandSize w:val="1"/>
      <w:tblCellMar>
        <w:left w:w="115" w:type="dxa"/>
        <w:right w:w="115" w:type="dxa"/>
      </w:tblCellMar>
    </w:tblPr>
  </w:style>
  <w:style w:type="character" w:styleId="Referenciasutil">
    <w:name w:val="Subtle Reference"/>
    <w:basedOn w:val="Fuentedeprrafopredeter"/>
    <w:uiPriority w:val="31"/>
    <w:qFormat/>
    <w:rsid w:val="00A36329"/>
    <w:rPr>
      <w:rFonts w:cs="Times New Roman"/>
      <w:smallCaps/>
      <w:color w:val="5A5A5A" w:themeColor="text1" w:themeTint="A5"/>
    </w:rPr>
  </w:style>
  <w:style w:type="table" w:customStyle="1" w:styleId="4">
    <w:name w:val="4"/>
    <w:basedOn w:val="TableNormal4"/>
    <w:rPr>
      <w:rFonts w:ascii="Calibri" w:eastAsia="Calibri" w:hAnsi="Calibri" w:cs="Calibri"/>
      <w:color w:val="000000"/>
    </w:rPr>
    <w:tblPr>
      <w:tblStyleRowBandSize w:val="1"/>
      <w:tblStyleColBandSize w:val="1"/>
      <w:tblCellMar>
        <w:left w:w="115" w:type="dxa"/>
        <w:right w:w="115" w:type="dxa"/>
      </w:tblCellMar>
    </w:tblPr>
  </w:style>
  <w:style w:type="table" w:customStyle="1" w:styleId="3">
    <w:name w:val="3"/>
    <w:basedOn w:val="TableNormal4"/>
    <w:rPr>
      <w:rFonts w:ascii="Calibri" w:eastAsia="Calibri" w:hAnsi="Calibri" w:cs="Calibri"/>
      <w:color w:val="000000"/>
    </w:rPr>
    <w:tblPr>
      <w:tblStyleRowBandSize w:val="1"/>
      <w:tblStyleColBandSize w:val="1"/>
      <w:tblCellMar>
        <w:left w:w="115" w:type="dxa"/>
        <w:right w:w="115" w:type="dxa"/>
      </w:tblCellMar>
    </w:tblPr>
  </w:style>
  <w:style w:type="table" w:customStyle="1" w:styleId="2">
    <w:name w:val="2"/>
    <w:basedOn w:val="TableNormal4"/>
    <w:rPr>
      <w:rFonts w:ascii="Calibri" w:eastAsia="Calibri" w:hAnsi="Calibri" w:cs="Calibri"/>
      <w:color w:val="000000"/>
    </w:rPr>
    <w:tblPr>
      <w:tblStyleRowBandSize w:val="1"/>
      <w:tblStyleColBandSize w:val="1"/>
      <w:tblCellMar>
        <w:left w:w="115" w:type="dxa"/>
        <w:right w:w="115" w:type="dxa"/>
      </w:tblCellMar>
    </w:tblPr>
  </w:style>
  <w:style w:type="table" w:customStyle="1" w:styleId="1">
    <w:name w:val="1"/>
    <w:basedOn w:val="TableNormal4"/>
    <w:rPr>
      <w:rFonts w:ascii="Calibri" w:eastAsia="Calibri" w:hAnsi="Calibri" w:cs="Calibri"/>
      <w:color w:val="000000"/>
    </w:rPr>
    <w:tblPr>
      <w:tblStyleRowBandSize w:val="1"/>
      <w:tblStyleColBandSize w:val="1"/>
      <w:tblCellMar>
        <w:left w:w="115" w:type="dxa"/>
        <w:right w:w="115" w:type="dxa"/>
      </w:tblCellMar>
    </w:tblPr>
  </w:style>
  <w:style w:type="paragraph" w:styleId="NormalWeb">
    <w:name w:val="Normal (Web)"/>
    <w:basedOn w:val="Normal"/>
    <w:uiPriority w:val="99"/>
    <w:rsid w:val="00F4095B"/>
    <w:pPr>
      <w:spacing w:before="100" w:beforeAutospacing="1" w:after="100" w:afterAutospacing="1"/>
    </w:pPr>
    <w:rPr>
      <w:lang w:eastAsia="es-ES"/>
    </w:rPr>
  </w:style>
  <w:style w:type="character" w:styleId="Textoennegrita">
    <w:name w:val="Strong"/>
    <w:uiPriority w:val="22"/>
    <w:qFormat/>
    <w:rsid w:val="00F4095B"/>
    <w:rPr>
      <w:b/>
      <w:bCs/>
    </w:rPr>
  </w:style>
  <w:style w:type="paragraph" w:styleId="Textoindependiente2">
    <w:name w:val="Body Text 2"/>
    <w:basedOn w:val="Normal"/>
    <w:link w:val="Textoindependiente2Car"/>
    <w:uiPriority w:val="99"/>
    <w:unhideWhenUsed/>
    <w:rsid w:val="00F4095B"/>
    <w:pPr>
      <w:spacing w:after="120" w:line="480" w:lineRule="auto"/>
    </w:pPr>
    <w:rPr>
      <w:lang w:eastAsia="es-ES"/>
    </w:rPr>
  </w:style>
  <w:style w:type="character" w:customStyle="1" w:styleId="Textoindependiente2Car">
    <w:name w:val="Texto independiente 2 Car"/>
    <w:basedOn w:val="Fuentedeprrafopredeter"/>
    <w:link w:val="Textoindependiente2"/>
    <w:uiPriority w:val="99"/>
    <w:rsid w:val="00F4095B"/>
    <w:rPr>
      <w:lang w:eastAsia="es-ES"/>
    </w:rPr>
  </w:style>
  <w:style w:type="character" w:customStyle="1" w:styleId="apple-converted-space">
    <w:name w:val="apple-converted-space"/>
    <w:basedOn w:val="Fuentedeprrafopredeter"/>
    <w:rsid w:val="00F4095B"/>
  </w:style>
  <w:style w:type="paragraph" w:customStyle="1" w:styleId="Listavistosa-nfasis11">
    <w:name w:val="Lista vistosa - Énfasis 11"/>
    <w:basedOn w:val="Normal"/>
    <w:link w:val="Listavistosa-nfasis1Car"/>
    <w:uiPriority w:val="34"/>
    <w:qFormat/>
    <w:rsid w:val="00F4095B"/>
    <w:pPr>
      <w:ind w:left="708"/>
    </w:pPr>
    <w:rPr>
      <w:lang w:eastAsia="es-ES"/>
    </w:rPr>
  </w:style>
  <w:style w:type="character" w:customStyle="1" w:styleId="Listavistosa-nfasis1Car">
    <w:name w:val="Lista vistosa - Énfasis 1 Car"/>
    <w:link w:val="Listavistosa-nfasis11"/>
    <w:uiPriority w:val="34"/>
    <w:locked/>
    <w:rsid w:val="00F4095B"/>
    <w:rPr>
      <w:lang w:eastAsia="es-ES"/>
    </w:rPr>
  </w:style>
  <w:style w:type="paragraph" w:customStyle="1" w:styleId="Texto">
    <w:name w:val="Texto"/>
    <w:basedOn w:val="Normal"/>
    <w:link w:val="TextoCar"/>
    <w:qFormat/>
    <w:rsid w:val="00F4095B"/>
    <w:pPr>
      <w:spacing w:after="101" w:line="216" w:lineRule="exact"/>
      <w:ind w:firstLine="288"/>
      <w:jc w:val="both"/>
    </w:pPr>
    <w:rPr>
      <w:rFonts w:ascii="Arial" w:hAnsi="Arial" w:cs="Arial"/>
      <w:sz w:val="18"/>
      <w:szCs w:val="18"/>
      <w:lang w:eastAsia="es-ES"/>
    </w:rPr>
  </w:style>
  <w:style w:type="character" w:customStyle="1" w:styleId="apple-style-span">
    <w:name w:val="apple-style-span"/>
    <w:rsid w:val="00F4095B"/>
  </w:style>
  <w:style w:type="paragraph" w:styleId="Textosinformato">
    <w:name w:val="Plain Text"/>
    <w:basedOn w:val="Normal"/>
    <w:link w:val="TextosinformatoCar"/>
    <w:rsid w:val="00F4095B"/>
    <w:rPr>
      <w:rFonts w:ascii="Courier New" w:hAnsi="Courier New"/>
      <w:sz w:val="20"/>
      <w:szCs w:val="20"/>
      <w:lang w:eastAsia="es-ES"/>
    </w:rPr>
  </w:style>
  <w:style w:type="character" w:customStyle="1" w:styleId="TextosinformatoCar">
    <w:name w:val="Texto sin formato Car"/>
    <w:basedOn w:val="Fuentedeprrafopredeter"/>
    <w:link w:val="Textosinformato"/>
    <w:rsid w:val="00F4095B"/>
    <w:rPr>
      <w:rFonts w:ascii="Courier New" w:hAnsi="Courier New"/>
      <w:sz w:val="20"/>
      <w:szCs w:val="20"/>
      <w:lang w:eastAsia="es-ES"/>
    </w:rPr>
  </w:style>
  <w:style w:type="paragraph" w:customStyle="1" w:styleId="Standard">
    <w:name w:val="Standard"/>
    <w:rsid w:val="00F4095B"/>
    <w:pPr>
      <w:widowControl w:val="0"/>
      <w:suppressAutoHyphens/>
      <w:autoSpaceDN w:val="0"/>
      <w:textAlignment w:val="baseline"/>
    </w:pPr>
    <w:rPr>
      <w:rFonts w:ascii="Liberation Serif" w:eastAsia="DejaVu Sans" w:hAnsi="Liberation Serif" w:cs="Lohit Hindi"/>
      <w:kern w:val="3"/>
      <w:lang w:eastAsia="zh-CN" w:bidi="hi-IN"/>
    </w:rPr>
  </w:style>
  <w:style w:type="character" w:customStyle="1" w:styleId="negritas1">
    <w:name w:val="negritas1"/>
    <w:rsid w:val="00F4095B"/>
    <w:rPr>
      <w:rFonts w:ascii="Arial" w:hAnsi="Arial" w:cs="Arial" w:hint="default"/>
      <w:b/>
      <w:bCs/>
      <w:sz w:val="18"/>
      <w:szCs w:val="18"/>
    </w:rPr>
  </w:style>
  <w:style w:type="paragraph" w:customStyle="1" w:styleId="Pa2">
    <w:name w:val="Pa2"/>
    <w:basedOn w:val="Normal"/>
    <w:next w:val="Normal"/>
    <w:uiPriority w:val="99"/>
    <w:rsid w:val="00F4095B"/>
    <w:pPr>
      <w:autoSpaceDE w:val="0"/>
      <w:autoSpaceDN w:val="0"/>
      <w:adjustRightInd w:val="0"/>
      <w:spacing w:line="240" w:lineRule="atLeast"/>
    </w:pPr>
    <w:rPr>
      <w:rFonts w:ascii="Helvetica" w:hAnsi="Helvetica"/>
      <w:lang w:val="es-ES_tradnl" w:eastAsia="es-ES_tradnl"/>
    </w:rPr>
  </w:style>
  <w:style w:type="paragraph" w:customStyle="1" w:styleId="q">
    <w:name w:val="q"/>
    <w:basedOn w:val="Normal"/>
    <w:rsid w:val="00F4095B"/>
    <w:pPr>
      <w:spacing w:before="100" w:beforeAutospacing="1" w:after="100" w:afterAutospacing="1"/>
    </w:pPr>
  </w:style>
  <w:style w:type="character" w:customStyle="1" w:styleId="d">
    <w:name w:val="d"/>
    <w:basedOn w:val="Fuentedeprrafopredeter"/>
    <w:rsid w:val="00F4095B"/>
  </w:style>
  <w:style w:type="character" w:customStyle="1" w:styleId="b">
    <w:name w:val="b"/>
    <w:basedOn w:val="Fuentedeprrafopredeter"/>
    <w:rsid w:val="00F4095B"/>
  </w:style>
  <w:style w:type="character" w:customStyle="1" w:styleId="k">
    <w:name w:val="k"/>
    <w:basedOn w:val="Fuentedeprrafopredeter"/>
    <w:rsid w:val="00F4095B"/>
  </w:style>
  <w:style w:type="character" w:customStyle="1" w:styleId="h">
    <w:name w:val="h"/>
    <w:basedOn w:val="Fuentedeprrafopredeter"/>
    <w:rsid w:val="00F4095B"/>
  </w:style>
  <w:style w:type="character" w:styleId="CitaHTML">
    <w:name w:val="HTML Cite"/>
    <w:uiPriority w:val="99"/>
    <w:semiHidden/>
    <w:unhideWhenUsed/>
    <w:rsid w:val="00F4095B"/>
    <w:rPr>
      <w:i/>
      <w:iCs/>
    </w:rPr>
  </w:style>
  <w:style w:type="paragraph" w:customStyle="1" w:styleId="RSCGnotaalpie">
    <w:name w:val="RSCG nota al pie"/>
    <w:basedOn w:val="Normal"/>
    <w:uiPriority w:val="99"/>
    <w:qFormat/>
    <w:rsid w:val="00F4095B"/>
    <w:pPr>
      <w:spacing w:after="120"/>
      <w:jc w:val="both"/>
    </w:pPr>
    <w:rPr>
      <w:rFonts w:ascii="Palatino" w:hAnsi="Palatino" w:cstheme="minorBidi"/>
      <w:sz w:val="22"/>
      <w:szCs w:val="22"/>
      <w:lang w:eastAsia="en-US"/>
    </w:rPr>
  </w:style>
  <w:style w:type="character" w:customStyle="1" w:styleId="lbl-encabezado-blanco2">
    <w:name w:val="lbl-encabezado-blanco2"/>
    <w:rsid w:val="00F4095B"/>
    <w:rPr>
      <w:color w:val="FFFFFF"/>
    </w:rPr>
  </w:style>
  <w:style w:type="character" w:customStyle="1" w:styleId="TextoCar">
    <w:name w:val="Texto Car"/>
    <w:link w:val="Texto"/>
    <w:locked/>
    <w:rsid w:val="00F4095B"/>
    <w:rPr>
      <w:rFonts w:ascii="Arial" w:hAnsi="Arial" w:cs="Arial"/>
      <w:sz w:val="18"/>
      <w:szCs w:val="18"/>
      <w:lang w:eastAsia="es-ES"/>
    </w:rPr>
  </w:style>
  <w:style w:type="character" w:customStyle="1" w:styleId="Ttulo3Car">
    <w:name w:val="Título 3 Car"/>
    <w:basedOn w:val="Fuentedeprrafopredeter"/>
    <w:uiPriority w:val="9"/>
    <w:rsid w:val="00F4095B"/>
    <w:rPr>
      <w:b/>
      <w:sz w:val="28"/>
      <w:szCs w:val="28"/>
    </w:rPr>
  </w:style>
  <w:style w:type="paragraph" w:customStyle="1" w:styleId="ANOTACION">
    <w:name w:val="ANOTACION"/>
    <w:basedOn w:val="Normal"/>
    <w:link w:val="ANOTACIONCar"/>
    <w:rsid w:val="00F4095B"/>
    <w:pPr>
      <w:spacing w:before="101" w:after="101"/>
      <w:jc w:val="center"/>
    </w:pPr>
    <w:rPr>
      <w:b/>
      <w:sz w:val="18"/>
      <w:szCs w:val="18"/>
      <w:lang w:eastAsia="es-ES"/>
    </w:rPr>
  </w:style>
  <w:style w:type="character" w:customStyle="1" w:styleId="ANOTACIONCar">
    <w:name w:val="ANOTACION Car"/>
    <w:link w:val="ANOTACION"/>
    <w:locked/>
    <w:rsid w:val="00F4095B"/>
    <w:rPr>
      <w:b/>
      <w:sz w:val="18"/>
      <w:szCs w:val="18"/>
      <w:lang w:eastAsia="es-ES"/>
    </w:rPr>
  </w:style>
  <w:style w:type="character" w:styleId="nfasis">
    <w:name w:val="Emphasis"/>
    <w:basedOn w:val="Fuentedeprrafopredeter"/>
    <w:uiPriority w:val="20"/>
    <w:qFormat/>
    <w:rsid w:val="00F4095B"/>
    <w:rPr>
      <w:i/>
      <w:iCs/>
    </w:rPr>
  </w:style>
  <w:style w:type="paragraph" w:styleId="Bibliografa">
    <w:name w:val="Bibliography"/>
    <w:basedOn w:val="Normal"/>
    <w:next w:val="Normal"/>
    <w:uiPriority w:val="37"/>
    <w:semiHidden/>
    <w:unhideWhenUsed/>
    <w:rsid w:val="00F4095B"/>
    <w:rPr>
      <w:lang w:eastAsia="es-ES"/>
    </w:rPr>
  </w:style>
  <w:style w:type="paragraph" w:customStyle="1" w:styleId="ROMANOS">
    <w:name w:val="ROMANOS"/>
    <w:basedOn w:val="Normal"/>
    <w:link w:val="ROMANOSCar"/>
    <w:rsid w:val="00F4095B"/>
    <w:pPr>
      <w:tabs>
        <w:tab w:val="left" w:pos="720"/>
      </w:tabs>
      <w:spacing w:after="101" w:line="216" w:lineRule="exact"/>
      <w:ind w:left="720" w:hanging="432"/>
      <w:jc w:val="both"/>
    </w:pPr>
    <w:rPr>
      <w:rFonts w:ascii="Arial" w:hAnsi="Arial" w:cs="Arial"/>
      <w:sz w:val="18"/>
      <w:szCs w:val="18"/>
      <w:lang w:val="es-ES" w:eastAsia="es-ES"/>
    </w:rPr>
  </w:style>
  <w:style w:type="character" w:customStyle="1" w:styleId="ROMANOSCar">
    <w:name w:val="ROMANOS Car"/>
    <w:link w:val="ROMANOS"/>
    <w:locked/>
    <w:rsid w:val="00F4095B"/>
    <w:rPr>
      <w:rFonts w:ascii="Arial"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F4095B"/>
  </w:style>
  <w:style w:type="character" w:customStyle="1" w:styleId="Ninguno">
    <w:name w:val="Ninguno"/>
    <w:rsid w:val="00F4095B"/>
    <w:rPr>
      <w:lang w:val="es-ES_tradnl"/>
    </w:rPr>
  </w:style>
  <w:style w:type="paragraph" w:customStyle="1" w:styleId="Cuerpo">
    <w:name w:val="Cuerpo"/>
    <w:rsid w:val="00F4095B"/>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de-DE" w:eastAsia="es-ES"/>
    </w:rPr>
  </w:style>
  <w:style w:type="numbering" w:customStyle="1" w:styleId="Estiloimportado2">
    <w:name w:val="Estilo importado 2"/>
    <w:rsid w:val="00F4095B"/>
  </w:style>
  <w:style w:type="character" w:customStyle="1" w:styleId="normaltextrun">
    <w:name w:val="normaltextrun"/>
    <w:basedOn w:val="Fuentedeprrafopredeter"/>
    <w:rsid w:val="00F4095B"/>
  </w:style>
  <w:style w:type="paragraph" w:customStyle="1" w:styleId="INCISO">
    <w:name w:val="INCISO"/>
    <w:basedOn w:val="Normal"/>
    <w:rsid w:val="00F4095B"/>
    <w:pPr>
      <w:spacing w:after="101" w:line="216" w:lineRule="exact"/>
      <w:ind w:left="1080" w:hanging="360"/>
      <w:jc w:val="both"/>
    </w:pPr>
    <w:rPr>
      <w:rFonts w:ascii="Arial" w:hAnsi="Arial" w:cs="Arial"/>
      <w:sz w:val="18"/>
      <w:szCs w:val="18"/>
      <w:lang w:val="es-ES"/>
    </w:rPr>
  </w:style>
  <w:style w:type="paragraph" w:customStyle="1" w:styleId="n2">
    <w:name w:val="n2"/>
    <w:basedOn w:val="Normal"/>
    <w:rsid w:val="00F4095B"/>
    <w:pPr>
      <w:spacing w:before="100" w:beforeAutospacing="1" w:after="100" w:afterAutospacing="1"/>
    </w:pPr>
  </w:style>
  <w:style w:type="paragraph" w:customStyle="1" w:styleId="j">
    <w:name w:val="j"/>
    <w:basedOn w:val="Normal"/>
    <w:rsid w:val="00F4095B"/>
    <w:pPr>
      <w:spacing w:before="100" w:beforeAutospacing="1" w:after="100" w:afterAutospacing="1"/>
    </w:pPr>
  </w:style>
  <w:style w:type="character" w:customStyle="1" w:styleId="nacep">
    <w:name w:val="n_acep"/>
    <w:basedOn w:val="Fuentedeprrafopredeter"/>
    <w:rsid w:val="00F4095B"/>
  </w:style>
  <w:style w:type="paragraph" w:customStyle="1" w:styleId="m5212863947045306324gmail-msonormal">
    <w:name w:val="m_5212863947045306324gmail-msonormal"/>
    <w:basedOn w:val="Normal"/>
    <w:rsid w:val="00F4095B"/>
    <w:pPr>
      <w:spacing w:before="100" w:beforeAutospacing="1" w:after="100" w:afterAutospacing="1"/>
    </w:pPr>
  </w:style>
  <w:style w:type="character" w:customStyle="1" w:styleId="user-highlighted-active">
    <w:name w:val="user-highlighted-active"/>
    <w:basedOn w:val="Fuentedeprrafopredeter"/>
    <w:rsid w:val="00F4095B"/>
  </w:style>
  <w:style w:type="character" w:customStyle="1" w:styleId="Ttulo4Car">
    <w:name w:val="Título 4 Car"/>
    <w:basedOn w:val="Fuentedeprrafopredeter"/>
    <w:uiPriority w:val="9"/>
    <w:rsid w:val="00F4095B"/>
    <w:rPr>
      <w:b/>
    </w:rPr>
  </w:style>
  <w:style w:type="character" w:customStyle="1" w:styleId="Ttulo5Car">
    <w:name w:val="Título 5 Car"/>
    <w:basedOn w:val="Fuentedeprrafopredeter"/>
    <w:uiPriority w:val="9"/>
    <w:rsid w:val="00F4095B"/>
    <w:rPr>
      <w:b/>
      <w:sz w:val="22"/>
      <w:szCs w:val="22"/>
    </w:rPr>
  </w:style>
  <w:style w:type="character" w:customStyle="1" w:styleId="Ttulo6Car">
    <w:name w:val="Título 6 Car"/>
    <w:basedOn w:val="Fuentedeprrafopredeter"/>
    <w:uiPriority w:val="9"/>
    <w:rsid w:val="00F4095B"/>
    <w:rPr>
      <w:b/>
      <w:sz w:val="20"/>
      <w:szCs w:val="20"/>
    </w:rPr>
  </w:style>
  <w:style w:type="paragraph" w:styleId="Lista">
    <w:name w:val="List"/>
    <w:basedOn w:val="Normal"/>
    <w:uiPriority w:val="99"/>
    <w:unhideWhenUsed/>
    <w:rsid w:val="00F4095B"/>
    <w:pPr>
      <w:ind w:left="283" w:hanging="283"/>
      <w:contextualSpacing/>
    </w:pPr>
    <w:rPr>
      <w:lang w:val="es-ES" w:eastAsia="es-ES"/>
    </w:rPr>
  </w:style>
  <w:style w:type="paragraph" w:styleId="Lista2">
    <w:name w:val="List 2"/>
    <w:basedOn w:val="Normal"/>
    <w:uiPriority w:val="99"/>
    <w:unhideWhenUsed/>
    <w:rsid w:val="00F4095B"/>
    <w:pPr>
      <w:ind w:left="566" w:hanging="283"/>
      <w:contextualSpacing/>
    </w:pPr>
    <w:rPr>
      <w:lang w:val="es-ES" w:eastAsia="es-ES"/>
    </w:rPr>
  </w:style>
  <w:style w:type="paragraph" w:styleId="Lista3">
    <w:name w:val="List 3"/>
    <w:basedOn w:val="Normal"/>
    <w:uiPriority w:val="99"/>
    <w:unhideWhenUsed/>
    <w:rsid w:val="00F4095B"/>
    <w:pPr>
      <w:ind w:left="849" w:hanging="283"/>
      <w:contextualSpacing/>
    </w:pPr>
    <w:rPr>
      <w:lang w:val="es-ES" w:eastAsia="es-ES"/>
    </w:rPr>
  </w:style>
  <w:style w:type="paragraph" w:styleId="Textoindependiente">
    <w:name w:val="Body Text"/>
    <w:basedOn w:val="Normal"/>
    <w:link w:val="TextoindependienteCar"/>
    <w:uiPriority w:val="99"/>
    <w:unhideWhenUsed/>
    <w:rsid w:val="00F4095B"/>
    <w:pPr>
      <w:spacing w:after="120"/>
    </w:pPr>
    <w:rPr>
      <w:lang w:val="es-ES" w:eastAsia="es-ES"/>
    </w:rPr>
  </w:style>
  <w:style w:type="character" w:customStyle="1" w:styleId="TextoindependienteCar">
    <w:name w:val="Texto independiente Car"/>
    <w:basedOn w:val="Fuentedeprrafopredeter"/>
    <w:link w:val="Textoindependiente"/>
    <w:uiPriority w:val="99"/>
    <w:rsid w:val="00F4095B"/>
    <w:rPr>
      <w:lang w:val="es-ES" w:eastAsia="es-ES"/>
    </w:rPr>
  </w:style>
  <w:style w:type="paragraph" w:styleId="Sangradetextonormal">
    <w:name w:val="Body Text Indent"/>
    <w:basedOn w:val="Normal"/>
    <w:link w:val="SangradetextonormalCar"/>
    <w:uiPriority w:val="99"/>
    <w:unhideWhenUsed/>
    <w:rsid w:val="00F4095B"/>
    <w:pPr>
      <w:spacing w:after="120"/>
      <w:ind w:left="283"/>
    </w:pPr>
    <w:rPr>
      <w:lang w:val="es-ES" w:eastAsia="es-ES"/>
    </w:rPr>
  </w:style>
  <w:style w:type="character" w:customStyle="1" w:styleId="SangradetextonormalCar">
    <w:name w:val="Sangría de texto normal Car"/>
    <w:basedOn w:val="Fuentedeprrafopredeter"/>
    <w:link w:val="Sangradetextonormal"/>
    <w:uiPriority w:val="99"/>
    <w:rsid w:val="00F4095B"/>
    <w:rPr>
      <w:lang w:val="es-ES" w:eastAsia="es-ES"/>
    </w:rPr>
  </w:style>
  <w:style w:type="paragraph" w:styleId="Textoindependienteprimerasangra2">
    <w:name w:val="Body Text First Indent 2"/>
    <w:basedOn w:val="Sangradetextonormal"/>
    <w:link w:val="Textoindependienteprimerasangra2Car"/>
    <w:uiPriority w:val="99"/>
    <w:unhideWhenUsed/>
    <w:rsid w:val="00F4095B"/>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4095B"/>
    <w:rPr>
      <w:lang w:val="es-ES" w:eastAsia="es-ES"/>
    </w:rPr>
  </w:style>
  <w:style w:type="character" w:customStyle="1" w:styleId="numberfracccentro">
    <w:name w:val="numberfracccentro"/>
    <w:basedOn w:val="Fuentedeprrafopredeter"/>
    <w:rsid w:val="00F4095B"/>
  </w:style>
  <w:style w:type="character" w:customStyle="1" w:styleId="titulorubrolgt">
    <w:name w:val="titulorubrolgt"/>
    <w:basedOn w:val="Fuentedeprrafopredeter"/>
    <w:rsid w:val="00F4095B"/>
  </w:style>
  <w:style w:type="paragraph" w:customStyle="1" w:styleId="Text">
    <w:name w:val="Text"/>
    <w:basedOn w:val="Normal"/>
    <w:link w:val="TextChar"/>
    <w:rsid w:val="00F4095B"/>
    <w:pPr>
      <w:spacing w:after="240"/>
    </w:pPr>
    <w:rPr>
      <w:szCs w:val="20"/>
      <w:lang w:val="en-US" w:eastAsia="en-US"/>
    </w:rPr>
  </w:style>
  <w:style w:type="character" w:customStyle="1" w:styleId="TextChar">
    <w:name w:val="Text Char"/>
    <w:link w:val="Text"/>
    <w:locked/>
    <w:rsid w:val="00F4095B"/>
    <w:rPr>
      <w:szCs w:val="20"/>
      <w:lang w:val="en-US" w:eastAsia="en-US"/>
    </w:rPr>
  </w:style>
  <w:style w:type="paragraph" w:customStyle="1" w:styleId="corte5transcripcion">
    <w:name w:val="corte5 transcripcion"/>
    <w:basedOn w:val="Normal"/>
    <w:rsid w:val="00F4095B"/>
    <w:pPr>
      <w:spacing w:line="360" w:lineRule="auto"/>
      <w:ind w:left="709" w:right="709"/>
      <w:jc w:val="both"/>
    </w:pPr>
    <w:rPr>
      <w:rFonts w:ascii="Arial" w:hAnsi="Arial" w:cs="Arial"/>
      <w:b/>
      <w:bCs/>
      <w:i/>
      <w:iCs/>
      <w:sz w:val="30"/>
      <w:szCs w:val="30"/>
    </w:rPr>
  </w:style>
  <w:style w:type="paragraph" w:customStyle="1" w:styleId="FAFunotente1">
    <w:name w:val="FA Fu?notente1"/>
    <w:basedOn w:val="Normal"/>
    <w:next w:val="Textonotapie"/>
    <w:uiPriority w:val="99"/>
    <w:rsid w:val="00F4095B"/>
    <w:rPr>
      <w:rFonts w:asciiTheme="minorHAnsi" w:eastAsia="Cambria" w:hAnsiTheme="minorHAnsi" w:cstheme="minorBidi"/>
      <w:sz w:val="20"/>
      <w:szCs w:val="20"/>
      <w:lang w:eastAsia="en-US"/>
    </w:rPr>
  </w:style>
  <w:style w:type="paragraph" w:customStyle="1" w:styleId="paragraph">
    <w:name w:val="paragraph"/>
    <w:basedOn w:val="Normal"/>
    <w:uiPriority w:val="99"/>
    <w:rsid w:val="00F4095B"/>
    <w:pPr>
      <w:spacing w:before="100" w:beforeAutospacing="1" w:after="100" w:afterAutospacing="1" w:line="264" w:lineRule="auto"/>
    </w:pPr>
    <w:rPr>
      <w:rFonts w:asciiTheme="minorHAnsi" w:eastAsiaTheme="minorEastAsia" w:hAnsiTheme="minorHAnsi" w:cstheme="minorBidi"/>
      <w:sz w:val="20"/>
      <w:szCs w:val="20"/>
    </w:rPr>
  </w:style>
  <w:style w:type="table" w:customStyle="1" w:styleId="Tablaconcuadrcula1">
    <w:name w:val="Tabla con cuadrícula1"/>
    <w:basedOn w:val="Tablanormal"/>
    <w:next w:val="Tablaconcuadrcula"/>
    <w:uiPriority w:val="59"/>
    <w:rsid w:val="00F4095B"/>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F4095B"/>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F4095B"/>
    <w:pPr>
      <w:spacing w:before="100" w:beforeAutospacing="1" w:after="100" w:afterAutospacing="1"/>
    </w:pPr>
  </w:style>
  <w:style w:type="character" w:customStyle="1" w:styleId="bold">
    <w:name w:val="bold"/>
    <w:basedOn w:val="Fuentedeprrafopredeter"/>
    <w:rsid w:val="00F4095B"/>
  </w:style>
  <w:style w:type="paragraph" w:customStyle="1" w:styleId="ng-star-inserted">
    <w:name w:val="ng-star-inserted"/>
    <w:basedOn w:val="Normal"/>
    <w:rsid w:val="00F4095B"/>
    <w:pPr>
      <w:spacing w:before="100" w:beforeAutospacing="1" w:after="100" w:afterAutospacing="1"/>
    </w:pPr>
  </w:style>
  <w:style w:type="character" w:customStyle="1" w:styleId="Mencinsinresolver2">
    <w:name w:val="Mención sin resolver2"/>
    <w:basedOn w:val="Fuentedeprrafopredeter"/>
    <w:uiPriority w:val="99"/>
    <w:semiHidden/>
    <w:unhideWhenUsed/>
    <w:rsid w:val="00F4095B"/>
    <w:rPr>
      <w:color w:val="605E5C"/>
      <w:shd w:val="clear" w:color="auto" w:fill="E1DFDD"/>
    </w:rPr>
  </w:style>
  <w:style w:type="character" w:customStyle="1" w:styleId="Mencinsinresolver3">
    <w:name w:val="Mención sin resolver3"/>
    <w:basedOn w:val="Fuentedeprrafopredeter"/>
    <w:uiPriority w:val="99"/>
    <w:semiHidden/>
    <w:unhideWhenUsed/>
    <w:rsid w:val="00F4095B"/>
    <w:rPr>
      <w:color w:val="605E5C"/>
      <w:shd w:val="clear" w:color="auto" w:fill="E1DFDD"/>
    </w:rPr>
  </w:style>
  <w:style w:type="paragraph" w:styleId="Saludo">
    <w:name w:val="Salutation"/>
    <w:basedOn w:val="Normal"/>
    <w:next w:val="Normal"/>
    <w:link w:val="SaludoCar"/>
    <w:uiPriority w:val="99"/>
    <w:unhideWhenUsed/>
    <w:rsid w:val="00F4095B"/>
    <w:rPr>
      <w:lang w:eastAsia="es-ES"/>
    </w:rPr>
  </w:style>
  <w:style w:type="character" w:customStyle="1" w:styleId="SaludoCar">
    <w:name w:val="Saludo Car"/>
    <w:basedOn w:val="Fuentedeprrafopredeter"/>
    <w:link w:val="Saludo"/>
    <w:uiPriority w:val="99"/>
    <w:rsid w:val="00F4095B"/>
    <w:rPr>
      <w:lang w:eastAsia="es-ES"/>
    </w:rPr>
  </w:style>
  <w:style w:type="character" w:customStyle="1" w:styleId="Caracteresdenotaalpie">
    <w:name w:val="Caracteres de nota al pie"/>
    <w:qFormat/>
    <w:rsid w:val="00F4095B"/>
  </w:style>
  <w:style w:type="character" w:customStyle="1" w:styleId="Mencinsinresolver4">
    <w:name w:val="Mención sin resolver4"/>
    <w:basedOn w:val="Fuentedeprrafopredeter"/>
    <w:uiPriority w:val="99"/>
    <w:semiHidden/>
    <w:unhideWhenUsed/>
    <w:rsid w:val="00F4095B"/>
    <w:rPr>
      <w:color w:val="605E5C"/>
      <w:shd w:val="clear" w:color="auto" w:fill="E1DFDD"/>
    </w:rPr>
  </w:style>
  <w:style w:type="character" w:customStyle="1" w:styleId="Mencinsinresolver5">
    <w:name w:val="Mención sin resolver5"/>
    <w:basedOn w:val="Fuentedeprrafopredeter"/>
    <w:uiPriority w:val="99"/>
    <w:semiHidden/>
    <w:unhideWhenUsed/>
    <w:rsid w:val="00F4095B"/>
    <w:rPr>
      <w:color w:val="605E5C"/>
      <w:shd w:val="clear" w:color="auto" w:fill="E1DFDD"/>
    </w:rPr>
  </w:style>
  <w:style w:type="character" w:customStyle="1" w:styleId="Mencinsinresolver6">
    <w:name w:val="Mención sin resolver6"/>
    <w:basedOn w:val="Fuentedeprrafopredeter"/>
    <w:uiPriority w:val="99"/>
    <w:semiHidden/>
    <w:unhideWhenUsed/>
    <w:rsid w:val="00F4095B"/>
    <w:rPr>
      <w:color w:val="605E5C"/>
      <w:shd w:val="clear" w:color="auto" w:fill="E1DFDD"/>
    </w:rPr>
  </w:style>
  <w:style w:type="table" w:customStyle="1" w:styleId="Tablaconcuadrcula111121">
    <w:name w:val="Tabla con cuadrícula111121"/>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11">
    <w:name w:val="Tabla con cuadrícula1111211"/>
    <w:basedOn w:val="Tablanormal"/>
    <w:uiPriority w:val="39"/>
    <w:rsid w:val="00F4095B"/>
    <w:rPr>
      <w:rFonts w:ascii="Cambria" w:eastAsia="Cambria" w:hAnsi="Cambria"/>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7">
    <w:name w:val="Mención sin resolver7"/>
    <w:basedOn w:val="Fuentedeprrafopredeter"/>
    <w:uiPriority w:val="99"/>
    <w:semiHidden/>
    <w:unhideWhenUsed/>
    <w:rsid w:val="00F4095B"/>
    <w:rPr>
      <w:color w:val="605E5C"/>
      <w:shd w:val="clear" w:color="auto" w:fill="E1DFDD"/>
    </w:rPr>
  </w:style>
  <w:style w:type="character" w:customStyle="1" w:styleId="Mencinsinresolver8">
    <w:name w:val="Mención sin resolver8"/>
    <w:basedOn w:val="Fuentedeprrafopredeter"/>
    <w:uiPriority w:val="99"/>
    <w:semiHidden/>
    <w:unhideWhenUsed/>
    <w:rsid w:val="00F4095B"/>
    <w:rPr>
      <w:color w:val="605E5C"/>
      <w:shd w:val="clear" w:color="auto" w:fill="E1DFDD"/>
    </w:rPr>
  </w:style>
  <w:style w:type="table" w:customStyle="1" w:styleId="Tablaconcuadrcula1111212">
    <w:name w:val="Tabla con cuadrícula1111212"/>
    <w:basedOn w:val="Tablanormal"/>
    <w:uiPriority w:val="39"/>
    <w:rsid w:val="00F4095B"/>
    <w:rPr>
      <w:rFonts w:ascii="Cambria" w:eastAsia="Cambria" w:hAnsi="Cambria"/>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4095B"/>
    <w:rPr>
      <w:lang w:eastAsia="es-ES"/>
    </w:rPr>
  </w:style>
  <w:style w:type="table" w:customStyle="1" w:styleId="Tablaconcuadrcula3">
    <w:name w:val="Tabla con cuadrícula3"/>
    <w:basedOn w:val="Tablanormal"/>
    <w:next w:val="Tablaconcuadrcula"/>
    <w:uiPriority w:val="39"/>
    <w:rsid w:val="00F4095B"/>
    <w:rPr>
      <w:rFonts w:ascii="Arial" w:eastAsia="Calibri" w:hAnsi="Arial"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semiHidden/>
    <w:unhideWhenUsed/>
    <w:rsid w:val="00F4095B"/>
    <w:pPr>
      <w:spacing w:after="120"/>
    </w:pPr>
    <w:rPr>
      <w:sz w:val="16"/>
      <w:szCs w:val="16"/>
      <w:lang w:eastAsia="es-ES"/>
    </w:rPr>
  </w:style>
  <w:style w:type="character" w:customStyle="1" w:styleId="Textoindependiente3Car">
    <w:name w:val="Texto independiente 3 Car"/>
    <w:basedOn w:val="Fuentedeprrafopredeter"/>
    <w:link w:val="Textoindependiente3"/>
    <w:uiPriority w:val="99"/>
    <w:semiHidden/>
    <w:rsid w:val="00F4095B"/>
    <w:rPr>
      <w:sz w:val="16"/>
      <w:szCs w:val="16"/>
      <w:lang w:eastAsia="es-ES"/>
    </w:rPr>
  </w:style>
  <w:style w:type="paragraph" w:customStyle="1" w:styleId="xmsonormal">
    <w:name w:val="x_msonormal"/>
    <w:basedOn w:val="Normal"/>
    <w:rsid w:val="00F4095B"/>
    <w:pPr>
      <w:spacing w:before="100" w:beforeAutospacing="1" w:after="100" w:afterAutospacing="1"/>
    </w:pPr>
  </w:style>
  <w:style w:type="character" w:customStyle="1" w:styleId="eop">
    <w:name w:val="eop"/>
    <w:basedOn w:val="Fuentedeprrafopredeter"/>
    <w:rsid w:val="00F4095B"/>
  </w:style>
  <w:style w:type="paragraph" w:styleId="Textonotaalfinal">
    <w:name w:val="endnote text"/>
    <w:basedOn w:val="Normal"/>
    <w:link w:val="TextonotaalfinalCar"/>
    <w:uiPriority w:val="99"/>
    <w:semiHidden/>
    <w:unhideWhenUsed/>
    <w:rsid w:val="00F4095B"/>
    <w:rPr>
      <w:sz w:val="20"/>
      <w:szCs w:val="20"/>
      <w:lang w:eastAsia="es-ES"/>
    </w:rPr>
  </w:style>
  <w:style w:type="character" w:customStyle="1" w:styleId="TextonotaalfinalCar">
    <w:name w:val="Texto nota al final Car"/>
    <w:basedOn w:val="Fuentedeprrafopredeter"/>
    <w:link w:val="Textonotaalfinal"/>
    <w:uiPriority w:val="99"/>
    <w:semiHidden/>
    <w:rsid w:val="00F4095B"/>
    <w:rPr>
      <w:sz w:val="20"/>
      <w:szCs w:val="20"/>
      <w:lang w:eastAsia="es-ES"/>
    </w:rPr>
  </w:style>
  <w:style w:type="character" w:styleId="Refdenotaalfinal">
    <w:name w:val="endnote reference"/>
    <w:basedOn w:val="Fuentedeprrafopredeter"/>
    <w:uiPriority w:val="99"/>
    <w:semiHidden/>
    <w:unhideWhenUsed/>
    <w:rsid w:val="00F4095B"/>
    <w:rPr>
      <w:vertAlign w:val="superscript"/>
    </w:rPr>
  </w:style>
  <w:style w:type="table" w:customStyle="1" w:styleId="Tablaconcuadrcula1111213">
    <w:name w:val="Tabla con cuadrícula1111213"/>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9">
    <w:name w:val="Mención sin resolver9"/>
    <w:basedOn w:val="Fuentedeprrafopredeter"/>
    <w:uiPriority w:val="99"/>
    <w:semiHidden/>
    <w:unhideWhenUsed/>
    <w:rsid w:val="00F4095B"/>
    <w:rPr>
      <w:color w:val="605E5C"/>
      <w:shd w:val="clear" w:color="auto" w:fill="E1DFDD"/>
    </w:rPr>
  </w:style>
  <w:style w:type="character" w:customStyle="1" w:styleId="Mencinsinresolver10">
    <w:name w:val="Mención sin resolver10"/>
    <w:basedOn w:val="Fuentedeprrafopredeter"/>
    <w:uiPriority w:val="99"/>
    <w:semiHidden/>
    <w:unhideWhenUsed/>
    <w:rsid w:val="00F4095B"/>
    <w:rPr>
      <w:color w:val="605E5C"/>
      <w:shd w:val="clear" w:color="auto" w:fill="E1DFDD"/>
    </w:rPr>
  </w:style>
  <w:style w:type="table" w:customStyle="1" w:styleId="Tablaconcuadrcula31">
    <w:name w:val="Tabla con cuadrícula31"/>
    <w:basedOn w:val="Tablanormal"/>
    <w:uiPriority w:val="5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1">
    <w:name w:val="Mención sin resolver11"/>
    <w:basedOn w:val="Fuentedeprrafopredeter"/>
    <w:uiPriority w:val="99"/>
    <w:semiHidden/>
    <w:unhideWhenUsed/>
    <w:rsid w:val="00F4095B"/>
    <w:rPr>
      <w:color w:val="605E5C"/>
      <w:shd w:val="clear" w:color="auto" w:fill="E1DFDD"/>
    </w:rPr>
  </w:style>
  <w:style w:type="character" w:customStyle="1" w:styleId="Mencinsinresolver12">
    <w:name w:val="Mención sin resolver12"/>
    <w:basedOn w:val="Fuentedeprrafopredeter"/>
    <w:uiPriority w:val="99"/>
    <w:semiHidden/>
    <w:unhideWhenUsed/>
    <w:rsid w:val="00F4095B"/>
    <w:rPr>
      <w:color w:val="605E5C"/>
      <w:shd w:val="clear" w:color="auto" w:fill="E1DFDD"/>
    </w:rPr>
  </w:style>
  <w:style w:type="character" w:customStyle="1" w:styleId="Mencinsinresolver13">
    <w:name w:val="Mención sin resolver13"/>
    <w:basedOn w:val="Fuentedeprrafopredeter"/>
    <w:uiPriority w:val="99"/>
    <w:semiHidden/>
    <w:unhideWhenUsed/>
    <w:rsid w:val="00F4095B"/>
    <w:rPr>
      <w:color w:val="605E5C"/>
      <w:shd w:val="clear" w:color="auto" w:fill="E1DFDD"/>
    </w:rPr>
  </w:style>
  <w:style w:type="character" w:customStyle="1" w:styleId="Mencinsinresolver14">
    <w:name w:val="Mención sin resolver14"/>
    <w:basedOn w:val="Fuentedeprrafopredeter"/>
    <w:uiPriority w:val="99"/>
    <w:semiHidden/>
    <w:unhideWhenUsed/>
    <w:rsid w:val="00F4095B"/>
    <w:rPr>
      <w:color w:val="605E5C"/>
      <w:shd w:val="clear" w:color="auto" w:fill="E1DFDD"/>
    </w:rPr>
  </w:style>
  <w:style w:type="character" w:customStyle="1" w:styleId="Mencinsinresolver15">
    <w:name w:val="Mención sin resolver15"/>
    <w:basedOn w:val="Fuentedeprrafopredeter"/>
    <w:uiPriority w:val="99"/>
    <w:semiHidden/>
    <w:unhideWhenUsed/>
    <w:rsid w:val="00F4095B"/>
    <w:rPr>
      <w:color w:val="605E5C"/>
      <w:shd w:val="clear" w:color="auto" w:fill="E1DFDD"/>
    </w:rPr>
  </w:style>
  <w:style w:type="character" w:customStyle="1" w:styleId="Mencinsinresolver16">
    <w:name w:val="Mención sin resolver16"/>
    <w:basedOn w:val="Fuentedeprrafopredeter"/>
    <w:uiPriority w:val="99"/>
    <w:semiHidden/>
    <w:unhideWhenUsed/>
    <w:rsid w:val="00F4095B"/>
    <w:rPr>
      <w:color w:val="605E5C"/>
      <w:shd w:val="clear" w:color="auto" w:fill="E1DFDD"/>
    </w:rPr>
  </w:style>
  <w:style w:type="character" w:customStyle="1" w:styleId="Mencinsinresolver17">
    <w:name w:val="Mención sin resolver17"/>
    <w:basedOn w:val="Fuentedeprrafopredeter"/>
    <w:uiPriority w:val="99"/>
    <w:semiHidden/>
    <w:unhideWhenUsed/>
    <w:rsid w:val="00F4095B"/>
    <w:rPr>
      <w:color w:val="605E5C"/>
      <w:shd w:val="clear" w:color="auto" w:fill="E1DFDD"/>
    </w:rPr>
  </w:style>
  <w:style w:type="table" w:customStyle="1" w:styleId="Tablaconcuadrcula1111214">
    <w:name w:val="Tabla con cuadrícula1111214"/>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8">
    <w:name w:val="Mención sin resolver18"/>
    <w:basedOn w:val="Fuentedeprrafopredeter"/>
    <w:uiPriority w:val="99"/>
    <w:semiHidden/>
    <w:unhideWhenUsed/>
    <w:rsid w:val="00F4095B"/>
    <w:rPr>
      <w:color w:val="605E5C"/>
      <w:shd w:val="clear" w:color="auto" w:fill="E1DFDD"/>
    </w:rPr>
  </w:style>
  <w:style w:type="table" w:customStyle="1" w:styleId="Tablaconcuadrcula11112131">
    <w:name w:val="Tabla con cuadrícula11112131"/>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1311">
    <w:name w:val="Tabla con cuadrícula111121311"/>
    <w:basedOn w:val="Tablanormal"/>
    <w:uiPriority w:val="3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9">
    <w:name w:val="Mención sin resolver19"/>
    <w:basedOn w:val="Fuentedeprrafopredeter"/>
    <w:uiPriority w:val="99"/>
    <w:semiHidden/>
    <w:unhideWhenUsed/>
    <w:rsid w:val="00F4095B"/>
    <w:rPr>
      <w:color w:val="605E5C"/>
      <w:shd w:val="clear" w:color="auto" w:fill="E1DFDD"/>
    </w:rPr>
  </w:style>
  <w:style w:type="table" w:customStyle="1" w:styleId="Tablaconcuadrcula311">
    <w:name w:val="Tabla con cuadrícula311"/>
    <w:basedOn w:val="Tablanormal"/>
    <w:uiPriority w:val="59"/>
    <w:rsid w:val="00F4095B"/>
    <w:rPr>
      <w:rFonts w:asciiTheme="minorHAnsi" w:eastAsiaTheme="minorHAnsi" w:hAnsiTheme="minorHAnsi" w:cstheme="minorBidi"/>
      <w:sz w:val="22"/>
      <w:szCs w:val="22"/>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F4095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EM">
    <w:name w:val="INFOEM"/>
    <w:basedOn w:val="Normal"/>
    <w:qFormat/>
    <w:rsid w:val="00F4095B"/>
    <w:pPr>
      <w:spacing w:before="240" w:after="160" w:line="360" w:lineRule="auto"/>
      <w:ind w:left="851" w:right="851"/>
      <w:jc w:val="both"/>
    </w:pPr>
    <w:rPr>
      <w:rFonts w:ascii="Palatino Linotype" w:eastAsiaTheme="minorHAnsi" w:hAnsi="Palatino Linotype" w:cstheme="minorBidi"/>
      <w:i/>
      <w:sz w:val="22"/>
      <w:szCs w:val="14"/>
      <w:lang w:eastAsia="en-US"/>
    </w:rPr>
  </w:style>
  <w:style w:type="character" w:customStyle="1" w:styleId="Mencinsinresolver20">
    <w:name w:val="Mención sin resolver20"/>
    <w:basedOn w:val="Fuentedeprrafopredeter"/>
    <w:uiPriority w:val="99"/>
    <w:semiHidden/>
    <w:unhideWhenUsed/>
    <w:rsid w:val="00F4095B"/>
    <w:rPr>
      <w:color w:val="605E5C"/>
      <w:shd w:val="clear" w:color="auto" w:fill="E1DFDD"/>
    </w:rPr>
  </w:style>
  <w:style w:type="character" w:customStyle="1" w:styleId="medium">
    <w:name w:val="medium"/>
    <w:basedOn w:val="Fuentedeprrafopredeter"/>
    <w:rsid w:val="00F4095B"/>
  </w:style>
  <w:style w:type="character" w:customStyle="1" w:styleId="A6">
    <w:name w:val="A6"/>
    <w:uiPriority w:val="99"/>
    <w:rsid w:val="00076C70"/>
    <w:rPr>
      <w:rFonts w:cs="Montserrat"/>
      <w:color w:val="000000"/>
      <w:sz w:val="16"/>
      <w:szCs w:val="16"/>
    </w:rPr>
  </w:style>
  <w:style w:type="paragraph" w:customStyle="1" w:styleId="Citas">
    <w:name w:val="Citas"/>
    <w:basedOn w:val="Normal"/>
    <w:qFormat/>
    <w:rsid w:val="00D329CF"/>
    <w:pPr>
      <w:spacing w:before="240" w:after="160" w:line="360" w:lineRule="auto"/>
      <w:ind w:left="851" w:right="851"/>
      <w:jc w:val="both"/>
    </w:pPr>
    <w:rPr>
      <w:rFonts w:ascii="Palatino Linotype" w:eastAsiaTheme="minorHAnsi" w:hAnsi="Palatino Linotype" w:cs="Arial"/>
      <w:i/>
      <w:sz w:val="22"/>
      <w:szCs w:val="22"/>
      <w:lang w:eastAsia="en-US"/>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rPr>
      <w:rFonts w:ascii="Calibri" w:eastAsia="Calibri" w:hAnsi="Calibri" w:cs="Calibri"/>
      <w:color w:val="000000"/>
    </w:rPr>
    <w:tblPr>
      <w:tblStyleRowBandSize w:val="1"/>
      <w:tblStyleColBandSize w:val="1"/>
      <w:tblCellMar>
        <w:left w:w="115" w:type="dxa"/>
        <w:right w:w="115" w:type="dxa"/>
      </w:tblCellMar>
    </w:tblPr>
  </w:style>
  <w:style w:type="table" w:customStyle="1" w:styleId="a0">
    <w:basedOn w:val="TableNormal0"/>
    <w:rPr>
      <w:rFonts w:ascii="Calibri" w:eastAsia="Calibri" w:hAnsi="Calibri" w:cs="Calibri"/>
      <w:color w:val="000000"/>
    </w:rPr>
    <w:tblPr>
      <w:tblStyleRowBandSize w:val="1"/>
      <w:tblStyleColBandSize w:val="1"/>
      <w:tblCellMar>
        <w:left w:w="115" w:type="dxa"/>
        <w:right w:w="115" w:type="dxa"/>
      </w:tblCellMar>
    </w:tblPr>
  </w:style>
  <w:style w:type="table" w:customStyle="1" w:styleId="a1">
    <w:basedOn w:val="TableNormal0"/>
    <w:rPr>
      <w:rFonts w:ascii="Calibri" w:eastAsia="Calibri" w:hAnsi="Calibri" w:cs="Calibri"/>
      <w:color w:val="000000"/>
    </w:rPr>
    <w:tblPr>
      <w:tblStyleRowBandSize w:val="1"/>
      <w:tblStyleColBandSize w:val="1"/>
      <w:tblCellMar>
        <w:left w:w="115" w:type="dxa"/>
        <w:right w:w="115" w:type="dxa"/>
      </w:tblCellMar>
    </w:tblPr>
  </w:style>
  <w:style w:type="table" w:customStyle="1" w:styleId="a2">
    <w:basedOn w:val="TableNormal0"/>
    <w:rPr>
      <w:rFonts w:ascii="Calibri" w:eastAsia="Calibri" w:hAnsi="Calibri" w:cs="Calibri"/>
      <w:color w:val="000000"/>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SskVwT6RBSggLkzhc18ygsg1Iw==">CgMxLjAyCGguZ2pkZ3hzMgloLjMwajB6bGwyCWguMnM4ZXlvMTIJaC4xN2RwOHZ1MgloLjNyZGNyam4yDmguOTF5eGF2NmEwdTF5OAByITFCcHBuOV9Vekd2MFhya3RZR3ZoaXZEcVpHN3M2V1Rqaw==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26</Pages>
  <Words>6892</Words>
  <Characters>37906</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44709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Cuenta Microsoft</cp:lastModifiedBy>
  <cp:revision>7</cp:revision>
  <cp:lastPrinted>2026-03-06T19:26:00Z</cp:lastPrinted>
  <dcterms:created xsi:type="dcterms:W3CDTF">2026-02-24T18:19:00Z</dcterms:created>
  <dcterms:modified xsi:type="dcterms:W3CDTF">2026-03-13T19:46:00Z</dcterms:modified>
</cp:coreProperties>
</file>