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39CCB" w14:textId="77777777" w:rsidR="00CC6EA8" w:rsidRDefault="00CC6EA8" w:rsidP="009950AD">
      <w:pPr>
        <w:pStyle w:val="NormalINFOEM"/>
      </w:pPr>
    </w:p>
    <w:p w14:paraId="49AF2C0C" w14:textId="1C1A307D" w:rsidR="00A970D5" w:rsidRPr="004C511E" w:rsidRDefault="00A970D5" w:rsidP="009950AD">
      <w:pPr>
        <w:pStyle w:val="NormalINFOEM"/>
      </w:pPr>
      <w:r w:rsidRPr="004C511E">
        <w:t>Resolución del Pleno del Instituto de Transparencia, Acceso a la Información Pública y Protección de Datos Personales del Estado de México</w:t>
      </w:r>
      <w:r w:rsidR="00FD2A3F" w:rsidRPr="004C511E">
        <w:t xml:space="preserve"> </w:t>
      </w:r>
      <w:r w:rsidRPr="004C511E">
        <w:t xml:space="preserve">y Municipios, con domicilio en Metepec, Estado de </w:t>
      </w:r>
      <w:r w:rsidR="008B2951" w:rsidRPr="004C511E">
        <w:t xml:space="preserve">México, </w:t>
      </w:r>
      <w:r w:rsidR="000D2E93" w:rsidRPr="004C511E">
        <w:t>a</w:t>
      </w:r>
      <w:r w:rsidR="0011108B" w:rsidRPr="004C511E">
        <w:t xml:space="preserve"> </w:t>
      </w:r>
      <w:r w:rsidR="00556552" w:rsidRPr="004C511E">
        <w:t>trece de mayo de dos mil veintiséis</w:t>
      </w:r>
      <w:r w:rsidR="0011108B" w:rsidRPr="004C511E">
        <w:t>.</w:t>
      </w:r>
    </w:p>
    <w:p w14:paraId="60399B74" w14:textId="77777777" w:rsidR="00A970D5" w:rsidRPr="004C511E"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764E3B7" w:rsidR="00A970D5" w:rsidRPr="004C511E" w:rsidRDefault="70652167" w:rsidP="70652167">
      <w:pPr>
        <w:pBdr>
          <w:top w:val="nil"/>
          <w:left w:val="nil"/>
          <w:bottom w:val="nil"/>
          <w:right w:val="nil"/>
          <w:between w:val="nil"/>
        </w:pBdr>
        <w:contextualSpacing/>
        <w:rPr>
          <w:rFonts w:eastAsia="Palatino Linotype" w:cs="Palatino Linotype"/>
          <w:b/>
          <w:bCs/>
          <w:color w:val="000000"/>
          <w:lang w:val="es-ES"/>
        </w:rPr>
      </w:pPr>
      <w:r w:rsidRPr="004C511E">
        <w:rPr>
          <w:rFonts w:eastAsia="Palatino Linotype" w:cs="Palatino Linotype"/>
          <w:b/>
          <w:bCs/>
          <w:color w:val="000000" w:themeColor="text1"/>
          <w:lang w:val="es-ES"/>
        </w:rPr>
        <w:t>VISTO</w:t>
      </w:r>
      <w:r w:rsidRPr="004C511E">
        <w:rPr>
          <w:rFonts w:eastAsia="Palatino Linotype" w:cs="Palatino Linotype"/>
          <w:color w:val="000000" w:themeColor="text1"/>
          <w:lang w:val="es-ES"/>
        </w:rPr>
        <w:t xml:space="preserve"> el expediente electrónico formado con motivo del recurso de revisión número </w:t>
      </w:r>
      <w:bookmarkStart w:id="0" w:name="_GoBack"/>
      <w:r w:rsidR="00BE23A0" w:rsidRPr="004C511E">
        <w:rPr>
          <w:rFonts w:eastAsia="Palatino Linotype" w:cs="Palatino Linotype"/>
          <w:b/>
          <w:bCs/>
          <w:color w:val="000000" w:themeColor="text1"/>
          <w:lang w:val="es-ES"/>
        </w:rPr>
        <w:t>14125/INFOEM/IP/RR/2025</w:t>
      </w:r>
      <w:bookmarkEnd w:id="0"/>
      <w:r w:rsidRPr="004C511E">
        <w:rPr>
          <w:rFonts w:eastAsia="Palatino Linotype" w:cs="Palatino Linotype"/>
          <w:color w:val="000000" w:themeColor="text1"/>
          <w:lang w:val="es-ES"/>
        </w:rPr>
        <w:t xml:space="preserve">, interpuesto por </w:t>
      </w:r>
      <w:r w:rsidR="001246AD">
        <w:rPr>
          <w:rFonts w:eastAsia="Palatino Linotype" w:cs="Palatino Linotype"/>
          <w:b/>
          <w:bCs/>
          <w:color w:val="000000" w:themeColor="text1"/>
          <w:lang w:val="es-ES"/>
        </w:rPr>
        <w:t>XXXXXXXXXXXX</w:t>
      </w:r>
      <w:r w:rsidR="00E97C2F" w:rsidRPr="004C511E">
        <w:rPr>
          <w:rFonts w:eastAsia="Palatino Linotype" w:cs="Palatino Linotype"/>
          <w:color w:val="000000" w:themeColor="text1"/>
          <w:lang w:val="es-ES"/>
        </w:rPr>
        <w:t>, en lo su</w:t>
      </w:r>
      <w:r w:rsidR="00771E23" w:rsidRPr="004C511E">
        <w:rPr>
          <w:rFonts w:eastAsia="Palatino Linotype" w:cs="Palatino Linotype"/>
          <w:color w:val="000000" w:themeColor="text1"/>
          <w:lang w:val="es-ES"/>
        </w:rPr>
        <w:t xml:space="preserve">cesivo </w:t>
      </w:r>
      <w:r w:rsidR="001C3595" w:rsidRPr="004C511E">
        <w:rPr>
          <w:rFonts w:eastAsia="Palatino Linotype" w:cs="Palatino Linotype"/>
          <w:color w:val="000000" w:themeColor="text1"/>
          <w:lang w:val="es-ES"/>
        </w:rPr>
        <w:t>el</w:t>
      </w:r>
      <w:r w:rsidRPr="004C511E">
        <w:rPr>
          <w:rFonts w:eastAsia="Palatino Linotype" w:cs="Palatino Linotype"/>
          <w:color w:val="000000" w:themeColor="text1"/>
          <w:lang w:val="es-ES"/>
        </w:rPr>
        <w:t xml:space="preserve"> </w:t>
      </w:r>
      <w:r w:rsidRPr="004C511E">
        <w:rPr>
          <w:rFonts w:eastAsia="Palatino Linotype" w:cs="Palatino Linotype"/>
          <w:b/>
          <w:bCs/>
          <w:color w:val="000000" w:themeColor="text1"/>
          <w:lang w:val="es-ES"/>
        </w:rPr>
        <w:t>Recurrente</w:t>
      </w:r>
      <w:r w:rsidRPr="004C511E">
        <w:rPr>
          <w:rFonts w:eastAsia="Palatino Linotype" w:cs="Palatino Linotype"/>
          <w:color w:val="000000" w:themeColor="text1"/>
          <w:lang w:val="es-ES"/>
        </w:rPr>
        <w:t>, en contra de la respuesta de</w:t>
      </w:r>
      <w:r w:rsidR="00920835" w:rsidRPr="004C511E">
        <w:rPr>
          <w:rFonts w:eastAsia="Palatino Linotype" w:cs="Palatino Linotype"/>
          <w:color w:val="000000" w:themeColor="text1"/>
          <w:lang w:val="es-ES"/>
        </w:rPr>
        <w:t>l</w:t>
      </w:r>
      <w:r w:rsidRPr="004C511E">
        <w:rPr>
          <w:rFonts w:eastAsia="Palatino Linotype" w:cs="Palatino Linotype"/>
          <w:color w:val="000000" w:themeColor="text1"/>
          <w:lang w:val="es-ES"/>
        </w:rPr>
        <w:t xml:space="preserve"> </w:t>
      </w:r>
      <w:r w:rsidR="00EB6D7F" w:rsidRPr="004C511E">
        <w:rPr>
          <w:rFonts w:eastAsia="Palatino Linotype" w:cs="Palatino Linotype"/>
          <w:b/>
          <w:bCs/>
          <w:color w:val="000000" w:themeColor="text1"/>
          <w:lang w:val="es-ES"/>
        </w:rPr>
        <w:t>Ayuntamiento de Nezahualcóyotl</w:t>
      </w:r>
      <w:r w:rsidR="00771E23" w:rsidRPr="004C511E">
        <w:rPr>
          <w:rFonts w:eastAsia="Palatino Linotype" w:cs="Palatino Linotype"/>
          <w:b/>
          <w:bCs/>
          <w:color w:val="000000" w:themeColor="text1"/>
          <w:lang w:val="es-ES"/>
        </w:rPr>
        <w:t>,</w:t>
      </w:r>
      <w:r w:rsidR="00920835" w:rsidRPr="004C511E">
        <w:rPr>
          <w:rFonts w:eastAsia="Palatino Linotype" w:cs="Palatino Linotype"/>
          <w:b/>
          <w:bCs/>
          <w:color w:val="000000" w:themeColor="text1"/>
          <w:lang w:val="es-ES"/>
        </w:rPr>
        <w:t xml:space="preserve"> </w:t>
      </w:r>
      <w:r w:rsidRPr="004C511E">
        <w:rPr>
          <w:rFonts w:eastAsia="Palatino Linotype" w:cs="Palatino Linotype"/>
          <w:color w:val="000000" w:themeColor="text1"/>
          <w:lang w:val="es-ES"/>
        </w:rPr>
        <w:t>en lo subsecuente</w:t>
      </w:r>
      <w:r w:rsidRPr="004C511E">
        <w:rPr>
          <w:rFonts w:eastAsia="Palatino Linotype" w:cs="Palatino Linotype"/>
          <w:b/>
          <w:bCs/>
          <w:color w:val="000000" w:themeColor="text1"/>
          <w:lang w:val="es-ES"/>
        </w:rPr>
        <w:t xml:space="preserve"> </w:t>
      </w:r>
      <w:r w:rsidRPr="004C511E">
        <w:rPr>
          <w:rFonts w:eastAsia="Palatino Linotype" w:cs="Palatino Linotype"/>
          <w:color w:val="000000" w:themeColor="text1"/>
          <w:lang w:val="es-ES"/>
        </w:rPr>
        <w:t>el</w:t>
      </w:r>
      <w:r w:rsidRPr="004C511E">
        <w:rPr>
          <w:rFonts w:eastAsia="Palatino Linotype" w:cs="Palatino Linotype"/>
          <w:b/>
          <w:bCs/>
          <w:color w:val="000000" w:themeColor="text1"/>
          <w:lang w:val="es-ES"/>
        </w:rPr>
        <w:t xml:space="preserve"> Sujeto Obligado, </w:t>
      </w:r>
      <w:r w:rsidRPr="004C511E">
        <w:rPr>
          <w:rFonts w:eastAsia="Palatino Linotype" w:cs="Palatino Linotype"/>
          <w:color w:val="000000" w:themeColor="text1"/>
          <w:lang w:val="es-ES"/>
        </w:rPr>
        <w:t>se procede a dictar la presente resolución.</w:t>
      </w:r>
    </w:p>
    <w:p w14:paraId="2E2053C2" w14:textId="77777777" w:rsidR="00A970D5" w:rsidRPr="004C511E"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4C511E" w:rsidRDefault="00A970D5" w:rsidP="006922F5">
      <w:pPr>
        <w:pStyle w:val="Ttulo1"/>
        <w:rPr>
          <w:rFonts w:eastAsia="Palatino Linotype"/>
          <w:lang w:val="es-ES_tradnl"/>
        </w:rPr>
      </w:pPr>
      <w:r w:rsidRPr="004C511E">
        <w:rPr>
          <w:rFonts w:eastAsia="Palatino Linotype"/>
          <w:lang w:val="es-ES_tradnl"/>
        </w:rPr>
        <w:t>A N T E C E D E N T E S</w:t>
      </w:r>
    </w:p>
    <w:p w14:paraId="32F88820" w14:textId="77777777" w:rsidR="00A970D5" w:rsidRPr="004C511E"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4C511E" w:rsidRDefault="00A970D5" w:rsidP="006922F5">
      <w:pPr>
        <w:pStyle w:val="Ttulo2"/>
        <w:rPr>
          <w:rFonts w:eastAsia="Palatino Linotype"/>
        </w:rPr>
      </w:pPr>
      <w:r w:rsidRPr="004C511E">
        <w:rPr>
          <w:rFonts w:eastAsia="Palatino Linotype"/>
        </w:rPr>
        <w:t xml:space="preserve">PRIMERO. De la </w:t>
      </w:r>
      <w:r w:rsidR="00A24D3F" w:rsidRPr="004C511E">
        <w:rPr>
          <w:rFonts w:eastAsia="Palatino Linotype"/>
        </w:rPr>
        <w:t>s</w:t>
      </w:r>
      <w:r w:rsidRPr="004C511E">
        <w:rPr>
          <w:rFonts w:eastAsia="Palatino Linotype"/>
        </w:rPr>
        <w:t xml:space="preserve">olicitud de </w:t>
      </w:r>
      <w:r w:rsidR="00A24D3F" w:rsidRPr="004C511E">
        <w:rPr>
          <w:rFonts w:eastAsia="Palatino Linotype"/>
        </w:rPr>
        <w:t>i</w:t>
      </w:r>
      <w:r w:rsidRPr="004C511E">
        <w:rPr>
          <w:rFonts w:eastAsia="Palatino Linotype"/>
        </w:rPr>
        <w:t>nformación.</w:t>
      </w:r>
    </w:p>
    <w:p w14:paraId="68B56D82" w14:textId="580BC62D" w:rsidR="00A970D5" w:rsidRPr="004C511E" w:rsidRDefault="003337B6" w:rsidP="006922F5">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 xml:space="preserve">Con fecha </w:t>
      </w:r>
      <w:r w:rsidR="00C30699" w:rsidRPr="004C511E">
        <w:rPr>
          <w:rFonts w:eastAsia="Palatino Linotype" w:cs="Palatino Linotype"/>
          <w:color w:val="000000"/>
          <w:szCs w:val="24"/>
        </w:rPr>
        <w:t>o</w:t>
      </w:r>
      <w:r w:rsidR="00EB6D7F" w:rsidRPr="004C511E">
        <w:rPr>
          <w:rFonts w:eastAsia="Palatino Linotype" w:cs="Palatino Linotype"/>
          <w:color w:val="000000"/>
          <w:szCs w:val="24"/>
        </w:rPr>
        <w:t>nce de noviembre</w:t>
      </w:r>
      <w:r w:rsidRPr="004C511E">
        <w:rPr>
          <w:rFonts w:eastAsia="Palatino Linotype" w:cs="Palatino Linotype"/>
          <w:color w:val="000000"/>
          <w:szCs w:val="24"/>
        </w:rPr>
        <w:t xml:space="preserve"> de dos mil veinticinco, el Recurrente presentó solicitud de información que fue registrada en el Sistema de Acceso a la Información Mexiquense (SAIMEX) con el número de expediente</w:t>
      </w:r>
      <w:r w:rsidR="00642669" w:rsidRPr="004C511E">
        <w:rPr>
          <w:rFonts w:eastAsia="Palatino Linotype" w:cs="Palatino Linotype"/>
          <w:b/>
          <w:bCs/>
          <w:color w:val="000000"/>
          <w:szCs w:val="24"/>
        </w:rPr>
        <w:t xml:space="preserve"> </w:t>
      </w:r>
      <w:r w:rsidR="00EB6D7F" w:rsidRPr="004C511E">
        <w:rPr>
          <w:rFonts w:eastAsia="Palatino Linotype" w:cs="Palatino Linotype"/>
          <w:b/>
          <w:bCs/>
          <w:color w:val="000000"/>
          <w:szCs w:val="24"/>
        </w:rPr>
        <w:t>00431/NEZA/IP/2025</w:t>
      </w:r>
      <w:r w:rsidR="00A970D5" w:rsidRPr="004C511E">
        <w:rPr>
          <w:rFonts w:eastAsia="Palatino Linotype" w:cs="Palatino Linotype"/>
          <w:color w:val="000000"/>
          <w:szCs w:val="24"/>
        </w:rPr>
        <w:t>,</w:t>
      </w:r>
      <w:r w:rsidR="00A970D5" w:rsidRPr="004C511E">
        <w:rPr>
          <w:rFonts w:eastAsia="Palatino Linotype" w:cs="Palatino Linotype"/>
          <w:b/>
          <w:color w:val="000000"/>
          <w:szCs w:val="24"/>
        </w:rPr>
        <w:t xml:space="preserve"> </w:t>
      </w:r>
      <w:r w:rsidRPr="004C511E">
        <w:rPr>
          <w:rFonts w:eastAsia="Palatino Linotype" w:cs="Palatino Linotype"/>
          <w:color w:val="000000"/>
          <w:szCs w:val="24"/>
        </w:rPr>
        <w:t>mediante la cual solicitó información en el tenor siguiente:</w:t>
      </w:r>
    </w:p>
    <w:p w14:paraId="3BED2E12" w14:textId="77777777" w:rsidR="003337B6" w:rsidRPr="004C511E"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1654628A" w:rsidR="00A970D5" w:rsidRPr="004C511E" w:rsidRDefault="00EB6D7F" w:rsidP="009950AD">
      <w:pPr>
        <w:pStyle w:val="Fundamentos"/>
      </w:pPr>
      <w:r w:rsidRPr="004C511E">
        <w:rPr>
          <w:lang w:val="es-ES"/>
        </w:rPr>
        <w:t>«SOLICITO COPIA SIMPLE DIGITALIZADA A TRAVÉS DEL SISTEMA ELECTRÓNICO SAIMEX DE TODAS LAS FACTURAS PAGADAS Y EN PROCESO DE PAGO POR MÁS DE UN MILLÓN DE PESOS GENERADAS ENTRE EL 1 DE ENERO Y EL 10 DE NOVIEMBRE DE 2025.</w:t>
      </w:r>
      <w:r w:rsidR="70652167" w:rsidRPr="004C511E">
        <w:rPr>
          <w:lang w:val="es-ES"/>
        </w:rPr>
        <w:t>» (Sic)</w:t>
      </w:r>
    </w:p>
    <w:p w14:paraId="40BBECCB" w14:textId="77777777" w:rsidR="00A970D5" w:rsidRPr="004C511E"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4C511E" w:rsidRDefault="00A970D5" w:rsidP="006922F5">
      <w:pPr>
        <w:pBdr>
          <w:top w:val="nil"/>
          <w:left w:val="nil"/>
          <w:bottom w:val="nil"/>
          <w:right w:val="nil"/>
          <w:between w:val="nil"/>
        </w:pBdr>
        <w:contextualSpacing/>
        <w:rPr>
          <w:rFonts w:eastAsia="Palatino Linotype" w:cs="Palatino Linotype"/>
          <w:b/>
          <w:color w:val="000000"/>
          <w:szCs w:val="24"/>
        </w:rPr>
      </w:pPr>
      <w:r w:rsidRPr="004C511E">
        <w:rPr>
          <w:rFonts w:eastAsia="Palatino Linotype" w:cs="Palatino Linotype"/>
          <w:color w:val="000000"/>
          <w:szCs w:val="24"/>
        </w:rPr>
        <w:t xml:space="preserve">Modalidad de entrega: </w:t>
      </w:r>
      <w:r w:rsidR="004A6F01" w:rsidRPr="004C511E">
        <w:rPr>
          <w:rFonts w:eastAsia="Palatino Linotype" w:cs="Palatino Linotype"/>
          <w:b/>
          <w:color w:val="000000"/>
          <w:szCs w:val="24"/>
        </w:rPr>
        <w:t>A través del SAIMEX</w:t>
      </w:r>
    </w:p>
    <w:p w14:paraId="1063B60E" w14:textId="77777777" w:rsidR="007B7C73" w:rsidRPr="004C511E"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5D8DE7D5" w:rsidR="00A970D5" w:rsidRPr="004C511E" w:rsidRDefault="00EB6D7F" w:rsidP="006922F5">
      <w:pPr>
        <w:pStyle w:val="Ttulo2"/>
        <w:rPr>
          <w:rFonts w:eastAsia="Palatino Linotype"/>
        </w:rPr>
      </w:pPr>
      <w:r w:rsidRPr="004C511E">
        <w:rPr>
          <w:rFonts w:eastAsia="Palatino Linotype"/>
        </w:rPr>
        <w:lastRenderedPageBreak/>
        <w:t>SEGUNDO</w:t>
      </w:r>
      <w:r w:rsidR="00A970D5" w:rsidRPr="004C511E">
        <w:rPr>
          <w:rFonts w:eastAsia="Palatino Linotype"/>
        </w:rPr>
        <w:t>. De la respuesta del Sujeto Obligado.</w:t>
      </w:r>
    </w:p>
    <w:p w14:paraId="2EE6F294" w14:textId="3DA4D511" w:rsidR="00A970D5" w:rsidRPr="004C511E" w:rsidRDefault="00A970D5" w:rsidP="006922F5">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De las constancias que obran en el expediente electrónico, se observa qu</w:t>
      </w:r>
      <w:r w:rsidR="008B2951" w:rsidRPr="004C511E">
        <w:rPr>
          <w:rFonts w:eastAsia="Palatino Linotype" w:cs="Palatino Linotype"/>
          <w:color w:val="000000"/>
          <w:szCs w:val="24"/>
        </w:rPr>
        <w:t>e el día</w:t>
      </w:r>
      <w:r w:rsidR="004A3367" w:rsidRPr="004C511E">
        <w:rPr>
          <w:rFonts w:eastAsia="Palatino Linotype" w:cs="Palatino Linotype"/>
          <w:color w:val="000000"/>
          <w:szCs w:val="24"/>
        </w:rPr>
        <w:t xml:space="preserve"> </w:t>
      </w:r>
      <w:r w:rsidR="009A085B" w:rsidRPr="004C511E">
        <w:rPr>
          <w:rFonts w:eastAsia="Palatino Linotype" w:cs="Palatino Linotype"/>
          <w:color w:val="000000"/>
          <w:szCs w:val="24"/>
        </w:rPr>
        <w:t>veint</w:t>
      </w:r>
      <w:r w:rsidR="00EB6D7F" w:rsidRPr="004C511E">
        <w:rPr>
          <w:rFonts w:eastAsia="Palatino Linotype" w:cs="Palatino Linotype"/>
          <w:color w:val="000000"/>
          <w:szCs w:val="24"/>
        </w:rPr>
        <w:t>isiete de noviembre</w:t>
      </w:r>
      <w:r w:rsidR="004A5EE6" w:rsidRPr="004C511E">
        <w:rPr>
          <w:rFonts w:eastAsia="Palatino Linotype" w:cs="Palatino Linotype"/>
          <w:color w:val="000000"/>
          <w:szCs w:val="24"/>
        </w:rPr>
        <w:t xml:space="preserve"> de dos mil veinticinco</w:t>
      </w:r>
      <w:r w:rsidRPr="004C511E">
        <w:rPr>
          <w:rFonts w:eastAsia="Palatino Linotype" w:cs="Palatino Linotype"/>
          <w:color w:val="000000"/>
          <w:szCs w:val="24"/>
        </w:rPr>
        <w:t>, el Sujeto Obligado dio respuest</w:t>
      </w:r>
      <w:r w:rsidR="009F4FF4" w:rsidRPr="004C511E">
        <w:rPr>
          <w:rFonts w:eastAsia="Palatino Linotype" w:cs="Palatino Linotype"/>
          <w:color w:val="000000"/>
          <w:szCs w:val="24"/>
        </w:rPr>
        <w:t>a a la solicitud de información</w:t>
      </w:r>
      <w:r w:rsidRPr="004C511E">
        <w:rPr>
          <w:rFonts w:eastAsia="Palatino Linotype" w:cs="Palatino Linotype"/>
          <w:color w:val="000000"/>
          <w:szCs w:val="24"/>
        </w:rPr>
        <w:t xml:space="preserve"> manifestando lo siguiente:</w:t>
      </w:r>
    </w:p>
    <w:p w14:paraId="6CF4EC0F" w14:textId="77777777" w:rsidR="00A970D5" w:rsidRPr="004C511E" w:rsidRDefault="00A970D5" w:rsidP="006922F5">
      <w:pPr>
        <w:pBdr>
          <w:top w:val="nil"/>
          <w:left w:val="nil"/>
          <w:bottom w:val="nil"/>
          <w:right w:val="nil"/>
          <w:between w:val="nil"/>
        </w:pBdr>
        <w:contextualSpacing/>
        <w:rPr>
          <w:rFonts w:eastAsia="Palatino Linotype" w:cs="Palatino Linotype"/>
          <w:color w:val="000000"/>
          <w:szCs w:val="24"/>
        </w:rPr>
      </w:pPr>
    </w:p>
    <w:p w14:paraId="44E35DA7" w14:textId="79CFB213" w:rsidR="00EB6D7F" w:rsidRPr="004C511E" w:rsidRDefault="23740614" w:rsidP="00EB6D7F">
      <w:pPr>
        <w:pStyle w:val="Fundamentos"/>
        <w:rPr>
          <w:lang w:val="es-ES"/>
        </w:rPr>
      </w:pPr>
      <w:r w:rsidRPr="004C511E">
        <w:rPr>
          <w:lang w:val="es-ES"/>
        </w:rPr>
        <w:t>«</w:t>
      </w:r>
      <w:r w:rsidR="00EB6D7F" w:rsidRPr="004C511E">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4C573EE" w14:textId="77777777" w:rsidR="00EB6D7F" w:rsidRPr="004C511E" w:rsidRDefault="00EB6D7F" w:rsidP="00EB6D7F">
      <w:pPr>
        <w:pStyle w:val="Fundamentos"/>
        <w:rPr>
          <w:lang w:val="es-ES"/>
        </w:rPr>
      </w:pPr>
    </w:p>
    <w:p w14:paraId="618CA888" w14:textId="77777777" w:rsidR="00EB6D7F" w:rsidRPr="004C511E" w:rsidRDefault="00EB6D7F" w:rsidP="00EB6D7F">
      <w:pPr>
        <w:pStyle w:val="Fundamentos"/>
        <w:rPr>
          <w:lang w:val="es-ES"/>
        </w:rPr>
      </w:pPr>
      <w:r w:rsidRPr="004C511E">
        <w:rPr>
          <w:lang w:val="es-ES"/>
        </w:rPr>
        <w:t>Nezahualcóyotl, Estado de México a 27 de noviembre del 2025. ESTIMADO SOLICITANTE P R E S E N T E. Por este medio y en atención a la Solicitud de Información Pública, identificada con número de folio 00431/NEZA/IP/2025, me permito remitir a usted la respuesta generada bajo su más estricta responsabilidad, emitida por la Tesorería mediante el oficio HA/TM/8008/2025, así como el correspondiente a la Trigésima Novena Sesión Extraordinaria 2025 del Comité de Transparencia del H. Ayuntamiento de Nezahualcóyotl ACT/CT/NEZA/EXT/XXXIX/2025 mismos que se agregan al presente. Lo anterior con fundamento en el Título Segundo, Capítulo III, artículos 53 fracciones V, VI de la Ley de Transparencia y Acceso a la Información Pública del Estado de México y Municipios. No omito hacer mención, en caso de inconformidad con la respuesta emitida, podrá ingresar el recurso de revisión dentro del plazo de 15 días hábiles, de conformidad a lo establecido en el Título Octavo, Capítulo I, artículos 177 y 178 de la Ley de Transparencia y Acceso a la Información Pública del Estado de México y Municipios. Sin más por el momento, le envío un fraternal saludo. A T E N T A M E N T E LIC. CHRISTIAN LOZANO LARA TITULAR DE LA UNIDAD DE TRANSPARENCIA Y ACCESO A LA INFORMACIÓN PÚBLICA MUNICIPAL</w:t>
      </w:r>
    </w:p>
    <w:p w14:paraId="660163CF" w14:textId="77777777" w:rsidR="00EB6D7F" w:rsidRPr="004C511E" w:rsidRDefault="00EB6D7F" w:rsidP="00EB6D7F">
      <w:pPr>
        <w:pStyle w:val="Fundamentos"/>
        <w:rPr>
          <w:lang w:val="es-ES"/>
        </w:rPr>
      </w:pPr>
    </w:p>
    <w:p w14:paraId="6C2A5394" w14:textId="77777777" w:rsidR="00EB6D7F" w:rsidRPr="004C511E" w:rsidRDefault="00EB6D7F" w:rsidP="00EB6D7F">
      <w:pPr>
        <w:pStyle w:val="Fundamentos"/>
        <w:rPr>
          <w:lang w:val="es-ES"/>
        </w:rPr>
      </w:pPr>
      <w:r w:rsidRPr="004C511E">
        <w:rPr>
          <w:lang w:val="es-ES"/>
        </w:rPr>
        <w:t>ATENTAMENTE</w:t>
      </w:r>
    </w:p>
    <w:p w14:paraId="3FE4A9EF" w14:textId="5E5EE6F8" w:rsidR="00A970D5" w:rsidRPr="004C511E" w:rsidRDefault="00EB6D7F" w:rsidP="00EB6D7F">
      <w:pPr>
        <w:pStyle w:val="Fundamentos"/>
        <w:rPr>
          <w:lang w:val="es-MX"/>
        </w:rPr>
      </w:pPr>
      <w:r w:rsidRPr="004C511E">
        <w:rPr>
          <w:lang w:val="es-ES"/>
        </w:rPr>
        <w:t>LIC. CHRISTIAN LOZANO LARA</w:t>
      </w:r>
      <w:r w:rsidR="00851748" w:rsidRPr="004C511E">
        <w:rPr>
          <w:lang w:val="es-MX"/>
        </w:rPr>
        <w:t>»</w:t>
      </w:r>
      <w:r w:rsidR="00A970D5" w:rsidRPr="004C511E">
        <w:rPr>
          <w:lang w:val="es-MX"/>
        </w:rPr>
        <w:t xml:space="preserve"> (Sic)</w:t>
      </w:r>
    </w:p>
    <w:p w14:paraId="2EAB8352" w14:textId="3B77EF6C" w:rsidR="001107C4" w:rsidRPr="004C511E"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045BD3B4" w:rsidR="0037112D" w:rsidRPr="004C511E" w:rsidRDefault="70652167" w:rsidP="70652167">
      <w:pPr>
        <w:pBdr>
          <w:top w:val="nil"/>
          <w:left w:val="nil"/>
          <w:bottom w:val="nil"/>
          <w:right w:val="nil"/>
          <w:between w:val="nil"/>
        </w:pBdr>
        <w:contextualSpacing/>
        <w:rPr>
          <w:rFonts w:eastAsia="Palatino Linotype" w:cs="Palatino Linotype"/>
          <w:b/>
          <w:bCs/>
          <w:color w:val="000000"/>
          <w:lang w:val="es-ES"/>
        </w:rPr>
      </w:pPr>
      <w:r w:rsidRPr="004C511E">
        <w:rPr>
          <w:rFonts w:eastAsia="Palatino Linotype" w:cs="Palatino Linotype"/>
          <w:color w:val="000000" w:themeColor="text1"/>
          <w:lang w:val="es-ES"/>
        </w:rPr>
        <w:t xml:space="preserve">El Sujeto Obligado adjuntó a su respuesta </w:t>
      </w:r>
      <w:r w:rsidR="00EB6D7F" w:rsidRPr="004C511E">
        <w:rPr>
          <w:rFonts w:eastAsia="Palatino Linotype" w:cs="Palatino Linotype"/>
          <w:color w:val="000000" w:themeColor="text1"/>
          <w:lang w:val="es-ES"/>
        </w:rPr>
        <w:t>los</w:t>
      </w:r>
      <w:r w:rsidR="003337B6" w:rsidRPr="004C511E">
        <w:rPr>
          <w:rFonts w:eastAsia="Palatino Linotype" w:cs="Palatino Linotype"/>
          <w:color w:val="000000" w:themeColor="text1"/>
          <w:lang w:val="es-ES"/>
        </w:rPr>
        <w:t xml:space="preserve"> d</w:t>
      </w:r>
      <w:r w:rsidR="000D08B6" w:rsidRPr="004C511E">
        <w:rPr>
          <w:rFonts w:eastAsia="Palatino Linotype" w:cs="Palatino Linotype"/>
          <w:color w:val="000000" w:themeColor="text1"/>
          <w:lang w:val="es-ES"/>
        </w:rPr>
        <w:t>ocumento</w:t>
      </w:r>
      <w:r w:rsidR="00EB6D7F" w:rsidRPr="004C511E">
        <w:rPr>
          <w:rFonts w:eastAsia="Palatino Linotype" w:cs="Palatino Linotype"/>
          <w:color w:val="000000" w:themeColor="text1"/>
          <w:lang w:val="es-ES"/>
        </w:rPr>
        <w:t>s</w:t>
      </w:r>
      <w:r w:rsidRPr="004C511E">
        <w:rPr>
          <w:rFonts w:eastAsia="Palatino Linotype" w:cs="Palatino Linotype"/>
          <w:color w:val="000000" w:themeColor="text1"/>
          <w:lang w:val="es-ES"/>
        </w:rPr>
        <w:t xml:space="preserve"> denominado</w:t>
      </w:r>
      <w:r w:rsidR="00EB6D7F" w:rsidRPr="004C511E">
        <w:rPr>
          <w:rFonts w:eastAsia="Palatino Linotype" w:cs="Palatino Linotype"/>
          <w:color w:val="000000" w:themeColor="text1"/>
          <w:lang w:val="es-ES"/>
        </w:rPr>
        <w:t>s</w:t>
      </w:r>
      <w:r w:rsidR="00A63CD7" w:rsidRPr="004C511E">
        <w:rPr>
          <w:rFonts w:eastAsia="Palatino Linotype" w:cs="Palatino Linotype"/>
          <w:color w:val="000000" w:themeColor="text1"/>
          <w:lang w:val="es-ES"/>
        </w:rPr>
        <w:t xml:space="preserve"> </w:t>
      </w:r>
      <w:r w:rsidR="00A63CD7" w:rsidRPr="004C511E">
        <w:rPr>
          <w:rFonts w:eastAsia="Palatino Linotype" w:cs="Palatino Linotype"/>
          <w:b/>
          <w:bCs/>
          <w:color w:val="000000" w:themeColor="text1"/>
          <w:lang w:val="es-ES"/>
        </w:rPr>
        <w:t>«</w:t>
      </w:r>
      <w:r w:rsidR="00EB6D7F" w:rsidRPr="004C511E">
        <w:rPr>
          <w:rFonts w:eastAsia="Palatino Linotype" w:cs="Palatino Linotype"/>
          <w:b/>
          <w:bCs/>
          <w:color w:val="000000" w:themeColor="text1"/>
          <w:lang w:val="es-ES"/>
        </w:rPr>
        <w:t>431-25-Completa.pdf</w:t>
      </w:r>
      <w:r w:rsidR="00637886" w:rsidRPr="004C511E">
        <w:rPr>
          <w:rFonts w:eastAsia="Palatino Linotype" w:cs="Palatino Linotype"/>
          <w:b/>
          <w:bCs/>
          <w:color w:val="000000" w:themeColor="text1"/>
          <w:lang w:val="es-ES"/>
        </w:rPr>
        <w:t>»</w:t>
      </w:r>
      <w:r w:rsidR="00EB6D7F" w:rsidRPr="004C511E">
        <w:rPr>
          <w:rFonts w:eastAsia="Palatino Linotype" w:cs="Palatino Linotype"/>
          <w:color w:val="000000" w:themeColor="text1"/>
          <w:lang w:val="es-ES"/>
        </w:rPr>
        <w:t xml:space="preserve"> y</w:t>
      </w:r>
      <w:r w:rsidR="00637886" w:rsidRPr="004C511E">
        <w:rPr>
          <w:rFonts w:eastAsia="Palatino Linotype" w:cs="Palatino Linotype"/>
          <w:color w:val="000000" w:themeColor="text1"/>
          <w:lang w:val="es-ES"/>
        </w:rPr>
        <w:t xml:space="preserve"> </w:t>
      </w:r>
      <w:r w:rsidR="00EB6D7F" w:rsidRPr="004C511E">
        <w:rPr>
          <w:rFonts w:eastAsia="Palatino Linotype" w:cs="Palatino Linotype"/>
          <w:b/>
          <w:bCs/>
          <w:color w:val="000000" w:themeColor="text1"/>
          <w:lang w:val="es-ES"/>
        </w:rPr>
        <w:t>«ACT-CT-NEZA-XXXIX-2025.pdf»</w:t>
      </w:r>
      <w:r w:rsidR="00EB6D7F" w:rsidRPr="004C511E">
        <w:rPr>
          <w:rFonts w:eastAsia="Palatino Linotype" w:cs="Palatino Linotype"/>
          <w:color w:val="000000" w:themeColor="text1"/>
          <w:lang w:val="es-ES"/>
        </w:rPr>
        <w:t xml:space="preserve">, </w:t>
      </w:r>
      <w:r w:rsidR="00F17165" w:rsidRPr="004C511E">
        <w:rPr>
          <w:rFonts w:eastAsia="Palatino Linotype" w:cs="Palatino Linotype"/>
          <w:color w:val="000000" w:themeColor="text1"/>
          <w:lang w:val="es-ES"/>
        </w:rPr>
        <w:t>cuyo</w:t>
      </w:r>
      <w:r w:rsidRPr="004C511E">
        <w:rPr>
          <w:rFonts w:eastAsia="Palatino Linotype" w:cs="Palatino Linotype"/>
          <w:color w:val="000000" w:themeColor="text1"/>
          <w:lang w:val="es-ES"/>
        </w:rPr>
        <w:t xml:space="preserve"> contenido</w:t>
      </w:r>
      <w:r w:rsidR="007229FC" w:rsidRPr="004C511E">
        <w:rPr>
          <w:rFonts w:eastAsia="Palatino Linotype" w:cs="Palatino Linotype"/>
          <w:color w:val="000000" w:themeColor="text1"/>
          <w:lang w:val="es-ES"/>
        </w:rPr>
        <w:t xml:space="preserve"> no se reproduce por ser del conocimiento de las partes; no obstante,</w:t>
      </w:r>
      <w:r w:rsidRPr="004C511E">
        <w:rPr>
          <w:rFonts w:eastAsia="Palatino Linotype" w:cs="Palatino Linotype"/>
          <w:color w:val="000000" w:themeColor="text1"/>
          <w:lang w:val="es-ES"/>
        </w:rPr>
        <w:t xml:space="preserve"> será motivo de análisis en el estudio correspondiente.</w:t>
      </w:r>
    </w:p>
    <w:p w14:paraId="2011BBDD" w14:textId="77777777" w:rsidR="0037112D" w:rsidRPr="004C511E" w:rsidRDefault="0037112D" w:rsidP="006922F5">
      <w:pPr>
        <w:pBdr>
          <w:top w:val="nil"/>
          <w:left w:val="nil"/>
          <w:bottom w:val="nil"/>
          <w:right w:val="nil"/>
          <w:between w:val="nil"/>
        </w:pBdr>
        <w:contextualSpacing/>
        <w:rPr>
          <w:rFonts w:eastAsia="Palatino Linotype" w:cs="Palatino Linotype"/>
          <w:color w:val="000000"/>
          <w:szCs w:val="24"/>
          <w:lang w:val="es-ES"/>
        </w:rPr>
      </w:pPr>
    </w:p>
    <w:p w14:paraId="58FA11DD" w14:textId="6B9680BE" w:rsidR="00A970D5" w:rsidRPr="004C511E" w:rsidRDefault="00EB6D7F" w:rsidP="006922F5">
      <w:pPr>
        <w:pStyle w:val="Ttulo2"/>
        <w:rPr>
          <w:rFonts w:eastAsia="Palatino Linotype"/>
        </w:rPr>
      </w:pPr>
      <w:r w:rsidRPr="004C511E">
        <w:rPr>
          <w:rFonts w:eastAsia="Palatino Linotype"/>
        </w:rPr>
        <w:t>TERCERO</w:t>
      </w:r>
      <w:r w:rsidR="00A970D5" w:rsidRPr="004C511E">
        <w:rPr>
          <w:rFonts w:eastAsia="Palatino Linotype"/>
        </w:rPr>
        <w:t>. Del recurso de revisión.</w:t>
      </w:r>
    </w:p>
    <w:p w14:paraId="0C8C3A2F" w14:textId="454C5BC5" w:rsidR="00A970D5" w:rsidRPr="004C511E" w:rsidRDefault="0090115A" w:rsidP="006922F5">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Inconforme con la respuesta emitida</w:t>
      </w:r>
      <w:r w:rsidR="00EB6D7F" w:rsidRPr="004C511E">
        <w:rPr>
          <w:rFonts w:eastAsia="Palatino Linotype" w:cs="Palatino Linotype"/>
          <w:color w:val="000000"/>
          <w:szCs w:val="24"/>
        </w:rPr>
        <w:t xml:space="preserve"> por el Sujeto Obligado</w:t>
      </w:r>
      <w:r w:rsidR="006726AD" w:rsidRPr="004C511E">
        <w:rPr>
          <w:rFonts w:eastAsia="Palatino Linotype" w:cs="Palatino Linotype"/>
          <w:color w:val="000000"/>
          <w:szCs w:val="24"/>
        </w:rPr>
        <w:t xml:space="preserve">, </w:t>
      </w:r>
      <w:r w:rsidR="008A7F39" w:rsidRPr="004C511E">
        <w:rPr>
          <w:rFonts w:eastAsia="Palatino Linotype" w:cs="Palatino Linotype"/>
          <w:color w:val="000000"/>
          <w:szCs w:val="24"/>
        </w:rPr>
        <w:t>el Recurrente</w:t>
      </w:r>
      <w:r w:rsidRPr="004C511E">
        <w:rPr>
          <w:rFonts w:eastAsia="Palatino Linotype" w:cs="Palatino Linotype"/>
          <w:color w:val="000000"/>
          <w:szCs w:val="24"/>
        </w:rPr>
        <w:t xml:space="preserve"> interpuso el presente recurso de revisión el </w:t>
      </w:r>
      <w:r w:rsidR="00EB6D7F" w:rsidRPr="004C511E">
        <w:rPr>
          <w:rFonts w:eastAsia="Palatino Linotype" w:cs="Palatino Linotype"/>
          <w:color w:val="000000"/>
          <w:szCs w:val="24"/>
        </w:rPr>
        <w:t>once de diciembre</w:t>
      </w:r>
      <w:r w:rsidR="00DE2889" w:rsidRPr="004C511E">
        <w:rPr>
          <w:rFonts w:eastAsia="Palatino Linotype" w:cs="Palatino Linotype"/>
          <w:color w:val="000000"/>
          <w:szCs w:val="24"/>
        </w:rPr>
        <w:t xml:space="preserve"> de dos mil veinticinco</w:t>
      </w:r>
      <w:r w:rsidRPr="004C511E">
        <w:rPr>
          <w:rFonts w:eastAsia="Palatino Linotype" w:cs="Palatino Linotype"/>
          <w:color w:val="000000"/>
          <w:szCs w:val="24"/>
        </w:rPr>
        <w:t>, el cual se registró en el SAIMEX con el expediente número</w:t>
      </w:r>
      <w:r w:rsidR="00A970D5" w:rsidRPr="004C511E">
        <w:rPr>
          <w:rFonts w:eastAsia="Palatino Linotype" w:cs="Palatino Linotype"/>
          <w:color w:val="000000"/>
          <w:szCs w:val="24"/>
        </w:rPr>
        <w:t xml:space="preserve"> </w:t>
      </w:r>
      <w:r w:rsidR="00BE23A0" w:rsidRPr="004C511E">
        <w:rPr>
          <w:rFonts w:eastAsia="Palatino Linotype" w:cs="Palatino Linotype"/>
          <w:b/>
          <w:color w:val="000000"/>
          <w:szCs w:val="24"/>
        </w:rPr>
        <w:t>14125/INFOEM/IP/RR/2025</w:t>
      </w:r>
      <w:r w:rsidR="00A06896" w:rsidRPr="004C511E">
        <w:rPr>
          <w:rFonts w:eastAsia="Palatino Linotype" w:cs="Palatino Linotype"/>
          <w:color w:val="000000"/>
          <w:szCs w:val="24"/>
        </w:rPr>
        <w:t xml:space="preserve">, </w:t>
      </w:r>
      <w:r w:rsidRPr="004C511E">
        <w:rPr>
          <w:rFonts w:eastAsia="Palatino Linotype" w:cs="Palatino Linotype"/>
          <w:color w:val="000000"/>
          <w:szCs w:val="24"/>
        </w:rPr>
        <w:t>en el que manifestó</w:t>
      </w:r>
      <w:r w:rsidR="00A970D5" w:rsidRPr="004C511E">
        <w:rPr>
          <w:rFonts w:eastAsia="Palatino Linotype" w:cs="Palatino Linotype"/>
          <w:color w:val="000000"/>
          <w:szCs w:val="24"/>
        </w:rPr>
        <w:t xml:space="preserve"> lo siguiente:</w:t>
      </w:r>
    </w:p>
    <w:p w14:paraId="7AA0C9F4" w14:textId="046134A0" w:rsidR="00A970D5" w:rsidRPr="004C511E"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4C511E" w:rsidRDefault="00A970D5" w:rsidP="006922F5">
      <w:pPr>
        <w:contextualSpacing/>
        <w:rPr>
          <w:rFonts w:eastAsia="Palatino Linotype" w:cs="Palatino Linotype"/>
          <w:b/>
        </w:rPr>
      </w:pPr>
      <w:r w:rsidRPr="004C511E">
        <w:rPr>
          <w:rFonts w:eastAsia="Palatino Linotype" w:cs="Palatino Linotype"/>
          <w:b/>
        </w:rPr>
        <w:t>Acto Impugnado:</w:t>
      </w:r>
      <w:r w:rsidR="00655007" w:rsidRPr="004C511E">
        <w:rPr>
          <w:rFonts w:eastAsia="Palatino Linotype" w:cs="Palatino Linotype"/>
          <w:b/>
        </w:rPr>
        <w:t xml:space="preserve"> </w:t>
      </w:r>
    </w:p>
    <w:p w14:paraId="4A0EFE5A" w14:textId="41A9BF91" w:rsidR="00A970D5" w:rsidRPr="004C511E" w:rsidRDefault="5C35490E" w:rsidP="5C35490E">
      <w:pPr>
        <w:pStyle w:val="Fundamentos"/>
        <w:rPr>
          <w:b/>
          <w:bCs/>
          <w:lang w:val="es-ES"/>
        </w:rPr>
      </w:pPr>
      <w:r w:rsidRPr="004C511E">
        <w:rPr>
          <w:lang w:val="es-ES"/>
        </w:rPr>
        <w:t>«</w:t>
      </w:r>
      <w:r w:rsidR="00EB6D7F" w:rsidRPr="004C511E">
        <w:rPr>
          <w:lang w:val="es-ES"/>
        </w:rPr>
        <w:t>RESPUESTA A LA SOLICITUD 00431/NEZA/IP/2025</w:t>
      </w:r>
      <w:r w:rsidRPr="004C511E">
        <w:rPr>
          <w:lang w:val="es-ES"/>
        </w:rPr>
        <w:t>» (Sic)</w:t>
      </w:r>
    </w:p>
    <w:p w14:paraId="3C40A441" w14:textId="0B2599C4" w:rsidR="00A970D5" w:rsidRPr="004C511E" w:rsidRDefault="00A970D5" w:rsidP="00FA1919">
      <w:pPr>
        <w:tabs>
          <w:tab w:val="left" w:pos="2515"/>
        </w:tabs>
        <w:contextualSpacing/>
        <w:rPr>
          <w:rFonts w:eastAsia="Palatino Linotype" w:cs="Palatino Linotype"/>
          <w:iCs/>
          <w:szCs w:val="24"/>
          <w:lang w:val="es-ES"/>
        </w:rPr>
      </w:pPr>
    </w:p>
    <w:p w14:paraId="0F6CFE30" w14:textId="719FCACE" w:rsidR="00300EA0" w:rsidRPr="004C511E" w:rsidRDefault="002B6B0F" w:rsidP="00300EA0">
      <w:pPr>
        <w:contextualSpacing/>
        <w:rPr>
          <w:rFonts w:eastAsia="Palatino Linotype" w:cs="Palatino Linotype"/>
          <w:b/>
        </w:rPr>
      </w:pPr>
      <w:r w:rsidRPr="004C511E">
        <w:rPr>
          <w:rFonts w:eastAsia="Palatino Linotype" w:cs="Palatino Linotype"/>
          <w:b/>
        </w:rPr>
        <w:t>Razones o motivos de inconformidad</w:t>
      </w:r>
      <w:r w:rsidR="00300EA0" w:rsidRPr="004C511E">
        <w:rPr>
          <w:rFonts w:eastAsia="Palatino Linotype" w:cs="Palatino Linotype"/>
          <w:b/>
        </w:rPr>
        <w:t xml:space="preserve">: </w:t>
      </w:r>
    </w:p>
    <w:p w14:paraId="636038ED" w14:textId="4615DA0E" w:rsidR="00300EA0" w:rsidRPr="004C511E" w:rsidRDefault="00017B72" w:rsidP="00300EA0">
      <w:pPr>
        <w:pStyle w:val="Fundamentos"/>
        <w:rPr>
          <w:b/>
          <w:bCs/>
          <w:lang w:val="es-ES"/>
        </w:rPr>
      </w:pPr>
      <w:r w:rsidRPr="004C511E">
        <w:rPr>
          <w:lang w:val="es-ES"/>
        </w:rPr>
        <w:t>«</w:t>
      </w:r>
      <w:r w:rsidR="00EB6D7F" w:rsidRPr="004C511E">
        <w:rPr>
          <w:lang w:val="es-ES"/>
        </w:rPr>
        <w:t>E</w:t>
      </w:r>
      <w:r w:rsidR="00EB6D7F" w:rsidRPr="004C511E">
        <w:t>L SUJETO OBLIGADO MODIFICA LA MODALIDAD DE ENTREGA DE MANERA DOLOSA E ILEGAL. LOS ARGUMENTOS QUE SUSTENTAN LA DECISION DEL COMITÉ DE TRANSPARENCIA NO ACREDITAN EL CAMBIO EN LA MODALIDAD DE ENTREGA. EN LA RESPUESTA, EL SERVIDOR PÚBLICO HABILITADO SEÑALA: "Al respecto le informo que de las facturas pagadas y en proceso de pago de mas de un millón de pesos generadas entre el 1 de enero y el 10 de noviembre del 2025, sobrepasan la cantidad de fojas para subir al sistema, siendo aproximadamente 55,498 fojas, es por ello que solicito cambio de modalidad "IN SITU", LO CUAL ES UN DATO FALSO Y QUE NO CORRESPONDE A LA INFORMACIÓN INDICADA EN LA SOLICITUD. DE TAL SUERTE QUE EL SUJETO OBLIGADO OMITE REALIZAR LA BUSQUEDA EXHAUSTIVA DE LA INFORMACIÓN A LA QUE ESTÁ OBLIGADO POR LEY. LA INFORMACION SOLICITADA ES LOCALIZABLE DE ACUERDO A LAS ESPECIFICACIONES INDICADAS EN LA PETICIÓN Y CORRESPONDE A UN VOLUMEN ABSOLUTAMENTE A LA CANTIDAD DE FOJAS SEÑALADA POR EL SUJETO OBLIGADO. POR LO ANTERIOR, SOLICITO SE REVOQUE EL ACUERDO DEL COMITÉ DE TRANSPARENCIA DEL SUJETO OBLIGADO Y SE ORDENE LA ENTREGA DE LA INFORMACION SOLICITADA ÚNICAMENTE A TRAVÉS DEL SISTEMA ELECTRÓNICO SAIMEX.</w:t>
      </w:r>
      <w:r w:rsidR="00300EA0" w:rsidRPr="004C511E">
        <w:rPr>
          <w:lang w:val="es-ES"/>
        </w:rPr>
        <w:t>» (Sic)</w:t>
      </w:r>
    </w:p>
    <w:p w14:paraId="0A3CE1C1" w14:textId="77777777" w:rsidR="00390EBF" w:rsidRPr="004C511E" w:rsidRDefault="00390EBF" w:rsidP="006922F5">
      <w:pPr>
        <w:contextualSpacing/>
        <w:rPr>
          <w:rFonts w:eastAsia="Palatino Linotype" w:cs="Palatino Linotype"/>
          <w:iCs/>
          <w:szCs w:val="24"/>
          <w:lang w:val="es-ES"/>
        </w:rPr>
      </w:pPr>
    </w:p>
    <w:p w14:paraId="11D7F189" w14:textId="6263F1D2" w:rsidR="00A970D5" w:rsidRPr="004C511E" w:rsidRDefault="00EB6D7F" w:rsidP="006922F5">
      <w:pPr>
        <w:pStyle w:val="Ttulo2"/>
        <w:rPr>
          <w:rFonts w:eastAsia="Palatino Linotype"/>
        </w:rPr>
      </w:pPr>
      <w:r w:rsidRPr="004C511E">
        <w:rPr>
          <w:rFonts w:eastAsia="Palatino Linotype"/>
        </w:rPr>
        <w:lastRenderedPageBreak/>
        <w:t>CUAR</w:t>
      </w:r>
      <w:r w:rsidR="007A1154" w:rsidRPr="004C511E">
        <w:rPr>
          <w:rFonts w:eastAsia="Palatino Linotype"/>
        </w:rPr>
        <w:t>TO</w:t>
      </w:r>
      <w:r w:rsidR="00A970D5" w:rsidRPr="004C511E">
        <w:rPr>
          <w:rFonts w:eastAsia="Palatino Linotype"/>
        </w:rPr>
        <w:t>. Del turno y admisión del recurso de revisión.</w:t>
      </w:r>
    </w:p>
    <w:p w14:paraId="2459DEBA" w14:textId="14B5EA31" w:rsidR="00A970D5" w:rsidRPr="004C511E" w:rsidRDefault="70652167" w:rsidP="27EA7DDB">
      <w:pPr>
        <w:pBdr>
          <w:top w:val="nil"/>
          <w:left w:val="nil"/>
          <w:bottom w:val="nil"/>
          <w:right w:val="nil"/>
          <w:between w:val="nil"/>
        </w:pBdr>
        <w:contextualSpacing/>
        <w:rPr>
          <w:rFonts w:eastAsia="Palatino Linotype" w:cs="Palatino Linotype"/>
          <w:color w:val="000000"/>
          <w:lang w:val="es-ES"/>
        </w:rPr>
      </w:pPr>
      <w:r w:rsidRPr="004C511E">
        <w:rPr>
          <w:rFonts w:eastAsia="Palatino Linotype" w:cs="Palatino Linotype"/>
          <w:color w:val="000000" w:themeColor="text1"/>
          <w:lang w:val="es-ES"/>
        </w:rPr>
        <w:t xml:space="preserve">Medio de impugnación que le fue turnado al </w:t>
      </w:r>
      <w:r w:rsidRPr="004C511E">
        <w:rPr>
          <w:rFonts w:eastAsia="Palatino Linotype" w:cs="Palatino Linotype"/>
          <w:b/>
          <w:bCs/>
          <w:color w:val="000000" w:themeColor="text1"/>
          <w:lang w:val="es-ES"/>
        </w:rPr>
        <w:t>Comisionado Presidente José Martínez Vilchis</w:t>
      </w:r>
      <w:r w:rsidRPr="004C511E">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4C511E">
        <w:rPr>
          <w:rFonts w:eastAsia="Palatino Linotype" w:cs="Palatino Linotype"/>
          <w:color w:val="000000" w:themeColor="text1"/>
          <w:lang w:val="es-ES"/>
        </w:rPr>
        <w:t xml:space="preserve"> admisión de fecha</w:t>
      </w:r>
      <w:r w:rsidR="007E307B" w:rsidRPr="004C511E">
        <w:rPr>
          <w:rFonts w:eastAsia="Palatino Linotype" w:cs="Palatino Linotype"/>
          <w:color w:val="000000" w:themeColor="text1"/>
          <w:lang w:val="es-ES"/>
        </w:rPr>
        <w:t xml:space="preserve"> </w:t>
      </w:r>
      <w:r w:rsidR="00EB6D7F" w:rsidRPr="004C511E">
        <w:rPr>
          <w:rFonts w:eastAsia="Palatino Linotype" w:cs="Palatino Linotype"/>
          <w:color w:val="000000" w:themeColor="text1"/>
          <w:lang w:val="es-ES"/>
        </w:rPr>
        <w:t xml:space="preserve">dieciséis de diciembre </w:t>
      </w:r>
      <w:r w:rsidR="00774AC3" w:rsidRPr="004C511E">
        <w:rPr>
          <w:rFonts w:eastAsia="Palatino Linotype" w:cs="Palatino Linotype"/>
          <w:color w:val="000000" w:themeColor="text1"/>
          <w:lang w:val="es-ES"/>
        </w:rPr>
        <w:t>de dos mil veinticinco</w:t>
      </w:r>
      <w:r w:rsidRPr="004C511E">
        <w:rPr>
          <w:rFonts w:eastAsia="Palatino Linotype" w:cs="Palatino Linotype"/>
          <w:color w:val="000000" w:themeColor="text1"/>
          <w:lang w:val="es-ES"/>
        </w:rPr>
        <w:t xml:space="preserve">, </w:t>
      </w:r>
      <w:r w:rsidRPr="004C511E">
        <w:rPr>
          <w:rFonts w:eastAsia="Palatino Linotype" w:cs="Palatino Linotype"/>
          <w:lang w:val="es-ES"/>
        </w:rPr>
        <w:t>otorgándose</w:t>
      </w:r>
      <w:r w:rsidRPr="004C511E">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4C511E"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593C4D04" w:rsidR="00A970D5" w:rsidRPr="004C511E" w:rsidRDefault="00EB6D7F" w:rsidP="006922F5">
      <w:pPr>
        <w:pStyle w:val="Ttulo2"/>
        <w:rPr>
          <w:rFonts w:eastAsia="Palatino Linotype"/>
        </w:rPr>
      </w:pPr>
      <w:r w:rsidRPr="004C511E">
        <w:rPr>
          <w:rFonts w:eastAsia="Palatino Linotype"/>
        </w:rPr>
        <w:t>QUIN</w:t>
      </w:r>
      <w:r w:rsidR="007A1154" w:rsidRPr="004C511E">
        <w:rPr>
          <w:rFonts w:eastAsia="Palatino Linotype"/>
        </w:rPr>
        <w:t>TO</w:t>
      </w:r>
      <w:r w:rsidR="00A970D5" w:rsidRPr="004C511E">
        <w:rPr>
          <w:rFonts w:eastAsia="Palatino Linotype"/>
        </w:rPr>
        <w:t>. De la etapa de instrucción.</w:t>
      </w:r>
    </w:p>
    <w:p w14:paraId="45C3A73D" w14:textId="3F88DADB" w:rsidR="004C13DE" w:rsidRPr="004C511E" w:rsidRDefault="004C13DE" w:rsidP="5257D7BA">
      <w:pPr>
        <w:pBdr>
          <w:top w:val="nil"/>
          <w:left w:val="nil"/>
          <w:bottom w:val="nil"/>
          <w:right w:val="nil"/>
          <w:between w:val="nil"/>
        </w:pBdr>
        <w:rPr>
          <w:rFonts w:eastAsia="Palatino Linotype" w:cs="Palatino Linotype"/>
          <w:color w:val="000000" w:themeColor="text1"/>
        </w:rPr>
      </w:pPr>
      <w:r w:rsidRPr="004C511E">
        <w:rPr>
          <w:rFonts w:eastAsia="Palatino Linotype" w:cs="Palatino Linotype"/>
          <w:color w:val="000000" w:themeColor="text1"/>
        </w:rPr>
        <w:t xml:space="preserve">Durante la etapa de instrucción, se observa que el </w:t>
      </w:r>
      <w:r w:rsidR="00106AA4" w:rsidRPr="004C511E">
        <w:rPr>
          <w:rFonts w:eastAsia="Palatino Linotype" w:cs="Palatino Linotype"/>
          <w:color w:val="000000" w:themeColor="text1"/>
        </w:rPr>
        <w:t>d</w:t>
      </w:r>
      <w:r w:rsidR="00EB6D7F" w:rsidRPr="004C511E">
        <w:rPr>
          <w:rFonts w:eastAsia="Palatino Linotype" w:cs="Palatino Linotype"/>
          <w:color w:val="000000" w:themeColor="text1"/>
        </w:rPr>
        <w:t>iecinueve de diciembre</w:t>
      </w:r>
      <w:r w:rsidRPr="004C511E">
        <w:rPr>
          <w:rFonts w:eastAsia="Palatino Linotype" w:cs="Palatino Linotype"/>
          <w:color w:val="000000" w:themeColor="text1"/>
        </w:rPr>
        <w:t xml:space="preserve"> de dos mil veinticinco, el Sujeto Obligado rindió su Informe Justificado mediante la presentación de</w:t>
      </w:r>
      <w:r w:rsidR="00106AA4" w:rsidRPr="004C511E">
        <w:rPr>
          <w:rFonts w:eastAsia="Palatino Linotype" w:cs="Palatino Linotype"/>
          <w:color w:val="000000" w:themeColor="text1"/>
        </w:rPr>
        <w:t>l</w:t>
      </w:r>
      <w:r w:rsidRPr="004C511E">
        <w:rPr>
          <w:rFonts w:eastAsia="Palatino Linotype" w:cs="Palatino Linotype"/>
          <w:color w:val="000000" w:themeColor="text1"/>
        </w:rPr>
        <w:t xml:space="preserve"> documento denominado </w:t>
      </w:r>
      <w:r w:rsidRPr="004C511E">
        <w:rPr>
          <w:rFonts w:eastAsia="Palatino Linotype" w:cs="Palatino Linotype"/>
          <w:b/>
          <w:bCs/>
          <w:color w:val="000000" w:themeColor="text1"/>
        </w:rPr>
        <w:t>«</w:t>
      </w:r>
      <w:r w:rsidR="00EB6D7F" w:rsidRPr="004C511E">
        <w:rPr>
          <w:rFonts w:eastAsia="Palatino Linotype" w:cs="Palatino Linotype"/>
          <w:b/>
          <w:bCs/>
          <w:color w:val="000000" w:themeColor="text1"/>
        </w:rPr>
        <w:t>SOL.00431-NEZA-IP-2025.pdf</w:t>
      </w:r>
      <w:r w:rsidRPr="004C511E">
        <w:rPr>
          <w:rFonts w:eastAsia="Palatino Linotype" w:cs="Palatino Linotype"/>
          <w:b/>
          <w:bCs/>
          <w:color w:val="000000" w:themeColor="text1"/>
        </w:rPr>
        <w:t>»</w:t>
      </w:r>
      <w:r w:rsidRPr="004C511E">
        <w:rPr>
          <w:rFonts w:eastAsia="Palatino Linotype" w:cs="Palatino Linotype"/>
          <w:color w:val="000000" w:themeColor="text1"/>
        </w:rPr>
        <w:t>, documentación que fue puesta a la vista del Recurrente mediante acuerdo de fecha</w:t>
      </w:r>
      <w:r w:rsidR="00EB6D7F" w:rsidRPr="004C511E">
        <w:rPr>
          <w:rFonts w:eastAsia="Palatino Linotype" w:cs="Palatino Linotype"/>
          <w:color w:val="000000" w:themeColor="text1"/>
        </w:rPr>
        <w:t xml:space="preserve"> dieciséis de enero de dos mil veintiséis</w:t>
      </w:r>
      <w:r w:rsidRPr="004C511E">
        <w:rPr>
          <w:rFonts w:eastAsia="Palatino Linotype" w:cs="Palatino Linotype"/>
          <w:color w:val="000000" w:themeColor="text1"/>
        </w:rPr>
        <w:t>, en términos de la fracción III del artículo 185 de la Ley de Transparencia estatal,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10350671" w14:textId="77777777" w:rsidR="00EB6D7F" w:rsidRPr="004C511E" w:rsidRDefault="00EB6D7F" w:rsidP="5257D7BA">
      <w:pPr>
        <w:pBdr>
          <w:top w:val="nil"/>
          <w:left w:val="nil"/>
          <w:bottom w:val="nil"/>
          <w:right w:val="nil"/>
          <w:between w:val="nil"/>
        </w:pBdr>
        <w:rPr>
          <w:rFonts w:eastAsia="Palatino Linotype" w:cs="Palatino Linotype"/>
          <w:color w:val="000000"/>
        </w:rPr>
      </w:pPr>
    </w:p>
    <w:p w14:paraId="75BA122E" w14:textId="20D7E86C" w:rsidR="00EB6D7F" w:rsidRPr="004C511E" w:rsidRDefault="00EB6D7F" w:rsidP="00EB6D7F">
      <w:pPr>
        <w:pStyle w:val="Ttulo2"/>
        <w:rPr>
          <w:rFonts w:eastAsia="Palatino Linotype"/>
        </w:rPr>
      </w:pPr>
      <w:r w:rsidRPr="004C511E">
        <w:rPr>
          <w:rFonts w:eastAsiaTheme="minorHAnsi"/>
          <w:lang w:eastAsia="en-US"/>
        </w:rPr>
        <w:t>SEXTO</w:t>
      </w:r>
      <w:r w:rsidRPr="004C511E">
        <w:rPr>
          <w:rFonts w:eastAsia="Palatino Linotype"/>
        </w:rPr>
        <w:t>. Del cierre de instrucción.</w:t>
      </w:r>
    </w:p>
    <w:p w14:paraId="7E586997" w14:textId="4CDEC6E4" w:rsidR="00EB6D7F" w:rsidRPr="004C511E" w:rsidRDefault="00EB6D7F" w:rsidP="00EB6D7F">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 xml:space="preserve">Así, una vez transcurrido el término legal, se decretó el cierre de instrucción el </w:t>
      </w:r>
      <w:r w:rsidRPr="004C511E">
        <w:rPr>
          <w:rFonts w:eastAsia="Palatino Linotype" w:cs="Palatino Linotype"/>
          <w:color w:val="000000" w:themeColor="text1"/>
        </w:rPr>
        <w:t>veintidós de enero de dos mil veintiséis</w:t>
      </w:r>
      <w:r w:rsidRPr="004C511E">
        <w:rPr>
          <w:rFonts w:eastAsia="Palatino Linotype" w:cs="Palatino Linotype"/>
          <w:color w:val="000000"/>
          <w:szCs w:val="24"/>
        </w:rPr>
        <w:t xml:space="preserve">, en términos del artículo 185 fracción VI de la Ley de </w:t>
      </w:r>
      <w:r w:rsidRPr="004C511E">
        <w:rPr>
          <w:rFonts w:eastAsia="Palatino Linotype" w:cs="Palatino Linotype"/>
          <w:color w:val="000000"/>
          <w:szCs w:val="24"/>
        </w:rPr>
        <w:lastRenderedPageBreak/>
        <w:t>Transparencia y Acceso a la Información Pública del Estado de México y Municipios, iniciando el término legal para dictar resolución definitiva del asunto.</w:t>
      </w:r>
    </w:p>
    <w:p w14:paraId="2973A303" w14:textId="77777777" w:rsidR="00066F39" w:rsidRPr="004C511E" w:rsidRDefault="00066F39" w:rsidP="006922F5">
      <w:pPr>
        <w:pBdr>
          <w:top w:val="nil"/>
          <w:left w:val="nil"/>
          <w:bottom w:val="nil"/>
          <w:right w:val="nil"/>
          <w:between w:val="nil"/>
        </w:pBdr>
        <w:contextualSpacing/>
        <w:rPr>
          <w:rFonts w:eastAsia="Palatino Linotype" w:cs="Palatino Linotype"/>
          <w:color w:val="000000"/>
          <w:szCs w:val="24"/>
        </w:rPr>
      </w:pPr>
    </w:p>
    <w:p w14:paraId="5D781C75" w14:textId="500CBA9D" w:rsidR="00701C12" w:rsidRPr="004C511E" w:rsidRDefault="00D1469B" w:rsidP="00701C12">
      <w:pPr>
        <w:pStyle w:val="Ttulo2"/>
        <w:rPr>
          <w:rFonts w:eastAsiaTheme="minorHAnsi"/>
          <w:lang w:eastAsia="en-US"/>
        </w:rPr>
      </w:pPr>
      <w:r w:rsidRPr="004C511E">
        <w:rPr>
          <w:rFonts w:eastAsiaTheme="minorHAnsi"/>
          <w:lang w:eastAsia="en-US"/>
        </w:rPr>
        <w:t>SÉPTIMO</w:t>
      </w:r>
      <w:r w:rsidR="006B2CFA" w:rsidRPr="004C511E">
        <w:rPr>
          <w:rFonts w:eastAsiaTheme="minorHAnsi"/>
          <w:lang w:eastAsia="en-US"/>
        </w:rPr>
        <w:t xml:space="preserve">. </w:t>
      </w:r>
      <w:r w:rsidR="00701C12" w:rsidRPr="004C511E">
        <w:rPr>
          <w:rFonts w:eastAsiaTheme="minorHAnsi"/>
          <w:lang w:eastAsia="en-US"/>
        </w:rPr>
        <w:t>De la ampliación del término para resolver.</w:t>
      </w:r>
    </w:p>
    <w:p w14:paraId="63E8A3C5" w14:textId="5BF7012A" w:rsidR="00701C12" w:rsidRPr="004C511E" w:rsidRDefault="00701C12" w:rsidP="00701C12">
      <w:pPr>
        <w:pBdr>
          <w:top w:val="nil"/>
          <w:left w:val="nil"/>
          <w:bottom w:val="nil"/>
          <w:right w:val="nil"/>
          <w:between w:val="nil"/>
        </w:pBdr>
        <w:contextualSpacing/>
        <w:rPr>
          <w:rFonts w:eastAsiaTheme="minorHAnsi" w:cstheme="minorBidi"/>
          <w:szCs w:val="24"/>
          <w:lang w:eastAsia="en-US"/>
        </w:rPr>
      </w:pPr>
      <w:r w:rsidRPr="004C511E">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EB6D7F" w:rsidRPr="004C511E">
        <w:rPr>
          <w:rFonts w:eastAsia="Palatino Linotype" w:cs="Palatino Linotype"/>
          <w:color w:val="000000" w:themeColor="text1"/>
        </w:rPr>
        <w:t>dieciocho de febrero de dos mil veintiséis</w:t>
      </w:r>
      <w:r w:rsidRPr="004C511E">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6D133E2" w14:textId="77777777" w:rsidR="00CD15AC" w:rsidRPr="004C511E" w:rsidRDefault="00CD15AC" w:rsidP="00701C12">
      <w:pPr>
        <w:pBdr>
          <w:top w:val="nil"/>
          <w:left w:val="nil"/>
          <w:bottom w:val="nil"/>
          <w:right w:val="nil"/>
          <w:between w:val="nil"/>
        </w:pBdr>
        <w:contextualSpacing/>
        <w:rPr>
          <w:rFonts w:eastAsiaTheme="minorHAnsi" w:cstheme="minorBidi"/>
          <w:szCs w:val="24"/>
          <w:lang w:eastAsia="en-US"/>
        </w:rPr>
      </w:pPr>
    </w:p>
    <w:p w14:paraId="16D594B3" w14:textId="77777777" w:rsidR="00701C12" w:rsidRPr="004C511E" w:rsidRDefault="00701C12" w:rsidP="00701C12">
      <w:pPr>
        <w:pStyle w:val="Ttulo1"/>
        <w:rPr>
          <w:rFonts w:eastAsia="Palatino Linotype"/>
          <w:lang w:val="es-ES_tradnl"/>
        </w:rPr>
      </w:pPr>
      <w:r w:rsidRPr="004C511E">
        <w:rPr>
          <w:rFonts w:eastAsia="Palatino Linotype"/>
          <w:lang w:val="es-ES_tradnl"/>
        </w:rPr>
        <w:t>C O N S I D E R A N D O</w:t>
      </w:r>
    </w:p>
    <w:p w14:paraId="1AB65D63" w14:textId="77777777" w:rsidR="00701C12" w:rsidRPr="004C511E"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4C511E" w:rsidRDefault="00701C12" w:rsidP="00701C12">
      <w:pPr>
        <w:pStyle w:val="Ttulo2"/>
        <w:rPr>
          <w:rFonts w:eastAsia="Palatino Linotype"/>
        </w:rPr>
      </w:pPr>
      <w:r w:rsidRPr="004C511E">
        <w:rPr>
          <w:rFonts w:eastAsia="Palatino Linotype"/>
        </w:rPr>
        <w:t>PRIMERO. De la competencia.</w:t>
      </w:r>
    </w:p>
    <w:p w14:paraId="2C15601F" w14:textId="701F5E8C" w:rsidR="003337B6" w:rsidRPr="004C511E" w:rsidRDefault="003337B6" w:rsidP="003337B6">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4C511E">
        <w:rPr>
          <w:rFonts w:eastAsia="Palatino Linotype" w:cs="Palatino Linotype"/>
          <w:color w:val="000000"/>
          <w:szCs w:val="24"/>
        </w:rPr>
        <w:t>cuadragésimo cuarto, cuadragésimo quinto y cuadragésimo sexto</w:t>
      </w:r>
      <w:r w:rsidRPr="004C511E">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w:t>
      </w:r>
      <w:r w:rsidRPr="004C511E">
        <w:rPr>
          <w:rFonts w:eastAsia="Palatino Linotype" w:cs="Palatino Linotype"/>
          <w:color w:val="000000"/>
          <w:szCs w:val="24"/>
        </w:rPr>
        <w:lastRenderedPageBreak/>
        <w:t>Información Pública y Protección de Datos Personales del Estado de México y Municipios.</w:t>
      </w:r>
    </w:p>
    <w:p w14:paraId="79636B37" w14:textId="77777777" w:rsidR="00701C12" w:rsidRPr="004C511E"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4C511E" w:rsidRDefault="00701C12" w:rsidP="00701C12">
      <w:pPr>
        <w:pStyle w:val="Ttulo2"/>
        <w:rPr>
          <w:rFonts w:eastAsia="Palatino Linotype"/>
        </w:rPr>
      </w:pPr>
      <w:r w:rsidRPr="004C511E">
        <w:rPr>
          <w:rFonts w:eastAsia="Palatino Linotype"/>
        </w:rPr>
        <w:t xml:space="preserve">SEGUNDO. Sobre los alcances del recurso de revisión. </w:t>
      </w:r>
    </w:p>
    <w:p w14:paraId="202D86EE" w14:textId="77777777" w:rsidR="00701C12" w:rsidRPr="004C511E" w:rsidRDefault="00701C12" w:rsidP="00701C12">
      <w:r w:rsidRPr="004C511E">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D9E25B7" w14:textId="77777777" w:rsidR="00701C12" w:rsidRPr="004C511E" w:rsidRDefault="00701C12" w:rsidP="00701C12"/>
    <w:p w14:paraId="467F28FA" w14:textId="7DD96A8D" w:rsidR="00701C12" w:rsidRPr="004C511E" w:rsidRDefault="001902BE" w:rsidP="00701C12">
      <w:pPr>
        <w:pStyle w:val="Ttulo2"/>
        <w:rPr>
          <w:rFonts w:eastAsia="Palatino Linotype"/>
        </w:rPr>
      </w:pPr>
      <w:r w:rsidRPr="004C511E">
        <w:rPr>
          <w:rFonts w:eastAsia="Palatino Linotype"/>
        </w:rPr>
        <w:t>TERCERO</w:t>
      </w:r>
      <w:r w:rsidR="00701C12" w:rsidRPr="004C511E">
        <w:rPr>
          <w:rFonts w:eastAsia="Palatino Linotype"/>
        </w:rPr>
        <w:t>. De las causas de improcedencia.</w:t>
      </w:r>
    </w:p>
    <w:p w14:paraId="1753D704" w14:textId="77777777" w:rsidR="00701C12" w:rsidRPr="004C511E" w:rsidRDefault="00701C12" w:rsidP="00701C12">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4C511E"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4C511E" w:rsidRDefault="00701C12" w:rsidP="00701C12">
      <w:pPr>
        <w:pBdr>
          <w:top w:val="nil"/>
          <w:left w:val="nil"/>
          <w:bottom w:val="nil"/>
          <w:right w:val="nil"/>
          <w:between w:val="nil"/>
        </w:pBdr>
        <w:contextualSpacing/>
        <w:rPr>
          <w:rFonts w:eastAsia="Palatino Linotype" w:cs="Palatino Linotype"/>
          <w:color w:val="000000"/>
          <w:lang w:val="es-ES"/>
        </w:rPr>
      </w:pPr>
      <w:r w:rsidRPr="004C511E">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4C511E">
        <w:rPr>
          <w:rFonts w:eastAsia="Palatino Linotype" w:cs="Palatino Linotype"/>
          <w:color w:val="000000"/>
          <w:lang w:val="es-ES"/>
        </w:rPr>
        <w:lastRenderedPageBreak/>
        <w:t>una figura procesal adoptada en la ley de la materia</w:t>
      </w:r>
      <w:r w:rsidRPr="004C511E">
        <w:rPr>
          <w:rFonts w:eastAsia="Palatino Linotype" w:cs="Palatino Linotype"/>
          <w:color w:val="000000"/>
          <w:vertAlign w:val="superscript"/>
          <w:lang w:val="es-ES"/>
        </w:rPr>
        <w:footnoteReference w:id="2"/>
      </w:r>
      <w:r w:rsidRPr="004C511E">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02D09A72" w14:textId="77777777" w:rsidR="00701C12" w:rsidRPr="004C511E"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4C511E" w:rsidRDefault="00701C12" w:rsidP="00701C12">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4C511E"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2CF01DC1" w:rsidR="00701C12" w:rsidRPr="004C511E" w:rsidRDefault="001902BE" w:rsidP="00701C12">
      <w:pPr>
        <w:pStyle w:val="Ttulo2"/>
        <w:rPr>
          <w:rFonts w:eastAsia="Palatino Linotype"/>
        </w:rPr>
      </w:pPr>
      <w:r w:rsidRPr="004C511E">
        <w:rPr>
          <w:rFonts w:eastAsia="Palatino Linotype"/>
        </w:rPr>
        <w:lastRenderedPageBreak/>
        <w:t>CUAR</w:t>
      </w:r>
      <w:r w:rsidR="00701C12" w:rsidRPr="004C511E">
        <w:rPr>
          <w:rFonts w:eastAsia="Palatino Linotype"/>
        </w:rPr>
        <w:t>TO. Estudio y resolución del asunto.</w:t>
      </w:r>
    </w:p>
    <w:p w14:paraId="1946B643" w14:textId="77777777" w:rsidR="00701C12" w:rsidRPr="004C511E" w:rsidRDefault="00701C12" w:rsidP="00701C12">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4C511E" w:rsidRDefault="004A3367" w:rsidP="004A3367">
      <w:pPr>
        <w:rPr>
          <w:rFonts w:eastAsiaTheme="minorHAnsi" w:cstheme="minorBidi"/>
          <w:sz w:val="22"/>
          <w:lang w:eastAsia="en-US"/>
        </w:rPr>
      </w:pPr>
    </w:p>
    <w:p w14:paraId="582C42A0" w14:textId="458C3443" w:rsidR="00270B08" w:rsidRPr="004C511E" w:rsidRDefault="0EE28084" w:rsidP="00F54EF7">
      <w:pPr>
        <w:rPr>
          <w:rFonts w:eastAsiaTheme="minorEastAsia" w:cstheme="minorBidi"/>
          <w:lang w:eastAsia="en-US"/>
        </w:rPr>
      </w:pPr>
      <w:r w:rsidRPr="004C511E">
        <w:rPr>
          <w:rFonts w:eastAsiaTheme="minorEastAsia" w:cstheme="minorBidi"/>
          <w:lang w:val="es-ES" w:eastAsia="en-US"/>
        </w:rPr>
        <w:t xml:space="preserve">En virtud de lo anterior, es conveniente recordar que </w:t>
      </w:r>
      <w:r w:rsidR="008A7F39" w:rsidRPr="004C511E">
        <w:rPr>
          <w:rFonts w:eastAsiaTheme="minorEastAsia" w:cstheme="minorBidi"/>
          <w:lang w:val="es-ES" w:eastAsia="en-US"/>
        </w:rPr>
        <w:t>el Recurrente</w:t>
      </w:r>
      <w:r w:rsidRPr="004C511E">
        <w:rPr>
          <w:rFonts w:eastAsiaTheme="minorEastAsia" w:cstheme="minorBidi"/>
          <w:lang w:val="es-ES" w:eastAsia="en-US"/>
        </w:rPr>
        <w:t xml:space="preserve"> requirió que</w:t>
      </w:r>
      <w:r w:rsidR="00D31CA9" w:rsidRPr="004C511E">
        <w:rPr>
          <w:rFonts w:eastAsiaTheme="minorEastAsia" w:cstheme="minorBidi"/>
          <w:lang w:val="es-ES" w:eastAsia="en-US"/>
        </w:rPr>
        <w:t xml:space="preserve"> </w:t>
      </w:r>
      <w:r w:rsidR="00E40EDA" w:rsidRPr="004C511E">
        <w:rPr>
          <w:rFonts w:eastAsiaTheme="minorEastAsia" w:cstheme="minorBidi"/>
          <w:lang w:val="es-ES" w:eastAsia="en-US"/>
        </w:rPr>
        <w:t>se le proporcionara</w:t>
      </w:r>
      <w:r w:rsidR="001902BE" w:rsidRPr="004C511E">
        <w:rPr>
          <w:rFonts w:eastAsiaTheme="minorEastAsia" w:cstheme="minorBidi"/>
          <w:lang w:val="es-ES" w:eastAsia="en-US"/>
        </w:rPr>
        <w:t xml:space="preserve"> la copia digitalizada de </w:t>
      </w:r>
      <w:r w:rsidR="005910E7" w:rsidRPr="004C511E">
        <w:rPr>
          <w:rFonts w:eastAsiaTheme="minorEastAsia" w:cstheme="minorBidi"/>
          <w:lang w:val="es-ES" w:eastAsia="en-US"/>
        </w:rPr>
        <w:t>las facturas pagadas y en proceso de pago por más de un $1</w:t>
      </w:r>
      <w:r w:rsidR="00E32448" w:rsidRPr="004C511E">
        <w:rPr>
          <w:rFonts w:eastAsiaTheme="minorEastAsia" w:cstheme="minorBidi"/>
          <w:lang w:val="es-ES" w:eastAsia="en-US"/>
        </w:rPr>
        <w:t xml:space="preserve"> 000 000.00 (un millón de pesos </w:t>
      </w:r>
      <w:r w:rsidR="003C5351" w:rsidRPr="004C511E">
        <w:rPr>
          <w:rFonts w:eastAsiaTheme="minorEastAsia" w:cstheme="minorBidi"/>
          <w:lang w:val="es-ES" w:eastAsia="en-US"/>
        </w:rPr>
        <w:t>00/100 M.N.) que se hayan generado durante el periodo comprendido del primero de enero al diez de noviembre de dos mil veinticinco.</w:t>
      </w:r>
    </w:p>
    <w:p w14:paraId="093B1C89" w14:textId="77777777" w:rsidR="00012F8B" w:rsidRPr="004C511E" w:rsidRDefault="00012F8B" w:rsidP="00AA6088">
      <w:pPr>
        <w:pBdr>
          <w:top w:val="nil"/>
          <w:left w:val="nil"/>
          <w:bottom w:val="nil"/>
          <w:right w:val="nil"/>
          <w:between w:val="nil"/>
        </w:pBdr>
        <w:contextualSpacing/>
        <w:rPr>
          <w:rFonts w:eastAsia="Palatino Linotype" w:cs="Palatino Linotype"/>
          <w:color w:val="000000"/>
          <w:szCs w:val="24"/>
        </w:rPr>
      </w:pPr>
    </w:p>
    <w:p w14:paraId="20C4F4CD" w14:textId="77777777" w:rsidR="003C5351" w:rsidRPr="004C511E" w:rsidRDefault="00A970D5" w:rsidP="00F1082C">
      <w:pPr>
        <w:pBdr>
          <w:top w:val="nil"/>
          <w:left w:val="nil"/>
          <w:bottom w:val="nil"/>
          <w:right w:val="nil"/>
          <w:between w:val="nil"/>
        </w:pBdr>
        <w:contextualSpacing/>
        <w:rPr>
          <w:rFonts w:eastAsia="Palatino Linotype" w:cs="Palatino Linotype"/>
          <w:color w:val="000000" w:themeColor="text1"/>
          <w:lang w:val="es-ES"/>
        </w:rPr>
      </w:pPr>
      <w:r w:rsidRPr="004C511E">
        <w:rPr>
          <w:rFonts w:eastAsia="Palatino Linotype" w:cs="Palatino Linotype"/>
          <w:color w:val="000000"/>
          <w:szCs w:val="24"/>
        </w:rPr>
        <w:t xml:space="preserve">A dicha solicitud, el Sujeto Obligado </w:t>
      </w:r>
      <w:r w:rsidR="001C4CBF" w:rsidRPr="004C511E">
        <w:rPr>
          <w:rFonts w:eastAsia="Palatino Linotype" w:cs="Palatino Linotype"/>
          <w:color w:val="000000"/>
          <w:szCs w:val="24"/>
        </w:rPr>
        <w:t>respondió</w:t>
      </w:r>
      <w:r w:rsidR="006D6CD1" w:rsidRPr="004C511E">
        <w:rPr>
          <w:rFonts w:eastAsia="Palatino Linotype" w:cs="Palatino Linotype"/>
          <w:color w:val="000000"/>
          <w:szCs w:val="24"/>
        </w:rPr>
        <w:t xml:space="preserve"> </w:t>
      </w:r>
      <w:r w:rsidR="001F2F39" w:rsidRPr="004C511E">
        <w:rPr>
          <w:rFonts w:eastAsia="Palatino Linotype" w:cs="Palatino Linotype"/>
          <w:color w:val="000000"/>
          <w:szCs w:val="24"/>
        </w:rPr>
        <w:t>mediante la entrega de</w:t>
      </w:r>
      <w:r w:rsidR="003C5351" w:rsidRPr="004C511E">
        <w:rPr>
          <w:rFonts w:eastAsia="Palatino Linotype" w:cs="Palatino Linotype"/>
          <w:color w:val="000000"/>
          <w:szCs w:val="24"/>
        </w:rPr>
        <w:t xml:space="preserve"> los siguientes</w:t>
      </w:r>
      <w:r w:rsidR="002E38DA" w:rsidRPr="004C511E">
        <w:rPr>
          <w:rFonts w:eastAsia="Palatino Linotype" w:cs="Palatino Linotype"/>
          <w:color w:val="000000"/>
          <w:szCs w:val="24"/>
        </w:rPr>
        <w:t xml:space="preserve"> </w:t>
      </w:r>
      <w:r w:rsidR="003B7D26" w:rsidRPr="004C511E">
        <w:rPr>
          <w:rFonts w:eastAsia="Palatino Linotype" w:cs="Palatino Linotype"/>
          <w:color w:val="000000" w:themeColor="text1"/>
          <w:lang w:val="es-ES"/>
        </w:rPr>
        <w:t>documento</w:t>
      </w:r>
      <w:r w:rsidR="003C5351" w:rsidRPr="004C511E">
        <w:rPr>
          <w:rFonts w:eastAsia="Palatino Linotype" w:cs="Palatino Linotype"/>
          <w:color w:val="000000" w:themeColor="text1"/>
          <w:lang w:val="es-ES"/>
        </w:rPr>
        <w:t>s:</w:t>
      </w:r>
    </w:p>
    <w:p w14:paraId="1DDC89B5" w14:textId="77777777" w:rsidR="003C5351" w:rsidRPr="004C511E" w:rsidRDefault="003C5351" w:rsidP="00F1082C">
      <w:pPr>
        <w:pBdr>
          <w:top w:val="nil"/>
          <w:left w:val="nil"/>
          <w:bottom w:val="nil"/>
          <w:right w:val="nil"/>
          <w:between w:val="nil"/>
        </w:pBdr>
        <w:contextualSpacing/>
        <w:rPr>
          <w:rFonts w:eastAsia="Palatino Linotype" w:cs="Palatino Linotype"/>
          <w:color w:val="000000" w:themeColor="text1"/>
          <w:lang w:val="es-ES"/>
        </w:rPr>
      </w:pPr>
    </w:p>
    <w:p w14:paraId="69280DC5" w14:textId="78CE4E69" w:rsidR="003C5351" w:rsidRPr="004C511E" w:rsidRDefault="003C5351" w:rsidP="003C5351">
      <w:pPr>
        <w:pStyle w:val="Prrafodelista"/>
        <w:numPr>
          <w:ilvl w:val="0"/>
          <w:numId w:val="64"/>
        </w:numPr>
        <w:pBdr>
          <w:top w:val="nil"/>
          <w:left w:val="nil"/>
          <w:bottom w:val="nil"/>
          <w:right w:val="nil"/>
          <w:between w:val="nil"/>
        </w:pBdr>
        <w:contextualSpacing/>
        <w:rPr>
          <w:rFonts w:eastAsia="Palatino Linotype" w:cs="Palatino Linotype"/>
          <w:b/>
          <w:bCs/>
          <w:color w:val="000000" w:themeColor="text1"/>
        </w:rPr>
      </w:pPr>
      <w:r w:rsidRPr="004C511E">
        <w:rPr>
          <w:rFonts w:eastAsia="Palatino Linotype" w:cs="Palatino Linotype"/>
          <w:b/>
          <w:bCs/>
          <w:color w:val="000000" w:themeColor="text1"/>
        </w:rPr>
        <w:t>431-25-Completa.pdf</w:t>
      </w:r>
      <w:r w:rsidR="00E944DD" w:rsidRPr="004C511E">
        <w:rPr>
          <w:rFonts w:eastAsia="Palatino Linotype" w:cs="Palatino Linotype"/>
          <w:color w:val="000000" w:themeColor="text1"/>
        </w:rPr>
        <w:t>. Documento que contiene los siguientes elementos:</w:t>
      </w:r>
    </w:p>
    <w:p w14:paraId="71197BF5" w14:textId="77777777" w:rsidR="00B25329" w:rsidRPr="004C511E" w:rsidRDefault="00E944DD" w:rsidP="00E944DD">
      <w:pPr>
        <w:pStyle w:val="Prrafodelista"/>
        <w:numPr>
          <w:ilvl w:val="1"/>
          <w:numId w:val="64"/>
        </w:numPr>
        <w:pBdr>
          <w:top w:val="nil"/>
          <w:left w:val="nil"/>
          <w:bottom w:val="nil"/>
          <w:right w:val="nil"/>
          <w:between w:val="nil"/>
        </w:pBdr>
        <w:contextualSpacing/>
        <w:rPr>
          <w:rFonts w:eastAsia="Palatino Linotype" w:cs="Palatino Linotype"/>
          <w:b/>
          <w:bCs/>
          <w:color w:val="000000" w:themeColor="text1"/>
        </w:rPr>
      </w:pPr>
      <w:r w:rsidRPr="004C511E">
        <w:rPr>
          <w:rFonts w:eastAsia="Palatino Linotype" w:cs="Palatino Linotype"/>
          <w:color w:val="000000" w:themeColor="text1"/>
        </w:rPr>
        <w:t>Escrito de respuesta suscrito por el Titular de la Unidad de Transparencia y Acceso a la Información Pública Municipal</w:t>
      </w:r>
      <w:r w:rsidR="0051081F" w:rsidRPr="004C511E">
        <w:rPr>
          <w:rFonts w:eastAsia="Palatino Linotype" w:cs="Palatino Linotype"/>
          <w:color w:val="000000" w:themeColor="text1"/>
        </w:rPr>
        <w:t xml:space="preserve">, quien </w:t>
      </w:r>
      <w:r w:rsidR="00D65F78" w:rsidRPr="004C511E">
        <w:rPr>
          <w:rFonts w:eastAsia="Palatino Linotype" w:cs="Palatino Linotype"/>
          <w:color w:val="000000" w:themeColor="text1"/>
        </w:rPr>
        <w:t xml:space="preserve">señaló </w:t>
      </w:r>
      <w:r w:rsidR="00B25329" w:rsidRPr="004C511E">
        <w:rPr>
          <w:rFonts w:eastAsia="Palatino Linotype" w:cs="Palatino Linotype"/>
          <w:color w:val="000000" w:themeColor="text1"/>
        </w:rPr>
        <w:t>que se adjuntaba</w:t>
      </w:r>
      <w:r w:rsidR="0051081F" w:rsidRPr="004C511E">
        <w:rPr>
          <w:rFonts w:eastAsia="Palatino Linotype" w:cs="Palatino Linotype"/>
          <w:color w:val="000000" w:themeColor="text1"/>
        </w:rPr>
        <w:t xml:space="preserve"> la respuesta emitida por la Tesorería</w:t>
      </w:r>
      <w:r w:rsidR="00D65F78" w:rsidRPr="004C511E">
        <w:rPr>
          <w:rFonts w:eastAsia="Palatino Linotype" w:cs="Palatino Linotype"/>
          <w:color w:val="000000" w:themeColor="text1"/>
        </w:rPr>
        <w:t xml:space="preserve"> y </w:t>
      </w:r>
      <w:r w:rsidR="00B25329" w:rsidRPr="004C511E">
        <w:rPr>
          <w:rFonts w:eastAsia="Palatino Linotype" w:cs="Palatino Linotype"/>
          <w:color w:val="000000" w:themeColor="text1"/>
        </w:rPr>
        <w:t>el Acta de la Trigésima Novena Sesión Extraordinaria 2025 del Comité de Transparencia.</w:t>
      </w:r>
    </w:p>
    <w:p w14:paraId="1590603C" w14:textId="2FA0311B" w:rsidR="00E944DD" w:rsidRPr="004C511E" w:rsidRDefault="00C57BAE" w:rsidP="00E944DD">
      <w:pPr>
        <w:pStyle w:val="Prrafodelista"/>
        <w:numPr>
          <w:ilvl w:val="1"/>
          <w:numId w:val="64"/>
        </w:numPr>
        <w:pBdr>
          <w:top w:val="nil"/>
          <w:left w:val="nil"/>
          <w:bottom w:val="nil"/>
          <w:right w:val="nil"/>
          <w:between w:val="nil"/>
        </w:pBdr>
        <w:contextualSpacing/>
        <w:rPr>
          <w:rFonts w:eastAsia="Palatino Linotype" w:cs="Palatino Linotype"/>
          <w:b/>
          <w:bCs/>
          <w:color w:val="000000" w:themeColor="text1"/>
        </w:rPr>
      </w:pPr>
      <w:r w:rsidRPr="004C511E">
        <w:rPr>
          <w:rFonts w:eastAsia="Palatino Linotype" w:cs="Palatino Linotype"/>
          <w:color w:val="000000" w:themeColor="text1"/>
        </w:rPr>
        <w:lastRenderedPageBreak/>
        <w:t>Oficio HA/TM/8008/2025 suscrito por la Tesorera Munic</w:t>
      </w:r>
      <w:r w:rsidR="00007234" w:rsidRPr="004C511E">
        <w:rPr>
          <w:rFonts w:eastAsia="Palatino Linotype" w:cs="Palatino Linotype"/>
          <w:color w:val="000000" w:themeColor="text1"/>
        </w:rPr>
        <w:t xml:space="preserve">ipal, mediante el cual </w:t>
      </w:r>
      <w:r w:rsidR="00BB2B51" w:rsidRPr="004C511E">
        <w:rPr>
          <w:rFonts w:eastAsia="Palatino Linotype" w:cs="Palatino Linotype"/>
          <w:color w:val="000000" w:themeColor="text1"/>
        </w:rPr>
        <w:t>refirió que la Subdirectora de Contabilidad General y Presupuesto refirió que la información de las factu</w:t>
      </w:r>
      <w:r w:rsidR="007146CB" w:rsidRPr="004C511E">
        <w:rPr>
          <w:rFonts w:eastAsia="Palatino Linotype" w:cs="Palatino Linotype"/>
          <w:color w:val="000000" w:themeColor="text1"/>
        </w:rPr>
        <w:t>r</w:t>
      </w:r>
      <w:r w:rsidR="00BB2B51" w:rsidRPr="004C511E">
        <w:rPr>
          <w:rFonts w:eastAsia="Palatino Linotype" w:cs="Palatino Linotype"/>
          <w:color w:val="000000" w:themeColor="text1"/>
        </w:rPr>
        <w:t xml:space="preserve">as pagadas </w:t>
      </w:r>
      <w:r w:rsidR="007146CB" w:rsidRPr="004C511E">
        <w:rPr>
          <w:rFonts w:eastAsia="Palatino Linotype" w:cs="Palatino Linotype"/>
          <w:color w:val="000000" w:themeColor="text1"/>
        </w:rPr>
        <w:t>y en proceso de pago por un monto de más de un millón de pesos generadas en el periodo solicitado sobrepasan la ca</w:t>
      </w:r>
      <w:r w:rsidR="00D449EF" w:rsidRPr="004C511E">
        <w:rPr>
          <w:rFonts w:eastAsia="Palatino Linotype" w:cs="Palatino Linotype"/>
          <w:color w:val="000000" w:themeColor="text1"/>
        </w:rPr>
        <w:t>pacidad del SAIMEX, siendo aproximadamente 55 498</w:t>
      </w:r>
      <w:r w:rsidR="008529E5" w:rsidRPr="004C511E">
        <w:rPr>
          <w:rFonts w:eastAsia="Palatino Linotype" w:cs="Palatino Linotype"/>
          <w:color w:val="000000" w:themeColor="text1"/>
        </w:rPr>
        <w:t>, por lo que se solicitó el cambio de modalidad a consulta directa</w:t>
      </w:r>
      <w:r w:rsidR="002766AE" w:rsidRPr="004C511E">
        <w:rPr>
          <w:rFonts w:eastAsia="Palatino Linotype" w:cs="Palatino Linotype"/>
          <w:color w:val="000000" w:themeColor="text1"/>
        </w:rPr>
        <w:t xml:space="preserve">; asimismo, se </w:t>
      </w:r>
      <w:r w:rsidR="00B3719C" w:rsidRPr="004C511E">
        <w:rPr>
          <w:rFonts w:eastAsia="Palatino Linotype" w:cs="Palatino Linotype"/>
          <w:color w:val="000000" w:themeColor="text1"/>
        </w:rPr>
        <w:t xml:space="preserve">dio la opción de otras modalidades para la entrega de la información, </w:t>
      </w:r>
      <w:r w:rsidR="007B727C" w:rsidRPr="004C511E">
        <w:rPr>
          <w:rFonts w:eastAsia="Palatino Linotype" w:cs="Palatino Linotype"/>
          <w:color w:val="000000" w:themeColor="text1"/>
        </w:rPr>
        <w:t>así como la ubicación, horarios y el nombre de los servidores públicos que atendería al solicitante</w:t>
      </w:r>
      <w:r w:rsidR="009E2610" w:rsidRPr="004C511E">
        <w:rPr>
          <w:rFonts w:eastAsia="Palatino Linotype" w:cs="Palatino Linotype"/>
          <w:color w:val="000000" w:themeColor="text1"/>
        </w:rPr>
        <w:t xml:space="preserve"> y el procedimiento de pago en el supuesto de requerir copias simples o certificadas de la información</w:t>
      </w:r>
      <w:r w:rsidR="00AD1153" w:rsidRPr="004C511E">
        <w:rPr>
          <w:rFonts w:eastAsia="Palatino Linotype" w:cs="Palatino Linotype"/>
          <w:color w:val="000000" w:themeColor="text1"/>
        </w:rPr>
        <w:t xml:space="preserve"> y el plazo en el que la información estará disponible para su consulta</w:t>
      </w:r>
      <w:r w:rsidR="00156F4D" w:rsidRPr="004C511E">
        <w:rPr>
          <w:rFonts w:eastAsia="Palatino Linotype" w:cs="Palatino Linotype"/>
          <w:color w:val="000000" w:themeColor="text1"/>
        </w:rPr>
        <w:t>.</w:t>
      </w:r>
    </w:p>
    <w:p w14:paraId="5C769DBE" w14:textId="0EBEA70F" w:rsidR="003C5351" w:rsidRPr="004C511E" w:rsidRDefault="003C5351" w:rsidP="00F22619">
      <w:pPr>
        <w:pStyle w:val="Prrafodelista"/>
        <w:numPr>
          <w:ilvl w:val="0"/>
          <w:numId w:val="64"/>
        </w:numPr>
        <w:pBdr>
          <w:top w:val="nil"/>
          <w:left w:val="nil"/>
          <w:bottom w:val="nil"/>
          <w:right w:val="nil"/>
          <w:between w:val="nil"/>
        </w:pBdr>
        <w:contextualSpacing/>
        <w:rPr>
          <w:rFonts w:eastAsia="Palatino Linotype" w:cs="Palatino Linotype"/>
          <w:color w:val="000000" w:themeColor="text1"/>
        </w:rPr>
      </w:pPr>
      <w:r w:rsidRPr="004C511E">
        <w:rPr>
          <w:rFonts w:eastAsia="Palatino Linotype" w:cs="Palatino Linotype"/>
          <w:b/>
          <w:bCs/>
          <w:color w:val="000000" w:themeColor="text1"/>
        </w:rPr>
        <w:t>ACT-CT-NEZA-XXXIX-2025.pdf</w:t>
      </w:r>
      <w:r w:rsidR="00E944DD" w:rsidRPr="004C511E">
        <w:rPr>
          <w:rFonts w:eastAsia="Palatino Linotype" w:cs="Palatino Linotype"/>
          <w:color w:val="000000" w:themeColor="text1"/>
        </w:rPr>
        <w:t>.</w:t>
      </w:r>
      <w:r w:rsidR="00161D85" w:rsidRPr="004C511E">
        <w:rPr>
          <w:rFonts w:eastAsia="Palatino Linotype" w:cs="Palatino Linotype"/>
          <w:color w:val="000000" w:themeColor="text1"/>
        </w:rPr>
        <w:t xml:space="preserve"> Acta de la Trigésima Novena Sesión Extraordinaria 2025 del Comité de Transparenc</w:t>
      </w:r>
      <w:r w:rsidR="00A47286" w:rsidRPr="004C511E">
        <w:rPr>
          <w:rFonts w:eastAsia="Palatino Linotype" w:cs="Palatino Linotype"/>
          <w:color w:val="000000" w:themeColor="text1"/>
        </w:rPr>
        <w:t xml:space="preserve">ia celebrada el veinticuatro de noviembre de dos mil veinticinco, en la que en el </w:t>
      </w:r>
      <w:r w:rsidR="003373B7" w:rsidRPr="004C511E">
        <w:rPr>
          <w:rFonts w:eastAsia="Palatino Linotype" w:cs="Palatino Linotype"/>
          <w:color w:val="000000" w:themeColor="text1"/>
        </w:rPr>
        <w:t xml:space="preserve">punto III del Orden del Dia se </w:t>
      </w:r>
      <w:r w:rsidR="007075A0" w:rsidRPr="004C511E">
        <w:rPr>
          <w:rFonts w:eastAsia="Palatino Linotype" w:cs="Palatino Linotype"/>
          <w:color w:val="000000" w:themeColor="text1"/>
        </w:rPr>
        <w:t>emitió el Acuerdo ACT/CT/NEZA/EXT/XXXIX/2025</w:t>
      </w:r>
      <w:r w:rsidR="004A46BB" w:rsidRPr="004C511E">
        <w:rPr>
          <w:rFonts w:eastAsia="Palatino Linotype" w:cs="Palatino Linotype"/>
          <w:color w:val="000000" w:themeColor="text1"/>
        </w:rPr>
        <w:t xml:space="preserve"> con el que se aprobó el </w:t>
      </w:r>
      <w:r w:rsidR="004B7C52" w:rsidRPr="004C511E">
        <w:rPr>
          <w:rFonts w:eastAsia="Palatino Linotype" w:cs="Palatino Linotype"/>
          <w:color w:val="000000" w:themeColor="text1"/>
        </w:rPr>
        <w:t>cambio de modalidad de entrega de la información como consulta directa, así como los lineamientos y políticas señalados para el desarrollo de dicha diligencia, respecto a la propuesta presentada por Tesorera Municipal.</w:t>
      </w:r>
    </w:p>
    <w:p w14:paraId="1530F183" w14:textId="77777777" w:rsidR="003B7D26" w:rsidRPr="004C511E" w:rsidRDefault="003B7D26"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386266B6" w:rsidR="00A970D5" w:rsidRPr="004C511E" w:rsidRDefault="44E9108F" w:rsidP="44E9108F">
      <w:pPr>
        <w:pBdr>
          <w:top w:val="nil"/>
          <w:left w:val="nil"/>
          <w:bottom w:val="nil"/>
          <w:right w:val="nil"/>
          <w:between w:val="nil"/>
        </w:pBdr>
        <w:contextualSpacing/>
        <w:rPr>
          <w:rFonts w:eastAsia="Palatino Linotype" w:cs="Palatino Linotype"/>
          <w:color w:val="000000"/>
          <w:lang w:val="es-ES"/>
        </w:rPr>
      </w:pPr>
      <w:r w:rsidRPr="004C511E">
        <w:rPr>
          <w:rFonts w:eastAsia="Palatino Linotype" w:cs="Palatino Linotype"/>
          <w:color w:val="000000" w:themeColor="text1"/>
          <w:lang w:val="es-ES"/>
        </w:rPr>
        <w:t>Ante la respuesta em</w:t>
      </w:r>
      <w:r w:rsidR="002623AA" w:rsidRPr="004C511E">
        <w:rPr>
          <w:rFonts w:eastAsia="Palatino Linotype" w:cs="Palatino Linotype"/>
          <w:color w:val="000000" w:themeColor="text1"/>
          <w:lang w:val="es-ES"/>
        </w:rPr>
        <w:t xml:space="preserve">itida por el Sujeto Obligado, </w:t>
      </w:r>
      <w:r w:rsidR="008A7F39" w:rsidRPr="004C511E">
        <w:rPr>
          <w:rFonts w:eastAsia="Palatino Linotype" w:cs="Palatino Linotype"/>
          <w:color w:val="000000" w:themeColor="text1"/>
          <w:lang w:val="es-ES"/>
        </w:rPr>
        <w:t>el Recurrente</w:t>
      </w:r>
      <w:r w:rsidRPr="004C511E">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4C511E">
        <w:rPr>
          <w:rFonts w:eastAsia="Palatino Linotype" w:cs="Palatino Linotype"/>
          <w:color w:val="000000" w:themeColor="text1"/>
          <w:lang w:val="es-ES"/>
        </w:rPr>
        <w:t xml:space="preserve"> </w:t>
      </w:r>
      <w:r w:rsidR="007B44E0" w:rsidRPr="004C511E">
        <w:rPr>
          <w:rFonts w:eastAsia="Palatino Linotype" w:cs="Palatino Linotype"/>
          <w:color w:val="000000" w:themeColor="text1"/>
          <w:lang w:val="es-ES"/>
        </w:rPr>
        <w:t xml:space="preserve">la respuesta a la solicitud </w:t>
      </w:r>
      <w:r w:rsidR="00BB1959" w:rsidRPr="004C511E">
        <w:rPr>
          <w:rFonts w:eastAsia="Palatino Linotype" w:cs="Palatino Linotype"/>
          <w:color w:val="000000" w:themeColor="text1"/>
          <w:lang w:val="es-ES"/>
        </w:rPr>
        <w:t xml:space="preserve">y </w:t>
      </w:r>
      <w:r w:rsidR="003526EA" w:rsidRPr="004C511E">
        <w:rPr>
          <w:rFonts w:eastAsia="Palatino Linotype" w:cs="Palatino Linotype"/>
          <w:color w:val="000000" w:themeColor="text1"/>
          <w:lang w:val="es-ES"/>
        </w:rPr>
        <w:t>dando como</w:t>
      </w:r>
      <w:r w:rsidR="001C407C" w:rsidRPr="004C511E">
        <w:rPr>
          <w:rFonts w:eastAsia="Palatino Linotype" w:cs="Palatino Linotype"/>
          <w:color w:val="000000" w:themeColor="text1"/>
          <w:lang w:val="es-ES"/>
        </w:rPr>
        <w:t xml:space="preserve"> razones o motivos de inconformidad que </w:t>
      </w:r>
      <w:r w:rsidR="0076299E" w:rsidRPr="004C511E">
        <w:rPr>
          <w:rFonts w:eastAsia="Palatino Linotype" w:cs="Palatino Linotype"/>
          <w:color w:val="000000" w:themeColor="text1"/>
          <w:lang w:val="es-ES"/>
        </w:rPr>
        <w:t>el Sujeto Obligado modificó la modalidad de entr</w:t>
      </w:r>
      <w:r w:rsidR="0043218D" w:rsidRPr="004C511E">
        <w:rPr>
          <w:rFonts w:eastAsia="Palatino Linotype" w:cs="Palatino Linotype"/>
          <w:color w:val="000000" w:themeColor="text1"/>
          <w:lang w:val="es-ES"/>
        </w:rPr>
        <w:t>ega sin que los argumentos acrediten la necesidad del cambio.</w:t>
      </w:r>
    </w:p>
    <w:p w14:paraId="4A6500B8" w14:textId="77777777" w:rsidR="008F50E6" w:rsidRPr="004C511E" w:rsidRDefault="008F50E6" w:rsidP="00A04222"/>
    <w:p w14:paraId="2DED32FE" w14:textId="77777777" w:rsidR="00736065" w:rsidRPr="004C511E" w:rsidRDefault="00E41A7A" w:rsidP="00BE576A">
      <w:pPr>
        <w:pBdr>
          <w:top w:val="nil"/>
          <w:left w:val="nil"/>
          <w:bottom w:val="nil"/>
          <w:right w:val="nil"/>
          <w:between w:val="nil"/>
        </w:pBdr>
        <w:contextualSpacing/>
        <w:rPr>
          <w:rFonts w:eastAsia="Palatino Linotype" w:cs="Palatino Linotype"/>
          <w:color w:val="000000" w:themeColor="text1"/>
          <w:lang w:val="es-ES"/>
        </w:rPr>
      </w:pPr>
      <w:r w:rsidRPr="004C511E">
        <w:t xml:space="preserve">Durante la etapa de manifestaciones, el </w:t>
      </w:r>
      <w:r w:rsidR="00A75DF5" w:rsidRPr="004C511E">
        <w:t xml:space="preserve">Sujeto Obligado rindió su Informe Justificado mediante la entrega </w:t>
      </w:r>
      <w:r w:rsidR="001C15BA" w:rsidRPr="004C511E">
        <w:rPr>
          <w:rFonts w:eastAsia="Palatino Linotype" w:cs="Palatino Linotype"/>
          <w:color w:val="000000"/>
          <w:szCs w:val="24"/>
        </w:rPr>
        <w:t xml:space="preserve">del documento denominado </w:t>
      </w:r>
      <w:r w:rsidR="00864554" w:rsidRPr="004C511E">
        <w:rPr>
          <w:rFonts w:eastAsia="Palatino Linotype" w:cs="Palatino Linotype"/>
          <w:b/>
          <w:bCs/>
          <w:color w:val="000000" w:themeColor="text1"/>
        </w:rPr>
        <w:t>«SOL.00431-NEZA-IP-2025.pdf»</w:t>
      </w:r>
      <w:r w:rsidR="00864554" w:rsidRPr="004C511E">
        <w:rPr>
          <w:rFonts w:eastAsia="Palatino Linotype" w:cs="Palatino Linotype"/>
          <w:color w:val="000000" w:themeColor="text1"/>
        </w:rPr>
        <w:t xml:space="preserve">, </w:t>
      </w:r>
      <w:r w:rsidR="00EA1245" w:rsidRPr="004C511E">
        <w:rPr>
          <w:rFonts w:eastAsia="Palatino Linotype" w:cs="Palatino Linotype"/>
          <w:color w:val="000000" w:themeColor="text1"/>
          <w:lang w:val="es-ES"/>
        </w:rPr>
        <w:t xml:space="preserve">que </w:t>
      </w:r>
      <w:r w:rsidR="00736065" w:rsidRPr="004C511E">
        <w:rPr>
          <w:rFonts w:eastAsia="Palatino Linotype" w:cs="Palatino Linotype"/>
          <w:color w:val="000000" w:themeColor="text1"/>
          <w:lang w:val="es-ES"/>
        </w:rPr>
        <w:t>contiene lo siguiente:</w:t>
      </w:r>
    </w:p>
    <w:p w14:paraId="0498238D" w14:textId="77777777" w:rsidR="00736065" w:rsidRPr="004C511E" w:rsidRDefault="00736065" w:rsidP="00BE576A">
      <w:pPr>
        <w:pBdr>
          <w:top w:val="nil"/>
          <w:left w:val="nil"/>
          <w:bottom w:val="nil"/>
          <w:right w:val="nil"/>
          <w:between w:val="nil"/>
        </w:pBdr>
        <w:contextualSpacing/>
        <w:rPr>
          <w:rFonts w:eastAsia="Palatino Linotype" w:cs="Palatino Linotype"/>
          <w:color w:val="000000" w:themeColor="text1"/>
          <w:lang w:val="es-ES"/>
        </w:rPr>
      </w:pPr>
    </w:p>
    <w:p w14:paraId="744F107D" w14:textId="09BCCCA2" w:rsidR="00736065" w:rsidRPr="004C511E" w:rsidRDefault="00E66502" w:rsidP="00736065">
      <w:pPr>
        <w:pStyle w:val="Prrafodelista"/>
        <w:numPr>
          <w:ilvl w:val="0"/>
          <w:numId w:val="67"/>
        </w:numPr>
        <w:pBdr>
          <w:top w:val="nil"/>
          <w:left w:val="nil"/>
          <w:bottom w:val="nil"/>
          <w:right w:val="nil"/>
          <w:between w:val="nil"/>
        </w:pBdr>
        <w:contextualSpacing/>
        <w:rPr>
          <w:rFonts w:eastAsia="Palatino Linotype" w:cs="Palatino Linotype"/>
          <w:color w:val="000000" w:themeColor="text1"/>
        </w:rPr>
      </w:pPr>
      <w:r w:rsidRPr="004C511E">
        <w:rPr>
          <w:rFonts w:eastAsia="Palatino Linotype" w:cs="Palatino Linotype"/>
          <w:color w:val="000000" w:themeColor="text1"/>
        </w:rPr>
        <w:t xml:space="preserve">Oficio HA/TM/8762/2025 emitido por la Tesorera Municipal, con el que refirió remitir las actas circunstanciadas de fecha cuatro, cinco y ocho de diciembre de dos mil veinticinco </w:t>
      </w:r>
      <w:r w:rsidR="00931085" w:rsidRPr="004C511E">
        <w:rPr>
          <w:rFonts w:eastAsia="Palatino Linotype" w:cs="Palatino Linotype"/>
          <w:color w:val="000000" w:themeColor="text1"/>
        </w:rPr>
        <w:t>en las que se hizo constar que el solicitante no se presentó a consultar la información en los horarios establecidos.</w:t>
      </w:r>
    </w:p>
    <w:p w14:paraId="2321F705" w14:textId="08D1EEB5" w:rsidR="00BF5FDD" w:rsidRPr="004C511E" w:rsidRDefault="00BF5FDD" w:rsidP="00736065">
      <w:pPr>
        <w:pStyle w:val="Prrafodelista"/>
        <w:numPr>
          <w:ilvl w:val="0"/>
          <w:numId w:val="67"/>
        </w:numPr>
        <w:pBdr>
          <w:top w:val="nil"/>
          <w:left w:val="nil"/>
          <w:bottom w:val="nil"/>
          <w:right w:val="nil"/>
          <w:between w:val="nil"/>
        </w:pBdr>
        <w:contextualSpacing/>
        <w:rPr>
          <w:rFonts w:eastAsia="Palatino Linotype" w:cs="Palatino Linotype"/>
          <w:color w:val="000000" w:themeColor="text1"/>
        </w:rPr>
      </w:pPr>
      <w:r w:rsidRPr="004C511E">
        <w:rPr>
          <w:rFonts w:eastAsia="Palatino Linotype" w:cs="Palatino Linotype"/>
          <w:color w:val="000000" w:themeColor="text1"/>
        </w:rPr>
        <w:t>Acta circunstanciad</w:t>
      </w:r>
      <w:r w:rsidR="00027CC1" w:rsidRPr="004C511E">
        <w:rPr>
          <w:rFonts w:eastAsia="Palatino Linotype" w:cs="Palatino Linotype"/>
          <w:color w:val="000000" w:themeColor="text1"/>
        </w:rPr>
        <w:t>a</w:t>
      </w:r>
      <w:r w:rsidRPr="004C511E">
        <w:rPr>
          <w:rFonts w:eastAsia="Palatino Linotype" w:cs="Palatino Linotype"/>
          <w:color w:val="000000" w:themeColor="text1"/>
        </w:rPr>
        <w:t xml:space="preserve"> del cuatro de diciembre de dos mil veinticinco en la que se asentó que el solicitante no acudió a la consulta de la información </w:t>
      </w:r>
      <w:r w:rsidR="00027CC1" w:rsidRPr="004C511E">
        <w:rPr>
          <w:rFonts w:eastAsia="Palatino Linotype" w:cs="Palatino Linotype"/>
          <w:color w:val="000000" w:themeColor="text1"/>
        </w:rPr>
        <w:t>requerida en la solicitud 00431/NEZA/IP/2025.</w:t>
      </w:r>
    </w:p>
    <w:p w14:paraId="425E4E83" w14:textId="242EDEB7" w:rsidR="00027CC1" w:rsidRPr="004C511E" w:rsidRDefault="00027CC1" w:rsidP="00027CC1">
      <w:pPr>
        <w:pStyle w:val="Prrafodelista"/>
        <w:numPr>
          <w:ilvl w:val="0"/>
          <w:numId w:val="67"/>
        </w:numPr>
        <w:pBdr>
          <w:top w:val="nil"/>
          <w:left w:val="nil"/>
          <w:bottom w:val="nil"/>
          <w:right w:val="nil"/>
          <w:between w:val="nil"/>
        </w:pBdr>
        <w:contextualSpacing/>
        <w:rPr>
          <w:rFonts w:eastAsia="Palatino Linotype" w:cs="Palatino Linotype"/>
          <w:color w:val="000000" w:themeColor="text1"/>
        </w:rPr>
      </w:pPr>
      <w:r w:rsidRPr="004C511E">
        <w:rPr>
          <w:rFonts w:eastAsia="Palatino Linotype" w:cs="Palatino Linotype"/>
          <w:color w:val="000000" w:themeColor="text1"/>
        </w:rPr>
        <w:t>Acta circunstanciada del c</w:t>
      </w:r>
      <w:r w:rsidR="003F3A90" w:rsidRPr="004C511E">
        <w:rPr>
          <w:rFonts w:eastAsia="Palatino Linotype" w:cs="Palatino Linotype"/>
          <w:color w:val="000000" w:themeColor="text1"/>
        </w:rPr>
        <w:t>inco</w:t>
      </w:r>
      <w:r w:rsidRPr="004C511E">
        <w:rPr>
          <w:rFonts w:eastAsia="Palatino Linotype" w:cs="Palatino Linotype"/>
          <w:color w:val="000000" w:themeColor="text1"/>
        </w:rPr>
        <w:t xml:space="preserve"> de diciembre de dos mil veinticinco en la que se asentó que el solicitante no acudió a la consulta de la información requerida en la solicitud 00431/NEZA/IP/2025.</w:t>
      </w:r>
    </w:p>
    <w:p w14:paraId="364E94D0" w14:textId="4029C9DE" w:rsidR="00027CC1" w:rsidRPr="004C511E" w:rsidRDefault="00027CC1" w:rsidP="00027CC1">
      <w:pPr>
        <w:pStyle w:val="Prrafodelista"/>
        <w:numPr>
          <w:ilvl w:val="0"/>
          <w:numId w:val="67"/>
        </w:numPr>
        <w:pBdr>
          <w:top w:val="nil"/>
          <w:left w:val="nil"/>
          <w:bottom w:val="nil"/>
          <w:right w:val="nil"/>
          <w:between w:val="nil"/>
        </w:pBdr>
        <w:contextualSpacing/>
        <w:rPr>
          <w:rFonts w:eastAsia="Palatino Linotype" w:cs="Palatino Linotype"/>
          <w:color w:val="000000" w:themeColor="text1"/>
        </w:rPr>
      </w:pPr>
      <w:r w:rsidRPr="004C511E">
        <w:rPr>
          <w:rFonts w:eastAsia="Palatino Linotype" w:cs="Palatino Linotype"/>
          <w:color w:val="000000" w:themeColor="text1"/>
        </w:rPr>
        <w:t xml:space="preserve">Acta circunstanciada del </w:t>
      </w:r>
      <w:r w:rsidR="003F3A90" w:rsidRPr="004C511E">
        <w:rPr>
          <w:rFonts w:eastAsia="Palatino Linotype" w:cs="Palatino Linotype"/>
          <w:color w:val="000000" w:themeColor="text1"/>
        </w:rPr>
        <w:t>ocho</w:t>
      </w:r>
      <w:r w:rsidRPr="004C511E">
        <w:rPr>
          <w:rFonts w:eastAsia="Palatino Linotype" w:cs="Palatino Linotype"/>
          <w:color w:val="000000" w:themeColor="text1"/>
        </w:rPr>
        <w:t xml:space="preserve"> de diciembre de dos mil veinticinco en la que se asentó que el solicitante no acudió a la consulta de la información requerida en la solicitud 00431/NEZA/IP/2025.</w:t>
      </w:r>
    </w:p>
    <w:p w14:paraId="6914145E" w14:textId="7CFCA17F" w:rsidR="00027CC1" w:rsidRPr="004C511E" w:rsidRDefault="005C0F44" w:rsidP="00736065">
      <w:pPr>
        <w:pStyle w:val="Prrafodelista"/>
        <w:numPr>
          <w:ilvl w:val="0"/>
          <w:numId w:val="67"/>
        </w:numPr>
        <w:pBdr>
          <w:top w:val="nil"/>
          <w:left w:val="nil"/>
          <w:bottom w:val="nil"/>
          <w:right w:val="nil"/>
          <w:between w:val="nil"/>
        </w:pBdr>
        <w:contextualSpacing/>
        <w:rPr>
          <w:rFonts w:eastAsia="Palatino Linotype" w:cs="Palatino Linotype"/>
          <w:color w:val="000000" w:themeColor="text1"/>
        </w:rPr>
      </w:pPr>
      <w:r w:rsidRPr="004C511E">
        <w:rPr>
          <w:rFonts w:eastAsia="Palatino Linotype" w:cs="Palatino Linotype"/>
          <w:color w:val="000000" w:themeColor="text1"/>
        </w:rPr>
        <w:t xml:space="preserve">Oficio </w:t>
      </w:r>
      <w:r w:rsidR="00F562AA" w:rsidRPr="004C511E">
        <w:rPr>
          <w:rFonts w:eastAsia="Palatino Linotype" w:cs="Palatino Linotype"/>
          <w:color w:val="000000" w:themeColor="text1"/>
        </w:rPr>
        <w:t>NEZ/1174/UTAIPM/2025</w:t>
      </w:r>
      <w:r w:rsidR="00B4467B" w:rsidRPr="004C511E">
        <w:rPr>
          <w:rFonts w:eastAsia="Palatino Linotype" w:cs="Palatino Linotype"/>
          <w:color w:val="000000" w:themeColor="text1"/>
        </w:rPr>
        <w:t xml:space="preserve"> suscrito por </w:t>
      </w:r>
      <w:r w:rsidR="00041C7A" w:rsidRPr="004C511E">
        <w:rPr>
          <w:rFonts w:eastAsia="Palatino Linotype" w:cs="Palatino Linotype"/>
          <w:color w:val="000000" w:themeColor="text1"/>
        </w:rPr>
        <w:t xml:space="preserve">el Titular de la Unidad de Transparencia y Acceso a la Información Pública Municipal, mediante el cual </w:t>
      </w:r>
      <w:r w:rsidR="00550C0E" w:rsidRPr="004C511E">
        <w:rPr>
          <w:rFonts w:eastAsia="Palatino Linotype" w:cs="Palatino Linotype"/>
          <w:color w:val="000000" w:themeColor="text1"/>
        </w:rPr>
        <w:t xml:space="preserve">manifestó que con las documentales que se acompañan se demuestra que </w:t>
      </w:r>
      <w:r w:rsidR="00631D03" w:rsidRPr="004C511E">
        <w:rPr>
          <w:rFonts w:eastAsia="Palatino Linotype" w:cs="Palatino Linotype"/>
          <w:color w:val="000000" w:themeColor="text1"/>
        </w:rPr>
        <w:t>la solicitud de información se atendió con oportunidad, diligencia y c</w:t>
      </w:r>
      <w:r w:rsidR="009C24CB" w:rsidRPr="004C511E">
        <w:rPr>
          <w:rFonts w:eastAsia="Palatino Linotype" w:cs="Palatino Linotype"/>
          <w:color w:val="000000" w:themeColor="text1"/>
        </w:rPr>
        <w:t xml:space="preserve">alma; además de que </w:t>
      </w:r>
      <w:r w:rsidR="009F69D8" w:rsidRPr="004C511E">
        <w:rPr>
          <w:rFonts w:eastAsia="Palatino Linotype" w:cs="Palatino Linotype"/>
          <w:color w:val="000000" w:themeColor="text1"/>
        </w:rPr>
        <w:t xml:space="preserve">el recurso de revisión interpuesto no actualiza ninguno de los supuestos </w:t>
      </w:r>
      <w:r w:rsidR="009F69D8" w:rsidRPr="004C511E">
        <w:rPr>
          <w:rFonts w:eastAsia="Palatino Linotype" w:cs="Palatino Linotype"/>
          <w:color w:val="000000" w:themeColor="text1"/>
        </w:rPr>
        <w:lastRenderedPageBreak/>
        <w:t>establecidos en al artículo 192 de la Ley de la materia, por lo que solicita que sea</w:t>
      </w:r>
      <w:r w:rsidR="008A2FCB" w:rsidRPr="004C511E">
        <w:rPr>
          <w:rFonts w:eastAsia="Palatino Linotype" w:cs="Palatino Linotype"/>
          <w:color w:val="000000" w:themeColor="text1"/>
        </w:rPr>
        <w:t xml:space="preserve"> sobreseído por improcedente.</w:t>
      </w:r>
    </w:p>
    <w:p w14:paraId="4A7BEF71" w14:textId="77777777" w:rsidR="00E41A7A" w:rsidRPr="004C511E" w:rsidRDefault="00E41A7A" w:rsidP="00BE576A">
      <w:pPr>
        <w:pBdr>
          <w:top w:val="nil"/>
          <w:left w:val="nil"/>
          <w:bottom w:val="nil"/>
          <w:right w:val="nil"/>
          <w:between w:val="nil"/>
        </w:pBdr>
        <w:contextualSpacing/>
        <w:rPr>
          <w:rFonts w:eastAsia="Palatino Linotype" w:cs="Palatino Linotype"/>
          <w:color w:val="000000"/>
          <w:szCs w:val="24"/>
        </w:rPr>
      </w:pPr>
    </w:p>
    <w:p w14:paraId="02C281BA" w14:textId="2C7A8F0D" w:rsidR="006100FC" w:rsidRPr="004C511E" w:rsidRDefault="006100FC" w:rsidP="006100FC">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4C511E">
        <w:rPr>
          <w:rFonts w:eastAsia="Palatino Linotype" w:cs="Palatino Linotype"/>
          <w:color w:val="000000"/>
          <w:szCs w:val="24"/>
        </w:rPr>
        <w:t>el Recurrente</w:t>
      </w:r>
      <w:r w:rsidRPr="004C511E">
        <w:rPr>
          <w:rFonts w:eastAsia="Palatino Linotype" w:cs="Palatino Linotype"/>
          <w:color w:val="000000"/>
          <w:szCs w:val="24"/>
        </w:rPr>
        <w:t>, así como calificar los motivos de inconformidad de</w:t>
      </w:r>
      <w:r w:rsidR="009B0882" w:rsidRPr="004C511E">
        <w:rPr>
          <w:rFonts w:eastAsia="Palatino Linotype" w:cs="Palatino Linotype"/>
          <w:color w:val="000000"/>
          <w:szCs w:val="24"/>
        </w:rPr>
        <w:t xml:space="preserve"> </w:t>
      </w:r>
      <w:r w:rsidR="00504E6B" w:rsidRPr="004C511E">
        <w:rPr>
          <w:rFonts w:eastAsia="Palatino Linotype" w:cs="Palatino Linotype"/>
          <w:color w:val="000000"/>
          <w:szCs w:val="24"/>
        </w:rPr>
        <w:t>el particular</w:t>
      </w:r>
      <w:r w:rsidRPr="004C511E">
        <w:rPr>
          <w:rFonts w:eastAsia="Palatino Linotype" w:cs="Palatino Linotype"/>
          <w:color w:val="000000"/>
          <w:szCs w:val="24"/>
        </w:rPr>
        <w:t xml:space="preserve">. </w:t>
      </w:r>
    </w:p>
    <w:p w14:paraId="7AF7731E" w14:textId="77777777" w:rsidR="006100FC" w:rsidRPr="004C511E"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4C511E" w:rsidRDefault="006100FC" w:rsidP="006100FC">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rPr>
        <w:t xml:space="preserve">En este sentido, es pertinente enfatizar lo que, respecto al derecho de acceso a la información pública, refiere el artículo </w:t>
      </w:r>
      <w:r w:rsidR="00E00EC1" w:rsidRPr="004C511E">
        <w:rPr>
          <w:rFonts w:eastAsia="Palatino Linotype" w:cs="Palatino Linotype"/>
          <w:color w:val="000000"/>
          <w:szCs w:val="24"/>
        </w:rPr>
        <w:t>5</w:t>
      </w:r>
      <w:r w:rsidRPr="004C511E">
        <w:rPr>
          <w:rFonts w:eastAsia="Palatino Linotype" w:cs="Palatino Linotype"/>
          <w:color w:val="000000"/>
          <w:szCs w:val="24"/>
        </w:rPr>
        <w:t>° de la Constitución Política del Estado Libre y Soberano de México</w:t>
      </w:r>
      <w:r w:rsidR="00E00EC1" w:rsidRPr="004C511E">
        <w:rPr>
          <w:rFonts w:eastAsia="Palatino Linotype" w:cs="Palatino Linotype"/>
          <w:color w:val="000000"/>
          <w:szCs w:val="24"/>
        </w:rPr>
        <w:t>, que</w:t>
      </w:r>
      <w:r w:rsidRPr="004C511E">
        <w:rPr>
          <w:rFonts w:eastAsia="Palatino Linotype" w:cs="Palatino Linotype"/>
          <w:color w:val="000000"/>
          <w:szCs w:val="24"/>
        </w:rPr>
        <w:t xml:space="preserve"> en su parte conducente</w:t>
      </w:r>
      <w:r w:rsidR="00E00EC1" w:rsidRPr="004C511E">
        <w:rPr>
          <w:rFonts w:eastAsia="Palatino Linotype" w:cs="Palatino Linotype"/>
          <w:color w:val="000000"/>
          <w:szCs w:val="24"/>
        </w:rPr>
        <w:t xml:space="preserve"> dispone</w:t>
      </w:r>
      <w:r w:rsidRPr="004C511E">
        <w:rPr>
          <w:rFonts w:eastAsia="Palatino Linotype" w:cs="Palatino Linotype"/>
          <w:color w:val="000000"/>
          <w:szCs w:val="24"/>
        </w:rPr>
        <w:t xml:space="preserve"> lo siguiente:</w:t>
      </w:r>
    </w:p>
    <w:p w14:paraId="5DA101FA" w14:textId="77777777" w:rsidR="006100FC" w:rsidRPr="004C511E"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4C511E" w:rsidRDefault="006100FC" w:rsidP="006100FC">
      <w:pPr>
        <w:pStyle w:val="Fundamentos"/>
      </w:pPr>
      <w:r w:rsidRPr="004C511E">
        <w:rPr>
          <w:b/>
          <w:bCs/>
        </w:rPr>
        <w:t>Artículo 5.</w:t>
      </w:r>
      <w:r w:rsidRPr="004C511E">
        <w:t xml:space="preserve"> […]</w:t>
      </w:r>
    </w:p>
    <w:p w14:paraId="1839D29E" w14:textId="77777777" w:rsidR="006100FC" w:rsidRPr="004C511E" w:rsidRDefault="006100FC" w:rsidP="006100FC">
      <w:pPr>
        <w:pStyle w:val="Fundamentos"/>
      </w:pPr>
    </w:p>
    <w:p w14:paraId="7D51A6D3" w14:textId="77777777" w:rsidR="006100FC" w:rsidRPr="004C511E" w:rsidRDefault="006100FC" w:rsidP="006100FC">
      <w:pPr>
        <w:pStyle w:val="Fundamentos"/>
      </w:pPr>
      <w:r w:rsidRPr="004C511E">
        <w:t xml:space="preserve">El derecho a la información será garantizado por el Estado. La ley establecerá las previsiones que permitan asegurar la protección, el respeto y la difusión de este derecho. </w:t>
      </w:r>
    </w:p>
    <w:p w14:paraId="4079EC08" w14:textId="77777777" w:rsidR="006100FC" w:rsidRPr="004C511E" w:rsidRDefault="006100FC" w:rsidP="006100FC">
      <w:pPr>
        <w:pStyle w:val="Fundamentos"/>
      </w:pPr>
    </w:p>
    <w:p w14:paraId="2060C0A8" w14:textId="77777777" w:rsidR="006100FC" w:rsidRPr="004C511E" w:rsidRDefault="006100FC" w:rsidP="006100FC">
      <w:pPr>
        <w:pStyle w:val="Fundamentos"/>
      </w:pPr>
      <w:r w:rsidRPr="004C511E">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4C511E" w:rsidRDefault="006100FC" w:rsidP="006100FC">
      <w:pPr>
        <w:pStyle w:val="Fundamentos"/>
      </w:pPr>
    </w:p>
    <w:p w14:paraId="31D381A6" w14:textId="77777777" w:rsidR="006100FC" w:rsidRPr="004C511E" w:rsidRDefault="006100FC" w:rsidP="006100FC">
      <w:pPr>
        <w:pStyle w:val="Fundamentos"/>
      </w:pPr>
      <w:r w:rsidRPr="004C511E">
        <w:t>Este derecho se regirá por los principios y bases siguientes:</w:t>
      </w:r>
    </w:p>
    <w:p w14:paraId="1A21896F" w14:textId="77777777" w:rsidR="006100FC" w:rsidRPr="004C511E" w:rsidRDefault="006100FC" w:rsidP="006100FC">
      <w:pPr>
        <w:pStyle w:val="Fundamentos"/>
      </w:pPr>
    </w:p>
    <w:p w14:paraId="13A22FC8" w14:textId="77777777" w:rsidR="006100FC" w:rsidRPr="004C511E" w:rsidRDefault="006100FC" w:rsidP="006100FC">
      <w:pPr>
        <w:pStyle w:val="Fundamentos"/>
      </w:pPr>
      <w:r w:rsidRPr="004C511E">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w:t>
      </w:r>
      <w:r w:rsidRPr="004C511E">
        <w:lastRenderedPageBreak/>
        <w:t>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4C511E" w:rsidRDefault="006100FC" w:rsidP="006100FC">
      <w:pPr>
        <w:pStyle w:val="Fundamentos"/>
      </w:pPr>
      <w:r w:rsidRPr="004C511E">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4C511E" w:rsidRDefault="006100FC" w:rsidP="006100FC">
      <w:pPr>
        <w:pStyle w:val="Fundamentos"/>
        <w:rPr>
          <w:lang w:val="es-ES"/>
        </w:rPr>
      </w:pPr>
      <w:r w:rsidRPr="004C511E">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4C511E" w:rsidRDefault="006100FC" w:rsidP="006100FC">
      <w:pPr>
        <w:pStyle w:val="Fundamentos"/>
      </w:pPr>
      <w:r w:rsidRPr="004C511E">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4C511E" w:rsidRDefault="006100FC" w:rsidP="006100FC">
      <w:pPr>
        <w:pStyle w:val="Fundamentos"/>
      </w:pPr>
      <w:r w:rsidRPr="004C511E">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4C511E" w:rsidRDefault="006100FC" w:rsidP="006100FC">
      <w:pPr>
        <w:pStyle w:val="Fundamentos"/>
      </w:pPr>
      <w:r w:rsidRPr="004C511E">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4C511E" w:rsidRDefault="006100FC" w:rsidP="006100FC">
      <w:pPr>
        <w:pStyle w:val="Fundamentos"/>
        <w:rPr>
          <w:lang w:val="es-ES"/>
        </w:rPr>
      </w:pPr>
      <w:r w:rsidRPr="004C511E">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4C511E" w:rsidRDefault="006100FC" w:rsidP="006100FC">
      <w:pPr>
        <w:pBdr>
          <w:top w:val="nil"/>
          <w:left w:val="nil"/>
          <w:bottom w:val="nil"/>
          <w:right w:val="nil"/>
          <w:between w:val="nil"/>
        </w:pBdr>
        <w:contextualSpacing/>
        <w:rPr>
          <w:rFonts w:eastAsia="Palatino Linotype" w:cs="Palatino Linotype"/>
          <w:color w:val="000000"/>
          <w:szCs w:val="24"/>
        </w:rPr>
      </w:pPr>
    </w:p>
    <w:p w14:paraId="73356CE9" w14:textId="77777777" w:rsidR="00D20BF9" w:rsidRPr="004C511E" w:rsidRDefault="00D20BF9" w:rsidP="00D20BF9">
      <w:pPr>
        <w:rPr>
          <w:rFonts w:eastAsia="Palatino Linotype" w:cs="Palatino Linotype"/>
          <w:szCs w:val="24"/>
        </w:rPr>
      </w:pPr>
      <w:r w:rsidRPr="004C511E">
        <w:rPr>
          <w:rFonts w:eastAsia="Palatino Linotype" w:cs="Palatino Linotype"/>
          <w:szCs w:val="24"/>
        </w:rPr>
        <w:t>En ese orden de ideas, la Ley de Transparencia y Acceso a la Información Pública del Estado de México y Municipios, prevé en su artículo 23, fracción IV, lo siguiente:</w:t>
      </w:r>
    </w:p>
    <w:p w14:paraId="63A00BCC" w14:textId="77777777" w:rsidR="00D20BF9" w:rsidRPr="004C511E" w:rsidRDefault="00D20BF9" w:rsidP="00D20BF9">
      <w:pPr>
        <w:rPr>
          <w:rFonts w:eastAsia="Palatino Linotype" w:cs="Palatino Linotype"/>
          <w:szCs w:val="24"/>
        </w:rPr>
      </w:pPr>
    </w:p>
    <w:p w14:paraId="0DF17332" w14:textId="77777777" w:rsidR="00D20BF9" w:rsidRPr="004C511E" w:rsidRDefault="00D20BF9" w:rsidP="00D20BF9">
      <w:pPr>
        <w:pStyle w:val="Fundamentos"/>
      </w:pPr>
      <w:r w:rsidRPr="004C511E">
        <w:rPr>
          <w:b/>
        </w:rPr>
        <w:t>Artículo 23.</w:t>
      </w:r>
      <w:r w:rsidRPr="004C511E">
        <w:t xml:space="preserve"> Son sujetos obligados a transparentar y permitir el acceso a su información y proteger los datos personales que obren en su poder:</w:t>
      </w:r>
    </w:p>
    <w:p w14:paraId="02DCEFBA" w14:textId="77777777" w:rsidR="00D20BF9" w:rsidRPr="004C511E" w:rsidRDefault="00D20BF9" w:rsidP="00D20BF9">
      <w:pPr>
        <w:pStyle w:val="Fundamentos"/>
      </w:pPr>
      <w:r w:rsidRPr="004C511E">
        <w:t>[…]</w:t>
      </w:r>
    </w:p>
    <w:p w14:paraId="70E56CA3" w14:textId="77777777" w:rsidR="00D20BF9" w:rsidRPr="004C511E" w:rsidRDefault="00D20BF9" w:rsidP="00D20BF9">
      <w:pPr>
        <w:pStyle w:val="Fundamentos"/>
      </w:pPr>
      <w:r w:rsidRPr="004C511E">
        <w:rPr>
          <w:b/>
          <w:bCs/>
        </w:rPr>
        <w:t xml:space="preserve">IV. </w:t>
      </w:r>
      <w:r w:rsidRPr="004C511E">
        <w:t>Los ayuntamientos y las dependencias, organismos, órganos y entidades de la administración municipal;</w:t>
      </w:r>
    </w:p>
    <w:p w14:paraId="2C85A0A8" w14:textId="77777777" w:rsidR="00D20BF9" w:rsidRPr="004C511E" w:rsidRDefault="00D20BF9" w:rsidP="00D20BF9">
      <w:pPr>
        <w:pStyle w:val="Fundamentos"/>
      </w:pPr>
      <w:r w:rsidRPr="004C511E">
        <w:t>[…]</w:t>
      </w:r>
    </w:p>
    <w:p w14:paraId="1D71059B" w14:textId="77777777" w:rsidR="00D20BF9" w:rsidRPr="004C511E" w:rsidRDefault="00D20BF9" w:rsidP="00D20BF9">
      <w:pPr>
        <w:pBdr>
          <w:top w:val="nil"/>
          <w:left w:val="nil"/>
          <w:bottom w:val="nil"/>
          <w:right w:val="nil"/>
          <w:between w:val="nil"/>
        </w:pBdr>
        <w:contextualSpacing/>
        <w:rPr>
          <w:rFonts w:eastAsia="Palatino Linotype" w:cs="Palatino Linotype"/>
          <w:color w:val="000000"/>
          <w:szCs w:val="24"/>
        </w:rPr>
      </w:pPr>
    </w:p>
    <w:p w14:paraId="13F0C41B" w14:textId="77777777" w:rsidR="00D20BF9" w:rsidRPr="004C511E" w:rsidRDefault="00D20BF9" w:rsidP="00D20BF9">
      <w:pPr>
        <w:rPr>
          <w:szCs w:val="24"/>
        </w:rPr>
      </w:pPr>
      <w:r w:rsidRPr="004C511E">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16A00D83" w14:textId="77777777" w:rsidR="00D20BF9" w:rsidRPr="004C511E" w:rsidRDefault="00D20BF9" w:rsidP="00D20BF9">
      <w:pPr>
        <w:rPr>
          <w:szCs w:val="24"/>
        </w:rPr>
      </w:pPr>
    </w:p>
    <w:p w14:paraId="15331BEE" w14:textId="77777777" w:rsidR="00D20BF9" w:rsidRPr="004C511E" w:rsidRDefault="00D20BF9" w:rsidP="00D20BF9">
      <w:pPr>
        <w:rPr>
          <w:szCs w:val="24"/>
        </w:rPr>
      </w:pPr>
      <w:r w:rsidRPr="004C511E">
        <w:rPr>
          <w:szCs w:val="24"/>
        </w:rPr>
        <w:t>Asimismo, de la interpretación al acto impugnado y a los motivos de inconformidad expresados por el Recurrente, se estima que en el presente caso se actualizó la causal de procedencia del recurso de revisión prevista en la fracción VIII del artículo 179 de la Ley de Transparencia local, que a la letra estipula lo siguiente:</w:t>
      </w:r>
    </w:p>
    <w:p w14:paraId="64C33BEC" w14:textId="77777777" w:rsidR="00D20BF9" w:rsidRPr="004C511E" w:rsidRDefault="00D20BF9" w:rsidP="00D20BF9"/>
    <w:p w14:paraId="30DEAAFF" w14:textId="77777777" w:rsidR="00D20BF9" w:rsidRPr="004C511E" w:rsidRDefault="00D20BF9" w:rsidP="00D20BF9">
      <w:pPr>
        <w:pStyle w:val="Fundamentos"/>
        <w:rPr>
          <w:lang w:val="es-MX"/>
        </w:rPr>
      </w:pPr>
      <w:r w:rsidRPr="004C511E">
        <w:rPr>
          <w:b/>
          <w:lang w:val="es-MX"/>
        </w:rPr>
        <w:t xml:space="preserve">Artículo 179. </w:t>
      </w:r>
      <w:r w:rsidRPr="004C511E">
        <w:rPr>
          <w:lang w:val="es-MX"/>
        </w:rPr>
        <w:t>El recurso de revisión es un medio de protección que la Ley otorga a los particulares, para hacer valer su derecho de acceso a la información pública, y procederá en contra de las siguientes causas:</w:t>
      </w:r>
    </w:p>
    <w:p w14:paraId="6952BF71" w14:textId="77777777" w:rsidR="00D20BF9" w:rsidRPr="004C511E" w:rsidRDefault="00D20BF9" w:rsidP="00D20BF9">
      <w:pPr>
        <w:pStyle w:val="Fundamentos"/>
        <w:rPr>
          <w:lang w:val="es-MX"/>
        </w:rPr>
      </w:pPr>
      <w:r w:rsidRPr="004C511E">
        <w:rPr>
          <w:lang w:val="es-MX"/>
        </w:rPr>
        <w:t>[…]</w:t>
      </w:r>
    </w:p>
    <w:p w14:paraId="268744D8" w14:textId="77777777" w:rsidR="00D20BF9" w:rsidRPr="004C511E" w:rsidRDefault="00D20BF9" w:rsidP="00D20BF9">
      <w:pPr>
        <w:pStyle w:val="Fundamentos"/>
      </w:pPr>
      <w:r w:rsidRPr="004C511E">
        <w:rPr>
          <w:b/>
          <w:lang w:val="es-ES"/>
        </w:rPr>
        <w:t>VIII.</w:t>
      </w:r>
      <w:r w:rsidRPr="004C511E">
        <w:rPr>
          <w:lang w:val="es-ES"/>
        </w:rPr>
        <w:t xml:space="preserve"> La notificación, entrega o puesta a disposición de información en una modalidad o formato distinto al solicitado;</w:t>
      </w:r>
    </w:p>
    <w:p w14:paraId="2E68D070" w14:textId="77777777" w:rsidR="00D20BF9" w:rsidRPr="004C511E" w:rsidRDefault="00D20BF9" w:rsidP="00D20BF9">
      <w:pPr>
        <w:pStyle w:val="Fundamentos"/>
      </w:pPr>
      <w:r w:rsidRPr="004C511E">
        <w:t>[…]</w:t>
      </w:r>
    </w:p>
    <w:p w14:paraId="0611147C" w14:textId="77777777" w:rsidR="00D20BF9" w:rsidRPr="004C511E" w:rsidRDefault="00D20BF9" w:rsidP="00D20BF9"/>
    <w:p w14:paraId="584B8A93" w14:textId="77777777" w:rsidR="00D20BF9" w:rsidRPr="004C511E" w:rsidRDefault="00D20BF9" w:rsidP="00D20BF9">
      <w:pPr>
        <w:pBdr>
          <w:top w:val="nil"/>
          <w:left w:val="nil"/>
          <w:bottom w:val="nil"/>
          <w:right w:val="nil"/>
          <w:between w:val="nil"/>
        </w:pBdr>
        <w:contextualSpacing/>
        <w:rPr>
          <w:szCs w:val="24"/>
        </w:rPr>
      </w:pPr>
      <w:r w:rsidRPr="004C511E">
        <w:rPr>
          <w:rFonts w:eastAsia="Palatino Linotype" w:cs="Palatino Linotype"/>
          <w:color w:val="000000"/>
          <w:szCs w:val="24"/>
        </w:rPr>
        <w:t xml:space="preserve">En ese sentido, también </w:t>
      </w:r>
      <w:r w:rsidRPr="004C511E">
        <w:rPr>
          <w:bCs/>
          <w:szCs w:val="24"/>
        </w:rPr>
        <w:t xml:space="preserve">es importante señalar que </w:t>
      </w:r>
      <w:r w:rsidRPr="004C511E">
        <w:rPr>
          <w:szCs w:val="24"/>
        </w:rPr>
        <w:t>el artículo 4, párrafo segundo, de la Ley de Transparencia local dispone lo siguiente:</w:t>
      </w:r>
    </w:p>
    <w:p w14:paraId="651005B6" w14:textId="77777777" w:rsidR="00D20BF9" w:rsidRPr="004C511E" w:rsidRDefault="00D20BF9" w:rsidP="00D20BF9">
      <w:pPr>
        <w:pBdr>
          <w:top w:val="nil"/>
          <w:left w:val="nil"/>
          <w:bottom w:val="nil"/>
          <w:right w:val="nil"/>
          <w:between w:val="nil"/>
        </w:pBdr>
        <w:contextualSpacing/>
        <w:rPr>
          <w:szCs w:val="24"/>
        </w:rPr>
      </w:pPr>
    </w:p>
    <w:p w14:paraId="32B80EEE" w14:textId="77777777" w:rsidR="00D20BF9" w:rsidRPr="004C511E" w:rsidRDefault="00D20BF9" w:rsidP="00D20BF9">
      <w:pPr>
        <w:pBdr>
          <w:top w:val="nil"/>
          <w:left w:val="nil"/>
          <w:bottom w:val="nil"/>
          <w:right w:val="nil"/>
          <w:between w:val="nil"/>
        </w:pBdr>
        <w:spacing w:line="240" w:lineRule="auto"/>
        <w:ind w:left="567" w:right="616"/>
        <w:contextualSpacing/>
        <w:rPr>
          <w:i/>
          <w:sz w:val="22"/>
        </w:rPr>
      </w:pPr>
      <w:r w:rsidRPr="004C511E">
        <w:rPr>
          <w:b/>
          <w:i/>
          <w:sz w:val="22"/>
        </w:rPr>
        <w:t xml:space="preserve">Artículo 4. </w:t>
      </w:r>
      <w:r w:rsidRPr="004C511E">
        <w:rPr>
          <w:i/>
          <w:sz w:val="22"/>
        </w:rPr>
        <w:t>[…]</w:t>
      </w:r>
    </w:p>
    <w:p w14:paraId="5A2184F2" w14:textId="77777777" w:rsidR="00D20BF9" w:rsidRPr="004C511E" w:rsidRDefault="00D20BF9" w:rsidP="00D20BF9">
      <w:pPr>
        <w:pBdr>
          <w:top w:val="nil"/>
          <w:left w:val="nil"/>
          <w:bottom w:val="nil"/>
          <w:right w:val="nil"/>
          <w:between w:val="nil"/>
        </w:pBdr>
        <w:spacing w:line="240" w:lineRule="auto"/>
        <w:ind w:left="567" w:right="616"/>
        <w:contextualSpacing/>
        <w:rPr>
          <w:i/>
          <w:sz w:val="22"/>
        </w:rPr>
      </w:pPr>
    </w:p>
    <w:p w14:paraId="52F61280" w14:textId="77777777" w:rsidR="00D20BF9" w:rsidRPr="004C511E" w:rsidRDefault="00D20BF9" w:rsidP="00D20BF9">
      <w:pPr>
        <w:pBdr>
          <w:top w:val="nil"/>
          <w:left w:val="nil"/>
          <w:bottom w:val="nil"/>
          <w:right w:val="nil"/>
          <w:between w:val="nil"/>
        </w:pBdr>
        <w:spacing w:line="240" w:lineRule="auto"/>
        <w:ind w:left="567" w:right="616"/>
        <w:contextualSpacing/>
        <w:rPr>
          <w:i/>
          <w:sz w:val="22"/>
        </w:rPr>
      </w:pPr>
      <w:r w:rsidRPr="004C511E">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w:t>
      </w:r>
      <w:r w:rsidRPr="004C511E">
        <w:rPr>
          <w:i/>
          <w:sz w:val="22"/>
        </w:rPr>
        <w:lastRenderedPageBreak/>
        <w:t xml:space="preserve">Estado mexicano sea parte, en la Ley General, la presente Ley y demás disposiciones de la materia, privilegiando el principio de máxima publicidad de la información. </w:t>
      </w:r>
    </w:p>
    <w:p w14:paraId="4530A97E" w14:textId="77777777" w:rsidR="00D20BF9" w:rsidRPr="004C511E" w:rsidRDefault="00D20BF9" w:rsidP="00D20BF9">
      <w:pPr>
        <w:pBdr>
          <w:top w:val="nil"/>
          <w:left w:val="nil"/>
          <w:bottom w:val="nil"/>
          <w:right w:val="nil"/>
          <w:between w:val="nil"/>
        </w:pBdr>
        <w:spacing w:line="240" w:lineRule="auto"/>
        <w:ind w:left="567" w:right="616"/>
        <w:contextualSpacing/>
        <w:rPr>
          <w:i/>
          <w:sz w:val="22"/>
        </w:rPr>
      </w:pPr>
    </w:p>
    <w:p w14:paraId="76E31D50" w14:textId="77777777" w:rsidR="00D20BF9" w:rsidRPr="004C511E" w:rsidRDefault="00D20BF9" w:rsidP="00D20BF9">
      <w:pPr>
        <w:pBdr>
          <w:top w:val="nil"/>
          <w:left w:val="nil"/>
          <w:bottom w:val="nil"/>
          <w:right w:val="nil"/>
          <w:between w:val="nil"/>
        </w:pBdr>
        <w:spacing w:line="240" w:lineRule="auto"/>
        <w:ind w:left="567" w:right="616"/>
        <w:contextualSpacing/>
        <w:rPr>
          <w:i/>
          <w:sz w:val="22"/>
        </w:rPr>
      </w:pPr>
      <w:r w:rsidRPr="004C511E">
        <w:rPr>
          <w:i/>
          <w:sz w:val="22"/>
        </w:rPr>
        <w:t>Solo podrá ser clasificada excepcionalmente como reservada temporalmente por razones de interés público, en los términos de las causas legítimas y estrictamente necesarias previstas por esta Ley.</w:t>
      </w:r>
    </w:p>
    <w:p w14:paraId="01E87E67" w14:textId="77777777" w:rsidR="00D20BF9" w:rsidRPr="004C511E" w:rsidRDefault="00D20BF9" w:rsidP="00D20BF9">
      <w:pPr>
        <w:pBdr>
          <w:top w:val="nil"/>
          <w:left w:val="nil"/>
          <w:bottom w:val="nil"/>
          <w:right w:val="nil"/>
          <w:between w:val="nil"/>
        </w:pBdr>
        <w:contextualSpacing/>
        <w:rPr>
          <w:szCs w:val="24"/>
        </w:rPr>
      </w:pPr>
    </w:p>
    <w:p w14:paraId="4F45DDF4" w14:textId="77777777" w:rsidR="00D20BF9" w:rsidRPr="004C511E" w:rsidRDefault="00D20BF9" w:rsidP="00D20BF9">
      <w:pPr>
        <w:rPr>
          <w:rFonts w:cs="Arial"/>
          <w:i/>
        </w:rPr>
      </w:pPr>
      <w:r w:rsidRPr="004C511E">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660BDBF" w14:textId="77777777" w:rsidR="00D20BF9" w:rsidRPr="004C511E" w:rsidRDefault="00D20BF9" w:rsidP="00D20BF9">
      <w:pPr>
        <w:rPr>
          <w:rFonts w:cs="Arial"/>
          <w:iCs/>
        </w:rPr>
      </w:pPr>
    </w:p>
    <w:p w14:paraId="085C2CA5" w14:textId="77777777" w:rsidR="00D20BF9" w:rsidRPr="004C511E" w:rsidRDefault="00D20BF9" w:rsidP="00D20BF9">
      <w:pPr>
        <w:rPr>
          <w:rFonts w:cs="Arial"/>
          <w:szCs w:val="24"/>
        </w:rPr>
      </w:pPr>
      <w:r w:rsidRPr="004C511E">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3296AC4" w14:textId="77777777" w:rsidR="00D20BF9" w:rsidRPr="004C511E" w:rsidRDefault="00D20BF9" w:rsidP="00D20BF9">
      <w:pPr>
        <w:spacing w:line="259" w:lineRule="auto"/>
        <w:ind w:right="567"/>
        <w:rPr>
          <w:rFonts w:cs="Arial"/>
          <w:szCs w:val="24"/>
        </w:rPr>
      </w:pPr>
    </w:p>
    <w:p w14:paraId="76F1BD36" w14:textId="77777777" w:rsidR="00D20BF9" w:rsidRPr="004C511E" w:rsidRDefault="00D20BF9" w:rsidP="00D20BF9">
      <w:pPr>
        <w:spacing w:line="240" w:lineRule="auto"/>
        <w:ind w:left="567" w:right="567"/>
        <w:rPr>
          <w:rFonts w:cs="Arial"/>
          <w:i/>
          <w:color w:val="000000"/>
          <w:sz w:val="22"/>
        </w:rPr>
      </w:pPr>
      <w:r w:rsidRPr="004C511E">
        <w:rPr>
          <w:rFonts w:cs="Arial"/>
          <w:b/>
          <w:i/>
          <w:color w:val="000000"/>
          <w:sz w:val="22"/>
        </w:rPr>
        <w:t>Artículo 12.</w:t>
      </w:r>
      <w:r w:rsidRPr="004C511E">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32F4C2EB" w14:textId="77777777" w:rsidR="00D20BF9" w:rsidRPr="004C511E" w:rsidRDefault="00D20BF9" w:rsidP="00D20BF9">
      <w:pPr>
        <w:spacing w:line="240" w:lineRule="auto"/>
        <w:ind w:left="567" w:right="567"/>
        <w:rPr>
          <w:rFonts w:cs="Arial"/>
          <w:i/>
          <w:sz w:val="22"/>
        </w:rPr>
      </w:pPr>
    </w:p>
    <w:p w14:paraId="72E68669" w14:textId="77777777" w:rsidR="00D20BF9" w:rsidRPr="004C511E" w:rsidRDefault="00D20BF9" w:rsidP="00D20BF9">
      <w:pPr>
        <w:spacing w:line="240" w:lineRule="auto"/>
        <w:ind w:left="567" w:right="567"/>
        <w:rPr>
          <w:rFonts w:cs="Arial"/>
          <w:i/>
          <w:iCs/>
          <w:sz w:val="22"/>
          <w:lang w:val="es-ES"/>
        </w:rPr>
      </w:pPr>
      <w:r w:rsidRPr="004C511E">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0BF7092" w14:textId="77777777" w:rsidR="00D20BF9" w:rsidRPr="004C511E" w:rsidRDefault="00D20BF9" w:rsidP="00D20BF9">
      <w:pPr>
        <w:rPr>
          <w:rFonts w:cs="Arial"/>
          <w:color w:val="000000"/>
        </w:rPr>
      </w:pPr>
    </w:p>
    <w:p w14:paraId="1B4E3F46" w14:textId="77777777" w:rsidR="00D20BF9" w:rsidRPr="004C511E" w:rsidRDefault="00D20BF9" w:rsidP="00D20BF9">
      <w:pPr>
        <w:rPr>
          <w:rFonts w:cs="Arial"/>
          <w:color w:val="000000"/>
        </w:rPr>
      </w:pPr>
      <w:r w:rsidRPr="004C511E">
        <w:rPr>
          <w:rFonts w:cs="Arial"/>
          <w:color w:val="000000"/>
        </w:rPr>
        <w:t xml:space="preserve">En síntesis, el derecho de acceso a la información pública se satisface en aquellos casos en que se entregue el soporte documental en que conste la información pública, toda vez </w:t>
      </w:r>
      <w:r w:rsidRPr="004C511E">
        <w:rPr>
          <w:rFonts w:cs="Arial"/>
          <w:color w:val="000000"/>
        </w:rPr>
        <w:lastRenderedPageBreak/>
        <w:t>que, los Sujetos Obligados</w:t>
      </w:r>
      <w:r w:rsidRPr="004C511E">
        <w:rPr>
          <w:rFonts w:cs="Arial"/>
          <w:b/>
          <w:color w:val="000000"/>
        </w:rPr>
        <w:t xml:space="preserve"> </w:t>
      </w:r>
      <w:r w:rsidRPr="004C511E">
        <w:rPr>
          <w:rFonts w:cs="Arial"/>
          <w:color w:val="000000"/>
        </w:rPr>
        <w:t xml:space="preserve">no tienen el deber de generar, poseer o administrar la información pública con el grado de detalle solicitado; esto es, que no tienen el deber de generar un documento </w:t>
      </w:r>
      <w:r w:rsidRPr="004C511E">
        <w:rPr>
          <w:rFonts w:cs="Arial"/>
          <w:i/>
          <w:color w:val="000000"/>
        </w:rPr>
        <w:t>ad hoc</w:t>
      </w:r>
      <w:r w:rsidRPr="004C511E">
        <w:rPr>
          <w:rFonts w:cs="Arial"/>
          <w:color w:val="000000"/>
        </w:rPr>
        <w:t>, para satisfacer el derecho de acceso a la información pública.</w:t>
      </w:r>
    </w:p>
    <w:p w14:paraId="23DE16AE" w14:textId="77777777" w:rsidR="00D20BF9" w:rsidRPr="004C511E" w:rsidRDefault="00D20BF9" w:rsidP="00D20BF9">
      <w:pPr>
        <w:rPr>
          <w:rFonts w:cs="Arial"/>
          <w:color w:val="000000"/>
        </w:rPr>
      </w:pPr>
    </w:p>
    <w:p w14:paraId="1A18D82C" w14:textId="77777777" w:rsidR="00D20BF9" w:rsidRPr="004C511E" w:rsidRDefault="00D20BF9" w:rsidP="00D20BF9">
      <w:pPr>
        <w:rPr>
          <w:b/>
          <w:bCs/>
          <w:color w:val="000000"/>
        </w:rPr>
      </w:pPr>
      <w:r w:rsidRPr="004C511E">
        <w:rPr>
          <w:rFonts w:cs="Arial"/>
          <w:color w:val="000000"/>
        </w:rPr>
        <w:t xml:space="preserve">Como apoyo a lo anterior, es aplicable el Criterio 03-17, emitido por </w:t>
      </w:r>
      <w:r w:rsidRPr="004C511E">
        <w:rPr>
          <w:rFonts w:eastAsia="Arial Unicode MS" w:cs="Arial"/>
          <w:color w:val="000000"/>
        </w:rPr>
        <w:t>el Instituto Nacional de Transparencia, Acceso a la Información y Protección de Datos Personales,</w:t>
      </w:r>
      <w:r w:rsidRPr="004C511E">
        <w:rPr>
          <w:bCs/>
          <w:color w:val="000000"/>
        </w:rPr>
        <w:t xml:space="preserve"> que dice:</w:t>
      </w:r>
      <w:r w:rsidRPr="004C511E">
        <w:rPr>
          <w:b/>
          <w:bCs/>
          <w:color w:val="000000"/>
        </w:rPr>
        <w:t xml:space="preserve"> </w:t>
      </w:r>
    </w:p>
    <w:p w14:paraId="4629C3FC" w14:textId="77777777" w:rsidR="00D20BF9" w:rsidRPr="004C511E" w:rsidRDefault="00D20BF9" w:rsidP="00D20BF9">
      <w:pPr>
        <w:jc w:val="left"/>
        <w:rPr>
          <w:rFonts w:eastAsia="Times New Roman" w:cs="Times New Roman"/>
          <w:szCs w:val="24"/>
          <w:lang w:eastAsia="es-ES"/>
        </w:rPr>
      </w:pPr>
    </w:p>
    <w:p w14:paraId="4B5076A2" w14:textId="77777777" w:rsidR="00D20BF9" w:rsidRPr="004C511E" w:rsidRDefault="00D20BF9" w:rsidP="00D20BF9">
      <w:pPr>
        <w:spacing w:line="259" w:lineRule="auto"/>
        <w:ind w:left="851" w:right="850"/>
        <w:rPr>
          <w:rFonts w:cs="Arial"/>
          <w:color w:val="000000"/>
          <w:sz w:val="2"/>
        </w:rPr>
      </w:pPr>
    </w:p>
    <w:p w14:paraId="68E407C1" w14:textId="77777777" w:rsidR="00D20BF9" w:rsidRPr="004C511E" w:rsidRDefault="00D20BF9" w:rsidP="00D20BF9">
      <w:pPr>
        <w:spacing w:line="240" w:lineRule="auto"/>
        <w:ind w:left="567" w:right="567"/>
        <w:rPr>
          <w:rFonts w:cs="Arial"/>
          <w:i/>
          <w:color w:val="000000"/>
          <w:sz w:val="22"/>
        </w:rPr>
      </w:pPr>
      <w:r w:rsidRPr="004C511E">
        <w:rPr>
          <w:rFonts w:cs="Arial"/>
          <w:b/>
          <w:i/>
          <w:color w:val="000000"/>
          <w:sz w:val="22"/>
        </w:rPr>
        <w:t>No existe obligación de elaborar documentos ad hoc para atender las solicitudes de acceso a la información.</w:t>
      </w:r>
      <w:r w:rsidRPr="004C511E">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F0A6E54" w14:textId="77777777" w:rsidR="00D20BF9" w:rsidRPr="004C511E" w:rsidRDefault="00D20BF9" w:rsidP="00D20BF9">
      <w:pPr>
        <w:spacing w:line="240" w:lineRule="auto"/>
        <w:ind w:left="567" w:right="567"/>
        <w:rPr>
          <w:rFonts w:cs="Arial"/>
          <w:i/>
          <w:color w:val="000000"/>
          <w:sz w:val="2"/>
        </w:rPr>
      </w:pPr>
    </w:p>
    <w:p w14:paraId="1E373F9E" w14:textId="77777777" w:rsidR="00D20BF9" w:rsidRPr="004C511E" w:rsidRDefault="00D20BF9" w:rsidP="00D20BF9">
      <w:pPr>
        <w:rPr>
          <w:rFonts w:cs="Arial"/>
          <w:color w:val="000000" w:themeColor="text1"/>
        </w:rPr>
      </w:pPr>
    </w:p>
    <w:p w14:paraId="48906597" w14:textId="77777777" w:rsidR="00D20BF9" w:rsidRPr="004C511E" w:rsidRDefault="00D20BF9" w:rsidP="00D20BF9">
      <w:pPr>
        <w:rPr>
          <w:rFonts w:cs="Arial"/>
          <w:color w:val="000000" w:themeColor="text1"/>
        </w:rPr>
      </w:pPr>
      <w:r w:rsidRPr="004C511E">
        <w:rPr>
          <w:rFonts w:cs="Arial"/>
          <w:color w:val="000000" w:themeColor="text1"/>
        </w:rPr>
        <w:t xml:space="preserve">Asimismo, el artículo 24, de la Ley de la materia, dispone que los Sujetos Obligados sólo proporcionarán la información pública que </w:t>
      </w:r>
      <w:r w:rsidRPr="004C511E">
        <w:rPr>
          <w:rFonts w:cs="Arial"/>
        </w:rPr>
        <w:t>generen</w:t>
      </w:r>
      <w:r w:rsidRPr="004C511E">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6963FD9" w14:textId="77777777" w:rsidR="00D20BF9" w:rsidRPr="004C511E" w:rsidRDefault="00D20BF9" w:rsidP="00D20BF9">
      <w:pPr>
        <w:rPr>
          <w:rFonts w:cs="Arial"/>
          <w:color w:val="000000" w:themeColor="text1"/>
        </w:rPr>
      </w:pPr>
    </w:p>
    <w:p w14:paraId="2D1C5A8C" w14:textId="77777777" w:rsidR="00D20BF9" w:rsidRPr="004C511E" w:rsidRDefault="00D20BF9" w:rsidP="00D20BF9">
      <w:pPr>
        <w:rPr>
          <w:rFonts w:cs="Arial"/>
          <w:color w:val="000000" w:themeColor="text1"/>
        </w:rPr>
      </w:pPr>
      <w:r w:rsidRPr="004C511E">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4C511E">
        <w:rPr>
          <w:rFonts w:cs="Arial"/>
        </w:rPr>
        <w:t xml:space="preserve">expedientes, reportes, estudios, actas, resoluciones, oficios, </w:t>
      </w:r>
      <w:r w:rsidRPr="004C511E">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w:t>
      </w:r>
      <w:r w:rsidRPr="004C511E">
        <w:rPr>
          <w:rFonts w:cs="Arial"/>
          <w:color w:val="000000" w:themeColor="text1"/>
        </w:rPr>
        <w:t xml:space="preserve">; los que, </w:t>
      </w:r>
      <w:r w:rsidRPr="004C511E">
        <w:rPr>
          <w:rFonts w:cs="Arial"/>
        </w:rPr>
        <w:t>podrán estar en cualquier medio, sea escrito, impreso, sonoro, visual, electrónico, informático u holográfico</w:t>
      </w:r>
      <w:r w:rsidRPr="004C511E">
        <w:rPr>
          <w:rFonts w:cs="Arial"/>
          <w:color w:val="000000" w:themeColor="text1"/>
        </w:rPr>
        <w:t xml:space="preserve">, de conformidad con el artículo 3, fracción XI, de la Ley de la materia, el cual dispone lo siguiente: </w:t>
      </w:r>
    </w:p>
    <w:p w14:paraId="33CA8A39" w14:textId="77777777" w:rsidR="00D20BF9" w:rsidRPr="004C511E" w:rsidRDefault="00D20BF9" w:rsidP="00D20BF9">
      <w:pPr>
        <w:pBdr>
          <w:top w:val="nil"/>
          <w:left w:val="nil"/>
          <w:bottom w:val="nil"/>
          <w:right w:val="nil"/>
          <w:between w:val="nil"/>
        </w:pBdr>
        <w:contextualSpacing/>
        <w:rPr>
          <w:szCs w:val="24"/>
        </w:rPr>
      </w:pPr>
    </w:p>
    <w:p w14:paraId="7C256C9E" w14:textId="77777777" w:rsidR="00D20BF9" w:rsidRPr="004C511E" w:rsidRDefault="00D20BF9" w:rsidP="00D20BF9">
      <w:pPr>
        <w:pStyle w:val="Fundamentos"/>
      </w:pPr>
      <w:r w:rsidRPr="004C511E">
        <w:rPr>
          <w:b/>
        </w:rPr>
        <w:t xml:space="preserve">Artículo 3. </w:t>
      </w:r>
      <w:r w:rsidRPr="004C511E">
        <w:t>Para los efectos de la presente Ley se entenderá por:</w:t>
      </w:r>
    </w:p>
    <w:p w14:paraId="42C4E747" w14:textId="77777777" w:rsidR="00D20BF9" w:rsidRPr="004C511E" w:rsidRDefault="00D20BF9" w:rsidP="00D20BF9">
      <w:pPr>
        <w:pStyle w:val="Fundamentos"/>
      </w:pPr>
      <w:r w:rsidRPr="004C511E">
        <w:t>[…]</w:t>
      </w:r>
    </w:p>
    <w:p w14:paraId="16E96EA1" w14:textId="77777777" w:rsidR="00D20BF9" w:rsidRPr="004C511E" w:rsidRDefault="00D20BF9" w:rsidP="00D20BF9">
      <w:pPr>
        <w:pStyle w:val="Fundamentos"/>
      </w:pPr>
      <w:r w:rsidRPr="004C511E">
        <w:rPr>
          <w:b/>
        </w:rPr>
        <w:t>XI. Documento:</w:t>
      </w:r>
      <w:r w:rsidRPr="004C511E">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4C511E">
        <w:rPr>
          <w:b/>
          <w:u w:val="single"/>
        </w:rPr>
        <w:t>Los documentos podrán estar en cualquier medio, sea escrito, impreso, sonoro, visual, electrónico, informático u holográfico</w:t>
      </w:r>
      <w:r w:rsidRPr="004C511E">
        <w:t>;</w:t>
      </w:r>
    </w:p>
    <w:p w14:paraId="1445D62E" w14:textId="77777777" w:rsidR="00D20BF9" w:rsidRPr="004C511E" w:rsidRDefault="00D20BF9" w:rsidP="00D20BF9">
      <w:pPr>
        <w:pStyle w:val="Fundamentos"/>
      </w:pPr>
      <w:r w:rsidRPr="004C511E">
        <w:t>[…]</w:t>
      </w:r>
    </w:p>
    <w:p w14:paraId="56366552" w14:textId="77777777" w:rsidR="00D20BF9" w:rsidRPr="004C511E" w:rsidRDefault="00D20BF9" w:rsidP="00D20BF9"/>
    <w:p w14:paraId="7FD9E6FB" w14:textId="77777777" w:rsidR="00D20BF9" w:rsidRPr="004C511E" w:rsidRDefault="00D20BF9" w:rsidP="00D20BF9">
      <w:pPr>
        <w:autoSpaceDE w:val="0"/>
        <w:autoSpaceDN w:val="0"/>
        <w:adjustRightInd w:val="0"/>
        <w:rPr>
          <w:rFonts w:cs="Arial"/>
          <w:szCs w:val="24"/>
        </w:rPr>
      </w:pPr>
      <w:r w:rsidRPr="004C511E">
        <w:rPr>
          <w:rFonts w:cs="Arial"/>
          <w:szCs w:val="24"/>
        </w:rPr>
        <w:t xml:space="preserve">Siendo aplicable el Criterio </w:t>
      </w:r>
      <w:r w:rsidRPr="004C511E">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4C511E">
        <w:rPr>
          <w:rFonts w:cs="Arial"/>
          <w:szCs w:val="24"/>
        </w:rPr>
        <w:t>cuyo rubro y texto dispone:</w:t>
      </w:r>
    </w:p>
    <w:p w14:paraId="657F3679" w14:textId="77777777" w:rsidR="00D20BF9" w:rsidRPr="004C511E" w:rsidRDefault="00D20BF9" w:rsidP="00D20BF9">
      <w:pPr>
        <w:jc w:val="left"/>
        <w:rPr>
          <w:rFonts w:eastAsia="Times New Roman" w:cs="Times New Roman"/>
          <w:szCs w:val="24"/>
          <w:lang w:eastAsia="es-ES"/>
        </w:rPr>
      </w:pPr>
    </w:p>
    <w:p w14:paraId="5C59B392" w14:textId="77777777" w:rsidR="00D20BF9" w:rsidRPr="004C511E" w:rsidRDefault="00D20BF9" w:rsidP="00D20BF9">
      <w:pPr>
        <w:spacing w:line="259" w:lineRule="auto"/>
        <w:ind w:left="567" w:right="567"/>
        <w:rPr>
          <w:rFonts w:cs="Arial"/>
          <w:sz w:val="2"/>
        </w:rPr>
      </w:pPr>
    </w:p>
    <w:p w14:paraId="784ACC4A" w14:textId="77777777" w:rsidR="00D20BF9" w:rsidRPr="004C511E" w:rsidRDefault="00D20BF9" w:rsidP="00D20BF9">
      <w:pPr>
        <w:spacing w:line="240" w:lineRule="auto"/>
        <w:ind w:left="567" w:right="567"/>
        <w:rPr>
          <w:rFonts w:cs="Arial"/>
          <w:i/>
          <w:iCs/>
          <w:sz w:val="22"/>
          <w:lang w:val="es-ES"/>
        </w:rPr>
      </w:pPr>
      <w:r w:rsidRPr="004C511E">
        <w:rPr>
          <w:rFonts w:cs="Arial"/>
          <w:b/>
          <w:bCs/>
          <w:i/>
          <w:iCs/>
          <w:sz w:val="22"/>
          <w:lang w:val="es-ES"/>
        </w:rPr>
        <w:t>INFORMACIÓN PÚBLICA, CONCEPTO DE, EN MATERIA DE TRANSPARENCIA. INTERPRETACIÓN SISTEMÁTICA DE LOS ARTÍCULOS 2°, FRACCIÓN V, XV, Y XVI, 3°, 4°, 11 Y 41.</w:t>
      </w:r>
      <w:r w:rsidRPr="004C511E">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w:t>
      </w:r>
      <w:r w:rsidRPr="004C511E">
        <w:rPr>
          <w:rFonts w:cs="Arial"/>
          <w:i/>
          <w:iCs/>
          <w:sz w:val="22"/>
          <w:lang w:val="es-ES"/>
        </w:rPr>
        <w:lastRenderedPageBreak/>
        <w:t>o en posesión de los órganos u organismos públicos, en virtud del ejercicio de sus funciones de derecho público, sin importar su fuente, soporte o fecha de elaboración.</w:t>
      </w:r>
    </w:p>
    <w:p w14:paraId="688C346F" w14:textId="77777777" w:rsidR="00D20BF9" w:rsidRPr="004C511E" w:rsidRDefault="00D20BF9" w:rsidP="00D20BF9">
      <w:pPr>
        <w:spacing w:line="240" w:lineRule="auto"/>
        <w:ind w:left="567" w:right="567"/>
        <w:rPr>
          <w:rFonts w:cs="Arial"/>
          <w:i/>
          <w:sz w:val="22"/>
        </w:rPr>
      </w:pPr>
    </w:p>
    <w:p w14:paraId="65C46269" w14:textId="77777777" w:rsidR="00D20BF9" w:rsidRPr="004C511E" w:rsidRDefault="00D20BF9" w:rsidP="00D20BF9">
      <w:pPr>
        <w:spacing w:line="240" w:lineRule="auto"/>
        <w:ind w:left="567" w:right="567"/>
        <w:rPr>
          <w:rFonts w:cs="Arial"/>
          <w:i/>
          <w:iCs/>
          <w:sz w:val="22"/>
          <w:lang w:val="es-ES"/>
        </w:rPr>
      </w:pPr>
      <w:r w:rsidRPr="004C511E">
        <w:rPr>
          <w:rFonts w:cs="Arial"/>
          <w:i/>
          <w:iCs/>
          <w:sz w:val="22"/>
          <w:lang w:val="es-ES"/>
        </w:rPr>
        <w:t>En consecuencia el acceso a la información se refiere a que se cumplan cualquiera de los siguientes tres supuestos:</w:t>
      </w:r>
    </w:p>
    <w:p w14:paraId="3A00390D" w14:textId="77777777" w:rsidR="00D20BF9" w:rsidRPr="004C511E" w:rsidRDefault="00D20BF9" w:rsidP="00D20BF9">
      <w:pPr>
        <w:spacing w:line="240" w:lineRule="auto"/>
        <w:ind w:left="567" w:right="567"/>
        <w:rPr>
          <w:rFonts w:cs="Arial"/>
          <w:b/>
          <w:i/>
          <w:sz w:val="22"/>
        </w:rPr>
      </w:pPr>
    </w:p>
    <w:p w14:paraId="35997892" w14:textId="77777777" w:rsidR="00D20BF9" w:rsidRPr="004C511E" w:rsidRDefault="00D20BF9" w:rsidP="00D20BF9">
      <w:pPr>
        <w:spacing w:line="240" w:lineRule="auto"/>
        <w:ind w:left="567" w:right="567"/>
        <w:rPr>
          <w:rFonts w:cs="Arial"/>
          <w:b/>
          <w:bCs/>
          <w:i/>
          <w:iCs/>
          <w:sz w:val="22"/>
          <w:lang w:val="es-ES"/>
        </w:rPr>
      </w:pPr>
      <w:r w:rsidRPr="004C511E">
        <w:rPr>
          <w:rFonts w:cs="Arial"/>
          <w:b/>
          <w:bCs/>
          <w:i/>
          <w:iCs/>
          <w:sz w:val="22"/>
          <w:lang w:val="es-ES"/>
        </w:rPr>
        <w:t xml:space="preserve">1) </w:t>
      </w:r>
      <w:r w:rsidRPr="004C511E">
        <w:rPr>
          <w:rFonts w:cs="Arial"/>
          <w:b/>
          <w:bCs/>
          <w:i/>
          <w:iCs/>
          <w:sz w:val="22"/>
          <w:u w:val="single"/>
          <w:lang w:val="es-ES"/>
        </w:rPr>
        <w:t>Que se trate de información registrada en cualquier soporte documental, que en ejercicio de las atribuciones conferidas, sea generada por los Sujetos Obligados;</w:t>
      </w:r>
    </w:p>
    <w:p w14:paraId="5BB35281" w14:textId="77777777" w:rsidR="00D20BF9" w:rsidRPr="004C511E" w:rsidRDefault="00D20BF9" w:rsidP="00D20BF9">
      <w:pPr>
        <w:spacing w:line="240" w:lineRule="auto"/>
        <w:ind w:left="567" w:right="567"/>
        <w:rPr>
          <w:rFonts w:cs="Arial"/>
          <w:i/>
          <w:iCs/>
          <w:sz w:val="22"/>
          <w:lang w:val="es-ES"/>
        </w:rPr>
      </w:pPr>
      <w:r w:rsidRPr="004C511E">
        <w:rPr>
          <w:rFonts w:cs="Arial"/>
          <w:i/>
          <w:iCs/>
          <w:sz w:val="22"/>
          <w:lang w:val="es-ES"/>
        </w:rPr>
        <w:t>2) Que se trate de información registrada en cualquier soporte documental, que en ejercicio de las atribuciones conferidas, sea administrada por los Sujetos Obligados, y</w:t>
      </w:r>
    </w:p>
    <w:p w14:paraId="0970F40F" w14:textId="77777777" w:rsidR="00D20BF9" w:rsidRPr="004C511E" w:rsidRDefault="00D20BF9" w:rsidP="00D20BF9">
      <w:pPr>
        <w:spacing w:line="240" w:lineRule="auto"/>
        <w:ind w:left="567" w:right="567"/>
        <w:rPr>
          <w:rFonts w:cs="Arial"/>
          <w:i/>
          <w:iCs/>
          <w:sz w:val="18"/>
          <w:szCs w:val="18"/>
          <w:lang w:val="es-ES"/>
        </w:rPr>
      </w:pPr>
      <w:r w:rsidRPr="004C511E">
        <w:rPr>
          <w:rFonts w:cs="Arial"/>
          <w:i/>
          <w:iCs/>
          <w:sz w:val="22"/>
          <w:lang w:val="es-ES"/>
        </w:rPr>
        <w:t>3) Que se trate de información registrada en cualquier soporte documental, que en ejercicio de las atribuciones conferidas, se encuentre en posesión de los Sujetos Obligados.</w:t>
      </w:r>
    </w:p>
    <w:p w14:paraId="4D4FAB15" w14:textId="77777777" w:rsidR="00D20BF9" w:rsidRPr="004C511E" w:rsidRDefault="00D20BF9" w:rsidP="00D20BF9">
      <w:pPr>
        <w:pBdr>
          <w:top w:val="nil"/>
          <w:left w:val="nil"/>
          <w:bottom w:val="nil"/>
          <w:right w:val="nil"/>
          <w:between w:val="nil"/>
        </w:pBdr>
        <w:contextualSpacing/>
        <w:rPr>
          <w:rFonts w:eastAsia="Palatino Linotype" w:cs="Palatino Linotype"/>
          <w:color w:val="000000"/>
          <w:szCs w:val="24"/>
        </w:rPr>
      </w:pPr>
    </w:p>
    <w:p w14:paraId="046310FC" w14:textId="77777777" w:rsidR="00D20BF9" w:rsidRPr="004C511E" w:rsidRDefault="00D20BF9" w:rsidP="00D20BF9">
      <w:pPr>
        <w:pBdr>
          <w:top w:val="nil"/>
          <w:left w:val="nil"/>
          <w:bottom w:val="nil"/>
          <w:right w:val="nil"/>
          <w:between w:val="nil"/>
        </w:pBdr>
        <w:contextualSpacing/>
        <w:rPr>
          <w:rFonts w:eastAsia="Palatino Linotype" w:cs="Palatino Linotype"/>
          <w:color w:val="000000"/>
          <w:szCs w:val="24"/>
        </w:rPr>
      </w:pPr>
      <w:r w:rsidRPr="004C511E">
        <w:rPr>
          <w:rFonts w:eastAsia="Palatino Linotype" w:cs="Palatino Linotype"/>
          <w:color w:val="000000"/>
          <w:szCs w:val="24"/>
          <w:lang w:val="es-ES"/>
        </w:rPr>
        <w:t xml:space="preserve">En segundo término, tomando en cuenta la respuesta proporcionada por parte del Sujeto Obligado, </w:t>
      </w:r>
      <w:r w:rsidRPr="004C511E">
        <w:rPr>
          <w:rFonts w:eastAsia="Palatino Linotype" w:cs="Palatino Linotype"/>
          <w:color w:val="000000"/>
          <w:szCs w:val="24"/>
        </w:rPr>
        <w:t xml:space="preserve">toda vez que el Sujeto Obligado en su respuesta manifestó que la información solicitada puede ser consultada en sus instalaciones, </w:t>
      </w:r>
      <w:r w:rsidRPr="004C511E">
        <w:rPr>
          <w:rFonts w:eastAsia="Palatino Linotype" w:cs="Palatino Linotype"/>
          <w:b/>
          <w:color w:val="000000"/>
          <w:szCs w:val="24"/>
        </w:rPr>
        <w:t>se deduce que existe una aceptación por parte del Sujeto Obligado que genera, administra o posee dicha información, derivada del ejercicio de sus funciones de derecho público</w:t>
      </w:r>
      <w:r w:rsidRPr="004C511E">
        <w:rPr>
          <w:rFonts w:eastAsia="Palatino Linotype" w:cs="Palatino Linotype"/>
          <w:color w:val="000000"/>
          <w:szCs w:val="24"/>
        </w:rPr>
        <w:t>.</w:t>
      </w:r>
    </w:p>
    <w:p w14:paraId="678F4A8B" w14:textId="77777777" w:rsidR="00D20BF9" w:rsidRPr="004C511E" w:rsidRDefault="00D20BF9" w:rsidP="00D20BF9">
      <w:pPr>
        <w:rPr>
          <w:noProof/>
          <w:szCs w:val="24"/>
          <w:lang w:val="es-MX"/>
        </w:rPr>
      </w:pPr>
    </w:p>
    <w:p w14:paraId="7F2B9CC5" w14:textId="77777777" w:rsidR="00D20BF9" w:rsidRPr="004C511E" w:rsidRDefault="00D20BF9" w:rsidP="00D20BF9">
      <w:pPr>
        <w:rPr>
          <w:szCs w:val="24"/>
        </w:rPr>
      </w:pPr>
      <w:r w:rsidRPr="004C511E">
        <w:rPr>
          <w:szCs w:val="24"/>
        </w:rPr>
        <w:t>Por lo que este Órgano Garante estima conveniente delimitar el estudio de la presente resolución al cambio en la modalidad a consulta directa, propuesto por el Sujeto Obligado, pues son estos actos los que, a consideración del Recurrente, le causan agravio a su derecho de acceso a la información.</w:t>
      </w:r>
    </w:p>
    <w:p w14:paraId="472A2F72" w14:textId="77777777" w:rsidR="00D20BF9" w:rsidRPr="004C511E" w:rsidRDefault="00D20BF9" w:rsidP="00D20BF9">
      <w:pPr>
        <w:rPr>
          <w:szCs w:val="24"/>
        </w:rPr>
      </w:pPr>
    </w:p>
    <w:p w14:paraId="519B020C" w14:textId="68894F41" w:rsidR="008402CD" w:rsidRPr="004C511E" w:rsidRDefault="00D20BF9" w:rsidP="00D20BF9">
      <w:r w:rsidRPr="004C511E">
        <w:t xml:space="preserve">Asimismo, es de destacar que la información fue requerida a través del SAIMEX; sin embargo, mediante respuesta a la solicitud de información, el Sujeto Obligado de manera unilateral realizó un cambio en la modalidad de entrega </w:t>
      </w:r>
      <w:r w:rsidR="008402CD" w:rsidRPr="004C511E">
        <w:t xml:space="preserve">aduciendo que </w:t>
      </w:r>
      <w:r w:rsidR="008402CD" w:rsidRPr="004C511E">
        <w:rPr>
          <w:rFonts w:eastAsia="Palatino Linotype" w:cs="Palatino Linotype"/>
          <w:color w:val="000000" w:themeColor="text1"/>
        </w:rPr>
        <w:t xml:space="preserve">la información de las facturas pagadas y en proceso de pago por un monto de más de un millón de pesos generadas en el periodo solicitado sobrepasan la capacidad del SAIMEX, siendo </w:t>
      </w:r>
      <w:r w:rsidR="008402CD" w:rsidRPr="004C511E">
        <w:rPr>
          <w:rFonts w:eastAsia="Palatino Linotype" w:cs="Palatino Linotype"/>
          <w:color w:val="000000" w:themeColor="text1"/>
        </w:rPr>
        <w:lastRenderedPageBreak/>
        <w:t>aproximadamente 55 498, por lo que se solicitó el cambio de modalidad a consulta directa; asimismo, se dio la opción de otras modalidades para la entrega de la información, así como la ubicación, horarios y el nombre de los servidores públicos que atendería al solicitante y el procedimiento de pago en el supuesto de requerir copias simples o certificadas de la información y el plazo en el que la información estará disponible para su consulta.</w:t>
      </w:r>
    </w:p>
    <w:p w14:paraId="1E8C86F1" w14:textId="77777777" w:rsidR="008402CD" w:rsidRPr="004C511E" w:rsidRDefault="008402CD" w:rsidP="00D20BF9"/>
    <w:p w14:paraId="0C03662A" w14:textId="53AE1FAB" w:rsidR="00D20BF9" w:rsidRPr="004C511E" w:rsidRDefault="00BA1C04" w:rsidP="00D20BF9">
      <w:pPr>
        <w:contextualSpacing/>
      </w:pPr>
      <w:r w:rsidRPr="004C511E">
        <w:rPr>
          <w:noProof/>
          <w:lang w:val="es-MX"/>
        </w:rPr>
        <w:t>Asimismo</w:t>
      </w:r>
      <w:r w:rsidR="00D20BF9" w:rsidRPr="004C511E">
        <w:rPr>
          <w:noProof/>
          <w:lang w:val="es-MX"/>
        </w:rPr>
        <w:t xml:space="preserve">, se debe señalar que, en antecedentes similares, </w:t>
      </w:r>
      <w:r w:rsidR="00D20BF9" w:rsidRPr="004C511E">
        <w:rPr>
          <w:rFonts w:eastAsia="Palatino Linotype" w:cs="Palatino Linotype"/>
          <w:szCs w:val="24"/>
        </w:rPr>
        <w:t xml:space="preserve">la </w:t>
      </w:r>
      <w:r w:rsidR="00D20BF9" w:rsidRPr="004C511E">
        <w:t>Dirección General de Informática de este Instituto ha informado que con relación al peso máximo de archivos que soporta el SAIMEX para adjuntar como respuesta a las solicitudes de información, se puedan adjuntar archivos con un peso aproximado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14:paraId="79731F2A" w14:textId="77777777" w:rsidR="00D20BF9" w:rsidRPr="004C511E" w:rsidRDefault="00D20BF9" w:rsidP="00D20BF9">
      <w:pPr>
        <w:contextualSpacing/>
        <w:rPr>
          <w:rFonts w:eastAsia="Palatino Linotype" w:cs="Palatino Linotype"/>
          <w:szCs w:val="24"/>
        </w:rPr>
      </w:pPr>
    </w:p>
    <w:p w14:paraId="48D7AF57" w14:textId="708B58EA" w:rsidR="00D20BF9" w:rsidRPr="004C511E" w:rsidRDefault="00BA1C04" w:rsidP="005F24C4">
      <w:pPr>
        <w:rPr>
          <w:rFonts w:eastAsia="Palatino Linotype" w:cs="Palatino Linotype"/>
          <w:szCs w:val="24"/>
        </w:rPr>
      </w:pPr>
      <w:r w:rsidRPr="004C511E">
        <w:rPr>
          <w:rFonts w:eastAsia="Palatino Linotype" w:cs="Palatino Linotype"/>
          <w:szCs w:val="24"/>
        </w:rPr>
        <w:t xml:space="preserve">Ahora bien, </w:t>
      </w:r>
      <w:r w:rsidR="005F24C4" w:rsidRPr="004C511E">
        <w:rPr>
          <w:rFonts w:eastAsia="Palatino Linotype" w:cs="Palatino Linotype"/>
          <w:szCs w:val="24"/>
        </w:rPr>
        <w:t>es dable señalar que el artículo 158 de la Ley de Transparencia estatal dispone que, de manera excepcional, cuando de manera fundada y motivada lo determine el Sujeto Obligado, 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r w:rsidR="00240367" w:rsidRPr="004C511E">
        <w:rPr>
          <w:rFonts w:eastAsia="Palatino Linotype" w:cs="Palatino Linotype"/>
          <w:szCs w:val="24"/>
        </w:rPr>
        <w:t xml:space="preserve">; así, se tiene que </w:t>
      </w:r>
      <w:r w:rsidR="009F0BCA" w:rsidRPr="004C511E">
        <w:rPr>
          <w:rFonts w:eastAsia="Palatino Linotype" w:cs="Palatino Linotype"/>
          <w:szCs w:val="24"/>
        </w:rPr>
        <w:t xml:space="preserve">los sujetos obligados están constreñidos a </w:t>
      </w:r>
      <w:r w:rsidR="00AD7EF5" w:rsidRPr="004C511E">
        <w:rPr>
          <w:rFonts w:eastAsia="Palatino Linotype" w:cs="Palatino Linotype"/>
          <w:szCs w:val="24"/>
        </w:rPr>
        <w:t>demostrar dicha incapacidad con la finalidad de que el cambio de modalidad sea procedente.</w:t>
      </w:r>
    </w:p>
    <w:p w14:paraId="7F831BA0" w14:textId="77777777" w:rsidR="00AD7EF5" w:rsidRPr="004C511E" w:rsidRDefault="00AD7EF5" w:rsidP="005F24C4">
      <w:pPr>
        <w:rPr>
          <w:rFonts w:eastAsia="Palatino Linotype" w:cs="Palatino Linotype"/>
          <w:szCs w:val="24"/>
        </w:rPr>
      </w:pPr>
    </w:p>
    <w:p w14:paraId="012D5C95" w14:textId="0EF4A53B" w:rsidR="00AD7EF5" w:rsidRPr="004C511E" w:rsidRDefault="00AD7EF5" w:rsidP="005F24C4">
      <w:pPr>
        <w:rPr>
          <w:rFonts w:eastAsia="Palatino Linotype" w:cs="Palatino Linotype"/>
          <w:color w:val="000000" w:themeColor="text1"/>
        </w:rPr>
      </w:pPr>
      <w:r w:rsidRPr="004C511E">
        <w:rPr>
          <w:rFonts w:eastAsia="Palatino Linotype" w:cs="Palatino Linotype"/>
          <w:szCs w:val="24"/>
        </w:rPr>
        <w:t>En el caso en concreto</w:t>
      </w:r>
      <w:r w:rsidR="00E215E4" w:rsidRPr="004C511E">
        <w:rPr>
          <w:rFonts w:eastAsia="Palatino Linotype" w:cs="Palatino Linotype"/>
          <w:szCs w:val="24"/>
        </w:rPr>
        <w:t>, el Sujeto Obligado manifestó que la información de las facturas pagadas y por pagar por el monto referido en la solici</w:t>
      </w:r>
      <w:r w:rsidR="00AC3AD7" w:rsidRPr="004C511E">
        <w:rPr>
          <w:rFonts w:eastAsia="Palatino Linotype" w:cs="Palatino Linotype"/>
          <w:szCs w:val="24"/>
        </w:rPr>
        <w:t>tud durante el periodo establecido asciende a</w:t>
      </w:r>
      <w:r w:rsidR="0057410B" w:rsidRPr="004C511E">
        <w:rPr>
          <w:rFonts w:eastAsia="Palatino Linotype" w:cs="Palatino Linotype"/>
          <w:szCs w:val="24"/>
        </w:rPr>
        <w:t>proximadamente a</w:t>
      </w:r>
      <w:r w:rsidR="00AC3AD7" w:rsidRPr="004C511E">
        <w:rPr>
          <w:rFonts w:eastAsia="Palatino Linotype" w:cs="Palatino Linotype"/>
          <w:szCs w:val="24"/>
        </w:rPr>
        <w:t xml:space="preserve"> cincuenta y cinco mil </w:t>
      </w:r>
      <w:r w:rsidR="0057410B" w:rsidRPr="004C511E">
        <w:rPr>
          <w:rFonts w:eastAsia="Palatino Linotype" w:cs="Palatino Linotype"/>
          <w:szCs w:val="24"/>
        </w:rPr>
        <w:t xml:space="preserve">cuatrocientas </w:t>
      </w:r>
      <w:r w:rsidR="00B17706" w:rsidRPr="004C511E">
        <w:rPr>
          <w:rFonts w:eastAsia="Palatino Linotype" w:cs="Palatino Linotype"/>
          <w:szCs w:val="24"/>
        </w:rPr>
        <w:t xml:space="preserve">noventa y ocho fojas, por lo que el Comité de Transparencia </w:t>
      </w:r>
      <w:r w:rsidR="00FF46FA" w:rsidRPr="004C511E">
        <w:rPr>
          <w:rFonts w:eastAsia="Palatino Linotype" w:cs="Palatino Linotype"/>
          <w:szCs w:val="24"/>
        </w:rPr>
        <w:t xml:space="preserve">aprobó en la </w:t>
      </w:r>
      <w:r w:rsidR="00FF46FA" w:rsidRPr="004C511E">
        <w:rPr>
          <w:rFonts w:eastAsia="Palatino Linotype" w:cs="Palatino Linotype"/>
          <w:color w:val="000000" w:themeColor="text1"/>
        </w:rPr>
        <w:t>Trigésima Novena Sesión Extraordinaria 2025 el cambio de modalidad a las ya mencionadas con anterioridad.</w:t>
      </w:r>
    </w:p>
    <w:p w14:paraId="1DC11029" w14:textId="77777777" w:rsidR="00FF46FA" w:rsidRPr="004C511E" w:rsidRDefault="00FF46FA" w:rsidP="005F24C4">
      <w:pPr>
        <w:rPr>
          <w:rFonts w:eastAsia="Palatino Linotype" w:cs="Palatino Linotype"/>
          <w:color w:val="000000" w:themeColor="text1"/>
        </w:rPr>
      </w:pPr>
    </w:p>
    <w:p w14:paraId="14E179BC" w14:textId="08B751BE" w:rsidR="00FF46FA" w:rsidRPr="004C511E" w:rsidRDefault="00FF46FA" w:rsidP="00361791">
      <w:pPr>
        <w:rPr>
          <w:rFonts w:eastAsia="Palatino Linotype" w:cs="Palatino Linotype"/>
          <w:szCs w:val="24"/>
        </w:rPr>
      </w:pPr>
      <w:r w:rsidRPr="004C511E">
        <w:rPr>
          <w:rFonts w:eastAsia="Palatino Linotype" w:cs="Palatino Linotype"/>
          <w:color w:val="000000" w:themeColor="text1"/>
        </w:rPr>
        <w:t>No obstante,</w:t>
      </w:r>
      <w:r w:rsidR="00C51D6A" w:rsidRPr="004C511E">
        <w:rPr>
          <w:rFonts w:eastAsia="Palatino Linotype" w:cs="Palatino Linotype"/>
          <w:color w:val="000000" w:themeColor="text1"/>
        </w:rPr>
        <w:t xml:space="preserve"> si bien en autos obran los argumentos y elementos aportados por el Sujeto Obligado para sustentar el cambio de modalidad de entrega, lo cierto es que el análisis de la controversia no puede limitarse únicamente a la existencia de tales</w:t>
      </w:r>
      <w:r w:rsidR="00361791" w:rsidRPr="004C511E">
        <w:rPr>
          <w:rFonts w:eastAsia="Palatino Linotype" w:cs="Palatino Linotype"/>
          <w:color w:val="000000" w:themeColor="text1"/>
        </w:rPr>
        <w:t xml:space="preserve"> instrumentos, sino que también debe atender a la naturaleza y características de la información solicitada.</w:t>
      </w:r>
    </w:p>
    <w:p w14:paraId="47F6D9C7" w14:textId="77777777" w:rsidR="00D20BF9" w:rsidRPr="004C511E" w:rsidRDefault="00D20BF9" w:rsidP="006100FC">
      <w:pPr>
        <w:rPr>
          <w:rFonts w:eastAsia="Palatino Linotype" w:cs="Palatino Linotype"/>
          <w:szCs w:val="24"/>
        </w:rPr>
      </w:pPr>
    </w:p>
    <w:p w14:paraId="1C204841" w14:textId="77777777" w:rsidR="00CF0884" w:rsidRPr="004C511E" w:rsidRDefault="00CF0884" w:rsidP="00CF0884">
      <w:pPr>
        <w:rPr>
          <w:rFonts w:eastAsia="Palatino Linotype" w:cs="Palatino Linotype"/>
          <w:szCs w:val="24"/>
        </w:rPr>
      </w:pPr>
      <w:r w:rsidRPr="004C511E">
        <w:rPr>
          <w:rFonts w:eastAsia="Palatino Linotype" w:cs="Palatino Linotype"/>
          <w:szCs w:val="24"/>
        </w:rPr>
        <w:t>En ese sentido, resulta relevante advertir que la solicitud de información se circunscribe</w:t>
      </w:r>
    </w:p>
    <w:p w14:paraId="3F3EB59E" w14:textId="2176E363" w:rsidR="00CF0884" w:rsidRPr="004C511E" w:rsidRDefault="00CF0884" w:rsidP="00CF0884">
      <w:pPr>
        <w:rPr>
          <w:rFonts w:eastAsia="Palatino Linotype" w:cs="Palatino Linotype"/>
          <w:szCs w:val="24"/>
        </w:rPr>
      </w:pPr>
      <w:r w:rsidRPr="004C511E">
        <w:rPr>
          <w:rFonts w:eastAsia="Palatino Linotype" w:cs="Palatino Linotype"/>
          <w:szCs w:val="24"/>
        </w:rPr>
        <w:t>exclusivamente a facturas cuyo monto sea superior a un millón de pesos. Bajo esta premisa, el universo documental susceptible de atender la solicitud necesariamente se encuentra acotado a aquellos comprobantes fiscales que amparen operaciones por dicho monto, lo cual,</w:t>
      </w:r>
      <w:r w:rsidR="005C3F10" w:rsidRPr="004C511E">
        <w:rPr>
          <w:rFonts w:eastAsia="Palatino Linotype" w:cs="Palatino Linotype"/>
          <w:szCs w:val="24"/>
        </w:rPr>
        <w:t xml:space="preserve"> </w:t>
      </w:r>
      <w:r w:rsidRPr="004C511E">
        <w:rPr>
          <w:rFonts w:eastAsia="Palatino Linotype" w:cs="Palatino Linotype"/>
          <w:szCs w:val="24"/>
        </w:rPr>
        <w:t>por su propia naturaleza, corresponde a documentos contables específicos y plenamente</w:t>
      </w:r>
      <w:r w:rsidR="005C3F10" w:rsidRPr="004C511E">
        <w:rPr>
          <w:rFonts w:eastAsia="Palatino Linotype" w:cs="Palatino Linotype"/>
          <w:szCs w:val="24"/>
        </w:rPr>
        <w:t xml:space="preserve"> </w:t>
      </w:r>
      <w:r w:rsidRPr="004C511E">
        <w:rPr>
          <w:rFonts w:eastAsia="Palatino Linotype" w:cs="Palatino Linotype"/>
          <w:szCs w:val="24"/>
        </w:rPr>
        <w:t>identificables, y no a un volumen indeterminado o masivo de documentación administrativa.</w:t>
      </w:r>
    </w:p>
    <w:p w14:paraId="75CDC4EA" w14:textId="77777777" w:rsidR="005C3F10" w:rsidRPr="004C511E" w:rsidRDefault="005C3F10" w:rsidP="00CF0884">
      <w:pPr>
        <w:rPr>
          <w:rFonts w:eastAsia="Palatino Linotype" w:cs="Palatino Linotype"/>
          <w:szCs w:val="24"/>
        </w:rPr>
      </w:pPr>
    </w:p>
    <w:p w14:paraId="76227B62" w14:textId="163438E3" w:rsidR="00D20BF9" w:rsidRPr="004C511E" w:rsidRDefault="00CF0884" w:rsidP="00CF0884">
      <w:pPr>
        <w:rPr>
          <w:rFonts w:eastAsia="Palatino Linotype" w:cs="Palatino Linotype"/>
          <w:szCs w:val="24"/>
        </w:rPr>
      </w:pPr>
      <w:r w:rsidRPr="004C511E">
        <w:rPr>
          <w:rFonts w:eastAsia="Palatino Linotype" w:cs="Palatino Linotype"/>
          <w:szCs w:val="24"/>
        </w:rPr>
        <w:t xml:space="preserve">A partir de lo anterior, este </w:t>
      </w:r>
      <w:r w:rsidR="005C3F10" w:rsidRPr="004C511E">
        <w:rPr>
          <w:rFonts w:eastAsia="Palatino Linotype" w:cs="Palatino Linotype"/>
          <w:szCs w:val="24"/>
        </w:rPr>
        <w:t xml:space="preserve">Instituto </w:t>
      </w:r>
      <w:r w:rsidRPr="004C511E">
        <w:rPr>
          <w:rFonts w:eastAsia="Palatino Linotype" w:cs="Palatino Linotype"/>
          <w:szCs w:val="24"/>
        </w:rPr>
        <w:t>estima que el volumen señalado por el Sujeto</w:t>
      </w:r>
      <w:r w:rsidR="005C3F10" w:rsidRPr="004C511E">
        <w:rPr>
          <w:rFonts w:eastAsia="Palatino Linotype" w:cs="Palatino Linotype"/>
          <w:szCs w:val="24"/>
        </w:rPr>
        <w:t xml:space="preserve"> </w:t>
      </w:r>
      <w:r w:rsidRPr="004C511E">
        <w:rPr>
          <w:rFonts w:eastAsia="Palatino Linotype" w:cs="Palatino Linotype"/>
          <w:szCs w:val="24"/>
        </w:rPr>
        <w:t xml:space="preserve">Obligado, </w:t>
      </w:r>
      <w:r w:rsidR="005C3F10" w:rsidRPr="004C511E">
        <w:rPr>
          <w:rFonts w:eastAsia="Palatino Linotype" w:cs="Palatino Linotype"/>
          <w:szCs w:val="24"/>
        </w:rPr>
        <w:t>el cual asciende a aproximadamente 55</w:t>
      </w:r>
      <w:r w:rsidR="00453078" w:rsidRPr="004C511E">
        <w:rPr>
          <w:rFonts w:eastAsia="Palatino Linotype" w:cs="Palatino Linotype"/>
          <w:szCs w:val="24"/>
        </w:rPr>
        <w:t> 498</w:t>
      </w:r>
      <w:r w:rsidRPr="004C511E">
        <w:rPr>
          <w:rFonts w:eastAsia="Palatino Linotype" w:cs="Palatino Linotype"/>
          <w:szCs w:val="24"/>
        </w:rPr>
        <w:t xml:space="preserve"> fojas, no guarda una relación razonable con el tipo de</w:t>
      </w:r>
      <w:r w:rsidR="00453078" w:rsidRPr="004C511E">
        <w:rPr>
          <w:rFonts w:eastAsia="Palatino Linotype" w:cs="Palatino Linotype"/>
          <w:szCs w:val="24"/>
        </w:rPr>
        <w:t xml:space="preserve"> </w:t>
      </w:r>
      <w:r w:rsidRPr="004C511E">
        <w:rPr>
          <w:rFonts w:eastAsia="Palatino Linotype" w:cs="Palatino Linotype"/>
          <w:szCs w:val="24"/>
        </w:rPr>
        <w:t xml:space="preserve">documentación requerida. Ello es así, pues aún bajo una </w:t>
      </w:r>
      <w:r w:rsidRPr="004C511E">
        <w:rPr>
          <w:rFonts w:eastAsia="Palatino Linotype" w:cs="Palatino Linotype"/>
          <w:szCs w:val="24"/>
        </w:rPr>
        <w:lastRenderedPageBreak/>
        <w:t>interpretación amplia en la que cada</w:t>
      </w:r>
      <w:r w:rsidR="00453078" w:rsidRPr="004C511E">
        <w:rPr>
          <w:rFonts w:eastAsia="Palatino Linotype" w:cs="Palatino Linotype"/>
          <w:szCs w:val="24"/>
        </w:rPr>
        <w:t xml:space="preserve"> </w:t>
      </w:r>
      <w:r w:rsidRPr="004C511E">
        <w:rPr>
          <w:rFonts w:eastAsia="Palatino Linotype" w:cs="Palatino Linotype"/>
          <w:szCs w:val="24"/>
        </w:rPr>
        <w:t>factura pudiera integrarse por diversos anexos o documentos complementarios, no resulta</w:t>
      </w:r>
      <w:r w:rsidR="00453078" w:rsidRPr="004C511E">
        <w:rPr>
          <w:rFonts w:eastAsia="Palatino Linotype" w:cs="Palatino Linotype"/>
          <w:szCs w:val="24"/>
        </w:rPr>
        <w:t xml:space="preserve"> </w:t>
      </w:r>
      <w:r w:rsidRPr="004C511E">
        <w:rPr>
          <w:rFonts w:eastAsia="Palatino Linotype" w:cs="Palatino Linotype"/>
          <w:szCs w:val="24"/>
        </w:rPr>
        <w:t xml:space="preserve">materialmente viable que las facturas correspondientes a operaciones superiores a </w:t>
      </w:r>
      <w:r w:rsidR="00453078" w:rsidRPr="004C511E">
        <w:rPr>
          <w:rFonts w:eastAsia="Palatino Linotype" w:cs="Palatino Linotype"/>
          <w:szCs w:val="24"/>
        </w:rPr>
        <w:t>un millón</w:t>
      </w:r>
      <w:r w:rsidRPr="004C511E">
        <w:rPr>
          <w:rFonts w:eastAsia="Palatino Linotype" w:cs="Palatino Linotype"/>
          <w:szCs w:val="24"/>
        </w:rPr>
        <w:t xml:space="preserve"> de pesos generen un volumen documental de tal magnitud.</w:t>
      </w:r>
    </w:p>
    <w:p w14:paraId="072D8398" w14:textId="77777777" w:rsidR="00D20BF9" w:rsidRPr="004C511E" w:rsidRDefault="00D20BF9" w:rsidP="006100FC">
      <w:pPr>
        <w:rPr>
          <w:rFonts w:eastAsia="Palatino Linotype" w:cs="Palatino Linotype"/>
          <w:szCs w:val="24"/>
        </w:rPr>
      </w:pPr>
    </w:p>
    <w:p w14:paraId="320768F4" w14:textId="532BB00B" w:rsidR="00D20BF9" w:rsidRPr="004C511E" w:rsidRDefault="007B5841" w:rsidP="007B5841">
      <w:pPr>
        <w:rPr>
          <w:rFonts w:eastAsia="Palatino Linotype" w:cs="Palatino Linotype"/>
          <w:szCs w:val="24"/>
        </w:rPr>
      </w:pPr>
      <w:r w:rsidRPr="004C511E">
        <w:rPr>
          <w:rFonts w:eastAsia="Palatino Linotype" w:cs="Palatino Linotype"/>
          <w:szCs w:val="24"/>
        </w:rPr>
        <w:t xml:space="preserve">Inclusive, si hipotéticamente se considerara un escenario mucho menor, por ejemplo, que la información alcanzara el límite máximo de archivos </w:t>
      </w:r>
      <w:r w:rsidR="00A56711" w:rsidRPr="004C511E">
        <w:rPr>
          <w:rFonts w:eastAsia="Palatino Linotype" w:cs="Palatino Linotype"/>
          <w:szCs w:val="24"/>
        </w:rPr>
        <w:t>(</w:t>
      </w:r>
      <w:r w:rsidR="00C438D3" w:rsidRPr="004C511E">
        <w:rPr>
          <w:rFonts w:eastAsia="Palatino Linotype" w:cs="Palatino Linotype"/>
          <w:szCs w:val="24"/>
        </w:rPr>
        <w:t xml:space="preserve">ocho mil fojas) </w:t>
      </w:r>
      <w:r w:rsidRPr="004C511E">
        <w:rPr>
          <w:rFonts w:eastAsia="Palatino Linotype" w:cs="Palatino Linotype"/>
          <w:szCs w:val="24"/>
        </w:rPr>
        <w:t xml:space="preserve">que permite cargar el propio sistema electrónico, el número de operaciones económicas necesarias para justificar tal volumen de facturas implicaría montos acumulados que superarían ampliamente el presupuesto </w:t>
      </w:r>
      <w:r w:rsidR="001F582E" w:rsidRPr="004C511E">
        <w:rPr>
          <w:rFonts w:eastAsia="Palatino Linotype" w:cs="Palatino Linotype"/>
          <w:szCs w:val="24"/>
        </w:rPr>
        <w:t xml:space="preserve">de egresos definitivo </w:t>
      </w:r>
      <w:r w:rsidRPr="004C511E">
        <w:rPr>
          <w:rFonts w:eastAsia="Palatino Linotype" w:cs="Palatino Linotype"/>
          <w:szCs w:val="24"/>
        </w:rPr>
        <w:t>autorizado al municipio para el ejercicio fiscal</w:t>
      </w:r>
      <w:r w:rsidR="001F582E" w:rsidRPr="004C511E">
        <w:rPr>
          <w:rFonts w:eastAsia="Palatino Linotype" w:cs="Palatino Linotype"/>
          <w:szCs w:val="24"/>
        </w:rPr>
        <w:t xml:space="preserve"> 2025, que equivale a </w:t>
      </w:r>
      <w:r w:rsidR="00804000" w:rsidRPr="004C511E">
        <w:rPr>
          <w:rFonts w:eastAsia="Palatino Linotype" w:cs="Palatino Linotype"/>
          <w:szCs w:val="24"/>
        </w:rPr>
        <w:t>$5 293 195</w:t>
      </w:r>
      <w:r w:rsidR="00AC548C" w:rsidRPr="004C511E">
        <w:rPr>
          <w:rFonts w:eastAsia="Palatino Linotype" w:cs="Palatino Linotype"/>
          <w:szCs w:val="24"/>
        </w:rPr>
        <w:t> 880.00 (confor</w:t>
      </w:r>
      <w:r w:rsidR="00443B2D" w:rsidRPr="004C511E">
        <w:rPr>
          <w:rFonts w:eastAsia="Palatino Linotype" w:cs="Palatino Linotype"/>
          <w:szCs w:val="24"/>
        </w:rPr>
        <w:t>me al Acuerdo n</w:t>
      </w:r>
      <w:r w:rsidR="00A56711" w:rsidRPr="004C511E">
        <w:rPr>
          <w:rFonts w:eastAsia="Palatino Linotype" w:cs="Palatino Linotype"/>
          <w:szCs w:val="24"/>
        </w:rPr>
        <w:t>úmero 60/2025, publicado en la Gaceta Municipal del veintiocho de febrero de dos mil veinticinco)</w:t>
      </w:r>
      <w:r w:rsidRPr="004C511E">
        <w:rPr>
          <w:rFonts w:eastAsia="Palatino Linotype" w:cs="Palatino Linotype"/>
          <w:szCs w:val="24"/>
        </w:rPr>
        <w:t>, lo cual evidencia una desproporción entre la naturaleza de la información solicitada y el volumen documental señalado.</w:t>
      </w:r>
    </w:p>
    <w:p w14:paraId="77BF9DBF" w14:textId="77777777" w:rsidR="00093922" w:rsidRPr="004C511E" w:rsidRDefault="00093922" w:rsidP="007B5841">
      <w:pPr>
        <w:rPr>
          <w:rFonts w:eastAsia="Palatino Linotype" w:cs="Palatino Linotype"/>
          <w:szCs w:val="24"/>
        </w:rPr>
      </w:pPr>
    </w:p>
    <w:p w14:paraId="2DDC1567" w14:textId="27786CF0" w:rsidR="00093922" w:rsidRPr="004C511E" w:rsidRDefault="00093922" w:rsidP="00093922">
      <w:r w:rsidRPr="004C511E">
        <w:t>Por lo anterior, es de concluirse que el Sujeto Obligado no acreditó fehacientemente la necesidad del cambio de modalidad de la entrega de información, en consecuencia, es dable ordenar la entrega de la información en la vía peticionada, es decir a través del SAIMEX, al no tenerse por cumplidos los requisitos de procedencia.</w:t>
      </w:r>
    </w:p>
    <w:p w14:paraId="6F2DE05D" w14:textId="77777777" w:rsidR="00093922" w:rsidRPr="004C511E" w:rsidRDefault="00093922" w:rsidP="00093922">
      <w:pPr>
        <w:rPr>
          <w:noProof/>
          <w:lang w:val="es-MX"/>
        </w:rPr>
      </w:pPr>
    </w:p>
    <w:p w14:paraId="4E0548B8" w14:textId="02CC2FC0" w:rsidR="00093922" w:rsidRPr="004C511E" w:rsidRDefault="00093922" w:rsidP="00093922">
      <w:pPr>
        <w:rPr>
          <w:rFonts w:cs="Arial"/>
          <w:szCs w:val="24"/>
        </w:rPr>
      </w:pPr>
      <w:r w:rsidRPr="004C511E">
        <w:rPr>
          <w:szCs w:val="24"/>
        </w:rPr>
        <w:t xml:space="preserve">Consecuentemente, la actuación del Sujeto Obligado </w:t>
      </w:r>
      <w:r w:rsidRPr="004C511E">
        <w:rPr>
          <w:rFonts w:eastAsia="MS Mincho" w:cs="Arial"/>
          <w:szCs w:val="24"/>
        </w:rPr>
        <w:t xml:space="preserve">constituye una afectación al derecho de acceso a la información pública del particular, toda vez que pretendió cambiar la modalidad de entrega de la información; </w:t>
      </w:r>
      <w:r w:rsidRPr="004C511E">
        <w:rPr>
          <w:rFonts w:cs="Arial"/>
          <w:szCs w:val="24"/>
        </w:rPr>
        <w:t xml:space="preserve">de esta forma, solamente intenta realizar el cambio de modalidad ya que como se ha dicho, el particular mencionó que la manera de </w:t>
      </w:r>
      <w:r w:rsidRPr="004C511E">
        <w:rPr>
          <w:rFonts w:cs="Arial"/>
          <w:szCs w:val="24"/>
        </w:rPr>
        <w:lastRenderedPageBreak/>
        <w:t>entrega de la información sería a través del SAIMEX</w:t>
      </w:r>
      <w:r w:rsidR="002811E0" w:rsidRPr="004C511E">
        <w:rPr>
          <w:rFonts w:cs="Arial"/>
          <w:szCs w:val="24"/>
        </w:rPr>
        <w:t xml:space="preserve">; por lo que, </w:t>
      </w:r>
      <w:r w:rsidRPr="004C511E">
        <w:rPr>
          <w:rFonts w:cs="Arial"/>
          <w:szCs w:val="24"/>
        </w:rPr>
        <w:t>a decir de éste Órgano Garante, el cambio de modalidad no es procedente, en virtud de lo establecido por el artículo 164, de la Ley de Transparencia local que contempla los siguiente:</w:t>
      </w:r>
    </w:p>
    <w:p w14:paraId="3BC39B21" w14:textId="77777777" w:rsidR="00093922" w:rsidRPr="004C511E" w:rsidRDefault="00093922" w:rsidP="00093922">
      <w:pPr>
        <w:jc w:val="left"/>
        <w:rPr>
          <w:szCs w:val="24"/>
        </w:rPr>
      </w:pPr>
    </w:p>
    <w:p w14:paraId="5A23041F" w14:textId="77777777" w:rsidR="00093922" w:rsidRPr="004C511E" w:rsidRDefault="00093922" w:rsidP="00093922">
      <w:pPr>
        <w:tabs>
          <w:tab w:val="left" w:pos="709"/>
        </w:tabs>
        <w:spacing w:line="240" w:lineRule="auto"/>
        <w:ind w:left="567" w:right="567"/>
        <w:rPr>
          <w:rFonts w:cs="Arial"/>
          <w:i/>
          <w:sz w:val="22"/>
        </w:rPr>
      </w:pPr>
      <w:r w:rsidRPr="004C511E">
        <w:rPr>
          <w:rFonts w:cs="Arial"/>
          <w:b/>
          <w:i/>
          <w:sz w:val="22"/>
        </w:rPr>
        <w:t>Artículo 164.</w:t>
      </w:r>
      <w:r w:rsidRPr="004C511E">
        <w:rPr>
          <w:rFonts w:cs="Arial"/>
          <w:i/>
          <w:sz w:val="22"/>
        </w:rPr>
        <w:t xml:space="preserve"> </w:t>
      </w:r>
      <w:r w:rsidRPr="004C511E">
        <w:rPr>
          <w:rFonts w:cs="Arial"/>
          <w:b/>
          <w:i/>
          <w:sz w:val="22"/>
          <w:u w:val="single"/>
        </w:rPr>
        <w:t>El acceso se dará en la modalidad de entrega y, en su caso, de envío elegidos por el solicitante.</w:t>
      </w:r>
      <w:r w:rsidRPr="004C511E">
        <w:rPr>
          <w:rFonts w:cs="Arial"/>
          <w:i/>
          <w:sz w:val="22"/>
        </w:rPr>
        <w:t xml:space="preserve"> Cuando la información no pueda entregarse o enviarse en la modalidad solicitada, el sujeto obligado deberá ofrecer otra u otras modalidades de entrega. </w:t>
      </w:r>
    </w:p>
    <w:p w14:paraId="0C620FE0" w14:textId="77777777" w:rsidR="00093922" w:rsidRPr="004C511E" w:rsidRDefault="00093922" w:rsidP="00093922">
      <w:pPr>
        <w:tabs>
          <w:tab w:val="left" w:pos="709"/>
        </w:tabs>
        <w:spacing w:line="240" w:lineRule="auto"/>
        <w:ind w:left="567" w:right="567"/>
        <w:rPr>
          <w:rFonts w:cs="Arial"/>
          <w:b/>
          <w:i/>
          <w:sz w:val="22"/>
          <w:u w:val="single"/>
        </w:rPr>
      </w:pPr>
    </w:p>
    <w:p w14:paraId="2907CC75" w14:textId="77777777" w:rsidR="00093922" w:rsidRPr="004C511E" w:rsidRDefault="00093922" w:rsidP="00093922">
      <w:pPr>
        <w:tabs>
          <w:tab w:val="left" w:pos="709"/>
        </w:tabs>
        <w:spacing w:line="240" w:lineRule="auto"/>
        <w:ind w:left="567" w:right="567"/>
        <w:rPr>
          <w:rFonts w:cs="Arial"/>
          <w:i/>
          <w:sz w:val="22"/>
        </w:rPr>
      </w:pPr>
      <w:r w:rsidRPr="004C511E">
        <w:rPr>
          <w:rFonts w:cs="Arial"/>
          <w:b/>
          <w:i/>
          <w:sz w:val="22"/>
          <w:u w:val="single"/>
        </w:rPr>
        <w:t>En cualquier caso, se deberá fundar y motivar la necesidad de ofrecer otras modalidades.</w:t>
      </w:r>
    </w:p>
    <w:p w14:paraId="2B3B744E" w14:textId="77777777" w:rsidR="00093922" w:rsidRPr="004C511E" w:rsidRDefault="00093922" w:rsidP="00093922">
      <w:pPr>
        <w:contextualSpacing/>
        <w:rPr>
          <w:szCs w:val="24"/>
        </w:rPr>
      </w:pPr>
    </w:p>
    <w:p w14:paraId="22E998F9" w14:textId="77777777" w:rsidR="00093922" w:rsidRPr="004C511E" w:rsidRDefault="00093922" w:rsidP="00093922">
      <w:pPr>
        <w:pStyle w:val="NormalINFOEM"/>
      </w:pPr>
      <w:r w:rsidRPr="004C511E">
        <w:t>Asimismo, se dejó de observar lo dispuesto en los numerales Vigésimo Cuarto, Vigésimo Quinto y Vigésimo Sexto de los Lineamientos para la operación del Sistema de Acceso a la Información Mexiquense (SAIMEX) y del Sistema de Acceso, Rectificación, Cancelación y Oposición de Datos Personales del Estado de México (SARCOEM).</w:t>
      </w:r>
    </w:p>
    <w:p w14:paraId="769E4A9E" w14:textId="77777777" w:rsidR="00093922" w:rsidRPr="004C511E" w:rsidRDefault="00093922" w:rsidP="00093922">
      <w:pPr>
        <w:pStyle w:val="NormalINFOEM"/>
      </w:pPr>
    </w:p>
    <w:p w14:paraId="31A17826" w14:textId="77777777" w:rsidR="00093922" w:rsidRPr="004C511E" w:rsidRDefault="00093922" w:rsidP="00093922">
      <w:pPr>
        <w:contextualSpacing/>
        <w:rPr>
          <w:b/>
          <w:szCs w:val="24"/>
        </w:rPr>
      </w:pPr>
      <w:r w:rsidRPr="004C511E">
        <w:rPr>
          <w:szCs w:val="24"/>
        </w:rPr>
        <w:t xml:space="preserve">Así, se tiene que la Ley de Transparencia estatal busca privilegiar la entrega de la información solicitada en la modalidad requerida por el particular; en ese sentido, el artículo establece que tanto la modalidad de entrega como la forma de envío de la información se hará preferentemente como lo haya señalado el requirente. En los casos en que esto no sea posible, el Sujeto Obligado podrá garantizar la entrega a través de cualquier otro medio, siempre y cuando funde y motive la razón para hacerlo. </w:t>
      </w:r>
    </w:p>
    <w:p w14:paraId="1A8B2119" w14:textId="77777777" w:rsidR="00093922" w:rsidRPr="004C511E" w:rsidRDefault="00093922" w:rsidP="00093922">
      <w:pPr>
        <w:pStyle w:val="NormalINFOEM"/>
        <w:rPr>
          <w:szCs w:val="24"/>
        </w:rPr>
      </w:pPr>
    </w:p>
    <w:p w14:paraId="66818702" w14:textId="77777777" w:rsidR="00093922" w:rsidRPr="004C511E" w:rsidRDefault="00093922" w:rsidP="00093922">
      <w:pPr>
        <w:contextualSpacing/>
        <w:rPr>
          <w:szCs w:val="24"/>
        </w:rPr>
      </w:pPr>
      <w:r w:rsidRPr="004C511E">
        <w:rPr>
          <w:szCs w:val="24"/>
        </w:rPr>
        <w:t xml:space="preserve">La necesidad de fundar y motivar es imperante en todos los actos que emite cualquier autoridad, es decir, todo acto que pronuncie en el ejercicio de sus atribuciones debe </w:t>
      </w:r>
      <w:r w:rsidRPr="004C511E">
        <w:rPr>
          <w:szCs w:val="24"/>
        </w:rPr>
        <w:lastRenderedPageBreak/>
        <w:t>expresar los fundamentos legales que le dieron origen y las razones por las que se deben aplicar al caso concreto.</w:t>
      </w:r>
    </w:p>
    <w:p w14:paraId="12254A25" w14:textId="77777777" w:rsidR="00093922" w:rsidRPr="004C511E" w:rsidRDefault="00093922" w:rsidP="00093922">
      <w:pPr>
        <w:contextualSpacing/>
        <w:rPr>
          <w:szCs w:val="24"/>
        </w:rPr>
      </w:pPr>
    </w:p>
    <w:p w14:paraId="3B9A2EEE" w14:textId="77777777" w:rsidR="00093922" w:rsidRPr="004C511E" w:rsidRDefault="00093922" w:rsidP="00093922">
      <w:pPr>
        <w:contextualSpacing/>
        <w:rPr>
          <w:rFonts w:cs="Arial"/>
          <w:color w:val="222222"/>
          <w:szCs w:val="24"/>
        </w:rPr>
      </w:pPr>
      <w:r w:rsidRPr="004C511E">
        <w:rPr>
          <w:rFonts w:cs="Arial"/>
          <w:color w:val="222222"/>
          <w:szCs w:val="24"/>
        </w:rPr>
        <w:t xml:space="preserve">Han sido vastos los estudios doctrinarios relativos a estos derechos fundamentales y al principio de legalidad en ellos contenidos; como ejemplo, el procesalista José Ovalle Fabela, en su obra «Garantías Constitucionales del Proceso», refiere que </w:t>
      </w:r>
      <w:r w:rsidRPr="004C511E">
        <w:rPr>
          <w:rFonts w:cs="Arial"/>
          <w:i/>
          <w:color w:val="222222"/>
          <w:szCs w:val="24"/>
        </w:rPr>
        <w:t>«... la garantía de fundamentación impone a las autoridades el deber de precisar las disposiciones jurídicas que aplican a los hechos de que se trate y que sustenten su competencia, así como de manifestar los razonamientos que demuestren la aplicabilidad de dichas disposiciones, todo lo cual se debe traducir en una argumentación o juicio de derecho. Pero de igual manera, la garantía de motivación exige que las autoridades expongan los razonamientos con base en los cuales llegaron a la conclusión de que esos hechos son ciertos, normalmente a partir del análisis de las pruebas, lo cual se debe exteriorizar en una argumentación o juicio de hecho...»</w:t>
      </w:r>
    </w:p>
    <w:p w14:paraId="250730DC" w14:textId="77777777" w:rsidR="00093922" w:rsidRPr="004C511E" w:rsidRDefault="00093922" w:rsidP="00093922">
      <w:pPr>
        <w:contextualSpacing/>
        <w:rPr>
          <w:rFonts w:cs="Arial"/>
          <w:color w:val="222222"/>
          <w:szCs w:val="24"/>
        </w:rPr>
      </w:pPr>
    </w:p>
    <w:p w14:paraId="1FEA3DF1" w14:textId="77777777" w:rsidR="00093922" w:rsidRPr="004C511E" w:rsidRDefault="00093922" w:rsidP="00093922">
      <w:pPr>
        <w:contextualSpacing/>
        <w:rPr>
          <w:rFonts w:cs="Arial"/>
          <w:color w:val="222222"/>
          <w:szCs w:val="24"/>
        </w:rPr>
      </w:pPr>
      <w:r w:rsidRPr="004C511E">
        <w:rPr>
          <w:rFonts w:cs="Arial"/>
          <w:color w:val="222222"/>
          <w:szCs w:val="24"/>
        </w:rPr>
        <w:t>Por su parte, la Suprema Corte de Justicia emitió la jurisprudencia con registro digital 203143</w:t>
      </w:r>
      <w:r w:rsidRPr="004C511E">
        <w:rPr>
          <w:rFonts w:ascii="Calibri" w:hAnsi="Calibri"/>
          <w:szCs w:val="24"/>
          <w:vertAlign w:val="superscript"/>
        </w:rPr>
        <w:footnoteReference w:id="3"/>
      </w:r>
      <w:r w:rsidRPr="004C511E">
        <w:rPr>
          <w:rFonts w:cs="Arial"/>
          <w:color w:val="222222"/>
          <w:szCs w:val="24"/>
        </w:rPr>
        <w:t xml:space="preserve"> en la que se establece qué debe entenderse por fundamentación y motivación, en la que estipula lo siguiente:</w:t>
      </w:r>
    </w:p>
    <w:p w14:paraId="78570E1B" w14:textId="77777777" w:rsidR="00093922" w:rsidRPr="004C511E" w:rsidRDefault="00093922" w:rsidP="00093922">
      <w:pPr>
        <w:jc w:val="left"/>
        <w:rPr>
          <w:szCs w:val="24"/>
        </w:rPr>
      </w:pPr>
    </w:p>
    <w:p w14:paraId="3EC50D8E" w14:textId="77777777" w:rsidR="00093922" w:rsidRPr="004C511E" w:rsidRDefault="00093922" w:rsidP="00093922">
      <w:pPr>
        <w:spacing w:line="240" w:lineRule="auto"/>
        <w:ind w:left="851" w:right="618"/>
        <w:contextualSpacing/>
        <w:rPr>
          <w:rFonts w:cs="Arial"/>
          <w:i/>
          <w:color w:val="000000"/>
          <w:sz w:val="22"/>
        </w:rPr>
      </w:pPr>
      <w:r w:rsidRPr="004C511E">
        <w:rPr>
          <w:rFonts w:cs="Arial"/>
          <w:b/>
          <w:i/>
          <w:color w:val="000000"/>
          <w:sz w:val="22"/>
        </w:rPr>
        <w:t>FUNDAMENTACIÓN Y MOTIVACIÓN.</w:t>
      </w:r>
      <w:r w:rsidRPr="004C511E">
        <w:rPr>
          <w:rFonts w:cs="Arial"/>
          <w:i/>
          <w:color w:val="000000"/>
          <w:sz w:val="22"/>
        </w:rPr>
        <w:t xml:space="preserve"> </w:t>
      </w:r>
    </w:p>
    <w:p w14:paraId="28A5E212" w14:textId="77777777" w:rsidR="00093922" w:rsidRPr="004C511E" w:rsidRDefault="00093922" w:rsidP="00093922">
      <w:pPr>
        <w:spacing w:line="240" w:lineRule="auto"/>
        <w:ind w:left="851" w:right="618"/>
        <w:contextualSpacing/>
        <w:rPr>
          <w:rFonts w:cs="Arial"/>
          <w:i/>
          <w:iCs/>
          <w:color w:val="000000"/>
          <w:sz w:val="22"/>
          <w:lang w:val="es-ES"/>
        </w:rPr>
      </w:pPr>
      <w:r w:rsidRPr="004C511E">
        <w:rPr>
          <w:rFonts w:cs="Arial"/>
          <w:i/>
          <w:iCs/>
          <w:color w:val="000000" w:themeColor="text1"/>
          <w:sz w:val="22"/>
          <w:lang w:val="es-E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EDE8C13" w14:textId="77777777" w:rsidR="00093922" w:rsidRPr="004C511E" w:rsidRDefault="00093922" w:rsidP="00093922">
      <w:pPr>
        <w:ind w:right="618"/>
        <w:contextualSpacing/>
        <w:rPr>
          <w:rFonts w:cs="Arial"/>
          <w:color w:val="000000"/>
          <w:szCs w:val="24"/>
        </w:rPr>
      </w:pPr>
    </w:p>
    <w:p w14:paraId="3AB0B64E" w14:textId="77777777" w:rsidR="00093922" w:rsidRPr="004C511E" w:rsidRDefault="00093922" w:rsidP="00093922">
      <w:pPr>
        <w:contextualSpacing/>
        <w:rPr>
          <w:rFonts w:cs="Arial"/>
          <w:color w:val="222222"/>
          <w:szCs w:val="24"/>
        </w:rPr>
      </w:pPr>
      <w:r w:rsidRPr="004C511E">
        <w:rPr>
          <w:rFonts w:cs="Arial"/>
          <w:color w:val="222222"/>
          <w:szCs w:val="24"/>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284E9C7D" w14:textId="77777777" w:rsidR="00093922" w:rsidRPr="004C511E" w:rsidRDefault="00093922" w:rsidP="00093922">
      <w:pPr>
        <w:contextualSpacing/>
        <w:rPr>
          <w:rFonts w:cs="Arial"/>
          <w:color w:val="222222"/>
          <w:szCs w:val="24"/>
        </w:rPr>
      </w:pPr>
    </w:p>
    <w:p w14:paraId="6AD62C31" w14:textId="77777777" w:rsidR="00093922" w:rsidRPr="004C511E" w:rsidRDefault="00093922" w:rsidP="00093922">
      <w:pPr>
        <w:contextualSpacing/>
        <w:rPr>
          <w:rFonts w:cs="Arial"/>
          <w:color w:val="222222"/>
          <w:szCs w:val="24"/>
        </w:rPr>
      </w:pPr>
      <w:r w:rsidRPr="004C511E">
        <w:rPr>
          <w:rFonts w:cs="Arial"/>
          <w:color w:val="222222"/>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14:paraId="356A4A43" w14:textId="77777777" w:rsidR="00093922" w:rsidRPr="004C511E" w:rsidRDefault="00093922" w:rsidP="00093922">
      <w:pPr>
        <w:rPr>
          <w:noProof/>
          <w:lang w:val="es-MX"/>
        </w:rPr>
      </w:pPr>
    </w:p>
    <w:p w14:paraId="49AFCCEC" w14:textId="77777777" w:rsidR="00093922" w:rsidRPr="004C511E" w:rsidRDefault="00093922" w:rsidP="00093922">
      <w:pPr>
        <w:rPr>
          <w:i/>
          <w:szCs w:val="24"/>
        </w:rPr>
      </w:pPr>
      <w:r w:rsidRPr="004C511E">
        <w:rPr>
          <w:szCs w:val="24"/>
        </w:rPr>
        <w:t xml:space="preserve">En vista de las consideraciones señaladas, se advierte que el Sujeto Obligado, no justifica en ningún momento de forma fundada y motivada su cambio de modalidad de entrega de la información. </w:t>
      </w:r>
    </w:p>
    <w:p w14:paraId="785558BE" w14:textId="77777777" w:rsidR="00093922" w:rsidRPr="004C511E" w:rsidRDefault="00093922" w:rsidP="00093922"/>
    <w:p w14:paraId="7D3A5726" w14:textId="77777777" w:rsidR="00093922" w:rsidRPr="004C511E" w:rsidRDefault="00093922" w:rsidP="00093922">
      <w:r w:rsidRPr="004C511E">
        <w:t xml:space="preserve">No se omite resaltar que la necesidad de fundar y motivar es imperante en todos los actos que emite cualquier autoridad, por lo que constituye una restricción indirecta del derecho acceso a la información pública, dado que no proporciona la información que requirió el particular y que de manera libre el decidió sobre la vía de la modalidad de entrega de la misma situación que no se respetó. </w:t>
      </w:r>
    </w:p>
    <w:p w14:paraId="422E3CD3" w14:textId="77777777" w:rsidR="00093922" w:rsidRPr="004C511E" w:rsidRDefault="00093922" w:rsidP="00093922"/>
    <w:p w14:paraId="02E03369" w14:textId="77777777" w:rsidR="00093922" w:rsidRPr="004C511E" w:rsidRDefault="00093922" w:rsidP="00093922">
      <w:r w:rsidRPr="004C511E">
        <w:t xml:space="preserve">Ahora bien, la ley de la materia señala en su artículo 158, los casos en que de manera excepcional se puede proceder al cambio de modalidad: </w:t>
      </w:r>
    </w:p>
    <w:p w14:paraId="6E2104EE" w14:textId="77777777" w:rsidR="00093922" w:rsidRPr="004C511E" w:rsidRDefault="00093922" w:rsidP="00093922"/>
    <w:p w14:paraId="03C70ABD" w14:textId="77777777" w:rsidR="00093922" w:rsidRPr="004C511E" w:rsidRDefault="00093922" w:rsidP="00093922">
      <w:pPr>
        <w:pStyle w:val="Fundamentos"/>
      </w:pPr>
      <w:r w:rsidRPr="004C511E">
        <w:rPr>
          <w:b/>
        </w:rPr>
        <w:lastRenderedPageBreak/>
        <w:t>Artículo 158.</w:t>
      </w:r>
      <w:r w:rsidRPr="004C511E">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05F3AAD6" w14:textId="77777777" w:rsidR="00093922" w:rsidRPr="004C511E" w:rsidRDefault="00093922" w:rsidP="00093922"/>
    <w:p w14:paraId="6FED93BA" w14:textId="77777777" w:rsidR="00093922" w:rsidRPr="004C511E" w:rsidRDefault="00093922" w:rsidP="00093922">
      <w:r w:rsidRPr="004C511E">
        <w:t>En todo caso, se facilitará su copia simple o certificada, así como su reproducción por cualquier medio disponible en las instalaciones del sujeto obligado o que, en su caso, aporte el solicitante. Sobre lo anterior, es de señalar que el Instituto Nacional de Transparencia, Acceso a la Información y Protección de Datos Personales (INAI), mediante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deben de buscar la posibilidad de proporcionarla en las otras formas que establecen en la Ley, ya sean electrónicas o físicas.</w:t>
      </w:r>
    </w:p>
    <w:p w14:paraId="08494B6C" w14:textId="77777777" w:rsidR="00093922" w:rsidRPr="004C511E" w:rsidRDefault="00093922" w:rsidP="00093922"/>
    <w:p w14:paraId="16DA23EF" w14:textId="2890B251" w:rsidR="00093922" w:rsidRPr="004C511E" w:rsidRDefault="00093922" w:rsidP="00093922">
      <w:r w:rsidRPr="004C511E">
        <w:t xml:space="preserve">De lo anterior, se desprende que, el Sujeto Obligado no procedió al cambio de modalidad de manera fundada y motivada y es por ello que, en el presente asunto no se justifica el cambio de modalidad, y con el objeto de reparar la afectación al derecho humano de </w:t>
      </w:r>
      <w:r w:rsidRPr="004C511E">
        <w:lastRenderedPageBreak/>
        <w:t>acceso a la información tutelado por este Órgano Garante, deberá remitir la información solicitada por el ahora Recurrente</w:t>
      </w:r>
    </w:p>
    <w:p w14:paraId="49A1396D" w14:textId="77777777" w:rsidR="00093922" w:rsidRPr="004C511E" w:rsidRDefault="00093922" w:rsidP="00093922">
      <w:pPr>
        <w:pBdr>
          <w:top w:val="nil"/>
          <w:left w:val="nil"/>
          <w:bottom w:val="nil"/>
          <w:right w:val="nil"/>
          <w:between w:val="nil"/>
        </w:pBdr>
        <w:contextualSpacing/>
        <w:rPr>
          <w:rFonts w:eastAsia="Palatino Linotype" w:cs="Palatino Linotype"/>
          <w:color w:val="000000"/>
          <w:szCs w:val="24"/>
        </w:rPr>
      </w:pPr>
    </w:p>
    <w:p w14:paraId="4924EDE1" w14:textId="77777777" w:rsidR="00093922" w:rsidRPr="004C511E" w:rsidRDefault="00093922" w:rsidP="00093922">
      <w:r w:rsidRPr="004C511E">
        <w:t xml:space="preserve">Por tal razón, este Instituto en uso de las facultades que la propia legislación le otorga deberá ordenar la entrega de la información solicitada, dada la aceptación del Sujeto Obligado de generar, poseer o administrarla, es decir, de tener conocimiento de lo requerido. </w:t>
      </w:r>
    </w:p>
    <w:p w14:paraId="478AAB57" w14:textId="77777777" w:rsidR="00093922" w:rsidRPr="004C511E" w:rsidRDefault="00093922" w:rsidP="007B5841">
      <w:pPr>
        <w:rPr>
          <w:rFonts w:eastAsia="Palatino Linotype" w:cs="Palatino Linotype"/>
          <w:szCs w:val="24"/>
        </w:rPr>
      </w:pPr>
    </w:p>
    <w:p w14:paraId="40ED27AF" w14:textId="5D9EA9FE" w:rsidR="00D97888" w:rsidRPr="004C511E" w:rsidRDefault="00D97888" w:rsidP="00D97888">
      <w:pPr>
        <w:rPr>
          <w:rFonts w:eastAsia="Palatino Linotype" w:cs="Palatino Linotype"/>
        </w:rPr>
      </w:pPr>
      <w:r w:rsidRPr="004C511E">
        <w:rPr>
          <w:rFonts w:eastAsia="Palatino Linotype" w:cs="Palatino Linotype"/>
        </w:rPr>
        <w:t xml:space="preserve">Por lo argumentado en párrafos anteriores, este Instituto estima que los motivos de inconformidad planteados por el Recurrente devienen fundados, por lo que es procedente revocar la respuesta y ordenar al Sujeto Obligado a que haga entrega de los documentos </w:t>
      </w:r>
      <w:r w:rsidR="006273C6" w:rsidRPr="004C511E">
        <w:rPr>
          <w:rFonts w:eastAsia="Palatino Linotype" w:cs="Palatino Linotype"/>
        </w:rPr>
        <w:t xml:space="preserve">en donde consten </w:t>
      </w:r>
      <w:r w:rsidR="00C419AF" w:rsidRPr="004C511E">
        <w:rPr>
          <w:rFonts w:eastAsiaTheme="minorEastAsia" w:cstheme="minorBidi"/>
          <w:lang w:val="es-ES" w:eastAsia="en-US"/>
        </w:rPr>
        <w:t>las facturas pagadas y en proceso de pago por más de un $1 000 000.00 (un millón de pesos 00/100 M.N.) que se hayan generado durante el periodo comprendido del primero de enero al diez de noviembre de dos mil veinticinco</w:t>
      </w:r>
      <w:r w:rsidRPr="004C511E">
        <w:rPr>
          <w:rFonts w:eastAsia="Palatino Linotype" w:cs="Palatino Linotype"/>
        </w:rPr>
        <w:t>, en versión pública de ser procedente.</w:t>
      </w:r>
    </w:p>
    <w:p w14:paraId="65182948" w14:textId="77777777" w:rsidR="00D97888" w:rsidRPr="004C511E" w:rsidRDefault="00D97888" w:rsidP="00D97888"/>
    <w:p w14:paraId="6AF49EA6" w14:textId="77777777" w:rsidR="00D97888" w:rsidRPr="004C511E" w:rsidRDefault="00D97888" w:rsidP="00D97888">
      <w:pPr>
        <w:pStyle w:val="Ttulo3"/>
        <w:rPr>
          <w:rFonts w:eastAsia="Palatino Linotype"/>
        </w:rPr>
      </w:pPr>
      <w:r w:rsidRPr="004C511E">
        <w:rPr>
          <w:rFonts w:eastAsia="Palatino Linotype"/>
        </w:rPr>
        <w:t>DE LA VERSIÓN PÚBLICA</w:t>
      </w:r>
    </w:p>
    <w:p w14:paraId="45772AEF" w14:textId="77777777" w:rsidR="00D97888" w:rsidRPr="004C511E" w:rsidRDefault="00D97888" w:rsidP="00D97888">
      <w:pPr>
        <w:rPr>
          <w:rFonts w:eastAsia="Palatino Linotype" w:cs="Palatino Linotype"/>
          <w:szCs w:val="24"/>
        </w:rPr>
      </w:pPr>
      <w:r w:rsidRPr="004C511E">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07B6EA92" w14:textId="77777777" w:rsidR="00D97888" w:rsidRPr="004C511E" w:rsidRDefault="00D97888" w:rsidP="00D97888">
      <w:pPr>
        <w:rPr>
          <w:rFonts w:eastAsia="Palatino Linotype" w:cs="Palatino Linotype"/>
          <w:szCs w:val="24"/>
        </w:rPr>
      </w:pPr>
    </w:p>
    <w:p w14:paraId="0F518B0E"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Artículo 3.</w:t>
      </w:r>
      <w:r w:rsidRPr="004C511E">
        <w:rPr>
          <w:rFonts w:eastAsia="Palatino Linotype" w:cs="Palatino Linotype"/>
          <w:i/>
          <w:color w:val="000000"/>
          <w:sz w:val="22"/>
          <w:szCs w:val="24"/>
        </w:rPr>
        <w:t xml:space="preserve"> Para los efectos de la presente Ley se entenderá por:</w:t>
      </w:r>
    </w:p>
    <w:p w14:paraId="46504B69"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i/>
          <w:color w:val="000000"/>
          <w:sz w:val="22"/>
          <w:szCs w:val="24"/>
        </w:rPr>
        <w:t>[…]</w:t>
      </w:r>
    </w:p>
    <w:p w14:paraId="1169E53F"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lastRenderedPageBreak/>
        <w:t>IX. Datos personales:</w:t>
      </w:r>
      <w:r w:rsidRPr="004C511E">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268C5D28"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XX.</w:t>
      </w:r>
      <w:r w:rsidRPr="004C511E">
        <w:rPr>
          <w:rFonts w:eastAsia="Palatino Linotype" w:cs="Palatino Linotype"/>
          <w:i/>
          <w:color w:val="000000"/>
          <w:sz w:val="22"/>
          <w:szCs w:val="24"/>
        </w:rPr>
        <w:t xml:space="preserve"> </w:t>
      </w:r>
      <w:r w:rsidRPr="004C511E">
        <w:rPr>
          <w:rFonts w:eastAsia="Palatino Linotype" w:cs="Palatino Linotype"/>
          <w:b/>
          <w:i/>
          <w:color w:val="000000"/>
          <w:sz w:val="22"/>
          <w:szCs w:val="24"/>
        </w:rPr>
        <w:t>Información clasificada:</w:t>
      </w:r>
      <w:r w:rsidRPr="004C511E">
        <w:rPr>
          <w:rFonts w:eastAsia="Palatino Linotype" w:cs="Palatino Linotype"/>
          <w:i/>
          <w:color w:val="000000"/>
          <w:sz w:val="22"/>
          <w:szCs w:val="24"/>
        </w:rPr>
        <w:t xml:space="preserve"> Aquella considerada por la presente Ley como reservada o confidencial;</w:t>
      </w:r>
    </w:p>
    <w:p w14:paraId="71DE9501"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XXI.</w:t>
      </w:r>
      <w:r w:rsidRPr="004C511E">
        <w:rPr>
          <w:rFonts w:eastAsia="Palatino Linotype" w:cs="Palatino Linotype"/>
          <w:i/>
          <w:color w:val="000000"/>
          <w:sz w:val="22"/>
          <w:szCs w:val="24"/>
        </w:rPr>
        <w:t xml:space="preserve"> </w:t>
      </w:r>
      <w:r w:rsidRPr="004C511E">
        <w:rPr>
          <w:rFonts w:eastAsia="Palatino Linotype" w:cs="Palatino Linotype"/>
          <w:b/>
          <w:i/>
          <w:color w:val="000000"/>
          <w:sz w:val="22"/>
          <w:szCs w:val="24"/>
        </w:rPr>
        <w:t>Información confidencial:</w:t>
      </w:r>
      <w:r w:rsidRPr="004C511E">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3074087"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w:t>
      </w:r>
    </w:p>
    <w:p w14:paraId="48432394"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XLV.</w:t>
      </w:r>
      <w:r w:rsidRPr="004C511E">
        <w:rPr>
          <w:rFonts w:eastAsia="Palatino Linotype" w:cs="Palatino Linotype"/>
          <w:i/>
          <w:color w:val="000000"/>
          <w:sz w:val="22"/>
          <w:szCs w:val="24"/>
        </w:rPr>
        <w:t xml:space="preserve"> </w:t>
      </w:r>
      <w:r w:rsidRPr="004C511E">
        <w:rPr>
          <w:rFonts w:eastAsia="Palatino Linotype" w:cs="Palatino Linotype"/>
          <w:b/>
          <w:i/>
          <w:color w:val="000000"/>
          <w:sz w:val="22"/>
          <w:szCs w:val="24"/>
        </w:rPr>
        <w:t>Versión pública:</w:t>
      </w:r>
      <w:r w:rsidRPr="004C511E">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52B8C8DF"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i/>
          <w:color w:val="000000"/>
          <w:sz w:val="22"/>
          <w:szCs w:val="24"/>
        </w:rPr>
        <w:t>[…]</w:t>
      </w:r>
    </w:p>
    <w:p w14:paraId="15FEF745"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160C6E3"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 xml:space="preserve">Artículo 91. </w:t>
      </w:r>
      <w:r w:rsidRPr="004C511E">
        <w:rPr>
          <w:rFonts w:eastAsia="Palatino Linotype" w:cs="Palatino Linotype"/>
          <w:i/>
          <w:color w:val="000000"/>
          <w:sz w:val="22"/>
          <w:szCs w:val="24"/>
        </w:rPr>
        <w:t>El acceso a la información pública será restringido excepcionalmente, cuando ésta sea clasificada como reservada o confidencial.</w:t>
      </w:r>
    </w:p>
    <w:p w14:paraId="28BAF4D8"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74FB80B"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Artículo 132.</w:t>
      </w:r>
      <w:r w:rsidRPr="004C511E">
        <w:rPr>
          <w:rFonts w:eastAsia="Palatino Linotype" w:cs="Palatino Linotype"/>
          <w:i/>
          <w:color w:val="000000"/>
          <w:sz w:val="22"/>
          <w:szCs w:val="24"/>
        </w:rPr>
        <w:t xml:space="preserve"> </w:t>
      </w:r>
      <w:r w:rsidRPr="004C511E">
        <w:rPr>
          <w:rFonts w:eastAsia="Palatino Linotype" w:cs="Palatino Linotype"/>
          <w:i/>
          <w:color w:val="000000"/>
          <w:sz w:val="22"/>
          <w:szCs w:val="24"/>
          <w:u w:val="single"/>
        </w:rPr>
        <w:t>La clasificación de la información se llevará a cabo en el momento en que</w:t>
      </w:r>
      <w:r w:rsidRPr="004C511E">
        <w:rPr>
          <w:rFonts w:eastAsia="Palatino Linotype" w:cs="Palatino Linotype"/>
          <w:i/>
          <w:color w:val="000000"/>
          <w:sz w:val="22"/>
          <w:szCs w:val="24"/>
        </w:rPr>
        <w:t>:</w:t>
      </w:r>
    </w:p>
    <w:p w14:paraId="385452F7"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I.</w:t>
      </w:r>
      <w:r w:rsidRPr="004C511E">
        <w:rPr>
          <w:rFonts w:eastAsia="Palatino Linotype" w:cs="Palatino Linotype"/>
          <w:i/>
          <w:color w:val="000000"/>
          <w:sz w:val="22"/>
          <w:szCs w:val="24"/>
        </w:rPr>
        <w:t xml:space="preserve"> Se reciba una solicitud de acceso a la información;</w:t>
      </w:r>
    </w:p>
    <w:p w14:paraId="15FFA6D3"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II.</w:t>
      </w:r>
      <w:r w:rsidRPr="004C511E">
        <w:rPr>
          <w:rFonts w:eastAsia="Palatino Linotype" w:cs="Palatino Linotype"/>
          <w:i/>
          <w:color w:val="000000"/>
          <w:sz w:val="22"/>
          <w:szCs w:val="24"/>
        </w:rPr>
        <w:t xml:space="preserve"> </w:t>
      </w:r>
      <w:r w:rsidRPr="004C511E">
        <w:rPr>
          <w:rFonts w:eastAsia="Palatino Linotype" w:cs="Palatino Linotype"/>
          <w:i/>
          <w:color w:val="000000"/>
          <w:sz w:val="22"/>
          <w:szCs w:val="24"/>
          <w:u w:val="single"/>
        </w:rPr>
        <w:t>Se determine mediante resolución de autoridad competente; o</w:t>
      </w:r>
    </w:p>
    <w:p w14:paraId="0BAF9F02"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4C511E">
        <w:rPr>
          <w:rFonts w:eastAsia="Palatino Linotype" w:cs="Palatino Linotype"/>
          <w:b/>
          <w:i/>
          <w:color w:val="000000"/>
          <w:sz w:val="22"/>
          <w:szCs w:val="24"/>
        </w:rPr>
        <w:t>III.</w:t>
      </w:r>
      <w:r w:rsidRPr="004C511E">
        <w:rPr>
          <w:rFonts w:eastAsia="Palatino Linotype" w:cs="Palatino Linotype"/>
          <w:i/>
          <w:color w:val="000000"/>
          <w:sz w:val="22"/>
          <w:szCs w:val="24"/>
        </w:rPr>
        <w:t xml:space="preserve"> </w:t>
      </w:r>
      <w:r w:rsidRPr="004C511E">
        <w:rPr>
          <w:rFonts w:eastAsia="Palatino Linotype" w:cs="Palatino Linotype"/>
          <w:i/>
          <w:color w:val="000000"/>
          <w:sz w:val="22"/>
          <w:szCs w:val="24"/>
          <w:u w:val="single"/>
        </w:rPr>
        <w:t>Se generen versiones públicas para dar cumplimiento a las obligaciones de transparencia previstas en esta Ley.</w:t>
      </w:r>
    </w:p>
    <w:p w14:paraId="6B73C599"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i/>
          <w:color w:val="000000"/>
          <w:sz w:val="22"/>
          <w:szCs w:val="24"/>
        </w:rPr>
        <w:t>[…]</w:t>
      </w:r>
    </w:p>
    <w:p w14:paraId="53706F6C"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B6F7135"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Artículo 143.</w:t>
      </w:r>
      <w:r w:rsidRPr="004C511E">
        <w:rPr>
          <w:rFonts w:eastAsia="Palatino Linotype" w:cs="Palatino Linotype"/>
          <w:i/>
          <w:color w:val="000000"/>
          <w:sz w:val="22"/>
          <w:szCs w:val="24"/>
        </w:rPr>
        <w:t xml:space="preserve"> </w:t>
      </w:r>
      <w:r w:rsidRPr="004C511E">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4C511E">
        <w:rPr>
          <w:rFonts w:eastAsia="Palatino Linotype" w:cs="Palatino Linotype"/>
          <w:i/>
          <w:color w:val="000000"/>
          <w:sz w:val="22"/>
          <w:szCs w:val="24"/>
        </w:rPr>
        <w:t>:</w:t>
      </w:r>
    </w:p>
    <w:p w14:paraId="1D56B21B"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I.</w:t>
      </w:r>
      <w:r w:rsidRPr="004C511E">
        <w:rPr>
          <w:rFonts w:eastAsia="Palatino Linotype" w:cs="Palatino Linotype"/>
          <w:i/>
          <w:color w:val="000000"/>
          <w:sz w:val="22"/>
          <w:szCs w:val="24"/>
        </w:rPr>
        <w:t xml:space="preserve"> </w:t>
      </w:r>
      <w:r w:rsidRPr="004C511E">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4C511E">
        <w:rPr>
          <w:rFonts w:eastAsia="Palatino Linotype" w:cs="Palatino Linotype"/>
          <w:i/>
          <w:color w:val="000000"/>
          <w:sz w:val="22"/>
          <w:szCs w:val="24"/>
        </w:rPr>
        <w:t>;</w:t>
      </w:r>
    </w:p>
    <w:p w14:paraId="21FB83F6"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II.</w:t>
      </w:r>
      <w:r w:rsidRPr="004C511E">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4C511E">
        <w:rPr>
          <w:rFonts w:eastAsia="Palatino Linotype" w:cs="Palatino Linotype"/>
          <w:i/>
          <w:color w:val="000000"/>
          <w:sz w:val="22"/>
          <w:szCs w:val="24"/>
        </w:rPr>
        <w:t>; y</w:t>
      </w:r>
    </w:p>
    <w:p w14:paraId="49023927"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III.</w:t>
      </w:r>
      <w:r w:rsidRPr="004C511E">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75575D43"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4C511E">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33A1DA36"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4C511E">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633D21A8" w14:textId="77777777" w:rsidR="00D97888" w:rsidRPr="004C511E" w:rsidRDefault="00D97888" w:rsidP="00D97888">
      <w:pPr>
        <w:rPr>
          <w:rFonts w:eastAsia="Palatino Linotype" w:cs="Palatino Linotype"/>
          <w:i/>
          <w:szCs w:val="24"/>
        </w:rPr>
      </w:pPr>
    </w:p>
    <w:p w14:paraId="3B411448" w14:textId="77777777" w:rsidR="00D97888" w:rsidRPr="004C511E" w:rsidRDefault="00D97888" w:rsidP="00D97888">
      <w:pPr>
        <w:rPr>
          <w:rFonts w:eastAsia="Palatino Linotype" w:cs="Palatino Linotype"/>
        </w:rPr>
      </w:pPr>
      <w:r w:rsidRPr="004C511E">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AB3D75C" w14:textId="77777777" w:rsidR="00D97888" w:rsidRPr="004C511E" w:rsidRDefault="00D97888" w:rsidP="00D97888">
      <w:pPr>
        <w:rPr>
          <w:rFonts w:eastAsia="Palatino Linotype" w:cs="Palatino Linotype"/>
          <w:szCs w:val="24"/>
        </w:rPr>
      </w:pPr>
    </w:p>
    <w:p w14:paraId="7059D004" w14:textId="77777777" w:rsidR="00D97888" w:rsidRPr="004C511E" w:rsidRDefault="00D97888" w:rsidP="00D97888">
      <w:pPr>
        <w:rPr>
          <w:rFonts w:eastAsia="Palatino Linotype" w:cs="Palatino Linotype"/>
          <w:szCs w:val="24"/>
        </w:rPr>
      </w:pPr>
      <w:r w:rsidRPr="004C511E">
        <w:rPr>
          <w:rFonts w:eastAsia="Palatino Linotype" w:cs="Palatino Linotype"/>
          <w:szCs w:val="24"/>
        </w:rPr>
        <w:t>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08E235D" w14:textId="77777777" w:rsidR="00D97888" w:rsidRPr="004C511E" w:rsidRDefault="00D97888" w:rsidP="00D97888">
      <w:pPr>
        <w:rPr>
          <w:rFonts w:eastAsia="Palatino Linotype" w:cs="Palatino Linotype"/>
          <w:szCs w:val="24"/>
        </w:rPr>
      </w:pPr>
    </w:p>
    <w:p w14:paraId="27EF6EA5" w14:textId="77777777" w:rsidR="00D97888" w:rsidRPr="004C511E" w:rsidRDefault="00D97888" w:rsidP="00D97888">
      <w:pPr>
        <w:rPr>
          <w:rFonts w:eastAsia="Palatino Linotype" w:cs="Palatino Linotype"/>
          <w:szCs w:val="24"/>
        </w:rPr>
      </w:pPr>
      <w:r w:rsidRPr="004C511E">
        <w:rPr>
          <w:rFonts w:eastAsia="Palatino Linotype" w:cs="Palatino Linotype"/>
          <w:szCs w:val="24"/>
        </w:rPr>
        <w:t>Asimismo, los Lineamientos Quincuagésimo sexto, Quincuagésimo séptimo y Quincuagésimo octavo, establecen lo siguiente:</w:t>
      </w:r>
    </w:p>
    <w:p w14:paraId="27746AD6" w14:textId="77777777" w:rsidR="00D97888" w:rsidRPr="004C511E" w:rsidRDefault="00D97888" w:rsidP="00D97888">
      <w:pPr>
        <w:rPr>
          <w:rFonts w:eastAsia="Palatino Linotype" w:cs="Palatino Linotype"/>
        </w:rPr>
      </w:pPr>
    </w:p>
    <w:p w14:paraId="383364BE"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4C511E">
        <w:rPr>
          <w:rFonts w:eastAsia="Palatino Linotype" w:cs="Palatino Linotype"/>
          <w:b/>
          <w:i/>
          <w:color w:val="000000"/>
          <w:sz w:val="22"/>
          <w:szCs w:val="24"/>
        </w:rPr>
        <w:t>Quincuagésimo sexto.</w:t>
      </w:r>
      <w:r w:rsidRPr="004C511E">
        <w:rPr>
          <w:rFonts w:eastAsia="Palatino Linotype" w:cs="Palatino Linotype"/>
          <w:i/>
          <w:color w:val="000000"/>
          <w:sz w:val="22"/>
          <w:szCs w:val="24"/>
        </w:rPr>
        <w:t xml:space="preserve"> </w:t>
      </w:r>
      <w:r w:rsidRPr="004C511E">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6AC8E10"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4D2C8C4"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b/>
          <w:i/>
          <w:color w:val="000000"/>
          <w:sz w:val="22"/>
          <w:szCs w:val="24"/>
        </w:rPr>
        <w:t>Quincuagésimo séptimo.</w:t>
      </w:r>
      <w:r w:rsidRPr="004C511E">
        <w:rPr>
          <w:rFonts w:eastAsia="Palatino Linotype" w:cs="Palatino Linotype"/>
          <w:i/>
          <w:color w:val="000000"/>
          <w:sz w:val="22"/>
          <w:szCs w:val="24"/>
        </w:rPr>
        <w:t xml:space="preserve"> Se considera, en principio, como información pública y no podrá omitirse de las versiones públicas la siguiente:</w:t>
      </w:r>
    </w:p>
    <w:p w14:paraId="656CCF95"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A6472CE"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i/>
          <w:color w:val="000000"/>
          <w:sz w:val="22"/>
          <w:szCs w:val="24"/>
        </w:rPr>
        <w:lastRenderedPageBreak/>
        <w:t xml:space="preserve">I. La relativa a las Obligaciones de Transparencia que contempla el Título V de la Ley General y las demás disposiciones legales aplicables; </w:t>
      </w:r>
    </w:p>
    <w:p w14:paraId="1A94FCFD"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0BA3992"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4C511E">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33F70B3"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3D37AFE"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4C511E">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33220E55"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C8CA53A" w14:textId="77777777" w:rsidR="00D97888" w:rsidRPr="004C511E"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4C511E">
        <w:rPr>
          <w:rFonts w:eastAsia="Palatino Linotype" w:cs="Palatino Linotype"/>
          <w:b/>
          <w:bCs/>
          <w:i/>
          <w:iCs/>
          <w:color w:val="000000" w:themeColor="text1"/>
          <w:sz w:val="22"/>
        </w:rPr>
        <w:t>Quincuagésimo octavo.</w:t>
      </w:r>
      <w:r w:rsidRPr="004C511E">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7AAB6D72" w14:textId="77777777" w:rsidR="00D97888" w:rsidRPr="004C511E" w:rsidRDefault="00D97888" w:rsidP="00D97888">
      <w:pPr>
        <w:rPr>
          <w:rFonts w:eastAsia="Palatino Linotype" w:cs="Palatino Linotype"/>
          <w:i/>
          <w:szCs w:val="24"/>
        </w:rPr>
      </w:pPr>
    </w:p>
    <w:p w14:paraId="1D92A447" w14:textId="77777777" w:rsidR="00D97888" w:rsidRPr="004C511E" w:rsidRDefault="00D97888" w:rsidP="00D97888">
      <w:pPr>
        <w:rPr>
          <w:rFonts w:eastAsia="Palatino Linotype" w:cs="Palatino Linotype"/>
          <w:szCs w:val="24"/>
        </w:rPr>
      </w:pPr>
      <w:r w:rsidRPr="004C511E">
        <w:rPr>
          <w:rFonts w:eastAsia="Palatino Linotype" w:cs="Palatino Linotype"/>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1DB506FF" w14:textId="77777777" w:rsidR="00D97888" w:rsidRPr="004C511E" w:rsidRDefault="00D97888" w:rsidP="00D97888">
      <w:pPr>
        <w:rPr>
          <w:rFonts w:eastAsia="Palatino Linotype" w:cs="Palatino Linotype"/>
          <w:szCs w:val="24"/>
        </w:rPr>
      </w:pPr>
    </w:p>
    <w:p w14:paraId="44DA17E3" w14:textId="77777777" w:rsidR="00D97888" w:rsidRPr="004C511E" w:rsidRDefault="00D97888" w:rsidP="00D97888">
      <w:pPr>
        <w:rPr>
          <w:rFonts w:eastAsia="Palatino Linotype" w:cs="Palatino Linotype"/>
        </w:rPr>
      </w:pPr>
      <w:r w:rsidRPr="004C511E">
        <w:rPr>
          <w:rFonts w:eastAsia="Palatino Linotype" w:cs="Palatino Linotype"/>
        </w:rPr>
        <w:t xml:space="preserve">Debe agregarse, que el Sujeto Obligado al entregar la referida documentación, debe dejar visible los datos del proveedor o contratistas, el registro federal de contribuyentes y el </w:t>
      </w:r>
      <w:r w:rsidRPr="004C511E">
        <w:rPr>
          <w:rFonts w:eastAsia="Palatino Linotype" w:cs="Palatino Linotype"/>
        </w:rPr>
        <w:lastRenderedPageBreak/>
        <w:t xml:space="preserve">domicilio fiscal; es decir, no debe testarse dato alguno relacionado con el contribuyente aunque el proveedor o contratista sea una persona física. </w:t>
      </w:r>
    </w:p>
    <w:p w14:paraId="7DD34297" w14:textId="77777777" w:rsidR="00D97888" w:rsidRPr="004C511E" w:rsidRDefault="00D97888" w:rsidP="00D97888">
      <w:pPr>
        <w:rPr>
          <w:rFonts w:eastAsia="Palatino Linotype" w:cs="Palatino Linotype"/>
          <w:szCs w:val="24"/>
        </w:rPr>
      </w:pPr>
    </w:p>
    <w:p w14:paraId="2CAEA6F9" w14:textId="77777777" w:rsidR="00D97888" w:rsidRPr="004C511E" w:rsidRDefault="00D97888" w:rsidP="00D97888">
      <w:pPr>
        <w:rPr>
          <w:rFonts w:eastAsia="Palatino Linotype" w:cs="Palatino Linotype"/>
          <w:szCs w:val="24"/>
        </w:rPr>
      </w:pPr>
      <w:r w:rsidRPr="004C511E">
        <w:rPr>
          <w:rFonts w:eastAsia="Palatino Linotype" w:cs="Palatino Linotype"/>
          <w:szCs w:val="24"/>
        </w:rPr>
        <w:t xml:space="preserve">Lo anterior se debe a que, del ejercicio de ponderación entre el derecho a la protección de datos personales y el derecho de acceso a la información pública, es de mayor trascendencia el que cualquier persona pueda conocer en qué se gastan los recursos públicos, puesto que se trata de erogaciones de recursos públicos, por lo que se debe transparentar su ejercicio. </w:t>
      </w:r>
    </w:p>
    <w:p w14:paraId="43486B8F" w14:textId="77777777" w:rsidR="00D97888" w:rsidRPr="004C511E" w:rsidRDefault="00D97888" w:rsidP="00D97888">
      <w:pPr>
        <w:rPr>
          <w:rFonts w:eastAsia="Palatino Linotype" w:cs="Palatino Linotype"/>
          <w:szCs w:val="24"/>
        </w:rPr>
      </w:pPr>
    </w:p>
    <w:p w14:paraId="4C532344" w14:textId="77777777" w:rsidR="00D97888" w:rsidRPr="004C511E" w:rsidRDefault="00D97888" w:rsidP="00D97888">
      <w:pPr>
        <w:rPr>
          <w:rFonts w:eastAsia="Palatino Linotype" w:cs="Palatino Linotype"/>
          <w:szCs w:val="24"/>
        </w:rPr>
      </w:pPr>
      <w:r w:rsidRPr="004C511E">
        <w:rPr>
          <w:rFonts w:eastAsia="Palatino Linotype" w:cs="Palatino Linotype"/>
          <w:szCs w:val="24"/>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 esto es, se están realizando pagos a una persona que realiza una obra o presta un servicio, por la que se hizo un pago con dinero del erario público.</w:t>
      </w:r>
    </w:p>
    <w:p w14:paraId="2C7CCB22" w14:textId="77777777" w:rsidR="00D97888" w:rsidRPr="004C511E" w:rsidRDefault="00D97888" w:rsidP="00D97888">
      <w:pPr>
        <w:rPr>
          <w:rFonts w:eastAsia="Palatino Linotype" w:cs="Palatino Linotype"/>
          <w:szCs w:val="24"/>
        </w:rPr>
      </w:pPr>
    </w:p>
    <w:p w14:paraId="4A89B29D" w14:textId="77777777" w:rsidR="00D97888" w:rsidRPr="004C511E" w:rsidRDefault="00D97888" w:rsidP="00D97888">
      <w:pPr>
        <w:rPr>
          <w:rFonts w:eastAsia="Palatino Linotype" w:cs="Palatino Linotype"/>
          <w:szCs w:val="24"/>
        </w:rPr>
      </w:pPr>
      <w:r w:rsidRPr="004C511E">
        <w:rPr>
          <w:rFonts w:eastAsia="Palatino Linotype" w:cs="Palatino Linotype"/>
          <w:szCs w:val="24"/>
        </w:rPr>
        <w:t xml:space="preserve">Ahora bien, respecto de los números de cuentas bancarias, claves estandarizadas interbancarias (CLABES) y de tarjetas de los proveedores, este Pleno considera que es información que debe clasificarse como confidencial y por lo tanto debe elaborarse una versión en que ésta se teste. </w:t>
      </w:r>
    </w:p>
    <w:p w14:paraId="1F961405" w14:textId="77777777" w:rsidR="00D97888" w:rsidRPr="004C511E" w:rsidRDefault="00D97888" w:rsidP="00D97888">
      <w:pPr>
        <w:rPr>
          <w:rFonts w:eastAsia="Palatino Linotype" w:cs="Palatino Linotype"/>
          <w:szCs w:val="24"/>
        </w:rPr>
      </w:pPr>
    </w:p>
    <w:p w14:paraId="5B8AB545" w14:textId="77777777" w:rsidR="00D97888" w:rsidRPr="004C511E" w:rsidRDefault="00D97888" w:rsidP="00D97888">
      <w:pPr>
        <w:rPr>
          <w:rFonts w:eastAsia="Palatino Linotype" w:cs="Palatino Linotype"/>
        </w:rPr>
      </w:pPr>
      <w:r w:rsidRPr="004C511E">
        <w:rPr>
          <w:rFonts w:eastAsia="Palatino Linotype" w:cs="Palatino Linotype"/>
        </w:rPr>
        <w:lastRenderedPageBreak/>
        <w:t>Esto es así, ya que el número de cuenta bancaria se trata de información que sólo su titular o personas autorizadas poseen, entre otros elementos, para el acceso o consulta de información patrimonial, así como para la realización de operaciones bancarias de diversa índole, por lo que la difusión pública de dicha información facilitaría a cualquier persona interesada en afectar el patrimonio del titular de la cuenta; realice conductas tendientes a tal fin y tipificadas como delitos, con lo que se ocasionaría un serio perjuicio a su titular.</w:t>
      </w:r>
    </w:p>
    <w:p w14:paraId="7358ED68" w14:textId="77777777" w:rsidR="00D97888" w:rsidRPr="004C511E" w:rsidRDefault="00D97888" w:rsidP="00D97888">
      <w:pPr>
        <w:rPr>
          <w:rFonts w:eastAsia="Palatino Linotype" w:cs="Palatino Linotype"/>
          <w:szCs w:val="24"/>
        </w:rPr>
      </w:pPr>
    </w:p>
    <w:p w14:paraId="3598AAB7" w14:textId="77777777" w:rsidR="00D97888" w:rsidRPr="004C511E" w:rsidRDefault="00D97888" w:rsidP="00D97888">
      <w:pPr>
        <w:rPr>
          <w:rFonts w:eastAsia="Palatino Linotype" w:cs="Palatino Linotype"/>
        </w:rPr>
      </w:pPr>
      <w:r w:rsidRPr="004C511E">
        <w:rPr>
          <w:rFonts w:eastAsia="Palatino Linotype" w:cs="Palatino Linotype"/>
        </w:rPr>
        <w:t>Por lo anterior, el número de cuenta bancaria debe ser información confidencial en términos del artículo 143 de la Ley de Transparencia y Acceso a la Información Pública del Estado de México y Municipios, debido a que con su difusión se estaría revelando información de una persona física o jurídica colectiva.</w:t>
      </w:r>
    </w:p>
    <w:p w14:paraId="3CD9F297" w14:textId="77777777" w:rsidR="00D97888" w:rsidRPr="004C511E" w:rsidRDefault="00D97888" w:rsidP="00D97888">
      <w:pPr>
        <w:rPr>
          <w:rFonts w:eastAsia="Palatino Linotype" w:cs="Palatino Linotype"/>
          <w:szCs w:val="24"/>
        </w:rPr>
      </w:pPr>
    </w:p>
    <w:p w14:paraId="103C68F8" w14:textId="77777777" w:rsidR="00D97888" w:rsidRPr="004C511E" w:rsidRDefault="00D97888" w:rsidP="00D97888">
      <w:pPr>
        <w:rPr>
          <w:rFonts w:eastAsia="Palatino Linotype" w:cs="Palatino Linotype"/>
          <w:szCs w:val="24"/>
        </w:rPr>
      </w:pPr>
      <w:r w:rsidRPr="004C511E">
        <w:rPr>
          <w:rFonts w:eastAsia="Palatino Linotype" w:cs="Palatino Linotype"/>
          <w:szCs w:val="24"/>
        </w:rPr>
        <w:t xml:space="preserve">Adicional a lo anterior, la publicidad de los números de cuenta bancarios en nada contribuye a la rendición de cuentas o a la transparencia de la gestión gubernamental, sino por el contrario, dar a conocerlos hace vulnerable a su titular, en caso específico de la persona prestadora de bienes o servicios, al abrir la posibilidad de que terceros que cuenten con las posibilidades tecnológicas y/o económicas puedan realizar actos ilícitos mediante operaciones cibernéticas. </w:t>
      </w:r>
    </w:p>
    <w:p w14:paraId="7893AAF6" w14:textId="77777777" w:rsidR="00D97888" w:rsidRPr="004C511E" w:rsidRDefault="00D97888" w:rsidP="00D97888">
      <w:pPr>
        <w:rPr>
          <w:rFonts w:eastAsia="Palatino Linotype" w:cs="Palatino Linotype"/>
          <w:szCs w:val="24"/>
        </w:rPr>
      </w:pPr>
    </w:p>
    <w:p w14:paraId="54129A66" w14:textId="77777777" w:rsidR="00D97888" w:rsidRPr="004C511E" w:rsidRDefault="00D97888" w:rsidP="00D97888">
      <w:pPr>
        <w:rPr>
          <w:rFonts w:eastAsia="Palatino Linotype" w:cs="Palatino Linotype"/>
          <w:szCs w:val="24"/>
        </w:rPr>
      </w:pPr>
      <w:r w:rsidRPr="004C511E">
        <w:rPr>
          <w:rFonts w:eastAsia="Palatino Linotype" w:cs="Palatino Linotype"/>
          <w:szCs w:val="24"/>
        </w:rPr>
        <w:t>En esa virtud, este Pleno determina que dicha información no puede ser del dominio público, toda vez que se podría dar un uso inadecuado a la misma o cometer algún ilícito o fraude en contra de su patrimonio.</w:t>
      </w:r>
    </w:p>
    <w:p w14:paraId="68BA1EA2" w14:textId="77777777" w:rsidR="00D97888" w:rsidRPr="004C511E" w:rsidRDefault="00D97888" w:rsidP="00D97888">
      <w:pPr>
        <w:rPr>
          <w:rFonts w:eastAsia="Palatino Linotype" w:cs="Palatino Linotype"/>
          <w:szCs w:val="24"/>
        </w:rPr>
      </w:pPr>
    </w:p>
    <w:p w14:paraId="4736160D" w14:textId="77777777" w:rsidR="00D97888" w:rsidRPr="004C511E" w:rsidRDefault="00D97888" w:rsidP="00D97888">
      <w:pPr>
        <w:rPr>
          <w:rFonts w:eastAsia="Palatino Linotype" w:cs="Palatino Linotype"/>
          <w:szCs w:val="24"/>
        </w:rPr>
      </w:pPr>
      <w:r w:rsidRPr="004C511E">
        <w:rPr>
          <w:rFonts w:eastAsia="Palatino Linotype" w:cs="Palatino Linotype"/>
          <w:szCs w:val="24"/>
        </w:rPr>
        <w:lastRenderedPageBreak/>
        <w:t>De este modo, en las versiones públicas se deben testar únicamente los números de las cuentas bancarias, CLABES; si es que esta información se advierte en los documentos a otorgar; en caso contrario, se deben entregar en forma íntegra.</w:t>
      </w:r>
    </w:p>
    <w:p w14:paraId="00F8CB77" w14:textId="77777777" w:rsidR="00D97888" w:rsidRPr="004C511E" w:rsidRDefault="00D97888" w:rsidP="00D97888">
      <w:pPr>
        <w:rPr>
          <w:rFonts w:eastAsia="Palatino Linotype" w:cs="Palatino Linotype"/>
          <w:szCs w:val="24"/>
        </w:rPr>
      </w:pPr>
    </w:p>
    <w:p w14:paraId="63A2466E" w14:textId="76670259" w:rsidR="00D97888" w:rsidRPr="004C511E" w:rsidRDefault="00D97888" w:rsidP="00D97888">
      <w:pPr>
        <w:rPr>
          <w:rFonts w:eastAsia="Palatino Linotype" w:cs="Palatino Linotype"/>
        </w:rPr>
      </w:pPr>
      <w:r w:rsidRPr="004C511E">
        <w:rPr>
          <w:rFonts w:eastAsia="Palatino Linotype" w:cs="Palatino Linotype"/>
        </w:rPr>
        <w:t>Además de ello, se considera que se deberá testar el sello digital del contribuyente que lo expide y la cadena original de éste, en virtud de que estos se pueden vincular con la identidad de un sujeto o entidad, su cla</w:t>
      </w:r>
      <w:r w:rsidR="00064009" w:rsidRPr="004C511E">
        <w:rPr>
          <w:rFonts w:eastAsia="Palatino Linotype" w:cs="Palatino Linotype"/>
        </w:rPr>
        <w:t>b</w:t>
      </w:r>
      <w:r w:rsidRPr="004C511E">
        <w:rPr>
          <w:rFonts w:eastAsia="Palatino Linotype" w:cs="Palatino Linotype"/>
        </w:rPr>
        <w:t>e pública y la cla</w:t>
      </w:r>
      <w:r w:rsidR="00064009" w:rsidRPr="004C511E">
        <w:rPr>
          <w:rFonts w:eastAsia="Palatino Linotype" w:cs="Palatino Linotype"/>
        </w:rPr>
        <w:t>b</w:t>
      </w:r>
      <w:r w:rsidRPr="004C511E">
        <w:rPr>
          <w:rFonts w:eastAsia="Palatino Linotype" w:cs="Palatino Linotype"/>
        </w:rPr>
        <w:t>e pública del titular del certificado; datos que, se insiste, no son de acceso público, de ahí que deben protegerse mediante la versión pública correspondiente.</w:t>
      </w:r>
    </w:p>
    <w:p w14:paraId="6374DEA0" w14:textId="77777777" w:rsidR="00D97888" w:rsidRPr="004C511E" w:rsidRDefault="00D97888" w:rsidP="00D97888">
      <w:pPr>
        <w:rPr>
          <w:rFonts w:eastAsia="Palatino Linotype" w:cs="Palatino Linotype"/>
          <w:szCs w:val="24"/>
        </w:rPr>
      </w:pPr>
    </w:p>
    <w:p w14:paraId="158D7E50" w14:textId="77777777" w:rsidR="00D97888" w:rsidRPr="004C511E" w:rsidRDefault="00D97888" w:rsidP="00D97888">
      <w:pPr>
        <w:rPr>
          <w:rFonts w:eastAsia="Palatino Linotype" w:cs="Palatino Linotype"/>
          <w:szCs w:val="24"/>
        </w:rPr>
      </w:pPr>
      <w:r w:rsidRPr="004C511E">
        <w:rPr>
          <w:rFonts w:eastAsia="Palatino Linotype" w:cs="Palatino Linotype"/>
          <w:szCs w:val="24"/>
        </w:rPr>
        <w:t>Por lo que respecta al Acuerdo del Comité de Transparencia que sustente la versión pública de la documentación a entregar, deberá ser notificado mediante el SAIMEX.</w:t>
      </w:r>
    </w:p>
    <w:p w14:paraId="703382E6" w14:textId="77777777" w:rsidR="00D97888" w:rsidRPr="004C511E" w:rsidRDefault="00D97888" w:rsidP="00D97888">
      <w:pPr>
        <w:rPr>
          <w:rFonts w:eastAsia="Palatino Linotype" w:cs="Palatino Linotype"/>
          <w:szCs w:val="24"/>
        </w:rPr>
      </w:pPr>
    </w:p>
    <w:p w14:paraId="0331A878" w14:textId="77777777" w:rsidR="00D97888" w:rsidRPr="004C511E" w:rsidRDefault="00D97888" w:rsidP="00D97888">
      <w:pPr>
        <w:pBdr>
          <w:top w:val="nil"/>
          <w:left w:val="nil"/>
          <w:bottom w:val="nil"/>
          <w:right w:val="nil"/>
          <w:between w:val="nil"/>
        </w:pBdr>
        <w:rPr>
          <w:rFonts w:eastAsia="Palatino Linotype" w:cs="Palatino Linotype"/>
          <w:color w:val="000000"/>
          <w:szCs w:val="24"/>
        </w:rPr>
      </w:pPr>
      <w:r w:rsidRPr="004C511E">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3BE6F763" w14:textId="77777777" w:rsidR="007856F3" w:rsidRPr="004C511E" w:rsidRDefault="007856F3" w:rsidP="00637679">
      <w:pPr>
        <w:rPr>
          <w:szCs w:val="24"/>
          <w:lang w:val="es-MX"/>
        </w:rPr>
      </w:pPr>
    </w:p>
    <w:p w14:paraId="07B920B4" w14:textId="09F7FA03" w:rsidR="00581587" w:rsidRPr="004C511E" w:rsidRDefault="00581587" w:rsidP="00581587">
      <w:pPr>
        <w:pBdr>
          <w:top w:val="nil"/>
          <w:left w:val="nil"/>
          <w:bottom w:val="nil"/>
          <w:right w:val="nil"/>
          <w:between w:val="nil"/>
        </w:pBdr>
        <w:rPr>
          <w:rFonts w:eastAsia="Palatino Linotype" w:cs="Palatino Linotype"/>
          <w:color w:val="000000"/>
          <w:szCs w:val="24"/>
        </w:rPr>
      </w:pPr>
      <w:r w:rsidRPr="004C511E">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4C511E">
        <w:rPr>
          <w:rFonts w:eastAsia="Palatino Linotype" w:cs="Palatino Linotype"/>
          <w:color w:val="000000" w:themeColor="text1"/>
          <w:szCs w:val="24"/>
        </w:rPr>
        <w:t>el</w:t>
      </w:r>
      <w:r w:rsidRPr="004C511E">
        <w:rPr>
          <w:rFonts w:eastAsia="Palatino Linotype" w:cs="Palatino Linotype"/>
          <w:color w:val="000000" w:themeColor="text1"/>
          <w:szCs w:val="24"/>
        </w:rPr>
        <w:t xml:space="preserve"> Recurrente resultan fundados en el recurso de revisión que es materia de esta resolución; por ello </w:t>
      </w:r>
      <w:r w:rsidRPr="004C511E">
        <w:rPr>
          <w:rFonts w:eastAsia="Palatino Linotype" w:cs="Palatino Linotype"/>
          <w:b/>
          <w:bCs/>
          <w:color w:val="000000" w:themeColor="text1"/>
          <w:szCs w:val="24"/>
        </w:rPr>
        <w:t>co</w:t>
      </w:r>
      <w:r w:rsidR="006451AD" w:rsidRPr="004C511E">
        <w:rPr>
          <w:rFonts w:eastAsia="Palatino Linotype" w:cs="Palatino Linotype"/>
          <w:b/>
          <w:bCs/>
          <w:color w:val="000000" w:themeColor="text1"/>
          <w:szCs w:val="24"/>
        </w:rPr>
        <w:t xml:space="preserve">n fundamento en la </w:t>
      </w:r>
      <w:r w:rsidR="00EC150E" w:rsidRPr="004C511E">
        <w:rPr>
          <w:rFonts w:eastAsia="Palatino Linotype" w:cs="Palatino Linotype"/>
          <w:b/>
          <w:bCs/>
          <w:color w:val="000000" w:themeColor="text1"/>
          <w:szCs w:val="24"/>
        </w:rPr>
        <w:t xml:space="preserve">primera </w:t>
      </w:r>
      <w:r w:rsidRPr="004C511E">
        <w:rPr>
          <w:rFonts w:eastAsia="Palatino Linotype" w:cs="Palatino Linotype"/>
          <w:b/>
          <w:bCs/>
          <w:color w:val="000000" w:themeColor="text1"/>
          <w:szCs w:val="24"/>
        </w:rPr>
        <w:t xml:space="preserve">hipótesis de la fracción III del artículo 186 </w:t>
      </w:r>
      <w:r w:rsidRPr="004C511E">
        <w:rPr>
          <w:rFonts w:eastAsia="Palatino Linotype" w:cs="Palatino Linotype"/>
          <w:color w:val="000000" w:themeColor="text1"/>
          <w:szCs w:val="24"/>
        </w:rPr>
        <w:t xml:space="preserve">de la Ley de Transparencia y Acceso a la Información </w:t>
      </w:r>
      <w:r w:rsidRPr="004C511E">
        <w:rPr>
          <w:rFonts w:eastAsia="Palatino Linotype" w:cs="Palatino Linotype"/>
          <w:color w:val="000000" w:themeColor="text1"/>
          <w:szCs w:val="24"/>
        </w:rPr>
        <w:lastRenderedPageBreak/>
        <w:t xml:space="preserve">Pública del Estado de México y Municipios, se </w:t>
      </w:r>
      <w:r w:rsidR="00EC150E" w:rsidRPr="004C511E">
        <w:rPr>
          <w:rFonts w:eastAsia="Palatino Linotype" w:cs="Palatino Linotype"/>
          <w:b/>
          <w:bCs/>
          <w:color w:val="000000" w:themeColor="text1"/>
          <w:szCs w:val="24"/>
        </w:rPr>
        <w:t>REVO</w:t>
      </w:r>
      <w:r w:rsidRPr="004C511E">
        <w:rPr>
          <w:rFonts w:eastAsia="Palatino Linotype" w:cs="Palatino Linotype"/>
          <w:b/>
          <w:bCs/>
          <w:color w:val="000000" w:themeColor="text1"/>
          <w:szCs w:val="24"/>
        </w:rPr>
        <w:t xml:space="preserve">CA </w:t>
      </w:r>
      <w:r w:rsidRPr="004C511E">
        <w:rPr>
          <w:rFonts w:eastAsia="Palatino Linotype" w:cs="Palatino Linotype"/>
          <w:color w:val="000000" w:themeColor="text1"/>
          <w:szCs w:val="24"/>
        </w:rPr>
        <w:t>la respuesta a la solicitud de información número</w:t>
      </w:r>
      <w:r w:rsidR="00642669" w:rsidRPr="004C511E">
        <w:rPr>
          <w:rFonts w:eastAsia="Palatino Linotype" w:cs="Palatino Linotype"/>
          <w:color w:val="000000"/>
          <w:szCs w:val="24"/>
        </w:rPr>
        <w:t xml:space="preserve"> </w:t>
      </w:r>
      <w:r w:rsidR="00EB6D7F" w:rsidRPr="004C511E">
        <w:rPr>
          <w:rFonts w:eastAsia="Palatino Linotype" w:cs="Palatino Linotype"/>
          <w:b/>
          <w:bCs/>
          <w:color w:val="000000"/>
          <w:szCs w:val="24"/>
        </w:rPr>
        <w:t>00431/NEZA/IP/2025</w:t>
      </w:r>
      <w:r w:rsidRPr="004C511E">
        <w:rPr>
          <w:rFonts w:eastAsia="Palatino Linotype" w:cs="Palatino Linotype"/>
          <w:color w:val="000000" w:themeColor="text1"/>
          <w:szCs w:val="24"/>
        </w:rPr>
        <w:t>, que ha sido materia del presente estudio.</w:t>
      </w:r>
    </w:p>
    <w:p w14:paraId="33FB236F" w14:textId="259CAD64" w:rsidR="00581587" w:rsidRPr="004C511E" w:rsidRDefault="00581587" w:rsidP="008F50E6">
      <w:pPr>
        <w:rPr>
          <w:szCs w:val="24"/>
        </w:rPr>
      </w:pPr>
    </w:p>
    <w:p w14:paraId="34755541" w14:textId="77777777" w:rsidR="00581587" w:rsidRPr="004C511E" w:rsidRDefault="00581587" w:rsidP="00581587">
      <w:pPr>
        <w:pBdr>
          <w:top w:val="nil"/>
          <w:left w:val="nil"/>
          <w:bottom w:val="nil"/>
          <w:right w:val="nil"/>
          <w:between w:val="nil"/>
        </w:pBdr>
        <w:rPr>
          <w:rFonts w:eastAsia="Palatino Linotype" w:cs="Palatino Linotype"/>
          <w:color w:val="000000"/>
          <w:szCs w:val="24"/>
        </w:rPr>
      </w:pPr>
      <w:r w:rsidRPr="004C511E">
        <w:rPr>
          <w:rFonts w:eastAsia="Palatino Linotype" w:cs="Palatino Linotype"/>
          <w:color w:val="000000"/>
          <w:szCs w:val="24"/>
        </w:rPr>
        <w:t>Por lo antes expuesto y fundado es de resolverse y,</w:t>
      </w:r>
    </w:p>
    <w:p w14:paraId="3AF7767D" w14:textId="4DC74A1D" w:rsidR="00454915" w:rsidRPr="004C511E" w:rsidRDefault="00454915" w:rsidP="008F50E6">
      <w:pPr>
        <w:rPr>
          <w:szCs w:val="24"/>
        </w:rPr>
      </w:pPr>
    </w:p>
    <w:p w14:paraId="04F69938" w14:textId="77777777" w:rsidR="00581587" w:rsidRPr="004C511E" w:rsidRDefault="00581587" w:rsidP="00581587">
      <w:pPr>
        <w:pStyle w:val="Ttulo1"/>
        <w:rPr>
          <w:rFonts w:eastAsia="Palatino Linotype"/>
        </w:rPr>
      </w:pPr>
      <w:r w:rsidRPr="004C511E">
        <w:rPr>
          <w:rFonts w:eastAsia="Palatino Linotype"/>
        </w:rPr>
        <w:t>S E    R E S U E L V E</w:t>
      </w:r>
    </w:p>
    <w:p w14:paraId="0360AA6D" w14:textId="77777777" w:rsidR="00581587" w:rsidRPr="004C511E" w:rsidRDefault="00581587" w:rsidP="00581587">
      <w:pPr>
        <w:pBdr>
          <w:top w:val="nil"/>
          <w:left w:val="nil"/>
          <w:bottom w:val="nil"/>
          <w:right w:val="nil"/>
          <w:between w:val="nil"/>
        </w:pBdr>
        <w:rPr>
          <w:rFonts w:eastAsia="Palatino Linotype" w:cs="Palatino Linotype"/>
          <w:b/>
          <w:color w:val="000000"/>
          <w:szCs w:val="24"/>
        </w:rPr>
      </w:pPr>
    </w:p>
    <w:p w14:paraId="2E76CA1A" w14:textId="4F542A0A" w:rsidR="00581587" w:rsidRPr="004C511E" w:rsidRDefault="00581587" w:rsidP="00581587">
      <w:pPr>
        <w:pBdr>
          <w:top w:val="nil"/>
          <w:left w:val="nil"/>
          <w:bottom w:val="nil"/>
          <w:right w:val="nil"/>
          <w:between w:val="nil"/>
        </w:pBdr>
        <w:rPr>
          <w:rFonts w:eastAsia="Palatino Linotype" w:cs="Palatino Linotype"/>
          <w:color w:val="000000"/>
          <w:szCs w:val="24"/>
        </w:rPr>
      </w:pPr>
      <w:r w:rsidRPr="004C511E">
        <w:rPr>
          <w:rFonts w:eastAsia="Palatino Linotype" w:cs="Palatino Linotype"/>
          <w:b/>
          <w:bCs/>
          <w:color w:val="000000" w:themeColor="text1"/>
          <w:szCs w:val="24"/>
        </w:rPr>
        <w:t>PRIMERO.</w:t>
      </w:r>
      <w:r w:rsidRPr="004C511E">
        <w:rPr>
          <w:rFonts w:eastAsia="Palatino Linotype" w:cs="Palatino Linotype"/>
          <w:color w:val="000000" w:themeColor="text1"/>
          <w:szCs w:val="24"/>
        </w:rPr>
        <w:t xml:space="preserve"> Se </w:t>
      </w:r>
      <w:r w:rsidR="00B814ED" w:rsidRPr="004C511E">
        <w:rPr>
          <w:rFonts w:eastAsia="Palatino Linotype" w:cs="Palatino Linotype"/>
          <w:b/>
          <w:bCs/>
          <w:color w:val="000000" w:themeColor="text1"/>
          <w:szCs w:val="24"/>
        </w:rPr>
        <w:t>REVO</w:t>
      </w:r>
      <w:r w:rsidRPr="004C511E">
        <w:rPr>
          <w:rFonts w:eastAsia="Palatino Linotype" w:cs="Palatino Linotype"/>
          <w:b/>
          <w:bCs/>
          <w:color w:val="000000" w:themeColor="text1"/>
          <w:szCs w:val="24"/>
        </w:rPr>
        <w:t>CA</w:t>
      </w:r>
      <w:r w:rsidRPr="004C511E">
        <w:rPr>
          <w:rFonts w:eastAsia="Palatino Linotype" w:cs="Palatino Linotype"/>
          <w:color w:val="000000" w:themeColor="text1"/>
          <w:szCs w:val="24"/>
        </w:rPr>
        <w:t xml:space="preserve"> la respuesta entregada por el Sujeto Obligado</w:t>
      </w:r>
      <w:r w:rsidRPr="004C511E">
        <w:rPr>
          <w:rFonts w:eastAsia="Palatino Linotype" w:cs="Palatino Linotype"/>
          <w:b/>
          <w:bCs/>
          <w:color w:val="000000" w:themeColor="text1"/>
          <w:szCs w:val="24"/>
        </w:rPr>
        <w:t xml:space="preserve"> </w:t>
      </w:r>
      <w:r w:rsidRPr="004C511E">
        <w:rPr>
          <w:rFonts w:eastAsia="Palatino Linotype" w:cs="Palatino Linotype"/>
          <w:color w:val="000000" w:themeColor="text1"/>
          <w:szCs w:val="24"/>
        </w:rPr>
        <w:t>a la solicitud de información número</w:t>
      </w:r>
      <w:r w:rsidR="00642669" w:rsidRPr="004C511E">
        <w:rPr>
          <w:rFonts w:eastAsia="Palatino Linotype" w:cs="Palatino Linotype"/>
          <w:b/>
          <w:bCs/>
          <w:color w:val="000000"/>
          <w:szCs w:val="24"/>
        </w:rPr>
        <w:t xml:space="preserve"> </w:t>
      </w:r>
      <w:r w:rsidR="00EB6D7F" w:rsidRPr="004C511E">
        <w:rPr>
          <w:rFonts w:eastAsia="Palatino Linotype" w:cs="Palatino Linotype"/>
          <w:b/>
          <w:bCs/>
          <w:color w:val="000000"/>
          <w:szCs w:val="24"/>
        </w:rPr>
        <w:t>00431/NEZA/IP/2025</w:t>
      </w:r>
      <w:r w:rsidR="000D3DC4" w:rsidRPr="004C511E">
        <w:rPr>
          <w:rFonts w:eastAsia="Palatino Linotype" w:cs="Palatino Linotype"/>
          <w:color w:val="000000" w:themeColor="text1"/>
          <w:szCs w:val="24"/>
        </w:rPr>
        <w:t>, al resultar</w:t>
      </w:r>
      <w:r w:rsidR="005D743E" w:rsidRPr="004C511E">
        <w:rPr>
          <w:rFonts w:eastAsia="Palatino Linotype" w:cs="Palatino Linotype"/>
          <w:color w:val="000000" w:themeColor="text1"/>
          <w:szCs w:val="24"/>
        </w:rPr>
        <w:t xml:space="preserve"> </w:t>
      </w:r>
      <w:r w:rsidRPr="004C511E">
        <w:rPr>
          <w:rFonts w:eastAsia="Palatino Linotype" w:cs="Palatino Linotype"/>
          <w:color w:val="000000" w:themeColor="text1"/>
          <w:szCs w:val="24"/>
        </w:rPr>
        <w:t xml:space="preserve">fundados los motivos de inconformidad argüidos por </w:t>
      </w:r>
      <w:r w:rsidR="008A7F39" w:rsidRPr="004C511E">
        <w:rPr>
          <w:rFonts w:eastAsia="Palatino Linotype" w:cs="Palatino Linotype"/>
          <w:color w:val="000000" w:themeColor="text1"/>
          <w:szCs w:val="24"/>
        </w:rPr>
        <w:t>el Recurrente</w:t>
      </w:r>
      <w:r w:rsidRPr="004C511E">
        <w:rPr>
          <w:rFonts w:eastAsia="Palatino Linotype" w:cs="Palatino Linotype"/>
          <w:color w:val="000000" w:themeColor="text1"/>
          <w:szCs w:val="24"/>
        </w:rPr>
        <w:t>, en términos del</w:t>
      </w:r>
      <w:r w:rsidRPr="004C511E">
        <w:rPr>
          <w:rFonts w:eastAsia="Palatino Linotype" w:cs="Palatino Linotype"/>
          <w:b/>
          <w:bCs/>
          <w:color w:val="000000" w:themeColor="text1"/>
          <w:szCs w:val="24"/>
        </w:rPr>
        <w:t xml:space="preserve"> Considerando </w:t>
      </w:r>
      <w:r w:rsidR="00FB1F7C" w:rsidRPr="004C511E">
        <w:rPr>
          <w:rFonts w:eastAsia="Palatino Linotype" w:cs="Palatino Linotype"/>
          <w:b/>
          <w:bCs/>
          <w:color w:val="000000" w:themeColor="text1"/>
          <w:szCs w:val="24"/>
        </w:rPr>
        <w:t>CUAR</w:t>
      </w:r>
      <w:r w:rsidRPr="004C511E">
        <w:rPr>
          <w:rFonts w:eastAsia="Palatino Linotype" w:cs="Palatino Linotype"/>
          <w:b/>
          <w:bCs/>
          <w:color w:val="000000" w:themeColor="text1"/>
          <w:szCs w:val="24"/>
        </w:rPr>
        <w:t xml:space="preserve">TO </w:t>
      </w:r>
      <w:r w:rsidRPr="004C511E">
        <w:rPr>
          <w:rFonts w:eastAsia="Palatino Linotype" w:cs="Palatino Linotype"/>
          <w:color w:val="000000" w:themeColor="text1"/>
          <w:szCs w:val="24"/>
        </w:rPr>
        <w:t xml:space="preserve">de la presente resolución. </w:t>
      </w:r>
    </w:p>
    <w:p w14:paraId="1E340B42" w14:textId="77777777" w:rsidR="00581587" w:rsidRPr="004C511E" w:rsidRDefault="00581587" w:rsidP="00581587">
      <w:pPr>
        <w:pBdr>
          <w:top w:val="nil"/>
          <w:left w:val="nil"/>
          <w:bottom w:val="nil"/>
          <w:right w:val="nil"/>
          <w:between w:val="nil"/>
        </w:pBdr>
        <w:rPr>
          <w:rFonts w:eastAsia="Palatino Linotype" w:cs="Palatino Linotype"/>
          <w:color w:val="000000"/>
          <w:szCs w:val="24"/>
        </w:rPr>
      </w:pPr>
    </w:p>
    <w:p w14:paraId="4DA0A536" w14:textId="04587933" w:rsidR="00581587" w:rsidRPr="004C511E" w:rsidRDefault="00581587" w:rsidP="00581587">
      <w:pPr>
        <w:pBdr>
          <w:top w:val="nil"/>
          <w:left w:val="nil"/>
          <w:bottom w:val="nil"/>
          <w:right w:val="nil"/>
          <w:between w:val="nil"/>
        </w:pBdr>
        <w:rPr>
          <w:rFonts w:eastAsia="Palatino Linotype" w:cs="Palatino Linotype"/>
          <w:color w:val="000000"/>
          <w:szCs w:val="24"/>
        </w:rPr>
      </w:pPr>
      <w:r w:rsidRPr="004C511E">
        <w:rPr>
          <w:rFonts w:eastAsia="Palatino Linotype" w:cs="Palatino Linotype"/>
          <w:b/>
          <w:color w:val="000000"/>
          <w:szCs w:val="24"/>
        </w:rPr>
        <w:t>SEGUNDO.</w:t>
      </w:r>
      <w:r w:rsidRPr="004C511E">
        <w:rPr>
          <w:rFonts w:eastAsia="Palatino Linotype" w:cs="Palatino Linotype"/>
          <w:color w:val="000000"/>
          <w:szCs w:val="24"/>
        </w:rPr>
        <w:t xml:space="preserve"> Se </w:t>
      </w:r>
      <w:r w:rsidRPr="004C511E">
        <w:rPr>
          <w:rFonts w:eastAsia="Palatino Linotype" w:cs="Palatino Linotype"/>
          <w:b/>
          <w:color w:val="000000"/>
          <w:szCs w:val="24"/>
        </w:rPr>
        <w:t>ORDENA</w:t>
      </w:r>
      <w:r w:rsidRPr="004C511E">
        <w:rPr>
          <w:rFonts w:eastAsia="Palatino Linotype" w:cs="Palatino Linotype"/>
          <w:color w:val="000000"/>
          <w:szCs w:val="24"/>
        </w:rPr>
        <w:t xml:space="preserve"> </w:t>
      </w:r>
      <w:r w:rsidR="007501B9" w:rsidRPr="004C511E">
        <w:rPr>
          <w:rFonts w:eastAsia="Palatino Linotype" w:cs="Palatino Linotype"/>
          <w:color w:val="000000"/>
          <w:szCs w:val="24"/>
        </w:rPr>
        <w:t>al Sujeto Obligado que</w:t>
      </w:r>
      <w:r w:rsidR="003A51C8" w:rsidRPr="004C511E">
        <w:rPr>
          <w:rFonts w:eastAsia="Palatino Linotype" w:cs="Palatino Linotype"/>
          <w:color w:val="000000"/>
          <w:szCs w:val="24"/>
        </w:rPr>
        <w:t xml:space="preserve"> </w:t>
      </w:r>
      <w:r w:rsidR="002B5CE9" w:rsidRPr="004C511E">
        <w:rPr>
          <w:rFonts w:eastAsia="Palatino Linotype" w:cs="Palatino Linotype"/>
          <w:color w:val="000000"/>
          <w:szCs w:val="24"/>
        </w:rPr>
        <w:t xml:space="preserve">haga </w:t>
      </w:r>
      <w:r w:rsidR="007501B9" w:rsidRPr="004C511E">
        <w:rPr>
          <w:rFonts w:eastAsia="Palatino Linotype" w:cs="Palatino Linotype"/>
          <w:color w:val="000000"/>
          <w:szCs w:val="24"/>
        </w:rPr>
        <w:t>entrega a</w:t>
      </w:r>
      <w:r w:rsidR="008A7F39" w:rsidRPr="004C511E">
        <w:rPr>
          <w:rFonts w:eastAsia="Palatino Linotype" w:cs="Palatino Linotype"/>
          <w:color w:val="000000"/>
          <w:szCs w:val="24"/>
        </w:rPr>
        <w:t>l Recurrente</w:t>
      </w:r>
      <w:r w:rsidR="007501B9" w:rsidRPr="004C511E">
        <w:rPr>
          <w:rFonts w:eastAsia="Palatino Linotype" w:cs="Palatino Linotype"/>
          <w:color w:val="000000"/>
          <w:szCs w:val="24"/>
        </w:rPr>
        <w:t xml:space="preserve"> mediante el Sistema de Acceso a la Información Mexiquense (SAIMEX)</w:t>
      </w:r>
      <w:r w:rsidR="00A01F4B" w:rsidRPr="004C511E">
        <w:rPr>
          <w:rFonts w:eastAsia="Palatino Linotype" w:cs="Palatino Linotype"/>
          <w:color w:val="000000"/>
          <w:szCs w:val="24"/>
        </w:rPr>
        <w:t>, en versión pública</w:t>
      </w:r>
      <w:r w:rsidR="003A51C8" w:rsidRPr="004C511E">
        <w:rPr>
          <w:rFonts w:eastAsia="Palatino Linotype" w:cs="Palatino Linotype"/>
          <w:color w:val="000000"/>
          <w:szCs w:val="24"/>
        </w:rPr>
        <w:t xml:space="preserve"> y </w:t>
      </w:r>
      <w:r w:rsidR="007501B9" w:rsidRPr="004C511E">
        <w:rPr>
          <w:rFonts w:eastAsia="Palatino Linotype" w:cs="Palatino Linotype"/>
          <w:color w:val="000000"/>
          <w:szCs w:val="24"/>
        </w:rPr>
        <w:t xml:space="preserve">en términos del </w:t>
      </w:r>
      <w:r w:rsidR="000D3DC4" w:rsidRPr="004C511E">
        <w:rPr>
          <w:rFonts w:eastAsia="Palatino Linotype" w:cs="Palatino Linotype"/>
          <w:b/>
          <w:color w:val="000000"/>
          <w:szCs w:val="24"/>
        </w:rPr>
        <w:t xml:space="preserve">Considerando </w:t>
      </w:r>
      <w:r w:rsidR="00FB1F7C" w:rsidRPr="004C511E">
        <w:rPr>
          <w:rFonts w:eastAsia="Palatino Linotype" w:cs="Palatino Linotype"/>
          <w:b/>
          <w:color w:val="000000"/>
          <w:szCs w:val="24"/>
        </w:rPr>
        <w:t>CUAR</w:t>
      </w:r>
      <w:r w:rsidR="007501B9" w:rsidRPr="004C511E">
        <w:rPr>
          <w:rFonts w:eastAsia="Palatino Linotype" w:cs="Palatino Linotype"/>
          <w:b/>
          <w:color w:val="000000"/>
          <w:szCs w:val="24"/>
        </w:rPr>
        <w:t>TO</w:t>
      </w:r>
      <w:r w:rsidR="00637878" w:rsidRPr="004C511E">
        <w:rPr>
          <w:rFonts w:eastAsia="Palatino Linotype" w:cs="Palatino Linotype"/>
          <w:color w:val="000000"/>
          <w:szCs w:val="24"/>
        </w:rPr>
        <w:t>, de</w:t>
      </w:r>
      <w:r w:rsidR="001A788F" w:rsidRPr="004C511E">
        <w:rPr>
          <w:rFonts w:eastAsia="Palatino Linotype" w:cs="Palatino Linotype"/>
          <w:color w:val="000000"/>
          <w:szCs w:val="24"/>
        </w:rPr>
        <w:t xml:space="preserve"> </w:t>
      </w:r>
      <w:r w:rsidR="00FB1F7C" w:rsidRPr="004C511E">
        <w:rPr>
          <w:rFonts w:eastAsia="Palatino Linotype" w:cs="Palatino Linotype"/>
          <w:color w:val="000000"/>
          <w:szCs w:val="24"/>
        </w:rPr>
        <w:t>l</w:t>
      </w:r>
      <w:r w:rsidR="001A788F" w:rsidRPr="004C511E">
        <w:rPr>
          <w:rFonts w:eastAsia="Palatino Linotype" w:cs="Palatino Linotype"/>
          <w:color w:val="000000"/>
          <w:szCs w:val="24"/>
        </w:rPr>
        <w:t>os</w:t>
      </w:r>
      <w:r w:rsidR="00FB1F7C" w:rsidRPr="004C511E">
        <w:rPr>
          <w:rFonts w:eastAsia="Palatino Linotype" w:cs="Palatino Linotype"/>
          <w:color w:val="000000"/>
          <w:szCs w:val="24"/>
        </w:rPr>
        <w:t xml:space="preserve"> documento</w:t>
      </w:r>
      <w:r w:rsidR="001A788F" w:rsidRPr="004C511E">
        <w:rPr>
          <w:rFonts w:eastAsia="Palatino Linotype" w:cs="Palatino Linotype"/>
          <w:color w:val="000000"/>
          <w:szCs w:val="24"/>
        </w:rPr>
        <w:t>s</w:t>
      </w:r>
      <w:r w:rsidR="00FB1F7C" w:rsidRPr="004C511E">
        <w:rPr>
          <w:rFonts w:eastAsia="Palatino Linotype" w:cs="Palatino Linotype"/>
          <w:color w:val="000000"/>
          <w:szCs w:val="24"/>
        </w:rPr>
        <w:t xml:space="preserve"> en donde conste</w:t>
      </w:r>
      <w:r w:rsidR="00637878" w:rsidRPr="004C511E">
        <w:rPr>
          <w:rFonts w:eastAsia="Palatino Linotype" w:cs="Palatino Linotype"/>
          <w:color w:val="000000"/>
          <w:szCs w:val="24"/>
        </w:rPr>
        <w:t xml:space="preserve"> lo siguiente:</w:t>
      </w:r>
    </w:p>
    <w:p w14:paraId="26EEF856" w14:textId="77777777" w:rsidR="00581587" w:rsidRPr="004C511E" w:rsidRDefault="00581587" w:rsidP="00581587">
      <w:pPr>
        <w:pBdr>
          <w:top w:val="nil"/>
          <w:left w:val="nil"/>
          <w:bottom w:val="nil"/>
          <w:right w:val="nil"/>
          <w:between w:val="nil"/>
        </w:pBdr>
        <w:rPr>
          <w:rFonts w:eastAsia="Palatino Linotype" w:cs="Palatino Linotype"/>
          <w:color w:val="000000"/>
          <w:szCs w:val="24"/>
        </w:rPr>
      </w:pPr>
    </w:p>
    <w:p w14:paraId="75A6886A" w14:textId="3E313E32" w:rsidR="00FD734D" w:rsidRPr="004C511E" w:rsidRDefault="00B814ED" w:rsidP="004D239F">
      <w:pPr>
        <w:pStyle w:val="NormalINFOEM"/>
        <w:numPr>
          <w:ilvl w:val="0"/>
          <w:numId w:val="51"/>
        </w:numPr>
        <w:spacing w:line="240" w:lineRule="auto"/>
        <w:rPr>
          <w:rFonts w:eastAsia="Palatino Linotype" w:cs="Palatino Linotype"/>
          <w:i/>
          <w:iCs/>
          <w:color w:val="000000"/>
          <w:szCs w:val="24"/>
          <w:lang w:val="es-ES" w:eastAsia="es-ES"/>
        </w:rPr>
      </w:pPr>
      <w:r w:rsidRPr="004C511E">
        <w:rPr>
          <w:rFonts w:eastAsia="Palatino Linotype" w:cs="Palatino Linotype"/>
          <w:i/>
          <w:iCs/>
          <w:color w:val="000000"/>
          <w:szCs w:val="24"/>
          <w:lang w:val="es-ES" w:eastAsia="es-ES"/>
        </w:rPr>
        <w:t>L</w:t>
      </w:r>
      <w:r w:rsidR="0094032A" w:rsidRPr="004C511E">
        <w:rPr>
          <w:rFonts w:eastAsia="Palatino Linotype" w:cs="Palatino Linotype"/>
          <w:i/>
          <w:iCs/>
          <w:color w:val="000000"/>
          <w:szCs w:val="24"/>
          <w:lang w:val="es-ES" w:eastAsia="es-ES"/>
        </w:rPr>
        <w:t>a</w:t>
      </w:r>
      <w:r w:rsidR="001A788F" w:rsidRPr="004C511E">
        <w:rPr>
          <w:rFonts w:eastAsia="Palatino Linotype" w:cs="Palatino Linotype"/>
          <w:i/>
          <w:iCs/>
          <w:color w:val="000000"/>
          <w:szCs w:val="24"/>
          <w:lang w:val="es-ES" w:eastAsia="es-ES"/>
        </w:rPr>
        <w:t>s</w:t>
      </w:r>
      <w:r w:rsidR="0094032A" w:rsidRPr="004C511E">
        <w:rPr>
          <w:rFonts w:eastAsia="Palatino Linotype" w:cs="Palatino Linotype"/>
          <w:i/>
          <w:iCs/>
          <w:color w:val="000000"/>
          <w:szCs w:val="24"/>
          <w:lang w:val="es-ES" w:eastAsia="es-ES"/>
        </w:rPr>
        <w:t xml:space="preserve"> </w:t>
      </w:r>
      <w:r w:rsidR="001A788F" w:rsidRPr="004C511E">
        <w:rPr>
          <w:rFonts w:eastAsia="Palatino Linotype" w:cs="Palatino Linotype"/>
          <w:i/>
          <w:iCs/>
          <w:color w:val="000000"/>
          <w:szCs w:val="24"/>
          <w:lang w:val="es-ES" w:eastAsia="es-ES"/>
        </w:rPr>
        <w:t xml:space="preserve">facturas pagadas y en proceso de pago por más de un $1 000 000.00 (un millón de pesos 00/100 M.N.) que se hayan </w:t>
      </w:r>
      <w:r w:rsidR="00F60198" w:rsidRPr="004C511E">
        <w:rPr>
          <w:rFonts w:eastAsia="Palatino Linotype" w:cs="Palatino Linotype"/>
          <w:i/>
          <w:iCs/>
          <w:color w:val="000000"/>
          <w:szCs w:val="24"/>
          <w:lang w:val="es-ES" w:eastAsia="es-ES"/>
        </w:rPr>
        <w:t>recibid</w:t>
      </w:r>
      <w:r w:rsidR="001A788F" w:rsidRPr="004C511E">
        <w:rPr>
          <w:rFonts w:eastAsia="Palatino Linotype" w:cs="Palatino Linotype"/>
          <w:i/>
          <w:iCs/>
          <w:color w:val="000000"/>
          <w:szCs w:val="24"/>
          <w:lang w:val="es-ES" w:eastAsia="es-ES"/>
        </w:rPr>
        <w:t>o durante el periodo comprendido del primero de enero al diez de noviembre de dos mil veinticinco</w:t>
      </w:r>
      <w:r w:rsidR="00DF430D" w:rsidRPr="004C511E">
        <w:rPr>
          <w:rFonts w:eastAsia="Palatino Linotype" w:cs="Palatino Linotype"/>
          <w:i/>
          <w:iCs/>
          <w:color w:val="000000"/>
          <w:szCs w:val="24"/>
          <w:lang w:val="es-ES" w:eastAsia="es-ES"/>
        </w:rPr>
        <w:t>.</w:t>
      </w:r>
    </w:p>
    <w:p w14:paraId="5D3CABD2" w14:textId="77777777" w:rsidR="00637878" w:rsidRPr="004C511E" w:rsidRDefault="00637878" w:rsidP="00637878">
      <w:pPr>
        <w:pStyle w:val="NormalINFOEM"/>
        <w:rPr>
          <w:lang w:val="es-ES"/>
        </w:rPr>
      </w:pPr>
    </w:p>
    <w:p w14:paraId="455A0062" w14:textId="18D3DD39" w:rsidR="004161DA" w:rsidRPr="004C511E" w:rsidRDefault="00CE660F" w:rsidP="00637878">
      <w:pPr>
        <w:pStyle w:val="NormalINFOEM"/>
        <w:rPr>
          <w:szCs w:val="24"/>
        </w:rPr>
      </w:pPr>
      <w:r w:rsidRPr="004C511E">
        <w:rPr>
          <w:szCs w:val="24"/>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0A1DAF4E" w14:textId="77777777" w:rsidR="009D3DA4" w:rsidRPr="004C511E" w:rsidRDefault="009D3DA4" w:rsidP="00637878">
      <w:pPr>
        <w:pStyle w:val="NormalINFOEM"/>
        <w:rPr>
          <w:szCs w:val="24"/>
        </w:rPr>
      </w:pPr>
    </w:p>
    <w:p w14:paraId="0BFBD801" w14:textId="343F5C80" w:rsidR="00581587" w:rsidRPr="004C511E" w:rsidRDefault="00581587" w:rsidP="00581587">
      <w:pPr>
        <w:pBdr>
          <w:top w:val="nil"/>
          <w:left w:val="nil"/>
          <w:bottom w:val="nil"/>
          <w:right w:val="nil"/>
          <w:between w:val="nil"/>
        </w:pBdr>
        <w:rPr>
          <w:rFonts w:eastAsia="Palatino Linotype" w:cs="Palatino Linotype"/>
          <w:color w:val="000000"/>
          <w:szCs w:val="24"/>
        </w:rPr>
      </w:pPr>
      <w:r w:rsidRPr="004C511E">
        <w:rPr>
          <w:rFonts w:eastAsia="Palatino Linotype" w:cs="Palatino Linotype"/>
          <w:b/>
          <w:color w:val="000000"/>
          <w:szCs w:val="24"/>
        </w:rPr>
        <w:t>TERCERO. Notifíquese</w:t>
      </w:r>
      <w:r w:rsidRPr="004C511E">
        <w:rPr>
          <w:rFonts w:eastAsia="Palatino Linotype" w:cs="Palatino Linotype"/>
          <w:b/>
          <w:i/>
          <w:color w:val="000000"/>
          <w:szCs w:val="24"/>
        </w:rPr>
        <w:t xml:space="preserve"> </w:t>
      </w:r>
      <w:r w:rsidRPr="004C511E">
        <w:rPr>
          <w:rFonts w:eastAsia="Palatino Linotype" w:cs="Palatino Linotype"/>
          <w:color w:val="000000"/>
          <w:szCs w:val="24"/>
        </w:rPr>
        <w:t xml:space="preserve">la presente resolución al Titular de la Unidad de Transparencia del Sujeto Obligado </w:t>
      </w:r>
      <w:r w:rsidR="0032659A" w:rsidRPr="004C511E">
        <w:rPr>
          <w:rFonts w:eastAsia="Palatino Linotype" w:cs="Palatino Linotype"/>
          <w:color w:val="000000"/>
          <w:szCs w:val="24"/>
        </w:rPr>
        <w:t xml:space="preserve">mediante el Sistema de Acceso a la Información Mexiquense (SAIMEX), </w:t>
      </w:r>
      <w:r w:rsidRPr="004C511E">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4C511E"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4C511E" w:rsidRDefault="00581587" w:rsidP="00581587">
      <w:pPr>
        <w:pBdr>
          <w:top w:val="nil"/>
          <w:left w:val="nil"/>
          <w:bottom w:val="nil"/>
          <w:right w:val="nil"/>
          <w:between w:val="nil"/>
        </w:pBdr>
        <w:rPr>
          <w:rFonts w:eastAsia="Palatino Linotype" w:cs="Palatino Linotype"/>
          <w:color w:val="000000"/>
          <w:szCs w:val="24"/>
        </w:rPr>
      </w:pPr>
      <w:r w:rsidRPr="004C511E">
        <w:rPr>
          <w:rFonts w:eastAsia="Palatino Linotype" w:cs="Palatino Linotype"/>
          <w:b/>
          <w:color w:val="000000"/>
          <w:szCs w:val="24"/>
        </w:rPr>
        <w:t xml:space="preserve">CUARTO. </w:t>
      </w:r>
      <w:r w:rsidRPr="004C511E">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4C511E" w:rsidRDefault="00581587" w:rsidP="00581587">
      <w:pPr>
        <w:pBdr>
          <w:top w:val="nil"/>
          <w:left w:val="nil"/>
          <w:bottom w:val="nil"/>
          <w:right w:val="nil"/>
          <w:between w:val="nil"/>
        </w:pBdr>
        <w:rPr>
          <w:rFonts w:eastAsia="Palatino Linotype" w:cs="Palatino Linotype"/>
          <w:color w:val="000000"/>
          <w:szCs w:val="24"/>
        </w:rPr>
      </w:pPr>
    </w:p>
    <w:p w14:paraId="0DB49AA1" w14:textId="0205B58A" w:rsidR="00581587" w:rsidRPr="004C511E" w:rsidRDefault="00581587" w:rsidP="00581587">
      <w:pPr>
        <w:pBdr>
          <w:top w:val="nil"/>
          <w:left w:val="nil"/>
          <w:bottom w:val="nil"/>
          <w:right w:val="nil"/>
          <w:between w:val="nil"/>
        </w:pBdr>
        <w:rPr>
          <w:rFonts w:eastAsia="Palatino Linotype" w:cs="Palatino Linotype"/>
          <w:color w:val="000000"/>
          <w:szCs w:val="24"/>
        </w:rPr>
      </w:pPr>
      <w:r w:rsidRPr="004C511E">
        <w:rPr>
          <w:rFonts w:eastAsia="Palatino Linotype" w:cs="Palatino Linotype"/>
          <w:b/>
          <w:color w:val="000000"/>
          <w:szCs w:val="24"/>
        </w:rPr>
        <w:t xml:space="preserve">QUINTO. Notifíquese </w:t>
      </w:r>
      <w:r w:rsidRPr="004C511E">
        <w:rPr>
          <w:rFonts w:eastAsia="Palatino Linotype" w:cs="Palatino Linotype"/>
          <w:color w:val="000000"/>
          <w:szCs w:val="24"/>
        </w:rPr>
        <w:t>la presente resolución a</w:t>
      </w:r>
      <w:r w:rsidR="008A7F39" w:rsidRPr="004C511E">
        <w:rPr>
          <w:rFonts w:eastAsia="Palatino Linotype" w:cs="Palatino Linotype"/>
          <w:color w:val="000000"/>
          <w:szCs w:val="24"/>
        </w:rPr>
        <w:t>l Recurrente</w:t>
      </w:r>
      <w:r w:rsidRPr="004C511E">
        <w:rPr>
          <w:rFonts w:eastAsia="Palatino Linotype" w:cs="Palatino Linotype"/>
          <w:color w:val="000000"/>
          <w:szCs w:val="24"/>
        </w:rPr>
        <w:t xml:space="preserve"> mediante el Sistema de Acceso a la Información Mexiquense (SAIMEX)</w:t>
      </w:r>
      <w:r w:rsidR="00FB5BF2" w:rsidRPr="004C511E">
        <w:rPr>
          <w:rFonts w:eastAsia="Palatino Linotype" w:cs="Palatino Linotype"/>
          <w:color w:val="000000"/>
          <w:szCs w:val="24"/>
        </w:rPr>
        <w:t xml:space="preserve">, </w:t>
      </w:r>
      <w:r w:rsidRPr="004C511E">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4C511E" w:rsidRDefault="00454915" w:rsidP="008F50E6">
      <w:pPr>
        <w:rPr>
          <w:szCs w:val="24"/>
        </w:rPr>
      </w:pPr>
    </w:p>
    <w:p w14:paraId="20573BFF" w14:textId="2477D98E" w:rsidR="00A970D5" w:rsidRPr="004C511E" w:rsidRDefault="004C511E" w:rsidP="003532D0">
      <w:pPr>
        <w:pBdr>
          <w:top w:val="nil"/>
          <w:left w:val="nil"/>
          <w:bottom w:val="nil"/>
          <w:right w:val="nil"/>
          <w:between w:val="nil"/>
        </w:pBdr>
        <w:contextualSpacing/>
        <w:rPr>
          <w:rFonts w:eastAsia="Palatino Linotype" w:cs="Palatino Linotype"/>
          <w:color w:val="000000"/>
          <w:szCs w:val="24"/>
        </w:rPr>
      </w:pPr>
      <w:r w:rsidRPr="004C511E">
        <w:rPr>
          <w:rFonts w:eastAsiaTheme="minorHAnsi"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A970D5" w:rsidRPr="004C511E">
        <w:rPr>
          <w:rFonts w:eastAsia="Palatino Linotype" w:cs="Palatino Linotype"/>
          <w:color w:val="000000"/>
          <w:szCs w:val="24"/>
        </w:rPr>
        <w:t>.</w:t>
      </w:r>
      <w:r w:rsidR="001957CF" w:rsidRPr="004C511E">
        <w:rPr>
          <w:rFonts w:eastAsia="Palatino Linotype" w:cs="Palatino Linotype"/>
          <w:color w:val="000000"/>
          <w:szCs w:val="24"/>
        </w:rPr>
        <w:t>--------------</w:t>
      </w:r>
      <w:r w:rsidR="00C6512A" w:rsidRPr="004C511E">
        <w:rPr>
          <w:rFonts w:eastAsia="Palatino Linotype" w:cs="Palatino Linotype"/>
          <w:color w:val="000000"/>
          <w:szCs w:val="24"/>
        </w:rPr>
        <w:t>---------</w:t>
      </w:r>
      <w:r w:rsidR="00337FA1" w:rsidRPr="004C511E">
        <w:rPr>
          <w:rFonts w:eastAsia="Palatino Linotype" w:cs="Palatino Linotype"/>
          <w:color w:val="000000"/>
          <w:szCs w:val="24"/>
        </w:rPr>
        <w:t>-----</w:t>
      </w:r>
      <w:r w:rsidR="009033AE" w:rsidRPr="004C511E">
        <w:rPr>
          <w:rFonts w:eastAsia="Palatino Linotype" w:cs="Palatino Linotype"/>
          <w:color w:val="000000"/>
          <w:szCs w:val="24"/>
        </w:rPr>
        <w:t>-------------------------------------------------------------------------------------------------------------------</w:t>
      </w:r>
      <w:r w:rsidR="00C6457E" w:rsidRPr="004C511E">
        <w:rPr>
          <w:rFonts w:eastAsia="Palatino Linotype" w:cs="Palatino Linotype"/>
          <w:color w:val="000000"/>
          <w:szCs w:val="24"/>
        </w:rPr>
        <w:t>---------------------------------------------------------------------------------------------------------------------</w:t>
      </w:r>
      <w:r w:rsidR="00757731" w:rsidRPr="004C511E">
        <w:rPr>
          <w:rFonts w:eastAsia="Palatino Linotype" w:cs="Palatino Linotype"/>
          <w:color w:val="000000"/>
          <w:szCs w:val="24"/>
        </w:rPr>
        <w:t>------------------------------------------------------------------------------------------------------</w:t>
      </w:r>
      <w:r w:rsidR="00B814ED" w:rsidRPr="004C511E">
        <w:rPr>
          <w:rFonts w:eastAsia="Palatino Linotype" w:cs="Palatino Linotype"/>
          <w:color w:val="000000"/>
          <w:szCs w:val="24"/>
        </w:rPr>
        <w:t>-------------------------------------------------------------------------------------------</w:t>
      </w:r>
      <w:r w:rsidR="007D6E90" w:rsidRPr="004C511E">
        <w:rPr>
          <w:rFonts w:eastAsia="Palatino Linotype" w:cs="Palatino Linotype"/>
          <w:color w:val="000000"/>
          <w:szCs w:val="24"/>
        </w:rPr>
        <w:t>-------------------</w:t>
      </w:r>
      <w:r w:rsidR="008D0345" w:rsidRPr="004C511E">
        <w:rPr>
          <w:rFonts w:eastAsia="Palatino Linotype" w:cs="Palatino Linotype"/>
          <w:color w:val="000000"/>
          <w:szCs w:val="24"/>
        </w:rPr>
        <w:t>---------------</w:t>
      </w:r>
      <w:r w:rsidR="007D6E90" w:rsidRPr="004C511E">
        <w:rPr>
          <w:rFonts w:eastAsia="Palatino Linotype" w:cs="Palatino Linotype"/>
          <w:color w:val="000000"/>
          <w:szCs w:val="24"/>
        </w:rPr>
        <w:t>--------</w:t>
      </w:r>
      <w:r w:rsidR="008D0345" w:rsidRPr="004C511E">
        <w:rPr>
          <w:rFonts w:eastAsia="Palatino Linotype" w:cs="Palatino Linotype"/>
          <w:color w:val="000000"/>
          <w:szCs w:val="24"/>
        </w:rPr>
        <w:t>---------------------------------------------------------------------------------------------------------------------------------------------------------------------------------------------------------------------------------------------------------------------------------------------------------------------------------------------------------------</w:t>
      </w:r>
      <w:r w:rsidR="00C739C3" w:rsidRPr="004C511E">
        <w:rPr>
          <w:rFonts w:eastAsia="Palatino Linotype" w:cs="Palatino Linotype"/>
          <w:color w:val="000000"/>
          <w:szCs w:val="24"/>
        </w:rPr>
        <w:t>------------------------------------------------------------------------------------------------------------------------------------------------------------------------------------------------------------------------------------------------------------------------------------------------------------------------------------------------------------------------------------------------------------------------------------------------------------------------------------------------------------------------------------------------------------------------------------------------------------------------------------------------------------------------------------------------------------------------------------------------------------------------------------------------------------------------------------------------------------------------</w:t>
      </w:r>
    </w:p>
    <w:p w14:paraId="4DA57669" w14:textId="77777777" w:rsidR="00A970D5" w:rsidRPr="004B7011"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4C511E">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50F48" w14:textId="77777777" w:rsidR="00160A33" w:rsidRDefault="00160A33" w:rsidP="00F2498E">
      <w:pPr>
        <w:spacing w:line="240" w:lineRule="auto"/>
      </w:pPr>
      <w:r>
        <w:separator/>
      </w:r>
    </w:p>
  </w:endnote>
  <w:endnote w:type="continuationSeparator" w:id="0">
    <w:p w14:paraId="0238819A" w14:textId="77777777" w:rsidR="00160A33" w:rsidRDefault="00160A33" w:rsidP="00F2498E">
      <w:pPr>
        <w:spacing w:line="240" w:lineRule="auto"/>
      </w:pPr>
      <w:r>
        <w:continuationSeparator/>
      </w:r>
    </w:p>
  </w:endnote>
  <w:endnote w:type="continuationNotice" w:id="1">
    <w:p w14:paraId="7946ABAB" w14:textId="77777777" w:rsidR="00160A33" w:rsidRDefault="00160A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246AD">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246AD">
      <w:rPr>
        <w:rFonts w:ascii="Palatino Linotype" w:hAnsi="Palatino Linotype"/>
        <w:b/>
        <w:bCs/>
        <w:noProof/>
        <w:sz w:val="20"/>
      </w:rPr>
      <w:t>35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246A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246AD">
      <w:rPr>
        <w:rFonts w:ascii="Palatino Linotype" w:hAnsi="Palatino Linotype"/>
        <w:b/>
        <w:bCs/>
        <w:noProof/>
        <w:sz w:val="20"/>
      </w:rPr>
      <w:t>35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E4C58" w14:textId="77777777" w:rsidR="00160A33" w:rsidRDefault="00160A33" w:rsidP="00F2498E">
      <w:pPr>
        <w:spacing w:line="240" w:lineRule="auto"/>
      </w:pPr>
      <w:r>
        <w:separator/>
      </w:r>
    </w:p>
  </w:footnote>
  <w:footnote w:type="continuationSeparator" w:id="0">
    <w:p w14:paraId="6E31F487" w14:textId="77777777" w:rsidR="00160A33" w:rsidRDefault="00160A33" w:rsidP="00F2498E">
      <w:pPr>
        <w:spacing w:line="240" w:lineRule="auto"/>
      </w:pPr>
      <w:r>
        <w:continuationSeparator/>
      </w:r>
    </w:p>
  </w:footnote>
  <w:footnote w:type="continuationNotice" w:id="1">
    <w:p w14:paraId="537E914A" w14:textId="77777777" w:rsidR="00160A33" w:rsidRDefault="00160A33">
      <w:pPr>
        <w:spacing w:line="240" w:lineRule="auto"/>
      </w:pPr>
    </w:p>
  </w:footnote>
  <w:footnote w:id="2">
    <w:p w14:paraId="48CADB97"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BC1A3A" w:rsidRPr="0031280C" w:rsidRDefault="00BC1A3A"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BC1A3A" w:rsidRPr="0031280C" w:rsidRDefault="00BC1A3A"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28C69E11" w14:textId="77777777" w:rsidR="00093922" w:rsidRPr="00FC64D4" w:rsidRDefault="00093922" w:rsidP="00093922">
      <w:pPr>
        <w:pStyle w:val="Textonotapie"/>
        <w:rPr>
          <w:sz w:val="18"/>
        </w:rPr>
      </w:pPr>
      <w:r w:rsidRPr="00FC64D4">
        <w:rPr>
          <w:rStyle w:val="Refdenotaalpie"/>
          <w:sz w:val="18"/>
        </w:rPr>
        <w:footnoteRef/>
      </w:r>
      <w:r w:rsidRPr="00FC64D4">
        <w:rPr>
          <w:sz w:val="18"/>
        </w:rPr>
        <w:t xml:space="preserve"> Tesis VI.2o. J/43</w:t>
      </w:r>
      <w:r>
        <w:rPr>
          <w:sz w:val="18"/>
        </w:rPr>
        <w:t xml:space="preserve">, </w:t>
      </w:r>
      <w:r>
        <w:rPr>
          <w:i/>
          <w:sz w:val="18"/>
        </w:rPr>
        <w:t>Semanario Judicial de la Federación y su Gaceta</w:t>
      </w:r>
      <w:r>
        <w:rPr>
          <w:sz w:val="18"/>
        </w:rPr>
        <w:t>, Novena Época, Tomo III, marzo de 1996, pág. 769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C1A3A" w:rsidRDefault="00BC1A3A">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rsidRPr="00B17577" w14:paraId="37B9EBDE" w14:textId="77777777" w:rsidTr="226BB7D0">
      <w:trPr>
        <w:trHeight w:val="227"/>
      </w:trPr>
      <w:tc>
        <w:tcPr>
          <w:tcW w:w="5103" w:type="dxa"/>
          <w:hideMark/>
        </w:tcPr>
        <w:p w14:paraId="4964FBC5" w14:textId="54CDA645" w:rsidR="00BC1A3A" w:rsidRPr="00096248" w:rsidRDefault="00BC1A3A"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0BE2E34E" w:rsidR="00BC1A3A" w:rsidRPr="00096248" w:rsidRDefault="00BE23A0" w:rsidP="00011C4D">
          <w:pPr>
            <w:spacing w:after="120" w:line="240" w:lineRule="auto"/>
            <w:ind w:right="71"/>
            <w:jc w:val="right"/>
            <w:rPr>
              <w:rFonts w:cs="Arial"/>
              <w:b/>
              <w:szCs w:val="24"/>
            </w:rPr>
          </w:pPr>
          <w:r>
            <w:rPr>
              <w:rFonts w:cs="Arial"/>
              <w:b/>
              <w:bCs/>
              <w:szCs w:val="24"/>
            </w:rPr>
            <w:t>14125/INFOEM/IP/RR/2025</w:t>
          </w:r>
        </w:p>
      </w:tc>
    </w:tr>
    <w:tr w:rsidR="00BC1A3A" w14:paraId="7591D3C9" w14:textId="77777777" w:rsidTr="226BB7D0">
      <w:trPr>
        <w:trHeight w:val="242"/>
      </w:trPr>
      <w:tc>
        <w:tcPr>
          <w:tcW w:w="5103" w:type="dxa"/>
          <w:hideMark/>
        </w:tcPr>
        <w:p w14:paraId="729A65A8" w14:textId="77777777" w:rsidR="00BC1A3A" w:rsidRPr="00096248" w:rsidRDefault="00BC1A3A"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259D97C3" w:rsidR="00BC1A3A" w:rsidRPr="00096248" w:rsidRDefault="00EB6D7F" w:rsidP="226BB7D0">
          <w:pPr>
            <w:spacing w:after="120" w:line="240" w:lineRule="auto"/>
            <w:ind w:left="-81" w:right="71"/>
            <w:jc w:val="right"/>
            <w:rPr>
              <w:rFonts w:cs="Arial"/>
              <w:lang w:val="es-ES"/>
            </w:rPr>
          </w:pPr>
          <w:r>
            <w:rPr>
              <w:rFonts w:cs="Arial"/>
              <w:lang w:val="es-ES"/>
            </w:rPr>
            <w:t>Ayuntamiento de Nezahualcóyotl</w:t>
          </w:r>
        </w:p>
      </w:tc>
    </w:tr>
    <w:tr w:rsidR="00BC1A3A" w:rsidRPr="00F63239" w14:paraId="037E914D" w14:textId="77777777" w:rsidTr="226BB7D0">
      <w:trPr>
        <w:trHeight w:val="342"/>
      </w:trPr>
      <w:tc>
        <w:tcPr>
          <w:tcW w:w="5103" w:type="dxa"/>
          <w:hideMark/>
        </w:tcPr>
        <w:p w14:paraId="7676B68F" w14:textId="64D69EAF" w:rsidR="00BC1A3A" w:rsidRPr="00096248" w:rsidRDefault="00BC1A3A"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C1A3A" w:rsidRDefault="00BC1A3A"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C1A3A" w:rsidRPr="00711916" w:rsidRDefault="00BC1A3A" w:rsidP="00011C4D">
          <w:pPr>
            <w:spacing w:after="120" w:line="240" w:lineRule="auto"/>
            <w:ind w:left="-486" w:right="71" w:firstLine="567"/>
            <w:jc w:val="right"/>
            <w:rPr>
              <w:rFonts w:cs="Arial"/>
              <w:sz w:val="2"/>
              <w:szCs w:val="2"/>
            </w:rPr>
          </w:pPr>
        </w:p>
      </w:tc>
    </w:tr>
  </w:tbl>
  <w:p w14:paraId="2998DBFD" w14:textId="25A9F426" w:rsidR="00BC1A3A" w:rsidRPr="00871A91" w:rsidRDefault="00BC1A3A">
    <w:pPr>
      <w:pStyle w:val="Encabezado"/>
      <w:rPr>
        <w:sz w:val="2"/>
      </w:rPr>
    </w:pPr>
    <w:r>
      <w:rPr>
        <w:noProof/>
        <w:lang w:val="es-MX" w:eastAsia="es-MX"/>
      </w:rPr>
      <w:drawing>
        <wp:anchor distT="0" distB="0" distL="114300" distR="114300" simplePos="0" relativeHeight="251658241" behindDoc="1" locked="0" layoutInCell="0" allowOverlap="1" wp14:anchorId="0EB6CA90" wp14:editId="43B04525">
          <wp:simplePos x="0" y="0"/>
          <wp:positionH relativeFrom="margin">
            <wp:posOffset>-1040765</wp:posOffset>
          </wp:positionH>
          <wp:positionV relativeFrom="margin">
            <wp:posOffset>-1818005</wp:posOffset>
          </wp:positionV>
          <wp:extent cx="7739380" cy="10080625"/>
          <wp:effectExtent l="0" t="0" r="0" b="3175"/>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14:paraId="0F9FE9B6" w14:textId="77777777" w:rsidTr="226BB7D0">
      <w:trPr>
        <w:trHeight w:val="227"/>
      </w:trPr>
      <w:tc>
        <w:tcPr>
          <w:tcW w:w="5103" w:type="dxa"/>
          <w:hideMark/>
        </w:tcPr>
        <w:p w14:paraId="6D1D9D71" w14:textId="11150E5A" w:rsidR="00BC1A3A" w:rsidRPr="00663A37" w:rsidRDefault="00BC1A3A"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44F994CC" w:rsidR="00BC1A3A" w:rsidRPr="00C81ECD" w:rsidRDefault="00BE23A0" w:rsidP="00011C4D">
          <w:pPr>
            <w:spacing w:after="120" w:line="240" w:lineRule="auto"/>
            <w:ind w:left="-486" w:right="68" w:firstLine="558"/>
            <w:jc w:val="right"/>
            <w:rPr>
              <w:rFonts w:cs="Arial"/>
              <w:b/>
              <w:szCs w:val="24"/>
            </w:rPr>
          </w:pPr>
          <w:r>
            <w:rPr>
              <w:rFonts w:cs="Arial"/>
              <w:b/>
              <w:bCs/>
              <w:szCs w:val="24"/>
            </w:rPr>
            <w:t>14125/INFOEM/IP/RR/2025</w:t>
          </w:r>
        </w:p>
      </w:tc>
    </w:tr>
    <w:tr w:rsidR="00BC1A3A" w:rsidRPr="001F57CD" w14:paraId="1377D264" w14:textId="77777777" w:rsidTr="226BB7D0">
      <w:trPr>
        <w:trHeight w:val="196"/>
      </w:trPr>
      <w:tc>
        <w:tcPr>
          <w:tcW w:w="5103" w:type="dxa"/>
          <w:hideMark/>
        </w:tcPr>
        <w:p w14:paraId="04D597A1" w14:textId="77777777" w:rsidR="00BC1A3A" w:rsidRPr="00663A37" w:rsidRDefault="00BC1A3A"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7E95D50" w:rsidR="00BC1A3A" w:rsidRPr="00663A37" w:rsidRDefault="001246AD" w:rsidP="70652167">
          <w:pPr>
            <w:spacing w:after="120" w:line="240" w:lineRule="auto"/>
            <w:ind w:right="68"/>
            <w:jc w:val="right"/>
            <w:rPr>
              <w:rFonts w:cs="Arial"/>
              <w:lang w:val="es-ES"/>
            </w:rPr>
          </w:pPr>
          <w:r>
            <w:rPr>
              <w:rFonts w:cs="Arial"/>
              <w:lang w:val="es-ES"/>
            </w:rPr>
            <w:t>XXXXXXXXXXXXXX</w:t>
          </w:r>
        </w:p>
      </w:tc>
    </w:tr>
    <w:tr w:rsidR="00BC1A3A" w14:paraId="4DC11993" w14:textId="77777777" w:rsidTr="226BB7D0">
      <w:trPr>
        <w:trHeight w:val="242"/>
      </w:trPr>
      <w:tc>
        <w:tcPr>
          <w:tcW w:w="5103" w:type="dxa"/>
          <w:hideMark/>
        </w:tcPr>
        <w:p w14:paraId="76CEF1B5" w14:textId="77777777" w:rsidR="00BC1A3A" w:rsidRPr="00663A37" w:rsidRDefault="00BC1A3A"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DEE1073" w:rsidR="00BC1A3A" w:rsidRPr="00663A37" w:rsidRDefault="00EB6D7F" w:rsidP="226BB7D0">
          <w:pPr>
            <w:spacing w:after="120" w:line="240" w:lineRule="auto"/>
            <w:ind w:left="-70" w:right="68"/>
            <w:jc w:val="right"/>
            <w:rPr>
              <w:rFonts w:cs="Arial"/>
              <w:lang w:val="es-ES"/>
            </w:rPr>
          </w:pPr>
          <w:r>
            <w:rPr>
              <w:rFonts w:cs="Arial"/>
              <w:lang w:val="es-ES"/>
            </w:rPr>
            <w:t>Ayuntamiento de Nezahualcóyotl</w:t>
          </w:r>
        </w:p>
      </w:tc>
    </w:tr>
    <w:tr w:rsidR="00BC1A3A" w14:paraId="5C2B511D" w14:textId="77777777" w:rsidTr="226BB7D0">
      <w:trPr>
        <w:trHeight w:val="342"/>
      </w:trPr>
      <w:tc>
        <w:tcPr>
          <w:tcW w:w="5103" w:type="dxa"/>
          <w:hideMark/>
        </w:tcPr>
        <w:p w14:paraId="03FEF68C" w14:textId="45E91CF4" w:rsidR="00BC1A3A" w:rsidRPr="00663A37" w:rsidRDefault="00BC1A3A"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C1A3A" w:rsidRPr="00663A37" w:rsidRDefault="00BC1A3A"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C1A3A" w:rsidRPr="00871A91" w:rsidRDefault="00BC1A3A">
    <w:pPr>
      <w:pStyle w:val="Encabezado"/>
      <w:rPr>
        <w:sz w:val="2"/>
      </w:rPr>
    </w:pPr>
    <w:r>
      <w:rPr>
        <w:noProof/>
        <w:lang w:val="es-MX" w:eastAsia="es-MX"/>
      </w:rPr>
      <w:drawing>
        <wp:anchor distT="0" distB="0" distL="114300" distR="114300" simplePos="0" relativeHeight="251658242" behindDoc="1" locked="0" layoutInCell="0" allowOverlap="1" wp14:anchorId="4E26ED4E" wp14:editId="35962251">
          <wp:simplePos x="0" y="0"/>
          <wp:positionH relativeFrom="margin">
            <wp:posOffset>-1029190</wp:posOffset>
          </wp:positionH>
          <wp:positionV relativeFrom="margin">
            <wp:posOffset>-1804035</wp:posOffset>
          </wp:positionV>
          <wp:extent cx="7739380" cy="10080625"/>
          <wp:effectExtent l="0" t="0" r="0" b="3175"/>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82239AC"/>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5C494F"/>
    <w:multiLevelType w:val="multilevel"/>
    <w:tmpl w:val="78BC379E"/>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9A53B26"/>
    <w:multiLevelType w:val="multilevel"/>
    <w:tmpl w:val="5F0CB41E"/>
    <w:styleLink w:val="Listaactual48"/>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4"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1C812E1"/>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9"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0"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2"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0"/>
  </w:num>
  <w:num w:numId="2">
    <w:abstractNumId w:val="44"/>
  </w:num>
  <w:num w:numId="3">
    <w:abstractNumId w:val="17"/>
  </w:num>
  <w:num w:numId="4">
    <w:abstractNumId w:val="56"/>
  </w:num>
  <w:num w:numId="5">
    <w:abstractNumId w:val="7"/>
  </w:num>
  <w:num w:numId="6">
    <w:abstractNumId w:val="47"/>
  </w:num>
  <w:num w:numId="7">
    <w:abstractNumId w:val="14"/>
  </w:num>
  <w:num w:numId="8">
    <w:abstractNumId w:val="4"/>
  </w:num>
  <w:num w:numId="9">
    <w:abstractNumId w:val="25"/>
  </w:num>
  <w:num w:numId="10">
    <w:abstractNumId w:val="26"/>
  </w:num>
  <w:num w:numId="11">
    <w:abstractNumId w:val="62"/>
  </w:num>
  <w:num w:numId="12">
    <w:abstractNumId w:val="54"/>
  </w:num>
  <w:num w:numId="13">
    <w:abstractNumId w:val="36"/>
  </w:num>
  <w:num w:numId="14">
    <w:abstractNumId w:val="43"/>
  </w:num>
  <w:num w:numId="15">
    <w:abstractNumId w:val="22"/>
  </w:num>
  <w:num w:numId="16">
    <w:abstractNumId w:val="35"/>
  </w:num>
  <w:num w:numId="17">
    <w:abstractNumId w:val="20"/>
  </w:num>
  <w:num w:numId="18">
    <w:abstractNumId w:val="9"/>
  </w:num>
  <w:num w:numId="19">
    <w:abstractNumId w:val="10"/>
  </w:num>
  <w:num w:numId="20">
    <w:abstractNumId w:val="18"/>
  </w:num>
  <w:num w:numId="21">
    <w:abstractNumId w:val="30"/>
  </w:num>
  <w:num w:numId="22">
    <w:abstractNumId w:val="3"/>
  </w:num>
  <w:num w:numId="23">
    <w:abstractNumId w:val="41"/>
  </w:num>
  <w:num w:numId="24">
    <w:abstractNumId w:val="46"/>
  </w:num>
  <w:num w:numId="25">
    <w:abstractNumId w:val="55"/>
  </w:num>
  <w:num w:numId="26">
    <w:abstractNumId w:val="24"/>
  </w:num>
  <w:num w:numId="27">
    <w:abstractNumId w:val="51"/>
  </w:num>
  <w:num w:numId="28">
    <w:abstractNumId w:val="33"/>
  </w:num>
  <w:num w:numId="29">
    <w:abstractNumId w:val="28"/>
  </w:num>
  <w:num w:numId="30">
    <w:abstractNumId w:val="21"/>
  </w:num>
  <w:num w:numId="31">
    <w:abstractNumId w:val="42"/>
  </w:num>
  <w:num w:numId="32">
    <w:abstractNumId w:val="45"/>
  </w:num>
  <w:num w:numId="33">
    <w:abstractNumId w:val="8"/>
  </w:num>
  <w:num w:numId="34">
    <w:abstractNumId w:val="59"/>
  </w:num>
  <w:num w:numId="35">
    <w:abstractNumId w:val="65"/>
  </w:num>
  <w:num w:numId="36">
    <w:abstractNumId w:val="53"/>
  </w:num>
  <w:num w:numId="37">
    <w:abstractNumId w:val="11"/>
  </w:num>
  <w:num w:numId="38">
    <w:abstractNumId w:val="52"/>
  </w:num>
  <w:num w:numId="39">
    <w:abstractNumId w:val="12"/>
  </w:num>
  <w:num w:numId="40">
    <w:abstractNumId w:val="50"/>
  </w:num>
  <w:num w:numId="41">
    <w:abstractNumId w:val="58"/>
  </w:num>
  <w:num w:numId="42">
    <w:abstractNumId w:val="0"/>
  </w:num>
  <w:num w:numId="43">
    <w:abstractNumId w:val="2"/>
  </w:num>
  <w:num w:numId="44">
    <w:abstractNumId w:val="34"/>
  </w:num>
  <w:num w:numId="45">
    <w:abstractNumId w:val="23"/>
  </w:num>
  <w:num w:numId="46">
    <w:abstractNumId w:val="60"/>
  </w:num>
  <w:num w:numId="47">
    <w:abstractNumId w:val="32"/>
  </w:num>
  <w:num w:numId="48">
    <w:abstractNumId w:val="66"/>
  </w:num>
  <w:num w:numId="49">
    <w:abstractNumId w:val="13"/>
  </w:num>
  <w:num w:numId="50">
    <w:abstractNumId w:val="27"/>
  </w:num>
  <w:num w:numId="51">
    <w:abstractNumId w:val="1"/>
  </w:num>
  <w:num w:numId="52">
    <w:abstractNumId w:val="63"/>
  </w:num>
  <w:num w:numId="53">
    <w:abstractNumId w:val="57"/>
  </w:num>
  <w:num w:numId="54">
    <w:abstractNumId w:val="6"/>
  </w:num>
  <w:num w:numId="55">
    <w:abstractNumId w:val="39"/>
  </w:num>
  <w:num w:numId="56">
    <w:abstractNumId w:val="16"/>
  </w:num>
  <w:num w:numId="57">
    <w:abstractNumId w:val="19"/>
  </w:num>
  <w:num w:numId="58">
    <w:abstractNumId w:val="38"/>
  </w:num>
  <w:num w:numId="59">
    <w:abstractNumId w:val="29"/>
  </w:num>
  <w:num w:numId="60">
    <w:abstractNumId w:val="61"/>
  </w:num>
  <w:num w:numId="61">
    <w:abstractNumId w:val="37"/>
  </w:num>
  <w:num w:numId="62">
    <w:abstractNumId w:val="64"/>
  </w:num>
  <w:num w:numId="63">
    <w:abstractNumId w:val="49"/>
  </w:num>
  <w:num w:numId="64">
    <w:abstractNumId w:val="5"/>
  </w:num>
  <w:num w:numId="65">
    <w:abstractNumId w:val="15"/>
  </w:num>
  <w:num w:numId="66">
    <w:abstractNumId w:val="31"/>
  </w:num>
  <w:num w:numId="67">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4CA"/>
    <w:rsid w:val="00001589"/>
    <w:rsid w:val="000024F0"/>
    <w:rsid w:val="00002C6A"/>
    <w:rsid w:val="00003412"/>
    <w:rsid w:val="000034AA"/>
    <w:rsid w:val="000037B8"/>
    <w:rsid w:val="00003F45"/>
    <w:rsid w:val="00004014"/>
    <w:rsid w:val="00004465"/>
    <w:rsid w:val="00004479"/>
    <w:rsid w:val="00004B62"/>
    <w:rsid w:val="00004E71"/>
    <w:rsid w:val="00005965"/>
    <w:rsid w:val="0000614F"/>
    <w:rsid w:val="0000665B"/>
    <w:rsid w:val="00007234"/>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A6D"/>
    <w:rsid w:val="00025560"/>
    <w:rsid w:val="00025773"/>
    <w:rsid w:val="00026582"/>
    <w:rsid w:val="00027CC1"/>
    <w:rsid w:val="00027DA8"/>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C7A"/>
    <w:rsid w:val="00041DEA"/>
    <w:rsid w:val="0004275B"/>
    <w:rsid w:val="000429D8"/>
    <w:rsid w:val="00042C8A"/>
    <w:rsid w:val="00042C95"/>
    <w:rsid w:val="00043780"/>
    <w:rsid w:val="00043DF8"/>
    <w:rsid w:val="00043E37"/>
    <w:rsid w:val="000452AA"/>
    <w:rsid w:val="00045F86"/>
    <w:rsid w:val="00046717"/>
    <w:rsid w:val="0004675D"/>
    <w:rsid w:val="00046A15"/>
    <w:rsid w:val="00047890"/>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009"/>
    <w:rsid w:val="000640DA"/>
    <w:rsid w:val="000643FB"/>
    <w:rsid w:val="00064854"/>
    <w:rsid w:val="00064FFF"/>
    <w:rsid w:val="0006501C"/>
    <w:rsid w:val="000653C5"/>
    <w:rsid w:val="00065463"/>
    <w:rsid w:val="000658E9"/>
    <w:rsid w:val="000666B3"/>
    <w:rsid w:val="00066F39"/>
    <w:rsid w:val="000676A2"/>
    <w:rsid w:val="0007107B"/>
    <w:rsid w:val="00071159"/>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35A"/>
    <w:rsid w:val="0008134D"/>
    <w:rsid w:val="00081F52"/>
    <w:rsid w:val="00082E5D"/>
    <w:rsid w:val="00083498"/>
    <w:rsid w:val="0008496A"/>
    <w:rsid w:val="00084D1A"/>
    <w:rsid w:val="000853F9"/>
    <w:rsid w:val="0008591E"/>
    <w:rsid w:val="00085EA2"/>
    <w:rsid w:val="000861C4"/>
    <w:rsid w:val="0008628E"/>
    <w:rsid w:val="000864CC"/>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922"/>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2390"/>
    <w:rsid w:val="000B266E"/>
    <w:rsid w:val="000B28CF"/>
    <w:rsid w:val="000B29E0"/>
    <w:rsid w:val="000B350D"/>
    <w:rsid w:val="000B4159"/>
    <w:rsid w:val="000B4193"/>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1552"/>
    <w:rsid w:val="00121842"/>
    <w:rsid w:val="00121B19"/>
    <w:rsid w:val="00121F46"/>
    <w:rsid w:val="001235A0"/>
    <w:rsid w:val="00123D0B"/>
    <w:rsid w:val="001246AD"/>
    <w:rsid w:val="00124B26"/>
    <w:rsid w:val="0012508E"/>
    <w:rsid w:val="00130C18"/>
    <w:rsid w:val="00131C40"/>
    <w:rsid w:val="00131C6C"/>
    <w:rsid w:val="00131F2D"/>
    <w:rsid w:val="001321ED"/>
    <w:rsid w:val="00132BAB"/>
    <w:rsid w:val="00133F26"/>
    <w:rsid w:val="001344F4"/>
    <w:rsid w:val="0013462D"/>
    <w:rsid w:val="001360B8"/>
    <w:rsid w:val="0013657B"/>
    <w:rsid w:val="00136A94"/>
    <w:rsid w:val="00137304"/>
    <w:rsid w:val="00137807"/>
    <w:rsid w:val="00140181"/>
    <w:rsid w:val="0014092A"/>
    <w:rsid w:val="00140A63"/>
    <w:rsid w:val="00141359"/>
    <w:rsid w:val="00142AF7"/>
    <w:rsid w:val="00142D35"/>
    <w:rsid w:val="00142D3B"/>
    <w:rsid w:val="00143916"/>
    <w:rsid w:val="00143E8A"/>
    <w:rsid w:val="00143FC6"/>
    <w:rsid w:val="00144A6E"/>
    <w:rsid w:val="00144ABF"/>
    <w:rsid w:val="00144BA8"/>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F75"/>
    <w:rsid w:val="00155CC6"/>
    <w:rsid w:val="00155CDF"/>
    <w:rsid w:val="00155F53"/>
    <w:rsid w:val="001564E3"/>
    <w:rsid w:val="00156699"/>
    <w:rsid w:val="001568D5"/>
    <w:rsid w:val="00156DAA"/>
    <w:rsid w:val="00156F4D"/>
    <w:rsid w:val="00157491"/>
    <w:rsid w:val="00157C91"/>
    <w:rsid w:val="00157D2B"/>
    <w:rsid w:val="00160608"/>
    <w:rsid w:val="001608D3"/>
    <w:rsid w:val="00160A33"/>
    <w:rsid w:val="00161D85"/>
    <w:rsid w:val="001624E8"/>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02B"/>
    <w:rsid w:val="00177325"/>
    <w:rsid w:val="00177591"/>
    <w:rsid w:val="00177C5F"/>
    <w:rsid w:val="00177F85"/>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A90"/>
    <w:rsid w:val="00186D1D"/>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348"/>
    <w:rsid w:val="001A5B53"/>
    <w:rsid w:val="001A6849"/>
    <w:rsid w:val="001A720E"/>
    <w:rsid w:val="001A773B"/>
    <w:rsid w:val="001A788F"/>
    <w:rsid w:val="001A798F"/>
    <w:rsid w:val="001B0259"/>
    <w:rsid w:val="001B0262"/>
    <w:rsid w:val="001B0D9E"/>
    <w:rsid w:val="001B0FB9"/>
    <w:rsid w:val="001B11CB"/>
    <w:rsid w:val="001B236A"/>
    <w:rsid w:val="001B23FA"/>
    <w:rsid w:val="001B28D1"/>
    <w:rsid w:val="001B2A3F"/>
    <w:rsid w:val="001B3FD2"/>
    <w:rsid w:val="001B5693"/>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CD0"/>
    <w:rsid w:val="001C6455"/>
    <w:rsid w:val="001C6C3D"/>
    <w:rsid w:val="001C6FF2"/>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0EB"/>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65C6"/>
    <w:rsid w:val="001E678B"/>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82E"/>
    <w:rsid w:val="001F5B07"/>
    <w:rsid w:val="001F5E58"/>
    <w:rsid w:val="001F6270"/>
    <w:rsid w:val="001F65BE"/>
    <w:rsid w:val="001F7890"/>
    <w:rsid w:val="001F7D76"/>
    <w:rsid w:val="001F7D9A"/>
    <w:rsid w:val="00200688"/>
    <w:rsid w:val="00200FAD"/>
    <w:rsid w:val="002015CF"/>
    <w:rsid w:val="00201765"/>
    <w:rsid w:val="00201ABD"/>
    <w:rsid w:val="0020257F"/>
    <w:rsid w:val="00204436"/>
    <w:rsid w:val="00204AA1"/>
    <w:rsid w:val="00205357"/>
    <w:rsid w:val="002053B0"/>
    <w:rsid w:val="00205455"/>
    <w:rsid w:val="00205FAC"/>
    <w:rsid w:val="0020613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62C0"/>
    <w:rsid w:val="00226345"/>
    <w:rsid w:val="002264AE"/>
    <w:rsid w:val="00227691"/>
    <w:rsid w:val="00227A85"/>
    <w:rsid w:val="00227B4C"/>
    <w:rsid w:val="00227BB0"/>
    <w:rsid w:val="00227DBC"/>
    <w:rsid w:val="002300D7"/>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0367"/>
    <w:rsid w:val="00241201"/>
    <w:rsid w:val="002423EA"/>
    <w:rsid w:val="00242971"/>
    <w:rsid w:val="002432E1"/>
    <w:rsid w:val="00243315"/>
    <w:rsid w:val="00243B44"/>
    <w:rsid w:val="00243D7F"/>
    <w:rsid w:val="002443AD"/>
    <w:rsid w:val="002451FD"/>
    <w:rsid w:val="002454DC"/>
    <w:rsid w:val="00245AC1"/>
    <w:rsid w:val="0024621D"/>
    <w:rsid w:val="00246269"/>
    <w:rsid w:val="00247320"/>
    <w:rsid w:val="00247588"/>
    <w:rsid w:val="002475C3"/>
    <w:rsid w:val="00247ED0"/>
    <w:rsid w:val="00247FE8"/>
    <w:rsid w:val="00250BB4"/>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F06"/>
    <w:rsid w:val="00275F2C"/>
    <w:rsid w:val="002766AE"/>
    <w:rsid w:val="00277BEF"/>
    <w:rsid w:val="00280398"/>
    <w:rsid w:val="00281167"/>
    <w:rsid w:val="002811E0"/>
    <w:rsid w:val="002811E3"/>
    <w:rsid w:val="002813B2"/>
    <w:rsid w:val="00282431"/>
    <w:rsid w:val="00282E9E"/>
    <w:rsid w:val="00283408"/>
    <w:rsid w:val="00283965"/>
    <w:rsid w:val="00283BBD"/>
    <w:rsid w:val="00283D5E"/>
    <w:rsid w:val="00284245"/>
    <w:rsid w:val="00285028"/>
    <w:rsid w:val="00285034"/>
    <w:rsid w:val="0028564C"/>
    <w:rsid w:val="00285A72"/>
    <w:rsid w:val="00285A94"/>
    <w:rsid w:val="00286289"/>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F85"/>
    <w:rsid w:val="002A51B8"/>
    <w:rsid w:val="002A564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E2"/>
    <w:rsid w:val="002B3EA9"/>
    <w:rsid w:val="002B40FF"/>
    <w:rsid w:val="002B44C4"/>
    <w:rsid w:val="002B44FD"/>
    <w:rsid w:val="002B5CE9"/>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38DA"/>
    <w:rsid w:val="002E40AD"/>
    <w:rsid w:val="002E55C9"/>
    <w:rsid w:val="002E5AFA"/>
    <w:rsid w:val="002E5D59"/>
    <w:rsid w:val="002E6B68"/>
    <w:rsid w:val="002E72F0"/>
    <w:rsid w:val="002E7D14"/>
    <w:rsid w:val="002E7F0E"/>
    <w:rsid w:val="002F07A0"/>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2AA6"/>
    <w:rsid w:val="0032390D"/>
    <w:rsid w:val="00323EBD"/>
    <w:rsid w:val="00324709"/>
    <w:rsid w:val="00324F09"/>
    <w:rsid w:val="00325487"/>
    <w:rsid w:val="0032597C"/>
    <w:rsid w:val="00325BCB"/>
    <w:rsid w:val="00325C6E"/>
    <w:rsid w:val="0032659A"/>
    <w:rsid w:val="003265D6"/>
    <w:rsid w:val="003275F8"/>
    <w:rsid w:val="00327F95"/>
    <w:rsid w:val="003304AC"/>
    <w:rsid w:val="00330546"/>
    <w:rsid w:val="0033070B"/>
    <w:rsid w:val="00330748"/>
    <w:rsid w:val="00330C73"/>
    <w:rsid w:val="00331513"/>
    <w:rsid w:val="00331ECA"/>
    <w:rsid w:val="0033204C"/>
    <w:rsid w:val="003337B6"/>
    <w:rsid w:val="0033491A"/>
    <w:rsid w:val="00334F21"/>
    <w:rsid w:val="00335A61"/>
    <w:rsid w:val="0033687B"/>
    <w:rsid w:val="00337088"/>
    <w:rsid w:val="003373B7"/>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6EBA"/>
    <w:rsid w:val="003471F0"/>
    <w:rsid w:val="00347B20"/>
    <w:rsid w:val="003505B2"/>
    <w:rsid w:val="0035063B"/>
    <w:rsid w:val="00350B04"/>
    <w:rsid w:val="00350B8B"/>
    <w:rsid w:val="00351DF7"/>
    <w:rsid w:val="00351FD1"/>
    <w:rsid w:val="00352677"/>
    <w:rsid w:val="003526EA"/>
    <w:rsid w:val="003532D0"/>
    <w:rsid w:val="0035374E"/>
    <w:rsid w:val="0035393E"/>
    <w:rsid w:val="003540E4"/>
    <w:rsid w:val="00354255"/>
    <w:rsid w:val="003550D3"/>
    <w:rsid w:val="00355834"/>
    <w:rsid w:val="00355981"/>
    <w:rsid w:val="00355BFE"/>
    <w:rsid w:val="00356AA0"/>
    <w:rsid w:val="003573D2"/>
    <w:rsid w:val="003579CE"/>
    <w:rsid w:val="00357A38"/>
    <w:rsid w:val="00360189"/>
    <w:rsid w:val="00361791"/>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1027"/>
    <w:rsid w:val="0038157C"/>
    <w:rsid w:val="00381BAB"/>
    <w:rsid w:val="00381FE7"/>
    <w:rsid w:val="0038209B"/>
    <w:rsid w:val="003837A2"/>
    <w:rsid w:val="003839F9"/>
    <w:rsid w:val="00383D6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585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4A15"/>
    <w:rsid w:val="003C4FF5"/>
    <w:rsid w:val="003C5351"/>
    <w:rsid w:val="003C57BF"/>
    <w:rsid w:val="003C6226"/>
    <w:rsid w:val="003C66C3"/>
    <w:rsid w:val="003C744C"/>
    <w:rsid w:val="003D0AE2"/>
    <w:rsid w:val="003D17AF"/>
    <w:rsid w:val="003D21E7"/>
    <w:rsid w:val="003D2681"/>
    <w:rsid w:val="003D3477"/>
    <w:rsid w:val="003D372B"/>
    <w:rsid w:val="003D3781"/>
    <w:rsid w:val="003D5450"/>
    <w:rsid w:val="003D58CE"/>
    <w:rsid w:val="003D70D0"/>
    <w:rsid w:val="003D7707"/>
    <w:rsid w:val="003D7760"/>
    <w:rsid w:val="003D7841"/>
    <w:rsid w:val="003E006C"/>
    <w:rsid w:val="003E0B2A"/>
    <w:rsid w:val="003E0F89"/>
    <w:rsid w:val="003E13A1"/>
    <w:rsid w:val="003E24F3"/>
    <w:rsid w:val="003E2955"/>
    <w:rsid w:val="003E30A8"/>
    <w:rsid w:val="003E3756"/>
    <w:rsid w:val="003E44DA"/>
    <w:rsid w:val="003E468A"/>
    <w:rsid w:val="003E4972"/>
    <w:rsid w:val="003E4BAA"/>
    <w:rsid w:val="003E5F8A"/>
    <w:rsid w:val="003E606D"/>
    <w:rsid w:val="003E674F"/>
    <w:rsid w:val="003E6C77"/>
    <w:rsid w:val="003E6E17"/>
    <w:rsid w:val="003E7594"/>
    <w:rsid w:val="003E7E83"/>
    <w:rsid w:val="003F04AB"/>
    <w:rsid w:val="003F0A58"/>
    <w:rsid w:val="003F1C2E"/>
    <w:rsid w:val="003F2491"/>
    <w:rsid w:val="003F308A"/>
    <w:rsid w:val="003F32E3"/>
    <w:rsid w:val="003F3A90"/>
    <w:rsid w:val="003F3BA5"/>
    <w:rsid w:val="003F4582"/>
    <w:rsid w:val="003F52FC"/>
    <w:rsid w:val="003F5B98"/>
    <w:rsid w:val="003F5D5C"/>
    <w:rsid w:val="003F6192"/>
    <w:rsid w:val="003F716E"/>
    <w:rsid w:val="003F7354"/>
    <w:rsid w:val="003F7DBF"/>
    <w:rsid w:val="003F7E2F"/>
    <w:rsid w:val="00400374"/>
    <w:rsid w:val="00400915"/>
    <w:rsid w:val="0040187C"/>
    <w:rsid w:val="00402353"/>
    <w:rsid w:val="00402CBA"/>
    <w:rsid w:val="00403319"/>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4D0"/>
    <w:rsid w:val="00420AC4"/>
    <w:rsid w:val="00421B87"/>
    <w:rsid w:val="00421DD1"/>
    <w:rsid w:val="004232C6"/>
    <w:rsid w:val="00423696"/>
    <w:rsid w:val="004236B2"/>
    <w:rsid w:val="004239F6"/>
    <w:rsid w:val="0042456A"/>
    <w:rsid w:val="00424B41"/>
    <w:rsid w:val="00426124"/>
    <w:rsid w:val="00426222"/>
    <w:rsid w:val="00426F24"/>
    <w:rsid w:val="004300F9"/>
    <w:rsid w:val="00430A4F"/>
    <w:rsid w:val="00430C63"/>
    <w:rsid w:val="004310BB"/>
    <w:rsid w:val="0043135A"/>
    <w:rsid w:val="0043218D"/>
    <w:rsid w:val="004325EA"/>
    <w:rsid w:val="004338C7"/>
    <w:rsid w:val="00433E65"/>
    <w:rsid w:val="00434171"/>
    <w:rsid w:val="00434C3F"/>
    <w:rsid w:val="00434EAD"/>
    <w:rsid w:val="0043556C"/>
    <w:rsid w:val="00435D81"/>
    <w:rsid w:val="00436BDA"/>
    <w:rsid w:val="00437085"/>
    <w:rsid w:val="004406B5"/>
    <w:rsid w:val="00441804"/>
    <w:rsid w:val="00441DAF"/>
    <w:rsid w:val="00442E5E"/>
    <w:rsid w:val="004431D5"/>
    <w:rsid w:val="004434CE"/>
    <w:rsid w:val="004436C5"/>
    <w:rsid w:val="00443B2D"/>
    <w:rsid w:val="00444DD3"/>
    <w:rsid w:val="00444E7F"/>
    <w:rsid w:val="00445514"/>
    <w:rsid w:val="00445853"/>
    <w:rsid w:val="0044675A"/>
    <w:rsid w:val="00446CC4"/>
    <w:rsid w:val="00447748"/>
    <w:rsid w:val="00447A90"/>
    <w:rsid w:val="00450D3E"/>
    <w:rsid w:val="00451C0A"/>
    <w:rsid w:val="00451E46"/>
    <w:rsid w:val="00453078"/>
    <w:rsid w:val="004533BE"/>
    <w:rsid w:val="0045354B"/>
    <w:rsid w:val="00453687"/>
    <w:rsid w:val="004536F3"/>
    <w:rsid w:val="00453BC4"/>
    <w:rsid w:val="00454915"/>
    <w:rsid w:val="00455885"/>
    <w:rsid w:val="004558BD"/>
    <w:rsid w:val="00455AD8"/>
    <w:rsid w:val="004569FF"/>
    <w:rsid w:val="004579DC"/>
    <w:rsid w:val="00457A56"/>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437"/>
    <w:rsid w:val="004A46BB"/>
    <w:rsid w:val="004A4A73"/>
    <w:rsid w:val="004A4CC8"/>
    <w:rsid w:val="004A584E"/>
    <w:rsid w:val="004A5EE6"/>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60C"/>
    <w:rsid w:val="004B79BE"/>
    <w:rsid w:val="004B7C52"/>
    <w:rsid w:val="004B7FD7"/>
    <w:rsid w:val="004C0469"/>
    <w:rsid w:val="004C0799"/>
    <w:rsid w:val="004C09C8"/>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11E"/>
    <w:rsid w:val="004C52E8"/>
    <w:rsid w:val="004C5399"/>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39F"/>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566F"/>
    <w:rsid w:val="00506DB2"/>
    <w:rsid w:val="00507EFE"/>
    <w:rsid w:val="0051074E"/>
    <w:rsid w:val="0051081F"/>
    <w:rsid w:val="00510856"/>
    <w:rsid w:val="00510870"/>
    <w:rsid w:val="00511301"/>
    <w:rsid w:val="0051177C"/>
    <w:rsid w:val="00511AE4"/>
    <w:rsid w:val="00511CCF"/>
    <w:rsid w:val="0051262E"/>
    <w:rsid w:val="00512A53"/>
    <w:rsid w:val="00513D8C"/>
    <w:rsid w:val="0051421A"/>
    <w:rsid w:val="005142CE"/>
    <w:rsid w:val="0051495F"/>
    <w:rsid w:val="005149AC"/>
    <w:rsid w:val="00514AF8"/>
    <w:rsid w:val="00514C55"/>
    <w:rsid w:val="00514DE6"/>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14C"/>
    <w:rsid w:val="00525F6D"/>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F03"/>
    <w:rsid w:val="0055043F"/>
    <w:rsid w:val="00550C0E"/>
    <w:rsid w:val="00550ECE"/>
    <w:rsid w:val="005515F8"/>
    <w:rsid w:val="00552278"/>
    <w:rsid w:val="00552326"/>
    <w:rsid w:val="00553368"/>
    <w:rsid w:val="005538D4"/>
    <w:rsid w:val="00553B9B"/>
    <w:rsid w:val="00553E98"/>
    <w:rsid w:val="0055407F"/>
    <w:rsid w:val="005540B2"/>
    <w:rsid w:val="005543AF"/>
    <w:rsid w:val="00554BD4"/>
    <w:rsid w:val="00554C8C"/>
    <w:rsid w:val="0055572B"/>
    <w:rsid w:val="00555A84"/>
    <w:rsid w:val="00555CE3"/>
    <w:rsid w:val="0055603D"/>
    <w:rsid w:val="00556552"/>
    <w:rsid w:val="00556978"/>
    <w:rsid w:val="00557080"/>
    <w:rsid w:val="005600CD"/>
    <w:rsid w:val="00560523"/>
    <w:rsid w:val="00560E60"/>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10B"/>
    <w:rsid w:val="005742BF"/>
    <w:rsid w:val="00574506"/>
    <w:rsid w:val="00574D31"/>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5E9B"/>
    <w:rsid w:val="005873D6"/>
    <w:rsid w:val="00587662"/>
    <w:rsid w:val="00587B1E"/>
    <w:rsid w:val="00587E84"/>
    <w:rsid w:val="005910E7"/>
    <w:rsid w:val="005913E6"/>
    <w:rsid w:val="00592125"/>
    <w:rsid w:val="005944ED"/>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C05"/>
    <w:rsid w:val="005A6057"/>
    <w:rsid w:val="005A60E9"/>
    <w:rsid w:val="005A77E1"/>
    <w:rsid w:val="005A7E33"/>
    <w:rsid w:val="005B03D3"/>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0F44"/>
    <w:rsid w:val="005C16D1"/>
    <w:rsid w:val="005C196C"/>
    <w:rsid w:val="005C27C8"/>
    <w:rsid w:val="005C2DFB"/>
    <w:rsid w:val="005C32BE"/>
    <w:rsid w:val="005C3756"/>
    <w:rsid w:val="005C3DF3"/>
    <w:rsid w:val="005C3F10"/>
    <w:rsid w:val="005C45A8"/>
    <w:rsid w:val="005C49D1"/>
    <w:rsid w:val="005C53D7"/>
    <w:rsid w:val="005C5501"/>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799"/>
    <w:rsid w:val="005E0835"/>
    <w:rsid w:val="005E0DB0"/>
    <w:rsid w:val="005E10A5"/>
    <w:rsid w:val="005E1AEC"/>
    <w:rsid w:val="005E21DE"/>
    <w:rsid w:val="005E24C2"/>
    <w:rsid w:val="005E34E9"/>
    <w:rsid w:val="005E35AB"/>
    <w:rsid w:val="005E3E29"/>
    <w:rsid w:val="005E40B7"/>
    <w:rsid w:val="005E57D8"/>
    <w:rsid w:val="005E5A8E"/>
    <w:rsid w:val="005E625F"/>
    <w:rsid w:val="005E68C5"/>
    <w:rsid w:val="005E7017"/>
    <w:rsid w:val="005E7E9F"/>
    <w:rsid w:val="005F06CD"/>
    <w:rsid w:val="005F0C31"/>
    <w:rsid w:val="005F1439"/>
    <w:rsid w:val="005F21B0"/>
    <w:rsid w:val="005F2320"/>
    <w:rsid w:val="005F24C4"/>
    <w:rsid w:val="005F30F1"/>
    <w:rsid w:val="005F3103"/>
    <w:rsid w:val="005F3144"/>
    <w:rsid w:val="005F33B2"/>
    <w:rsid w:val="005F43FF"/>
    <w:rsid w:val="005F4D3D"/>
    <w:rsid w:val="005F514E"/>
    <w:rsid w:val="005F5B10"/>
    <w:rsid w:val="005F6CAB"/>
    <w:rsid w:val="005F760D"/>
    <w:rsid w:val="0060049C"/>
    <w:rsid w:val="00601153"/>
    <w:rsid w:val="0060129A"/>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83A"/>
    <w:rsid w:val="00621EA3"/>
    <w:rsid w:val="00623275"/>
    <w:rsid w:val="00624255"/>
    <w:rsid w:val="00624E9E"/>
    <w:rsid w:val="0062573B"/>
    <w:rsid w:val="00625DD3"/>
    <w:rsid w:val="0062633E"/>
    <w:rsid w:val="006263D3"/>
    <w:rsid w:val="00626825"/>
    <w:rsid w:val="0062694E"/>
    <w:rsid w:val="006273C6"/>
    <w:rsid w:val="00630030"/>
    <w:rsid w:val="0063016D"/>
    <w:rsid w:val="00630426"/>
    <w:rsid w:val="0063057C"/>
    <w:rsid w:val="00631753"/>
    <w:rsid w:val="00631D03"/>
    <w:rsid w:val="00632B22"/>
    <w:rsid w:val="0063355F"/>
    <w:rsid w:val="00633CAC"/>
    <w:rsid w:val="006349BE"/>
    <w:rsid w:val="0063561E"/>
    <w:rsid w:val="006359FE"/>
    <w:rsid w:val="00635C2F"/>
    <w:rsid w:val="00635DA1"/>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6C41"/>
    <w:rsid w:val="00667860"/>
    <w:rsid w:val="0067157E"/>
    <w:rsid w:val="00672247"/>
    <w:rsid w:val="006723F9"/>
    <w:rsid w:val="006726AD"/>
    <w:rsid w:val="006728CE"/>
    <w:rsid w:val="00672989"/>
    <w:rsid w:val="00672DF2"/>
    <w:rsid w:val="00672E0C"/>
    <w:rsid w:val="00673EAA"/>
    <w:rsid w:val="0067405E"/>
    <w:rsid w:val="006748F5"/>
    <w:rsid w:val="0067591D"/>
    <w:rsid w:val="00675B61"/>
    <w:rsid w:val="00675D66"/>
    <w:rsid w:val="006761F3"/>
    <w:rsid w:val="00676D1D"/>
    <w:rsid w:val="00676D91"/>
    <w:rsid w:val="00680659"/>
    <w:rsid w:val="00680D15"/>
    <w:rsid w:val="0068141C"/>
    <w:rsid w:val="00681544"/>
    <w:rsid w:val="006818D9"/>
    <w:rsid w:val="00681CF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CFA"/>
    <w:rsid w:val="006B3A5C"/>
    <w:rsid w:val="006B469F"/>
    <w:rsid w:val="006B4CA4"/>
    <w:rsid w:val="006B6498"/>
    <w:rsid w:val="006B64AA"/>
    <w:rsid w:val="006B6868"/>
    <w:rsid w:val="006B68FD"/>
    <w:rsid w:val="006B7074"/>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1DF"/>
    <w:rsid w:val="006F0222"/>
    <w:rsid w:val="006F02CE"/>
    <w:rsid w:val="006F04A3"/>
    <w:rsid w:val="006F0EA2"/>
    <w:rsid w:val="006F114C"/>
    <w:rsid w:val="006F14EE"/>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C12"/>
    <w:rsid w:val="00701F34"/>
    <w:rsid w:val="007031A2"/>
    <w:rsid w:val="0070364A"/>
    <w:rsid w:val="00703D4D"/>
    <w:rsid w:val="00703E25"/>
    <w:rsid w:val="00703E4D"/>
    <w:rsid w:val="00703F3A"/>
    <w:rsid w:val="00704693"/>
    <w:rsid w:val="0070491A"/>
    <w:rsid w:val="00704AB9"/>
    <w:rsid w:val="007054D8"/>
    <w:rsid w:val="00706383"/>
    <w:rsid w:val="00706D47"/>
    <w:rsid w:val="00706E27"/>
    <w:rsid w:val="007070E1"/>
    <w:rsid w:val="007075A0"/>
    <w:rsid w:val="00707E9C"/>
    <w:rsid w:val="00711916"/>
    <w:rsid w:val="00711EE2"/>
    <w:rsid w:val="00712D71"/>
    <w:rsid w:val="007130DA"/>
    <w:rsid w:val="00713380"/>
    <w:rsid w:val="00713DD5"/>
    <w:rsid w:val="007143A2"/>
    <w:rsid w:val="007146CB"/>
    <w:rsid w:val="007147B9"/>
    <w:rsid w:val="00714CA9"/>
    <w:rsid w:val="007158FD"/>
    <w:rsid w:val="0071601C"/>
    <w:rsid w:val="007167AE"/>
    <w:rsid w:val="00717C01"/>
    <w:rsid w:val="00717F32"/>
    <w:rsid w:val="00717FD6"/>
    <w:rsid w:val="0072057C"/>
    <w:rsid w:val="00720D8F"/>
    <w:rsid w:val="0072149D"/>
    <w:rsid w:val="007214D9"/>
    <w:rsid w:val="007218F7"/>
    <w:rsid w:val="0072232C"/>
    <w:rsid w:val="007224B8"/>
    <w:rsid w:val="007229FC"/>
    <w:rsid w:val="00723152"/>
    <w:rsid w:val="00723C6D"/>
    <w:rsid w:val="0072485C"/>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065"/>
    <w:rsid w:val="0073686C"/>
    <w:rsid w:val="00736F47"/>
    <w:rsid w:val="00736F6B"/>
    <w:rsid w:val="007373BE"/>
    <w:rsid w:val="00737EBC"/>
    <w:rsid w:val="0074019C"/>
    <w:rsid w:val="007404B8"/>
    <w:rsid w:val="007406B0"/>
    <w:rsid w:val="00740ACC"/>
    <w:rsid w:val="00740D2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9DD"/>
    <w:rsid w:val="00753A5C"/>
    <w:rsid w:val="00753ACF"/>
    <w:rsid w:val="00754023"/>
    <w:rsid w:val="007542EB"/>
    <w:rsid w:val="00754A30"/>
    <w:rsid w:val="00754B8E"/>
    <w:rsid w:val="007550BD"/>
    <w:rsid w:val="007551E4"/>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99E"/>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802A6"/>
    <w:rsid w:val="00780E83"/>
    <w:rsid w:val="00781849"/>
    <w:rsid w:val="00781B6F"/>
    <w:rsid w:val="007822D6"/>
    <w:rsid w:val="0078246A"/>
    <w:rsid w:val="007826F1"/>
    <w:rsid w:val="00782890"/>
    <w:rsid w:val="007833CB"/>
    <w:rsid w:val="00783618"/>
    <w:rsid w:val="00783B56"/>
    <w:rsid w:val="007856F3"/>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24C4"/>
    <w:rsid w:val="007B2759"/>
    <w:rsid w:val="007B28CF"/>
    <w:rsid w:val="007B363B"/>
    <w:rsid w:val="007B3F26"/>
    <w:rsid w:val="007B4263"/>
    <w:rsid w:val="007B4416"/>
    <w:rsid w:val="007B44E0"/>
    <w:rsid w:val="007B46BF"/>
    <w:rsid w:val="007B57CD"/>
    <w:rsid w:val="007B5841"/>
    <w:rsid w:val="007B6263"/>
    <w:rsid w:val="007B6DD8"/>
    <w:rsid w:val="007B727C"/>
    <w:rsid w:val="007B7C73"/>
    <w:rsid w:val="007C009D"/>
    <w:rsid w:val="007C05DC"/>
    <w:rsid w:val="007C0DDF"/>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D0042"/>
    <w:rsid w:val="007D07B3"/>
    <w:rsid w:val="007D1B1E"/>
    <w:rsid w:val="007D1D80"/>
    <w:rsid w:val="007D1F12"/>
    <w:rsid w:val="007D2550"/>
    <w:rsid w:val="007D2646"/>
    <w:rsid w:val="007D266C"/>
    <w:rsid w:val="007D2B20"/>
    <w:rsid w:val="007D31AD"/>
    <w:rsid w:val="007D4712"/>
    <w:rsid w:val="007D4AFF"/>
    <w:rsid w:val="007D5CDD"/>
    <w:rsid w:val="007D5D30"/>
    <w:rsid w:val="007D6294"/>
    <w:rsid w:val="007D6CF0"/>
    <w:rsid w:val="007D6E90"/>
    <w:rsid w:val="007D72D8"/>
    <w:rsid w:val="007D79C8"/>
    <w:rsid w:val="007D7C90"/>
    <w:rsid w:val="007E0ABB"/>
    <w:rsid w:val="007E0B5E"/>
    <w:rsid w:val="007E0C9C"/>
    <w:rsid w:val="007E0FE3"/>
    <w:rsid w:val="007E18F8"/>
    <w:rsid w:val="007E205A"/>
    <w:rsid w:val="007E307B"/>
    <w:rsid w:val="007E31EB"/>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00"/>
    <w:rsid w:val="008040CE"/>
    <w:rsid w:val="00804C3B"/>
    <w:rsid w:val="0080575D"/>
    <w:rsid w:val="008058D0"/>
    <w:rsid w:val="008074C5"/>
    <w:rsid w:val="00807B2A"/>
    <w:rsid w:val="008101FB"/>
    <w:rsid w:val="008105EA"/>
    <w:rsid w:val="00810697"/>
    <w:rsid w:val="00810E97"/>
    <w:rsid w:val="0081123B"/>
    <w:rsid w:val="00811393"/>
    <w:rsid w:val="00811E61"/>
    <w:rsid w:val="008121E2"/>
    <w:rsid w:val="008126F0"/>
    <w:rsid w:val="008128A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9D8"/>
    <w:rsid w:val="00830D47"/>
    <w:rsid w:val="00831867"/>
    <w:rsid w:val="00831A8D"/>
    <w:rsid w:val="00831D6C"/>
    <w:rsid w:val="00832CDC"/>
    <w:rsid w:val="00832F6C"/>
    <w:rsid w:val="008341ED"/>
    <w:rsid w:val="008356D0"/>
    <w:rsid w:val="0083573A"/>
    <w:rsid w:val="008362CE"/>
    <w:rsid w:val="00837584"/>
    <w:rsid w:val="0083796C"/>
    <w:rsid w:val="00837E77"/>
    <w:rsid w:val="008402CD"/>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5"/>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554"/>
    <w:rsid w:val="008647F5"/>
    <w:rsid w:val="00864D6E"/>
    <w:rsid w:val="00865058"/>
    <w:rsid w:val="008659A2"/>
    <w:rsid w:val="00866099"/>
    <w:rsid w:val="0086690B"/>
    <w:rsid w:val="00866973"/>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10D"/>
    <w:rsid w:val="00897AB4"/>
    <w:rsid w:val="008A06D7"/>
    <w:rsid w:val="008A0A35"/>
    <w:rsid w:val="008A0C9F"/>
    <w:rsid w:val="008A14F6"/>
    <w:rsid w:val="008A1645"/>
    <w:rsid w:val="008A2F8E"/>
    <w:rsid w:val="008A2FCB"/>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345"/>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DD5"/>
    <w:rsid w:val="008D4ED9"/>
    <w:rsid w:val="008D5835"/>
    <w:rsid w:val="008D6B04"/>
    <w:rsid w:val="008D72B9"/>
    <w:rsid w:val="008D7AE1"/>
    <w:rsid w:val="008E05B1"/>
    <w:rsid w:val="008E1289"/>
    <w:rsid w:val="008E1B37"/>
    <w:rsid w:val="008E2254"/>
    <w:rsid w:val="008E2654"/>
    <w:rsid w:val="008E2AF5"/>
    <w:rsid w:val="008E2C34"/>
    <w:rsid w:val="008E35F3"/>
    <w:rsid w:val="008E4808"/>
    <w:rsid w:val="008E4929"/>
    <w:rsid w:val="008E4FF4"/>
    <w:rsid w:val="008E5682"/>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2140"/>
    <w:rsid w:val="009249F3"/>
    <w:rsid w:val="00925D59"/>
    <w:rsid w:val="00926716"/>
    <w:rsid w:val="00927A60"/>
    <w:rsid w:val="009308DA"/>
    <w:rsid w:val="00931085"/>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42A"/>
    <w:rsid w:val="00947EC4"/>
    <w:rsid w:val="00950042"/>
    <w:rsid w:val="00950969"/>
    <w:rsid w:val="00950974"/>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66CE"/>
    <w:rsid w:val="00977693"/>
    <w:rsid w:val="00977A7D"/>
    <w:rsid w:val="00977AC6"/>
    <w:rsid w:val="00977BB1"/>
    <w:rsid w:val="00980C24"/>
    <w:rsid w:val="009818E4"/>
    <w:rsid w:val="00982494"/>
    <w:rsid w:val="00982D9B"/>
    <w:rsid w:val="00983C60"/>
    <w:rsid w:val="009845F3"/>
    <w:rsid w:val="009845FD"/>
    <w:rsid w:val="00984E08"/>
    <w:rsid w:val="009856E0"/>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640D"/>
    <w:rsid w:val="009A6BA8"/>
    <w:rsid w:val="009A70F6"/>
    <w:rsid w:val="009A7364"/>
    <w:rsid w:val="009A7F00"/>
    <w:rsid w:val="009B0882"/>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21B4"/>
    <w:rsid w:val="009C24CB"/>
    <w:rsid w:val="009C3225"/>
    <w:rsid w:val="009C3CB8"/>
    <w:rsid w:val="009C3E2A"/>
    <w:rsid w:val="009C4284"/>
    <w:rsid w:val="009C42DE"/>
    <w:rsid w:val="009C49B1"/>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2610"/>
    <w:rsid w:val="009E3DAE"/>
    <w:rsid w:val="009E426E"/>
    <w:rsid w:val="009E4339"/>
    <w:rsid w:val="009E439C"/>
    <w:rsid w:val="009E46F2"/>
    <w:rsid w:val="009E474B"/>
    <w:rsid w:val="009E620D"/>
    <w:rsid w:val="009E6652"/>
    <w:rsid w:val="009E7192"/>
    <w:rsid w:val="009E7F49"/>
    <w:rsid w:val="009F0B98"/>
    <w:rsid w:val="009F0BCA"/>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9D8"/>
    <w:rsid w:val="009F6EA2"/>
    <w:rsid w:val="009F75B3"/>
    <w:rsid w:val="009F79AE"/>
    <w:rsid w:val="009F7F22"/>
    <w:rsid w:val="00A004D3"/>
    <w:rsid w:val="00A00BD1"/>
    <w:rsid w:val="00A00FFB"/>
    <w:rsid w:val="00A01F4B"/>
    <w:rsid w:val="00A027DE"/>
    <w:rsid w:val="00A031FC"/>
    <w:rsid w:val="00A04222"/>
    <w:rsid w:val="00A046BB"/>
    <w:rsid w:val="00A04C7E"/>
    <w:rsid w:val="00A0565F"/>
    <w:rsid w:val="00A0616C"/>
    <w:rsid w:val="00A06672"/>
    <w:rsid w:val="00A06896"/>
    <w:rsid w:val="00A06CF6"/>
    <w:rsid w:val="00A07322"/>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B88"/>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4EA"/>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09E"/>
    <w:rsid w:val="00A43347"/>
    <w:rsid w:val="00A43620"/>
    <w:rsid w:val="00A438B9"/>
    <w:rsid w:val="00A43944"/>
    <w:rsid w:val="00A43A45"/>
    <w:rsid w:val="00A43D2B"/>
    <w:rsid w:val="00A44044"/>
    <w:rsid w:val="00A44476"/>
    <w:rsid w:val="00A44BC3"/>
    <w:rsid w:val="00A4524B"/>
    <w:rsid w:val="00A45454"/>
    <w:rsid w:val="00A4637B"/>
    <w:rsid w:val="00A46BB9"/>
    <w:rsid w:val="00A47286"/>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56711"/>
    <w:rsid w:val="00A60841"/>
    <w:rsid w:val="00A61A4E"/>
    <w:rsid w:val="00A61EF8"/>
    <w:rsid w:val="00A63700"/>
    <w:rsid w:val="00A63958"/>
    <w:rsid w:val="00A63CD7"/>
    <w:rsid w:val="00A64575"/>
    <w:rsid w:val="00A64C36"/>
    <w:rsid w:val="00A651C0"/>
    <w:rsid w:val="00A65800"/>
    <w:rsid w:val="00A65A26"/>
    <w:rsid w:val="00A66DAF"/>
    <w:rsid w:val="00A66FCC"/>
    <w:rsid w:val="00A671E7"/>
    <w:rsid w:val="00A67318"/>
    <w:rsid w:val="00A67625"/>
    <w:rsid w:val="00A67EF4"/>
    <w:rsid w:val="00A7032E"/>
    <w:rsid w:val="00A7033F"/>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265B"/>
    <w:rsid w:val="00AC2BD0"/>
    <w:rsid w:val="00AC2E4E"/>
    <w:rsid w:val="00AC2F14"/>
    <w:rsid w:val="00AC3260"/>
    <w:rsid w:val="00AC38A9"/>
    <w:rsid w:val="00AC3AD7"/>
    <w:rsid w:val="00AC4681"/>
    <w:rsid w:val="00AC4BF6"/>
    <w:rsid w:val="00AC4CAF"/>
    <w:rsid w:val="00AC51CD"/>
    <w:rsid w:val="00AC5375"/>
    <w:rsid w:val="00AC548C"/>
    <w:rsid w:val="00AC5601"/>
    <w:rsid w:val="00AC5AF0"/>
    <w:rsid w:val="00AC6797"/>
    <w:rsid w:val="00AC6A7A"/>
    <w:rsid w:val="00AC6F68"/>
    <w:rsid w:val="00AC7896"/>
    <w:rsid w:val="00AD09D5"/>
    <w:rsid w:val="00AD0E72"/>
    <w:rsid w:val="00AD104E"/>
    <w:rsid w:val="00AD1153"/>
    <w:rsid w:val="00AD124D"/>
    <w:rsid w:val="00AD1EAE"/>
    <w:rsid w:val="00AD2275"/>
    <w:rsid w:val="00AD2280"/>
    <w:rsid w:val="00AD26C0"/>
    <w:rsid w:val="00AD2B85"/>
    <w:rsid w:val="00AD3885"/>
    <w:rsid w:val="00AD3CC4"/>
    <w:rsid w:val="00AD4839"/>
    <w:rsid w:val="00AD4C7C"/>
    <w:rsid w:val="00AD714E"/>
    <w:rsid w:val="00AD76EF"/>
    <w:rsid w:val="00AD7EF5"/>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BCF"/>
    <w:rsid w:val="00AE7EBC"/>
    <w:rsid w:val="00AF115C"/>
    <w:rsid w:val="00AF218F"/>
    <w:rsid w:val="00AF2A87"/>
    <w:rsid w:val="00AF434D"/>
    <w:rsid w:val="00AF4EE4"/>
    <w:rsid w:val="00AF4F94"/>
    <w:rsid w:val="00AF5B98"/>
    <w:rsid w:val="00AF6B94"/>
    <w:rsid w:val="00B0026B"/>
    <w:rsid w:val="00B0036F"/>
    <w:rsid w:val="00B00A28"/>
    <w:rsid w:val="00B00C8E"/>
    <w:rsid w:val="00B02674"/>
    <w:rsid w:val="00B02AA5"/>
    <w:rsid w:val="00B045EC"/>
    <w:rsid w:val="00B04DA9"/>
    <w:rsid w:val="00B04F50"/>
    <w:rsid w:val="00B05AE4"/>
    <w:rsid w:val="00B05CA6"/>
    <w:rsid w:val="00B07742"/>
    <w:rsid w:val="00B10224"/>
    <w:rsid w:val="00B1073D"/>
    <w:rsid w:val="00B1129B"/>
    <w:rsid w:val="00B11CD7"/>
    <w:rsid w:val="00B11FAE"/>
    <w:rsid w:val="00B1205D"/>
    <w:rsid w:val="00B1258A"/>
    <w:rsid w:val="00B128F0"/>
    <w:rsid w:val="00B13307"/>
    <w:rsid w:val="00B1367C"/>
    <w:rsid w:val="00B13B7B"/>
    <w:rsid w:val="00B15202"/>
    <w:rsid w:val="00B1553A"/>
    <w:rsid w:val="00B15920"/>
    <w:rsid w:val="00B16338"/>
    <w:rsid w:val="00B1688A"/>
    <w:rsid w:val="00B17577"/>
    <w:rsid w:val="00B17706"/>
    <w:rsid w:val="00B17CB2"/>
    <w:rsid w:val="00B209BF"/>
    <w:rsid w:val="00B217C6"/>
    <w:rsid w:val="00B21B6A"/>
    <w:rsid w:val="00B21CD1"/>
    <w:rsid w:val="00B2248D"/>
    <w:rsid w:val="00B23256"/>
    <w:rsid w:val="00B244AA"/>
    <w:rsid w:val="00B24CF5"/>
    <w:rsid w:val="00B25329"/>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19C"/>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3B9B"/>
    <w:rsid w:val="00B4467B"/>
    <w:rsid w:val="00B4620E"/>
    <w:rsid w:val="00B46CB0"/>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76CE9"/>
    <w:rsid w:val="00B80785"/>
    <w:rsid w:val="00B814ED"/>
    <w:rsid w:val="00B8179C"/>
    <w:rsid w:val="00B81D3B"/>
    <w:rsid w:val="00B822DB"/>
    <w:rsid w:val="00B82D4E"/>
    <w:rsid w:val="00B82D8B"/>
    <w:rsid w:val="00B84191"/>
    <w:rsid w:val="00B84A8A"/>
    <w:rsid w:val="00B850A5"/>
    <w:rsid w:val="00B865A6"/>
    <w:rsid w:val="00B87C64"/>
    <w:rsid w:val="00B87E47"/>
    <w:rsid w:val="00B905EB"/>
    <w:rsid w:val="00B90AE3"/>
    <w:rsid w:val="00B90C40"/>
    <w:rsid w:val="00B91A82"/>
    <w:rsid w:val="00B9279C"/>
    <w:rsid w:val="00B92BCE"/>
    <w:rsid w:val="00B934BE"/>
    <w:rsid w:val="00B93569"/>
    <w:rsid w:val="00B94160"/>
    <w:rsid w:val="00B94B37"/>
    <w:rsid w:val="00B95178"/>
    <w:rsid w:val="00B9576A"/>
    <w:rsid w:val="00B9609C"/>
    <w:rsid w:val="00B962BB"/>
    <w:rsid w:val="00B967A7"/>
    <w:rsid w:val="00B96B0F"/>
    <w:rsid w:val="00BA088E"/>
    <w:rsid w:val="00BA0A2D"/>
    <w:rsid w:val="00BA152C"/>
    <w:rsid w:val="00BA1C04"/>
    <w:rsid w:val="00BA21B2"/>
    <w:rsid w:val="00BA2861"/>
    <w:rsid w:val="00BA3873"/>
    <w:rsid w:val="00BA441E"/>
    <w:rsid w:val="00BA5315"/>
    <w:rsid w:val="00BA636A"/>
    <w:rsid w:val="00BA6707"/>
    <w:rsid w:val="00BA7C0B"/>
    <w:rsid w:val="00BA7C85"/>
    <w:rsid w:val="00BB0F85"/>
    <w:rsid w:val="00BB1497"/>
    <w:rsid w:val="00BB16D5"/>
    <w:rsid w:val="00BB1940"/>
    <w:rsid w:val="00BB1959"/>
    <w:rsid w:val="00BB2A3A"/>
    <w:rsid w:val="00BB2B51"/>
    <w:rsid w:val="00BB2E4D"/>
    <w:rsid w:val="00BB3445"/>
    <w:rsid w:val="00BB36D5"/>
    <w:rsid w:val="00BB404F"/>
    <w:rsid w:val="00BB467E"/>
    <w:rsid w:val="00BB5301"/>
    <w:rsid w:val="00BB57E8"/>
    <w:rsid w:val="00BB58C8"/>
    <w:rsid w:val="00BB63A5"/>
    <w:rsid w:val="00BB63AD"/>
    <w:rsid w:val="00BB7349"/>
    <w:rsid w:val="00BB778D"/>
    <w:rsid w:val="00BB7DF0"/>
    <w:rsid w:val="00BB7F90"/>
    <w:rsid w:val="00BC0196"/>
    <w:rsid w:val="00BC0367"/>
    <w:rsid w:val="00BC1A3A"/>
    <w:rsid w:val="00BC1CAA"/>
    <w:rsid w:val="00BC219A"/>
    <w:rsid w:val="00BC2EA7"/>
    <w:rsid w:val="00BC357C"/>
    <w:rsid w:val="00BC3946"/>
    <w:rsid w:val="00BC42A8"/>
    <w:rsid w:val="00BC4869"/>
    <w:rsid w:val="00BC6627"/>
    <w:rsid w:val="00BC66EE"/>
    <w:rsid w:val="00BC69F2"/>
    <w:rsid w:val="00BC6F0D"/>
    <w:rsid w:val="00BC72BE"/>
    <w:rsid w:val="00BC7535"/>
    <w:rsid w:val="00BC7F3C"/>
    <w:rsid w:val="00BC7FFB"/>
    <w:rsid w:val="00BD034D"/>
    <w:rsid w:val="00BD0C09"/>
    <w:rsid w:val="00BD1211"/>
    <w:rsid w:val="00BD1C73"/>
    <w:rsid w:val="00BD3209"/>
    <w:rsid w:val="00BD323A"/>
    <w:rsid w:val="00BD361A"/>
    <w:rsid w:val="00BD3692"/>
    <w:rsid w:val="00BD3E45"/>
    <w:rsid w:val="00BD3ECE"/>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3A0"/>
    <w:rsid w:val="00BE27FB"/>
    <w:rsid w:val="00BE2D09"/>
    <w:rsid w:val="00BE346A"/>
    <w:rsid w:val="00BE365E"/>
    <w:rsid w:val="00BE42B0"/>
    <w:rsid w:val="00BE46DF"/>
    <w:rsid w:val="00BE496A"/>
    <w:rsid w:val="00BE4ADD"/>
    <w:rsid w:val="00BE576A"/>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5945"/>
    <w:rsid w:val="00BF5C55"/>
    <w:rsid w:val="00BF5D6D"/>
    <w:rsid w:val="00BF5FB6"/>
    <w:rsid w:val="00BF5FDD"/>
    <w:rsid w:val="00BF6362"/>
    <w:rsid w:val="00BF7293"/>
    <w:rsid w:val="00BF7B4F"/>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601"/>
    <w:rsid w:val="00C11E89"/>
    <w:rsid w:val="00C125DC"/>
    <w:rsid w:val="00C134F6"/>
    <w:rsid w:val="00C138AA"/>
    <w:rsid w:val="00C13C38"/>
    <w:rsid w:val="00C1424F"/>
    <w:rsid w:val="00C14933"/>
    <w:rsid w:val="00C14D71"/>
    <w:rsid w:val="00C14E0B"/>
    <w:rsid w:val="00C14FC5"/>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43D"/>
    <w:rsid w:val="00C235D5"/>
    <w:rsid w:val="00C238FB"/>
    <w:rsid w:val="00C23BF7"/>
    <w:rsid w:val="00C240FA"/>
    <w:rsid w:val="00C25B3F"/>
    <w:rsid w:val="00C2627B"/>
    <w:rsid w:val="00C266DC"/>
    <w:rsid w:val="00C27F6A"/>
    <w:rsid w:val="00C30699"/>
    <w:rsid w:val="00C31080"/>
    <w:rsid w:val="00C321AF"/>
    <w:rsid w:val="00C3227B"/>
    <w:rsid w:val="00C32484"/>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EA0"/>
    <w:rsid w:val="00C409F6"/>
    <w:rsid w:val="00C410D2"/>
    <w:rsid w:val="00C41479"/>
    <w:rsid w:val="00C419AF"/>
    <w:rsid w:val="00C41A6A"/>
    <w:rsid w:val="00C41E0F"/>
    <w:rsid w:val="00C43670"/>
    <w:rsid w:val="00C43810"/>
    <w:rsid w:val="00C438D3"/>
    <w:rsid w:val="00C439F1"/>
    <w:rsid w:val="00C44200"/>
    <w:rsid w:val="00C4452E"/>
    <w:rsid w:val="00C5042D"/>
    <w:rsid w:val="00C510A7"/>
    <w:rsid w:val="00C518EC"/>
    <w:rsid w:val="00C51D6A"/>
    <w:rsid w:val="00C52AC3"/>
    <w:rsid w:val="00C52FE5"/>
    <w:rsid w:val="00C532A4"/>
    <w:rsid w:val="00C536D2"/>
    <w:rsid w:val="00C54558"/>
    <w:rsid w:val="00C5499F"/>
    <w:rsid w:val="00C55359"/>
    <w:rsid w:val="00C558A4"/>
    <w:rsid w:val="00C559CD"/>
    <w:rsid w:val="00C576F8"/>
    <w:rsid w:val="00C57BAE"/>
    <w:rsid w:val="00C57E04"/>
    <w:rsid w:val="00C6060E"/>
    <w:rsid w:val="00C606E2"/>
    <w:rsid w:val="00C60938"/>
    <w:rsid w:val="00C617A0"/>
    <w:rsid w:val="00C61818"/>
    <w:rsid w:val="00C61B06"/>
    <w:rsid w:val="00C61FEC"/>
    <w:rsid w:val="00C62B4F"/>
    <w:rsid w:val="00C62FC2"/>
    <w:rsid w:val="00C63CD5"/>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9C3"/>
    <w:rsid w:val="00C73ED0"/>
    <w:rsid w:val="00C74ACA"/>
    <w:rsid w:val="00C74F2A"/>
    <w:rsid w:val="00C755F6"/>
    <w:rsid w:val="00C75C4F"/>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FC8"/>
    <w:rsid w:val="00C91075"/>
    <w:rsid w:val="00C91D39"/>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2E03"/>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778"/>
    <w:rsid w:val="00CC67F2"/>
    <w:rsid w:val="00CC6BC0"/>
    <w:rsid w:val="00CC6EA8"/>
    <w:rsid w:val="00CC7706"/>
    <w:rsid w:val="00CD0915"/>
    <w:rsid w:val="00CD135D"/>
    <w:rsid w:val="00CD15AC"/>
    <w:rsid w:val="00CD19A8"/>
    <w:rsid w:val="00CD19DB"/>
    <w:rsid w:val="00CD1A48"/>
    <w:rsid w:val="00CD2D16"/>
    <w:rsid w:val="00CD2E3C"/>
    <w:rsid w:val="00CD30FC"/>
    <w:rsid w:val="00CD39A2"/>
    <w:rsid w:val="00CD3C29"/>
    <w:rsid w:val="00CD4B87"/>
    <w:rsid w:val="00CD4D4B"/>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884"/>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514"/>
    <w:rsid w:val="00D0465B"/>
    <w:rsid w:val="00D05D6D"/>
    <w:rsid w:val="00D062B1"/>
    <w:rsid w:val="00D06465"/>
    <w:rsid w:val="00D067C4"/>
    <w:rsid w:val="00D07171"/>
    <w:rsid w:val="00D076D9"/>
    <w:rsid w:val="00D07D33"/>
    <w:rsid w:val="00D10489"/>
    <w:rsid w:val="00D11A35"/>
    <w:rsid w:val="00D11E06"/>
    <w:rsid w:val="00D1224D"/>
    <w:rsid w:val="00D12517"/>
    <w:rsid w:val="00D1259C"/>
    <w:rsid w:val="00D13710"/>
    <w:rsid w:val="00D13846"/>
    <w:rsid w:val="00D13C46"/>
    <w:rsid w:val="00D1469B"/>
    <w:rsid w:val="00D146EB"/>
    <w:rsid w:val="00D15656"/>
    <w:rsid w:val="00D1622E"/>
    <w:rsid w:val="00D16E98"/>
    <w:rsid w:val="00D1763E"/>
    <w:rsid w:val="00D17776"/>
    <w:rsid w:val="00D20835"/>
    <w:rsid w:val="00D20BF9"/>
    <w:rsid w:val="00D20D52"/>
    <w:rsid w:val="00D20EF6"/>
    <w:rsid w:val="00D219AA"/>
    <w:rsid w:val="00D21D01"/>
    <w:rsid w:val="00D2237A"/>
    <w:rsid w:val="00D22D3F"/>
    <w:rsid w:val="00D230E7"/>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F91"/>
    <w:rsid w:val="00D43190"/>
    <w:rsid w:val="00D449EF"/>
    <w:rsid w:val="00D44AD8"/>
    <w:rsid w:val="00D44B6E"/>
    <w:rsid w:val="00D4515E"/>
    <w:rsid w:val="00D4521D"/>
    <w:rsid w:val="00D45819"/>
    <w:rsid w:val="00D46397"/>
    <w:rsid w:val="00D464F2"/>
    <w:rsid w:val="00D50CCE"/>
    <w:rsid w:val="00D50F44"/>
    <w:rsid w:val="00D52933"/>
    <w:rsid w:val="00D52C36"/>
    <w:rsid w:val="00D52FF0"/>
    <w:rsid w:val="00D53395"/>
    <w:rsid w:val="00D537E5"/>
    <w:rsid w:val="00D538C9"/>
    <w:rsid w:val="00D549DF"/>
    <w:rsid w:val="00D54ECB"/>
    <w:rsid w:val="00D5591C"/>
    <w:rsid w:val="00D56683"/>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5F78"/>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312F"/>
    <w:rsid w:val="00D8486E"/>
    <w:rsid w:val="00D84EA2"/>
    <w:rsid w:val="00D84F77"/>
    <w:rsid w:val="00D852CF"/>
    <w:rsid w:val="00D852EB"/>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888"/>
    <w:rsid w:val="00D979CF"/>
    <w:rsid w:val="00D97DD9"/>
    <w:rsid w:val="00DA04CA"/>
    <w:rsid w:val="00DA0B8F"/>
    <w:rsid w:val="00DA17F7"/>
    <w:rsid w:val="00DA1A7B"/>
    <w:rsid w:val="00DA1DC6"/>
    <w:rsid w:val="00DA1F2A"/>
    <w:rsid w:val="00DA1FA8"/>
    <w:rsid w:val="00DA3BBA"/>
    <w:rsid w:val="00DA4093"/>
    <w:rsid w:val="00DA430B"/>
    <w:rsid w:val="00DA432C"/>
    <w:rsid w:val="00DA4677"/>
    <w:rsid w:val="00DA5392"/>
    <w:rsid w:val="00DB0034"/>
    <w:rsid w:val="00DB0677"/>
    <w:rsid w:val="00DB08A2"/>
    <w:rsid w:val="00DB0D6D"/>
    <w:rsid w:val="00DB1035"/>
    <w:rsid w:val="00DB1F84"/>
    <w:rsid w:val="00DB2950"/>
    <w:rsid w:val="00DB2F12"/>
    <w:rsid w:val="00DB447B"/>
    <w:rsid w:val="00DB44A1"/>
    <w:rsid w:val="00DB5CD7"/>
    <w:rsid w:val="00DB6647"/>
    <w:rsid w:val="00DC0C9F"/>
    <w:rsid w:val="00DC1727"/>
    <w:rsid w:val="00DC1843"/>
    <w:rsid w:val="00DC30E4"/>
    <w:rsid w:val="00DC3306"/>
    <w:rsid w:val="00DC33BA"/>
    <w:rsid w:val="00DC4064"/>
    <w:rsid w:val="00DC4957"/>
    <w:rsid w:val="00DC4959"/>
    <w:rsid w:val="00DC4AE2"/>
    <w:rsid w:val="00DC63B3"/>
    <w:rsid w:val="00DC6B6C"/>
    <w:rsid w:val="00DC772E"/>
    <w:rsid w:val="00DD2336"/>
    <w:rsid w:val="00DD2877"/>
    <w:rsid w:val="00DD29DC"/>
    <w:rsid w:val="00DD2EDE"/>
    <w:rsid w:val="00DD3144"/>
    <w:rsid w:val="00DD3886"/>
    <w:rsid w:val="00DD38A3"/>
    <w:rsid w:val="00DD406B"/>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FDA"/>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B01"/>
    <w:rsid w:val="00DF7CFE"/>
    <w:rsid w:val="00DF7E4B"/>
    <w:rsid w:val="00E00957"/>
    <w:rsid w:val="00E00EC1"/>
    <w:rsid w:val="00E01B7A"/>
    <w:rsid w:val="00E01DDD"/>
    <w:rsid w:val="00E0232E"/>
    <w:rsid w:val="00E0349F"/>
    <w:rsid w:val="00E03FCB"/>
    <w:rsid w:val="00E0443E"/>
    <w:rsid w:val="00E0480A"/>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5E4"/>
    <w:rsid w:val="00E2168A"/>
    <w:rsid w:val="00E224FF"/>
    <w:rsid w:val="00E2254B"/>
    <w:rsid w:val="00E22FD4"/>
    <w:rsid w:val="00E2350E"/>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448"/>
    <w:rsid w:val="00E328C4"/>
    <w:rsid w:val="00E32B7F"/>
    <w:rsid w:val="00E3391B"/>
    <w:rsid w:val="00E33954"/>
    <w:rsid w:val="00E3486A"/>
    <w:rsid w:val="00E34A4E"/>
    <w:rsid w:val="00E35198"/>
    <w:rsid w:val="00E35AA6"/>
    <w:rsid w:val="00E3733B"/>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BED"/>
    <w:rsid w:val="00E51D63"/>
    <w:rsid w:val="00E5259C"/>
    <w:rsid w:val="00E52624"/>
    <w:rsid w:val="00E5265D"/>
    <w:rsid w:val="00E528E2"/>
    <w:rsid w:val="00E540BC"/>
    <w:rsid w:val="00E5413A"/>
    <w:rsid w:val="00E545D0"/>
    <w:rsid w:val="00E546D8"/>
    <w:rsid w:val="00E55289"/>
    <w:rsid w:val="00E55480"/>
    <w:rsid w:val="00E55AC7"/>
    <w:rsid w:val="00E55C26"/>
    <w:rsid w:val="00E55C2D"/>
    <w:rsid w:val="00E55EA0"/>
    <w:rsid w:val="00E56AE4"/>
    <w:rsid w:val="00E56C8D"/>
    <w:rsid w:val="00E578FE"/>
    <w:rsid w:val="00E600CD"/>
    <w:rsid w:val="00E60219"/>
    <w:rsid w:val="00E61149"/>
    <w:rsid w:val="00E61239"/>
    <w:rsid w:val="00E62EF4"/>
    <w:rsid w:val="00E632EA"/>
    <w:rsid w:val="00E64613"/>
    <w:rsid w:val="00E650E0"/>
    <w:rsid w:val="00E654A0"/>
    <w:rsid w:val="00E65521"/>
    <w:rsid w:val="00E65D6D"/>
    <w:rsid w:val="00E66502"/>
    <w:rsid w:val="00E66CAF"/>
    <w:rsid w:val="00E67455"/>
    <w:rsid w:val="00E67936"/>
    <w:rsid w:val="00E67D4A"/>
    <w:rsid w:val="00E67FF3"/>
    <w:rsid w:val="00E701AC"/>
    <w:rsid w:val="00E719E2"/>
    <w:rsid w:val="00E71E0E"/>
    <w:rsid w:val="00E721DA"/>
    <w:rsid w:val="00E72497"/>
    <w:rsid w:val="00E72D4B"/>
    <w:rsid w:val="00E730F3"/>
    <w:rsid w:val="00E73424"/>
    <w:rsid w:val="00E74451"/>
    <w:rsid w:val="00E74957"/>
    <w:rsid w:val="00E74EC8"/>
    <w:rsid w:val="00E75036"/>
    <w:rsid w:val="00E75386"/>
    <w:rsid w:val="00E758A1"/>
    <w:rsid w:val="00E75DEB"/>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44DD"/>
    <w:rsid w:val="00E97C2F"/>
    <w:rsid w:val="00EA04FB"/>
    <w:rsid w:val="00EA0B80"/>
    <w:rsid w:val="00EA0E90"/>
    <w:rsid w:val="00EA1245"/>
    <w:rsid w:val="00EA1864"/>
    <w:rsid w:val="00EA1F76"/>
    <w:rsid w:val="00EA44FE"/>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B6D7F"/>
    <w:rsid w:val="00EC0F44"/>
    <w:rsid w:val="00EC115E"/>
    <w:rsid w:val="00EC1362"/>
    <w:rsid w:val="00EC14F5"/>
    <w:rsid w:val="00EC150E"/>
    <w:rsid w:val="00EC1C7D"/>
    <w:rsid w:val="00EC214F"/>
    <w:rsid w:val="00EC238F"/>
    <w:rsid w:val="00EC291E"/>
    <w:rsid w:val="00EC2EEA"/>
    <w:rsid w:val="00EC6033"/>
    <w:rsid w:val="00EC6527"/>
    <w:rsid w:val="00EC67DE"/>
    <w:rsid w:val="00EC6ABB"/>
    <w:rsid w:val="00EC747F"/>
    <w:rsid w:val="00EC7865"/>
    <w:rsid w:val="00EC7B44"/>
    <w:rsid w:val="00EC7B71"/>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6D30"/>
    <w:rsid w:val="00EE76B1"/>
    <w:rsid w:val="00EE7818"/>
    <w:rsid w:val="00EE78E1"/>
    <w:rsid w:val="00EF0700"/>
    <w:rsid w:val="00EF0B59"/>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A10"/>
    <w:rsid w:val="00F1523B"/>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498E"/>
    <w:rsid w:val="00F249C5"/>
    <w:rsid w:val="00F25865"/>
    <w:rsid w:val="00F26938"/>
    <w:rsid w:val="00F270F0"/>
    <w:rsid w:val="00F276A8"/>
    <w:rsid w:val="00F27882"/>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B3B"/>
    <w:rsid w:val="00F55CBC"/>
    <w:rsid w:val="00F55DCB"/>
    <w:rsid w:val="00F562AA"/>
    <w:rsid w:val="00F56426"/>
    <w:rsid w:val="00F5643F"/>
    <w:rsid w:val="00F56CB4"/>
    <w:rsid w:val="00F60198"/>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401"/>
    <w:rsid w:val="00F72E1A"/>
    <w:rsid w:val="00F73053"/>
    <w:rsid w:val="00F73B22"/>
    <w:rsid w:val="00F7474D"/>
    <w:rsid w:val="00F74A3D"/>
    <w:rsid w:val="00F74A8F"/>
    <w:rsid w:val="00F74FB9"/>
    <w:rsid w:val="00F75202"/>
    <w:rsid w:val="00F75FB3"/>
    <w:rsid w:val="00F764E0"/>
    <w:rsid w:val="00F775A3"/>
    <w:rsid w:val="00F7795D"/>
    <w:rsid w:val="00F77D38"/>
    <w:rsid w:val="00F77F4D"/>
    <w:rsid w:val="00F809C6"/>
    <w:rsid w:val="00F80D48"/>
    <w:rsid w:val="00F81408"/>
    <w:rsid w:val="00F815F4"/>
    <w:rsid w:val="00F82E5F"/>
    <w:rsid w:val="00F832E4"/>
    <w:rsid w:val="00F84205"/>
    <w:rsid w:val="00F84294"/>
    <w:rsid w:val="00F86C5F"/>
    <w:rsid w:val="00F86D62"/>
    <w:rsid w:val="00F86F41"/>
    <w:rsid w:val="00F874BB"/>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C0481"/>
    <w:rsid w:val="00FC16AB"/>
    <w:rsid w:val="00FC3564"/>
    <w:rsid w:val="00FC37AD"/>
    <w:rsid w:val="00FC3FBD"/>
    <w:rsid w:val="00FC54A4"/>
    <w:rsid w:val="00FC5909"/>
    <w:rsid w:val="00FC5CDF"/>
    <w:rsid w:val="00FC622C"/>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710A"/>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6FA"/>
    <w:rsid w:val="00FF47CD"/>
    <w:rsid w:val="00FF48BE"/>
    <w:rsid w:val="00FF4CA5"/>
    <w:rsid w:val="00FF5344"/>
    <w:rsid w:val="00FF5532"/>
    <w:rsid w:val="00FF5DBD"/>
    <w:rsid w:val="00FF6225"/>
    <w:rsid w:val="00FF67D7"/>
    <w:rsid w:val="00FF6EC7"/>
    <w:rsid w:val="0EE28084"/>
    <w:rsid w:val="226BB7D0"/>
    <w:rsid w:val="23740614"/>
    <w:rsid w:val="27EA7DDB"/>
    <w:rsid w:val="44E9108F"/>
    <w:rsid w:val="5257D7BA"/>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3C5351"/>
    <w:pPr>
      <w:numPr>
        <w:numId w:val="65"/>
      </w:numPr>
    </w:pPr>
  </w:style>
  <w:style w:type="numbering" w:customStyle="1" w:styleId="Listaactual48">
    <w:name w:val="Lista actual48"/>
    <w:uiPriority w:val="99"/>
    <w:rsid w:val="00E944DD"/>
    <w:pPr>
      <w:numPr>
        <w:numId w:val="6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A7F7-F080-4AF8-9095-B817920C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35</Pages>
  <Words>8744</Words>
  <Characters>48095</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91</cp:revision>
  <cp:lastPrinted>2026-05-14T19:13:00Z</cp:lastPrinted>
  <dcterms:created xsi:type="dcterms:W3CDTF">2026-04-22T22:57:00Z</dcterms:created>
  <dcterms:modified xsi:type="dcterms:W3CDTF">2026-05-19T17:26:00Z</dcterms:modified>
</cp:coreProperties>
</file>