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838" w:rsidRDefault="00EC2E83">
      <w:pPr>
        <w:spacing w:before="240" w:after="240"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R</w:t>
      </w:r>
      <w:bookmarkStart w:id="0" w:name="_GoBack"/>
      <w:bookmarkEnd w:id="0"/>
      <w:r>
        <w:rPr>
          <w:rFonts w:ascii="Palatino Linotype" w:eastAsia="Palatino Linotype" w:hAnsi="Palatino Linotype" w:cs="Palatino Linotype"/>
          <w:sz w:val="24"/>
          <w:szCs w:val="24"/>
        </w:rPr>
        <w:t xml:space="preserve">esolución del Pleno del Instituto de Transparencia, Acceso a la Información Pública y Protección de Datos Personales del Estado de México y Municipios, con domicilio en Metepec, Estado de México; de </w:t>
      </w:r>
      <w:r w:rsidR="00737932">
        <w:rPr>
          <w:rFonts w:ascii="Palatino Linotype" w:eastAsia="Palatino Linotype" w:hAnsi="Palatino Linotype" w:cs="Palatino Linotype"/>
          <w:b/>
          <w:bCs/>
          <w:sz w:val="24"/>
          <w:szCs w:val="24"/>
        </w:rPr>
        <w:t>fecha veinticinco</w:t>
      </w:r>
      <w:r w:rsidR="0031491A">
        <w:rPr>
          <w:rFonts w:ascii="Palatino Linotype" w:eastAsia="Palatino Linotype" w:hAnsi="Palatino Linotype" w:cs="Palatino Linotype"/>
          <w:b/>
          <w:bCs/>
          <w:sz w:val="24"/>
          <w:szCs w:val="24"/>
        </w:rPr>
        <w:t xml:space="preserve"> (25)</w:t>
      </w:r>
      <w:r w:rsidR="00737932">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de junio de dos mil veintiséis.</w:t>
      </w:r>
    </w:p>
    <w:p w:rsidR="00814838" w:rsidRDefault="00EC2E83">
      <w:pPr>
        <w:pBdr>
          <w:top w:val="nil"/>
          <w:left w:val="nil"/>
          <w:bottom w:val="nil"/>
          <w:right w:val="nil"/>
          <w:between w:val="nil"/>
        </w:pBdr>
        <w:tabs>
          <w:tab w:val="center" w:pos="4419"/>
          <w:tab w:val="right" w:pos="8838"/>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VISTO </w:t>
      </w:r>
      <w:r>
        <w:rPr>
          <w:rFonts w:ascii="Palatino Linotype" w:eastAsia="Palatino Linotype" w:hAnsi="Palatino Linotype" w:cs="Palatino Linotype"/>
          <w:color w:val="000000"/>
          <w:sz w:val="24"/>
          <w:szCs w:val="24"/>
        </w:rPr>
        <w:t xml:space="preserve">el expediente electrónico formado con motivo del recurso de revisión  </w:t>
      </w:r>
      <w:r w:rsidR="00737932">
        <w:rPr>
          <w:rFonts w:ascii="Palatino Linotype" w:eastAsia="Palatino Linotype" w:hAnsi="Palatino Linotype" w:cs="Palatino Linotype"/>
          <w:b/>
          <w:bCs/>
          <w:color w:val="000000"/>
          <w:sz w:val="24"/>
          <w:szCs w:val="24"/>
        </w:rPr>
        <w:t> </w:t>
      </w:r>
      <w:r>
        <w:rPr>
          <w:rFonts w:ascii="Palatino Linotype" w:eastAsia="Palatino Linotype" w:hAnsi="Palatino Linotype" w:cs="Palatino Linotype"/>
          <w:b/>
          <w:bCs/>
          <w:color w:val="000000"/>
          <w:sz w:val="24"/>
          <w:szCs w:val="24"/>
        </w:rPr>
        <w:t xml:space="preserve">1153/INFOEM/IP/RR/2026, </w:t>
      </w:r>
      <w:r>
        <w:rPr>
          <w:rFonts w:ascii="Palatino Linotype" w:eastAsia="Palatino Linotype" w:hAnsi="Palatino Linotype" w:cs="Palatino Linotype"/>
          <w:color w:val="000000"/>
          <w:sz w:val="24"/>
          <w:szCs w:val="24"/>
        </w:rPr>
        <w:t xml:space="preserve">interpuesto por </w:t>
      </w:r>
      <w:r w:rsidR="00E1112A">
        <w:rPr>
          <w:rFonts w:ascii="Palatino Linotype" w:eastAsia="Palatino Linotype" w:hAnsi="Palatino Linotype" w:cs="Palatino Linotype"/>
          <w:b/>
          <w:bCs/>
          <w:color w:val="000000"/>
          <w:sz w:val="24"/>
          <w:szCs w:val="24"/>
        </w:rPr>
        <w:t>XXXX</w:t>
      </w:r>
      <w:r>
        <w:rPr>
          <w:rFonts w:ascii="Palatino Linotype" w:eastAsia="Palatino Linotype" w:hAnsi="Palatino Linotype" w:cs="Palatino Linotype"/>
          <w:b/>
          <w:bCs/>
          <w:color w:val="000000"/>
          <w:sz w:val="24"/>
          <w:szCs w:val="24"/>
        </w:rPr>
        <w:t>,</w:t>
      </w:r>
      <w:r>
        <w:rPr>
          <w:rFonts w:ascii="Palatino Linotype" w:eastAsia="Palatino Linotype" w:hAnsi="Palatino Linotype" w:cs="Palatino Linotype"/>
          <w:color w:val="000000"/>
          <w:sz w:val="24"/>
          <w:szCs w:val="24"/>
        </w:rPr>
        <w:t xml:space="preserve"> a quien de ahora en adelante denominaremos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en contra de la respuesta del </w:t>
      </w:r>
      <w:r>
        <w:rPr>
          <w:rFonts w:ascii="Palatino Linotype" w:eastAsia="Palatino Linotype" w:hAnsi="Palatino Linotype" w:cs="Palatino Linotype"/>
          <w:b/>
          <w:bCs/>
          <w:color w:val="000000"/>
          <w:sz w:val="24"/>
          <w:szCs w:val="24"/>
        </w:rPr>
        <w:t xml:space="preserve">Ayuntamiento de Naucalpan de Juárez, </w:t>
      </w:r>
      <w:r>
        <w:rPr>
          <w:rFonts w:ascii="Palatino Linotype" w:eastAsia="Palatino Linotype" w:hAnsi="Palatino Linotype" w:cs="Palatino Linotype"/>
          <w:color w:val="000000"/>
          <w:sz w:val="24"/>
          <w:szCs w:val="24"/>
        </w:rPr>
        <w:t>en lo sucesivo el</w:t>
      </w:r>
      <w:r>
        <w:rPr>
          <w:rFonts w:ascii="Palatino Linotype" w:eastAsia="Palatino Linotype" w:hAnsi="Palatino Linotype" w:cs="Palatino Linotype"/>
          <w:b/>
          <w:bCs/>
          <w:color w:val="000000"/>
          <w:sz w:val="24"/>
          <w:szCs w:val="24"/>
        </w:rPr>
        <w:t xml:space="preserve"> SUJETO OBLIGADO, </w:t>
      </w:r>
      <w:r>
        <w:rPr>
          <w:rFonts w:ascii="Palatino Linotype" w:eastAsia="Palatino Linotype" w:hAnsi="Palatino Linotype" w:cs="Palatino Linotype"/>
          <w:color w:val="000000"/>
          <w:sz w:val="24"/>
          <w:szCs w:val="24"/>
        </w:rPr>
        <w:t>se procede a dictar la presente resolución, con base en los siguientes:</w:t>
      </w:r>
    </w:p>
    <w:p w:rsidR="00814838" w:rsidRDefault="00EC2E83">
      <w:pPr>
        <w:pStyle w:val="Ttulo1"/>
        <w:ind w:right="-1017"/>
        <w:jc w:val="center"/>
        <w:rPr>
          <w:rFonts w:ascii="Palatino Linotype" w:eastAsia="Palatino Linotype" w:hAnsi="Palatino Linotype" w:cs="Palatino Linotype"/>
          <w:b/>
          <w:bCs/>
          <w:color w:val="000000"/>
          <w:sz w:val="24"/>
          <w:szCs w:val="24"/>
        </w:rPr>
      </w:pPr>
      <w:bookmarkStart w:id="1" w:name="_heading=h.dt585s26gua" w:colFirst="0" w:colLast="0"/>
      <w:bookmarkEnd w:id="1"/>
      <w:r>
        <w:rPr>
          <w:rFonts w:ascii="Palatino Linotype" w:eastAsia="Palatino Linotype" w:hAnsi="Palatino Linotype" w:cs="Palatino Linotype"/>
          <w:b/>
          <w:bCs/>
          <w:color w:val="000000"/>
          <w:sz w:val="24"/>
          <w:szCs w:val="24"/>
        </w:rPr>
        <w:t>A N T E C E D E N T E S</w:t>
      </w:r>
    </w:p>
    <w:p w:rsidR="00814838" w:rsidRDefault="00814838">
      <w:pPr>
        <w:pStyle w:val="Ttulo1"/>
        <w:ind w:right="-1017"/>
        <w:jc w:val="center"/>
        <w:rPr>
          <w:rFonts w:ascii="Palatino Linotype" w:eastAsia="Palatino Linotype" w:hAnsi="Palatino Linotype" w:cs="Palatino Linotype"/>
          <w:b/>
          <w:bCs/>
          <w:color w:val="000000"/>
          <w:sz w:val="24"/>
          <w:szCs w:val="24"/>
        </w:rPr>
      </w:pPr>
    </w:p>
    <w:p w:rsidR="00814838" w:rsidRDefault="00EC2E83">
      <w:pPr>
        <w:numPr>
          <w:ilvl w:val="0"/>
          <w:numId w:val="4"/>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nueve de diciembre de dos mil veinticinco</w:t>
      </w:r>
      <w:r>
        <w:rPr>
          <w:rFonts w:ascii="Palatino Linotype" w:eastAsia="Palatino Linotype" w:hAnsi="Palatino Linotype" w:cs="Palatino Linotype"/>
          <w:color w:val="000000"/>
          <w:sz w:val="24"/>
          <w:szCs w:val="24"/>
        </w:rPr>
        <w:t>, el</w:t>
      </w:r>
      <w:r>
        <w:rPr>
          <w:rFonts w:ascii="Palatino Linotype" w:eastAsia="Palatino Linotype" w:hAnsi="Palatino Linotype" w:cs="Palatino Linotype"/>
          <w:b/>
          <w:bCs/>
          <w:color w:val="000000"/>
          <w:sz w:val="24"/>
          <w:szCs w:val="24"/>
        </w:rPr>
        <w:t xml:space="preserve"> RECURRENTE </w:t>
      </w:r>
      <w:r>
        <w:rPr>
          <w:rFonts w:ascii="Palatino Linotype" w:eastAsia="Palatino Linotype" w:hAnsi="Palatino Linotype" w:cs="Palatino Linotype"/>
          <w:color w:val="000000"/>
          <w:sz w:val="24"/>
          <w:szCs w:val="24"/>
        </w:rPr>
        <w:t>presentó</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ante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vía Sistema de Acceso a la Información Mexiquense (</w:t>
      </w:r>
      <w:r>
        <w:rPr>
          <w:rFonts w:ascii="Palatino Linotype" w:eastAsia="Palatino Linotype" w:hAnsi="Palatino Linotype" w:cs="Palatino Linotype"/>
          <w:b/>
          <w:bCs/>
          <w:color w:val="000000"/>
          <w:sz w:val="24"/>
          <w:szCs w:val="24"/>
        </w:rPr>
        <w:t>SAIMEX)</w:t>
      </w:r>
      <w:r>
        <w:rPr>
          <w:rFonts w:ascii="Palatino Linotype" w:eastAsia="Palatino Linotype" w:hAnsi="Palatino Linotype" w:cs="Palatino Linotype"/>
          <w:color w:val="000000"/>
          <w:sz w:val="24"/>
          <w:szCs w:val="24"/>
        </w:rPr>
        <w:t xml:space="preserve">, la solicitud de información pública registrada con el número </w:t>
      </w:r>
      <w:r>
        <w:rPr>
          <w:rFonts w:ascii="Palatino Linotype" w:eastAsia="Palatino Linotype" w:hAnsi="Palatino Linotype" w:cs="Palatino Linotype"/>
          <w:b/>
          <w:bCs/>
          <w:color w:val="000000"/>
          <w:sz w:val="24"/>
          <w:szCs w:val="24"/>
        </w:rPr>
        <w:t xml:space="preserve"> 00798/NAUCALPA/IP/2025 </w:t>
      </w:r>
      <w:r>
        <w:rPr>
          <w:rFonts w:ascii="Palatino Linotype" w:eastAsia="Palatino Linotype" w:hAnsi="Palatino Linotype" w:cs="Palatino Linotype"/>
          <w:sz w:val="24"/>
          <w:szCs w:val="24"/>
        </w:rPr>
        <w:t>en la que solicitó</w:t>
      </w:r>
      <w:r>
        <w:rPr>
          <w:rFonts w:ascii="Palatino Linotype" w:eastAsia="Palatino Linotype" w:hAnsi="Palatino Linotype" w:cs="Palatino Linotype"/>
          <w:color w:val="000000"/>
          <w:sz w:val="24"/>
          <w:szCs w:val="24"/>
        </w:rPr>
        <w:t xml:space="preserve"> lo siguiente:</w:t>
      </w:r>
    </w:p>
    <w:p w:rsidR="00814838" w:rsidRDefault="00814838">
      <w:pPr>
        <w:pBdr>
          <w:top w:val="nil"/>
          <w:left w:val="nil"/>
          <w:bottom w:val="nil"/>
          <w:right w:val="nil"/>
          <w:between w:val="nil"/>
        </w:pBdr>
        <w:spacing w:line="360" w:lineRule="auto"/>
        <w:ind w:left="720" w:right="-1017"/>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ind w:left="709"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“1. Especificar el perfil académico, certificaciones y aptitudes técnicas en la materia de todo el personal involucrado (director, subdirección, jefatura de departamento, inspectores, personal de vivero y de mantenimiento) en la gestión y mantenimiento del arbolado urbano. Anexar evidencia. 2. Detallar la calendarización del mantenimiento integral del arbolado urbano conforme a lo que indica la norma estatal y, también mencionar algún proyecto que se lleve a cabo en beneficio del arbolado urbano. Anexar evidencia. 3. ¿Qué legislación, reglamento local u otro instrumento jurídico vigente aplican para la gestión integral del arbolado urbano (manejo, cuidado, plantación y protección en zonas urbanas)? Mencionar y anexar evidencia. 4. ¿Qué presupuesto exclusivo se destina para atender al arbolado urbano, específicamente para las actividades de poda, plantación y derribo en zonas urbanas? ¿Existe otro medio para la adquisición de planta e insumos relacionados? Anexar evidencia. 5. Anexar el inventario con el que recaban tanto datos físicos </w:t>
      </w:r>
      <w:r>
        <w:rPr>
          <w:rFonts w:ascii="Palatino Linotype" w:eastAsia="Palatino Linotype" w:hAnsi="Palatino Linotype" w:cs="Palatino Linotype"/>
          <w:i/>
          <w:iCs/>
          <w:color w:val="000000"/>
          <w:sz w:val="24"/>
          <w:szCs w:val="24"/>
        </w:rPr>
        <w:lastRenderedPageBreak/>
        <w:t>(altura, diámetro, volumen de copa) como biológicos para la gestión del arbolado urbano. Incorporar evidencia. 6. Mencione las actividades (talleres, reuniones, cursos, charlas, reforestaciones en zonas urbanas) que promuevan las buenas prácticas y el cuidado del arbolado urbano.w.” (sic)</w:t>
      </w:r>
    </w:p>
    <w:p w:rsidR="00814838" w:rsidRDefault="00814838">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814838" w:rsidRDefault="00EC2E83">
      <w:pPr>
        <w:numPr>
          <w:ilvl w:val="0"/>
          <w:numId w:val="3"/>
        </w:num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color w:val="000000"/>
          <w:sz w:val="24"/>
          <w:szCs w:val="24"/>
        </w:rPr>
        <w:t xml:space="preserve">Señaló como modalidad de entrega de la información a través del </w:t>
      </w:r>
      <w:r>
        <w:rPr>
          <w:rFonts w:ascii="Palatino Linotype" w:eastAsia="Palatino Linotype" w:hAnsi="Palatino Linotype" w:cs="Palatino Linotype"/>
          <w:b/>
          <w:bCs/>
          <w:color w:val="000000"/>
          <w:sz w:val="24"/>
          <w:szCs w:val="24"/>
        </w:rPr>
        <w:t>SAIMEX.</w:t>
      </w:r>
    </w:p>
    <w:p w:rsidR="00814838" w:rsidRDefault="00814838">
      <w:pPr>
        <w:ind w:right="-1017"/>
        <w:rPr>
          <w:rFonts w:ascii="Palatino Linotype" w:eastAsia="Palatino Linotype" w:hAnsi="Palatino Linotype" w:cs="Palatino Linotype"/>
          <w:i/>
          <w:iCs/>
          <w:color w:val="000000"/>
          <w:sz w:val="24"/>
          <w:szCs w:val="24"/>
        </w:rPr>
      </w:pPr>
    </w:p>
    <w:p w:rsidR="00814838" w:rsidRDefault="00EC2E83">
      <w:pPr>
        <w:numPr>
          <w:ilvl w:val="0"/>
          <w:numId w:val="4"/>
        </w:numPr>
        <w:pBdr>
          <w:top w:val="nil"/>
          <w:left w:val="nil"/>
          <w:bottom w:val="nil"/>
          <w:right w:val="nil"/>
          <w:between w:val="nil"/>
        </w:pBdr>
        <w:spacing w:before="240" w:after="240"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veinte de enero de dos  mil veintiséis</w:t>
      </w:r>
      <w:r>
        <w:rPr>
          <w:rFonts w:ascii="Palatino Linotype" w:eastAsia="Palatino Linotype" w:hAnsi="Palatino Linotype" w:cs="Palatino Linotype"/>
          <w:color w:val="000000"/>
          <w:sz w:val="24"/>
          <w:szCs w:val="24"/>
        </w:rPr>
        <w:t xml:space="preserv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dio respuesta a la solicitud en los siguientes términos:</w:t>
      </w:r>
    </w:p>
    <w:p w:rsidR="00814838" w:rsidRDefault="00EF2FE8">
      <w:pPr>
        <w:ind w:left="567" w:right="-1017"/>
        <w:jc w:val="both"/>
        <w:rPr>
          <w:rFonts w:ascii="Palatino Linotype" w:eastAsia="Palatino Linotype" w:hAnsi="Palatino Linotype" w:cs="Palatino Linotype"/>
          <w:sz w:val="24"/>
          <w:szCs w:val="24"/>
        </w:rPr>
      </w:pPr>
      <w:hyperlink r:id="rId8">
        <w:r w:rsidR="00EC2E83">
          <w:rPr>
            <w:rFonts w:ascii="Palatino Linotype" w:eastAsia="Palatino Linotype" w:hAnsi="Palatino Linotype" w:cs="Palatino Linotype"/>
            <w:b/>
            <w:bCs/>
            <w:color w:val="000000"/>
            <w:sz w:val="24"/>
            <w:szCs w:val="24"/>
          </w:rPr>
          <w:t>Transparencia 00798_NAUCALPA_IP_2025_TSP_0003 Arbolado.pdf</w:t>
        </w:r>
      </w:hyperlink>
      <w:r w:rsidR="00EC2E83">
        <w:rPr>
          <w:rFonts w:ascii="Palatino Linotype" w:eastAsia="Palatino Linotype" w:hAnsi="Palatino Linotype" w:cs="Palatino Linotype"/>
          <w:b/>
          <w:bCs/>
          <w:sz w:val="24"/>
          <w:szCs w:val="24"/>
        </w:rPr>
        <w:t xml:space="preserve">: </w:t>
      </w:r>
      <w:r w:rsidR="00EC2E83">
        <w:rPr>
          <w:rFonts w:ascii="Palatino Linotype" w:eastAsia="Palatino Linotype" w:hAnsi="Palatino Linotype" w:cs="Palatino Linotype"/>
          <w:sz w:val="24"/>
          <w:szCs w:val="24"/>
        </w:rPr>
        <w:t>oficio firmado por el Director de Servicios Públicos, por el que informó lo siguiente:</w:t>
      </w:r>
    </w:p>
    <w:p w:rsidR="00814838" w:rsidRDefault="00814838">
      <w:pPr>
        <w:ind w:left="567" w:right="-1017"/>
        <w:jc w:val="both"/>
        <w:rPr>
          <w:rFonts w:ascii="Palatino Linotype" w:eastAsia="Palatino Linotype" w:hAnsi="Palatino Linotype" w:cs="Palatino Linotype"/>
          <w:sz w:val="24"/>
          <w:szCs w:val="24"/>
        </w:rPr>
      </w:pPr>
    </w:p>
    <w:p w:rsidR="00814838" w:rsidRDefault="00EC2E83">
      <w:pPr>
        <w:ind w:left="567" w:right="-1017"/>
        <w:jc w:val="both"/>
        <w:rPr>
          <w:rFonts w:ascii="Palatino Linotype" w:eastAsia="Palatino Linotype" w:hAnsi="Palatino Linotype" w:cs="Palatino Linotype"/>
          <w:sz w:val="24"/>
          <w:szCs w:val="24"/>
          <w:u w:val="single"/>
        </w:rPr>
      </w:pPr>
      <w:r>
        <w:rPr>
          <w:rFonts w:ascii="Palatino Linotype" w:eastAsia="Palatino Linotype" w:hAnsi="Palatino Linotype" w:cs="Palatino Linotype"/>
          <w:sz w:val="24"/>
          <w:szCs w:val="24"/>
        </w:rPr>
        <w:t xml:space="preserve">Sin Embargo, en función del principio de máxima publicidad y así dar solvencia a la Solicitud de Información </w:t>
      </w:r>
      <w:r>
        <w:rPr>
          <w:rFonts w:ascii="Palatino Linotype" w:eastAsia="Palatino Linotype" w:hAnsi="Palatino Linotype" w:cs="Palatino Linotype"/>
          <w:sz w:val="24"/>
          <w:szCs w:val="24"/>
          <w:u w:val="single"/>
        </w:rPr>
        <w:t>le informo que después de realizar una BÚSQUEDA EXHAUSTIVA en los ARCHIVOS DE ESTA DIRECCIÓN DE SERVICIOS PÚBLICOS; NO HAY EXISTENCIA NI SE ENCONTRARON CONTRATOS, CONVENIOS, REGISTROS, COPIAS, EVIDENCIA FOTOGRAFICA O DOCUMENTO ALGUNO que acredite la información solicitada en el expediente de solicitud de folio de Turno 00798/NAUCALPA/IP/2025/TSP/0003.</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1. ¿Especificar el perfil académico, certificaciones y aptitudes técnicas en la materia de todo el personal involucrado (director, subdirección, jefatura de departamento, inspectores, ¿personal de vivero y de mantenimiento) en la gestión y mantenimiento del arbolado urbano? </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Por parte de la Dirección de Servicios Públicos no se cuenta con personal criticado para realizar dichos trabajos sólo se cuenta personal de mano de obra en general, pero con una amplia experiencia empírica a través de los años en servicio, por parte del Depto, de parques y jardines</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2. ¿Detallar la calendarización del mantenimiento integral del arbolado urbano conforme a lo que indica la norma estatal y, también mencionar algún proyecto que se lleve a cabo en beneficio del arbolado urbano? </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En la Dirección de Servicios Públicos solo se lleva a cabo el clareo de árboles para mantenimiento de las luminarias de Alumbrado Público, previo dictamen y autorización para realizar los trabajos por medio de la Dirección de Medio Ambiente Emitido por medio de ventanilla única o petición ciudadana.</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3.- ¿Qué legislación, reglamento local u otro instrumento jurídico vigente aplican para la gestión integral del arbolado urbano (manejo, cuidado, plantación y protección en zonas urbanas)?</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 Es fundamental verificar la normativa específica del municipio donde se ubica el arbolado (en este caso, Naucalpan de Juárez, Estado de México) a través de sus autoridades locales, como la Secretaría de Medio Ambiente municipal o Protección Civil. </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4. ¿Qué presupuesto exclusivo se destina para atender al arbolado urbano, específicamente para las actividades de poda, plantación y derribo en zonas urbanas? ¿Existe otro medio para la adquisición de planta e insumos relacionados? </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Es competencia de la Dirección de Administración</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5. Anexar el inventario con el que recaban tantos datos físicos (altura, diámetro, volumen de copa) como biológicos para la gestión del arbolado urbano. Incorporar evidencia.</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Es competencia de la Dirección de Medio Ambiente</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6. Mencione las actividades (talleres, reuniones, cursos, charlas, reforestaciones en zonas urbanas) que promuevan las buenas prácticas y el cuidado del arbolado urbano...? </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En la Dirección de Servicios Públicos hasta la fecha no existe ninguna formación, curso o especialización que promueva las prácticas de control del arbolado, en su caso sería a través de la Dirección de Medio Ambiente o por convocatorias externas o por parte del Gobierno del Estado de México con la Dirección de Medio Ambiente.</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Oficio dirigido a los directores de Medio Ambiente, Administración y Servicios Públicos, por el que se solicita atienda la solicitud de información que nos ocupa. </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br/>
      </w:r>
      <w:hyperlink r:id="rId9">
        <w:r>
          <w:rPr>
            <w:rFonts w:ascii="Palatino Linotype" w:eastAsia="Palatino Linotype" w:hAnsi="Palatino Linotype" w:cs="Palatino Linotype"/>
            <w:b/>
            <w:bCs/>
            <w:color w:val="000000"/>
            <w:sz w:val="24"/>
            <w:szCs w:val="24"/>
          </w:rPr>
          <w:t>solicitud 00798 2025.pdf</w:t>
        </w:r>
      </w:hyperlink>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Oficio firmado por el Subdirector de Recursos Humanos, por el que informó que, después de realizar una búsqueda exhaustiva y razonable, dentro de los archivos físicos y electrónicos de la Subdirección de Recursos Humanos, no se localizó documento de perfil académico especializado, certificaciones específicas o aptitudes técnicas formales, en los términos planteados en la solicitud. </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br/>
      </w:r>
      <w:hyperlink r:id="rId10">
        <w:r>
          <w:rPr>
            <w:rFonts w:ascii="Palatino Linotype" w:eastAsia="Palatino Linotype" w:hAnsi="Palatino Linotype" w:cs="Palatino Linotype"/>
            <w:b/>
            <w:bCs/>
            <w:color w:val="000000"/>
            <w:sz w:val="24"/>
            <w:szCs w:val="24"/>
          </w:rPr>
          <w:t>SOLICITUD .pdf</w:t>
        </w:r>
      </w:hyperlink>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Solicitud para permiso de poda, derribo o trasplante de árboles.</w:t>
      </w: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br/>
      </w:r>
      <w:hyperlink r:id="rId11">
        <w:r>
          <w:rPr>
            <w:rFonts w:ascii="Palatino Linotype" w:eastAsia="Palatino Linotype" w:hAnsi="Palatino Linotype" w:cs="Palatino Linotype"/>
            <w:b/>
            <w:bCs/>
            <w:color w:val="000000"/>
            <w:sz w:val="24"/>
            <w:szCs w:val="24"/>
          </w:rPr>
          <w:t>solicitud 00798 2025.pdf</w:t>
        </w:r>
      </w:hyperlink>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Oficio firmado por el Subdirector de Recursos Humanos, por el </w:t>
      </w:r>
      <w:r>
        <w:rPr>
          <w:rFonts w:ascii="Palatino Linotype" w:eastAsia="Palatino Linotype" w:hAnsi="Palatino Linotype" w:cs="Palatino Linotype"/>
          <w:sz w:val="24"/>
          <w:szCs w:val="24"/>
        </w:rPr>
        <w:lastRenderedPageBreak/>
        <w:t>que informó que, después de realizar una búsqueda exhaustiva y razonable, dentro de los archivos físicos y electrónicos de la Subdirección de Recursos Humanos, no se localizó documento de perfil académico especializado, certificaciones específicas o aptitudes técnicas formales, en los términos planteados en la solicitud.</w:t>
      </w:r>
    </w:p>
    <w:p w:rsidR="00814838" w:rsidRDefault="00814838">
      <w:pPr>
        <w:ind w:right="-1017"/>
        <w:rPr>
          <w:rFonts w:ascii="Palatino Linotype" w:eastAsia="Palatino Linotype" w:hAnsi="Palatino Linotype" w:cs="Palatino Linotype"/>
          <w:sz w:val="24"/>
          <w:szCs w:val="24"/>
        </w:rPr>
      </w:pPr>
    </w:p>
    <w:p w:rsidR="00814838" w:rsidRDefault="00EC2E83">
      <w:pPr>
        <w:numPr>
          <w:ilvl w:val="0"/>
          <w:numId w:val="4"/>
        </w:numPr>
        <w:pBdr>
          <w:top w:val="nil"/>
          <w:left w:val="nil"/>
          <w:bottom w:val="nil"/>
          <w:right w:val="nil"/>
          <w:between w:val="nil"/>
        </w:pBdr>
        <w:spacing w:before="240" w:after="240" w:line="360" w:lineRule="auto"/>
        <w:ind w:left="0" w:right="-1017" w:firstLine="0"/>
        <w:jc w:val="both"/>
        <w:rPr>
          <w:color w:val="000000"/>
        </w:rPr>
      </w:pPr>
      <w:bookmarkStart w:id="2" w:name="_heading=h.r5v0hjqbwd3o" w:colFirst="0" w:colLast="0"/>
      <w:bookmarkEnd w:id="2"/>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veintinueve de enero de dos mil veintiséis</w:t>
      </w:r>
      <w:r>
        <w:rPr>
          <w:rFonts w:ascii="Palatino Linotype" w:eastAsia="Palatino Linotype" w:hAnsi="Palatino Linotype" w:cs="Palatino Linotype"/>
          <w:color w:val="000000"/>
          <w:sz w:val="24"/>
          <w:szCs w:val="24"/>
        </w:rPr>
        <w:t xml:space="preserve">, el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interpuso el recurso de revisión </w:t>
      </w:r>
      <w:r>
        <w:rPr>
          <w:rFonts w:ascii="Palatino Linotype" w:eastAsia="Palatino Linotype" w:hAnsi="Palatino Linotype" w:cs="Palatino Linotype"/>
          <w:b/>
          <w:bCs/>
          <w:color w:val="000000"/>
          <w:sz w:val="24"/>
          <w:szCs w:val="24"/>
        </w:rPr>
        <w:t>01153/INFOEM/IP/RR/2026</w:t>
      </w:r>
      <w:r>
        <w:rPr>
          <w:rFonts w:ascii="Palatino Linotype" w:eastAsia="Palatino Linotype" w:hAnsi="Palatino Linotype" w:cs="Palatino Linotype"/>
          <w:color w:val="000000"/>
          <w:sz w:val="24"/>
          <w:szCs w:val="24"/>
        </w:rPr>
        <w:t>, en los siguientes términos:</w:t>
      </w:r>
    </w:p>
    <w:p w:rsidR="00814838" w:rsidRDefault="00EC2E83">
      <w:pPr>
        <w:numPr>
          <w:ilvl w:val="0"/>
          <w:numId w:val="11"/>
        </w:numPr>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Acto Impugnado: </w:t>
      </w:r>
      <w:r>
        <w:rPr>
          <w:rFonts w:ascii="Palatino Linotype" w:eastAsia="Palatino Linotype" w:hAnsi="Palatino Linotype" w:cs="Palatino Linotype"/>
          <w:b/>
          <w:bCs/>
          <w:i/>
          <w:iCs/>
          <w:sz w:val="24"/>
          <w:szCs w:val="24"/>
        </w:rPr>
        <w:t>“</w:t>
      </w:r>
      <w:r>
        <w:rPr>
          <w:rFonts w:ascii="Palatino Linotype" w:eastAsia="Palatino Linotype" w:hAnsi="Palatino Linotype" w:cs="Palatino Linotype"/>
          <w:i/>
          <w:iCs/>
          <w:color w:val="000000"/>
          <w:sz w:val="24"/>
          <w:szCs w:val="24"/>
        </w:rPr>
        <w:t>Se impugna la respuesta emitida por el Ayuntamiento de Naucalpan de Juárez recibida el 20 de enero del 2026 con folio de solicitud 00798/NAUCALPA/IP/2025” (Sic)</w:t>
      </w:r>
    </w:p>
    <w:p w:rsidR="00814838" w:rsidRDefault="00814838">
      <w:pPr>
        <w:ind w:left="567" w:right="-1017"/>
        <w:rPr>
          <w:rFonts w:ascii="Palatino Linotype" w:eastAsia="Palatino Linotype" w:hAnsi="Palatino Linotype" w:cs="Palatino Linotype"/>
          <w:b/>
          <w:bCs/>
          <w:sz w:val="24"/>
          <w:szCs w:val="24"/>
        </w:rPr>
      </w:pPr>
    </w:p>
    <w:p w:rsidR="00814838" w:rsidRDefault="00EC2E83">
      <w:pPr>
        <w:numPr>
          <w:ilvl w:val="0"/>
          <w:numId w:val="12"/>
        </w:numPr>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Razones o Motivos de Inconformidad: </w:t>
      </w:r>
      <w:r>
        <w:rPr>
          <w:rFonts w:ascii="Palatino Linotype" w:eastAsia="Palatino Linotype" w:hAnsi="Palatino Linotype" w:cs="Palatino Linotype"/>
          <w:b/>
          <w:bCs/>
          <w:i/>
          <w:iCs/>
          <w:sz w:val="24"/>
          <w:szCs w:val="24"/>
        </w:rPr>
        <w:t>“</w:t>
      </w:r>
      <w:r>
        <w:rPr>
          <w:rFonts w:ascii="Palatino Linotype" w:eastAsia="Palatino Linotype" w:hAnsi="Palatino Linotype" w:cs="Palatino Linotype"/>
          <w:i/>
          <w:iCs/>
          <w:color w:val="000000"/>
          <w:sz w:val="24"/>
          <w:szCs w:val="24"/>
        </w:rPr>
        <w:t>La resolución es deficiente y no cumple con la información solicitada. En el documento anexo "Transparencia 00798_NAUCALPA_IP_2025_TSP_0003 Arbolado" queda en claro por parte de la Dirección de Servicios Públicos que, efectivamente, a ellos no les compete la información solicitada sino a la Dirección de Medio Ambiente quien no emitió ninguna respuesta a pesar de haber sido notificados. Se pide que se dirijan a la Dirección y departamentos correspondientes para contestar satisfactoriamente la solicitud que consta de: 1. ¿Cuál es el grado de estudios y certificaciones en gestión y mantenimiento del arbolado urbano de las siguientes personas: Director, subdirector, jefe de departamento, inspectores, personal de vivero y, de mantenimiento? Anexar evidencia (Título, cédula profesional, diplomas, certificados, licencias, CV, u otros). 2. ¿Cuál es la calendarización del mantenimiento técnico que se ejecuta al arbolado urbano y áreas verdes urbanas? ¿Cuál es el nombre de los proyectos que se lleven a cabo en beneficio del arbolado urbano?. Anexar evidencia de su ejecución (Calendario detallado, plan de manejo, u otros). 3. ¿Qué legislación, reglamento local u otro instrumento jurídico vigente aplican para la gestión integral (manejo, cuidado, plantación y protección) del arbolado urbano y áreas verdes municipales y privadas? Anexar evidencia (indicar liga para consulta o descarga de los documentos y mencionar los artículos o secciones en los que se basan). 4</w:t>
      </w:r>
      <w:r>
        <w:rPr>
          <w:rFonts w:ascii="Palatino Linotype" w:eastAsia="Palatino Linotype" w:hAnsi="Palatino Linotype" w:cs="Palatino Linotype"/>
          <w:b/>
          <w:bCs/>
          <w:i/>
          <w:iCs/>
          <w:color w:val="000000"/>
          <w:sz w:val="24"/>
          <w:szCs w:val="24"/>
        </w:rPr>
        <w:t>. ¿En 2025 y 2026 cuál es el presupuesto económico destinado exclusivamente para atender al arbolado urbano con las actividades de: poda, plantación, derribo y atención fitosanitaria en zonas urbanas? Mencione la cantidad económica utilizada en cada actividad. ¿Existe otro medio de financiamiento para la compra de los árboles o de los insumos relacionados? Anexar evidencia (indicar benefactor).</w:t>
      </w:r>
      <w:r>
        <w:rPr>
          <w:rFonts w:ascii="Palatino Linotype" w:eastAsia="Palatino Linotype" w:hAnsi="Palatino Linotype" w:cs="Palatino Linotype"/>
          <w:i/>
          <w:iCs/>
          <w:color w:val="000000"/>
          <w:sz w:val="24"/>
          <w:szCs w:val="24"/>
        </w:rPr>
        <w:t xml:space="preserve"> 5</w:t>
      </w:r>
      <w:r>
        <w:rPr>
          <w:rFonts w:ascii="Palatino Linotype" w:eastAsia="Palatino Linotype" w:hAnsi="Palatino Linotype" w:cs="Palatino Linotype"/>
          <w:b/>
          <w:bCs/>
          <w:i/>
          <w:iCs/>
          <w:color w:val="000000"/>
          <w:sz w:val="24"/>
          <w:szCs w:val="24"/>
        </w:rPr>
        <w:t xml:space="preserve">. ¿Qué datos dasométricos (especie, altura, diámetro, </w:t>
      </w:r>
      <w:r>
        <w:rPr>
          <w:rFonts w:ascii="Palatino Linotype" w:eastAsia="Palatino Linotype" w:hAnsi="Palatino Linotype" w:cs="Palatino Linotype"/>
          <w:b/>
          <w:bCs/>
          <w:i/>
          <w:iCs/>
          <w:color w:val="000000"/>
          <w:sz w:val="24"/>
          <w:szCs w:val="24"/>
        </w:rPr>
        <w:lastRenderedPageBreak/>
        <w:t xml:space="preserve">ubicación, volumen de copa, etc.) se toman al momento de hacer las inspecciones para realizar los dictámenes correspondientes? </w:t>
      </w:r>
      <w:r>
        <w:rPr>
          <w:rFonts w:ascii="Palatino Linotype" w:eastAsia="Palatino Linotype" w:hAnsi="Palatino Linotype" w:cs="Palatino Linotype"/>
          <w:i/>
          <w:iCs/>
          <w:color w:val="000000"/>
          <w:sz w:val="24"/>
          <w:szCs w:val="24"/>
        </w:rPr>
        <w:t xml:space="preserve">Anexar evidencia (proporcionar el inventario con los datos físicos y el tipo de dictamen autorizado). </w:t>
      </w:r>
      <w:r>
        <w:rPr>
          <w:rFonts w:ascii="Palatino Linotype" w:eastAsia="Palatino Linotype" w:hAnsi="Palatino Linotype" w:cs="Palatino Linotype"/>
          <w:b/>
          <w:bCs/>
          <w:i/>
          <w:iCs/>
          <w:color w:val="000000"/>
          <w:sz w:val="24"/>
          <w:szCs w:val="24"/>
        </w:rPr>
        <w:t>¿El trabajo fue realizado por personal municipal o por una empresa externa (mencionar el nombre)?</w:t>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b/>
          <w:bCs/>
          <w:i/>
          <w:iCs/>
          <w:color w:val="000000"/>
          <w:sz w:val="24"/>
          <w:szCs w:val="24"/>
        </w:rPr>
        <w:t>6. ¿Qué actividades realiza la actual administración que promuevan las buenas prácticas y el cuidado del arbolado urbano y áreas verdes urbanas programas, talleres, cursos, proyectos de investigación, u otros)?.</w:t>
      </w:r>
      <w:r>
        <w:rPr>
          <w:rFonts w:ascii="Palatino Linotype" w:eastAsia="Palatino Linotype" w:hAnsi="Palatino Linotype" w:cs="Palatino Linotype"/>
          <w:i/>
          <w:iCs/>
          <w:color w:val="000000"/>
          <w:sz w:val="24"/>
          <w:szCs w:val="24"/>
        </w:rPr>
        <w:t xml:space="preserve"> Anexar evidencia (plan de ejecución, plan de manejo, calendario de actividades, temarios, u otros).</w:t>
      </w:r>
    </w:p>
    <w:p w:rsidR="00814838" w:rsidRDefault="00EC2E83">
      <w:pPr>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i/>
          <w:iCs/>
          <w:sz w:val="24"/>
          <w:szCs w:val="24"/>
        </w:rPr>
        <w:t>” (Sic)</w:t>
      </w:r>
    </w:p>
    <w:p w:rsidR="00814838" w:rsidRDefault="00814838">
      <w:pPr>
        <w:ind w:right="-1017"/>
        <w:rPr>
          <w:rFonts w:ascii="Palatino Linotype" w:eastAsia="Palatino Linotype" w:hAnsi="Palatino Linotype" w:cs="Palatino Linotype"/>
          <w:sz w:val="24"/>
          <w:szCs w:val="24"/>
        </w:rPr>
      </w:pPr>
    </w:p>
    <w:p w:rsidR="00814838" w:rsidRDefault="00EC2E83">
      <w:pPr>
        <w:numPr>
          <w:ilvl w:val="0"/>
          <w:numId w:val="6"/>
        </w:numPr>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Al recurso adjunto el archivo </w:t>
      </w:r>
      <w:hyperlink r:id="rId12">
        <w:r>
          <w:rPr>
            <w:rFonts w:ascii="Palatino Linotype" w:eastAsia="Palatino Linotype" w:hAnsi="Palatino Linotype" w:cs="Palatino Linotype"/>
            <w:color w:val="000000"/>
            <w:sz w:val="24"/>
            <w:szCs w:val="24"/>
          </w:rPr>
          <w:t xml:space="preserve">Transparencia </w:t>
        </w:r>
      </w:hyperlink>
      <w:hyperlink r:id="rId13">
        <w:r>
          <w:rPr>
            <w:rFonts w:ascii="Palatino Linotype" w:eastAsia="Palatino Linotype" w:hAnsi="Palatino Linotype" w:cs="Palatino Linotype"/>
            <w:i/>
            <w:iCs/>
            <w:color w:val="000000"/>
            <w:sz w:val="24"/>
            <w:szCs w:val="24"/>
          </w:rPr>
          <w:t>00798_NAUCALPA_IP_2025_TSP_0003 Arbolado.pd</w:t>
        </w:r>
      </w:hyperlink>
      <w:hyperlink r:id="rId14">
        <w:r>
          <w:rPr>
            <w:rFonts w:ascii="Palatino Linotype" w:eastAsia="Palatino Linotype" w:hAnsi="Palatino Linotype" w:cs="Palatino Linotype"/>
            <w:color w:val="000000"/>
            <w:sz w:val="24"/>
            <w:szCs w:val="24"/>
          </w:rPr>
          <w:t>f</w:t>
        </w:r>
      </w:hyperlink>
      <w:r>
        <w:rPr>
          <w:rFonts w:ascii="Palatino Linotype" w:eastAsia="Palatino Linotype" w:hAnsi="Palatino Linotype" w:cs="Palatino Linotype"/>
          <w:sz w:val="24"/>
          <w:szCs w:val="24"/>
        </w:rPr>
        <w:t xml:space="preserve">, cuyo contenido corresponde al oficio remitido en respuesta. </w:t>
      </w:r>
    </w:p>
    <w:p w:rsidR="00814838" w:rsidRDefault="00814838">
      <w:pPr>
        <w:ind w:right="-1017"/>
        <w:rPr>
          <w:rFonts w:ascii="Palatino Linotype" w:eastAsia="Palatino Linotype" w:hAnsi="Palatino Linotype" w:cs="Palatino Linotype"/>
          <w:sz w:val="24"/>
          <w:szCs w:val="24"/>
        </w:rPr>
      </w:pPr>
    </w:p>
    <w:p w:rsidR="00814838" w:rsidRDefault="00EC2E83">
      <w:pPr>
        <w:numPr>
          <w:ilvl w:val="0"/>
          <w:numId w:val="4"/>
        </w:numPr>
        <w:pBdr>
          <w:top w:val="nil"/>
          <w:left w:val="nil"/>
          <w:bottom w:val="nil"/>
          <w:right w:val="nil"/>
          <w:between w:val="nil"/>
        </w:pBdr>
        <w:spacing w:before="240" w:after="240"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sz w:val="24"/>
          <w:szCs w:val="24"/>
        </w:rPr>
        <w:t xml:space="preserve">Ley de Transparencia y Acceso a la Información Pública del Estado de México y Municipios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sz w:val="24"/>
          <w:szCs w:val="24"/>
        </w:rPr>
        <w:t>turna</w:t>
      </w:r>
      <w:r>
        <w:rPr>
          <w:rFonts w:ascii="Palatino Linotype" w:eastAsia="Palatino Linotype" w:hAnsi="Palatino Linotype" w:cs="Palatino Linotype"/>
          <w:color w:val="000000"/>
          <w:sz w:val="24"/>
          <w:szCs w:val="24"/>
        </w:rPr>
        <w:t xml:space="preserve"> a la </w:t>
      </w:r>
      <w:r>
        <w:rPr>
          <w:rFonts w:ascii="Palatino Linotype" w:eastAsia="Palatino Linotype" w:hAnsi="Palatino Linotype" w:cs="Palatino Linotype"/>
          <w:b/>
          <w:bCs/>
          <w:color w:val="000000"/>
          <w:sz w:val="24"/>
          <w:szCs w:val="24"/>
        </w:rPr>
        <w:t xml:space="preserve">Comisionada María del Rosario Mejía Ayala, </w:t>
      </w:r>
      <w:r>
        <w:rPr>
          <w:rFonts w:ascii="Palatino Linotype" w:eastAsia="Palatino Linotype" w:hAnsi="Palatino Linotype" w:cs="Palatino Linotype"/>
          <w:sz w:val="24"/>
          <w:szCs w:val="24"/>
        </w:rPr>
        <w:t xml:space="preserve">para </w:t>
      </w:r>
      <w:r>
        <w:rPr>
          <w:rFonts w:ascii="Palatino Linotype" w:eastAsia="Palatino Linotype" w:hAnsi="Palatino Linotype" w:cs="Palatino Linotype"/>
          <w:color w:val="000000"/>
          <w:sz w:val="24"/>
          <w:szCs w:val="24"/>
        </w:rPr>
        <w:t>su análisis.</w:t>
      </w:r>
    </w:p>
    <w:p w:rsidR="00814838" w:rsidRDefault="00EC2E83">
      <w:pPr>
        <w:numPr>
          <w:ilvl w:val="0"/>
          <w:numId w:val="4"/>
        </w:numPr>
        <w:pBdr>
          <w:top w:val="nil"/>
          <w:left w:val="nil"/>
          <w:bottom w:val="nil"/>
          <w:right w:val="nil"/>
          <w:between w:val="nil"/>
        </w:pBdr>
        <w:spacing w:before="240" w:after="240"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La Comisionada Ponente con fundamento en lo dispuesto por el artículo 185 fracción II de la ley de la materia, a través del acuerdo de admisión notificado el </w:t>
      </w:r>
      <w:r>
        <w:rPr>
          <w:rFonts w:ascii="Palatino Linotype" w:eastAsia="Palatino Linotype" w:hAnsi="Palatino Linotype" w:cs="Palatino Linotype"/>
          <w:b/>
          <w:bCs/>
          <w:color w:val="000000"/>
          <w:sz w:val="24"/>
          <w:szCs w:val="24"/>
        </w:rPr>
        <w:t>tres de febrero de dos mil veintiséis,</w:t>
      </w:r>
      <w:r>
        <w:rPr>
          <w:rFonts w:ascii="Palatino Linotype" w:eastAsia="Palatino Linotype" w:hAnsi="Palatino Linotype" w:cs="Palatino Linotype"/>
          <w:color w:val="000000"/>
          <w:sz w:val="24"/>
          <w:szCs w:val="24"/>
        </w:rPr>
        <w:t xml:space="preserve"> puso a disposición de las partes el expediente electrónico vía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 xml:space="preserve">a efecto de que en un plazo máximo de siete días </w:t>
      </w:r>
      <w:r>
        <w:rPr>
          <w:rFonts w:ascii="Palatino Linotype" w:eastAsia="Palatino Linotype" w:hAnsi="Palatino Linotype" w:cs="Palatino Linotype"/>
          <w:sz w:val="24"/>
          <w:szCs w:val="24"/>
        </w:rPr>
        <w:t>manifestara</w:t>
      </w:r>
      <w:r>
        <w:rPr>
          <w:rFonts w:ascii="Palatino Linotype" w:eastAsia="Palatino Linotype" w:hAnsi="Palatino Linotype" w:cs="Palatino Linotype"/>
          <w:color w:val="000000"/>
          <w:sz w:val="24"/>
          <w:szCs w:val="24"/>
        </w:rPr>
        <w:t xml:space="preserve"> lo que a derecho </w:t>
      </w:r>
      <w:r>
        <w:rPr>
          <w:rFonts w:ascii="Palatino Linotype" w:eastAsia="Palatino Linotype" w:hAnsi="Palatino Linotype" w:cs="Palatino Linotype"/>
          <w:sz w:val="24"/>
          <w:szCs w:val="24"/>
        </w:rPr>
        <w:t>conviniera</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ofreciera</w:t>
      </w:r>
      <w:r>
        <w:rPr>
          <w:rFonts w:ascii="Palatino Linotype" w:eastAsia="Palatino Linotype" w:hAnsi="Palatino Linotype" w:cs="Palatino Linotype"/>
          <w:color w:val="000000"/>
          <w:sz w:val="24"/>
          <w:szCs w:val="24"/>
        </w:rPr>
        <w:t xml:space="preserve"> pruebas y alegatos según corresponda al caso concreto, de esta forma para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presentará</w:t>
      </w:r>
      <w:r>
        <w:rPr>
          <w:rFonts w:ascii="Palatino Linotype" w:eastAsia="Palatino Linotype" w:hAnsi="Palatino Linotype" w:cs="Palatino Linotype"/>
          <w:color w:val="000000"/>
          <w:sz w:val="24"/>
          <w:szCs w:val="24"/>
        </w:rPr>
        <w:t xml:space="preserve"> el informe justificado procedente.</w:t>
      </w:r>
    </w:p>
    <w:p w:rsidR="00814838" w:rsidRDefault="00EC2E83">
      <w:pPr>
        <w:numPr>
          <w:ilvl w:val="0"/>
          <w:numId w:val="4"/>
        </w:numPr>
        <w:tabs>
          <w:tab w:val="left" w:pos="284"/>
        </w:tabs>
        <w:spacing w:before="240" w:line="360" w:lineRule="auto"/>
        <w:ind w:left="0" w:right="-1017" w:firstLine="0"/>
        <w:jc w:val="both"/>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rindió el informe justificado correspondiente a través de los archivos siguientes:</w:t>
      </w:r>
    </w:p>
    <w:p w:rsidR="00814838" w:rsidRDefault="00EF2FE8">
      <w:pPr>
        <w:ind w:left="426" w:right="-1017"/>
        <w:jc w:val="both"/>
        <w:rPr>
          <w:rFonts w:ascii="Palatino Linotype" w:eastAsia="Palatino Linotype" w:hAnsi="Palatino Linotype" w:cs="Palatino Linotype"/>
          <w:sz w:val="24"/>
          <w:szCs w:val="24"/>
        </w:rPr>
      </w:pPr>
      <w:hyperlink r:id="rId15">
        <w:r w:rsidR="00EC2E83">
          <w:rPr>
            <w:rFonts w:ascii="Palatino Linotype" w:eastAsia="Palatino Linotype" w:hAnsi="Palatino Linotype" w:cs="Palatino Linotype"/>
            <w:b/>
            <w:bCs/>
            <w:color w:val="000000"/>
            <w:sz w:val="24"/>
            <w:szCs w:val="24"/>
          </w:rPr>
          <w:t>anexo RR 01153 INFOEM IP RR 2025.pdf</w:t>
        </w:r>
      </w:hyperlink>
      <w:r w:rsidR="00EC2E83">
        <w:rPr>
          <w:rFonts w:ascii="Palatino Linotype" w:eastAsia="Palatino Linotype" w:hAnsi="Palatino Linotype" w:cs="Palatino Linotype"/>
          <w:b/>
          <w:bCs/>
          <w:sz w:val="24"/>
          <w:szCs w:val="24"/>
        </w:rPr>
        <w:t xml:space="preserve">: </w:t>
      </w:r>
      <w:r w:rsidR="00EC2E83">
        <w:rPr>
          <w:rFonts w:ascii="Palatino Linotype" w:eastAsia="Palatino Linotype" w:hAnsi="Palatino Linotype" w:cs="Palatino Linotype"/>
          <w:sz w:val="24"/>
          <w:szCs w:val="24"/>
        </w:rPr>
        <w:t xml:space="preserve">Título Profesional a Gustavo García Jaramillo.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Título Profesional a favor de Beatriz Rodríguez Díaz.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Título Profesional a favor de Alexis Daniel Ramírez Olivares. </w:t>
      </w:r>
    </w:p>
    <w:p w:rsidR="00814838" w:rsidRDefault="00814838">
      <w:pPr>
        <w:ind w:left="426" w:right="-1017"/>
        <w:jc w:val="both"/>
        <w:rPr>
          <w:rFonts w:ascii="Palatino Linotype" w:eastAsia="Palatino Linotype" w:hAnsi="Palatino Linotype" w:cs="Palatino Linotype"/>
          <w:sz w:val="24"/>
          <w:szCs w:val="24"/>
        </w:rPr>
      </w:pPr>
    </w:p>
    <w:p w:rsidR="00814838" w:rsidRDefault="00814838">
      <w:pPr>
        <w:ind w:left="426" w:right="-1017"/>
        <w:jc w:val="both"/>
        <w:rPr>
          <w:rFonts w:ascii="Palatino Linotype" w:eastAsia="Palatino Linotype" w:hAnsi="Palatino Linotype" w:cs="Palatino Linotype"/>
          <w:b/>
          <w:bCs/>
          <w:sz w:val="24"/>
          <w:szCs w:val="24"/>
        </w:rPr>
      </w:pPr>
    </w:p>
    <w:p w:rsidR="00814838" w:rsidRDefault="00EF2FE8">
      <w:pPr>
        <w:ind w:left="426" w:right="-1017"/>
        <w:jc w:val="both"/>
        <w:rPr>
          <w:rFonts w:ascii="Palatino Linotype" w:eastAsia="Palatino Linotype" w:hAnsi="Palatino Linotype" w:cs="Palatino Linotype"/>
          <w:sz w:val="24"/>
          <w:szCs w:val="24"/>
        </w:rPr>
      </w:pPr>
      <w:hyperlink r:id="rId16">
        <w:r w:rsidR="00EC2E83">
          <w:rPr>
            <w:rFonts w:ascii="Palatino Linotype" w:eastAsia="Palatino Linotype" w:hAnsi="Palatino Linotype" w:cs="Palatino Linotype"/>
            <w:b/>
            <w:bCs/>
            <w:color w:val="000000"/>
            <w:sz w:val="24"/>
            <w:szCs w:val="24"/>
          </w:rPr>
          <w:t>SRH_0289_2026.pdf</w:t>
        </w:r>
      </w:hyperlink>
      <w:r w:rsidR="00EC2E83">
        <w:rPr>
          <w:rFonts w:ascii="Palatino Linotype" w:eastAsia="Palatino Linotype" w:hAnsi="Palatino Linotype" w:cs="Palatino Linotype"/>
          <w:b/>
          <w:bCs/>
          <w:sz w:val="24"/>
          <w:szCs w:val="24"/>
        </w:rPr>
        <w:t xml:space="preserve">: </w:t>
      </w:r>
      <w:r w:rsidR="00EC2E83">
        <w:rPr>
          <w:rFonts w:ascii="Palatino Linotype" w:eastAsia="Palatino Linotype" w:hAnsi="Palatino Linotype" w:cs="Palatino Linotype"/>
          <w:sz w:val="24"/>
          <w:szCs w:val="24"/>
        </w:rPr>
        <w:t xml:space="preserve">Oficio firmado por la Subdirectora de Recursos Humanos, por el que informó lo siguiente: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center"/>
        <w:rPr>
          <w:rFonts w:ascii="Palatino Linotype" w:eastAsia="Palatino Linotype" w:hAnsi="Palatino Linotype" w:cs="Palatino Linotype"/>
          <w:sz w:val="24"/>
          <w:szCs w:val="24"/>
        </w:rPr>
      </w:pPr>
      <w:r>
        <w:rPr>
          <w:rFonts w:ascii="Palatino Linotype" w:eastAsia="Palatino Linotype" w:hAnsi="Palatino Linotype" w:cs="Palatino Linotype"/>
          <w:noProof/>
          <w:sz w:val="24"/>
          <w:szCs w:val="24"/>
        </w:rPr>
        <w:drawing>
          <wp:inline distT="0" distB="0" distL="0" distR="0">
            <wp:extent cx="5612130" cy="160210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612130" cy="1602105"/>
                    </a:xfrm>
                    <a:prstGeom prst="rect">
                      <a:avLst/>
                    </a:prstGeom>
                    <a:ln/>
                  </pic:spPr>
                </pic:pic>
              </a:graphicData>
            </a:graphic>
          </wp:inline>
        </w:drawing>
      </w:r>
    </w:p>
    <w:p w:rsidR="00814838" w:rsidRDefault="00814838">
      <w:pPr>
        <w:ind w:left="426" w:right="-1017"/>
        <w:jc w:val="center"/>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Asimismo, informó que se llevó a cabo una búsqueda exhaustiva y razonable y no se localizó documento de perfil académico especializado, certificaciones específicas o aptitudes técnicas formales en gestión y mantenimiento del arbolado urbano en los términos planteados, por lo que se modifica la respuesta primigenia.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DMA-2_SEIRA_DIVA_22_2026.pdf: </w:t>
      </w:r>
      <w:r>
        <w:rPr>
          <w:rFonts w:ascii="Palatino Linotype" w:eastAsia="Palatino Linotype" w:hAnsi="Palatino Linotype" w:cs="Palatino Linotype"/>
          <w:sz w:val="24"/>
          <w:szCs w:val="24"/>
        </w:rPr>
        <w:t>Oficio firmado por el Director de Medio Ambiente, por el que informó:</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spacing w:line="259" w:lineRule="auto"/>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 la respuesta número 1, respondió lo siguiente:</w:t>
      </w:r>
    </w:p>
    <w:p w:rsidR="00814838" w:rsidRDefault="00814838">
      <w:pPr>
        <w:spacing w:line="259" w:lineRule="auto"/>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noProof/>
          <w:sz w:val="24"/>
          <w:szCs w:val="24"/>
        </w:rPr>
        <w:drawing>
          <wp:inline distT="0" distB="0" distL="0" distR="0">
            <wp:extent cx="5612130" cy="100393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612130" cy="1003935"/>
                    </a:xfrm>
                    <a:prstGeom prst="rect">
                      <a:avLst/>
                    </a:prstGeom>
                    <a:ln/>
                  </pic:spPr>
                </pic:pic>
              </a:graphicData>
            </a:graphic>
          </wp:inline>
        </w:drawing>
      </w:r>
      <w:r>
        <w:rPr>
          <w:rFonts w:ascii="Palatino Linotype" w:eastAsia="Palatino Linotype" w:hAnsi="Palatino Linotype" w:cs="Palatino Linotype"/>
          <w:noProof/>
          <w:sz w:val="24"/>
          <w:szCs w:val="24"/>
        </w:rPr>
        <w:drawing>
          <wp:inline distT="0" distB="0" distL="0" distR="0">
            <wp:extent cx="5612130" cy="4781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612130" cy="478155"/>
                    </a:xfrm>
                    <a:prstGeom prst="rect">
                      <a:avLst/>
                    </a:prstGeom>
                    <a:ln/>
                  </pic:spPr>
                </pic:pic>
              </a:graphicData>
            </a:graphic>
          </wp:inline>
        </w:drawing>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Así mismo tres inspectores certificados por la Secretaría del Medio Ambiente del Estado de México, con formación técnica en arbolado urbano, evaluación de riesgo, normatividad ambiental y manejo de vegetación urbana.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De la misma manera se cuenta con una planilla de 31 empleados encargados de las áreas naturales y viveros.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Es importante señalar que para los documentos que acredite su grado de escolaridad esta dependencia no cuenta con esa documentación, debido que obra en expedientes de la Dirección de Administración a cargo de la Subdirección de Recursos Humanos</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2. ¿Cuál es la calendarización del mantenimiento técnico que se ejecuta al arbolado urbano y áreas verdes urbanas? ¿Cuál es el nombre de los proyectos que se lleven a cabo en beneficio del arbolado urbano?. Anexar evidencia de su ejecución (Calendario detallado, plan de manejo, u otros)</w:t>
      </w:r>
    </w:p>
    <w:p w:rsidR="00814838" w:rsidRDefault="00814838">
      <w:pPr>
        <w:ind w:left="426" w:right="-1017"/>
        <w:jc w:val="both"/>
        <w:rPr>
          <w:rFonts w:ascii="Palatino Linotype" w:eastAsia="Palatino Linotype" w:hAnsi="Palatino Linotype" w:cs="Palatino Linotype"/>
          <w:b/>
          <w:bCs/>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Esta Jefatura, en el ámbito de sus atribuciones, lleva a cabo una planeación anual de carácter técnico administrativo para la evaluación, dictaminación y seguimiento del arbolado urbano, la cual se estructura de manera general conforme al siguiente esquema temporal: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Enero - marzo: Realización de evaluaciones técnicas, emisión de dictámenes, identificación y priorización de individuos arbóreos que representen riesgo, así como la planeación anual de acciones en materia arbolado urbano.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Abril - junio: Supervisión de las intervenciones autorizadas, seguimiento técnico, acciones de mantenimiento preventivo y preparación de los programas de reforestación.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Julio - septiembre: Ejecución del Programa de Reforestación Municipal y reforzamiento del mantenimiento durante la temporada de lluvias, atendiendo a criterios técnicos y climáticos.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Octubre - diciembre: Evaluación de resultados, mantenimiento correctivo, así como la actualización de padrones, registros e inventarios de arbolado urbano.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La presente calendarización tiene carácter referencial y se ajusta de manera dinámica en función del volumen de solicitudes recibidas, las condiciones climáticas, la disponibilidad operativa y las prioridades detectadas en campo.</w:t>
      </w:r>
    </w:p>
    <w:p w:rsidR="00814838" w:rsidRDefault="00814838">
      <w:pPr>
        <w:ind w:left="426" w:right="-1017"/>
        <w:jc w:val="both"/>
        <w:rPr>
          <w:rFonts w:ascii="Palatino Linotype" w:eastAsia="Palatino Linotype" w:hAnsi="Palatino Linotype" w:cs="Palatino Linotype"/>
          <w:b/>
          <w:bCs/>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Por lo que respecta a los proyectos en beneficio del arbolado urbano, con base en criterios técnicos y climáticos, se contempla la implementación del Proyecto de Reforestación Municipal, a ejecutarse preferentemente durante los meses de julio, agosto y septiembre periodo que presenta mayores índices de  que presenta mayores índices de precipitación y condiciones favorables para la supervivencia vegetal. Dicho proyecto tiene como objetivos principales: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 Restaurar áreas verdes degradadas;</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b) Compensar los derribos autorizados conforme a la normatividad ambiental vigente;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c) Fortalecer la cobertura vegetal del municipio.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El proyecto se rige, de manera enunciativa más no limitativa, por los siguientes lineamientos técnicos: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Selección de especies nativas y/o adaptadas a las condiciones edafoclimáticas del Municipio de Naucalpan;</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 Priorización de camellones, parques, espacios públicos y zonas de amortiguamiento;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Coordinación interinstitucional con ciudadanos, empresas y organizaciones para la plantación y corresponsabilidad en el mantenimiento;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Seguimiento técnico posterior a la plantación, con la finalidad de verificar el adecuado establecimiento y desarrollo de los ejemplares.</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Ahora bien, es importante precisar que, de conformidad con lo dispuesto en el artículo 9.13, fracciones VII, VIll y IX, del Reglamento Orgánico Municipal, las actividades preventivas, operativas y de mantenimiento del arbolado urbano y de las áreas verdes municipales son competencia de la Dirección de Servicios Públicos, correspondiéndole, entre otras funciones</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-Llevar a cabo actividades preventivas y de mantenimiento de parques y jardines del municipio, incluyendo la poda y derribo de árboles, previa autorización de la Dirección de Medio Ambiente;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Realizar actividades de riego de la vegetación en áreas verdes, camellones, parques y jardines municipales;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Ejecutar actividades de plantación ornamental en camellones, avenidas principales y jardines públicos, así como aquellas encaminadas al embellecimiento urbano.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En consecuencia, esta Jefatura limita su actuación a las funciones de carácter técnico, normativo y de autorización que le son conferidas, sin que le corresponda la ejecución </w:t>
      </w:r>
      <w:r>
        <w:rPr>
          <w:rFonts w:ascii="Palatino Linotype" w:eastAsia="Palatino Linotype" w:hAnsi="Palatino Linotype" w:cs="Palatino Linotype"/>
          <w:sz w:val="24"/>
          <w:szCs w:val="24"/>
        </w:rPr>
        <w:lastRenderedPageBreak/>
        <w:t>directa de labores de mantenimiento, las cuales recaen expresamente en la Dirección de Servicios Públicos."*</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3. ¿Qué legislación, reglamento local u otro instrumento jurídico vigente aplican para la gestión integral (manejo, cuidado, plantación y protección) del arbolado urbano y áreas verdes municipales y privadas? Anexar evidencia (indicar liga para consulta o descarga de los documentos y mencionar los artículos o secciones en los que se basan).</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En el Área del Departamento de Manejo y Permiso de Arbolado Urbano y Áreas Verdes Urbanas del municipio de Naucalpan de Juárez, Estado de México, se aplica la Norma Técnica Estatal Ambiental NTEA018-SeMAGEM-DS-2017,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(https://legislacion.edomex.gob.mx/sites/legislacion.edomex.gob.mx/files/files/pdf/gct/2017/jul201.pdf) la cual establece las especificaciones y criterios que deben cmplir la sautorudades de carácter público, asi como las personas físicas, urídicas colectivas, privadas y, en general, todos aquellos que realicen labores de poda, derribo, trasplante y sustitución de árboles en zonas urbanas del Estado de México. Esta Norma constituye un instrumento técnico-jurídico fundamental para la gestión integral del arbolado urbano, ya que regula las intervenciones sobre los árboles urbanos, con el objetivo de garantizar su manejo adecuado, la conservación del medio ambiente y la mitigación de riesgos para la población. Conforme a la Norma, el criterio 8.4, criterios que justifican el derribo de árboles. Riesgo inminente: Árboles que presentan un riesgo de caída o desgajamiento (ramas o tronco) que pueda afectar a personas, bienes materiales (autos, casas) o infraestructura pública. Debilitamiento estructural: Árboles con severos daños en la raíz o fuste (tallo principal) que comprometan su estabilidad estructural.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Salud fitosanitaria: Árboles con plagas o enfermedades terminales que no responden al tratamiento y son un peligro de contagio para otras áreas verdes. Infraestructura: Cuando las raíces o el tronco dañan de forma irreversible la infraestructura urbana (tuberías, banquetas, cimientos) y no hay otra alternativa de manejo. Generación de polen: Si se comprueba científicamente que la especie incide severamente en la salud de los habitantes.</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Proyecto de Norma Técnica Estatal Ambiental NTEA-019-SeMAGEM-DS-2017, (https://legislacion.edomex.gob.mx/sites/legislacion.edomex.gob.mx/files/files/pdf/gct/2017/jul211.pdf que establece las condiciones de protección conservación, fomento, creación, rehabilitación y mantenimiento de las áreas verdes y macizos arbóreos de las zonas urbanas </w:t>
      </w:r>
      <w:r>
        <w:rPr>
          <w:rFonts w:ascii="Palatino Linotype" w:eastAsia="Palatino Linotype" w:hAnsi="Palatino Linotype" w:cs="Palatino Linotype"/>
          <w:sz w:val="24"/>
          <w:szCs w:val="24"/>
        </w:rPr>
        <w:lastRenderedPageBreak/>
        <w:t>en el territorio del Estado de México. De acuerdo al Reglamento de Conservación Ecológica y Protección al Ambiente para el Desarrollo Sustentable del Municipio de Naucalpan de Juárez, México, de las disposiciones generales en Sección Sexta, Parte Cuarta en la Sección de arbolado (http://www.ordenjuridico.gob.mx/Documentos/Eliminados/wo29508.pdf</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Refiere los artículos 66, 67, 68 y 69 e informó que, el mantenimiento técnico integral del arbolado y las áreas verdes urbanas se concibe como un proceso continuo que incluye: Evaluaciones visuales y técnicas del estado fitosanitario del arbolado. Emisión de dictámenes y opiniones técnicas. Recomendaciones de manejo para particulares, empresas u otras áreas municipales. Supervisión y seguimiento de trabajos autorizados</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Norma Técnica Estatal Ambiental NTEA019-SEMAGEM-DS-017,</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que establece las condiciones de protección, conservación, fomento, creación, rehabilitación y mantenimiento de las áreas verdes y macizos arbóreos de las zonas urbanas en el territorio del Estado de México</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noProof/>
          <w:sz w:val="24"/>
          <w:szCs w:val="24"/>
        </w:rPr>
        <w:drawing>
          <wp:inline distT="0" distB="0" distL="0" distR="0">
            <wp:extent cx="5040000" cy="370096"/>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040000" cy="370096"/>
                    </a:xfrm>
                    <a:prstGeom prst="rect">
                      <a:avLst/>
                    </a:prstGeom>
                    <a:ln/>
                  </pic:spPr>
                </pic:pic>
              </a:graphicData>
            </a:graphic>
          </wp:inline>
        </w:drawing>
      </w:r>
    </w:p>
    <w:p w:rsidR="00814838" w:rsidRDefault="00EC2E83">
      <w:pPr>
        <w:ind w:left="426"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4. ¿En 2025 y 2026 cual es el presupuesto económico destinado exclusivamente para atender al arbolado urbano con las actividades de: poda, plantación, derribo y atención fitosanitaria en zonas urbanas? Mencione la cantidad económica utilizada en cada actividad. ¿Existe otro medio de financiamiento para la compra de los árboles o de los insumos relacionados? Anexar evidencia (indicar benefactor)</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Respecto al ejercicio fiscal 2025, se informa que se contó con un presupuesto económico etiquetado de manera exclusiva para las actividades específicas de poda, plantación, derribo y atención fitosanitaria del arbolado urbano. Dichas acciones fueron atendidas con recursos provenientes del presupuesto operativo general asignado al Departamento de Manejo y Permisos de Arbolado Urbano y Áreas Verdes Urbanas, el cual se ejerció de manera integral para el cumplimiento de sus atribuciones, de conformidad con lo establecido en el Código Financiero del Estado de México y Municipios, sin que exista una separación contable individual por tipo de actividad. En consecuencia, es posible precisar una cantidad económica específica utilizada en cada una de las actividades señaladas, al encontrarse presupuestadas y registradas de forma diferenciada. Las actividades de poda, plantación, derribo y atención fitosanitaria se ejecutaron con cargo a partidas relacionadas, conforme a criterios de eficiencia, racionalidad y control del gasto público, observando los lineamientos aplicables en materia de planeación, programación y ejercicio del presupuesto municipal.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En relación con la existencia de otros medios de financiamiento para la adquisición de árboles o insumos relacionados, se informa que, de manera complementaria al presupuesto público, el Departamento puede recibir donaciones en especie y compensaciones por daño ambiental, previa autorización de la autoridad competente, mismas que se administran y aplican conforme a la normatividad vigente y se integran en los expedientes administrativos respectivos, en los cuales se identifica al benefactor o responsable de la aportación, como evidencia documental</w:t>
      </w:r>
    </w:p>
    <w:p w:rsidR="00814838" w:rsidRDefault="00814838">
      <w:pPr>
        <w:ind w:left="426" w:right="-1017"/>
        <w:jc w:val="both"/>
        <w:rPr>
          <w:rFonts w:ascii="Palatino Linotype" w:eastAsia="Palatino Linotype" w:hAnsi="Palatino Linotype" w:cs="Palatino Linotype"/>
          <w:b/>
          <w:bCs/>
          <w:sz w:val="24"/>
          <w:szCs w:val="24"/>
        </w:rPr>
      </w:pPr>
    </w:p>
    <w:p w:rsidR="00814838" w:rsidRDefault="00EC2E83">
      <w:pPr>
        <w:ind w:left="426" w:right="-1017"/>
        <w:jc w:val="center"/>
        <w:rPr>
          <w:rFonts w:ascii="Palatino Linotype" w:eastAsia="Palatino Linotype" w:hAnsi="Palatino Linotype" w:cs="Palatino Linotype"/>
          <w:b/>
          <w:bCs/>
          <w:sz w:val="24"/>
          <w:szCs w:val="24"/>
        </w:rPr>
      </w:pPr>
      <w:r>
        <w:rPr>
          <w:rFonts w:ascii="Palatino Linotype" w:eastAsia="Palatino Linotype" w:hAnsi="Palatino Linotype" w:cs="Palatino Linotype"/>
          <w:b/>
          <w:bCs/>
          <w:noProof/>
          <w:sz w:val="24"/>
          <w:szCs w:val="24"/>
        </w:rPr>
        <w:drawing>
          <wp:inline distT="0" distB="0" distL="0" distR="0">
            <wp:extent cx="2419688" cy="4001058"/>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2419688" cy="4001058"/>
                    </a:xfrm>
                    <a:prstGeom prst="rect">
                      <a:avLst/>
                    </a:prstGeom>
                    <a:ln/>
                  </pic:spPr>
                </pic:pic>
              </a:graphicData>
            </a:graphic>
          </wp:inline>
        </w:drawing>
      </w:r>
    </w:p>
    <w:p w:rsidR="00814838" w:rsidRDefault="00814838">
      <w:pPr>
        <w:ind w:left="426" w:right="-1017"/>
        <w:jc w:val="both"/>
        <w:rPr>
          <w:rFonts w:ascii="Palatino Linotype" w:eastAsia="Palatino Linotype" w:hAnsi="Palatino Linotype" w:cs="Palatino Linotype"/>
          <w:b/>
          <w:bCs/>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Respecto al ejercicio fiscal 2026, se informa que, a la fecha, el presupuesto correspondiente aún se encuentra en proceso de análisis, discusión y validación por parte del H. Cabildo, por lo que no ha sido aprobado de manera formal. En ese sentido, la información presupuestal solicitada no se encuentra disponible por el momento, al no existir un instrumento autorizado que permita su difusión.</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5. ¿Qué datos dasométricos (especie, altura, diámetro, ubicación, volumen de copa, etc.) se toman al momento de hacer las inspecciones para realizar los dictámenes correspondientes? Anexar evidencia (proporcionar el inventario con los datos físicos y el tipo de dictamen autorizado). ¿El trabajo fue realizado por personal municipal o por una empresa externa (mencionar el nombre)?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Respecto a los datos dasométricos que se recaban durante las inspecciones, se informa que, para la elaboración de los dictámenes en materia de arbolado urbano, el personal técnico municipal registra, conforme a la naturaleza del caso, los siguientes elementos: especie, altura total del ejemplar, diámetro del tronco a la altura estándar, estado físico y fitosanitario, condición estructural, ubicación georreferenciada, extensión y volumen aproximado de copa, así como la interacción del árbol con infraestructura urbana (vialidades, cableado, edificaciones y áreas de tránsito). Estos datos permiten evaluar riesgos, viabilidad y procedencia de las acciones de poda, derribo, trasplante o tratamiento fitosanitario.</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Para la obtención de dicha información, el Departamento cuenta con equipo técnico especializado, consistente en un dron DJI Mavic 2 Zoom, que permite la inspección aérea del arbolado mediante zoom óptico, registro fotográfico y videográfico en alta resolución, así como la revisión de copas y zonas de difícil acceso; y un clinómetro electrónico Haglöf EC II-D, instrumento profesional utilizado para la medición precisa de alturas, ángulos y distancias, aplicando principios trigonométricos, ampliamente empleado en actividades de silvicultura y evaluación forestal urbana. Estos equipos fortalecen la precisión técnica de los dictámenes emitidos. En cuanto a la evidencia documental, se informa que los datos recabados se integran en inventarios técnicos y expedientes individuales, los cuales contienen la información física del arbolado inspeccionado, el registro fotográfico correspondiente y el tipo de dictamen autorizado. Dicha documentación obra en los archivos administrativos del área competente y se genera conforme a los procedimientos internos y a la normatividad aplicable, pudiendo ser consultada en los términos permitidos por la legislación vigente. </w:t>
      </w:r>
      <w:r>
        <w:rPr>
          <w:rFonts w:ascii="Palatino Linotype" w:eastAsia="Palatino Linotype" w:hAnsi="Palatino Linotype" w:cs="Palatino Linotype"/>
          <w:sz w:val="24"/>
          <w:szCs w:val="24"/>
        </w:rPr>
        <w:br/>
      </w:r>
      <w:r>
        <w:rPr>
          <w:rFonts w:ascii="Palatino Linotype" w:eastAsia="Palatino Linotype" w:hAnsi="Palatino Linotype" w:cs="Palatino Linotype"/>
          <w:sz w:val="24"/>
          <w:szCs w:val="24"/>
        </w:rPr>
        <w:br/>
        <w:t xml:space="preserve">Finalmente, se precisa que las actividades de inspección, levantamiento de datos dasométricos y emisión de dictámenes son realizadas por personal técnico municipal, adscrito al Departamento de Manejo y Permisos de Arbolado Urbano y Áreas Verdes </w:t>
      </w:r>
      <w:r>
        <w:rPr>
          <w:rFonts w:ascii="Palatino Linotype" w:eastAsia="Palatino Linotype" w:hAnsi="Palatino Linotype" w:cs="Palatino Linotype"/>
          <w:sz w:val="24"/>
          <w:szCs w:val="24"/>
        </w:rPr>
        <w:lastRenderedPageBreak/>
        <w:t>Urbanas, sin la intervención de empresas externas para dichas funciones, garantizando que el proceso se lleve a cabo bajo criterios técnicos, administrativos y normativos propios de la autoridad municipal.</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¿El trabajo fue realizado por personal municipal o por una empresa externa(mencionar el nombre)?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De conformidad con lo establecido en el artículo 13.8, fracción IV, del Reglamento Orgánico Municipal, la facultad para realizar inspecciones, verificaciones y actuaciones en materia de arbolado urbano corresponde de manera expresa, exclusiva e indelegable a la Jefatura de Manejo y Permiso de Arbolado Urbano y Áreas Verdes Urbanas, siendo la única unidad administrativa legalmente competente para ejercer dichas atribuciones. En consecuencia, cualquier actuación realizada por un área diversa carece de competencia legal y, por ende, no surte efectos administrativos en términos de la normatividad aplicable."</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 xml:space="preserve">6. ¿Qué actividades realiza la actual administración que promuevan las buenas prácticas y el cuidado del arbolado urbano y áreas verdes urbanas programas, talleres, cursos, proyectos de investigación, u otros)?. Anexar evidencia (plan de ejecución, plan de manejo, calendario de actividades, temarios, u otros)...." (sic)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En atención a su solicitud, se informa que esta Dirección promueve y desarrolla diversas actividades orientadas al fortalecimiento de la educación ambiental y la implementación de buenas prácticas de arbolado urbano. </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Entre dichas acciones se contempla la realización de talleres, reuniones, cursos y charlas informativas, así como jornadas de reforestación y mantenimiento en diferentes zonas del municipio, con el objetivo de fomentar el cuidado, la conservación y el manejo adecuado del arbolado urbano, así como la participación de la ciudadanía.</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Asimismo, durante la temporada de lluvias, particularmente en los meses de junio y julio, se inician las reforestaciones en camellones, áreas naturales protegidas y planteles educativos, contando con la participación de la sociedad del municipio de Naucalpan y priorizando criterios técnicos y ambientales (tipo de especie, edad, tamaño, estado actual y ubicación geográfica dentro del territorio) que aseguren la supervivencia de las especies.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De manera interna, la Dirección de Medio Ambiente imparte cursos y capacitaciones en coordinación çon otros organismos, como PROBOSQUE, dirigidos al personal técnico de esta Dirección, en los cuales se abordan temas como apertura y mantenimiento de brechas </w:t>
      </w:r>
      <w:r>
        <w:rPr>
          <w:rFonts w:ascii="Palatino Linotype" w:eastAsia="Palatino Linotype" w:hAnsi="Palatino Linotype" w:cs="Palatino Linotype"/>
          <w:sz w:val="24"/>
          <w:szCs w:val="24"/>
        </w:rPr>
        <w:lastRenderedPageBreak/>
        <w:t xml:space="preserve">corta fuego, prevención de incendios forestales, identificación de enfermedades y gestión sanitaria del arbolado urbano, entre otros.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Adicionalmente, con el apoyo del Departamento de Cultura Ambiental, se imparten cursos y talleres dirigidos a la ciudadanía en distintas colonias del municipio, enfocados en el cuidado del medio ambiente, la correcta gestión del arbolado urbano y la adopción de prácticas ambientales responsables: </w:t>
      </w:r>
    </w:p>
    <w:p w:rsidR="00814838" w:rsidRDefault="00814838">
      <w:pPr>
        <w:ind w:left="426" w:right="-1017"/>
        <w:jc w:val="both"/>
        <w:rPr>
          <w:rFonts w:ascii="Palatino Linotype" w:eastAsia="Palatino Linotype" w:hAnsi="Palatino Linotype" w:cs="Palatino Linotype"/>
          <w:sz w:val="24"/>
          <w:szCs w:val="24"/>
        </w:rPr>
      </w:pPr>
    </w:p>
    <w:p w:rsidR="00814838" w:rsidRDefault="00EC2E83">
      <w:pPr>
        <w:numPr>
          <w:ilvl w:val="0"/>
          <w:numId w:val="7"/>
        </w:numPr>
        <w:pBdr>
          <w:top w:val="nil"/>
          <w:left w:val="nil"/>
          <w:bottom w:val="nil"/>
          <w:right w:val="nil"/>
          <w:between w:val="nil"/>
        </w:pBdr>
        <w:spacing w:line="259" w:lineRule="auto"/>
        <w:ind w:left="1276"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Áreas Naturales de Naucalpan</w:t>
      </w:r>
    </w:p>
    <w:p w:rsidR="00814838" w:rsidRDefault="00EC2E83">
      <w:pPr>
        <w:numPr>
          <w:ilvl w:val="0"/>
          <w:numId w:val="7"/>
        </w:numPr>
        <w:pBdr>
          <w:top w:val="nil"/>
          <w:left w:val="nil"/>
          <w:bottom w:val="nil"/>
          <w:right w:val="nil"/>
          <w:between w:val="nil"/>
        </w:pBdr>
        <w:spacing w:line="259" w:lineRule="auto"/>
        <w:ind w:left="1276"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Importancia de la reforestación </w:t>
      </w:r>
    </w:p>
    <w:p w:rsidR="00814838" w:rsidRDefault="00EC2E83">
      <w:pPr>
        <w:numPr>
          <w:ilvl w:val="0"/>
          <w:numId w:val="7"/>
        </w:numPr>
        <w:pBdr>
          <w:top w:val="nil"/>
          <w:left w:val="nil"/>
          <w:bottom w:val="nil"/>
          <w:right w:val="nil"/>
          <w:between w:val="nil"/>
        </w:pBdr>
        <w:spacing w:line="259" w:lineRule="auto"/>
        <w:ind w:left="1276"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Plagas en arbolado urbano </w:t>
      </w:r>
    </w:p>
    <w:p w:rsidR="00814838" w:rsidRDefault="00EC2E83">
      <w:pPr>
        <w:numPr>
          <w:ilvl w:val="0"/>
          <w:numId w:val="7"/>
        </w:numPr>
        <w:pBdr>
          <w:top w:val="nil"/>
          <w:left w:val="nil"/>
          <w:bottom w:val="nil"/>
          <w:right w:val="nil"/>
          <w:between w:val="nil"/>
        </w:pBdr>
        <w:spacing w:line="259" w:lineRule="auto"/>
        <w:ind w:left="1276"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Transformación de áreas verdes </w:t>
      </w:r>
    </w:p>
    <w:p w:rsidR="00814838" w:rsidRDefault="00EC2E83">
      <w:pPr>
        <w:numPr>
          <w:ilvl w:val="0"/>
          <w:numId w:val="7"/>
        </w:numPr>
        <w:pBdr>
          <w:top w:val="nil"/>
          <w:left w:val="nil"/>
          <w:bottom w:val="nil"/>
          <w:right w:val="nil"/>
          <w:between w:val="nil"/>
        </w:pBdr>
        <w:spacing w:after="160" w:line="259" w:lineRule="auto"/>
        <w:ind w:left="1276"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Arbolado urbano, un amigo ante el cambio climático</w:t>
      </w:r>
    </w:p>
    <w:p w:rsidR="00814838" w:rsidRDefault="00814838">
      <w:pPr>
        <w:ind w:left="426" w:right="-1017"/>
        <w:jc w:val="both"/>
        <w:rPr>
          <w:rFonts w:ascii="Palatino Linotype" w:eastAsia="Palatino Linotype" w:hAnsi="Palatino Linotype" w:cs="Palatino Linotype"/>
          <w:b/>
          <w:bCs/>
          <w:sz w:val="24"/>
          <w:szCs w:val="24"/>
        </w:rPr>
      </w:pP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SRH_310_2026.pdf: </w:t>
      </w:r>
      <w:r>
        <w:rPr>
          <w:rFonts w:ascii="Palatino Linotype" w:eastAsia="Palatino Linotype" w:hAnsi="Palatino Linotype" w:cs="Palatino Linotype"/>
          <w:sz w:val="24"/>
          <w:szCs w:val="24"/>
        </w:rPr>
        <w:t>Oficio firmado por la Subdirectora de Recursos Humanos, por el que en alcance, remite la Constancia de Estudios del Servidor Público C. Solórzano Hernández Oscar Enrique, quien ocupa el cargo de Jefe de Departamento de Manejo y Permiso de Arbolado Urbano y Áreas Verdes Urbanas, emitida por la Universidad Latinoamericana (ULA) por haber cursado la Licenciatura en Comunicación y Relaciones Públicas, documentación que fue localizada, derivado de una búsqueda exhaustiva y complementaria realizada en los archivos físicos y electrónicos de esta área, remisión que se realiza en observancia a los principios de máxima publicidad y exhaustividad, a efecto de garantizar el pleno acceso a la información.</w:t>
      </w:r>
    </w:p>
    <w:p w:rsidR="00814838" w:rsidRDefault="00EC2E83">
      <w:pPr>
        <w:ind w:left="426"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Constancia de Constancia de Estudios del Servidor Público C. Solórzano Hernández Oscar Enrique.</w:t>
      </w:r>
    </w:p>
    <w:p w:rsidR="00814838" w:rsidRDefault="00814838">
      <w:pPr>
        <w:tabs>
          <w:tab w:val="left" w:pos="284"/>
        </w:tabs>
        <w:spacing w:line="360" w:lineRule="auto"/>
        <w:ind w:right="-1017"/>
        <w:jc w:val="both"/>
        <w:rPr>
          <w:rFonts w:ascii="Palatino Linotype" w:eastAsia="Palatino Linotype" w:hAnsi="Palatino Linotype" w:cs="Palatino Linotype"/>
          <w:i/>
          <w:iCs/>
          <w:sz w:val="24"/>
          <w:szCs w:val="24"/>
        </w:rPr>
      </w:pPr>
    </w:p>
    <w:p w:rsidR="00814838" w:rsidRDefault="00EC2E83">
      <w:pPr>
        <w:numPr>
          <w:ilvl w:val="0"/>
          <w:numId w:val="4"/>
        </w:numPr>
        <w:tabs>
          <w:tab w:val="left" w:pos="284"/>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 Por su parte, 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sz w:val="24"/>
          <w:szCs w:val="24"/>
        </w:rPr>
        <w:t>adjuntó</w:t>
      </w:r>
      <w:r>
        <w:rPr>
          <w:rFonts w:ascii="Palatino Linotype" w:eastAsia="Palatino Linotype" w:hAnsi="Palatino Linotype" w:cs="Palatino Linotype"/>
          <w:color w:val="000000"/>
          <w:sz w:val="24"/>
          <w:szCs w:val="24"/>
        </w:rPr>
        <w:t xml:space="preserve"> los oficios remitidos en respuesta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los cuales a efecto de obviar repeticiones no se inserta su contenido. </w:t>
      </w:r>
    </w:p>
    <w:p w:rsidR="00814838" w:rsidRDefault="00814838">
      <w:pPr>
        <w:tabs>
          <w:tab w:val="left" w:pos="284"/>
        </w:tabs>
        <w:spacing w:line="360" w:lineRule="auto"/>
        <w:ind w:right="-1017"/>
        <w:jc w:val="both"/>
        <w:rPr>
          <w:rFonts w:ascii="Palatino Linotype" w:eastAsia="Palatino Linotype" w:hAnsi="Palatino Linotype" w:cs="Palatino Linotype"/>
          <w:i/>
          <w:iCs/>
          <w:color w:val="000000"/>
          <w:sz w:val="24"/>
          <w:szCs w:val="24"/>
        </w:rPr>
      </w:pPr>
    </w:p>
    <w:p w:rsidR="00814838" w:rsidRDefault="00EC2E83">
      <w:pPr>
        <w:numPr>
          <w:ilvl w:val="0"/>
          <w:numId w:val="4"/>
        </w:numPr>
        <w:tabs>
          <w:tab w:val="left" w:pos="426"/>
        </w:tabs>
        <w:spacing w:line="360" w:lineRule="auto"/>
        <w:ind w:left="0" w:right="-1017" w:firstLine="0"/>
        <w:jc w:val="both"/>
      </w:pPr>
      <w:r>
        <w:rPr>
          <w:rFonts w:ascii="Palatino Linotype" w:eastAsia="Palatino Linotype" w:hAnsi="Palatino Linotype" w:cs="Palatino Linotype"/>
          <w:sz w:val="24"/>
          <w:szCs w:val="24"/>
        </w:rPr>
        <w:lastRenderedPageBreak/>
        <w:t xml:space="preserve">El </w:t>
      </w:r>
      <w:r>
        <w:rPr>
          <w:rFonts w:ascii="Palatino Linotype" w:eastAsia="Palatino Linotype" w:hAnsi="Palatino Linotype" w:cs="Palatino Linotype"/>
          <w:b/>
          <w:bCs/>
          <w:sz w:val="24"/>
          <w:szCs w:val="24"/>
        </w:rPr>
        <w:t>dos de febrero de dos mil veintiséis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se notificó el acuerdo mediante el cual se amplió el plazo para emitir resolución por un periodo de quince días hábiles.</w:t>
      </w:r>
    </w:p>
    <w:p w:rsidR="00814838" w:rsidRDefault="00814838">
      <w:pPr>
        <w:tabs>
          <w:tab w:val="left" w:pos="426"/>
        </w:tabs>
        <w:spacing w:after="160" w:line="360" w:lineRule="auto"/>
        <w:ind w:right="-1017"/>
        <w:jc w:val="both"/>
        <w:rPr>
          <w:rFonts w:ascii="Palatino Linotype" w:eastAsia="Palatino Linotype" w:hAnsi="Palatino Linotype" w:cs="Palatino Linotype"/>
          <w:sz w:val="24"/>
          <w:szCs w:val="24"/>
        </w:rPr>
      </w:pPr>
    </w:p>
    <w:p w:rsidR="00814838" w:rsidRDefault="00EC2E83">
      <w:pPr>
        <w:numPr>
          <w:ilvl w:val="0"/>
          <w:numId w:val="4"/>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veintidós de junio de dos mil veintiséis</w:t>
      </w:r>
      <w:r>
        <w:rPr>
          <w:rFonts w:ascii="Palatino Linotype" w:eastAsia="Palatino Linotype" w:hAnsi="Palatino Linotype" w:cs="Palatino Linotype"/>
          <w:color w:val="000000"/>
          <w:sz w:val="24"/>
          <w:szCs w:val="24"/>
        </w:rPr>
        <w:t xml:space="preserve">, la Comisionada Ponente decretó el cierre de instrucción </w:t>
      </w:r>
    </w:p>
    <w:p w:rsidR="00814838" w:rsidRDefault="00EC2E83">
      <w:pPr>
        <w:pStyle w:val="Ttulo1"/>
        <w:ind w:right="-1017"/>
        <w:jc w:val="center"/>
        <w:rPr>
          <w:rFonts w:ascii="Palatino Linotype" w:eastAsia="Palatino Linotype" w:hAnsi="Palatino Linotype" w:cs="Palatino Linotype"/>
          <w:b/>
          <w:bCs/>
          <w:color w:val="000000"/>
          <w:sz w:val="24"/>
          <w:szCs w:val="24"/>
        </w:rPr>
      </w:pPr>
      <w:bookmarkStart w:id="3" w:name="_heading=h.v4sji23s6g2t" w:colFirst="0" w:colLast="0"/>
      <w:bookmarkEnd w:id="3"/>
      <w:r>
        <w:rPr>
          <w:rFonts w:ascii="Palatino Linotype" w:eastAsia="Palatino Linotype" w:hAnsi="Palatino Linotype" w:cs="Palatino Linotype"/>
          <w:b/>
          <w:bCs/>
          <w:color w:val="000000"/>
          <w:sz w:val="24"/>
          <w:szCs w:val="24"/>
        </w:rPr>
        <w:t xml:space="preserve">C O N S I D E R A N D O  </w:t>
      </w:r>
    </w:p>
    <w:p w:rsidR="00814838" w:rsidRDefault="00814838">
      <w:pPr>
        <w:ind w:right="-1017"/>
        <w:rPr>
          <w:rFonts w:ascii="Palatino Linotype" w:eastAsia="Palatino Linotype" w:hAnsi="Palatino Linotype" w:cs="Palatino Linotype"/>
          <w:sz w:val="24"/>
          <w:szCs w:val="24"/>
        </w:rPr>
      </w:pPr>
    </w:p>
    <w:p w:rsidR="00814838" w:rsidRDefault="00EC2E83">
      <w:pPr>
        <w:pStyle w:val="Ttulo2"/>
        <w:ind w:right="-1017"/>
        <w:rPr>
          <w:rFonts w:ascii="Palatino Linotype" w:eastAsia="Palatino Linotype" w:hAnsi="Palatino Linotype" w:cs="Palatino Linotype"/>
          <w:b/>
          <w:bCs/>
          <w:color w:val="000000"/>
          <w:sz w:val="24"/>
          <w:szCs w:val="24"/>
        </w:rPr>
      </w:pPr>
      <w:bookmarkStart w:id="4" w:name="_heading=h.azbosp2eo3rx" w:colFirst="0" w:colLast="0"/>
      <w:bookmarkEnd w:id="4"/>
      <w:r>
        <w:rPr>
          <w:rFonts w:ascii="Palatino Linotype" w:eastAsia="Palatino Linotype" w:hAnsi="Palatino Linotype" w:cs="Palatino Linotype"/>
          <w:b/>
          <w:bCs/>
          <w:color w:val="000000"/>
          <w:sz w:val="24"/>
          <w:szCs w:val="24"/>
        </w:rPr>
        <w:t>PRIMERO. De la competencia</w:t>
      </w:r>
    </w:p>
    <w:p w:rsidR="00814838" w:rsidRDefault="00EC2E83">
      <w:pPr>
        <w:numPr>
          <w:ilvl w:val="0"/>
          <w:numId w:val="4"/>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814838" w:rsidRDefault="00814838">
      <w:pPr>
        <w:pBdr>
          <w:top w:val="nil"/>
          <w:left w:val="nil"/>
          <w:bottom w:val="nil"/>
          <w:right w:val="nil"/>
          <w:between w:val="nil"/>
        </w:pBdr>
        <w:spacing w:after="240" w:line="360" w:lineRule="auto"/>
        <w:ind w:right="-1017"/>
        <w:jc w:val="both"/>
        <w:rPr>
          <w:rFonts w:ascii="Palatino Linotype" w:eastAsia="Palatino Linotype" w:hAnsi="Palatino Linotype" w:cs="Palatino Linotype"/>
          <w:color w:val="000000"/>
          <w:sz w:val="24"/>
          <w:szCs w:val="24"/>
        </w:rPr>
      </w:pPr>
    </w:p>
    <w:p w:rsidR="00814838" w:rsidRDefault="00EC2E83">
      <w:pPr>
        <w:pStyle w:val="Ttulo2"/>
        <w:ind w:right="-1017"/>
        <w:rPr>
          <w:rFonts w:ascii="Palatino Linotype" w:eastAsia="Palatino Linotype" w:hAnsi="Palatino Linotype" w:cs="Palatino Linotype"/>
          <w:b/>
          <w:bCs/>
          <w:color w:val="000000"/>
          <w:sz w:val="24"/>
          <w:szCs w:val="24"/>
        </w:rPr>
      </w:pPr>
      <w:bookmarkStart w:id="5" w:name="_heading=h.py488vom4l8j" w:colFirst="0" w:colLast="0"/>
      <w:bookmarkEnd w:id="5"/>
      <w:r>
        <w:rPr>
          <w:rFonts w:ascii="Palatino Linotype" w:eastAsia="Palatino Linotype" w:hAnsi="Palatino Linotype" w:cs="Palatino Linotype"/>
          <w:b/>
          <w:bCs/>
          <w:color w:val="000000"/>
          <w:sz w:val="24"/>
          <w:szCs w:val="24"/>
        </w:rPr>
        <w:t>SEGUNDO. De la oportunidad y procedencia.</w:t>
      </w:r>
    </w:p>
    <w:p w:rsidR="00814838" w:rsidRDefault="00EC2E83">
      <w:pPr>
        <w:numPr>
          <w:ilvl w:val="0"/>
          <w:numId w:val="4"/>
        </w:numPr>
        <w:pBdr>
          <w:top w:val="nil"/>
          <w:left w:val="nil"/>
          <w:bottom w:val="nil"/>
          <w:right w:val="nil"/>
          <w:between w:val="nil"/>
        </w:pBdr>
        <w:tabs>
          <w:tab w:val="left" w:pos="426"/>
        </w:tabs>
        <w:spacing w:line="360" w:lineRule="auto"/>
        <w:ind w:left="0" w:right="-1017" w:firstLine="0"/>
        <w:jc w:val="both"/>
        <w:rPr>
          <w:color w:val="000000"/>
        </w:rPr>
      </w:pPr>
      <w:bookmarkStart w:id="6" w:name="_heading=h.w23xjsa23jf1" w:colFirst="0" w:colLast="0"/>
      <w:bookmarkEnd w:id="6"/>
      <w:r>
        <w:rPr>
          <w:rFonts w:ascii="Palatino Linotype" w:eastAsia="Palatino Linotype" w:hAnsi="Palatino Linotype" w:cs="Palatino Linotype"/>
          <w:color w:val="000000"/>
          <w:sz w:val="24"/>
          <w:szCs w:val="24"/>
        </w:rPr>
        <w:t xml:space="preserve">El medio de impugnación fue presentado a través del SAIMEX en el formato previamente aprobado para tal efecto y dentro del plazo legal de quince días hábiles otorgados; siendo así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entregó respuesta el </w:t>
      </w:r>
      <w:r>
        <w:rPr>
          <w:rFonts w:ascii="Palatino Linotype" w:eastAsia="Palatino Linotype" w:hAnsi="Palatino Linotype" w:cs="Palatino Linotype"/>
          <w:b/>
          <w:bCs/>
          <w:color w:val="000000"/>
          <w:sz w:val="24"/>
          <w:szCs w:val="24"/>
        </w:rPr>
        <w:t>veinte de enero de dos mil veintiséis</w:t>
      </w:r>
      <w:r>
        <w:rPr>
          <w:rFonts w:ascii="Palatino Linotype" w:eastAsia="Palatino Linotype" w:hAnsi="Palatino Linotype" w:cs="Palatino Linotype"/>
          <w:color w:val="000000"/>
          <w:sz w:val="24"/>
          <w:szCs w:val="24"/>
        </w:rPr>
        <w:t xml:space="preserve">, de tal </w:t>
      </w:r>
      <w:r>
        <w:rPr>
          <w:rFonts w:ascii="Palatino Linotype" w:eastAsia="Palatino Linotype" w:hAnsi="Palatino Linotype" w:cs="Palatino Linotype"/>
          <w:color w:val="000000"/>
          <w:sz w:val="24"/>
          <w:szCs w:val="24"/>
        </w:rPr>
        <w:lastRenderedPageBreak/>
        <w:t xml:space="preserve">forma que el plazo para interponer el recurso de revisión transcurrió del </w:t>
      </w:r>
      <w:r>
        <w:rPr>
          <w:rFonts w:ascii="Palatino Linotype" w:eastAsia="Palatino Linotype" w:hAnsi="Palatino Linotype" w:cs="Palatino Linotype"/>
          <w:b/>
          <w:bCs/>
          <w:color w:val="000000"/>
          <w:sz w:val="24"/>
          <w:szCs w:val="24"/>
        </w:rPr>
        <w:t>veintiuno de enero al once de febrero de dos mil veintiséis</w:t>
      </w:r>
      <w:r>
        <w:rPr>
          <w:rFonts w:ascii="Palatino Linotype" w:eastAsia="Palatino Linotype" w:hAnsi="Palatino Linotype" w:cs="Palatino Linotype"/>
          <w:color w:val="000000"/>
          <w:sz w:val="24"/>
          <w:szCs w:val="24"/>
        </w:rPr>
        <w:t xml:space="preserve">; luego entonces, el recurso de revisión fue interpuesto el </w:t>
      </w:r>
      <w:r>
        <w:rPr>
          <w:rFonts w:ascii="Palatino Linotype" w:eastAsia="Palatino Linotype" w:hAnsi="Palatino Linotype" w:cs="Palatino Linotype"/>
          <w:b/>
          <w:bCs/>
          <w:color w:val="000000"/>
          <w:sz w:val="24"/>
          <w:szCs w:val="24"/>
        </w:rPr>
        <w:t>veintinueve de enero de do mil veintiséis</w:t>
      </w:r>
      <w:r>
        <w:rPr>
          <w:rFonts w:ascii="Palatino Linotype" w:eastAsia="Palatino Linotype" w:hAnsi="Palatino Linotype" w:cs="Palatino Linotype"/>
          <w:color w:val="000000"/>
          <w:sz w:val="24"/>
          <w:szCs w:val="24"/>
        </w:rPr>
        <w:t>, éste se encuentra dentro de los márgenes temporales previstos en el artículo 178 de la Ley de Transparencia y Acceso a la Información Pública del Estado de México y Municipios</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vigente.</w:t>
      </w:r>
    </w:p>
    <w:p w:rsidR="00814838" w:rsidRDefault="00814838">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p>
    <w:p w:rsidR="00814838" w:rsidRDefault="00EC2E83">
      <w:pPr>
        <w:numPr>
          <w:ilvl w:val="0"/>
          <w:numId w:val="4"/>
        </w:numPr>
        <w:pBdr>
          <w:top w:val="nil"/>
          <w:left w:val="nil"/>
          <w:bottom w:val="nil"/>
          <w:right w:val="nil"/>
          <w:between w:val="nil"/>
        </w:pBdr>
        <w:tabs>
          <w:tab w:val="left" w:pos="426"/>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814838" w:rsidRDefault="00814838">
      <w:pPr>
        <w:ind w:right="-1017"/>
        <w:rPr>
          <w:rFonts w:ascii="Palatino Linotype" w:eastAsia="Palatino Linotype" w:hAnsi="Palatino Linotype" w:cs="Palatino Linotype"/>
          <w:sz w:val="24"/>
          <w:szCs w:val="24"/>
        </w:rPr>
      </w:pPr>
    </w:p>
    <w:p w:rsidR="00814838" w:rsidRDefault="00EC2E83">
      <w:pPr>
        <w:pStyle w:val="Ttulo1"/>
        <w:ind w:right="-101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TERCERO. Planteamiento de la Litis.</w:t>
      </w:r>
    </w:p>
    <w:p w:rsidR="00814838" w:rsidRDefault="00EC2E83">
      <w:pPr>
        <w:numPr>
          <w:ilvl w:val="0"/>
          <w:numId w:val="4"/>
        </w:numPr>
        <w:pBdr>
          <w:top w:val="nil"/>
          <w:left w:val="nil"/>
          <w:bottom w:val="nil"/>
          <w:right w:val="nil"/>
          <w:between w:val="nil"/>
        </w:pBdr>
        <w:tabs>
          <w:tab w:val="left" w:pos="567"/>
        </w:tabs>
        <w:spacing w:before="240" w:after="240"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requirió al </w:t>
      </w:r>
      <w:r>
        <w:rPr>
          <w:rFonts w:ascii="Palatino Linotype" w:eastAsia="Palatino Linotype" w:hAnsi="Palatino Linotype" w:cs="Palatino Linotype"/>
          <w:b/>
          <w:bCs/>
          <w:color w:val="000000"/>
          <w:sz w:val="24"/>
          <w:szCs w:val="24"/>
        </w:rPr>
        <w:t xml:space="preserve">Ayuntamiento de Naucalpan de Juárez, </w:t>
      </w:r>
      <w:r>
        <w:rPr>
          <w:rFonts w:ascii="Palatino Linotype" w:eastAsia="Palatino Linotype" w:hAnsi="Palatino Linotype" w:cs="Palatino Linotype"/>
          <w:color w:val="000000"/>
          <w:sz w:val="24"/>
          <w:szCs w:val="24"/>
        </w:rPr>
        <w:t>lo siguiente:</w:t>
      </w:r>
    </w:p>
    <w:p w:rsidR="00814838" w:rsidRDefault="00EC2E83">
      <w:pPr>
        <w:spacing w:before="240" w:after="240"/>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color w:val="000000"/>
          <w:sz w:val="24"/>
          <w:szCs w:val="24"/>
        </w:rPr>
        <w:t xml:space="preserve">1. Especificar el perfil académico, certificaciones y aptitudes técnicas en la materia de todo el personal involucrado (director, subdirección, jefatura de departamento, inspectores, personal de vivero y de mantenimiento) en la gestión y mantenimiento del arbolado urbano. Anexar evidencia. </w:t>
      </w:r>
    </w:p>
    <w:p w:rsidR="00814838" w:rsidRDefault="00EC2E83">
      <w:pPr>
        <w:spacing w:before="240" w:after="240"/>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color w:val="000000"/>
          <w:sz w:val="24"/>
          <w:szCs w:val="24"/>
        </w:rPr>
        <w:t>2. Detallar la calendarización del mantenimiento integral del arbolado urbano conforme a lo que indica la norma estatal y, también mencionar algún proyecto que se lleve a cabo en beneficio del arbolado urbano. Anexar evidencia.</w:t>
      </w:r>
    </w:p>
    <w:p w:rsidR="00814838" w:rsidRDefault="00EC2E83">
      <w:pPr>
        <w:spacing w:before="240" w:after="240"/>
        <w:ind w:left="567"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3. ¿Qué legislación, reglamento local u otro instrumento jurídico vigente aplican para la gestión integral del arbolado urbano (manejo, cuidado, plantación y protección en zonas urbanas)? Mencionar y anexar evidencia. </w:t>
      </w:r>
    </w:p>
    <w:p w:rsidR="00814838" w:rsidRDefault="00EC2E83">
      <w:pPr>
        <w:spacing w:before="240" w:after="240"/>
        <w:ind w:left="567"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4. ¿Qué presupuesto exclusivo se destina para atender al arbolado urbano, específicamente para las actividades de poda, plantación y derribo en zonas urbanas? ¿Existe otro medio para la adquisición de planta e insumos relacionados? Anexar evidencia. </w:t>
      </w:r>
    </w:p>
    <w:p w:rsidR="00814838" w:rsidRDefault="00EC2E83">
      <w:pPr>
        <w:spacing w:before="240" w:after="240"/>
        <w:ind w:left="567"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5. Anexar el inventario con el que recaban tanto datos físicos (altura, diámetro, volumen de copa) como biológicos para la gestión del arbolado urbano. Incorporar evidencia. </w:t>
      </w:r>
    </w:p>
    <w:p w:rsidR="00814838" w:rsidRDefault="00EC2E83">
      <w:pPr>
        <w:spacing w:before="240" w:after="240"/>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color w:val="000000"/>
          <w:sz w:val="24"/>
          <w:szCs w:val="24"/>
        </w:rPr>
        <w:t>6. Mencione las actividades (talleres, reuniones, cursos, charlas, reforestaciones en zonas urbanas) que promuevan las buenas prácticas y el cuidado del arbolado urbano..” (sic)</w:t>
      </w:r>
    </w:p>
    <w:p w:rsidR="00814838" w:rsidRDefault="00814838">
      <w:pPr>
        <w:pBdr>
          <w:top w:val="nil"/>
          <w:left w:val="nil"/>
          <w:bottom w:val="nil"/>
          <w:right w:val="nil"/>
          <w:between w:val="nil"/>
        </w:pBdr>
        <w:spacing w:before="240"/>
        <w:ind w:left="720" w:right="-1017"/>
        <w:jc w:val="both"/>
        <w:rPr>
          <w:rFonts w:ascii="Palatino Linotype" w:eastAsia="Palatino Linotype" w:hAnsi="Palatino Linotype" w:cs="Palatino Linotype"/>
          <w:i/>
          <w:iCs/>
          <w:color w:val="000000"/>
          <w:sz w:val="24"/>
          <w:szCs w:val="24"/>
        </w:rPr>
      </w:pPr>
    </w:p>
    <w:p w:rsidR="00814838" w:rsidRDefault="00EC2E83">
      <w:pPr>
        <w:numPr>
          <w:ilvl w:val="0"/>
          <w:numId w:val="4"/>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En respuesta,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dio respuesta como </w:t>
      </w:r>
      <w:r>
        <w:rPr>
          <w:rFonts w:ascii="Palatino Linotype" w:eastAsia="Palatino Linotype" w:hAnsi="Palatino Linotype" w:cs="Palatino Linotype"/>
          <w:sz w:val="24"/>
          <w:szCs w:val="24"/>
        </w:rPr>
        <w:t>quedó</w:t>
      </w:r>
      <w:r>
        <w:rPr>
          <w:rFonts w:ascii="Palatino Linotype" w:eastAsia="Palatino Linotype" w:hAnsi="Palatino Linotype" w:cs="Palatino Linotype"/>
          <w:color w:val="000000"/>
          <w:sz w:val="24"/>
          <w:szCs w:val="24"/>
        </w:rPr>
        <w:t xml:space="preserve"> referido en el numeral dos de la presente resolución.</w:t>
      </w:r>
    </w:p>
    <w:p w:rsidR="00814838" w:rsidRDefault="00EC2E83">
      <w:pPr>
        <w:numPr>
          <w:ilvl w:val="0"/>
          <w:numId w:val="4"/>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 Inconforme con lo anterior, el </w:t>
      </w:r>
      <w:r>
        <w:rPr>
          <w:rFonts w:ascii="Palatino Linotype" w:eastAsia="Palatino Linotype" w:hAnsi="Palatino Linotype" w:cs="Palatino Linotype"/>
          <w:b/>
          <w:bCs/>
          <w:color w:val="000000"/>
          <w:sz w:val="24"/>
          <w:szCs w:val="24"/>
        </w:rPr>
        <w:t xml:space="preserve">PARTICULAR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sz w:val="24"/>
          <w:szCs w:val="24"/>
        </w:rPr>
        <w:t>inconformó</w:t>
      </w:r>
      <w:r>
        <w:rPr>
          <w:rFonts w:ascii="Palatino Linotype" w:eastAsia="Palatino Linotype" w:hAnsi="Palatino Linotype" w:cs="Palatino Linotype"/>
          <w:color w:val="000000"/>
          <w:sz w:val="24"/>
          <w:szCs w:val="24"/>
        </w:rPr>
        <w:t xml:space="preserve"> por la negativa de la información.</w:t>
      </w:r>
    </w:p>
    <w:p w:rsidR="00814838" w:rsidRDefault="00814838">
      <w:pPr>
        <w:pBdr>
          <w:top w:val="nil"/>
          <w:left w:val="nil"/>
          <w:bottom w:val="nil"/>
          <w:right w:val="nil"/>
          <w:between w:val="nil"/>
        </w:pBdr>
        <w:spacing w:line="360" w:lineRule="auto"/>
        <w:ind w:left="360" w:right="-1017"/>
        <w:jc w:val="both"/>
        <w:rPr>
          <w:rFonts w:ascii="Palatino Linotype" w:eastAsia="Palatino Linotype" w:hAnsi="Palatino Linotype" w:cs="Palatino Linotype"/>
          <w:sz w:val="24"/>
          <w:szCs w:val="24"/>
        </w:rPr>
      </w:pPr>
    </w:p>
    <w:p w:rsidR="00814838" w:rsidRDefault="00EC2E83">
      <w:pPr>
        <w:numPr>
          <w:ilvl w:val="0"/>
          <w:numId w:val="4"/>
        </w:numPr>
        <w:pBdr>
          <w:top w:val="nil"/>
          <w:left w:val="nil"/>
          <w:bottom w:val="nil"/>
          <w:right w:val="nil"/>
          <w:between w:val="nil"/>
        </w:pBdr>
        <w:tabs>
          <w:tab w:val="left" w:pos="426"/>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Por lo que, de este modo, el presente recurso de revisión se circunscribe a determinar si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con las manifestaciones realizadas, vulnera el derecho de acceso a la información accionado por el particular actualizando la causal de procedencia previstas en el artículo 179 fracción I, relativa a la negativa a la información solicitada; de la Ley de Transparencia y Acceso a la Información del Estado de México y Municipios.</w:t>
      </w:r>
    </w:p>
    <w:p w:rsidR="00814838" w:rsidRDefault="00814838">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p>
    <w:p w:rsidR="00814838" w:rsidRDefault="00EC2E83">
      <w:pPr>
        <w:pStyle w:val="Ttulo2"/>
        <w:tabs>
          <w:tab w:val="left" w:pos="426"/>
        </w:tabs>
        <w:ind w:right="-1017"/>
        <w:rPr>
          <w:rFonts w:ascii="Palatino Linotype" w:eastAsia="Palatino Linotype" w:hAnsi="Palatino Linotype" w:cs="Palatino Linotype"/>
          <w:b/>
          <w:bCs/>
          <w:color w:val="000000"/>
          <w:sz w:val="24"/>
          <w:szCs w:val="24"/>
        </w:rPr>
      </w:pPr>
      <w:bookmarkStart w:id="7" w:name="_heading=h.ylvzh4f4tvgv" w:colFirst="0" w:colLast="0"/>
      <w:bookmarkEnd w:id="7"/>
      <w:r>
        <w:rPr>
          <w:rFonts w:ascii="Palatino Linotype" w:eastAsia="Palatino Linotype" w:hAnsi="Palatino Linotype" w:cs="Palatino Linotype"/>
          <w:b/>
          <w:bCs/>
          <w:color w:val="000000"/>
          <w:sz w:val="24"/>
          <w:szCs w:val="24"/>
        </w:rPr>
        <w:t>CUARTO. Estudio y Resolución del asunto.</w:t>
      </w:r>
    </w:p>
    <w:p w:rsidR="00814838" w:rsidRDefault="00EC2E83">
      <w:pPr>
        <w:numPr>
          <w:ilvl w:val="0"/>
          <w:numId w:val="4"/>
        </w:numPr>
        <w:spacing w:line="360" w:lineRule="auto"/>
        <w:ind w:left="0" w:right="-1017" w:firstLine="0"/>
        <w:jc w:val="both"/>
      </w:pPr>
      <w:r>
        <w:rPr>
          <w:rFonts w:ascii="Palatino Linotype" w:eastAsia="Palatino Linotype" w:hAnsi="Palatino Linotype" w:cs="Palatino Linotype"/>
          <w:sz w:val="24"/>
          <w:szCs w:val="24"/>
        </w:rPr>
        <w:t xml:space="preserve">Es elemental precisar que este Órgano Garante parte del hecho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Pr>
          <w:rFonts w:ascii="Palatino Linotype" w:eastAsia="Palatino Linotype" w:hAnsi="Palatino Linotype" w:cs="Palatino Linotype"/>
          <w:b/>
          <w:bCs/>
          <w:sz w:val="24"/>
          <w:szCs w:val="24"/>
        </w:rPr>
        <w:t xml:space="preserve">SUJETO </w:t>
      </w:r>
      <w:r>
        <w:rPr>
          <w:rFonts w:ascii="Palatino Linotype" w:eastAsia="Palatino Linotype" w:hAnsi="Palatino Linotype" w:cs="Palatino Linotype"/>
          <w:b/>
          <w:bCs/>
          <w:sz w:val="24"/>
          <w:szCs w:val="24"/>
        </w:rPr>
        <w:lastRenderedPageBreak/>
        <w:t>OBLIGADO</w:t>
      </w:r>
      <w:r>
        <w:rPr>
          <w:rFonts w:ascii="Palatino Linotype" w:eastAsia="Palatino Linotype" w:hAnsi="Palatino Linotype" w:cs="Palatino Linotype"/>
          <w:sz w:val="24"/>
          <w:szCs w:val="24"/>
        </w:rPr>
        <w:t xml:space="preserve"> debe ser cuidadoso del debido cumplimiento de las obligaciones constitucionales que se le imponen, en consecuencia, a todas las autoridades, en el ámbito de su competencia, según lo dispone el tercer párrafo del artículo primero de la </w:t>
      </w:r>
      <w:r>
        <w:rPr>
          <w:rFonts w:ascii="Palatino Linotype" w:eastAsia="Palatino Linotype" w:hAnsi="Palatino Linotype" w:cs="Palatino Linotype"/>
          <w:b/>
          <w:bCs/>
          <w:sz w:val="24"/>
          <w:szCs w:val="24"/>
        </w:rPr>
        <w:t xml:space="preserve">Constitución Política de los Estados Unidos Mexicanos </w:t>
      </w:r>
      <w:r>
        <w:rPr>
          <w:rFonts w:ascii="Palatino Linotype" w:eastAsia="Palatino Linotype" w:hAnsi="Palatino Linotype" w:cs="Palatino Linotype"/>
          <w:sz w:val="24"/>
          <w:szCs w:val="24"/>
        </w:rPr>
        <w:t xml:space="preserve">al señalar la obligación de “promover, </w:t>
      </w:r>
      <w:r>
        <w:rPr>
          <w:rFonts w:ascii="Palatino Linotype" w:eastAsia="Palatino Linotype" w:hAnsi="Palatino Linotype" w:cs="Palatino Linotype"/>
          <w:b/>
          <w:bCs/>
          <w:sz w:val="24"/>
          <w:szCs w:val="24"/>
        </w:rPr>
        <w:t>respetar</w:t>
      </w:r>
      <w:r>
        <w:rPr>
          <w:rFonts w:ascii="Palatino Linotype" w:eastAsia="Palatino Linotype" w:hAnsi="Palatino Linotype" w:cs="Palatino Linotype"/>
          <w:sz w:val="24"/>
          <w:szCs w:val="24"/>
        </w:rPr>
        <w:t xml:space="preserve">, proteger y </w:t>
      </w:r>
      <w:r>
        <w:rPr>
          <w:rFonts w:ascii="Palatino Linotype" w:eastAsia="Palatino Linotype" w:hAnsi="Palatino Linotype" w:cs="Palatino Linotype"/>
          <w:b/>
          <w:bCs/>
          <w:sz w:val="24"/>
          <w:szCs w:val="24"/>
        </w:rPr>
        <w:t>garantizar</w:t>
      </w:r>
      <w:r>
        <w:rPr>
          <w:rFonts w:ascii="Palatino Linotype" w:eastAsia="Palatino Linotype" w:hAnsi="Palatino Linotype" w:cs="Palatino Linotype"/>
          <w:sz w:val="24"/>
          <w:szCs w:val="24"/>
        </w:rPr>
        <w:t xml:space="preserve"> los derechos humanos”, entre los cuales se encuentra dicho derecho.</w:t>
      </w:r>
    </w:p>
    <w:p w:rsidR="00814838" w:rsidRDefault="00EC2E83">
      <w:pPr>
        <w:numPr>
          <w:ilvl w:val="0"/>
          <w:numId w:val="4"/>
        </w:numPr>
        <w:pBdr>
          <w:top w:val="nil"/>
          <w:left w:val="nil"/>
          <w:bottom w:val="nil"/>
          <w:right w:val="nil"/>
          <w:between w:val="nil"/>
        </w:pBdr>
        <w:tabs>
          <w:tab w:val="left" w:pos="426"/>
        </w:tabs>
        <w:spacing w:before="240" w:after="240" w:line="360" w:lineRule="auto"/>
        <w:ind w:left="0" w:right="-1017" w:firstLine="0"/>
        <w:jc w:val="both"/>
        <w:rPr>
          <w:color w:val="000000"/>
        </w:rPr>
      </w:pPr>
      <w:r>
        <w:rPr>
          <w:rFonts w:ascii="Palatino Linotype" w:eastAsia="Palatino Linotype" w:hAnsi="Palatino Linotype" w:cs="Palatino Linotype"/>
          <w:color w:val="000000"/>
          <w:sz w:val="24"/>
          <w:szCs w:val="24"/>
        </w:rPr>
        <w:t>Por ende, se deduce que el derecho de acceso a la información pública es un derecho humano convencional y constitucionalmente reconocido; en consecuencia, todas las autoridades en el ámbito de sus competencias, funciones y atribuciones tienen la obligación de respetarlo, protegerlo y garantizarlo.</w:t>
      </w:r>
    </w:p>
    <w:p w:rsidR="00814838" w:rsidRDefault="00EC2E83">
      <w:pPr>
        <w:numPr>
          <w:ilvl w:val="0"/>
          <w:numId w:val="4"/>
        </w:numPr>
        <w:spacing w:line="360" w:lineRule="auto"/>
        <w:ind w:left="0" w:right="-1017" w:firstLine="0"/>
        <w:jc w:val="both"/>
      </w:pPr>
      <w:r>
        <w:rPr>
          <w:rFonts w:ascii="Palatino Linotype" w:eastAsia="Palatino Linotype" w:hAnsi="Palatino Linotype" w:cs="Palatino Linotype"/>
          <w:sz w:val="24"/>
          <w:szCs w:val="24"/>
        </w:rPr>
        <w:t xml:space="preserve">Así las cosas, </w:t>
      </w:r>
      <w:r>
        <w:rPr>
          <w:rFonts w:ascii="Palatino Linotype" w:eastAsia="Palatino Linotype" w:hAnsi="Palatino Linotype" w:cs="Palatino Linotype"/>
          <w:color w:val="000000"/>
          <w:sz w:val="24"/>
          <w:szCs w:val="24"/>
        </w:rPr>
        <w:t xml:space="preserve">podemos definir el Derecho de Acceso a la Información Pública como: </w:t>
      </w:r>
      <w:r>
        <w:rPr>
          <w:rFonts w:ascii="Palatino Linotype" w:eastAsia="Palatino Linotype" w:hAnsi="Palatino Linotype" w:cs="Palatino Linotype"/>
          <w:i/>
          <w:iCs/>
          <w:color w:val="000000"/>
          <w:sz w:val="24"/>
          <w:szCs w:val="24"/>
        </w:rPr>
        <w:t>La igualdad de oportunidades para recibir, buscar e impartir información</w:t>
      </w:r>
      <w:r>
        <w:rPr>
          <w:rFonts w:ascii="Palatino Linotype" w:eastAsia="Palatino Linotype" w:hAnsi="Palatino Linotype" w:cs="Palatino Linotype"/>
          <w:i/>
          <w:iCs/>
          <w:color w:val="000000"/>
          <w:sz w:val="24"/>
          <w:szCs w:val="24"/>
          <w:vertAlign w:val="superscript"/>
        </w:rPr>
        <w:footnoteReference w:id="1"/>
      </w:r>
      <w:r>
        <w:rPr>
          <w:rFonts w:ascii="Palatino Linotype" w:eastAsia="Palatino Linotype" w:hAnsi="Palatino Linotype" w:cs="Palatino Linotype"/>
          <w:i/>
          <w:iCs/>
          <w:color w:val="000000"/>
          <w:sz w:val="24"/>
          <w:szCs w:val="24"/>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sz w:val="24"/>
          <w:szCs w:val="24"/>
          <w:vertAlign w:val="superscript"/>
        </w:rPr>
        <w:footnoteReference w:id="2"/>
      </w:r>
      <w:r>
        <w:rPr>
          <w:rFonts w:ascii="Palatino Linotype" w:eastAsia="Palatino Linotype" w:hAnsi="Palatino Linotype" w:cs="Palatino Linotype"/>
          <w:color w:val="000000"/>
          <w:sz w:val="24"/>
          <w:szCs w:val="24"/>
        </w:rPr>
        <w:t>que se constituye como una herramienta fundamental para ejercer</w:t>
      </w:r>
      <w:r>
        <w:rPr>
          <w:rFonts w:ascii="Palatino Linotype" w:eastAsia="Palatino Linotype" w:hAnsi="Palatino Linotype" w:cs="Palatino Linotype"/>
          <w:i/>
          <w:iCs/>
          <w:color w:val="000000"/>
          <w:sz w:val="24"/>
          <w:szCs w:val="24"/>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sz w:val="24"/>
          <w:szCs w:val="24"/>
          <w:vertAlign w:val="superscript"/>
        </w:rPr>
        <w:footnoteReference w:id="3"/>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color w:val="000000"/>
          <w:sz w:val="24"/>
          <w:szCs w:val="24"/>
        </w:rPr>
        <w:t>fomentando</w:t>
      </w:r>
      <w:r>
        <w:rPr>
          <w:rFonts w:ascii="Palatino Linotype" w:eastAsia="Palatino Linotype" w:hAnsi="Palatino Linotype" w:cs="Palatino Linotype"/>
          <w:i/>
          <w:iCs/>
          <w:color w:val="000000"/>
          <w:sz w:val="24"/>
          <w:szCs w:val="24"/>
        </w:rPr>
        <w:t xml:space="preserve"> la transparencia de las actividades estatales y </w:t>
      </w:r>
      <w:r>
        <w:rPr>
          <w:rFonts w:ascii="Palatino Linotype" w:eastAsia="Palatino Linotype" w:hAnsi="Palatino Linotype" w:cs="Palatino Linotype"/>
          <w:color w:val="000000"/>
          <w:sz w:val="24"/>
          <w:szCs w:val="24"/>
        </w:rPr>
        <w:t>promoviendo</w:t>
      </w:r>
      <w:r>
        <w:rPr>
          <w:rFonts w:ascii="Palatino Linotype" w:eastAsia="Palatino Linotype" w:hAnsi="Palatino Linotype" w:cs="Palatino Linotype"/>
          <w:i/>
          <w:iCs/>
          <w:color w:val="000000"/>
          <w:sz w:val="24"/>
          <w:szCs w:val="24"/>
        </w:rPr>
        <w:t xml:space="preserve"> la responsabilidad de los funcionarios sobre su gestión pública,</w:t>
      </w:r>
      <w:r>
        <w:rPr>
          <w:rFonts w:ascii="Palatino Linotype" w:eastAsia="Palatino Linotype" w:hAnsi="Palatino Linotype" w:cs="Palatino Linotype"/>
          <w:i/>
          <w:iCs/>
          <w:color w:val="000000"/>
          <w:sz w:val="24"/>
          <w:szCs w:val="24"/>
          <w:vertAlign w:val="superscript"/>
        </w:rPr>
        <w:footnoteReference w:id="4"/>
      </w:r>
      <w:r>
        <w:rPr>
          <w:rFonts w:ascii="Palatino Linotype" w:eastAsia="Palatino Linotype" w:hAnsi="Palatino Linotype" w:cs="Palatino Linotype"/>
          <w:color w:val="000000"/>
          <w:sz w:val="24"/>
          <w:szCs w:val="24"/>
        </w:rPr>
        <w:t>que permite</w:t>
      </w:r>
      <w:r>
        <w:rPr>
          <w:rFonts w:ascii="Palatino Linotype" w:eastAsia="Palatino Linotype" w:hAnsi="Palatino Linotype" w:cs="Palatino Linotype"/>
          <w:i/>
          <w:iCs/>
          <w:color w:val="000000"/>
          <w:sz w:val="24"/>
          <w:szCs w:val="24"/>
        </w:rPr>
        <w:t xml:space="preserve"> saber qué </w:t>
      </w:r>
      <w:r>
        <w:rPr>
          <w:rFonts w:ascii="Palatino Linotype" w:eastAsia="Palatino Linotype" w:hAnsi="Palatino Linotype" w:cs="Palatino Linotype"/>
          <w:i/>
          <w:iCs/>
          <w:color w:val="000000"/>
          <w:sz w:val="24"/>
          <w:szCs w:val="24"/>
        </w:rPr>
        <w:lastRenderedPageBreak/>
        <w:t>están haciendo los gobiernos por sus pueblos, sin lo cual la verdad languidecería y la participación en el gobierno permanecería fragmentada.</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4"/>
        </w:numPr>
        <w:spacing w:line="360" w:lineRule="auto"/>
        <w:ind w:left="0" w:right="-1017" w:firstLine="0"/>
        <w:jc w:val="both"/>
      </w:pPr>
      <w:r>
        <w:rPr>
          <w:rFonts w:ascii="Palatino Linotype" w:eastAsia="Palatino Linotype" w:hAnsi="Palatino Linotype" w:cs="Palatino Linotype"/>
          <w:sz w:val="24"/>
          <w:szCs w:val="24"/>
        </w:rPr>
        <w:t xml:space="preserve">Por </w:t>
      </w:r>
      <w:r>
        <w:rPr>
          <w:rFonts w:ascii="Palatino Linotype" w:eastAsia="Palatino Linotype" w:hAnsi="Palatino Linotype" w:cs="Palatino Linotype"/>
          <w:color w:val="000000"/>
          <w:sz w:val="24"/>
          <w:szCs w:val="24"/>
        </w:rPr>
        <w:t xml:space="preserve">otro lado, la Ley de Transparencia y Acceso a la Información Pública del Estado de México y Municipios, cuyo objeto es establecer principios, bases generales y procedimientos para tutelar y garantizar la transparencia y el derecho humano de acceso a la información pública en posesión de los sujetos obligados; en su artículo 176, establece que </w:t>
      </w:r>
      <w:r>
        <w:rPr>
          <w:rFonts w:ascii="Palatino Linotype" w:eastAsia="Palatino Linotype" w:hAnsi="Palatino Linotype" w:cs="Palatino Linotype"/>
          <w:b/>
          <w:bCs/>
          <w:color w:val="000000"/>
          <w:sz w:val="24"/>
          <w:szCs w:val="24"/>
        </w:rPr>
        <w:t>el recurso de revisión es la garantía secundaria mediante la cual se pretende reparar cualquier posible afectación al derecho de acceso a la información pública</w:t>
      </w:r>
      <w:r>
        <w:rPr>
          <w:rFonts w:ascii="Palatino Linotype" w:eastAsia="Palatino Linotype" w:hAnsi="Palatino Linotype" w:cs="Palatino Linotype"/>
          <w:color w:val="000000"/>
          <w:sz w:val="24"/>
          <w:szCs w:val="24"/>
        </w:rPr>
        <w:t>, siendo éste el medio a través del cual, este Órgano Garante después de realizar el análisis al procedimiento de acceso a la información, podrá determinar la posible afectación y, de ser el caso, ordenar la reparación a la violación del derecho en cuestión.</w:t>
      </w:r>
    </w:p>
    <w:p w:rsidR="00814838" w:rsidRDefault="00814838">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p>
    <w:p w:rsidR="00814838" w:rsidRDefault="00EC2E83">
      <w:pPr>
        <w:numPr>
          <w:ilvl w:val="0"/>
          <w:numId w:val="4"/>
        </w:numPr>
        <w:pBdr>
          <w:top w:val="nil"/>
          <w:left w:val="nil"/>
          <w:bottom w:val="nil"/>
          <w:right w:val="nil"/>
          <w:between w:val="nil"/>
        </w:pBdr>
        <w:tabs>
          <w:tab w:val="left" w:pos="426"/>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Dicho lo anterior, este Órgano Resolutor se avocara a realizar el estudio en conjunto de todas las constancias que obran en el SAIMEX, con la finalidad de colegir si con la respuesta proporcionada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se colma en su totalidad la solicitud de información</w:t>
      </w:r>
      <w:r>
        <w:rPr>
          <w:rFonts w:ascii="Palatino Linotype" w:eastAsia="Palatino Linotype" w:hAnsi="Palatino Linotype" w:cs="Palatino Linotype"/>
          <w:b/>
          <w:bCs/>
          <w:color w:val="FF0000"/>
          <w:sz w:val="24"/>
          <w:szCs w:val="24"/>
        </w:rPr>
        <w:t xml:space="preserve"> </w:t>
      </w:r>
      <w:r>
        <w:rPr>
          <w:rFonts w:ascii="Palatino Linotype" w:eastAsia="Palatino Linotype" w:hAnsi="Palatino Linotype" w:cs="Palatino Linotype"/>
          <w:b/>
          <w:bCs/>
          <w:color w:val="000000"/>
          <w:sz w:val="24"/>
          <w:szCs w:val="24"/>
        </w:rPr>
        <w:t xml:space="preserve">00798/NAUCALPA/IP/2025, </w:t>
      </w:r>
      <w:r>
        <w:rPr>
          <w:rFonts w:ascii="Palatino Linotype" w:eastAsia="Palatino Linotype" w:hAnsi="Palatino Linotype" w:cs="Palatino Linotype"/>
          <w:color w:val="000000"/>
          <w:sz w:val="24"/>
          <w:szCs w:val="24"/>
        </w:rPr>
        <w:t xml:space="preserve">por lo que al respecto se refiere lo siguiente: </w:t>
      </w:r>
    </w:p>
    <w:p w:rsidR="00814838" w:rsidRDefault="00814838">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p>
    <w:tbl>
      <w:tblPr>
        <w:tblStyle w:val="a"/>
        <w:tblW w:w="10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5"/>
        <w:gridCol w:w="3270"/>
        <w:gridCol w:w="2910"/>
        <w:gridCol w:w="2085"/>
      </w:tblGrid>
      <w:tr w:rsidR="00814838" w:rsidTr="0031491A">
        <w:tc>
          <w:tcPr>
            <w:tcW w:w="2055" w:type="dxa"/>
            <w:vAlign w:val="center"/>
          </w:tcPr>
          <w:p w:rsidR="00814838" w:rsidRDefault="00EC2E83">
            <w:pPr>
              <w:pBdr>
                <w:top w:val="nil"/>
                <w:left w:val="nil"/>
                <w:bottom w:val="nil"/>
                <w:right w:val="nil"/>
                <w:between w:val="nil"/>
              </w:pBdr>
              <w:tabs>
                <w:tab w:val="left" w:pos="426"/>
              </w:tabs>
              <w:ind w:right="-110"/>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Solicitud</w:t>
            </w:r>
          </w:p>
        </w:tc>
        <w:tc>
          <w:tcPr>
            <w:tcW w:w="3270" w:type="dxa"/>
            <w:vAlign w:val="center"/>
          </w:tcPr>
          <w:p w:rsidR="00814838" w:rsidRDefault="00EC2E83">
            <w:pPr>
              <w:pBdr>
                <w:top w:val="nil"/>
                <w:left w:val="nil"/>
                <w:bottom w:val="nil"/>
                <w:right w:val="nil"/>
                <w:between w:val="nil"/>
              </w:pBdr>
              <w:tabs>
                <w:tab w:val="left" w:pos="426"/>
              </w:tabs>
              <w:ind w:right="-110"/>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Respuesta</w:t>
            </w:r>
          </w:p>
        </w:tc>
        <w:tc>
          <w:tcPr>
            <w:tcW w:w="2910" w:type="dxa"/>
            <w:vAlign w:val="center"/>
          </w:tcPr>
          <w:p w:rsidR="00814838" w:rsidRDefault="00EC2E83">
            <w:pPr>
              <w:pBdr>
                <w:top w:val="nil"/>
                <w:left w:val="nil"/>
                <w:bottom w:val="nil"/>
                <w:right w:val="nil"/>
                <w:between w:val="nil"/>
              </w:pBdr>
              <w:tabs>
                <w:tab w:val="left" w:pos="426"/>
              </w:tabs>
              <w:ind w:right="-110"/>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Informe Justificado</w:t>
            </w:r>
          </w:p>
        </w:tc>
        <w:tc>
          <w:tcPr>
            <w:tcW w:w="2085" w:type="dxa"/>
            <w:vAlign w:val="center"/>
          </w:tcPr>
          <w:p w:rsidR="00814838" w:rsidRDefault="00EC2E83">
            <w:pPr>
              <w:pBdr>
                <w:top w:val="nil"/>
                <w:left w:val="nil"/>
                <w:bottom w:val="nil"/>
                <w:right w:val="nil"/>
                <w:between w:val="nil"/>
              </w:pBdr>
              <w:tabs>
                <w:tab w:val="left" w:pos="426"/>
              </w:tabs>
              <w:ind w:right="-110"/>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¿Colma?</w:t>
            </w:r>
          </w:p>
        </w:tc>
      </w:tr>
      <w:tr w:rsidR="00814838" w:rsidTr="0031491A">
        <w:tc>
          <w:tcPr>
            <w:tcW w:w="2055" w:type="dxa"/>
            <w:vAlign w:val="center"/>
          </w:tcPr>
          <w:p w:rsidR="00814838" w:rsidRDefault="00EC2E83">
            <w:pPr>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1. Especificar el perfil académico, certificaciones y aptitudes técnicas en la materia de todo </w:t>
            </w:r>
            <w:r>
              <w:rPr>
                <w:rFonts w:ascii="Palatino Linotype" w:eastAsia="Palatino Linotype" w:hAnsi="Palatino Linotype" w:cs="Palatino Linotype"/>
                <w:sz w:val="24"/>
                <w:szCs w:val="24"/>
              </w:rPr>
              <w:lastRenderedPageBreak/>
              <w:t xml:space="preserve">el personal involucrado (director, subdirección, jefatura de departamento, inspectores, personal de vivero y de mantenimiento) en la gestión y mantenimiento del arbolado urbano. Anexar evidencia. </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3270" w:type="dxa"/>
            <w:vAlign w:val="center"/>
          </w:tcPr>
          <w:p w:rsidR="00814838" w:rsidRDefault="00EC2E83">
            <w:pPr>
              <w:tabs>
                <w:tab w:val="left" w:pos="426"/>
              </w:tabs>
              <w:ind w:right="2"/>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El Director de Servicios Públicos, por el que informó lo siguiente:</w:t>
            </w:r>
          </w:p>
          <w:p w:rsidR="00814838" w:rsidRDefault="00814838">
            <w:pPr>
              <w:pBdr>
                <w:top w:val="nil"/>
                <w:left w:val="nil"/>
                <w:bottom w:val="nil"/>
                <w:right w:val="nil"/>
                <w:between w:val="nil"/>
              </w:pBdr>
              <w:tabs>
                <w:tab w:val="left" w:pos="426"/>
              </w:tabs>
              <w:ind w:left="720" w:right="2"/>
              <w:rPr>
                <w:rFonts w:ascii="Palatino Linotype" w:eastAsia="Palatino Linotype" w:hAnsi="Palatino Linotype" w:cs="Palatino Linotype"/>
                <w:color w:val="000000"/>
                <w:sz w:val="24"/>
                <w:szCs w:val="24"/>
              </w:rPr>
            </w:pPr>
          </w:p>
          <w:p w:rsidR="00814838" w:rsidRDefault="0031491A">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u w:val="single"/>
              </w:rPr>
            </w:pPr>
            <w:r>
              <w:rPr>
                <w:rFonts w:ascii="Palatino Linotype" w:eastAsia="Palatino Linotype" w:hAnsi="Palatino Linotype" w:cs="Palatino Linotype"/>
                <w:color w:val="000000"/>
                <w:sz w:val="24"/>
                <w:szCs w:val="24"/>
                <w:u w:val="single"/>
              </w:rPr>
              <w:t>Le</w:t>
            </w:r>
            <w:r w:rsidR="00EC2E83">
              <w:rPr>
                <w:rFonts w:ascii="Palatino Linotype" w:eastAsia="Palatino Linotype" w:hAnsi="Palatino Linotype" w:cs="Palatino Linotype"/>
                <w:color w:val="000000"/>
                <w:sz w:val="24"/>
                <w:szCs w:val="24"/>
                <w:u w:val="single"/>
              </w:rPr>
              <w:t xml:space="preserve"> informo que después de realizar una BÚSQUEDA </w:t>
            </w:r>
            <w:r w:rsidR="00EC2E83">
              <w:rPr>
                <w:rFonts w:ascii="Palatino Linotype" w:eastAsia="Palatino Linotype" w:hAnsi="Palatino Linotype" w:cs="Palatino Linotype"/>
                <w:color w:val="000000"/>
                <w:sz w:val="24"/>
                <w:szCs w:val="24"/>
                <w:u w:val="single"/>
              </w:rPr>
              <w:lastRenderedPageBreak/>
              <w:t>EXHAUSTIVA en los ARCHIVOS DE ESTA DIRECCIÓN DE SERVICIOS PÚBLICOS; NO HAY EXISTENCIA NI SE ENCONTRARON CONTRATOS, CONVENIOS, REGISTROS, COPIAS, EVIDENCIA FOTOGRAFICA O DOCUMENTO ALGUNO que acredite la información solicitada en el expediente de solicitud de folio de Turno 00798/NAUCALPA/IP/2025/TSP/0003.</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u w:val="single"/>
              </w:rPr>
            </w:pPr>
          </w:p>
          <w:p w:rsidR="00814838" w:rsidRDefault="00EC2E83">
            <w:pPr>
              <w:tabs>
                <w:tab w:val="left" w:pos="426"/>
              </w:tabs>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Por parte de la Dirección de Servicios Públicos no se cuenta con personal criticado para realizar dichos trabajos sólo se cuenta personal de mano de obra en general, pero con una amplia experiencia empírica a través de los años en servicio, por parte del </w:t>
            </w:r>
            <w:r w:rsidR="0031491A">
              <w:rPr>
                <w:rFonts w:ascii="Palatino Linotype" w:eastAsia="Palatino Linotype" w:hAnsi="Palatino Linotype" w:cs="Palatino Linotype"/>
                <w:sz w:val="24"/>
                <w:szCs w:val="24"/>
              </w:rPr>
              <w:t>Depto.</w:t>
            </w:r>
            <w:r>
              <w:rPr>
                <w:rFonts w:ascii="Palatino Linotype" w:eastAsia="Palatino Linotype" w:hAnsi="Palatino Linotype" w:cs="Palatino Linotype"/>
                <w:sz w:val="24"/>
                <w:szCs w:val="24"/>
              </w:rPr>
              <w:t>, de parques y jardines</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2910"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Se remitió dos títulos profesionales a favor de Beatriz Rodríguez Díaz y Alexis Daniel Ramírez Olivares, Gustavo García Jaramillo, los cuales se </w:t>
            </w:r>
            <w:r>
              <w:rPr>
                <w:rFonts w:ascii="Palatino Linotype" w:eastAsia="Palatino Linotype" w:hAnsi="Palatino Linotype" w:cs="Palatino Linotype"/>
                <w:color w:val="000000"/>
                <w:sz w:val="24"/>
                <w:szCs w:val="24"/>
              </w:rPr>
              <w:lastRenderedPageBreak/>
              <w:t>remitieron de manera íntegra y no se observa que se hayan dejado datos personales susceptibles de ser clasificados a la vista.</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Se informó que el Jefe de Departamento de manejo y permiso de arbolado urbano y áreas verdes urbanas, sin embargo no se remitió el soporte documental.</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left="19"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Así mismo tres inspectores certificados por la Secretaría del Medio Ambiente del Estado de México, con formación técnica en arbolado urbano, evaluación de riesgo, normatividad ambiental y manejo de vegetación urbana. </w:t>
            </w:r>
          </w:p>
          <w:p w:rsidR="00814838" w:rsidRDefault="00814838">
            <w:pPr>
              <w:tabs>
                <w:tab w:val="left" w:pos="426"/>
              </w:tabs>
              <w:ind w:right="2"/>
              <w:jc w:val="both"/>
              <w:rPr>
                <w:rFonts w:ascii="Palatino Linotype" w:eastAsia="Palatino Linotype" w:hAnsi="Palatino Linotype" w:cs="Palatino Linotype"/>
                <w:sz w:val="24"/>
                <w:szCs w:val="24"/>
              </w:rPr>
            </w:pPr>
          </w:p>
          <w:p w:rsidR="00814838" w:rsidRDefault="00EC2E83">
            <w:pPr>
              <w:tabs>
                <w:tab w:val="left" w:pos="426"/>
              </w:tabs>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De la misma manera se cuenta con una planilla de 31 empleados encargados de las áreas naturales y viveros. </w:t>
            </w:r>
          </w:p>
          <w:p w:rsidR="00814838" w:rsidRDefault="00814838">
            <w:pPr>
              <w:pBdr>
                <w:top w:val="nil"/>
                <w:left w:val="nil"/>
                <w:bottom w:val="nil"/>
                <w:right w:val="nil"/>
                <w:between w:val="nil"/>
              </w:pBdr>
              <w:tabs>
                <w:tab w:val="left" w:pos="426"/>
              </w:tabs>
              <w:ind w:left="720" w:right="2"/>
              <w:jc w:val="both"/>
              <w:rPr>
                <w:rFonts w:ascii="Palatino Linotype" w:eastAsia="Palatino Linotype" w:hAnsi="Palatino Linotype" w:cs="Palatino Linotype"/>
                <w:color w:val="000000"/>
                <w:sz w:val="24"/>
                <w:szCs w:val="24"/>
              </w:rPr>
            </w:pPr>
          </w:p>
          <w:p w:rsidR="00814838" w:rsidRDefault="00EC2E83">
            <w:pPr>
              <w:tabs>
                <w:tab w:val="left" w:pos="426"/>
              </w:tabs>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Es importante señalar que para los documentos que acredite su grado de escolaridad esta dependencia no cuenta con esa documentación, debido que obra en expedientes de la Dirección de Administración a cargo de la Subdirección de Recursos Humanos</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Sin embargo, no se remitió el soporte documental que dé cuenta de ello.</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2085"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No, ya que no se remitió la información de manera completa, ya que únicamente se </w:t>
            </w:r>
            <w:r>
              <w:rPr>
                <w:rFonts w:ascii="Palatino Linotype" w:eastAsia="Palatino Linotype" w:hAnsi="Palatino Linotype" w:cs="Palatino Linotype"/>
                <w:color w:val="000000"/>
                <w:sz w:val="24"/>
                <w:szCs w:val="24"/>
              </w:rPr>
              <w:lastRenderedPageBreak/>
              <w:t xml:space="preserve">remitieron 3 títulos profesionales.  </w:t>
            </w:r>
          </w:p>
        </w:tc>
      </w:tr>
      <w:tr w:rsidR="00814838" w:rsidTr="0031491A">
        <w:tc>
          <w:tcPr>
            <w:tcW w:w="2055" w:type="dxa"/>
            <w:vAlign w:val="center"/>
          </w:tcPr>
          <w:p w:rsidR="00814838" w:rsidRDefault="00EC2E83">
            <w:pPr>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2. Detallar la calendarización del mantenimiento integral del arbolado urbano conforme a lo que indica la norma estatal y, también mencionar algún proyecto que se lleve a cabo en beneficio del arbolado urbano. </w:t>
            </w:r>
            <w:r>
              <w:rPr>
                <w:rFonts w:ascii="Palatino Linotype" w:eastAsia="Palatino Linotype" w:hAnsi="Palatino Linotype" w:cs="Palatino Linotype"/>
                <w:sz w:val="24"/>
                <w:szCs w:val="24"/>
              </w:rPr>
              <w:lastRenderedPageBreak/>
              <w:t xml:space="preserve">Anexar evidencia. </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3270"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En la Dirección de Servicios Públicos solo se lleva </w:t>
            </w:r>
            <w:r>
              <w:rPr>
                <w:rFonts w:ascii="Palatino Linotype" w:eastAsia="Palatino Linotype" w:hAnsi="Palatino Linotype" w:cs="Palatino Linotype"/>
                <w:sz w:val="24"/>
                <w:szCs w:val="24"/>
              </w:rPr>
              <w:t>a cabo</w:t>
            </w:r>
            <w:r>
              <w:rPr>
                <w:rFonts w:ascii="Palatino Linotype" w:eastAsia="Palatino Linotype" w:hAnsi="Palatino Linotype" w:cs="Palatino Linotype"/>
                <w:color w:val="000000"/>
                <w:sz w:val="24"/>
                <w:szCs w:val="24"/>
              </w:rPr>
              <w:t xml:space="preserve"> el clareo de árboles para mantenimiento de las luminarias de Alumbrado Público, previo dictamen y autorización para realizar los trabajos por medio de la Dirección de Medio Ambiente Emitido por medio de ventanilla única o petición ciudadana.</w:t>
            </w:r>
          </w:p>
        </w:tc>
        <w:tc>
          <w:tcPr>
            <w:tcW w:w="2910"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Se remitió la calendarización y se refirió el proyecto solicitado, sin embargo, no se </w:t>
            </w:r>
            <w:r>
              <w:rPr>
                <w:rFonts w:ascii="Palatino Linotype" w:eastAsia="Palatino Linotype" w:hAnsi="Palatino Linotype" w:cs="Palatino Linotype"/>
                <w:sz w:val="24"/>
                <w:szCs w:val="24"/>
              </w:rPr>
              <w:t>anexó</w:t>
            </w:r>
            <w:r>
              <w:rPr>
                <w:rFonts w:ascii="Palatino Linotype" w:eastAsia="Palatino Linotype" w:hAnsi="Palatino Linotype" w:cs="Palatino Linotype"/>
                <w:color w:val="000000"/>
                <w:sz w:val="24"/>
                <w:szCs w:val="24"/>
              </w:rPr>
              <w:t xml:space="preserve"> la evidencia. </w:t>
            </w:r>
          </w:p>
        </w:tc>
        <w:tc>
          <w:tcPr>
            <w:tcW w:w="2085"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Parcialmente, ya que no se remitió el soporte documental.</w:t>
            </w:r>
          </w:p>
        </w:tc>
      </w:tr>
      <w:tr w:rsidR="00814838" w:rsidTr="0031491A">
        <w:tc>
          <w:tcPr>
            <w:tcW w:w="2055" w:type="dxa"/>
            <w:vAlign w:val="center"/>
          </w:tcPr>
          <w:p w:rsidR="00814838" w:rsidRDefault="00814838">
            <w:pPr>
              <w:ind w:right="2"/>
              <w:jc w:val="both"/>
              <w:rPr>
                <w:rFonts w:ascii="Palatino Linotype" w:eastAsia="Palatino Linotype" w:hAnsi="Palatino Linotype" w:cs="Palatino Linotype"/>
                <w:sz w:val="24"/>
                <w:szCs w:val="24"/>
              </w:rPr>
            </w:pPr>
          </w:p>
          <w:p w:rsidR="00814838" w:rsidRDefault="00EC2E83">
            <w:pPr>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3. ¿Qué legislación, reglamento local u otro instrumento jurídico vigente aplican para la gestión integral del arbolado urbano (manejo, cuidado, plantación y protección en zonas urbanas)? Mencionar y anexar evidencia. </w:t>
            </w:r>
          </w:p>
          <w:p w:rsidR="00814838" w:rsidRDefault="00814838">
            <w:pPr>
              <w:ind w:right="2"/>
              <w:jc w:val="both"/>
              <w:rPr>
                <w:rFonts w:ascii="Palatino Linotype" w:eastAsia="Palatino Linotype" w:hAnsi="Palatino Linotype" w:cs="Palatino Linotype"/>
                <w:sz w:val="24"/>
                <w:szCs w:val="24"/>
              </w:rPr>
            </w:pPr>
          </w:p>
        </w:tc>
        <w:tc>
          <w:tcPr>
            <w:tcW w:w="3270" w:type="dxa"/>
            <w:vAlign w:val="center"/>
          </w:tcPr>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Es fundamental verificar la normativa específica del municipio donde se ubica el arbolado (en este caso, Naucalpan de Juárez, Estado de México) a través de sus autoridades locales, como la Secretaría de Medio Ambiente municipal o Protección Civil.</w:t>
            </w:r>
          </w:p>
        </w:tc>
        <w:tc>
          <w:tcPr>
            <w:tcW w:w="2910" w:type="dxa"/>
            <w:vAlign w:val="center"/>
          </w:tcPr>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Remitió las ligas en donde se informó se encuentra la información solicitada, sin embargo las ligas se proporcionaron en formato cerrado, por lo que no se puede tener acceso a ellas.</w:t>
            </w:r>
          </w:p>
        </w:tc>
        <w:tc>
          <w:tcPr>
            <w:tcW w:w="2085" w:type="dxa"/>
            <w:vAlign w:val="center"/>
          </w:tcPr>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No, ya que se remitió la información en formato cerrado.</w:t>
            </w:r>
          </w:p>
        </w:tc>
      </w:tr>
      <w:tr w:rsidR="00814838" w:rsidTr="0031491A">
        <w:tc>
          <w:tcPr>
            <w:tcW w:w="2055" w:type="dxa"/>
            <w:vAlign w:val="center"/>
          </w:tcPr>
          <w:p w:rsidR="00814838" w:rsidRDefault="00814838">
            <w:pPr>
              <w:ind w:right="2"/>
              <w:jc w:val="both"/>
              <w:rPr>
                <w:rFonts w:ascii="Palatino Linotype" w:eastAsia="Palatino Linotype" w:hAnsi="Palatino Linotype" w:cs="Palatino Linotype"/>
                <w:sz w:val="24"/>
                <w:szCs w:val="24"/>
              </w:rPr>
            </w:pPr>
          </w:p>
          <w:p w:rsidR="00814838" w:rsidRDefault="00EC2E83">
            <w:pPr>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4. ¿Qué presupuesto exclusivo se destina para atender al arbolado urbano, específicamente para las actividades de poda, plantación y derribo en zonas urbanas? </w:t>
            </w:r>
            <w:r>
              <w:rPr>
                <w:rFonts w:ascii="Palatino Linotype" w:eastAsia="Palatino Linotype" w:hAnsi="Palatino Linotype" w:cs="Palatino Linotype"/>
                <w:sz w:val="24"/>
                <w:szCs w:val="24"/>
              </w:rPr>
              <w:lastRenderedPageBreak/>
              <w:t>¿Existe otro medio para la adquisición de planta e insumos relacionados? Anexar evidencia.</w:t>
            </w:r>
          </w:p>
          <w:p w:rsidR="00814838" w:rsidRDefault="00814838">
            <w:pPr>
              <w:ind w:right="2"/>
              <w:jc w:val="both"/>
              <w:rPr>
                <w:rFonts w:ascii="Palatino Linotype" w:eastAsia="Palatino Linotype" w:hAnsi="Palatino Linotype" w:cs="Palatino Linotype"/>
                <w:sz w:val="24"/>
                <w:szCs w:val="24"/>
              </w:rPr>
            </w:pPr>
          </w:p>
        </w:tc>
        <w:tc>
          <w:tcPr>
            <w:tcW w:w="3270" w:type="dxa"/>
            <w:vAlign w:val="center"/>
          </w:tcPr>
          <w:p w:rsidR="00814838" w:rsidRDefault="00EC2E83">
            <w:pPr>
              <w:tabs>
                <w:tab w:val="left" w:pos="426"/>
              </w:tabs>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Es competencia de la Dirección de Administración</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2910" w:type="dxa"/>
            <w:vAlign w:val="center"/>
          </w:tcPr>
          <w:p w:rsidR="00814838" w:rsidRDefault="00814838">
            <w:pPr>
              <w:pBdr>
                <w:top w:val="nil"/>
                <w:left w:val="nil"/>
                <w:bottom w:val="nil"/>
                <w:right w:val="nil"/>
                <w:between w:val="nil"/>
              </w:pBdr>
              <w:tabs>
                <w:tab w:val="left" w:pos="426"/>
              </w:tabs>
              <w:ind w:left="33"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left="33"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Respecto al ejercicio fiscal 2025, se informa que se contó con un presupuesto económico etiquetado de manera exclusiva para las actividades específicas de poda, plantación, derribo y atención fitosanitaria del arbolado urbano.</w:t>
            </w:r>
          </w:p>
          <w:p w:rsidR="00814838" w:rsidRDefault="00814838">
            <w:pPr>
              <w:pBdr>
                <w:top w:val="nil"/>
                <w:left w:val="nil"/>
                <w:bottom w:val="nil"/>
                <w:right w:val="nil"/>
                <w:between w:val="nil"/>
              </w:pBdr>
              <w:tabs>
                <w:tab w:val="left" w:pos="426"/>
              </w:tabs>
              <w:ind w:left="33"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left="33"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 Dichas acciones fueron atendidas con recursos provenientes del presupuesto operativo general asignado al Departamento de Manejo y Permisos de Arbolado Urbano y Áreas Verdes Urbanas, el cual se ejerció de manera integral para el cumplimiento de sus atribuciones, de conformidad con lo establecido en el Código Financiero del Estado de México y Municipios, sin que exista una separación contable individual por tipo de actividad. En consecuencia, es posible precisar una cantidad </w:t>
            </w:r>
            <w:r>
              <w:rPr>
                <w:rFonts w:ascii="Palatino Linotype" w:eastAsia="Palatino Linotype" w:hAnsi="Palatino Linotype" w:cs="Palatino Linotype"/>
                <w:sz w:val="24"/>
                <w:szCs w:val="24"/>
              </w:rPr>
              <w:t>económica</w:t>
            </w:r>
            <w:r>
              <w:rPr>
                <w:rFonts w:ascii="Palatino Linotype" w:eastAsia="Palatino Linotype" w:hAnsi="Palatino Linotype" w:cs="Palatino Linotype"/>
                <w:color w:val="000000"/>
                <w:sz w:val="24"/>
                <w:szCs w:val="24"/>
              </w:rPr>
              <w:t xml:space="preserve"> específica utilizada en cada una de las actividades señaladas, al encontrarse presupuestadas y registradas de forma diferenciada. Las actividades de poda, plantación, derribo y atención fitosanitaria se ejecutaron con cargo a </w:t>
            </w:r>
            <w:r>
              <w:rPr>
                <w:rFonts w:ascii="Palatino Linotype" w:eastAsia="Palatino Linotype" w:hAnsi="Palatino Linotype" w:cs="Palatino Linotype"/>
                <w:color w:val="000000"/>
                <w:sz w:val="24"/>
                <w:szCs w:val="24"/>
              </w:rPr>
              <w:lastRenderedPageBreak/>
              <w:t xml:space="preserve">partidas relacionadas, conforme a criterios de eficiencia, racionalidad y control del gasto público, observando los lineamientos aplicables en materia de planeación, programación y ejercicio del presupuesto municipal. </w:t>
            </w:r>
          </w:p>
          <w:p w:rsidR="00814838" w:rsidRDefault="00814838">
            <w:pPr>
              <w:pBdr>
                <w:top w:val="nil"/>
                <w:left w:val="nil"/>
                <w:bottom w:val="nil"/>
                <w:right w:val="nil"/>
                <w:between w:val="nil"/>
              </w:pBdr>
              <w:tabs>
                <w:tab w:val="left" w:pos="426"/>
              </w:tabs>
              <w:ind w:left="33"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left="33"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relación con la existencia de otros medios de financiamiento para la adquisición de árboles o insumos relacionados, se informa que, de manera complementaria al presupuesto público, el Departamento puede recibir donaciones en especie y compensaciones por daño ambiental, previa autorización de la autoridad competente, mismas que se administran y aplican conforme a la normatividad vigente y se integran en los expedientes </w:t>
            </w:r>
            <w:r>
              <w:rPr>
                <w:rFonts w:ascii="Palatino Linotype" w:eastAsia="Palatino Linotype" w:hAnsi="Palatino Linotype" w:cs="Palatino Linotype"/>
                <w:color w:val="000000"/>
                <w:sz w:val="24"/>
                <w:szCs w:val="24"/>
              </w:rPr>
              <w:lastRenderedPageBreak/>
              <w:t>administrativos respectivos, en los cuales se identifica al benefactor o responsable de la aportación, como evidencia documental</w:t>
            </w:r>
          </w:p>
          <w:p w:rsidR="00814838" w:rsidRDefault="00814838">
            <w:pPr>
              <w:pBdr>
                <w:top w:val="nil"/>
                <w:left w:val="nil"/>
                <w:bottom w:val="nil"/>
                <w:right w:val="nil"/>
                <w:between w:val="nil"/>
              </w:pBdr>
              <w:tabs>
                <w:tab w:val="left" w:pos="426"/>
              </w:tabs>
              <w:ind w:left="720" w:right="2"/>
              <w:rPr>
                <w:rFonts w:ascii="Palatino Linotype" w:eastAsia="Palatino Linotype" w:hAnsi="Palatino Linotype" w:cs="Palatino Linotype"/>
                <w:b/>
                <w:bCs/>
                <w:color w:val="000000"/>
                <w:sz w:val="24"/>
                <w:szCs w:val="24"/>
              </w:rPr>
            </w:pP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2085"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Si, ya que se dio puntual contestación y se remitió el soporte documental correspondiente atendiendo la temporalidad a la fecha de la solicitud. </w:t>
            </w:r>
          </w:p>
        </w:tc>
      </w:tr>
      <w:tr w:rsidR="00814838" w:rsidTr="0031491A">
        <w:tc>
          <w:tcPr>
            <w:tcW w:w="2055" w:type="dxa"/>
            <w:vAlign w:val="center"/>
          </w:tcPr>
          <w:p w:rsidR="00814838" w:rsidRDefault="00814838">
            <w:pPr>
              <w:ind w:right="2"/>
              <w:jc w:val="both"/>
              <w:rPr>
                <w:rFonts w:ascii="Palatino Linotype" w:eastAsia="Palatino Linotype" w:hAnsi="Palatino Linotype" w:cs="Palatino Linotype"/>
                <w:sz w:val="24"/>
                <w:szCs w:val="24"/>
              </w:rPr>
            </w:pPr>
          </w:p>
          <w:p w:rsidR="00814838" w:rsidRDefault="00EC2E83">
            <w:pPr>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5. Anexar el inventario con el que recaban </w:t>
            </w:r>
            <w:r w:rsidR="0031491A">
              <w:rPr>
                <w:rFonts w:ascii="Palatino Linotype" w:eastAsia="Palatino Linotype" w:hAnsi="Palatino Linotype" w:cs="Palatino Linotype"/>
                <w:sz w:val="24"/>
                <w:szCs w:val="24"/>
              </w:rPr>
              <w:t>tantos</w:t>
            </w:r>
            <w:r>
              <w:rPr>
                <w:rFonts w:ascii="Palatino Linotype" w:eastAsia="Palatino Linotype" w:hAnsi="Palatino Linotype" w:cs="Palatino Linotype"/>
                <w:sz w:val="24"/>
                <w:szCs w:val="24"/>
              </w:rPr>
              <w:t xml:space="preserve"> datos físicos (altura, diámetro, volumen de copa) como biológicos para la gestión del arbolado urbano. Incorporar evidencia. </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3270"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Es competencia de la Dirección de Medio Ambiente</w:t>
            </w:r>
          </w:p>
        </w:tc>
        <w:tc>
          <w:tcPr>
            <w:tcW w:w="2910"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Se dio cuenta de lo solicitado, sin embargo, no se remitió el soporte documental. </w:t>
            </w:r>
          </w:p>
        </w:tc>
        <w:tc>
          <w:tcPr>
            <w:tcW w:w="2085" w:type="dxa"/>
            <w:vAlign w:val="center"/>
          </w:tcPr>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Parcialmente, ya que se dio puntual contestación a lo solicitado, sin embargo no remitió el soporte documental correspondiente.</w:t>
            </w:r>
          </w:p>
        </w:tc>
      </w:tr>
      <w:tr w:rsidR="00814838" w:rsidTr="0031491A">
        <w:tc>
          <w:tcPr>
            <w:tcW w:w="2055" w:type="dxa"/>
            <w:vAlign w:val="center"/>
          </w:tcPr>
          <w:p w:rsidR="00814838" w:rsidRDefault="00814838">
            <w:pPr>
              <w:ind w:right="2"/>
              <w:jc w:val="both"/>
              <w:rPr>
                <w:rFonts w:ascii="Palatino Linotype" w:eastAsia="Palatino Linotype" w:hAnsi="Palatino Linotype" w:cs="Palatino Linotype"/>
                <w:sz w:val="24"/>
                <w:szCs w:val="24"/>
              </w:rPr>
            </w:pPr>
          </w:p>
          <w:p w:rsidR="00814838" w:rsidRDefault="00EC2E83">
            <w:pPr>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6. Mencione las actividades (talleres, reuniones, cursos, charlas, reforestaciones en zonas urbanas) que promuevan las buenas prácticas </w:t>
            </w:r>
            <w:r>
              <w:rPr>
                <w:rFonts w:ascii="Palatino Linotype" w:eastAsia="Palatino Linotype" w:hAnsi="Palatino Linotype" w:cs="Palatino Linotype"/>
                <w:sz w:val="24"/>
                <w:szCs w:val="24"/>
              </w:rPr>
              <w:lastRenderedPageBreak/>
              <w:t>y el cuidado del arbolado urbano.</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3270" w:type="dxa"/>
            <w:vAlign w:val="center"/>
          </w:tcPr>
          <w:p w:rsidR="00814838" w:rsidRDefault="00EC2E83">
            <w:pPr>
              <w:tabs>
                <w:tab w:val="left" w:pos="426"/>
              </w:tabs>
              <w:ind w:right="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En la Dirección de Servicios Públicos hasta la fecha no existe ninguna formación, curso o especialización que promueva las prácticas de control del arbolado, en su caso sería a través de la Dirección de Medio Ambiente o por convocatorias externas o por parte del Gobierno del </w:t>
            </w:r>
            <w:r>
              <w:rPr>
                <w:rFonts w:ascii="Palatino Linotype" w:eastAsia="Palatino Linotype" w:hAnsi="Palatino Linotype" w:cs="Palatino Linotype"/>
                <w:sz w:val="24"/>
                <w:szCs w:val="24"/>
              </w:rPr>
              <w:lastRenderedPageBreak/>
              <w:t>Estado de México con la Dirección de Medio Ambiente.</w:t>
            </w:r>
          </w:p>
          <w:p w:rsidR="00814838" w:rsidRDefault="00814838">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p>
        </w:tc>
        <w:tc>
          <w:tcPr>
            <w:tcW w:w="2910"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Se informó de manera puntual, los talleres, reuniones, cursos, charlas, reforestaciones en zonas urbanas. </w:t>
            </w:r>
          </w:p>
        </w:tc>
        <w:tc>
          <w:tcPr>
            <w:tcW w:w="2085" w:type="dxa"/>
            <w:vAlign w:val="center"/>
          </w:tcPr>
          <w:p w:rsidR="00814838" w:rsidRDefault="00EC2E83">
            <w:pPr>
              <w:pBdr>
                <w:top w:val="nil"/>
                <w:left w:val="nil"/>
                <w:bottom w:val="nil"/>
                <w:right w:val="nil"/>
                <w:between w:val="nil"/>
              </w:pBdr>
              <w:tabs>
                <w:tab w:val="left" w:pos="426"/>
              </w:tabs>
              <w:ind w:right="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Si, ya que se dio atención a cada uno de los rubros solicitados. </w:t>
            </w:r>
          </w:p>
        </w:tc>
      </w:tr>
    </w:tbl>
    <w:p w:rsidR="0031491A" w:rsidRPr="0031491A" w:rsidRDefault="0031491A" w:rsidP="0031491A">
      <w:pPr>
        <w:pBdr>
          <w:top w:val="nil"/>
          <w:left w:val="nil"/>
          <w:bottom w:val="nil"/>
          <w:right w:val="nil"/>
          <w:between w:val="nil"/>
        </w:pBdr>
        <w:tabs>
          <w:tab w:val="left" w:pos="426"/>
        </w:tabs>
        <w:spacing w:line="360" w:lineRule="auto"/>
        <w:ind w:right="-1017"/>
        <w:jc w:val="both"/>
        <w:rPr>
          <w:color w:val="000000"/>
        </w:rPr>
      </w:pPr>
    </w:p>
    <w:p w:rsidR="00814838" w:rsidRDefault="00EC2E83">
      <w:pPr>
        <w:numPr>
          <w:ilvl w:val="0"/>
          <w:numId w:val="4"/>
        </w:numPr>
        <w:pBdr>
          <w:top w:val="nil"/>
          <w:left w:val="nil"/>
          <w:bottom w:val="nil"/>
          <w:right w:val="nil"/>
          <w:between w:val="nil"/>
        </w:pBdr>
        <w:tabs>
          <w:tab w:val="left" w:pos="426"/>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Precisado lo anterior, se advierte que con la información proporcionada no se puede tener por colmada en su totalidad la solicitud de información que nos ocupa, ya que como se plasmó en el cuadro que antecede, no se remitió de manera completa la información solicitada.</w:t>
      </w:r>
    </w:p>
    <w:p w:rsidR="00814838" w:rsidRDefault="00814838">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p>
    <w:p w:rsidR="00814838" w:rsidRDefault="00EC2E83">
      <w:pPr>
        <w:numPr>
          <w:ilvl w:val="0"/>
          <w:numId w:val="4"/>
        </w:numPr>
        <w:pBdr>
          <w:top w:val="nil"/>
          <w:left w:val="nil"/>
          <w:bottom w:val="nil"/>
          <w:right w:val="nil"/>
          <w:between w:val="nil"/>
        </w:pBdr>
        <w:tabs>
          <w:tab w:val="left" w:pos="426"/>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 En consecuencia de lo anterior, se ordena que se haga entrega de los servidores públicos referidos en respuesta, las certificaciones y títulos profesionales, así como el perfil académico, certificaciones, aptitudes técnicas de la planilla encargada de las áreas naturales y viveros referida en respuesta. </w:t>
      </w:r>
    </w:p>
    <w:p w:rsidR="00814838" w:rsidRDefault="00814838">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p>
    <w:p w:rsidR="00814838" w:rsidRDefault="00EC2E83">
      <w:pPr>
        <w:numPr>
          <w:ilvl w:val="0"/>
          <w:numId w:val="4"/>
        </w:numPr>
        <w:pBdr>
          <w:top w:val="nil"/>
          <w:left w:val="nil"/>
          <w:bottom w:val="nil"/>
          <w:right w:val="nil"/>
          <w:between w:val="nil"/>
        </w:pBdr>
        <w:tabs>
          <w:tab w:val="left" w:pos="426"/>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Atento a lo anterior, se advierte que el documentó que de manera enunciativa más no limitativa pudiera dar cuenta de lo solicitado, es la solicitud de empleo, ficha curricular, Curriculum vitae o documento análogo. </w:t>
      </w:r>
    </w:p>
    <w:p w:rsidR="00814838" w:rsidRDefault="00814838">
      <w:pPr>
        <w:tabs>
          <w:tab w:val="left" w:pos="426"/>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9"/>
        </w:num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Solicitud de empleo (emitida por la DRH)</w:t>
      </w:r>
    </w:p>
    <w:p w:rsidR="00814838" w:rsidRPr="0031491A" w:rsidRDefault="00EC2E83" w:rsidP="0031491A">
      <w:pPr>
        <w:pStyle w:val="Prrafodelista"/>
        <w:numPr>
          <w:ilvl w:val="0"/>
          <w:numId w:val="4"/>
        </w:numPr>
        <w:spacing w:line="360" w:lineRule="auto"/>
        <w:ind w:left="0" w:right="-1017" w:firstLine="0"/>
        <w:jc w:val="both"/>
        <w:rPr>
          <w:rFonts w:ascii="Palatino Linotype" w:eastAsia="Palatino Linotype" w:hAnsi="Palatino Linotype" w:cs="Palatino Linotype"/>
          <w:sz w:val="24"/>
          <w:szCs w:val="24"/>
        </w:rPr>
      </w:pPr>
      <w:r w:rsidRPr="0031491A">
        <w:rPr>
          <w:rFonts w:ascii="Palatino Linotype" w:eastAsia="Palatino Linotype" w:hAnsi="Palatino Linotype" w:cs="Palatino Linotype"/>
          <w:sz w:val="24"/>
          <w:szCs w:val="24"/>
        </w:rPr>
        <w:t xml:space="preserve">La solicitud de empleo es un documento físico o digital, que se estructura a modo de formulario y tiene como finalidad recoger información que el empleador requiere conocer del aspirante. En ese sentido, es importante mencionar que este documento se constituye por diversos datos personales como: nombre, domicilio particular, correo electrónico y número de teléfono particular e incluso, en ciertos formatos, información de estado de salud, hábitos </w:t>
      </w:r>
      <w:r w:rsidRPr="0031491A">
        <w:rPr>
          <w:rFonts w:ascii="Palatino Linotype" w:eastAsia="Palatino Linotype" w:hAnsi="Palatino Linotype" w:cs="Palatino Linotype"/>
          <w:sz w:val="24"/>
          <w:szCs w:val="24"/>
        </w:rPr>
        <w:lastRenderedPageBreak/>
        <w:t>personales o de consanguíneos, sin embargo, también da cuenta de información que en el presente caso resulta ser de interés público, como experiencia laboral y grados de estudio.</w:t>
      </w:r>
    </w:p>
    <w:p w:rsidR="0031491A" w:rsidRPr="0031491A" w:rsidRDefault="0031491A" w:rsidP="0031491A">
      <w:pPr>
        <w:spacing w:line="360" w:lineRule="auto"/>
        <w:ind w:right="-1017"/>
        <w:jc w:val="both"/>
        <w:rPr>
          <w:rFonts w:ascii="Palatino Linotype" w:eastAsia="Palatino Linotype" w:hAnsi="Palatino Linotype" w:cs="Palatino Linotype"/>
          <w:sz w:val="24"/>
          <w:szCs w:val="24"/>
        </w:rPr>
      </w:pPr>
    </w:p>
    <w:p w:rsidR="00814838" w:rsidRDefault="00EC2E83">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26. </w:t>
      </w:r>
      <w:r>
        <w:rPr>
          <w:rFonts w:ascii="Palatino Linotype" w:eastAsia="Palatino Linotype" w:hAnsi="Palatino Linotype" w:cs="Palatino Linotype"/>
          <w:sz w:val="24"/>
          <w:szCs w:val="24"/>
        </w:rPr>
        <w:t>Bajo este orden de ideas, este documento si bien, cuenta con datos personales que en nada abonan a la transparencia y rendición de cuentas, ya que atañen únicamente a la esfera privada del servidor público, también lo es que además de contener información que acredita el nivel académico o preparación de los servidores públicos, es un requisito indispensable de ingreso al servicio público, por lo que, su acceso toma relevancia al guardar relación directa con la contratación del servidor público y con el ejercicio de sus atribuciones.</w:t>
      </w:r>
    </w:p>
    <w:p w:rsidR="00814838" w:rsidRDefault="00814838">
      <w:pPr>
        <w:spacing w:line="360" w:lineRule="auto"/>
        <w:ind w:right="-1017"/>
        <w:jc w:val="both"/>
        <w:rPr>
          <w:rFonts w:ascii="Palatino Linotype" w:eastAsia="Palatino Linotype" w:hAnsi="Palatino Linotype" w:cs="Palatino Linotype"/>
          <w:b/>
          <w:bCs/>
          <w:sz w:val="24"/>
          <w:szCs w:val="24"/>
        </w:rPr>
      </w:pPr>
    </w:p>
    <w:p w:rsidR="00814838" w:rsidRDefault="00EC2E83">
      <w:pPr>
        <w:spacing w:line="360" w:lineRule="auto"/>
        <w:ind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 xml:space="preserve">27. </w:t>
      </w:r>
      <w:r>
        <w:rPr>
          <w:rFonts w:ascii="Palatino Linotype" w:eastAsia="Palatino Linotype" w:hAnsi="Palatino Linotype" w:cs="Palatino Linotype"/>
          <w:sz w:val="24"/>
          <w:szCs w:val="24"/>
        </w:rPr>
        <w:t>De esta manera, se trata de un documento de interés público, que contiene datos que actualizan la causal de clasificación establecida en el artículo 143, fracción I, de la Ley de Transparencia y Acceso a la Información Pública del Estado de México y Municipios, por lo tanto, deben proporcionarse en versión pública.</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spacing w:line="360" w:lineRule="auto"/>
        <w:ind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Ficha Curricular (máximo 2 cuartillas)</w:t>
      </w:r>
    </w:p>
    <w:p w:rsidR="00814838" w:rsidRDefault="00EC2E83">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28. </w:t>
      </w:r>
      <w:r>
        <w:rPr>
          <w:rFonts w:ascii="Palatino Linotype" w:eastAsia="Palatino Linotype" w:hAnsi="Palatino Linotype" w:cs="Palatino Linotype"/>
          <w:sz w:val="24"/>
          <w:szCs w:val="24"/>
        </w:rPr>
        <w:t>Ahora bien, “currículum” corresponde a una locución latina cuyo significado es:</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“carrera de vida”, Se usa como locución nominal masculina para designar la relación de los datos personales, formación académica, actividad laboral y méritos de una persona.” (Sic)</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De la interpretación a esta definición se desprende que el currículum vitae está relacionado con la hoja de vida o carrera de vida de una persona, donde se podría apreciar la preparación académica y laboral que tiene, además de los méritos obtenidos tal y como podrían ser cursos, certificaciones o capacitaciones.</w:t>
      </w: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lastRenderedPageBreak/>
        <w:t xml:space="preserve">Por su lado, la Real Academia Española, lo define como a continuación se cita: </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“Relación de los títulos, honores, cargos, trabajos realizados, datos biográficos, etc, que califican a una persona” (Sic)</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 xml:space="preserve">Desde esta perspectiva, a través del currículum vite la particular puede advertir los estudios realizados o bien el nivel académico, así como la experiencia laboral de los servidores públicos que se encuentran adscritos al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información que es de carácter público de conformidad con el criterio 03/2009, emitido por el entonces Instituto Federal de Acceso a la Información y Protección de Datos (IFAI), ahora Instituto Nacional de Transparencia Acceso a la Información Pública y Protección de Datos Personales (INAI), que establece que una de las formas en que los ciudadanos puedan evaluar las aptitudes de los servidores públicos para desempeñar el cargo público que les ha sido encomendado, es mediante la publicidad de ciertos datos contenidos en los currículos, o bien en las solicitudes de empleo, el cual, para mayor ilustración se transcribe a continuación:</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Curriculum Vitae de servidores públicos</w:t>
      </w:r>
      <w:r>
        <w:rPr>
          <w:rFonts w:ascii="Palatino Linotype" w:eastAsia="Palatino Linotype" w:hAnsi="Palatino Linotype" w:cs="Palatino Linotype"/>
          <w:i/>
          <w:iCs/>
          <w:sz w:val="24"/>
          <w:szCs w:val="24"/>
        </w:rPr>
        <w:t xml:space="preserve">.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w:t>
      </w:r>
      <w:r>
        <w:rPr>
          <w:rFonts w:ascii="Palatino Linotype" w:eastAsia="Palatino Linotype" w:hAnsi="Palatino Linotype" w:cs="Palatino Linotype"/>
          <w:i/>
          <w:iCs/>
          <w:sz w:val="24"/>
          <w:szCs w:val="24"/>
        </w:rPr>
        <w:lastRenderedPageBreak/>
        <w:t>académica, profesional, laboral, así como todos aquellos que acrediten su capacidad, habilidades o pericia para ocupar el cargo público.” (Sic)</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Del cual se advierte que si bien en el currículum vitae se describe información de una persona relacionada con su formación académica, trayectoria profesional y datos de contacto entre otros que pudieran constituir datos personales; tratándose de servidores públicos, el conocimiento de los mismos por los gobernados contribuye a la evaluación de sus aptitudes de acuerdo a su nivel profesional y laboral, para el desempeño de sus funciones en el cargo que ostenten, razón que resulta suficiente para que sean de conocimiento público y si bien es cierto que no existe disposición legal que ordene de manera expresa que el sujeto obligado, deba contar en sus archivos con un documento denominado “currículum vitae” de sus servidores públicos, también lo es que para el desempeño de un empleo, cargo o comisión en el servicio público sí es requisito, entre otros, presentar una solicitud del empleo, como se desprende del artículo 47 fracción I de la Ley del Trabajo para los Servidores Públicos del Estado y Municipios.</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Por lo que es posible determinar que, el currículum vítae contienen información relacionada con la trayectoria académica, profesional y laboral, por medio del cual se acredita la capacidad, habilidades, experiencia o pericia de una persona para ocupar un cargo, puesto o comisión, que permitan realizar una comparación de las actividades que ha realizado con las que habrá de desarrollar, y determinar si cumple con el perfil del cargo a ocupar.</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 xml:space="preserve">En el caso de la ficha curricular, se trata de la síntesis del currículo. En esa tesitura, debe apuntarse que la información curricular constituye una obligación de transparencia, pues </w:t>
      </w:r>
      <w:r>
        <w:rPr>
          <w:rFonts w:ascii="Palatino Linotype" w:eastAsia="Palatino Linotype" w:hAnsi="Palatino Linotype" w:cs="Palatino Linotype"/>
          <w:b/>
          <w:bCs/>
          <w:sz w:val="24"/>
          <w:szCs w:val="24"/>
        </w:rPr>
        <w:t>EL SUJETO OBLIGADO</w:t>
      </w:r>
      <w:r>
        <w:rPr>
          <w:rFonts w:ascii="Palatino Linotype" w:eastAsia="Palatino Linotype" w:hAnsi="Palatino Linotype" w:cs="Palatino Linotype"/>
          <w:sz w:val="24"/>
          <w:szCs w:val="24"/>
        </w:rPr>
        <w:t xml:space="preserve"> se encuentra constreñido a poner a disposición del público en su portal </w:t>
      </w:r>
      <w:r>
        <w:rPr>
          <w:rFonts w:ascii="Palatino Linotype" w:eastAsia="Palatino Linotype" w:hAnsi="Palatino Linotype" w:cs="Palatino Linotype"/>
          <w:sz w:val="24"/>
          <w:szCs w:val="24"/>
        </w:rPr>
        <w:lastRenderedPageBreak/>
        <w:t xml:space="preserve">de Información Pública de Oficio Mexiquense (IPOMEX), la información curricular de sus servidores públicos, ello con la finalidad de enaltecer los principios de máxima publicidad, transparencia y certeza, como lo estipula  el artículo 92, fracción XXI de la ley aplicable a la materia, que es del tenor literal siguiente: </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 “Artículo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XXI. La información curricular, desde el nivel de jefe de departamento o equivalente, hasta el titular del sujeto obligado, así como, en su caso, las sanciones administrativas de que haya sido objeto;”(Sic)</w:t>
      </w:r>
    </w:p>
    <w:p w:rsidR="00814838" w:rsidRDefault="00814838">
      <w:pPr>
        <w:tabs>
          <w:tab w:val="left" w:pos="426"/>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10"/>
        </w:num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Firma de servidores públicos en comprobantes de estudio</w:t>
      </w: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rsidR="00814838" w:rsidRDefault="00EC2E83">
      <w:pPr>
        <w:tabs>
          <w:tab w:val="left" w:pos="4962"/>
        </w:tabs>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w:t>
      </w: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w:t>
      </w:r>
    </w:p>
    <w:p w:rsidR="00814838" w:rsidRDefault="00814838">
      <w:pPr>
        <w:tabs>
          <w:tab w:val="left" w:pos="496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rPr>
          <w:color w:val="000000"/>
        </w:rPr>
      </w:pPr>
      <w:r>
        <w:rPr>
          <w:rFonts w:ascii="Palatino Linotype" w:eastAsia="Palatino Linotype" w:hAnsi="Palatino Linotype" w:cs="Palatino Linotype"/>
          <w:sz w:val="24"/>
          <w:szCs w:val="24"/>
        </w:rPr>
        <w:t>La publicidad de dichos datos, se robustece, con el </w:t>
      </w:r>
      <w:r>
        <w:rPr>
          <w:rFonts w:ascii="Palatino Linotype" w:eastAsia="Palatino Linotype" w:hAnsi="Palatino Linotype" w:cs="Palatino Linotype"/>
          <w:color w:val="000000"/>
          <w:sz w:val="24"/>
          <w:szCs w:val="24"/>
        </w:rPr>
        <w:t xml:space="preserve">Criterio de Interpretación, de la Segunda Época, con clave de control SO/002/2019, emitido por el Instituto Nacional de </w:t>
      </w:r>
      <w:r>
        <w:rPr>
          <w:rFonts w:ascii="Palatino Linotype" w:eastAsia="Palatino Linotype" w:hAnsi="Palatino Linotype" w:cs="Palatino Linotype"/>
          <w:color w:val="000000"/>
          <w:sz w:val="24"/>
          <w:szCs w:val="24"/>
        </w:rPr>
        <w:lastRenderedPageBreak/>
        <w:t>Transparencia, Acceso a la Información y Protección de Datos Personales, que establece lo siguiente:</w:t>
      </w:r>
    </w:p>
    <w:p w:rsidR="00814838" w:rsidRDefault="00EC2E83">
      <w:pPr>
        <w:spacing w:line="360" w:lineRule="auto"/>
        <w:ind w:left="1134"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i/>
          <w:iCs/>
          <w:sz w:val="24"/>
          <w:szCs w:val="24"/>
        </w:rPr>
        <w:t>“Firma y rúbrica de servidores públicos.</w:t>
      </w:r>
      <w:r>
        <w:rPr>
          <w:rFonts w:ascii="Palatino Linotype" w:eastAsia="Palatino Linotype" w:hAnsi="Palatino Linotype" w:cs="Palatino Linotype"/>
          <w:i/>
          <w:iCs/>
          <w:sz w:val="24"/>
          <w:szCs w:val="24"/>
        </w:rPr>
        <w:t> Si bien la firma y la rúbrica son datos personales confidenciales, cuando un servidor público emite un acto como autoridad, en ejercicio de las funciones que tiene conferidas, la firma o rúbrica mediante la cual se valida dicho acto es pública.”</w:t>
      </w:r>
    </w:p>
    <w:p w:rsidR="00814838" w:rsidRDefault="00EC2E83">
      <w:pPr>
        <w:tabs>
          <w:tab w:val="left" w:pos="4962"/>
        </w:tabs>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w:t>
      </w: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la aceptación de un grado o nivel académico. </w:t>
      </w:r>
    </w:p>
    <w:p w:rsidR="00814838" w:rsidRDefault="00814838">
      <w:pPr>
        <w:widowControl w:val="0"/>
        <w:tabs>
          <w:tab w:val="center" w:pos="452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10"/>
        </w:numPr>
        <w:spacing w:line="360" w:lineRule="auto"/>
        <w:ind w:right="-1017"/>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Fotografías de los servidores públicos. </w:t>
      </w: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814838" w:rsidRDefault="00814838">
      <w:pPr>
        <w:tabs>
          <w:tab w:val="left" w:pos="496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w:t>
      </w:r>
      <w:r>
        <w:rPr>
          <w:rFonts w:ascii="Palatino Linotype" w:eastAsia="Palatino Linotype" w:hAnsi="Palatino Linotype" w:cs="Palatino Linotype"/>
          <w:sz w:val="24"/>
          <w:szCs w:val="24"/>
        </w:rPr>
        <w:lastRenderedPageBreak/>
        <w:t>individual; lo que en el presente caso, acreditará e identificaría a una persona como servidor público, por lo que es posible advertir que existe cierto interés público, cuando la fotografía obra en documentos de servidores públicos vinculados con el cumplimiento de disposiciones legales.</w:t>
      </w:r>
    </w:p>
    <w:p w:rsidR="00814838" w:rsidRDefault="00814838">
      <w:pPr>
        <w:tabs>
          <w:tab w:val="left" w:pos="496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rsidR="00814838" w:rsidRDefault="00814838">
      <w:pPr>
        <w:tabs>
          <w:tab w:val="left" w:pos="496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rsidR="00814838" w:rsidRDefault="00814838">
      <w:pPr>
        <w:tabs>
          <w:tab w:val="left" w:pos="496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w:t>
      </w:r>
      <w:r>
        <w:rPr>
          <w:rFonts w:ascii="Palatino Linotype" w:eastAsia="Palatino Linotype" w:hAnsi="Palatino Linotype" w:cs="Palatino Linotype"/>
          <w:sz w:val="24"/>
          <w:szCs w:val="24"/>
        </w:rPr>
        <w:lastRenderedPageBreak/>
        <w:t xml:space="preserve">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814838" w:rsidRDefault="00814838">
      <w:pPr>
        <w:tabs>
          <w:tab w:val="left" w:pos="496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814838" w:rsidRDefault="00814838">
      <w:pPr>
        <w:tabs>
          <w:tab w:val="left" w:pos="4962"/>
        </w:tabs>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pPr>
      <w:r>
        <w:rPr>
          <w:rFonts w:ascii="Palatino Linotype" w:eastAsia="Palatino Linotype" w:hAnsi="Palatino Linotype" w:cs="Palatino Linotype"/>
          <w:sz w:val="24"/>
          <w:szCs w:val="24"/>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numPr>
          <w:ilvl w:val="0"/>
          <w:numId w:val="8"/>
        </w:numPr>
        <w:spacing w:line="360" w:lineRule="auto"/>
        <w:ind w:left="0" w:right="-1017"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 </w:t>
      </w:r>
    </w:p>
    <w:p w:rsidR="00814838" w:rsidRDefault="00EC2E83">
      <w:pPr>
        <w:numPr>
          <w:ilvl w:val="0"/>
          <w:numId w:val="8"/>
        </w:numPr>
        <w:spacing w:line="360" w:lineRule="auto"/>
        <w:ind w:left="0" w:right="-1017" w:firstLine="0"/>
        <w:jc w:val="both"/>
        <w:rPr>
          <w:color w:val="000000"/>
        </w:rPr>
      </w:pPr>
      <w:r>
        <w:rPr>
          <w:rFonts w:ascii="Palatino Linotype" w:eastAsia="Palatino Linotype" w:hAnsi="Palatino Linotype" w:cs="Palatino Linotype"/>
          <w:sz w:val="24"/>
          <w:szCs w:val="24"/>
        </w:rPr>
        <w:lastRenderedPageBreak/>
        <w:t>Así</w:t>
      </w:r>
      <w:r>
        <w:rPr>
          <w:rFonts w:ascii="Palatino Linotype" w:eastAsia="Palatino Linotype" w:hAnsi="Palatino Linotype" w:cs="Palatino Linotype"/>
          <w:color w:val="000000"/>
          <w:sz w:val="24"/>
          <w:szCs w:val="24"/>
        </w:rPr>
        <w:t xml:space="preserve">, el Sujeto Obligado </w:t>
      </w:r>
      <w:r>
        <w:rPr>
          <w:rFonts w:ascii="Palatino Linotype" w:eastAsia="Palatino Linotype" w:hAnsi="Palatino Linotype" w:cs="Palatino Linotype"/>
          <w:sz w:val="24"/>
          <w:szCs w:val="24"/>
        </w:rPr>
        <w:t>debe</w:t>
      </w:r>
      <w:r>
        <w:rPr>
          <w:rFonts w:ascii="Palatino Linotype" w:eastAsia="Palatino Linotype" w:hAnsi="Palatino Linotype" w:cs="Palatino Linotype"/>
          <w:color w:val="000000"/>
          <w:sz w:val="24"/>
          <w:szCs w:val="24"/>
        </w:rPr>
        <w:t xml:space="preserve"> proporcionar los documento en donde se clasifique la información confidencial, por lo que, deberá elaborar la versión pública respectiva; lo anterior, pues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rsidR="00814838" w:rsidRDefault="00814838">
      <w:pPr>
        <w:spacing w:line="360" w:lineRule="auto"/>
        <w:ind w:right="-1017"/>
        <w:jc w:val="both"/>
        <w:rPr>
          <w:rFonts w:ascii="Palatino Linotype" w:eastAsia="Palatino Linotype" w:hAnsi="Palatino Linotype" w:cs="Palatino Linotype"/>
          <w:color w:val="000000"/>
          <w:sz w:val="24"/>
          <w:szCs w:val="24"/>
        </w:rPr>
      </w:pPr>
    </w:p>
    <w:p w:rsidR="00814838" w:rsidRDefault="00EC2E83">
      <w:pPr>
        <w:numPr>
          <w:ilvl w:val="0"/>
          <w:numId w:val="8"/>
        </w:numPr>
        <w:spacing w:line="360" w:lineRule="auto"/>
        <w:ind w:left="0" w:right="-1017" w:firstLine="0"/>
        <w:jc w:val="both"/>
        <w:rPr>
          <w:color w:val="000000"/>
        </w:rPr>
      </w:pPr>
      <w:r>
        <w:rPr>
          <w:rFonts w:ascii="Palatino Linotype" w:eastAsia="Palatino Linotype" w:hAnsi="Palatino Linotype" w:cs="Palatino Linotype"/>
          <w:color w:val="000000"/>
          <w:sz w:val="24"/>
          <w:szCs w:val="24"/>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814838" w:rsidRDefault="00814838">
      <w:pPr>
        <w:spacing w:line="360" w:lineRule="auto"/>
        <w:ind w:right="-1017"/>
        <w:jc w:val="both"/>
        <w:rPr>
          <w:rFonts w:ascii="Palatino Linotype" w:eastAsia="Palatino Linotype" w:hAnsi="Palatino Linotype" w:cs="Palatino Linotype"/>
          <w:color w:val="000000"/>
          <w:sz w:val="24"/>
          <w:szCs w:val="24"/>
        </w:rPr>
      </w:pPr>
    </w:p>
    <w:p w:rsidR="00814838" w:rsidRDefault="00EC2E83">
      <w:pPr>
        <w:numPr>
          <w:ilvl w:val="0"/>
          <w:numId w:val="8"/>
        </w:numPr>
        <w:spacing w:line="360" w:lineRule="auto"/>
        <w:ind w:left="0" w:right="-1017" w:firstLine="0"/>
        <w:jc w:val="both"/>
        <w:rPr>
          <w:color w:val="000000"/>
        </w:rPr>
      </w:pPr>
      <w:r>
        <w:rPr>
          <w:rFonts w:ascii="Palatino Linotype" w:eastAsia="Palatino Linotype" w:hAnsi="Palatino Linotype" w:cs="Palatino Linotype"/>
          <w:color w:val="000000"/>
          <w:sz w:val="24"/>
          <w:szCs w:val="24"/>
        </w:rPr>
        <w:t>Respecto del numeral 3 señalado en la solicitud de información que nos ocupa, se advierte que la información se remitió en formato cerrado, por lo que no se puede tener por colmado el rubro en comento, es así que resulta necesario referir lo siguiente:</w:t>
      </w:r>
    </w:p>
    <w:p w:rsidR="00814838" w:rsidRDefault="00814838">
      <w:pPr>
        <w:spacing w:line="360" w:lineRule="auto"/>
        <w:ind w:right="-1017"/>
        <w:jc w:val="both"/>
        <w:rPr>
          <w:rFonts w:ascii="Palatino Linotype" w:eastAsia="Palatino Linotype" w:hAnsi="Palatino Linotype" w:cs="Palatino Linotype"/>
          <w:color w:val="000000"/>
          <w:sz w:val="24"/>
          <w:szCs w:val="24"/>
        </w:rPr>
      </w:pPr>
    </w:p>
    <w:p w:rsidR="00814838" w:rsidRDefault="00EC2E83" w:rsidP="0031491A">
      <w:pPr>
        <w:numPr>
          <w:ilvl w:val="0"/>
          <w:numId w:val="8"/>
        </w:numPr>
        <w:pBdr>
          <w:top w:val="nil"/>
          <w:left w:val="nil"/>
          <w:bottom w:val="nil"/>
          <w:right w:val="nil"/>
          <w:between w:val="nil"/>
        </w:pBdr>
        <w:tabs>
          <w:tab w:val="left" w:pos="142"/>
        </w:tabs>
        <w:spacing w:line="360" w:lineRule="auto"/>
        <w:ind w:left="141" w:right="-1017" w:hanging="141"/>
        <w:jc w:val="both"/>
        <w:rPr>
          <w:color w:val="000000"/>
          <w:sz w:val="24"/>
          <w:szCs w:val="24"/>
        </w:rPr>
      </w:pPr>
      <w:r>
        <w:rPr>
          <w:rFonts w:ascii="Palatino Linotype" w:eastAsia="Palatino Linotype" w:hAnsi="Palatino Linotype" w:cs="Palatino Linotype"/>
          <w:color w:val="000000"/>
          <w:sz w:val="24"/>
          <w:szCs w:val="24"/>
        </w:rPr>
        <w:t xml:space="preserve">Ahora bien, respecto de los motivos de inconformidad hechos valer por el ahora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 se advierte lo siguiente:</w:t>
      </w:r>
    </w:p>
    <w:p w:rsidR="00814838" w:rsidRDefault="00814838">
      <w:pPr>
        <w:ind w:right="-1017"/>
        <w:rPr>
          <w:rFonts w:ascii="Palatino Linotype" w:eastAsia="Palatino Linotype" w:hAnsi="Palatino Linotype" w:cs="Palatino Linotype"/>
          <w:b/>
          <w:bCs/>
          <w:sz w:val="24"/>
          <w:szCs w:val="24"/>
        </w:rPr>
      </w:pPr>
    </w:p>
    <w:p w:rsidR="00814838" w:rsidRDefault="00EC2E83">
      <w:pPr>
        <w:numPr>
          <w:ilvl w:val="0"/>
          <w:numId w:val="8"/>
        </w:numPr>
        <w:pBdr>
          <w:top w:val="nil"/>
          <w:left w:val="nil"/>
          <w:bottom w:val="nil"/>
          <w:right w:val="nil"/>
          <w:between w:val="nil"/>
        </w:pBdr>
        <w:tabs>
          <w:tab w:val="left" w:pos="1"/>
        </w:tabs>
        <w:spacing w:line="360" w:lineRule="auto"/>
        <w:ind w:left="0" w:right="-1017" w:firstLine="0"/>
        <w:jc w:val="both"/>
        <w:rPr>
          <w:color w:val="000000"/>
          <w:sz w:val="24"/>
          <w:szCs w:val="24"/>
        </w:rPr>
      </w:pPr>
      <w:r>
        <w:rPr>
          <w:rFonts w:ascii="Palatino Linotype" w:eastAsia="Palatino Linotype" w:hAnsi="Palatino Linotype" w:cs="Palatino Linotype"/>
          <w:color w:val="000000"/>
          <w:sz w:val="24"/>
          <w:szCs w:val="24"/>
        </w:rPr>
        <w:t xml:space="preserve">En primera instancia, este Organismo Garante considera importante referir que de la liga electrónica proporcionada en respuesta no puede tenerse por válida, toda vez que el enlace </w:t>
      </w:r>
      <w:r>
        <w:rPr>
          <w:rFonts w:ascii="Palatino Linotype" w:eastAsia="Palatino Linotype" w:hAnsi="Palatino Linotype" w:cs="Palatino Linotype"/>
          <w:color w:val="000000"/>
          <w:sz w:val="24"/>
          <w:szCs w:val="24"/>
        </w:rPr>
        <w:lastRenderedPageBreak/>
        <w:t>electrónico debe ser preciso y directo, sin embargo, en el caso particular, al corresponder a un documento PDF en formato de imagen no editable, pierde su característica de ser directo.</w:t>
      </w:r>
    </w:p>
    <w:p w:rsidR="00814838" w:rsidRDefault="00814838">
      <w:pPr>
        <w:spacing w:line="360" w:lineRule="auto"/>
        <w:ind w:right="-1017"/>
        <w:jc w:val="both"/>
        <w:rPr>
          <w:color w:val="000000"/>
          <w:sz w:val="24"/>
          <w:szCs w:val="24"/>
        </w:rPr>
      </w:pPr>
    </w:p>
    <w:p w:rsidR="00814838" w:rsidRDefault="00EC2E83">
      <w:pPr>
        <w:numPr>
          <w:ilvl w:val="0"/>
          <w:numId w:val="8"/>
        </w:numPr>
        <w:pBdr>
          <w:top w:val="nil"/>
          <w:left w:val="nil"/>
          <w:bottom w:val="nil"/>
          <w:right w:val="nil"/>
          <w:between w:val="nil"/>
        </w:pBdr>
        <w:tabs>
          <w:tab w:val="left" w:pos="426"/>
        </w:tabs>
        <w:spacing w:line="360" w:lineRule="auto"/>
        <w:ind w:left="0" w:right="-1017" w:firstLine="0"/>
        <w:jc w:val="both"/>
        <w:rPr>
          <w:color w:val="000000"/>
          <w:sz w:val="24"/>
          <w:szCs w:val="24"/>
        </w:rPr>
      </w:pPr>
      <w:r>
        <w:rPr>
          <w:rFonts w:ascii="Palatino Linotype" w:eastAsia="Palatino Linotype" w:hAnsi="Palatino Linotype" w:cs="Palatino Linotype"/>
          <w:color w:val="000000"/>
          <w:sz w:val="24"/>
          <w:szCs w:val="24"/>
        </w:rPr>
        <w:t>En ese sentido, de conformidad a lo establecido por los artículos 11 y 161 de la Ley de Transparencia y Acceso a la Información Pública del Estado de México y Municipios, en lo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rsidR="00814838" w:rsidRDefault="00EC2E83">
      <w:pPr>
        <w:pBdr>
          <w:top w:val="nil"/>
          <w:left w:val="nil"/>
          <w:bottom w:val="nil"/>
          <w:right w:val="nil"/>
          <w:between w:val="nil"/>
        </w:pBdr>
        <w:ind w:left="567" w:right="-1017"/>
        <w:jc w:val="both"/>
        <w:rPr>
          <w:b/>
          <w:bCs/>
          <w:color w:val="000000"/>
          <w:sz w:val="24"/>
          <w:szCs w:val="24"/>
        </w:rPr>
      </w:pPr>
      <w:r>
        <w:rPr>
          <w:rFonts w:ascii="Palatino Linotype" w:eastAsia="Palatino Linotype" w:hAnsi="Palatino Linotype" w:cs="Palatino Linotype"/>
          <w:b/>
          <w:bCs/>
          <w:i/>
          <w:iCs/>
          <w:color w:val="000000"/>
          <w:sz w:val="24"/>
          <w:szCs w:val="24"/>
        </w:rPr>
        <w:t xml:space="preserve">“Artículo 11. </w:t>
      </w:r>
      <w:r>
        <w:rPr>
          <w:rFonts w:ascii="Palatino Linotype" w:eastAsia="Palatino Linotype" w:hAnsi="Palatino Linotype" w:cs="Palatino Linotype"/>
          <w:b/>
          <w:bCs/>
          <w:i/>
          <w:iCs/>
          <w:color w:val="000000"/>
          <w:sz w:val="24"/>
          <w:szCs w:val="24"/>
          <w:u w:val="single"/>
        </w:rPr>
        <w:t>En la generación, publicación y entrega de información se deberá garantizar que ésta sea accesible, actualizada, completa, congruente, confiable, verificable, veraz, integral, oportuna y expedita</w:t>
      </w:r>
      <w:r>
        <w:rPr>
          <w:rFonts w:ascii="Palatino Linotype" w:eastAsia="Palatino Linotype" w:hAnsi="Palatino Linotype" w:cs="Palatino Linotype"/>
          <w:b/>
          <w:bCs/>
          <w:i/>
          <w:iCs/>
          <w:color w:val="000000"/>
          <w:sz w:val="24"/>
          <w:szCs w:val="24"/>
        </w:rPr>
        <w:t>, sujeta a un claro régimen de excepciones que deberá estar definido y ser además legítima y estrictamente necesaria en una sociedad democrática, por lo que atenderá las necesidades del derecho de acceso a la información de toda persona.</w:t>
      </w:r>
    </w:p>
    <w:p w:rsidR="00814838" w:rsidRDefault="00EC2E83">
      <w:pPr>
        <w:pBdr>
          <w:top w:val="nil"/>
          <w:left w:val="nil"/>
          <w:bottom w:val="nil"/>
          <w:right w:val="nil"/>
          <w:between w:val="nil"/>
        </w:pBdr>
        <w:ind w:left="567" w:right="-1017"/>
        <w:jc w:val="both"/>
        <w:rPr>
          <w:b/>
          <w:bCs/>
          <w:color w:val="000000"/>
          <w:sz w:val="24"/>
          <w:szCs w:val="24"/>
        </w:rPr>
      </w:pPr>
      <w:r>
        <w:rPr>
          <w:rFonts w:ascii="Palatino Linotype" w:eastAsia="Palatino Linotype" w:hAnsi="Palatino Linotype" w:cs="Palatino Linotype"/>
          <w:b/>
          <w:bCs/>
          <w:i/>
          <w:iCs/>
          <w:color w:val="000000"/>
          <w:sz w:val="24"/>
          <w:szCs w:val="24"/>
        </w:rPr>
        <w:t>[…]</w:t>
      </w:r>
    </w:p>
    <w:p w:rsidR="00814838" w:rsidRDefault="00814838">
      <w:pPr>
        <w:ind w:right="-1017"/>
        <w:rPr>
          <w:b/>
          <w:bCs/>
          <w:sz w:val="24"/>
          <w:szCs w:val="24"/>
        </w:rPr>
      </w:pPr>
    </w:p>
    <w:p w:rsidR="00814838" w:rsidRDefault="00EC2E83">
      <w:pPr>
        <w:pBdr>
          <w:top w:val="nil"/>
          <w:left w:val="nil"/>
          <w:bottom w:val="nil"/>
          <w:right w:val="nil"/>
          <w:between w:val="nil"/>
        </w:pBdr>
        <w:ind w:left="567" w:right="-1017"/>
        <w:jc w:val="both"/>
        <w:rPr>
          <w:b/>
          <w:bCs/>
          <w:color w:val="000000"/>
          <w:sz w:val="24"/>
          <w:szCs w:val="24"/>
        </w:rPr>
      </w:pPr>
      <w:r>
        <w:rPr>
          <w:rFonts w:ascii="Palatino Linotype" w:eastAsia="Palatino Linotype" w:hAnsi="Palatino Linotype" w:cs="Palatino Linotype"/>
          <w:b/>
          <w:bCs/>
          <w:i/>
          <w:iCs/>
          <w:color w:val="000000"/>
          <w:sz w:val="24"/>
          <w:szCs w:val="24"/>
        </w:rPr>
        <w:t xml:space="preserve">Artículo 161. </w:t>
      </w:r>
      <w:r>
        <w:rPr>
          <w:rFonts w:ascii="Palatino Linotype" w:eastAsia="Palatino Linotype" w:hAnsi="Palatino Linotype" w:cs="Palatino Linotype"/>
          <w:b/>
          <w:bCs/>
          <w:i/>
          <w:iCs/>
          <w:color w:val="000000"/>
          <w:sz w:val="24"/>
          <w:szCs w:val="24"/>
          <w:u w:val="single"/>
        </w:rPr>
        <w:t>Cuando la información requerida por el solicitante ya esté disponible al público</w:t>
      </w:r>
      <w:r>
        <w:rPr>
          <w:rFonts w:ascii="Palatino Linotype" w:eastAsia="Palatino Linotype" w:hAnsi="Palatino Linotype" w:cs="Palatino Linotype"/>
          <w:b/>
          <w:bCs/>
          <w:i/>
          <w:iCs/>
          <w:color w:val="000000"/>
          <w:sz w:val="24"/>
          <w:szCs w:val="24"/>
        </w:rPr>
        <w:t xml:space="preserve"> en medios impresos, tales como libros, compendios, trípticos, registros públicos, </w:t>
      </w:r>
      <w:r>
        <w:rPr>
          <w:rFonts w:ascii="Palatino Linotype" w:eastAsia="Palatino Linotype" w:hAnsi="Palatino Linotype" w:cs="Palatino Linotype"/>
          <w:b/>
          <w:bCs/>
          <w:i/>
          <w:iCs/>
          <w:color w:val="000000"/>
          <w:sz w:val="24"/>
          <w:szCs w:val="24"/>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(Sic)</w:t>
      </w:r>
    </w:p>
    <w:p w:rsidR="00814838" w:rsidRDefault="00814838">
      <w:pPr>
        <w:ind w:right="-1017"/>
        <w:rPr>
          <w:b/>
          <w:bCs/>
          <w:sz w:val="24"/>
          <w:szCs w:val="24"/>
        </w:rPr>
      </w:pPr>
    </w:p>
    <w:p w:rsidR="00814838" w:rsidRDefault="00EC2E83">
      <w:pPr>
        <w:numPr>
          <w:ilvl w:val="0"/>
          <w:numId w:val="8"/>
        </w:numPr>
        <w:pBdr>
          <w:top w:val="nil"/>
          <w:left w:val="nil"/>
          <w:bottom w:val="nil"/>
          <w:right w:val="nil"/>
          <w:between w:val="nil"/>
        </w:pBdr>
        <w:tabs>
          <w:tab w:val="left" w:pos="1"/>
        </w:tabs>
        <w:spacing w:line="360" w:lineRule="auto"/>
        <w:ind w:left="0" w:right="-1017" w:firstLine="0"/>
        <w:jc w:val="both"/>
        <w:rPr>
          <w:color w:val="000000"/>
          <w:sz w:val="24"/>
          <w:szCs w:val="24"/>
        </w:rPr>
      </w:pPr>
      <w:r>
        <w:rPr>
          <w:rFonts w:ascii="Palatino Linotype" w:eastAsia="Palatino Linotype" w:hAnsi="Palatino Linotype" w:cs="Palatino Linotype"/>
          <w:color w:val="000000"/>
          <w:sz w:val="24"/>
          <w:szCs w:val="24"/>
        </w:rPr>
        <w:t>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r>
        <w:rPr>
          <w:rFonts w:ascii="Palatino Linotype" w:eastAsia="Palatino Linotype" w:hAnsi="Palatino Linotype" w:cs="Palatino Linotype"/>
          <w:color w:val="000000"/>
          <w:sz w:val="24"/>
          <w:szCs w:val="24"/>
        </w:rPr>
        <w:tab/>
      </w:r>
    </w:p>
    <w:p w:rsidR="0031491A" w:rsidRDefault="00EC2E83" w:rsidP="0031491A">
      <w:pPr>
        <w:pStyle w:val="Prrafodelista"/>
        <w:numPr>
          <w:ilvl w:val="1"/>
          <w:numId w:val="8"/>
        </w:num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sz w:val="24"/>
          <w:szCs w:val="24"/>
        </w:rPr>
      </w:pPr>
      <w:r w:rsidRPr="0031491A">
        <w:rPr>
          <w:rFonts w:ascii="Palatino Linotype" w:eastAsia="Palatino Linotype" w:hAnsi="Palatino Linotype" w:cs="Palatino Linotype"/>
          <w:b/>
          <w:bCs/>
          <w:color w:val="000000"/>
          <w:sz w:val="24"/>
          <w:szCs w:val="24"/>
        </w:rPr>
        <w:lastRenderedPageBreak/>
        <w:t>La fuente</w:t>
      </w:r>
    </w:p>
    <w:p w:rsidR="0031491A" w:rsidRPr="0031491A" w:rsidRDefault="00EC2E83" w:rsidP="0031491A">
      <w:pPr>
        <w:pStyle w:val="Prrafodelista"/>
        <w:numPr>
          <w:ilvl w:val="1"/>
          <w:numId w:val="8"/>
        </w:num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sz w:val="24"/>
          <w:szCs w:val="24"/>
        </w:rPr>
      </w:pPr>
      <w:r w:rsidRPr="0031491A">
        <w:rPr>
          <w:rFonts w:ascii="Palatino Linotype" w:eastAsia="Palatino Linotype" w:hAnsi="Palatino Linotype" w:cs="Palatino Linotype"/>
          <w:b/>
          <w:bCs/>
          <w:color w:val="000000"/>
          <w:sz w:val="24"/>
          <w:szCs w:val="24"/>
        </w:rPr>
        <w:t xml:space="preserve">El lugar </w:t>
      </w:r>
      <w:r w:rsidRPr="0031491A">
        <w:rPr>
          <w:rFonts w:ascii="Palatino Linotype" w:eastAsia="Palatino Linotype" w:hAnsi="Palatino Linotype" w:cs="Palatino Linotype"/>
          <w:b/>
          <w:bCs/>
          <w:sz w:val="24"/>
          <w:szCs w:val="24"/>
        </w:rPr>
        <w:t xml:space="preserve">y </w:t>
      </w:r>
    </w:p>
    <w:p w:rsidR="00814838" w:rsidRPr="0031491A" w:rsidRDefault="00EC2E83" w:rsidP="0031491A">
      <w:pPr>
        <w:pStyle w:val="Prrafodelista"/>
        <w:numPr>
          <w:ilvl w:val="1"/>
          <w:numId w:val="8"/>
        </w:num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sz w:val="24"/>
          <w:szCs w:val="24"/>
        </w:rPr>
      </w:pPr>
      <w:r w:rsidRPr="0031491A">
        <w:rPr>
          <w:rFonts w:ascii="Palatino Linotype" w:eastAsia="Palatino Linotype" w:hAnsi="Palatino Linotype" w:cs="Palatino Linotype"/>
          <w:b/>
          <w:bCs/>
          <w:color w:val="000000"/>
          <w:sz w:val="24"/>
          <w:szCs w:val="24"/>
        </w:rPr>
        <w:t>La forma </w:t>
      </w:r>
    </w:p>
    <w:p w:rsidR="00814838" w:rsidRDefault="00814838">
      <w:pPr>
        <w:ind w:right="-1017"/>
        <w:rPr>
          <w:b/>
          <w:bCs/>
          <w:sz w:val="24"/>
          <w:szCs w:val="24"/>
        </w:rPr>
      </w:pPr>
    </w:p>
    <w:p w:rsidR="00814838" w:rsidRDefault="00EC2E83">
      <w:pPr>
        <w:pBdr>
          <w:top w:val="nil"/>
          <w:left w:val="nil"/>
          <w:bottom w:val="nil"/>
          <w:right w:val="nil"/>
          <w:between w:val="nil"/>
        </w:pBdr>
        <w:tabs>
          <w:tab w:val="left" w:pos="426"/>
        </w:tabs>
        <w:spacing w:line="360" w:lineRule="auto"/>
        <w:ind w:right="-1017"/>
        <w:jc w:val="both"/>
        <w:rPr>
          <w:rFonts w:ascii="Century Gothic" w:eastAsia="Century Gothic" w:hAnsi="Century Gothic" w:cs="Century Gothic"/>
          <w:color w:val="000000"/>
          <w:sz w:val="24"/>
          <w:szCs w:val="24"/>
        </w:rPr>
      </w:pPr>
      <w:r>
        <w:rPr>
          <w:rFonts w:ascii="Palatino Linotype" w:eastAsia="Palatino Linotype" w:hAnsi="Palatino Linotype" w:cs="Palatino Linotype"/>
          <w:b/>
          <w:bCs/>
          <w:sz w:val="24"/>
          <w:szCs w:val="24"/>
        </w:rPr>
        <w:t>54.</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Asimismo, se establece que la fuente de la información deberá ser:</w:t>
      </w:r>
    </w:p>
    <w:p w:rsidR="00814838" w:rsidRDefault="00EC2E83">
      <w:pPr>
        <w:numPr>
          <w:ilvl w:val="0"/>
          <w:numId w:val="1"/>
        </w:numPr>
        <w:pBdr>
          <w:top w:val="nil"/>
          <w:left w:val="nil"/>
          <w:bottom w:val="nil"/>
          <w:right w:val="nil"/>
          <w:between w:val="nil"/>
        </w:pBdr>
        <w:ind w:right="-101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Precisa</w:t>
      </w:r>
    </w:p>
    <w:p w:rsidR="00814838" w:rsidRDefault="00EC2E83">
      <w:pPr>
        <w:numPr>
          <w:ilvl w:val="0"/>
          <w:numId w:val="1"/>
        </w:numPr>
        <w:pBdr>
          <w:top w:val="nil"/>
          <w:left w:val="nil"/>
          <w:bottom w:val="nil"/>
          <w:right w:val="nil"/>
          <w:between w:val="nil"/>
        </w:pBdr>
        <w:ind w:right="-101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Concreta</w:t>
      </w:r>
    </w:p>
    <w:p w:rsidR="00814838" w:rsidRDefault="00EC2E83">
      <w:pPr>
        <w:numPr>
          <w:ilvl w:val="0"/>
          <w:numId w:val="1"/>
        </w:numPr>
        <w:pBdr>
          <w:top w:val="nil"/>
          <w:left w:val="nil"/>
          <w:bottom w:val="nil"/>
          <w:right w:val="nil"/>
          <w:between w:val="nil"/>
        </w:pBdr>
        <w:ind w:right="-101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Y no debe implicar que el solicitante realice una búsqueda en toda la información que se encuentre disponible.</w:t>
      </w:r>
    </w:p>
    <w:p w:rsidR="00814838" w:rsidRDefault="00814838">
      <w:pPr>
        <w:ind w:right="-1017"/>
        <w:rPr>
          <w:b/>
          <w:bCs/>
          <w:sz w:val="24"/>
          <w:szCs w:val="24"/>
        </w:rPr>
      </w:pPr>
    </w:p>
    <w:p w:rsidR="00814838" w:rsidRDefault="00EC2E83">
      <w:pPr>
        <w:pBdr>
          <w:top w:val="nil"/>
          <w:left w:val="nil"/>
          <w:bottom w:val="nil"/>
          <w:right w:val="nil"/>
          <w:between w:val="nil"/>
        </w:pBdr>
        <w:tabs>
          <w:tab w:val="left" w:pos="426"/>
        </w:tabs>
        <w:spacing w:line="360" w:lineRule="auto"/>
        <w:ind w:right="-1017"/>
        <w:jc w:val="both"/>
        <w:rPr>
          <w:rFonts w:ascii="Century Gothic" w:eastAsia="Century Gothic" w:hAnsi="Century Gothic" w:cs="Century Gothic"/>
          <w:color w:val="000000"/>
          <w:sz w:val="24"/>
          <w:szCs w:val="24"/>
        </w:rPr>
      </w:pPr>
      <w:r>
        <w:rPr>
          <w:rFonts w:ascii="Palatino Linotype" w:eastAsia="Palatino Linotype" w:hAnsi="Palatino Linotype" w:cs="Palatino Linotype"/>
          <w:b/>
          <w:bCs/>
          <w:sz w:val="24"/>
          <w:szCs w:val="24"/>
        </w:rPr>
        <w:t xml:space="preserve">55. </w:t>
      </w:r>
      <w:r>
        <w:rPr>
          <w:rFonts w:ascii="Palatino Linotype" w:eastAsia="Palatino Linotype" w:hAnsi="Palatino Linotype" w:cs="Palatino Linotype"/>
          <w:color w:val="000000"/>
          <w:sz w:val="24"/>
          <w:szCs w:val="24"/>
        </w:rPr>
        <w:t>Imperativos legales que establecen el procedimiento que debe seguir el Sujeto Obligado para que pueda tomarse como válida su orientación sobre la forma en que puede consultar la información requerida, y que, en el caso en concreto, no acontece; ello porque el Sujeto Obligado se limitó a indicar la dirección electrónica que conduce a la página oficial del Ayuntamiento de Tecámac, sin que señalara puntualmente donde se encuentra la información de la  Presidenta Municipal, lo que implica que  la fuente no es precisa; no es concreta, sino por el contrario ésta resulta abstracta y genera incertidumbre entre el cúmulo de información que se observa en la página; y por último, su fuente implica que el solicitante realice una búsqueda en toda la información que se encuentra disponible, lo que a todas luces transgrede el numeral citado.</w:t>
      </w:r>
    </w:p>
    <w:p w:rsidR="00814838" w:rsidRDefault="00814838">
      <w:pPr>
        <w:spacing w:line="360" w:lineRule="auto"/>
        <w:ind w:right="-1017"/>
        <w:rPr>
          <w:b/>
          <w:bCs/>
          <w:sz w:val="24"/>
          <w:szCs w:val="24"/>
        </w:rPr>
      </w:pPr>
    </w:p>
    <w:p w:rsidR="00814838" w:rsidRDefault="00EC2E83">
      <w:pPr>
        <w:pBdr>
          <w:top w:val="nil"/>
          <w:left w:val="nil"/>
          <w:bottom w:val="nil"/>
          <w:right w:val="nil"/>
          <w:between w:val="nil"/>
        </w:pBdr>
        <w:tabs>
          <w:tab w:val="left" w:pos="426"/>
        </w:tabs>
        <w:spacing w:line="360" w:lineRule="auto"/>
        <w:ind w:right="-1017"/>
        <w:jc w:val="both"/>
        <w:rPr>
          <w:rFonts w:ascii="Century Gothic" w:eastAsia="Century Gothic" w:hAnsi="Century Gothic" w:cs="Century Gothic"/>
          <w:color w:val="000000"/>
          <w:sz w:val="24"/>
          <w:szCs w:val="24"/>
        </w:rPr>
      </w:pPr>
      <w:r>
        <w:rPr>
          <w:rFonts w:ascii="Palatino Linotype" w:eastAsia="Palatino Linotype" w:hAnsi="Palatino Linotype" w:cs="Palatino Linotype"/>
          <w:b/>
          <w:bCs/>
          <w:sz w:val="24"/>
          <w:szCs w:val="24"/>
        </w:rPr>
        <w:t>56.</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Es por lo anterior que este Organismo Garante exhorta de manera respetuosa al Sujeto Obligado para que en futuras ocasiones que pretenda emplear ligas electrónicas para atender las solicitudes de información, se asegure de que dichos enlaces sean accesibles para los solicitantes, esto es, que puedan copiarse y pegarse con facilidad para su consulta y que remitan a la fuente concreta donde obra la información.</w:t>
      </w:r>
    </w:p>
    <w:p w:rsidR="00814838" w:rsidRDefault="00814838">
      <w:pPr>
        <w:pBdr>
          <w:top w:val="nil"/>
          <w:left w:val="nil"/>
          <w:bottom w:val="nil"/>
          <w:right w:val="nil"/>
          <w:between w:val="nil"/>
        </w:pBdr>
        <w:ind w:left="720" w:right="-1017"/>
        <w:rPr>
          <w:rFonts w:ascii="Century Gothic" w:eastAsia="Century Gothic" w:hAnsi="Century Gothic" w:cs="Century Gothic"/>
          <w:b/>
          <w:bCs/>
          <w:color w:val="000000"/>
          <w:sz w:val="24"/>
          <w:szCs w:val="24"/>
        </w:rPr>
      </w:pPr>
    </w:p>
    <w:p w:rsidR="00814838" w:rsidRDefault="00EC2E83">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sz w:val="24"/>
          <w:szCs w:val="24"/>
        </w:rPr>
        <w:lastRenderedPageBreak/>
        <w:t xml:space="preserve">57. </w:t>
      </w:r>
      <w:r>
        <w:rPr>
          <w:rFonts w:ascii="Palatino Linotype" w:eastAsia="Palatino Linotype" w:hAnsi="Palatino Linotype" w:cs="Palatino Linotype"/>
          <w:color w:val="000000"/>
          <w:sz w:val="24"/>
          <w:szCs w:val="24"/>
        </w:rPr>
        <w:t xml:space="preserve">Por lo que hace al numeral 5, se advierte que si bien es cierto, se dio puntual contestación a la información solicitada, no se remitió el soporte documental que dé cuenta de ello, por lo que resulta dable ordenar el soporte documental de la información remitida en respuesta. </w:t>
      </w:r>
    </w:p>
    <w:p w:rsidR="00814838" w:rsidRDefault="00814838">
      <w:pPr>
        <w:ind w:right="-1017"/>
        <w:rPr>
          <w:rFonts w:ascii="Palatino Linotype" w:eastAsia="Palatino Linotype" w:hAnsi="Palatino Linotype" w:cs="Palatino Linotype"/>
          <w:sz w:val="24"/>
          <w:szCs w:val="24"/>
        </w:rPr>
      </w:pPr>
    </w:p>
    <w:p w:rsidR="00814838" w:rsidRDefault="00814838">
      <w:pPr>
        <w:ind w:right="-1017"/>
        <w:rPr>
          <w:rFonts w:ascii="Palatino Linotype" w:eastAsia="Palatino Linotype" w:hAnsi="Palatino Linotype" w:cs="Palatino Linotype"/>
          <w:sz w:val="24"/>
          <w:szCs w:val="24"/>
        </w:rPr>
      </w:pPr>
    </w:p>
    <w:p w:rsidR="00814838" w:rsidRDefault="00EC2E83">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58. </w:t>
      </w:r>
      <w:r>
        <w:rPr>
          <w:rFonts w:ascii="Palatino Linotype" w:eastAsia="Palatino Linotype" w:hAnsi="Palatino Linotype" w:cs="Palatino Linotype"/>
          <w:sz w:val="24"/>
          <w:szCs w:val="24"/>
        </w:rPr>
        <w:t>Asimismo, se tiene que la Ley de Transparencia y Acceso a la Información Pública del Estado de México y Municipios, prevé en su artículo 23, lo siguiente:</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Artículo 23.</w:t>
      </w:r>
      <w:r>
        <w:rPr>
          <w:rFonts w:ascii="Palatino Linotype" w:eastAsia="Palatino Linotype" w:hAnsi="Palatino Linotype" w:cs="Palatino Linotype"/>
          <w:i/>
          <w:iCs/>
          <w:sz w:val="24"/>
          <w:szCs w:val="24"/>
        </w:rPr>
        <w:t xml:space="preserve"> Son sujetos obligados a transparentar y permitir el acceso a su información y proteger los datos personales que obren en su poder:</w:t>
      </w:r>
    </w:p>
    <w:p w:rsidR="00814838" w:rsidRDefault="00814838">
      <w:pPr>
        <w:spacing w:line="360" w:lineRule="auto"/>
        <w:ind w:left="567" w:right="-1017"/>
        <w:jc w:val="both"/>
        <w:rPr>
          <w:rFonts w:ascii="Palatino Linotype" w:eastAsia="Palatino Linotype" w:hAnsi="Palatino Linotype" w:cs="Palatino Linotype"/>
          <w:i/>
          <w:iCs/>
          <w:sz w:val="24"/>
          <w:szCs w:val="24"/>
        </w:rPr>
      </w:pP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 El Poder Ejecutivo del Estado de México, las dependencias, organismos auxiliares, órganos, entidades, fideicomisos y fondos públicos, así como la Procuraduría General de Justicia;</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II. El Poder Legislativo del Estado, los organismos, órganos y entidades de la Legislatura y sus dependencias;</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III. El Poder Judicial, sus organismos, órganos y entidades, así como el Consejo de la Judicatura del Estado;</w:t>
      </w:r>
    </w:p>
    <w:p w:rsidR="00814838" w:rsidRDefault="00EC2E83">
      <w:pPr>
        <w:spacing w:line="360" w:lineRule="auto"/>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IV. Los ayuntamientos y las dependencias, organismos, órganos y entidades de la administración municipal;</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V. Los órganos autónomos;</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VI. Los tribunales administrativos y autoridades jurisdiccionales en materia laboral;</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VII. Los partidos políticos y agrupaciones políticas, en los términos de las disposiciones aplicables;</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VIII. Los fideicomisos y fondos públicos que cuenten con financiamiento público, parcial o total, o con participación de entidades de gobierno;</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IX. Los sindicatos que reciban y/o ejerzan recursos públicos en el ámbito estatal y municipal;</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X. Cualquier persona física o jurídico colectiva que reciba y ejerza recursos públicos en el ámbito estatal o municipal; y</w:t>
      </w:r>
    </w:p>
    <w:p w:rsidR="00814838" w:rsidRDefault="00EC2E83">
      <w:pPr>
        <w:spacing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XI. Cualquier otra autoridad, entidad, órgano u organismo de los poderes estatal o municipal, que reciba recursos públicos.</w:t>
      </w:r>
    </w:p>
    <w:p w:rsidR="00814838" w:rsidRDefault="00814838">
      <w:pPr>
        <w:spacing w:line="360" w:lineRule="auto"/>
        <w:ind w:left="567" w:right="-1017"/>
        <w:jc w:val="both"/>
        <w:rPr>
          <w:rFonts w:ascii="Palatino Linotype" w:eastAsia="Palatino Linotype" w:hAnsi="Palatino Linotype" w:cs="Palatino Linotype"/>
          <w:i/>
          <w:iCs/>
          <w:sz w:val="24"/>
          <w:szCs w:val="24"/>
        </w:rPr>
      </w:pPr>
    </w:p>
    <w:p w:rsidR="00814838" w:rsidRDefault="00EC2E83">
      <w:pPr>
        <w:spacing w:line="360" w:lineRule="auto"/>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814838" w:rsidRDefault="00EC2E83">
      <w:pPr>
        <w:spacing w:line="360" w:lineRule="auto"/>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Los servidores públicos deberán transparentar sus acciones así como garantizar y respetar el derecho de acceso a la información pública.</w:t>
      </w:r>
    </w:p>
    <w:p w:rsidR="00814838" w:rsidRDefault="00EC2E83">
      <w:pPr>
        <w:spacing w:line="360" w:lineRule="auto"/>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(Énfasis añadido)</w:t>
      </w:r>
    </w:p>
    <w:p w:rsidR="00814838" w:rsidRDefault="00814838">
      <w:pPr>
        <w:spacing w:line="360" w:lineRule="auto"/>
        <w:ind w:right="-1017"/>
        <w:rPr>
          <w:rFonts w:ascii="Palatino Linotype" w:eastAsia="Palatino Linotype" w:hAnsi="Palatino Linotype" w:cs="Palatino Linotype"/>
          <w:sz w:val="24"/>
          <w:szCs w:val="24"/>
        </w:rPr>
      </w:pPr>
    </w:p>
    <w:p w:rsidR="00814838" w:rsidRDefault="00EC2E83">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59.</w:t>
      </w:r>
      <w:r>
        <w:rPr>
          <w:rFonts w:ascii="Palatino Linotype" w:eastAsia="Palatino Linotype" w:hAnsi="Palatino Linotype" w:cs="Palatino Linotype"/>
          <w:sz w:val="24"/>
          <w:szCs w:val="24"/>
        </w:rPr>
        <w:t xml:space="preserve"> En este sentido, de acuerdo a la naturaleza de la información solicitada se concluye que ésta es de interés general y de alcance público; asimismo, subrayar que la entrega debe ser de conformidad a lo establecido en el artículo 12 de la ley de la materia, como el propio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refirió, tocante a que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 efectuar cálculos o practicar investigaciones, aseveración que  no se comparte por este Órgano Resolutor pues se reitera que, esta información debe obrar en sus archivos de manera obligatoria.</w:t>
      </w:r>
    </w:p>
    <w:p w:rsidR="00814838" w:rsidRDefault="00EC2E83">
      <w:pPr>
        <w:spacing w:line="360" w:lineRule="auto"/>
        <w:ind w:right="-1017"/>
        <w:jc w:val="both"/>
        <w:rPr>
          <w:rFonts w:ascii="Palatino Linotype" w:eastAsia="Palatino Linotype" w:hAnsi="Palatino Linotype" w:cs="Palatino Linotype"/>
          <w:sz w:val="24"/>
          <w:szCs w:val="24"/>
          <w:u w:val="single"/>
        </w:rPr>
      </w:pPr>
      <w:r>
        <w:rPr>
          <w:rFonts w:ascii="Palatino Linotype" w:eastAsia="Palatino Linotype" w:hAnsi="Palatino Linotype" w:cs="Palatino Linotype"/>
          <w:b/>
          <w:bCs/>
          <w:sz w:val="24"/>
          <w:szCs w:val="24"/>
        </w:rPr>
        <w:lastRenderedPageBreak/>
        <w:t xml:space="preserve">60. </w:t>
      </w:r>
      <w:r>
        <w:rPr>
          <w:rFonts w:ascii="Palatino Linotype" w:eastAsia="Palatino Linotype" w:hAnsi="Palatino Linotype" w:cs="Palatino Linotype"/>
          <w:sz w:val="24"/>
          <w:szCs w:val="24"/>
        </w:rPr>
        <w:t xml:space="preserve">Ya que efectivamente deberá entregarse como obre en sus archivos, al no advertirse que se haya requerido alguna pretensión que sugiera que el hoy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aspire que se le entreguen documentos </w:t>
      </w:r>
      <w:r>
        <w:rPr>
          <w:rFonts w:ascii="Palatino Linotype" w:eastAsia="Palatino Linotype" w:hAnsi="Palatino Linotype" w:cs="Palatino Linotype"/>
          <w:i/>
          <w:iCs/>
          <w:sz w:val="24"/>
          <w:szCs w:val="24"/>
        </w:rPr>
        <w:t>ad hoc</w:t>
      </w:r>
      <w:r>
        <w:rPr>
          <w:rFonts w:ascii="Palatino Linotype" w:eastAsia="Palatino Linotype" w:hAnsi="Palatino Linotype" w:cs="Palatino Linotype"/>
          <w:sz w:val="24"/>
          <w:szCs w:val="24"/>
        </w:rPr>
        <w:t xml:space="preserve"> o que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deba realizar algún tipo de resumen o procesamiento de la misma; en ese sentido señalar que </w:t>
      </w:r>
      <w:r>
        <w:rPr>
          <w:rFonts w:ascii="Palatino Linotype" w:eastAsia="Palatino Linotype" w:hAnsi="Palatino Linotype" w:cs="Palatino Linotype"/>
          <w:sz w:val="24"/>
          <w:szCs w:val="24"/>
          <w:u w:val="single"/>
        </w:rPr>
        <w:t xml:space="preserve">la elaboración de versiones públicas no implica ningún procesamiento de la información, sino que atañe a una obligaciones de los sujetos obligados. </w:t>
      </w:r>
    </w:p>
    <w:p w:rsidR="00814838" w:rsidRDefault="00814838">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851"/>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61. </w:t>
      </w:r>
      <w:r>
        <w:rPr>
          <w:rFonts w:ascii="Palatino Linotype" w:eastAsia="Palatino Linotype" w:hAnsi="Palatino Linotype" w:cs="Palatino Linotype"/>
          <w:color w:val="000000"/>
          <w:sz w:val="24"/>
          <w:szCs w:val="24"/>
        </w:rPr>
        <w:t>En esa tesitura,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Century Gothic" w:eastAsia="Century Gothic" w:hAnsi="Century Gothic" w:cs="Century Gothic"/>
          <w:color w:val="000000"/>
          <w:sz w:val="24"/>
          <w:szCs w:val="24"/>
          <w:vertAlign w:val="superscript"/>
        </w:rPr>
        <w:footnoteReference w:id="5"/>
      </w:r>
      <w:r>
        <w:rPr>
          <w:rFonts w:ascii="Palatino Linotype" w:eastAsia="Palatino Linotype" w:hAnsi="Palatino Linotype" w:cs="Palatino Linotype"/>
          <w:color w:val="000000"/>
          <w:sz w:val="24"/>
          <w:szCs w:val="24"/>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814838" w:rsidRDefault="00814838">
      <w:pPr>
        <w:pBdr>
          <w:top w:val="nil"/>
          <w:left w:val="nil"/>
          <w:bottom w:val="nil"/>
          <w:right w:val="nil"/>
          <w:between w:val="nil"/>
        </w:pBdr>
        <w:tabs>
          <w:tab w:val="left" w:pos="851"/>
        </w:tabs>
        <w:spacing w:line="360" w:lineRule="auto"/>
        <w:ind w:right="-1017"/>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851"/>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62.</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814838" w:rsidRDefault="00EC2E83">
      <w:pPr>
        <w:pBdr>
          <w:top w:val="nil"/>
          <w:left w:val="nil"/>
          <w:bottom w:val="nil"/>
          <w:right w:val="nil"/>
          <w:between w:val="nil"/>
        </w:pBdr>
        <w:tabs>
          <w:tab w:val="left" w:pos="851"/>
        </w:tabs>
        <w:ind w:left="567"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“ACCESO A LA INFORMACIÓN. IMPLICACIÓN DEL PRINCIPIO DE MÁXIMA PUBLICIDAD EN EL DERECHO FUNDAMENTAL RELATIVO.</w:t>
      </w:r>
      <w:r>
        <w:rPr>
          <w:rFonts w:ascii="Palatino Linotype" w:eastAsia="Palatino Linotype" w:hAnsi="Palatino Linotype" w:cs="Palatino Linotype"/>
          <w:i/>
          <w:iCs/>
          <w:color w:val="000000"/>
          <w:sz w:val="24"/>
          <w:szCs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w:t>
      </w:r>
      <w:r>
        <w:rPr>
          <w:rFonts w:ascii="Palatino Linotype" w:eastAsia="Palatino Linotype" w:hAnsi="Palatino Linotype" w:cs="Palatino Linotype"/>
          <w:i/>
          <w:iCs/>
          <w:color w:val="000000"/>
          <w:sz w:val="24"/>
          <w:szCs w:val="24"/>
        </w:rPr>
        <w:lastRenderedPageBreak/>
        <w:t>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w:t>
      </w:r>
    </w:p>
    <w:p w:rsidR="00814838" w:rsidRDefault="00814838">
      <w:pPr>
        <w:pBdr>
          <w:top w:val="nil"/>
          <w:left w:val="nil"/>
          <w:bottom w:val="nil"/>
          <w:right w:val="nil"/>
          <w:between w:val="nil"/>
        </w:pBdr>
        <w:tabs>
          <w:tab w:val="left" w:pos="851"/>
        </w:tabs>
        <w:ind w:left="567" w:right="-1017"/>
        <w:jc w:val="both"/>
        <w:rPr>
          <w:rFonts w:ascii="Palatino Linotype" w:eastAsia="Palatino Linotype" w:hAnsi="Palatino Linotype" w:cs="Palatino Linotype"/>
          <w:i/>
          <w:iCs/>
          <w:color w:val="000000"/>
          <w:sz w:val="24"/>
          <w:szCs w:val="24"/>
        </w:rPr>
      </w:pPr>
    </w:p>
    <w:p w:rsidR="00814838" w:rsidRDefault="00EC2E83">
      <w:pPr>
        <w:pBdr>
          <w:top w:val="nil"/>
          <w:left w:val="nil"/>
          <w:bottom w:val="nil"/>
          <w:right w:val="nil"/>
          <w:between w:val="nil"/>
        </w:pBdr>
        <w:tabs>
          <w:tab w:val="left" w:pos="851"/>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63.</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Como se ha señalado, los sujetos obligados deberán proporcionar toda la información que se encuentre en su posesión bajo los estándares más altos de transparencia y máxima publicidad. </w:t>
      </w:r>
    </w:p>
    <w:p w:rsidR="00814838" w:rsidRDefault="00814838">
      <w:pPr>
        <w:pBdr>
          <w:top w:val="nil"/>
          <w:left w:val="nil"/>
          <w:bottom w:val="nil"/>
          <w:right w:val="nil"/>
          <w:between w:val="nil"/>
        </w:pBdr>
        <w:tabs>
          <w:tab w:val="left" w:pos="851"/>
        </w:tabs>
        <w:spacing w:line="360" w:lineRule="auto"/>
        <w:ind w:right="-1017"/>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64. </w:t>
      </w:r>
      <w:r>
        <w:rPr>
          <w:rFonts w:ascii="Palatino Linotype" w:eastAsia="Palatino Linotype" w:hAnsi="Palatino Linotype" w:cs="Palatino Linotype"/>
          <w:color w:val="000000"/>
          <w:sz w:val="24"/>
          <w:szCs w:val="24"/>
        </w:rPr>
        <w:t>Por su parte, la Constitución Política del Estado Libre y Soberano de México, en su artículo 5°, dispone en su parte conducente, lo siguiente:</w:t>
      </w:r>
    </w:p>
    <w:p w:rsidR="00814838" w:rsidRDefault="00EC2E83">
      <w:pPr>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 xml:space="preserve">Artículo 5. … </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El derecho a la información será garantizado por el Estado</w:t>
      </w:r>
      <w:r>
        <w:rPr>
          <w:rFonts w:ascii="Palatino Linotype" w:eastAsia="Palatino Linotype" w:hAnsi="Palatino Linotype" w:cs="Palatino Linotype"/>
          <w:i/>
          <w:iCs/>
          <w:sz w:val="24"/>
          <w:szCs w:val="24"/>
        </w:rPr>
        <w:t xml:space="preserve">. La ley establecerá las previsiones que permitan asegurar la protección, el respeto y la difusión de este derecho. </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814838" w:rsidRDefault="00814838">
      <w:pPr>
        <w:ind w:left="567" w:right="-1017"/>
        <w:jc w:val="both"/>
        <w:rPr>
          <w:rFonts w:ascii="Palatino Linotype" w:eastAsia="Palatino Linotype" w:hAnsi="Palatino Linotype" w:cs="Palatino Linotype"/>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Este derecho se regirá por los principios y bases siguientes:</w:t>
      </w:r>
    </w:p>
    <w:p w:rsidR="00814838" w:rsidRDefault="00814838">
      <w:pPr>
        <w:ind w:left="567" w:right="-1017"/>
        <w:jc w:val="both"/>
        <w:rPr>
          <w:rFonts w:ascii="Palatino Linotype" w:eastAsia="Palatino Linotype" w:hAnsi="Palatino Linotype" w:cs="Palatino Linotype"/>
          <w:b/>
          <w:bCs/>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lastRenderedPageBreak/>
        <w:t xml:space="preserve">I. Toda la información en posesión </w:t>
      </w:r>
      <w:r>
        <w:rPr>
          <w:rFonts w:ascii="Palatino Linotype" w:eastAsia="Palatino Linotype" w:hAnsi="Palatino Linotype" w:cs="Palatino Linotype"/>
          <w:i/>
          <w:iCs/>
          <w:sz w:val="24"/>
          <w:szCs w:val="24"/>
        </w:rPr>
        <w:t xml:space="preserve">de cualquier autoridad, entidad, órgano y organismos de los Poderes Ejecutivo, Legislativo y Judicial, órganos autónomos, partidos políticos, fideicomisos y fondos públicos estatales y municipales, así como </w:t>
      </w:r>
      <w:r>
        <w:rPr>
          <w:rFonts w:ascii="Palatino Linotype" w:eastAsia="Palatino Linotype" w:hAnsi="Palatino Linotype" w:cs="Palatino Linotype"/>
          <w:b/>
          <w:bCs/>
          <w:i/>
          <w:iCs/>
          <w:sz w:val="24"/>
          <w:szCs w:val="24"/>
        </w:rPr>
        <w:t>del gobierno y de la administración pública municipal y sus organismos descentralizados</w:t>
      </w:r>
      <w:r>
        <w:rPr>
          <w:rFonts w:ascii="Palatino Linotype" w:eastAsia="Palatino Linotype" w:hAnsi="Palatino Linotype" w:cs="Palatino Linotype"/>
          <w:i/>
          <w:iCs/>
          <w:sz w:val="24"/>
          <w:szCs w:val="24"/>
        </w:rPr>
        <w:t xml:space="preserve">,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sz w:val="24"/>
          <w:szCs w:val="24"/>
        </w:rPr>
        <w:t>es pública</w:t>
      </w:r>
      <w:r>
        <w:rPr>
          <w:rFonts w:ascii="Palatino Linotype" w:eastAsia="Palatino Linotype" w:hAnsi="Palatino Linotype" w:cs="Palatino Linotype"/>
          <w:i/>
          <w:iCs/>
          <w:sz w:val="24"/>
          <w:szCs w:val="24"/>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814838" w:rsidRDefault="00814838">
      <w:pPr>
        <w:ind w:left="567" w:right="-1017"/>
        <w:jc w:val="both"/>
        <w:rPr>
          <w:rFonts w:ascii="Palatino Linotype" w:eastAsia="Palatino Linotype" w:hAnsi="Palatino Linotype" w:cs="Palatino Linotype"/>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II. La información referente a la intimidad de la vida privada y la imagen de las personas será protegida a través de un marco jurídico rígido de tratamiento y manejo de datos personales, con las excepciones que establezca la ley reglamentaria.</w:t>
      </w:r>
    </w:p>
    <w:p w:rsidR="00814838" w:rsidRDefault="00814838">
      <w:pPr>
        <w:ind w:left="567" w:right="-1017"/>
        <w:jc w:val="both"/>
        <w:rPr>
          <w:rFonts w:ascii="Palatino Linotype" w:eastAsia="Palatino Linotype" w:hAnsi="Palatino Linotype" w:cs="Palatino Linotype"/>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III. Toda persona, sin necesidad de acreditar interés alguno o justificar su utilización, tendrá acceso gratuito a la información pública, a sus datos personales o a la rectificación de éstos.</w:t>
      </w:r>
    </w:p>
    <w:p w:rsidR="00814838" w:rsidRDefault="00814838">
      <w:pPr>
        <w:ind w:left="567" w:right="-1017"/>
        <w:jc w:val="both"/>
        <w:rPr>
          <w:rFonts w:ascii="Palatino Linotype" w:eastAsia="Palatino Linotype" w:hAnsi="Palatino Linotype" w:cs="Palatino Linotype"/>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IV. Se establecerán mecanismos de acceso a la información y procedimientos de revisión expeditos que se sustanciarán ante el organismo autónomo especializado e imparcial que establece esta Constitución.</w:t>
      </w:r>
    </w:p>
    <w:p w:rsidR="00814838" w:rsidRDefault="00814838">
      <w:pPr>
        <w:ind w:left="567" w:right="-1017"/>
        <w:jc w:val="both"/>
        <w:rPr>
          <w:rFonts w:ascii="Palatino Linotype" w:eastAsia="Palatino Linotype" w:hAnsi="Palatino Linotype" w:cs="Palatino Linotype"/>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814838" w:rsidRDefault="00814838">
      <w:pPr>
        <w:ind w:left="567" w:right="-1017"/>
        <w:jc w:val="both"/>
        <w:rPr>
          <w:rFonts w:ascii="Palatino Linotype" w:eastAsia="Palatino Linotype" w:hAnsi="Palatino Linotype" w:cs="Palatino Linotype"/>
          <w:b/>
          <w:bCs/>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VI. Los sujetos obligados deberán preservar sus documentos en archivos administrativos actualizados y publicarán, a través de los medios electrónicos disponibles, la información completa y actualizada sobre el ejercicio de los recursos públicos</w:t>
      </w:r>
      <w:r>
        <w:rPr>
          <w:rFonts w:ascii="Palatino Linotype" w:eastAsia="Palatino Linotype" w:hAnsi="Palatino Linotype" w:cs="Palatino Linotype"/>
          <w:i/>
          <w:iCs/>
          <w:sz w:val="24"/>
          <w:szCs w:val="24"/>
        </w:rPr>
        <w:t xml:space="preserve"> y los indicadores que permitan rendir cuenta del cumplimiento de sus objetivos y los resultados obtenidos.</w:t>
      </w:r>
    </w:p>
    <w:p w:rsidR="00814838" w:rsidRDefault="00814838">
      <w:pPr>
        <w:ind w:left="567" w:right="-1017"/>
        <w:jc w:val="both"/>
        <w:rPr>
          <w:rFonts w:ascii="Palatino Linotype" w:eastAsia="Palatino Linotype" w:hAnsi="Palatino Linotype" w:cs="Palatino Linotype"/>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VII. La ley reglamentaria, determinará la manera en que los sujetos obligados deberán hacer pública la información relativa a los recursos públicos que entreguen a personas físicas o jurídicas colectivas.”</w:t>
      </w:r>
    </w:p>
    <w:p w:rsidR="00814838" w:rsidRDefault="00814838">
      <w:pPr>
        <w:ind w:left="567" w:right="-1017"/>
        <w:jc w:val="both"/>
        <w:rPr>
          <w:rFonts w:ascii="Palatino Linotype" w:eastAsia="Palatino Linotype" w:hAnsi="Palatino Linotype" w:cs="Palatino Linotype"/>
          <w:sz w:val="24"/>
          <w:szCs w:val="24"/>
        </w:rPr>
      </w:pP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(Énfasis añadido)</w:t>
      </w:r>
    </w:p>
    <w:p w:rsidR="00814838" w:rsidRDefault="00814838">
      <w:pPr>
        <w:spacing w:line="360" w:lineRule="auto"/>
        <w:ind w:left="567" w:right="-1017"/>
        <w:jc w:val="both"/>
        <w:rPr>
          <w:rFonts w:ascii="Palatino Linotype" w:eastAsia="Palatino Linotype" w:hAnsi="Palatino Linotype" w:cs="Palatino Linotype"/>
          <w:sz w:val="24"/>
          <w:szCs w:val="24"/>
        </w:rPr>
      </w:pPr>
    </w:p>
    <w:p w:rsidR="00814838" w:rsidRDefault="00EC2E83">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65. </w:t>
      </w:r>
      <w:r>
        <w:rPr>
          <w:rFonts w:ascii="Palatino Linotype" w:eastAsia="Palatino Linotype" w:hAnsi="Palatino Linotype" w:cs="Palatino Linotype"/>
          <w:color w:val="000000"/>
          <w:sz w:val="24"/>
          <w:szCs w:val="24"/>
        </w:rPr>
        <w:t>Adicional, tenemos que la Ley de Transparencia y Acceso a la Información Pública del Estado de México y Municipios, prevé en su artículo 23 fracción IV, lo siguiente:</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Artículo 23. Son sujetos obligados a transparentar y permitir el acceso a su información y proteger los datos personales que obren en su poder</w:t>
      </w:r>
      <w:r>
        <w:rPr>
          <w:rFonts w:ascii="Palatino Linotype" w:eastAsia="Palatino Linotype" w:hAnsi="Palatino Linotype" w:cs="Palatino Linotype"/>
          <w:i/>
          <w:iCs/>
          <w:sz w:val="24"/>
          <w:szCs w:val="24"/>
        </w:rPr>
        <w:t>:</w:t>
      </w: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814838" w:rsidRDefault="00EC2E83">
      <w:pPr>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i/>
          <w:iCs/>
          <w:sz w:val="24"/>
          <w:szCs w:val="24"/>
        </w:rPr>
        <w:t>IV. Los ayuntamientos y las dependencias, organismos, órganos y entidades de la administración municipal;</w:t>
      </w:r>
      <w:r>
        <w:rPr>
          <w:rFonts w:ascii="Palatino Linotype" w:eastAsia="Palatino Linotype" w:hAnsi="Palatino Linotype" w:cs="Palatino Linotype"/>
          <w:b/>
          <w:bCs/>
          <w:i/>
          <w:iCs/>
          <w:sz w:val="24"/>
          <w:szCs w:val="24"/>
        </w:rPr>
        <w:t xml:space="preserve"> </w:t>
      </w:r>
    </w:p>
    <w:p w:rsidR="00814838" w:rsidRDefault="00EC2E83">
      <w:pPr>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w:t>
      </w:r>
    </w:p>
    <w:p w:rsidR="00814838" w:rsidRDefault="00EC2E83">
      <w:pPr>
        <w:ind w:left="567" w:right="-1017"/>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Los sujetos obligados deberán hacer pública toda aquella información relativa a los montos y las personas a quienes entreguen, por cualquier motivo, recursos públicos</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así como</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los informes que dichas personas les entreguen sobre el uso y destino de dichos recursos.</w:t>
      </w:r>
    </w:p>
    <w:p w:rsidR="00814838" w:rsidRDefault="00814838">
      <w:pPr>
        <w:ind w:left="567" w:right="-1017"/>
        <w:jc w:val="both"/>
        <w:rPr>
          <w:rFonts w:ascii="Palatino Linotype" w:eastAsia="Palatino Linotype" w:hAnsi="Palatino Linotype" w:cs="Palatino Linotype"/>
          <w:b/>
          <w:bCs/>
          <w:i/>
          <w:iCs/>
          <w:sz w:val="24"/>
          <w:szCs w:val="24"/>
        </w:rPr>
      </w:pPr>
    </w:p>
    <w:p w:rsidR="00814838" w:rsidRDefault="00EC2E83">
      <w:pPr>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Los servidores públicos deberán transparentar sus acciones así como garantizar y respetar el derecho de acceso a la información pública.</w:t>
      </w:r>
      <w:r>
        <w:rPr>
          <w:rFonts w:ascii="Palatino Linotype" w:eastAsia="Palatino Linotype" w:hAnsi="Palatino Linotype" w:cs="Palatino Linotype"/>
          <w:i/>
          <w:iCs/>
          <w:sz w:val="24"/>
          <w:szCs w:val="24"/>
        </w:rPr>
        <w:t>”</w:t>
      </w:r>
    </w:p>
    <w:p w:rsidR="00814838" w:rsidRDefault="00814838">
      <w:pPr>
        <w:ind w:left="567" w:right="-1017"/>
        <w:jc w:val="both"/>
        <w:rPr>
          <w:rFonts w:ascii="Palatino Linotype" w:eastAsia="Palatino Linotype" w:hAnsi="Palatino Linotype" w:cs="Palatino Linotype"/>
          <w:i/>
          <w:iCs/>
          <w:sz w:val="24"/>
          <w:szCs w:val="24"/>
        </w:rPr>
      </w:pPr>
    </w:p>
    <w:p w:rsidR="00814838" w:rsidRDefault="00EC2E83">
      <w:pPr>
        <w:ind w:left="567"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(Énfasis añadido)</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66. </w:t>
      </w:r>
      <w:r>
        <w:rPr>
          <w:rFonts w:ascii="Palatino Linotype" w:eastAsia="Palatino Linotype" w:hAnsi="Palatino Linotype" w:cs="Palatino Linotype"/>
          <w:color w:val="000000"/>
          <w:sz w:val="24"/>
          <w:szCs w:val="24"/>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814838" w:rsidRDefault="00814838">
      <w:pPr>
        <w:ind w:right="-1017"/>
        <w:rPr>
          <w:rFonts w:ascii="Palatino Linotype" w:eastAsia="Palatino Linotype" w:hAnsi="Palatino Linotype" w:cs="Palatino Linotype"/>
          <w:sz w:val="24"/>
          <w:szCs w:val="24"/>
        </w:rPr>
      </w:pPr>
    </w:p>
    <w:p w:rsidR="00814838" w:rsidRDefault="00EC2E83">
      <w:pPr>
        <w:pStyle w:val="Ttulo2"/>
        <w:tabs>
          <w:tab w:val="left" w:pos="426"/>
        </w:tabs>
        <w:ind w:right="-101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QUINTO. De la versión pública.</w:t>
      </w:r>
    </w:p>
    <w:p w:rsidR="00814838" w:rsidRDefault="00EC2E83">
      <w:pPr>
        <w:keepNext/>
        <w:keepLines/>
        <w:numPr>
          <w:ilvl w:val="0"/>
          <w:numId w:val="5"/>
        </w:numPr>
        <w:tabs>
          <w:tab w:val="left" w:pos="284"/>
        </w:tabs>
        <w:spacing w:after="160" w:line="360" w:lineRule="auto"/>
        <w:ind w:left="0" w:right="-1017" w:firstLine="0"/>
        <w:rPr>
          <w:rFonts w:ascii="Palatino Linotype" w:eastAsia="Palatino Linotype" w:hAnsi="Palatino Linotype" w:cs="Palatino Linotype"/>
          <w:b/>
          <w:bCs/>
          <w:color w:val="000000"/>
          <w:sz w:val="24"/>
          <w:szCs w:val="24"/>
        </w:rPr>
      </w:pPr>
      <w:bookmarkStart w:id="8" w:name="_heading=h.3rdcrjn" w:colFirst="0" w:colLast="0"/>
      <w:bookmarkEnd w:id="8"/>
      <w:r>
        <w:rPr>
          <w:rFonts w:ascii="Palatino Linotype" w:eastAsia="Palatino Linotype" w:hAnsi="Palatino Linotype" w:cs="Palatino Linotype"/>
          <w:b/>
          <w:bCs/>
          <w:color w:val="000000"/>
          <w:sz w:val="24"/>
          <w:szCs w:val="24"/>
        </w:rPr>
        <w:t xml:space="preserve">Nociones generales. </w:t>
      </w:r>
    </w:p>
    <w:p w:rsidR="00814838" w:rsidRDefault="00EC2E83">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67. </w:t>
      </w:r>
      <w:r>
        <w:rPr>
          <w:rFonts w:ascii="Palatino Linotype" w:eastAsia="Palatino Linotype" w:hAnsi="Palatino Linotype" w:cs="Palatino Linotype"/>
          <w:color w:val="000000"/>
          <w:sz w:val="24"/>
          <w:szCs w:val="24"/>
        </w:rPr>
        <w:t xml:space="preserve">Debe destacarse, que debido a la información solicitada por 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obran datos personales susceptibles de protegerse, así como información susceptible de clasificarse como confidencial,  por lo que,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814838" w:rsidRDefault="00814838">
      <w:pPr>
        <w:tabs>
          <w:tab w:val="left" w:pos="0"/>
          <w:tab w:val="left" w:pos="284"/>
        </w:tabs>
        <w:spacing w:line="360" w:lineRule="auto"/>
        <w:ind w:right="-1017"/>
        <w:jc w:val="both"/>
        <w:rPr>
          <w:rFonts w:ascii="Palatino Linotype" w:eastAsia="Palatino Linotype" w:hAnsi="Palatino Linotype" w:cs="Palatino Linotype"/>
          <w:sz w:val="24"/>
          <w:szCs w:val="24"/>
        </w:rPr>
      </w:pPr>
    </w:p>
    <w:p w:rsidR="00814838" w:rsidRDefault="00EC2E83">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68. </w:t>
      </w:r>
      <w:r>
        <w:rPr>
          <w:rFonts w:ascii="Palatino Linotype" w:eastAsia="Palatino Linotype" w:hAnsi="Palatino Linotype" w:cs="Palatino Linotype"/>
          <w:color w:val="000000"/>
          <w:sz w:val="24"/>
          <w:szCs w:val="24"/>
        </w:rPr>
        <w:t>No pasa desapercibido para este Órgano Garante que los sujetos obligados</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814838" w:rsidRDefault="00814838">
      <w:pPr>
        <w:tabs>
          <w:tab w:val="left" w:pos="284"/>
        </w:tabs>
        <w:spacing w:after="160" w:line="360" w:lineRule="auto"/>
        <w:ind w:right="-1017"/>
        <w:jc w:val="both"/>
        <w:rPr>
          <w:rFonts w:ascii="Palatino Linotype" w:eastAsia="Palatino Linotype" w:hAnsi="Palatino Linotype" w:cs="Palatino Linotype"/>
          <w:color w:val="000000"/>
          <w:sz w:val="24"/>
          <w:szCs w:val="24"/>
        </w:rPr>
      </w:pPr>
    </w:p>
    <w:tbl>
      <w:tblPr>
        <w:tblStyle w:val="a0"/>
        <w:tblW w:w="1017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0"/>
        <w:gridCol w:w="7200"/>
      </w:tblGrid>
      <w:tr w:rsidR="00814838">
        <w:tc>
          <w:tcPr>
            <w:tcW w:w="2970" w:type="dxa"/>
          </w:tcPr>
          <w:p w:rsidR="00814838" w:rsidRDefault="00EC2E83">
            <w:pPr>
              <w:tabs>
                <w:tab w:val="left" w:pos="284"/>
              </w:tabs>
              <w:spacing w:line="360" w:lineRule="auto"/>
              <w:ind w:right="3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 Requisitos previos.</w:t>
            </w:r>
          </w:p>
        </w:tc>
        <w:tc>
          <w:tcPr>
            <w:tcW w:w="7200" w:type="dxa"/>
          </w:tcPr>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Además, se debe señalar el procedimiento, de los tres que establecen los artículos 132 y 106 de la Ley Estatal y General, respectivamente.</w:t>
            </w:r>
          </w:p>
          <w:p w:rsidR="00814838" w:rsidRDefault="00EC2E83">
            <w:pPr>
              <w:tabs>
                <w:tab w:val="left" w:pos="284"/>
              </w:tabs>
              <w:spacing w:line="360" w:lineRule="auto"/>
              <w:ind w:right="35"/>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814838">
        <w:tc>
          <w:tcPr>
            <w:tcW w:w="2970" w:type="dxa"/>
          </w:tcPr>
          <w:p w:rsidR="00814838" w:rsidRDefault="00EC2E83">
            <w:pPr>
              <w:tabs>
                <w:tab w:val="left" w:pos="284"/>
              </w:tabs>
              <w:spacing w:line="360" w:lineRule="auto"/>
              <w:ind w:right="3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b) Supuestos de clasificación.</w:t>
            </w:r>
          </w:p>
        </w:tc>
        <w:tc>
          <w:tcPr>
            <w:tcW w:w="7200" w:type="dxa"/>
          </w:tcPr>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14838" w:rsidRDefault="00EC2E83">
            <w:pPr>
              <w:tabs>
                <w:tab w:val="left" w:pos="284"/>
              </w:tabs>
              <w:spacing w:line="360" w:lineRule="auto"/>
              <w:ind w:right="35"/>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lastRenderedPageBreak/>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814838">
        <w:tc>
          <w:tcPr>
            <w:tcW w:w="2970" w:type="dxa"/>
          </w:tcPr>
          <w:p w:rsidR="00814838" w:rsidRDefault="00EC2E83">
            <w:pPr>
              <w:tabs>
                <w:tab w:val="left" w:pos="284"/>
              </w:tabs>
              <w:spacing w:line="360" w:lineRule="auto"/>
              <w:ind w:right="3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c) Formalidades para emitir el acuerdo de clasificación.</w:t>
            </w:r>
          </w:p>
        </w:tc>
        <w:tc>
          <w:tcPr>
            <w:tcW w:w="7200" w:type="dxa"/>
          </w:tcPr>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necesario que </w:t>
            </w:r>
            <w:r>
              <w:rPr>
                <w:rFonts w:ascii="Palatino Linotype" w:eastAsia="Palatino Linotype" w:hAnsi="Palatino Linotype" w:cs="Palatino Linotype"/>
                <w:b/>
                <w:bCs/>
                <w:color w:val="000000"/>
                <w:sz w:val="24"/>
                <w:szCs w:val="24"/>
                <w:u w:val="single"/>
              </w:rPr>
              <w:t>el acto reúna con los requisitos elementales</w:t>
            </w:r>
            <w:r>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814838" w:rsidRDefault="00EC2E83">
            <w:pPr>
              <w:tabs>
                <w:tab w:val="left" w:pos="284"/>
              </w:tabs>
              <w:spacing w:line="360" w:lineRule="auto"/>
              <w:ind w:right="35"/>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sz w:val="24"/>
                <w:szCs w:val="24"/>
              </w:rPr>
              <w:t>El área</w:t>
            </w:r>
            <w:r>
              <w:rPr>
                <w:rFonts w:ascii="Palatino Linotype" w:eastAsia="Palatino Linotype" w:hAnsi="Palatino Linotype" w:cs="Palatino Linotype"/>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814838">
        <w:tc>
          <w:tcPr>
            <w:tcW w:w="2970" w:type="dxa"/>
          </w:tcPr>
          <w:p w:rsidR="00814838" w:rsidRDefault="00814838">
            <w:pPr>
              <w:tabs>
                <w:tab w:val="left" w:pos="284"/>
              </w:tabs>
              <w:spacing w:line="360" w:lineRule="auto"/>
              <w:ind w:right="35"/>
              <w:rPr>
                <w:rFonts w:ascii="Palatino Linotype" w:eastAsia="Palatino Linotype" w:hAnsi="Palatino Linotype" w:cs="Palatino Linotype"/>
                <w:sz w:val="24"/>
                <w:szCs w:val="24"/>
              </w:rPr>
            </w:pPr>
          </w:p>
          <w:p w:rsidR="00814838" w:rsidRDefault="00EC2E83">
            <w:pPr>
              <w:tabs>
                <w:tab w:val="left" w:pos="284"/>
              </w:tabs>
              <w:spacing w:line="360" w:lineRule="auto"/>
              <w:ind w:right="35"/>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lastRenderedPageBreak/>
              <w:t xml:space="preserve">d) Requisitos de fondo del acuerdo de clasificación. </w:t>
            </w:r>
          </w:p>
        </w:tc>
        <w:tc>
          <w:tcPr>
            <w:tcW w:w="7200" w:type="dxa"/>
          </w:tcPr>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Como se ha señalado antes, al hacer el juicio de subsunción o encaje entre el supuesto de hecho y la hipótesis jurídica, se debe acreditar la estricta correspondencia entre un elemento y otro. </w:t>
            </w:r>
            <w:r>
              <w:rPr>
                <w:rFonts w:ascii="Palatino Linotype" w:eastAsia="Palatino Linotype" w:hAnsi="Palatino Linotype" w:cs="Palatino Linotype"/>
                <w:color w:val="000000"/>
                <w:sz w:val="24"/>
                <w:szCs w:val="24"/>
              </w:rPr>
              <w:lastRenderedPageBreak/>
              <w:t xml:space="preserve">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sz w:val="24"/>
                <w:szCs w:val="24"/>
              </w:rPr>
              <w:t>Sujetos Obligados</w:t>
            </w:r>
            <w:r>
              <w:rPr>
                <w:rFonts w:ascii="Palatino Linotype" w:eastAsia="Palatino Linotype" w:hAnsi="Palatino Linotype" w:cs="Palatino Linotype"/>
                <w:color w:val="000000"/>
                <w:sz w:val="24"/>
                <w:szCs w:val="24"/>
              </w:rPr>
              <w:t xml:space="preserve">, por lo que deberán fundar y motivar debidamente la clasificación. </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desprende que para una correcta </w:t>
            </w:r>
            <w:r>
              <w:rPr>
                <w:rFonts w:ascii="Palatino Linotype" w:eastAsia="Palatino Linotype" w:hAnsi="Palatino Linotype" w:cs="Palatino Linotype"/>
                <w:b/>
                <w:bCs/>
                <w:color w:val="000000"/>
                <w:sz w:val="24"/>
                <w:szCs w:val="24"/>
              </w:rPr>
              <w:t>clasificación total o parcial</w:t>
            </w:r>
            <w:r>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Ahora bien, </w:t>
            </w:r>
            <w:r>
              <w:rPr>
                <w:rFonts w:ascii="Palatino Linotype" w:eastAsia="Palatino Linotype" w:hAnsi="Palatino Linotype" w:cs="Palatino Linotype"/>
                <w:b/>
                <w:bCs/>
                <w:color w:val="000000"/>
                <w:sz w:val="24"/>
                <w:szCs w:val="24"/>
                <w:u w:val="single"/>
              </w:rPr>
              <w:t>para cada caso además de fundar y motivar</w:t>
            </w:r>
            <w:r>
              <w:rPr>
                <w:rFonts w:ascii="Palatino Linotype" w:eastAsia="Palatino Linotype" w:hAnsi="Palatino Linotype" w:cs="Palatino Linotype"/>
                <w:color w:val="000000"/>
                <w:sz w:val="24"/>
                <w:szCs w:val="24"/>
              </w:rPr>
              <w:t xml:space="preserve">, se debe identificar con claridad </w:t>
            </w:r>
            <w:r>
              <w:rPr>
                <w:rFonts w:ascii="Palatino Linotype" w:eastAsia="Palatino Linotype" w:hAnsi="Palatino Linotype" w:cs="Palatino Linotype"/>
                <w:sz w:val="24"/>
                <w:szCs w:val="24"/>
              </w:rPr>
              <w:t>qué</w:t>
            </w:r>
            <w:r>
              <w:rPr>
                <w:rFonts w:ascii="Palatino Linotype" w:eastAsia="Palatino Linotype" w:hAnsi="Palatino Linotype" w:cs="Palatino Linotype"/>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14838">
        <w:tc>
          <w:tcPr>
            <w:tcW w:w="2970" w:type="dxa"/>
          </w:tcPr>
          <w:p w:rsidR="00814838" w:rsidRDefault="00EC2E83">
            <w:pPr>
              <w:tabs>
                <w:tab w:val="left" w:pos="284"/>
              </w:tabs>
              <w:spacing w:line="360" w:lineRule="auto"/>
              <w:ind w:right="35"/>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200" w:type="dxa"/>
          </w:tcPr>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814838" w:rsidRDefault="00EC2E83">
            <w:pPr>
              <w:tabs>
                <w:tab w:val="left" w:pos="284"/>
              </w:tabs>
              <w:spacing w:line="360" w:lineRule="auto"/>
              <w:ind w:right="35"/>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14838" w:rsidRDefault="00EC2E83">
            <w:pPr>
              <w:tabs>
                <w:tab w:val="left" w:pos="284"/>
              </w:tabs>
              <w:spacing w:line="360" w:lineRule="auto"/>
              <w:ind w:right="35"/>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14838" w:rsidRDefault="00814838">
      <w:pPr>
        <w:tabs>
          <w:tab w:val="left" w:pos="284"/>
        </w:tabs>
        <w:spacing w:line="360" w:lineRule="auto"/>
        <w:ind w:right="-1017"/>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lastRenderedPageBreak/>
        <w:t xml:space="preserve">69. </w:t>
      </w:r>
      <w:r>
        <w:rPr>
          <w:rFonts w:ascii="Palatino Linotype" w:eastAsia="Palatino Linotype" w:hAnsi="Palatino Linotype" w:cs="Palatino Linotype"/>
          <w:color w:val="000000"/>
          <w:sz w:val="24"/>
          <w:szCs w:val="24"/>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814838" w:rsidRDefault="00814838">
      <w:pPr>
        <w:pBdr>
          <w:top w:val="nil"/>
          <w:left w:val="nil"/>
          <w:bottom w:val="nil"/>
          <w:right w:val="nil"/>
          <w:between w:val="nil"/>
        </w:pBdr>
        <w:tabs>
          <w:tab w:val="left" w:pos="284"/>
        </w:tabs>
        <w:spacing w:line="360" w:lineRule="auto"/>
        <w:ind w:right="-1017"/>
        <w:jc w:val="both"/>
        <w:rPr>
          <w:rFonts w:ascii="Palatino Linotype" w:eastAsia="Palatino Linotype" w:hAnsi="Palatino Linotype" w:cs="Palatino Linotype"/>
          <w:color w:val="000000"/>
          <w:sz w:val="24"/>
          <w:szCs w:val="24"/>
        </w:rPr>
      </w:pPr>
    </w:p>
    <w:p w:rsidR="00814838" w:rsidRDefault="00EC2E83">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222222"/>
          <w:sz w:val="24"/>
          <w:szCs w:val="24"/>
        </w:rPr>
        <w:t>70.</w:t>
      </w:r>
      <w:r>
        <w:rPr>
          <w:rFonts w:ascii="Palatino Linotype" w:eastAsia="Palatino Linotype" w:hAnsi="Palatino Linotype" w:cs="Palatino Linotype"/>
          <w:color w:val="222222"/>
          <w:sz w:val="24"/>
          <w:szCs w:val="24"/>
        </w:rPr>
        <w:t xml:space="preserve"> Por lo anteriormente expuesto y fundado, este </w:t>
      </w:r>
      <w:r>
        <w:rPr>
          <w:rFonts w:ascii="Palatino Linotype" w:eastAsia="Palatino Linotype" w:hAnsi="Palatino Linotype" w:cs="Palatino Linotype"/>
          <w:b/>
          <w:bCs/>
          <w:color w:val="222222"/>
          <w:sz w:val="24"/>
          <w:szCs w:val="24"/>
        </w:rPr>
        <w:t>ÓRGANO GARANTE</w:t>
      </w:r>
      <w:r>
        <w:rPr>
          <w:rFonts w:ascii="Palatino Linotype" w:eastAsia="Palatino Linotype" w:hAnsi="Palatino Linotype" w:cs="Palatino Linotype"/>
          <w:color w:val="222222"/>
          <w:sz w:val="24"/>
          <w:szCs w:val="24"/>
        </w:rPr>
        <w:t xml:space="preserve"> emite los siguientes:</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keepNext/>
        <w:keepLines/>
        <w:spacing w:line="360" w:lineRule="auto"/>
        <w:ind w:right="-1017"/>
        <w:jc w:val="center"/>
        <w:rPr>
          <w:rFonts w:ascii="Palatino Linotype" w:eastAsia="Palatino Linotype" w:hAnsi="Palatino Linotype" w:cs="Palatino Linotype"/>
          <w:b/>
          <w:bCs/>
          <w:sz w:val="24"/>
          <w:szCs w:val="24"/>
        </w:rPr>
      </w:pPr>
      <w:bookmarkStart w:id="9" w:name="_heading=h.8sc5wru6skhh" w:colFirst="0" w:colLast="0"/>
      <w:bookmarkEnd w:id="9"/>
      <w:r>
        <w:rPr>
          <w:rFonts w:ascii="Palatino Linotype" w:eastAsia="Palatino Linotype" w:hAnsi="Palatino Linotype" w:cs="Palatino Linotype"/>
          <w:b/>
          <w:bCs/>
          <w:sz w:val="24"/>
          <w:szCs w:val="24"/>
        </w:rPr>
        <w:t>R E S O L U T I V O S</w:t>
      </w:r>
    </w:p>
    <w:p w:rsidR="00814838" w:rsidRDefault="00814838">
      <w:pPr>
        <w:spacing w:line="360" w:lineRule="auto"/>
        <w:ind w:right="-1017"/>
        <w:jc w:val="both"/>
        <w:rPr>
          <w:rFonts w:ascii="Palatino Linotype" w:eastAsia="Palatino Linotype" w:hAnsi="Palatino Linotype" w:cs="Palatino Linotype"/>
          <w:b/>
          <w:bCs/>
          <w:sz w:val="24"/>
          <w:szCs w:val="24"/>
        </w:rPr>
      </w:pPr>
    </w:p>
    <w:p w:rsidR="00814838" w:rsidRDefault="00EC2E83">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PRIMERO. </w:t>
      </w:r>
      <w:r>
        <w:rPr>
          <w:rFonts w:ascii="Palatino Linotype" w:eastAsia="Palatino Linotype" w:hAnsi="Palatino Linotype" w:cs="Palatino Linotype"/>
          <w:sz w:val="24"/>
          <w:szCs w:val="24"/>
        </w:rPr>
        <w:t xml:space="preserve">Resultan fundadas las razones o motivos de inconformidad hechos valer en el Recurso de Revisión </w:t>
      </w:r>
      <w:r>
        <w:rPr>
          <w:rFonts w:ascii="Palatino Linotype" w:eastAsia="Palatino Linotype" w:hAnsi="Palatino Linotype" w:cs="Palatino Linotype"/>
          <w:b/>
          <w:bCs/>
          <w:sz w:val="24"/>
          <w:szCs w:val="24"/>
        </w:rPr>
        <w:t xml:space="preserve">01153/INFOEM/IP/RR/2026, </w:t>
      </w:r>
      <w:r>
        <w:rPr>
          <w:rFonts w:ascii="Palatino Linotype" w:eastAsia="Palatino Linotype" w:hAnsi="Palatino Linotype" w:cs="Palatino Linotype"/>
          <w:sz w:val="24"/>
          <w:szCs w:val="24"/>
        </w:rPr>
        <w:t xml:space="preserve">en términos de los Considerandos </w:t>
      </w:r>
      <w:r>
        <w:rPr>
          <w:rFonts w:ascii="Palatino Linotype" w:eastAsia="Palatino Linotype" w:hAnsi="Palatino Linotype" w:cs="Palatino Linotype"/>
          <w:b/>
          <w:bCs/>
          <w:sz w:val="24"/>
          <w:szCs w:val="24"/>
        </w:rPr>
        <w:t xml:space="preserve">CUARTO y QUINTO </w:t>
      </w:r>
      <w:r>
        <w:rPr>
          <w:rFonts w:ascii="Palatino Linotype" w:eastAsia="Palatino Linotype" w:hAnsi="Palatino Linotype" w:cs="Palatino Linotype"/>
          <w:sz w:val="24"/>
          <w:szCs w:val="24"/>
        </w:rPr>
        <w:t xml:space="preserve">de la presente resolución. </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spacing w:before="240" w:line="360" w:lineRule="auto"/>
        <w:ind w:right="-1017"/>
        <w:jc w:val="both"/>
        <w:rPr>
          <w:rFonts w:ascii="Palatino Linotype" w:eastAsia="Palatino Linotype" w:hAnsi="Palatino Linotype" w:cs="Palatino Linotype"/>
          <w:sz w:val="24"/>
          <w:szCs w:val="24"/>
        </w:rPr>
      </w:pPr>
      <w:bookmarkStart w:id="10" w:name="_heading=h.oknyzioci1pj" w:colFirst="0" w:colLast="0"/>
      <w:bookmarkEnd w:id="10"/>
      <w:r>
        <w:rPr>
          <w:rFonts w:ascii="Palatino Linotype" w:eastAsia="Palatino Linotype" w:hAnsi="Palatino Linotype" w:cs="Palatino Linotype"/>
          <w:b/>
          <w:bCs/>
          <w:sz w:val="24"/>
          <w:szCs w:val="24"/>
        </w:rPr>
        <w:t xml:space="preserve">SEGUNDO.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b/>
          <w:bCs/>
          <w:color w:val="000000"/>
          <w:sz w:val="24"/>
          <w:szCs w:val="24"/>
        </w:rPr>
        <w:t xml:space="preserve">MODIFICA </w:t>
      </w:r>
      <w:r>
        <w:rPr>
          <w:rFonts w:ascii="Palatino Linotype" w:eastAsia="Palatino Linotype" w:hAnsi="Palatino Linotype" w:cs="Palatino Linotype"/>
          <w:color w:val="000000"/>
          <w:sz w:val="24"/>
          <w:szCs w:val="24"/>
        </w:rPr>
        <w:t xml:space="preserve">la respuesta emitida por el </w:t>
      </w:r>
      <w:r>
        <w:rPr>
          <w:rFonts w:ascii="Palatino Linotype" w:eastAsia="Palatino Linotype" w:hAnsi="Palatino Linotype" w:cs="Palatino Linotype"/>
          <w:b/>
          <w:bCs/>
          <w:color w:val="000000"/>
          <w:sz w:val="24"/>
          <w:szCs w:val="24"/>
        </w:rPr>
        <w:t xml:space="preserve">Ayuntamiento de Naucalpan de Juárez, </w:t>
      </w:r>
      <w:r>
        <w:rPr>
          <w:rFonts w:ascii="Palatino Linotype" w:eastAsia="Palatino Linotype" w:hAnsi="Palatino Linotype" w:cs="Palatino Linotype"/>
          <w:color w:val="000000"/>
          <w:sz w:val="24"/>
          <w:szCs w:val="24"/>
        </w:rPr>
        <w:t xml:space="preserve">y se </w:t>
      </w:r>
      <w:r>
        <w:rPr>
          <w:rFonts w:ascii="Palatino Linotype" w:eastAsia="Palatino Linotype" w:hAnsi="Palatino Linotype" w:cs="Palatino Linotype"/>
          <w:b/>
          <w:bCs/>
          <w:color w:val="000000"/>
          <w:sz w:val="24"/>
          <w:szCs w:val="24"/>
        </w:rPr>
        <w:t>ORDENA</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 xml:space="preserve">entregar vía Sistema de Acceso a la Información Mexiquense </w:t>
      </w:r>
      <w:r>
        <w:rPr>
          <w:rFonts w:ascii="Palatino Linotype" w:eastAsia="Palatino Linotype" w:hAnsi="Palatino Linotype" w:cs="Palatino Linotype"/>
          <w:b/>
          <w:bCs/>
          <w:sz w:val="24"/>
          <w:szCs w:val="24"/>
        </w:rPr>
        <w:t xml:space="preserve">(SAIMEX), </w:t>
      </w:r>
      <w:r>
        <w:rPr>
          <w:rFonts w:ascii="Palatino Linotype" w:eastAsia="Palatino Linotype" w:hAnsi="Palatino Linotype" w:cs="Palatino Linotype"/>
          <w:sz w:val="24"/>
          <w:szCs w:val="24"/>
        </w:rPr>
        <w:t>de ser procedente, en versión pública lo siguiente:</w:t>
      </w:r>
    </w:p>
    <w:p w:rsidR="00814838" w:rsidRDefault="00EC2E83">
      <w:pPr>
        <w:numPr>
          <w:ilvl w:val="0"/>
          <w:numId w:val="9"/>
        </w:numPr>
        <w:pBdr>
          <w:top w:val="nil"/>
          <w:left w:val="nil"/>
          <w:bottom w:val="nil"/>
          <w:right w:val="nil"/>
          <w:between w:val="nil"/>
        </w:pBdr>
        <w:spacing w:before="240"/>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soporte documental </w:t>
      </w:r>
      <w:r>
        <w:rPr>
          <w:rFonts w:ascii="Palatino Linotype" w:eastAsia="Palatino Linotype" w:hAnsi="Palatino Linotype" w:cs="Palatino Linotype"/>
          <w:sz w:val="24"/>
          <w:szCs w:val="24"/>
        </w:rPr>
        <w:t>da cuenta</w:t>
      </w:r>
      <w:r>
        <w:rPr>
          <w:rFonts w:ascii="Palatino Linotype" w:eastAsia="Palatino Linotype" w:hAnsi="Palatino Linotype" w:cs="Palatino Linotype"/>
          <w:color w:val="000000"/>
          <w:sz w:val="24"/>
          <w:szCs w:val="24"/>
        </w:rPr>
        <w:t xml:space="preserve"> del perfil académico, certificaciones, aptitudes técnicas de los servidores públicos faltantes, referidos en informe justificado. </w:t>
      </w:r>
    </w:p>
    <w:p w:rsidR="00814838" w:rsidRDefault="00EC2E83">
      <w:pPr>
        <w:numPr>
          <w:ilvl w:val="0"/>
          <w:numId w:val="9"/>
        </w:numPr>
        <w:pBdr>
          <w:top w:val="nil"/>
          <w:left w:val="nil"/>
          <w:bottom w:val="nil"/>
          <w:right w:val="nil"/>
          <w:between w:val="nil"/>
        </w:pBdr>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Soporte documental que dé cuenta de la calendarización y proyecto llevado a cabo en beneficio del arbolado urbano, referido en Informe Justificado.</w:t>
      </w:r>
    </w:p>
    <w:p w:rsidR="00814838" w:rsidRDefault="00EC2E83">
      <w:pPr>
        <w:numPr>
          <w:ilvl w:val="0"/>
          <w:numId w:val="9"/>
        </w:numPr>
        <w:pBdr>
          <w:top w:val="nil"/>
          <w:left w:val="nil"/>
          <w:bottom w:val="nil"/>
          <w:right w:val="nil"/>
          <w:between w:val="nil"/>
        </w:pBdr>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Legislación, reglamento local o instrumento jurídico vigente para la aplicación de gestión integral del arbolado urbano, referidos en informe justificado.</w:t>
      </w:r>
    </w:p>
    <w:p w:rsidR="00814838" w:rsidRDefault="00EC2E83">
      <w:pPr>
        <w:numPr>
          <w:ilvl w:val="0"/>
          <w:numId w:val="9"/>
        </w:numPr>
        <w:pBdr>
          <w:top w:val="nil"/>
          <w:left w:val="nil"/>
          <w:bottom w:val="nil"/>
          <w:right w:val="nil"/>
          <w:between w:val="nil"/>
        </w:pBdr>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Inventario, incluidos datos físicos, altura, diámetro, volumen de copa, biológicos, para la gestión del arbolado urbano, referidos en informe justificado.</w:t>
      </w:r>
    </w:p>
    <w:p w:rsidR="00814838" w:rsidRDefault="00814838">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814838" w:rsidRDefault="00EC2E83">
      <w:pPr>
        <w:spacing w:before="240"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sz w:val="24"/>
          <w:szCs w:val="24"/>
        </w:rPr>
        <w:t>RECURRENTE.</w:t>
      </w:r>
    </w:p>
    <w:p w:rsidR="00814838" w:rsidRDefault="00814838">
      <w:pPr>
        <w:spacing w:before="240" w:line="360" w:lineRule="auto"/>
        <w:ind w:right="-1017"/>
        <w:jc w:val="both"/>
        <w:rPr>
          <w:rFonts w:ascii="Palatino Linotype" w:eastAsia="Palatino Linotype" w:hAnsi="Palatino Linotype" w:cs="Palatino Linotype"/>
          <w:sz w:val="24"/>
          <w:szCs w:val="24"/>
        </w:rPr>
      </w:pPr>
    </w:p>
    <w:p w:rsidR="00814838" w:rsidRDefault="00EC2E83">
      <w:pPr>
        <w:spacing w:line="360" w:lineRule="auto"/>
        <w:ind w:right="-1017"/>
        <w:jc w:val="both"/>
        <w:rPr>
          <w:rFonts w:ascii="Palatino Linotype" w:eastAsia="Palatino Linotype" w:hAnsi="Palatino Linotype" w:cs="Palatino Linotype"/>
          <w:sz w:val="24"/>
          <w:szCs w:val="24"/>
        </w:rPr>
      </w:pPr>
      <w:bookmarkStart w:id="11" w:name="_heading=h.gsdszhie3vuq" w:colFirst="0" w:colLast="0"/>
      <w:bookmarkEnd w:id="11"/>
      <w:r>
        <w:rPr>
          <w:rFonts w:ascii="Palatino Linotype" w:eastAsia="Palatino Linotype" w:hAnsi="Palatino Linotype" w:cs="Palatino Linotype"/>
          <w:b/>
          <w:bCs/>
          <w:sz w:val="24"/>
          <w:szCs w:val="24"/>
        </w:rPr>
        <w:t>TERCERO.</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NOTIFÍQUESE</w:t>
      </w:r>
      <w:r>
        <w:rPr>
          <w:rFonts w:ascii="Palatino Linotype" w:eastAsia="Palatino Linotype" w:hAnsi="Palatino Linotype" w:cs="Palatino Linotype"/>
          <w:sz w:val="24"/>
          <w:szCs w:val="24"/>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sz w:val="24"/>
          <w:szCs w:val="24"/>
        </w:rPr>
        <w:t>dé cumplimiento a lo ordenado dentro del plazo de diez días hábiles,</w:t>
      </w:r>
      <w:r>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14838" w:rsidRDefault="00814838">
      <w:pPr>
        <w:tabs>
          <w:tab w:val="left" w:pos="8080"/>
        </w:tabs>
        <w:spacing w:line="360" w:lineRule="auto"/>
        <w:ind w:right="-1017"/>
        <w:jc w:val="both"/>
        <w:rPr>
          <w:rFonts w:ascii="Palatino Linotype" w:eastAsia="Palatino Linotype" w:hAnsi="Palatino Linotype" w:cs="Palatino Linotype"/>
          <w:sz w:val="24"/>
          <w:szCs w:val="24"/>
          <w:highlight w:val="white"/>
        </w:rPr>
      </w:pPr>
    </w:p>
    <w:p w:rsidR="00814838" w:rsidRDefault="00EC2E83">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CUARTO. </w:t>
      </w:r>
      <w:r>
        <w:rPr>
          <w:rFonts w:ascii="Palatino Linotype" w:eastAsia="Palatino Linotype" w:hAnsi="Palatino Linotype" w:cs="Palatino Linotype"/>
          <w:sz w:val="24"/>
          <w:szCs w:val="24"/>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de manera fundada y motivada, podrá solicitar una ampliación de plazo para el cumplimiento de la presente resolución.</w:t>
      </w:r>
    </w:p>
    <w:p w:rsidR="00814838" w:rsidRDefault="00814838">
      <w:pPr>
        <w:spacing w:line="360" w:lineRule="auto"/>
        <w:ind w:right="-1017"/>
        <w:jc w:val="both"/>
        <w:rPr>
          <w:rFonts w:ascii="Palatino Linotype" w:eastAsia="Palatino Linotype" w:hAnsi="Palatino Linotype" w:cs="Palatino Linotype"/>
          <w:sz w:val="24"/>
          <w:szCs w:val="24"/>
        </w:rPr>
      </w:pPr>
    </w:p>
    <w:p w:rsidR="00814838" w:rsidRDefault="00EC2E83">
      <w:pPr>
        <w:tabs>
          <w:tab w:val="left" w:pos="8080"/>
        </w:tabs>
        <w:spacing w:line="360" w:lineRule="auto"/>
        <w:ind w:right="-1017"/>
        <w:jc w:val="both"/>
        <w:rPr>
          <w:rFonts w:ascii="Palatino Linotype" w:eastAsia="Palatino Linotype" w:hAnsi="Palatino Linotype" w:cs="Palatino Linotype"/>
          <w:sz w:val="24"/>
          <w:szCs w:val="24"/>
        </w:rPr>
      </w:pPr>
      <w:bookmarkStart w:id="12" w:name="_heading=h.etjktm4h4d0o" w:colFirst="0" w:colLast="0"/>
      <w:bookmarkEnd w:id="12"/>
      <w:r>
        <w:rPr>
          <w:rFonts w:ascii="Palatino Linotype" w:eastAsia="Palatino Linotype" w:hAnsi="Palatino Linotype" w:cs="Palatino Linotype"/>
          <w:b/>
          <w:bCs/>
          <w:sz w:val="24"/>
          <w:szCs w:val="24"/>
        </w:rPr>
        <w:t xml:space="preserve">QUINTO. </w:t>
      </w:r>
      <w:r>
        <w:rPr>
          <w:rFonts w:ascii="Palatino Linotype" w:eastAsia="Palatino Linotype" w:hAnsi="Palatino Linotype" w:cs="Palatino Linotype"/>
          <w:sz w:val="24"/>
          <w:szCs w:val="24"/>
        </w:rPr>
        <w:t xml:space="preserve">Notifíquese a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la presente resolución, vía SAIMEX.</w:t>
      </w:r>
    </w:p>
    <w:p w:rsidR="00737932" w:rsidRDefault="00737932">
      <w:pPr>
        <w:tabs>
          <w:tab w:val="left" w:pos="8080"/>
        </w:tabs>
        <w:spacing w:line="360" w:lineRule="auto"/>
        <w:ind w:right="-1017"/>
        <w:jc w:val="both"/>
        <w:rPr>
          <w:rFonts w:ascii="Palatino Linotype" w:eastAsia="Palatino Linotype" w:hAnsi="Palatino Linotype" w:cs="Palatino Linotype"/>
          <w:sz w:val="24"/>
          <w:szCs w:val="24"/>
        </w:rPr>
      </w:pPr>
    </w:p>
    <w:p w:rsidR="00814838" w:rsidRDefault="00EC2E83">
      <w:pPr>
        <w:shd w:val="clear" w:color="auto" w:fill="FFFFFF"/>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SEXTO.</w:t>
      </w:r>
      <w:r>
        <w:rPr>
          <w:rFonts w:ascii="Palatino Linotype" w:eastAsia="Palatino Linotype" w:hAnsi="Palatino Linotype" w:cs="Palatino Linotype"/>
          <w:sz w:val="24"/>
          <w:szCs w:val="24"/>
        </w:rPr>
        <w:t xml:space="preserve"> Se hace del conocimiento de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814838" w:rsidRDefault="00814838">
      <w:pPr>
        <w:shd w:val="clear" w:color="auto" w:fill="FFFFFF"/>
        <w:spacing w:line="360" w:lineRule="auto"/>
        <w:ind w:right="-1017"/>
        <w:jc w:val="both"/>
        <w:rPr>
          <w:rFonts w:ascii="Palatino Linotype" w:eastAsia="Palatino Linotype" w:hAnsi="Palatino Linotype" w:cs="Palatino Linotype"/>
          <w:sz w:val="24"/>
          <w:szCs w:val="24"/>
        </w:rPr>
      </w:pPr>
    </w:p>
    <w:p w:rsidR="00737932" w:rsidRPr="006E4895" w:rsidRDefault="00737932" w:rsidP="00737932">
      <w:pPr>
        <w:spacing w:before="240" w:after="240" w:line="360" w:lineRule="auto"/>
        <w:ind w:right="-879" w:firstLine="1"/>
        <w:jc w:val="both"/>
        <w:rPr>
          <w:rFonts w:ascii="Palatino Linotype" w:hAnsi="Palatino Linotype"/>
          <w:sz w:val="24"/>
          <w:szCs w:val="24"/>
        </w:rPr>
      </w:pPr>
      <w:bookmarkStart w:id="13" w:name="_Hlk99014733"/>
      <w:r w:rsidRPr="006E4895">
        <w:rPr>
          <w:rFonts w:ascii="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6E4895" w:rsidRPr="006E4895">
        <w:rPr>
          <w:rFonts w:ascii="Palatino Linotype" w:hAnsi="Palatino Linotype" w:cs="Palatino Linotype"/>
          <w:sz w:val="24"/>
          <w:szCs w:val="24"/>
        </w:rPr>
        <w:t xml:space="preserve"> EMITIENDO VOTO PARTICULAR CONCURRENTE</w:t>
      </w:r>
      <w:r w:rsidRPr="006E4895">
        <w:rPr>
          <w:rFonts w:ascii="Palatino Linotype" w:hAnsi="Palatino Linotype" w:cs="Palatino Linotype"/>
          <w:sz w:val="24"/>
          <w:szCs w:val="24"/>
        </w:rPr>
        <w:t xml:space="preserve">, SHARON CRISTINA MORALES MARTÍNEZ, LUIS GUSTAVO PARRA NORIEGA </w:t>
      </w:r>
      <w:r w:rsidR="006E4895" w:rsidRPr="006E4895">
        <w:rPr>
          <w:rFonts w:ascii="Palatino Linotype" w:hAnsi="Palatino Linotype" w:cs="Palatino Linotype"/>
          <w:sz w:val="24"/>
          <w:szCs w:val="24"/>
        </w:rPr>
        <w:t xml:space="preserve">EMITIENDO VOTO PARTICULAR CONCURRENTE </w:t>
      </w:r>
      <w:r w:rsidRPr="006E4895">
        <w:rPr>
          <w:rFonts w:ascii="Palatino Linotype" w:hAnsi="Palatino Linotype" w:cs="Palatino Linotype"/>
          <w:sz w:val="24"/>
          <w:szCs w:val="24"/>
        </w:rPr>
        <w:t>Y GUADALUPE RAMÍREZ PEÑA</w:t>
      </w:r>
      <w:r w:rsidR="006E4895" w:rsidRPr="006E4895">
        <w:rPr>
          <w:rFonts w:ascii="Palatino Linotype" w:hAnsi="Palatino Linotype" w:cs="Palatino Linotype"/>
          <w:sz w:val="24"/>
          <w:szCs w:val="24"/>
        </w:rPr>
        <w:t xml:space="preserve"> EMITIENDO VOTO PARTICULAR</w:t>
      </w:r>
      <w:r w:rsidRPr="006E4895">
        <w:rPr>
          <w:rFonts w:ascii="Palatino Linotype" w:hAnsi="Palatino Linotype" w:cs="Palatino Linotype"/>
          <w:sz w:val="24"/>
          <w:szCs w:val="24"/>
        </w:rPr>
        <w:t xml:space="preserve">; EN LA VIGÉSIMA TERCERA SESIÓN ORDINARIA, CELEBRADA EL VEINTICINCO (25) DE JUNIO DE DOS MIL VEINTISÉIS, ANTE EL SECRETARIO TÉCNICO DEL PLENO </w:t>
      </w:r>
      <w:r w:rsidRPr="006E4895">
        <w:rPr>
          <w:rFonts w:ascii="Palatino Linotype" w:hAnsi="Palatino Linotype" w:cs="Palatino Linotype"/>
          <w:color w:val="000000" w:themeColor="text1"/>
          <w:sz w:val="24"/>
          <w:szCs w:val="24"/>
        </w:rPr>
        <w:t>ALEXIS TAPIA RAMÍREZ.</w:t>
      </w:r>
    </w:p>
    <w:bookmarkEnd w:id="13"/>
    <w:p w:rsidR="00814838" w:rsidRPr="006E4895" w:rsidRDefault="00814838" w:rsidP="00737932">
      <w:pPr>
        <w:spacing w:line="360" w:lineRule="auto"/>
        <w:ind w:right="-879"/>
        <w:rPr>
          <w:rFonts w:ascii="Palatino Linotype" w:eastAsia="Palatino Linotype" w:hAnsi="Palatino Linotype" w:cs="Palatino Linotype"/>
          <w:sz w:val="24"/>
          <w:szCs w:val="24"/>
        </w:rPr>
      </w:pPr>
    </w:p>
    <w:p w:rsidR="00814838" w:rsidRPr="006E4895" w:rsidRDefault="00814838" w:rsidP="00737932">
      <w:pPr>
        <w:spacing w:line="360" w:lineRule="auto"/>
        <w:ind w:right="-879"/>
        <w:rPr>
          <w:rFonts w:ascii="Palatino Linotype" w:eastAsia="Palatino Linotype" w:hAnsi="Palatino Linotype" w:cs="Palatino Linotype"/>
          <w:sz w:val="24"/>
          <w:szCs w:val="24"/>
        </w:rPr>
      </w:pPr>
    </w:p>
    <w:p w:rsidR="00814838" w:rsidRPr="00737932" w:rsidRDefault="00814838" w:rsidP="00737932">
      <w:pPr>
        <w:spacing w:line="360" w:lineRule="auto"/>
        <w:ind w:right="-879"/>
        <w:rPr>
          <w:rFonts w:ascii="Palatino Linotype" w:eastAsia="Palatino Linotype" w:hAnsi="Palatino Linotype" w:cs="Palatino Linotype"/>
          <w:sz w:val="32"/>
          <w:szCs w:val="24"/>
        </w:rPr>
      </w:pPr>
    </w:p>
    <w:p w:rsidR="00814838" w:rsidRPr="00737932" w:rsidRDefault="00814838" w:rsidP="00737932">
      <w:pPr>
        <w:keepNext/>
        <w:keepLines/>
        <w:spacing w:line="360" w:lineRule="auto"/>
        <w:ind w:right="-879"/>
        <w:rPr>
          <w:rFonts w:ascii="Palatino Linotype" w:eastAsia="Palatino Linotype" w:hAnsi="Palatino Linotype" w:cs="Palatino Linotype"/>
          <w:sz w:val="32"/>
          <w:szCs w:val="24"/>
        </w:rPr>
      </w:pPr>
    </w:p>
    <w:p w:rsidR="00814838" w:rsidRDefault="00814838">
      <w:pPr>
        <w:spacing w:before="240" w:after="360" w:line="360" w:lineRule="auto"/>
        <w:ind w:right="-1017"/>
        <w:jc w:val="both"/>
        <w:rPr>
          <w:rFonts w:ascii="Palatino Linotype" w:eastAsia="Palatino Linotype" w:hAnsi="Palatino Linotype" w:cs="Palatino Linotype"/>
          <w:color w:val="222222"/>
          <w:sz w:val="24"/>
          <w:szCs w:val="24"/>
        </w:rPr>
      </w:pPr>
    </w:p>
    <w:p w:rsidR="00814838" w:rsidRDefault="0081483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p w:rsidR="00B37228" w:rsidRDefault="00B37228">
      <w:pPr>
        <w:ind w:right="-1017"/>
        <w:rPr>
          <w:rFonts w:ascii="Palatino Linotype" w:eastAsia="Palatino Linotype" w:hAnsi="Palatino Linotype" w:cs="Palatino Linotype"/>
          <w:sz w:val="24"/>
          <w:szCs w:val="24"/>
        </w:rPr>
      </w:pPr>
    </w:p>
    <w:sectPr w:rsidR="00B37228">
      <w:headerReference w:type="even" r:id="rId22"/>
      <w:headerReference w:type="default" r:id="rId23"/>
      <w:footerReference w:type="default" r:id="rId24"/>
      <w:headerReference w:type="first" r:id="rId25"/>
      <w:footerReference w:type="first" r:id="rId26"/>
      <w:pgSz w:w="12240" w:h="15840"/>
      <w:pgMar w:top="80" w:right="160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FE8" w:rsidRDefault="00EF2FE8">
      <w:r>
        <w:separator/>
      </w:r>
    </w:p>
  </w:endnote>
  <w:endnote w:type="continuationSeparator" w:id="0">
    <w:p w:rsidR="00EF2FE8" w:rsidRDefault="00EF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0A8061E0-1FAA-4008-BC17-A48EDD1FACBC}"/>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6512CE2-C3B1-4C31-A9C0-3DC862BA7E0A}"/>
    <w:embedBold r:id="rId3" w:fontKey="{96BFE43E-38A0-46F2-97EF-40476470B54B}"/>
    <w:embedItalic r:id="rId4" w:fontKey="{80E6AF73-3FF2-4791-84D1-5A11B2B19B37}"/>
    <w:embedBoldItalic r:id="rId5" w:fontKey="{BB8B879E-D9DC-4616-B321-CC37126B0DED}"/>
  </w:font>
  <w:font w:name="Calibri">
    <w:panose1 w:val="020F0502020204030204"/>
    <w:charset w:val="00"/>
    <w:family w:val="swiss"/>
    <w:pitch w:val="variable"/>
    <w:sig w:usb0="E4002EFF" w:usb1="C200247B" w:usb2="00000009" w:usb3="00000000" w:csb0="000001FF" w:csb1="00000000"/>
    <w:embedRegular r:id="rId6" w:fontKey="{5246EE2B-D5A7-49E6-AEA5-55CD61621C23}"/>
    <w:embedItalic r:id="rId7" w:fontKey="{2653C4B1-4387-480D-8543-9EEC040F54B6}"/>
  </w:font>
  <w:font w:name="Georgia">
    <w:panose1 w:val="02040502050405020303"/>
    <w:charset w:val="00"/>
    <w:family w:val="roman"/>
    <w:pitch w:val="variable"/>
    <w:sig w:usb0="00000287" w:usb1="00000000" w:usb2="00000000" w:usb3="00000000" w:csb0="0000009F" w:csb1="00000000"/>
    <w:embedItalic r:id="rId8" w:fontKey="{3B009678-2736-40B8-B3E0-51A4D5EB528E}"/>
  </w:font>
  <w:font w:name="Century Gothic">
    <w:panose1 w:val="020B0502020202020204"/>
    <w:charset w:val="00"/>
    <w:family w:val="swiss"/>
    <w:pitch w:val="variable"/>
    <w:sig w:usb0="00000287" w:usb1="00000000" w:usb2="00000000" w:usb3="00000000" w:csb0="0000009F" w:csb1="00000000"/>
    <w:embedRegular r:id="rId9" w:fontKey="{D8297AF7-458E-472E-A382-812B7D8A243D}"/>
    <w:embedBold r:id="rId10" w:fontKey="{A9EEC5D9-108C-4B28-B0D7-F344E2D7FF40}"/>
  </w:font>
  <w:font w:name="Garamond">
    <w:panose1 w:val="02020404030301010803"/>
    <w:charset w:val="00"/>
    <w:family w:val="roman"/>
    <w:pitch w:val="variable"/>
    <w:sig w:usb0="00000287" w:usb1="00000000" w:usb2="00000000" w:usb3="00000000" w:csb0="0000009F" w:csb1="00000000"/>
    <w:embedRegular r:id="rId11" w:fontKey="{F35A60E7-AB8F-4645-AD25-95BE1BC3C53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DFF0901D-D9D1-4356-AF25-146C223D46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838" w:rsidRDefault="00814838">
    <w:pPr>
      <w:pBdr>
        <w:top w:val="nil"/>
        <w:left w:val="nil"/>
        <w:bottom w:val="nil"/>
        <w:right w:val="nil"/>
        <w:between w:val="nil"/>
      </w:pBdr>
      <w:tabs>
        <w:tab w:val="center" w:pos="4419"/>
        <w:tab w:val="right" w:pos="8838"/>
      </w:tabs>
      <w:jc w:val="right"/>
      <w:rPr>
        <w:color w:val="000000"/>
      </w:rPr>
    </w:pPr>
  </w:p>
  <w:p w:rsidR="00814838" w:rsidRDefault="00EC2E8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E1112A">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E1112A">
      <w:rPr>
        <w:rFonts w:ascii="Palatino Linotype" w:eastAsia="Palatino Linotype" w:hAnsi="Palatino Linotype" w:cs="Palatino Linotype"/>
        <w:b/>
        <w:bCs/>
        <w:noProof/>
        <w:color w:val="000000"/>
        <w:sz w:val="22"/>
        <w:szCs w:val="22"/>
      </w:rPr>
      <w:t>51</w:t>
    </w:r>
    <w:r>
      <w:rPr>
        <w:rFonts w:ascii="Palatino Linotype" w:eastAsia="Palatino Linotype" w:hAnsi="Palatino Linotype" w:cs="Palatino Linotype"/>
        <w:b/>
        <w:bCs/>
        <w:color w:val="000000"/>
        <w:sz w:val="22"/>
        <w:szCs w:val="22"/>
      </w:rPr>
      <w:fldChar w:fldCharType="end"/>
    </w:r>
  </w:p>
  <w:p w:rsidR="00814838" w:rsidRDefault="00814838">
    <w:pPr>
      <w:pBdr>
        <w:top w:val="nil"/>
        <w:left w:val="nil"/>
        <w:bottom w:val="nil"/>
        <w:right w:val="nil"/>
        <w:between w:val="nil"/>
      </w:pBdr>
      <w:tabs>
        <w:tab w:val="center" w:pos="4419"/>
        <w:tab w:val="right" w:pos="8838"/>
      </w:tabs>
      <w:rPr>
        <w:color w:val="000000"/>
      </w:rPr>
    </w:pPr>
  </w:p>
  <w:p w:rsidR="00814838" w:rsidRDefault="00814838"/>
  <w:p w:rsidR="00814838" w:rsidRDefault="00814838"/>
  <w:p w:rsidR="00814838" w:rsidRDefault="008148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838" w:rsidRDefault="00EC2E8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E1112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E1112A">
      <w:rPr>
        <w:rFonts w:ascii="Palatino Linotype" w:eastAsia="Palatino Linotype" w:hAnsi="Palatino Linotype" w:cs="Palatino Linotype"/>
        <w:b/>
        <w:bCs/>
        <w:noProof/>
        <w:color w:val="000000"/>
        <w:sz w:val="22"/>
        <w:szCs w:val="22"/>
      </w:rPr>
      <w:t>51</w:t>
    </w:r>
    <w:r>
      <w:rPr>
        <w:rFonts w:ascii="Palatino Linotype" w:eastAsia="Palatino Linotype" w:hAnsi="Palatino Linotype" w:cs="Palatino Linotype"/>
        <w:b/>
        <w:bCs/>
        <w:color w:val="000000"/>
        <w:sz w:val="22"/>
        <w:szCs w:val="22"/>
      </w:rPr>
      <w:fldChar w:fldCharType="end"/>
    </w:r>
  </w:p>
  <w:p w:rsidR="00814838" w:rsidRDefault="00814838">
    <w:pPr>
      <w:pBdr>
        <w:top w:val="nil"/>
        <w:left w:val="nil"/>
        <w:bottom w:val="nil"/>
        <w:right w:val="nil"/>
        <w:between w:val="nil"/>
      </w:pBdr>
      <w:tabs>
        <w:tab w:val="center" w:pos="4419"/>
        <w:tab w:val="right" w:pos="8838"/>
      </w:tabs>
      <w:rPr>
        <w:color w:val="000000"/>
      </w:rPr>
    </w:pPr>
  </w:p>
  <w:p w:rsidR="00814838" w:rsidRDefault="00814838"/>
  <w:p w:rsidR="00814838" w:rsidRDefault="00814838"/>
  <w:p w:rsidR="00814838" w:rsidRDefault="008148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FE8" w:rsidRDefault="00EF2FE8">
      <w:r>
        <w:separator/>
      </w:r>
    </w:p>
  </w:footnote>
  <w:footnote w:type="continuationSeparator" w:id="0">
    <w:p w:rsidR="00EF2FE8" w:rsidRDefault="00EF2FE8">
      <w:r>
        <w:continuationSeparator/>
      </w:r>
    </w:p>
  </w:footnote>
  <w:footnote w:id="1">
    <w:p w:rsidR="00814838" w:rsidRDefault="00EC2E8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Convención Americana sobre Derechos Humanos. Artículo 13.</w:t>
      </w:r>
    </w:p>
  </w:footnote>
  <w:footnote w:id="2">
    <w:p w:rsidR="00814838" w:rsidRDefault="00EC2E8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Constitución Política de los Estados Unidos Mexicanos. Artículo sexto, sección A, fracción I.</w:t>
      </w:r>
    </w:p>
  </w:footnote>
  <w:footnote w:id="3">
    <w:p w:rsidR="00814838" w:rsidRDefault="00EC2E8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814838" w:rsidRDefault="00EC2E83">
      <w:pPr>
        <w:pBdr>
          <w:top w:val="nil"/>
          <w:left w:val="nil"/>
          <w:bottom w:val="nil"/>
          <w:right w:val="nil"/>
          <w:between w:val="nil"/>
        </w:pBdr>
        <w:rPr>
          <w:rFonts w:ascii="Calibri" w:eastAsia="Calibri" w:hAnsi="Calibri" w:cs="Calibri"/>
          <w:color w:val="000000"/>
        </w:rPr>
      </w:pPr>
      <w:r>
        <w:rPr>
          <w:vertAlign w:val="superscript"/>
        </w:rPr>
        <w:footnoteRef/>
      </w:r>
      <w:r>
        <w:rPr>
          <w:rFonts w:ascii="Palatino Linotype" w:eastAsia="Palatino Linotype" w:hAnsi="Palatino Linotype" w:cs="Palatino Linotype"/>
          <w:color w:val="000000"/>
          <w:sz w:val="18"/>
          <w:szCs w:val="18"/>
        </w:rPr>
        <w:t xml:space="preserve"> Ibídem. Parr. 87.</w:t>
      </w:r>
    </w:p>
  </w:footnote>
  <w:footnote w:id="5">
    <w:p w:rsidR="00814838" w:rsidRDefault="00EC2E83">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Ley de Transparencia y Acceso a la Información Pública del Estado de México y Municipios. Artículo 9. …</w:t>
      </w:r>
    </w:p>
    <w:p w:rsidR="00814838" w:rsidRDefault="00EC2E8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 Eficacia: Obligación del Instituto para tutelar, de manera efectiva, el derecho de acceso a la información;</w:t>
      </w:r>
    </w:p>
    <w:p w:rsidR="00814838" w:rsidRDefault="00EC2E83">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838" w:rsidRDefault="00EF2FE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814838" w:rsidRDefault="00814838"/>
  <w:p w:rsidR="00814838" w:rsidRDefault="00814838"/>
  <w:p w:rsidR="00814838" w:rsidRDefault="008148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632" w:type="dxa"/>
      <w:tblInd w:w="0" w:type="dxa"/>
      <w:tblLayout w:type="fixed"/>
      <w:tblLook w:val="0400" w:firstRow="0" w:lastRow="0" w:firstColumn="0" w:lastColumn="0" w:noHBand="0" w:noVBand="1"/>
    </w:tblPr>
    <w:tblGrid>
      <w:gridCol w:w="1845"/>
      <w:gridCol w:w="8787"/>
    </w:tblGrid>
    <w:tr w:rsidR="00814838" w:rsidTr="0031491A">
      <w:trPr>
        <w:trHeight w:val="1435"/>
      </w:trPr>
      <w:tc>
        <w:tcPr>
          <w:tcW w:w="1845" w:type="dxa"/>
          <w:shd w:val="clear" w:color="auto" w:fill="auto"/>
        </w:tcPr>
        <w:p w:rsidR="00814838" w:rsidRDefault="00EC2E83">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787" w:type="dxa"/>
          <w:shd w:val="clear" w:color="auto" w:fill="auto"/>
        </w:tcPr>
        <w:tbl>
          <w:tblPr>
            <w:tblStyle w:val="a2"/>
            <w:tblW w:w="7513" w:type="dxa"/>
            <w:tblInd w:w="1159" w:type="dxa"/>
            <w:tblLayout w:type="fixed"/>
            <w:tblLook w:val="0400" w:firstRow="0" w:lastRow="0" w:firstColumn="0" w:lastColumn="0" w:noHBand="0" w:noVBand="1"/>
          </w:tblPr>
          <w:tblGrid>
            <w:gridCol w:w="2677"/>
            <w:gridCol w:w="4836"/>
          </w:tblGrid>
          <w:tr w:rsidR="00814838" w:rsidTr="0031491A">
            <w:trPr>
              <w:trHeight w:val="322"/>
            </w:trPr>
            <w:tc>
              <w:tcPr>
                <w:tcW w:w="2677" w:type="dxa"/>
              </w:tcPr>
              <w:p w:rsidR="00814838" w:rsidRDefault="00EC2E83" w:rsidP="00737932">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836" w:type="dxa"/>
              </w:tcPr>
              <w:p w:rsidR="00814838" w:rsidRDefault="00EC2E83" w:rsidP="00737932">
                <w:pPr>
                  <w:ind w:right="-162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1153/INFOEM/IP/RR/2026</w:t>
                </w:r>
              </w:p>
            </w:tc>
          </w:tr>
          <w:tr w:rsidR="00814838" w:rsidTr="0031491A">
            <w:trPr>
              <w:trHeight w:val="270"/>
            </w:trPr>
            <w:tc>
              <w:tcPr>
                <w:tcW w:w="2677" w:type="dxa"/>
              </w:tcPr>
              <w:p w:rsidR="00814838" w:rsidRDefault="00EC2E83" w:rsidP="00737932">
                <w:pPr>
                  <w:tabs>
                    <w:tab w:val="right" w:pos="8838"/>
                  </w:tabs>
                  <w:ind w:right="-105"/>
                  <w:rPr>
                    <w:rFonts w:ascii="Palatino Linotype" w:eastAsia="Palatino Linotype" w:hAnsi="Palatino Linotype" w:cs="Palatino Linotype"/>
                    <w:b/>
                    <w:bCs/>
                    <w:sz w:val="24"/>
                    <w:szCs w:val="24"/>
                  </w:rPr>
                </w:pPr>
                <w:bookmarkStart w:id="14" w:name="_heading=h.ut3jlfjgdtox" w:colFirst="0" w:colLast="0"/>
                <w:bookmarkEnd w:id="14"/>
                <w:r>
                  <w:rPr>
                    <w:rFonts w:ascii="Palatino Linotype" w:eastAsia="Palatino Linotype" w:hAnsi="Palatino Linotype" w:cs="Palatino Linotype"/>
                    <w:b/>
                    <w:bCs/>
                    <w:sz w:val="24"/>
                    <w:szCs w:val="24"/>
                  </w:rPr>
                  <w:t>Sujeto Obligado:</w:t>
                </w:r>
              </w:p>
            </w:tc>
            <w:tc>
              <w:tcPr>
                <w:tcW w:w="4836" w:type="dxa"/>
              </w:tcPr>
              <w:p w:rsidR="00814838" w:rsidRDefault="00EC2E83" w:rsidP="00737932">
                <w:pPr>
                  <w:tabs>
                    <w:tab w:val="right" w:pos="8838"/>
                  </w:tabs>
                  <w:ind w:right="-1628"/>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Ayuntamiento de Naucalpan </w:t>
                </w:r>
                <w:r>
                  <w:rPr>
                    <w:rFonts w:ascii="Palatino Linotype" w:eastAsia="Palatino Linotype" w:hAnsi="Palatino Linotype" w:cs="Palatino Linotype"/>
                    <w:sz w:val="24"/>
                    <w:szCs w:val="24"/>
                  </w:rPr>
                  <w:t>de</w:t>
                </w:r>
                <w:r w:rsidR="0031491A">
                  <w:rPr>
                    <w:rFonts w:ascii="Palatino Linotype" w:eastAsia="Palatino Linotype" w:hAnsi="Palatino Linotype" w:cs="Palatino Linotype"/>
                    <w:sz w:val="24"/>
                    <w:szCs w:val="24"/>
                  </w:rPr>
                  <w:t xml:space="preserve"> J</w:t>
                </w:r>
                <w:r>
                  <w:rPr>
                    <w:rFonts w:ascii="Palatino Linotype" w:eastAsia="Palatino Linotype" w:hAnsi="Palatino Linotype" w:cs="Palatino Linotype"/>
                    <w:sz w:val="24"/>
                    <w:szCs w:val="24"/>
                  </w:rPr>
                  <w:t>uárez</w:t>
                </w:r>
              </w:p>
            </w:tc>
          </w:tr>
          <w:tr w:rsidR="00814838" w:rsidTr="0031491A">
            <w:trPr>
              <w:trHeight w:val="270"/>
            </w:trPr>
            <w:tc>
              <w:tcPr>
                <w:tcW w:w="2677" w:type="dxa"/>
              </w:tcPr>
              <w:p w:rsidR="00814838" w:rsidRDefault="00EC2E83" w:rsidP="00737932">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836" w:type="dxa"/>
              </w:tcPr>
              <w:p w:rsidR="00814838" w:rsidRDefault="00EC2E83" w:rsidP="00737932">
                <w:pPr>
                  <w:tabs>
                    <w:tab w:val="right" w:pos="8838"/>
                  </w:tabs>
                  <w:ind w:right="-1628"/>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r>
        </w:tbl>
        <w:p w:rsidR="00814838" w:rsidRDefault="00814838">
          <w:pPr>
            <w:tabs>
              <w:tab w:val="right" w:pos="8838"/>
            </w:tabs>
            <w:ind w:left="-28"/>
            <w:jc w:val="both"/>
            <w:rPr>
              <w:rFonts w:ascii="Arial" w:eastAsia="Arial" w:hAnsi="Arial" w:cs="Arial"/>
              <w:b/>
              <w:bCs/>
              <w:sz w:val="22"/>
              <w:szCs w:val="22"/>
            </w:rPr>
          </w:pPr>
        </w:p>
      </w:tc>
    </w:tr>
  </w:tbl>
  <w:p w:rsidR="00814838" w:rsidRPr="0031491A" w:rsidRDefault="00EF2FE8" w:rsidP="0031491A">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2.2pt;margin-top:-132.6pt;width:617.8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485" w:type="dxa"/>
      <w:tblInd w:w="0" w:type="dxa"/>
      <w:tblLayout w:type="fixed"/>
      <w:tblLook w:val="0400" w:firstRow="0" w:lastRow="0" w:firstColumn="0" w:lastColumn="0" w:noHBand="0" w:noVBand="1"/>
    </w:tblPr>
    <w:tblGrid>
      <w:gridCol w:w="1787"/>
      <w:gridCol w:w="8698"/>
    </w:tblGrid>
    <w:tr w:rsidR="00814838">
      <w:trPr>
        <w:trHeight w:val="1435"/>
      </w:trPr>
      <w:tc>
        <w:tcPr>
          <w:tcW w:w="1787" w:type="dxa"/>
          <w:shd w:val="clear" w:color="auto" w:fill="auto"/>
        </w:tcPr>
        <w:p w:rsidR="00814838" w:rsidRDefault="00814838">
          <w:pPr>
            <w:tabs>
              <w:tab w:val="right" w:pos="4273"/>
            </w:tabs>
            <w:rPr>
              <w:rFonts w:ascii="Garamond" w:eastAsia="Garamond" w:hAnsi="Garamond" w:cs="Garamond"/>
              <w:sz w:val="22"/>
              <w:szCs w:val="22"/>
            </w:rPr>
          </w:pPr>
        </w:p>
      </w:tc>
      <w:tc>
        <w:tcPr>
          <w:tcW w:w="8698" w:type="dxa"/>
          <w:shd w:val="clear" w:color="auto" w:fill="auto"/>
        </w:tcPr>
        <w:tbl>
          <w:tblPr>
            <w:tblStyle w:val="a4"/>
            <w:tblW w:w="9600" w:type="dxa"/>
            <w:tblInd w:w="1219" w:type="dxa"/>
            <w:tblLayout w:type="fixed"/>
            <w:tblLook w:val="0400" w:firstRow="0" w:lastRow="0" w:firstColumn="0" w:lastColumn="0" w:noHBand="0" w:noVBand="1"/>
          </w:tblPr>
          <w:tblGrid>
            <w:gridCol w:w="2672"/>
            <w:gridCol w:w="4978"/>
            <w:gridCol w:w="1950"/>
          </w:tblGrid>
          <w:tr w:rsidR="00814838">
            <w:trPr>
              <w:trHeight w:val="144"/>
            </w:trPr>
            <w:tc>
              <w:tcPr>
                <w:tcW w:w="2672" w:type="dxa"/>
              </w:tcPr>
              <w:p w:rsidR="00814838" w:rsidRDefault="00EC2E83">
                <w:pPr>
                  <w:ind w:left="-141" w:right="-130"/>
                  <w:rPr>
                    <w:rFonts w:ascii="Palatino Linotype" w:eastAsia="Palatino Linotype" w:hAnsi="Palatino Linotype" w:cs="Palatino Linotype"/>
                    <w:b/>
                    <w:bCs/>
                    <w:sz w:val="24"/>
                    <w:szCs w:val="24"/>
                  </w:rPr>
                </w:pPr>
                <w:bookmarkStart w:id="15" w:name="_heading=h.plu665cx8vap" w:colFirst="0" w:colLast="0"/>
                <w:bookmarkEnd w:id="15"/>
                <w:r>
                  <w:rPr>
                    <w:rFonts w:ascii="Palatino Linotype" w:eastAsia="Palatino Linotype" w:hAnsi="Palatino Linotype" w:cs="Palatino Linotype"/>
                    <w:b/>
                    <w:bCs/>
                    <w:sz w:val="24"/>
                    <w:szCs w:val="24"/>
                  </w:rPr>
                  <w:t>Recurso de Revisión:</w:t>
                </w:r>
              </w:p>
            </w:tc>
            <w:tc>
              <w:tcPr>
                <w:tcW w:w="4978" w:type="dxa"/>
              </w:tcPr>
              <w:p w:rsidR="00814838" w:rsidRDefault="00EC2E83">
                <w:pPr>
                  <w:ind w:right="-13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1153/INFOEM/IP/RR/2026</w:t>
                </w:r>
              </w:p>
            </w:tc>
            <w:tc>
              <w:tcPr>
                <w:tcW w:w="1950" w:type="dxa"/>
              </w:tcPr>
              <w:p w:rsidR="00814838" w:rsidRDefault="00814838">
                <w:pPr>
                  <w:tabs>
                    <w:tab w:val="right" w:pos="8838"/>
                  </w:tabs>
                  <w:ind w:left="-74" w:right="-105"/>
                  <w:jc w:val="both"/>
                  <w:rPr>
                    <w:rFonts w:ascii="Palatino Linotype" w:eastAsia="Palatino Linotype" w:hAnsi="Palatino Linotype" w:cs="Palatino Linotype"/>
                    <w:sz w:val="22"/>
                    <w:szCs w:val="22"/>
                  </w:rPr>
                </w:pPr>
              </w:p>
            </w:tc>
          </w:tr>
          <w:tr w:rsidR="00814838">
            <w:trPr>
              <w:trHeight w:val="144"/>
            </w:trPr>
            <w:tc>
              <w:tcPr>
                <w:tcW w:w="2672" w:type="dxa"/>
              </w:tcPr>
              <w:p w:rsidR="00814838" w:rsidRDefault="00EC2E83">
                <w:pPr>
                  <w:ind w:left="-141" w:right="-130"/>
                  <w:rPr>
                    <w:rFonts w:ascii="Palatino Linotype" w:eastAsia="Palatino Linotype" w:hAnsi="Palatino Linotype" w:cs="Palatino Linotype"/>
                    <w:b/>
                    <w:bCs/>
                    <w:sz w:val="24"/>
                    <w:szCs w:val="24"/>
                  </w:rPr>
                </w:pPr>
                <w:bookmarkStart w:id="16" w:name="_heading=h.pgca0kpigrz8" w:colFirst="0" w:colLast="0"/>
                <w:bookmarkEnd w:id="16"/>
                <w:r>
                  <w:rPr>
                    <w:rFonts w:ascii="Palatino Linotype" w:eastAsia="Palatino Linotype" w:hAnsi="Palatino Linotype" w:cs="Palatino Linotype"/>
                    <w:b/>
                    <w:bCs/>
                    <w:sz w:val="24"/>
                    <w:szCs w:val="24"/>
                  </w:rPr>
                  <w:t>Recurrente:</w:t>
                </w:r>
              </w:p>
            </w:tc>
            <w:tc>
              <w:tcPr>
                <w:tcW w:w="4978" w:type="dxa"/>
              </w:tcPr>
              <w:p w:rsidR="00814838" w:rsidRDefault="00E1112A">
                <w:pPr>
                  <w:tabs>
                    <w:tab w:val="left" w:pos="3122"/>
                  </w:tabs>
                  <w:ind w:right="-13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c>
              <w:tcPr>
                <w:tcW w:w="1950" w:type="dxa"/>
              </w:tcPr>
              <w:p w:rsidR="00814838" w:rsidRDefault="00814838">
                <w:pPr>
                  <w:tabs>
                    <w:tab w:val="left" w:pos="3122"/>
                    <w:tab w:val="right" w:pos="8838"/>
                  </w:tabs>
                  <w:ind w:right="-105"/>
                  <w:jc w:val="both"/>
                  <w:rPr>
                    <w:rFonts w:ascii="Palatino Linotype" w:eastAsia="Palatino Linotype" w:hAnsi="Palatino Linotype" w:cs="Palatino Linotype"/>
                    <w:sz w:val="22"/>
                    <w:szCs w:val="22"/>
                  </w:rPr>
                </w:pPr>
              </w:p>
            </w:tc>
          </w:tr>
          <w:tr w:rsidR="00814838">
            <w:trPr>
              <w:trHeight w:val="283"/>
            </w:trPr>
            <w:tc>
              <w:tcPr>
                <w:tcW w:w="2672" w:type="dxa"/>
              </w:tcPr>
              <w:p w:rsidR="00814838" w:rsidRDefault="00EC2E83">
                <w:pPr>
                  <w:ind w:left="-141" w:right="-130"/>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978" w:type="dxa"/>
              </w:tcPr>
              <w:p w:rsidR="00814838" w:rsidRDefault="00EC2E83">
                <w:pPr>
                  <w:ind w:right="-130"/>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Ayuntamiento de Naucalpan de Juárez</w:t>
                </w:r>
              </w:p>
            </w:tc>
            <w:tc>
              <w:tcPr>
                <w:tcW w:w="1950" w:type="dxa"/>
              </w:tcPr>
              <w:p w:rsidR="00814838" w:rsidRDefault="00814838">
                <w:pPr>
                  <w:tabs>
                    <w:tab w:val="left" w:pos="2834"/>
                    <w:tab w:val="right" w:pos="8838"/>
                  </w:tabs>
                  <w:ind w:left="-74" w:right="-105"/>
                  <w:jc w:val="both"/>
                  <w:rPr>
                    <w:rFonts w:ascii="Palatino Linotype" w:eastAsia="Palatino Linotype" w:hAnsi="Palatino Linotype" w:cs="Palatino Linotype"/>
                    <w:b/>
                    <w:bCs/>
                  </w:rPr>
                </w:pPr>
              </w:p>
            </w:tc>
          </w:tr>
          <w:tr w:rsidR="00814838">
            <w:trPr>
              <w:trHeight w:val="398"/>
            </w:trPr>
            <w:tc>
              <w:tcPr>
                <w:tcW w:w="2672" w:type="dxa"/>
              </w:tcPr>
              <w:p w:rsidR="00814838" w:rsidRDefault="00EC2E83">
                <w:pPr>
                  <w:ind w:left="-141" w:right="-130"/>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978" w:type="dxa"/>
              </w:tcPr>
              <w:p w:rsidR="00814838" w:rsidRDefault="00EC2E83">
                <w:pPr>
                  <w:ind w:right="-13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c>
              <w:tcPr>
                <w:tcW w:w="1950" w:type="dxa"/>
              </w:tcPr>
              <w:p w:rsidR="00814838" w:rsidRDefault="00814838">
                <w:pPr>
                  <w:tabs>
                    <w:tab w:val="right" w:pos="8838"/>
                  </w:tabs>
                  <w:ind w:left="-74" w:right="-105"/>
                  <w:jc w:val="both"/>
                  <w:rPr>
                    <w:rFonts w:ascii="Palatino Linotype" w:eastAsia="Palatino Linotype" w:hAnsi="Palatino Linotype" w:cs="Palatino Linotype"/>
                    <w:b/>
                    <w:bCs/>
                  </w:rPr>
                </w:pPr>
              </w:p>
            </w:tc>
          </w:tr>
        </w:tbl>
        <w:p w:rsidR="00814838" w:rsidRDefault="00814838">
          <w:pPr>
            <w:tabs>
              <w:tab w:val="right" w:pos="8838"/>
            </w:tabs>
            <w:ind w:left="-28"/>
            <w:jc w:val="both"/>
            <w:rPr>
              <w:rFonts w:ascii="Arial" w:eastAsia="Arial" w:hAnsi="Arial" w:cs="Arial"/>
              <w:b/>
              <w:bCs/>
              <w:sz w:val="22"/>
              <w:szCs w:val="22"/>
            </w:rPr>
          </w:pPr>
        </w:p>
      </w:tc>
    </w:tr>
  </w:tbl>
  <w:p w:rsidR="00814838" w:rsidRDefault="00EF2FE8">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6pt;margin-top:-129.9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09C1"/>
    <w:multiLevelType w:val="multilevel"/>
    <w:tmpl w:val="B2A282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5DC4736"/>
    <w:multiLevelType w:val="multilevel"/>
    <w:tmpl w:val="4D4CCB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2B1591"/>
    <w:multiLevelType w:val="multilevel"/>
    <w:tmpl w:val="1F902D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F19363F"/>
    <w:multiLevelType w:val="multilevel"/>
    <w:tmpl w:val="8E1ADD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1D777B3"/>
    <w:multiLevelType w:val="multilevel"/>
    <w:tmpl w:val="A254EA4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52E866A6"/>
    <w:multiLevelType w:val="multilevel"/>
    <w:tmpl w:val="8850D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103815"/>
    <w:multiLevelType w:val="multilevel"/>
    <w:tmpl w:val="7BD04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AC03A7"/>
    <w:multiLevelType w:val="multilevel"/>
    <w:tmpl w:val="C03E85BE"/>
    <w:lvl w:ilvl="0">
      <w:start w:val="29"/>
      <w:numFmt w:val="decimal"/>
      <w:lvlText w:val="%1."/>
      <w:lvlJc w:val="left"/>
      <w:pPr>
        <w:ind w:left="502" w:hanging="360"/>
      </w:pPr>
      <w:rPr>
        <w:rFonts w:ascii="Palatino Linotype" w:eastAsia="Palatino Linotype" w:hAnsi="Palatino Linotype" w:cs="Palatino Linotype"/>
        <w:b/>
        <w:bCs/>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15:restartNumberingAfterBreak="0">
    <w:nsid w:val="61D6285E"/>
    <w:multiLevelType w:val="multilevel"/>
    <w:tmpl w:val="A6024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60A4F5B"/>
    <w:multiLevelType w:val="multilevel"/>
    <w:tmpl w:val="3A8468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3D3DF2"/>
    <w:multiLevelType w:val="multilevel"/>
    <w:tmpl w:val="69A08A4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F54CF1"/>
    <w:multiLevelType w:val="multilevel"/>
    <w:tmpl w:val="1614820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4"/>
  </w:num>
  <w:num w:numId="4">
    <w:abstractNumId w:val="11"/>
  </w:num>
  <w:num w:numId="5">
    <w:abstractNumId w:val="9"/>
  </w:num>
  <w:num w:numId="6">
    <w:abstractNumId w:val="3"/>
  </w:num>
  <w:num w:numId="7">
    <w:abstractNumId w:val="5"/>
  </w:num>
  <w:num w:numId="8">
    <w:abstractNumId w:val="7"/>
  </w:num>
  <w:num w:numId="9">
    <w:abstractNumId w:val="1"/>
  </w:num>
  <w:num w:numId="10">
    <w:abstractNumId w:val="1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838"/>
    <w:rsid w:val="00004EFB"/>
    <w:rsid w:val="000069CC"/>
    <w:rsid w:val="0031491A"/>
    <w:rsid w:val="006E4895"/>
    <w:rsid w:val="00737932"/>
    <w:rsid w:val="00814838"/>
    <w:rsid w:val="008F2C97"/>
    <w:rsid w:val="009517E5"/>
    <w:rsid w:val="00B37228"/>
    <w:rsid w:val="00CC5F1F"/>
    <w:rsid w:val="00E1112A"/>
    <w:rsid w:val="00EC2E83"/>
    <w:rsid w:val="00EF2F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318C4DA-1F82-4923-9F34-41D80747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sz w:val="24"/>
      <w:szCs w:val="24"/>
    </w:rPr>
  </w:style>
  <w:style w:type="paragraph" w:styleId="Ttulo4">
    <w:name w:val="heading 4"/>
    <w:basedOn w:val="Normal"/>
    <w:next w:val="Normal"/>
    <w:pPr>
      <w:keepNext/>
      <w:keepLines/>
      <w:spacing w:before="40"/>
      <w:outlineLvl w:val="3"/>
    </w:pPr>
    <w:rPr>
      <w:rFonts w:ascii="Calibri" w:eastAsia="Calibri" w:hAnsi="Calibri" w:cs="Calibri"/>
      <w:i/>
      <w:iCs/>
      <w:color w:val="2E75B5"/>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rPr>
      <w:rFonts w:ascii="Calibri" w:eastAsia="Calibri" w:hAnsi="Calibri" w:cs="Calibri"/>
      <w:sz w:val="56"/>
      <w:szCs w:val="56"/>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737932"/>
    <w:pPr>
      <w:tabs>
        <w:tab w:val="center" w:pos="4419"/>
        <w:tab w:val="right" w:pos="8838"/>
      </w:tabs>
    </w:pPr>
  </w:style>
  <w:style w:type="character" w:customStyle="1" w:styleId="PiedepginaCar">
    <w:name w:val="Pie de página Car"/>
    <w:basedOn w:val="Fuentedeprrafopredeter"/>
    <w:link w:val="Piedepgina"/>
    <w:uiPriority w:val="99"/>
    <w:rsid w:val="00737932"/>
  </w:style>
  <w:style w:type="paragraph" w:styleId="Prrafodelista">
    <w:name w:val="List Paragraph"/>
    <w:basedOn w:val="Normal"/>
    <w:uiPriority w:val="34"/>
    <w:qFormat/>
    <w:rsid w:val="00314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46614.page" TargetMode="External"/><Relationship Id="rId13" Type="http://schemas.openxmlformats.org/officeDocument/2006/relationships/hyperlink" Target="https://saimex.org.mx/saimex/solicitud/downloadAttach/2670272.page"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saimex.org.mx/saimex/solicitud/downloadAttach/2670272.page" TargetMode="Externa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aimex.org.mx/saimex/solicitud/downloadAttach/2678096.page"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61399.pag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aimex.org.mx/saimex/solicitud/downloadAttach/2678095.page"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saimex.org.mx/saimex/solicitud/downloadAttach/2661371.page"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saimex.org.mx/saimex/solicitud/downloadAttach/2655290.page" TargetMode="External"/><Relationship Id="rId14" Type="http://schemas.openxmlformats.org/officeDocument/2006/relationships/hyperlink" Target="https://saimex.org.mx/saimex/solicitud/downloadAttach/2670272.page" TargetMode="External"/><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SNfnt0zog8nksZHueJZgDg9NnQ==">CgMxLjAyDWguZHQ1ODVzMjZndWEyDmgucjV2MGhqcWJ3ZDNvMg5oLnY0c2ppMjNzNmcydDIOaC5hemJvc3AyZW8zcngyDmgucHk0ODh2b200bDhqMg5oLncyM3hqc2EyM2pmMTIOaC55bHZ6aDRmNHR2Z3YyCWguM3JkY3JqbjIOaC44c2M1d3J1NnNraGgyDmgub2tueXppb2NpMXBqMg5oLmdzZHN6aGllM3Z1cTIOaC5ldGprdG00aDRkMG8yDmgudXQzamxmamdkdG94Mg5oLnBsdTY2NWN4OHZhcDIOaC5wZ2NhMGtwaWdyejg4AHIhMUFyVWNKaXJNVmRYWnhPUl9vRmpWb19EU0pCUUh5aDd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51</Pages>
  <Words>13177</Words>
  <Characters>72477</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2026-06-29T15:55:00Z</cp:lastPrinted>
  <dcterms:created xsi:type="dcterms:W3CDTF">2026-06-24T16:49:00Z</dcterms:created>
  <dcterms:modified xsi:type="dcterms:W3CDTF">2026-07-02T19:39:00Z</dcterms:modified>
</cp:coreProperties>
</file>