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FEC8F"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once de febrero de dos mil veintiséis. </w:t>
      </w:r>
    </w:p>
    <w:p w14:paraId="78F2F4CD"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BA647EC" w14:textId="36863169"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VISTO</w:t>
      </w:r>
      <w:r w:rsidRPr="00A16850">
        <w:rPr>
          <w:rFonts w:ascii="Palatino Linotype" w:eastAsia="Palatino Linotype" w:hAnsi="Palatino Linotype" w:cs="Palatino Linotype"/>
          <w:sz w:val="22"/>
          <w:szCs w:val="22"/>
        </w:rPr>
        <w:t xml:space="preserve"> el expediente formado con motivo del recurso de revisión </w:t>
      </w:r>
      <w:r w:rsidRPr="00A16850">
        <w:rPr>
          <w:rFonts w:ascii="Palatino Linotype" w:eastAsia="Palatino Linotype" w:hAnsi="Palatino Linotype" w:cs="Palatino Linotype"/>
          <w:b/>
          <w:bCs/>
          <w:sz w:val="22"/>
          <w:szCs w:val="22"/>
        </w:rPr>
        <w:t>14124/INFOEM/IP/RR/2025</w:t>
      </w:r>
      <w:r w:rsidRPr="00A16850">
        <w:rPr>
          <w:rFonts w:ascii="Palatino Linotype" w:eastAsia="Palatino Linotype" w:hAnsi="Palatino Linotype" w:cs="Palatino Linotype"/>
          <w:sz w:val="22"/>
          <w:szCs w:val="22"/>
        </w:rPr>
        <w:t>, interpuesto por</w:t>
      </w:r>
      <w:r w:rsidRPr="00A16850">
        <w:rPr>
          <w:rFonts w:ascii="Palatino Linotype" w:eastAsia="Palatino Linotype" w:hAnsi="Palatino Linotype" w:cs="Palatino Linotype"/>
          <w:b/>
          <w:bCs/>
          <w:sz w:val="22"/>
          <w:szCs w:val="22"/>
        </w:rPr>
        <w:t xml:space="preserve"> </w:t>
      </w:r>
      <w:r w:rsidR="009B0199" w:rsidRPr="009B0199">
        <w:rPr>
          <w:rFonts w:ascii="Palatino Linotype" w:eastAsia="Palatino Linotype" w:hAnsi="Palatino Linotype" w:cs="Palatino Linotype"/>
          <w:b/>
          <w:bCs/>
          <w:sz w:val="22"/>
          <w:szCs w:val="22"/>
        </w:rPr>
        <w:t>XXXXX XXXXXX XXXXXXXX</w:t>
      </w:r>
      <w:r w:rsidRPr="009B0199">
        <w:rPr>
          <w:rFonts w:ascii="Palatino Linotype" w:eastAsia="Palatino Linotype" w:hAnsi="Palatino Linotype" w:cs="Palatino Linotype"/>
          <w:b/>
          <w:bCs/>
          <w:sz w:val="22"/>
          <w:szCs w:val="22"/>
        </w:rPr>
        <w:t>,</w:t>
      </w:r>
      <w:bookmarkStart w:id="0" w:name="_GoBack"/>
      <w:bookmarkEnd w:id="0"/>
      <w:r w:rsidRPr="00A16850">
        <w:rPr>
          <w:rFonts w:ascii="Palatino Linotype" w:eastAsia="Palatino Linotype" w:hAnsi="Palatino Linotype" w:cs="Palatino Linotype"/>
          <w:sz w:val="22"/>
          <w:szCs w:val="22"/>
        </w:rPr>
        <w:t xml:space="preserve"> en lo sucesivo</w:t>
      </w:r>
      <w:r w:rsidRPr="00A16850">
        <w:rPr>
          <w:rFonts w:ascii="Palatino Linotype" w:eastAsia="Palatino Linotype" w:hAnsi="Palatino Linotype" w:cs="Palatino Linotype"/>
          <w:b/>
          <w:bCs/>
          <w:sz w:val="22"/>
          <w:szCs w:val="22"/>
        </w:rPr>
        <w:t xml:space="preserve"> </w:t>
      </w:r>
      <w:r w:rsidRPr="00A16850">
        <w:rPr>
          <w:rFonts w:ascii="Palatino Linotype" w:eastAsia="Palatino Linotype" w:hAnsi="Palatino Linotype" w:cs="Palatino Linotype"/>
          <w:sz w:val="22"/>
          <w:szCs w:val="22"/>
        </w:rPr>
        <w:t xml:space="preserve">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en contra de la respuesta a su solicitud de información con número de folio </w:t>
      </w:r>
      <w:r w:rsidRPr="00A16850">
        <w:rPr>
          <w:rFonts w:ascii="Palatino Linotype" w:eastAsia="Palatino Linotype" w:hAnsi="Palatino Linotype" w:cs="Palatino Linotype"/>
          <w:b/>
          <w:bCs/>
          <w:sz w:val="22"/>
          <w:szCs w:val="22"/>
        </w:rPr>
        <w:t>00904/ECATEPEC/IP/2025</w:t>
      </w:r>
      <w:r w:rsidRPr="00A16850">
        <w:rPr>
          <w:rFonts w:ascii="Palatino Linotype" w:eastAsia="Palatino Linotype" w:hAnsi="Palatino Linotype" w:cs="Palatino Linotype"/>
          <w:sz w:val="22"/>
          <w:szCs w:val="22"/>
        </w:rPr>
        <w:t xml:space="preserve">, por parte del </w:t>
      </w:r>
      <w:r w:rsidRPr="00A16850">
        <w:rPr>
          <w:rFonts w:ascii="Palatino Linotype" w:eastAsia="Palatino Linotype" w:hAnsi="Palatino Linotype" w:cs="Palatino Linotype"/>
          <w:b/>
          <w:bCs/>
          <w:sz w:val="22"/>
          <w:szCs w:val="22"/>
        </w:rPr>
        <w:t xml:space="preserve">Ayuntamiento de Ecatepec de Morelos, </w:t>
      </w:r>
      <w:r w:rsidRPr="00A16850">
        <w:rPr>
          <w:rFonts w:ascii="Palatino Linotype" w:eastAsia="Palatino Linotype" w:hAnsi="Palatino Linotype" w:cs="Palatino Linotype"/>
          <w:sz w:val="22"/>
          <w:szCs w:val="22"/>
        </w:rPr>
        <w:t xml:space="preserve">en lo sucesivo el </w:t>
      </w:r>
      <w:r w:rsidRPr="00A16850">
        <w:rPr>
          <w:rFonts w:ascii="Palatino Linotype" w:eastAsia="Palatino Linotype" w:hAnsi="Palatino Linotype" w:cs="Palatino Linotype"/>
          <w:b/>
          <w:bCs/>
          <w:sz w:val="22"/>
          <w:szCs w:val="22"/>
        </w:rPr>
        <w:t xml:space="preserve">Sujeto Obligado, </w:t>
      </w:r>
      <w:r w:rsidRPr="00A16850">
        <w:rPr>
          <w:rFonts w:ascii="Palatino Linotype" w:eastAsia="Palatino Linotype" w:hAnsi="Palatino Linotype" w:cs="Palatino Linotype"/>
          <w:sz w:val="22"/>
          <w:szCs w:val="22"/>
        </w:rPr>
        <w:t xml:space="preserve">se procede a dictar la presente resolución con base en los siguientes:  </w:t>
      </w:r>
    </w:p>
    <w:p w14:paraId="11C735BD" w14:textId="77777777" w:rsidR="00DE75A3" w:rsidRPr="00A16850" w:rsidRDefault="002724D5">
      <w:pPr>
        <w:spacing w:line="360" w:lineRule="auto"/>
        <w:jc w:val="center"/>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I. A N T E C E D E N T E S</w:t>
      </w:r>
    </w:p>
    <w:p w14:paraId="22653E99"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211F2A22"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1. Solicitud de acceso a la información.</w:t>
      </w:r>
      <w:r w:rsidRPr="00A16850">
        <w:rPr>
          <w:rFonts w:ascii="Palatino Linotype" w:eastAsia="Palatino Linotype" w:hAnsi="Palatino Linotype" w:cs="Palatino Linotype"/>
          <w:sz w:val="22"/>
          <w:szCs w:val="22"/>
        </w:rPr>
        <w:t xml:space="preserve"> Con fecha </w:t>
      </w:r>
      <w:r w:rsidRPr="00A16850">
        <w:rPr>
          <w:rFonts w:ascii="Palatino Linotype" w:eastAsia="Palatino Linotype" w:hAnsi="Palatino Linotype" w:cs="Palatino Linotype"/>
          <w:b/>
          <w:bCs/>
          <w:sz w:val="22"/>
          <w:szCs w:val="22"/>
        </w:rPr>
        <w:t>once de noviembre de dos mil veinticinco</w:t>
      </w:r>
      <w:r w:rsidRPr="00A16850">
        <w:rPr>
          <w:rFonts w:ascii="Palatino Linotype" w:eastAsia="Palatino Linotype" w:hAnsi="Palatino Linotype" w:cs="Palatino Linotype"/>
          <w:sz w:val="22"/>
          <w:szCs w:val="22"/>
        </w:rPr>
        <w:t xml:space="preserv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formuló solicitud de acceso a información pública al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a través del Sistema de Acceso a la Información Mexiquense, en adelante </w:t>
      </w:r>
      <w:r w:rsidRPr="00A16850">
        <w:rPr>
          <w:rFonts w:ascii="Palatino Linotype" w:eastAsia="Palatino Linotype" w:hAnsi="Palatino Linotype" w:cs="Palatino Linotype"/>
          <w:b/>
          <w:bCs/>
          <w:sz w:val="22"/>
          <w:szCs w:val="22"/>
        </w:rPr>
        <w:t>SAIMEX</w:t>
      </w:r>
      <w:r w:rsidRPr="00A16850">
        <w:rPr>
          <w:rFonts w:ascii="Palatino Linotype" w:eastAsia="Palatino Linotype" w:hAnsi="Palatino Linotype" w:cs="Palatino Linotype"/>
          <w:sz w:val="22"/>
          <w:szCs w:val="22"/>
        </w:rPr>
        <w:t>;</w:t>
      </w:r>
      <w:r w:rsidRPr="00A16850">
        <w:rPr>
          <w:rFonts w:ascii="Palatino Linotype" w:eastAsia="Palatino Linotype" w:hAnsi="Palatino Linotype" w:cs="Palatino Linotype"/>
          <w:b/>
          <w:bCs/>
          <w:sz w:val="22"/>
          <w:szCs w:val="22"/>
        </w:rPr>
        <w:t xml:space="preserve"> </w:t>
      </w:r>
      <w:r w:rsidRPr="00A16850">
        <w:rPr>
          <w:rFonts w:ascii="Palatino Linotype" w:eastAsia="Palatino Linotype" w:hAnsi="Palatino Linotype" w:cs="Palatino Linotype"/>
          <w:sz w:val="22"/>
          <w:szCs w:val="22"/>
        </w:rPr>
        <w:t>requiriéndole lo siguiente:</w:t>
      </w:r>
    </w:p>
    <w:p w14:paraId="43A016D2" w14:textId="77777777" w:rsidR="00DE75A3" w:rsidRPr="00A16850" w:rsidRDefault="00DE75A3">
      <w:pPr>
        <w:spacing w:line="276" w:lineRule="auto"/>
        <w:ind w:left="851" w:right="616"/>
        <w:jc w:val="both"/>
        <w:rPr>
          <w:rFonts w:ascii="Palatino Linotype" w:eastAsia="Palatino Linotype" w:hAnsi="Palatino Linotype" w:cs="Palatino Linotype"/>
          <w:i/>
          <w:iCs/>
          <w:sz w:val="22"/>
          <w:szCs w:val="22"/>
        </w:rPr>
      </w:pPr>
    </w:p>
    <w:p w14:paraId="6F98402A"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 xml:space="preserve">“SOLICITO COPIA SIMPLE DIGITALIZADA A TRAVÉS DEL SISTEMA ELECTRÓNICO SAIMEX DE TODAS LAS </w:t>
      </w:r>
      <w:r w:rsidRPr="00A16850">
        <w:rPr>
          <w:rFonts w:ascii="Palatino Linotype" w:eastAsia="Palatino Linotype" w:hAnsi="Palatino Linotype" w:cs="Palatino Linotype"/>
          <w:b/>
          <w:bCs/>
          <w:i/>
          <w:iCs/>
          <w:sz w:val="22"/>
          <w:szCs w:val="22"/>
        </w:rPr>
        <w:t xml:space="preserve">FACTURAS PAGADAS Y EN PROCESO DE PAGO POR MÁS DE UN MILLÓN DE PESOS </w:t>
      </w:r>
      <w:r w:rsidRPr="00A16850">
        <w:rPr>
          <w:rFonts w:ascii="Palatino Linotype" w:eastAsia="Palatino Linotype" w:hAnsi="Palatino Linotype" w:cs="Palatino Linotype"/>
          <w:i/>
          <w:iCs/>
          <w:sz w:val="22"/>
          <w:szCs w:val="22"/>
        </w:rPr>
        <w:t>GENERADAS ENTRE EL 1 DE ENERO Y EL 10 DE NOVIEMBRE DE 2025.</w:t>
      </w:r>
      <w:r w:rsidRPr="00A16850">
        <w:rPr>
          <w:rFonts w:ascii="Palatino Linotype" w:eastAsia="Palatino Linotype" w:hAnsi="Palatino Linotype" w:cs="Palatino Linotype"/>
          <w:b/>
          <w:bCs/>
          <w:i/>
          <w:iCs/>
          <w:sz w:val="22"/>
          <w:szCs w:val="22"/>
        </w:rPr>
        <w:t>”</w:t>
      </w:r>
      <w:r w:rsidRPr="00A16850">
        <w:rPr>
          <w:rFonts w:ascii="Palatino Linotype" w:eastAsia="Palatino Linotype" w:hAnsi="Palatino Linotype" w:cs="Palatino Linotype"/>
          <w:i/>
          <w:iCs/>
          <w:sz w:val="22"/>
          <w:szCs w:val="22"/>
        </w:rPr>
        <w:t xml:space="preserve"> (sic) </w:t>
      </w:r>
    </w:p>
    <w:p w14:paraId="3EE28F35"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149CB927"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Modalidad de Entrega:</w:t>
      </w:r>
      <w:r w:rsidRPr="00A16850">
        <w:rPr>
          <w:rFonts w:ascii="Palatino Linotype" w:eastAsia="Palatino Linotype" w:hAnsi="Palatino Linotype" w:cs="Palatino Linotype"/>
          <w:sz w:val="22"/>
          <w:szCs w:val="22"/>
        </w:rPr>
        <w:t xml:space="preserve"> a través </w:t>
      </w:r>
      <w:r w:rsidRPr="00A16850">
        <w:rPr>
          <w:rFonts w:ascii="Palatino Linotype" w:eastAsia="Palatino Linotype" w:hAnsi="Palatino Linotype" w:cs="Palatino Linotype"/>
          <w:b/>
          <w:bCs/>
          <w:sz w:val="22"/>
          <w:szCs w:val="22"/>
        </w:rPr>
        <w:t>de SAIMEX</w:t>
      </w:r>
    </w:p>
    <w:p w14:paraId="5B77B8ED" w14:textId="77777777" w:rsidR="00DE75A3" w:rsidRPr="00A16850" w:rsidRDefault="00DE75A3">
      <w:pPr>
        <w:spacing w:line="360" w:lineRule="auto"/>
        <w:jc w:val="both"/>
        <w:rPr>
          <w:rFonts w:ascii="Palatino Linotype" w:eastAsia="Palatino Linotype" w:hAnsi="Palatino Linotype" w:cs="Palatino Linotype"/>
          <w:b/>
          <w:bCs/>
          <w:sz w:val="22"/>
          <w:szCs w:val="22"/>
        </w:rPr>
      </w:pPr>
      <w:bookmarkStart w:id="1" w:name="_heading=h.3dy6vkm" w:colFirst="0" w:colLast="0"/>
      <w:bookmarkEnd w:id="1"/>
    </w:p>
    <w:p w14:paraId="1AFE38F0"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 xml:space="preserve">2. Respuesta. </w:t>
      </w:r>
      <w:r w:rsidRPr="00A16850">
        <w:rPr>
          <w:rFonts w:ascii="Palatino Linotype" w:eastAsia="Palatino Linotype" w:hAnsi="Palatino Linotype" w:cs="Palatino Linotype"/>
          <w:sz w:val="22"/>
          <w:szCs w:val="22"/>
        </w:rPr>
        <w:t>Con fecha</w:t>
      </w:r>
      <w:r w:rsidRPr="00A16850">
        <w:rPr>
          <w:rFonts w:ascii="Palatino Linotype" w:eastAsia="Palatino Linotype" w:hAnsi="Palatino Linotype" w:cs="Palatino Linotype"/>
          <w:b/>
          <w:bCs/>
          <w:sz w:val="22"/>
          <w:szCs w:val="22"/>
        </w:rPr>
        <w:t xml:space="preserve"> cuatro de diciembre de dos mil veinticinco</w:t>
      </w:r>
      <w:r w:rsidRPr="00A16850">
        <w:rPr>
          <w:rFonts w:ascii="Palatino Linotype" w:eastAsia="Palatino Linotype" w:hAnsi="Palatino Linotype" w:cs="Palatino Linotype"/>
          <w:sz w:val="22"/>
          <w:szCs w:val="22"/>
        </w:rPr>
        <w:t xml:space="preserve">, el </w:t>
      </w:r>
      <w:r w:rsidRPr="00A16850">
        <w:rPr>
          <w:rFonts w:ascii="Palatino Linotype" w:eastAsia="Palatino Linotype" w:hAnsi="Palatino Linotype" w:cs="Palatino Linotype"/>
          <w:b/>
          <w:bCs/>
          <w:sz w:val="22"/>
          <w:szCs w:val="22"/>
        </w:rPr>
        <w:t xml:space="preserve">Sujeto Obligado </w:t>
      </w:r>
      <w:r w:rsidRPr="00A16850">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25DB04B0" w14:textId="77777777" w:rsidR="00DE75A3" w:rsidRPr="00A16850" w:rsidRDefault="00DE75A3">
      <w:pPr>
        <w:spacing w:line="276" w:lineRule="auto"/>
        <w:ind w:left="851" w:right="616"/>
        <w:jc w:val="both"/>
        <w:rPr>
          <w:rFonts w:ascii="Palatino Linotype" w:eastAsia="Palatino Linotype" w:hAnsi="Palatino Linotype" w:cs="Palatino Linotype"/>
          <w:i/>
          <w:iCs/>
          <w:sz w:val="22"/>
          <w:szCs w:val="22"/>
        </w:rPr>
      </w:pPr>
    </w:p>
    <w:p w14:paraId="5E4FA1F0"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045166"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LIC. CRISTINA MUÑOZ GALLARDO TITULAR DE LA UNIDAD DE TRANSPARENCIA Y ACCESO A LA INFORMACIÓN PRESENTE Por este medio le saludo cordialmente, en atención a la Solicitud de Información con No. 00904/ECATEPEC/IP/2025, consistente en: “SOLICITO COPIA SIMPLE DIGITALIZADA A TRAVÉS DEL SISTEMA ELECTRÓNICO SAIMEX DE TODAS LAS FACTURAS PAGADAS Y EN PROCESO DE PAGO POR MÁS DE UN MILLÓN DE PESOS GENERADAS ENTRE EL 1 DE ENERO Y EL 10 DE NOVIEMBRE DE 2025. ( solo contestar lo que es de su </w:t>
      </w:r>
      <w:proofErr w:type="spellStart"/>
      <w:r w:rsidRPr="00A16850">
        <w:rPr>
          <w:rFonts w:ascii="Palatino Linotype" w:eastAsia="Palatino Linotype" w:hAnsi="Palatino Linotype" w:cs="Palatino Linotype"/>
          <w:i/>
          <w:iCs/>
          <w:sz w:val="22"/>
          <w:szCs w:val="22"/>
        </w:rPr>
        <w:t>competancia</w:t>
      </w:r>
      <w:proofErr w:type="spellEnd"/>
      <w:r w:rsidRPr="00A16850">
        <w:rPr>
          <w:rFonts w:ascii="Palatino Linotype" w:eastAsia="Palatino Linotype" w:hAnsi="Palatino Linotype" w:cs="Palatino Linotype"/>
          <w:i/>
          <w:iCs/>
          <w:sz w:val="22"/>
          <w:szCs w:val="22"/>
        </w:rPr>
        <w:t xml:space="preserve">).”…(sic) Al respecto, y en apego a los principios de certeza, eficacia, imparcialidad, independencia, legalidad, máxima publicidad, objetividad, profesionalismo y transparencia, consagrado en el artículo 8° de la Ley General de Transparencia y Acceso a la Información Pública, hago de su conocimiento que </w:t>
      </w:r>
      <w:r w:rsidRPr="00A16850">
        <w:rPr>
          <w:rFonts w:ascii="Palatino Linotype" w:eastAsia="Palatino Linotype" w:hAnsi="Palatino Linotype" w:cs="Palatino Linotype"/>
          <w:b/>
          <w:bCs/>
          <w:i/>
          <w:iCs/>
          <w:sz w:val="22"/>
          <w:szCs w:val="22"/>
        </w:rPr>
        <w:t>esta Tesorería advierte que la información de los pagos realizados a personas físicas y morales durante el periodo del 1 de enero al 10 de noviembre , es considerada como información confidencial,</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de conformidad con lo dispuesto en el artículo 40 fracción II, 115 párrafo primero y tercero de la Ley General de Transparencia y Acceso a la información Pública; articulo 3 fracciones XX y XXI, 49 fracciones II y VIII, 132 fracción I, 143 fracción I, II, y 149 de la Ley de Transparencia y Acceso a la Información Pública del Estado de México y Municipios, en los que se establecen los límites y excepciones a la divulgación de la información relacionada con los aspectos financieros y bancarios</w:t>
      </w:r>
      <w:r w:rsidRPr="00A16850">
        <w:rPr>
          <w:rFonts w:ascii="Palatino Linotype" w:eastAsia="Palatino Linotype" w:hAnsi="Palatino Linotype" w:cs="Palatino Linotype"/>
          <w:i/>
          <w:iCs/>
          <w:sz w:val="22"/>
          <w:szCs w:val="22"/>
        </w:rPr>
        <w:t xml:space="preserve">. No omito señalar que, la información propuesta a clasificar no obra en una fuente de acceso público, sino en los expedientes que se generan en la Tesorería de este H. Ayuntamiento de Ecatepec de Morelos, los cuales son para uso exclusivo del personal adscrito a las unidades administrativas con atribuciones para consultarlos y hacer uso de ellos. Por lo anterior, y en aras de atender la solicitud en mención, se presenta y aplica una prueba de daño, entendiéndose por ésta, la demostración de manera fundada y motivada de que la divulgación de la información lesiona el interés jurídicamente protegido por la Ley y que el menoscabo o daño que </w:t>
      </w:r>
      <w:r w:rsidRPr="00A16850">
        <w:rPr>
          <w:rFonts w:ascii="Palatino Linotype" w:eastAsia="Palatino Linotype" w:hAnsi="Palatino Linotype" w:cs="Palatino Linotype"/>
          <w:i/>
          <w:iCs/>
          <w:sz w:val="22"/>
          <w:szCs w:val="22"/>
        </w:rPr>
        <w:lastRenderedPageBreak/>
        <w:t xml:space="preserve">puede producirse con la publicidad de la información es mayor que el interés de conocerla y, por consiguiente, debe clasificarse como reservada, precisando las razones objetivas por las que la apertura de la información genera una afectación. Al respecto, y en apego en lo dispuesto en los artículos del párrafo segundo, fracciones I y II del artículo 6 Constitucional, en donde se concluye que, con la mayoría de las garantías individuales, el derecho de acceso a la información pública no es absoluto, sino que se encuentra sometido a un régimen reducido de excepciones para el caso de que su ejercicio amenace valores o bienes jurídicos igualmente protegidos por el derecho, que son </w:t>
      </w:r>
      <w:r w:rsidRPr="00A16850">
        <w:rPr>
          <w:rFonts w:ascii="Palatino Linotype" w:eastAsia="Palatino Linotype" w:hAnsi="Palatino Linotype" w:cs="Palatino Linotype"/>
          <w:i/>
          <w:iCs/>
          <w:sz w:val="22"/>
          <w:szCs w:val="22"/>
        </w:rPr>
        <w:t xml:space="preserve"> Causas de interés público. Cuando la divulgación de cierta información, ponga en riesgo de manera indudable e inmediata el adecuado funcionamiento de las instituciones públicas y/o la paz social: por ejemplo, en los casos de seguridad nacional la seguridad pública, las relaciones internacionales, la economía, la vida, la salud o seguridad de las personas y los actos relacionados con la aplicación de las leyes; y </w:t>
      </w:r>
      <w:r w:rsidRPr="00A16850">
        <w:rPr>
          <w:rFonts w:ascii="Palatino Linotype" w:eastAsia="Palatino Linotype" w:hAnsi="Palatino Linotype" w:cs="Palatino Linotype"/>
          <w:i/>
          <w:iCs/>
          <w:sz w:val="22"/>
          <w:szCs w:val="22"/>
        </w:rPr>
        <w:t xml:space="preserve"> Protección de la vida privada y de los datos personales. Información que no está sujeta al principio de la publicidad, dado que su divulgación pone en grave riesgo otro derecho fundamental como es el señalado en el artículo 16 párrafo segundo de la propia Constitución Política Federal. Estas excepciones son las que dan origen a la figura jurídica "clasificación de información", en cuanto a que es regla universal que las autoridades no están autorizadas a mantener secretos en relación a las actividades que desarrollan en ejercicio de funciones de derecho público, salvo que el ocultamiento garantice el irrestricto respeto a los bienes jurídicos de mérito, debiéndose para el caso, restringir el derecho de acceso a la información. Sobre el tema, disponen los artículos 3 fracción XX y XLV de la Ley de Transparencia y Acceso a la Información Pública del Estado de México y Municipios: “Artículo 3. Para los efectos de la presente Ley se entenderá por: … XX. Información clasificada: Aquella considerada por la presente Ley como reservada o confidencial; XLV. Versión pública: Documento en el que se elimine, suprime o borra la información clasificada como reservada o confidencial para permitir su acceso.” Lo que relacionado con los Capítulo II, artículo 140 fracción V y Capítulo III artículo 143, fracción II de la citada ley: “Artículo 140. El acceso a la información pública será restringido excepcionalmente, cuando por razones de interés público, ésta sea clasificada como reservada, conforme a los criterios siguientes: I a IV... V. Aquella cuya divulgación obstruya o pueda causar un serio perjuicio a: 1. Las actividades de fiscalización, verificación, inspección, comprobación y auditoria sobre el cumplimiento de las Leyes; o 2. La recaudación de las contribuciones.” Artículo 143. Para los efectos de esta Ley se considera información confidencial, la clasificada como tal, de manera permanente, por su naturaleza, cuando: … II. Los secretos bancario, fiduciario, industrial, comercial, fiscal, bursátil y postal, cuya titularidad corresponda a particulares, sujetos de derecho internacional o a sujetos obligados cuando no involucren el ejercicio de recursos públicos. Lo anterior en virtud de que: • El número de cuenta bancario se trata de una clave que otorgan los bancos a sus usuarios, con el único fin de identificar las transferencias que se realizan por parte del titular de una cuenta. • El número de cuenta, es un dato imprescindible para realizar transferencias o acceso en línea a las cuentas bancarias; por lo que, únicamente es útil para su titular y las personas que realizan movimientos de depósito o retiro de esa cuenta. </w:t>
      </w:r>
      <w:r w:rsidRPr="00A16850">
        <w:rPr>
          <w:rFonts w:ascii="Palatino Linotype" w:eastAsia="Palatino Linotype" w:hAnsi="Palatino Linotype" w:cs="Palatino Linotype"/>
          <w:b/>
          <w:bCs/>
          <w:i/>
          <w:iCs/>
          <w:sz w:val="22"/>
          <w:szCs w:val="22"/>
        </w:rPr>
        <w:t>Con el fin de establecer medidas de seguridad que impidan el uso indebido, acceso ilegal, falsificación o alteración de los documentos bancarios del Municipio de Ecatepec de Morelos y con base en lo establecido por el artículo 20, fracción IV de la Ley de Transparencia y Acceso a la Información Pública del Estado de México y Municipios, en su parte conducente a prevención del delito, esta Tesorería solicita sea clasificado como reservada la información relativa a los números de cuenta bancarios, de póliza-cheque y los de cuenta internos que identifican las cuentas bancarias, en virtud de que su difusión puede ser utilizada por terceros ajenos al municipio o por otras personas dentro de la institución o de los bancos, para cometer ilícitos en perjuicio del patrimonio</w:t>
      </w:r>
      <w:r w:rsidRPr="00A16850">
        <w:rPr>
          <w:rFonts w:ascii="Palatino Linotype" w:eastAsia="Palatino Linotype" w:hAnsi="Palatino Linotype" w:cs="Palatino Linotype"/>
          <w:i/>
          <w:iCs/>
          <w:sz w:val="22"/>
          <w:szCs w:val="22"/>
        </w:rPr>
        <w:t>. En este sentido, proporcionar los números de cuenta bancarios, de póliza, cheque y los de cuenta internos que identifican las cuentas bancarias, generaría el riesgo latente de que personas con experiencia en el manejo de equipos de cómputo pueda acceder a las cuentas bancarias del Municipio, con el simple hecho de poseer datos mínimos como nombre del titular de la cuenta, el nombre de la institución bancaria, más el número de cuenta en donde se tengan depósitos. No se omite mencionar que la exhibición de dicha información NO CONTRIBUYEN EN NADA a la rendición de cuentas o a transparentar la gestión gubernamental, debido a que por sí solos no reflejan el desempeño de las funciones públicas, y, en suma, su difusión actualiza un daño presente, probable y específico a un bien jurídico de acuerdo al ya citado artículo 140 fracciones I y V de la Ley de Transparencia y Acceso a la Información del Estado de México y Municipios. Por ello, en términos de los artículos 123, fracciones I y II; 124, fracción I; 125 y 128, párrafo tercero de la Ley de Transparencia y Acceso a la Información Pública del Estado de México y Municipios; y los numerales Octavo, párrafo tercero y Trigésimo Cuarto de los Lineamientos en materia de Clasificación y Desclasificación de la Información así como para la elaboración de versiones públicas, se considera la reserva TOTAL por un periodo de CINCO AÑOS, mismo que es el estrictamente necesario para salvaguardar la información y el bien jurídico tutelado por las causales invocadas, sin perjuicio de que previo al vencimiento de dicho plazo pueda llevarse a cabo su desclasificación en caso de que dejen de subsistir las causas que dieron origen a la clasificación. Sin otro particular por el momento, reciba un cordial saludo. ATENTAMENTE LIC. ALEJANDRO HERNÁNDEZ AGUILAR TESORERO MUNICIPAL DEL H. AYUNTAMIENTO DE ECATEPEC DE MORELOS</w:t>
      </w:r>
    </w:p>
    <w:p w14:paraId="30B38E65"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ATENTAMENTE</w:t>
      </w:r>
    </w:p>
    <w:p w14:paraId="736A9872"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Cristina Muñoz Gallardo” (sic)</w:t>
      </w:r>
    </w:p>
    <w:p w14:paraId="5B6752DC" w14:textId="77777777" w:rsidR="00DE75A3" w:rsidRPr="00A16850" w:rsidRDefault="00DE75A3">
      <w:pPr>
        <w:spacing w:line="360" w:lineRule="auto"/>
        <w:ind w:right="49"/>
        <w:jc w:val="both"/>
        <w:rPr>
          <w:rFonts w:ascii="Palatino Linotype" w:eastAsia="Palatino Linotype" w:hAnsi="Palatino Linotype" w:cs="Palatino Linotype"/>
          <w:b/>
          <w:bCs/>
          <w:sz w:val="22"/>
          <w:szCs w:val="22"/>
        </w:rPr>
      </w:pPr>
    </w:p>
    <w:p w14:paraId="25E2AF18" w14:textId="77777777" w:rsidR="00DE75A3" w:rsidRPr="00A16850" w:rsidRDefault="002724D5">
      <w:pPr>
        <w:spacing w:line="360" w:lineRule="auto"/>
        <w:ind w:right="4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3. Interposición del recurso de revisión. </w:t>
      </w:r>
      <w:r w:rsidRPr="00A16850">
        <w:rPr>
          <w:rFonts w:ascii="Palatino Linotype" w:eastAsia="Palatino Linotype" w:hAnsi="Palatino Linotype" w:cs="Palatino Linotype"/>
          <w:sz w:val="22"/>
          <w:szCs w:val="22"/>
        </w:rPr>
        <w:t xml:space="preserve">Inconforme con los términos de la respuesta emitida por parte del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el </w:t>
      </w:r>
      <w:r w:rsidRPr="00A16850">
        <w:rPr>
          <w:rFonts w:ascii="Palatino Linotype" w:eastAsia="Palatino Linotype" w:hAnsi="Palatino Linotype" w:cs="Palatino Linotype"/>
          <w:b/>
          <w:bCs/>
          <w:sz w:val="22"/>
          <w:szCs w:val="22"/>
        </w:rPr>
        <w:t>once de diciembre de dos mil veinticinco,</w:t>
      </w:r>
      <w:r w:rsidRPr="00A16850">
        <w:rPr>
          <w:rFonts w:ascii="Palatino Linotype" w:eastAsia="Palatino Linotype" w:hAnsi="Palatino Linotype" w:cs="Palatino Linotype"/>
          <w:sz w:val="22"/>
          <w:szCs w:val="22"/>
        </w:rPr>
        <w:t xml:space="preserv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interpuso el recurso de revisión a través de </w:t>
      </w:r>
      <w:r w:rsidRPr="00A16850">
        <w:rPr>
          <w:rFonts w:ascii="Palatino Linotype" w:eastAsia="Palatino Linotype" w:hAnsi="Palatino Linotype" w:cs="Palatino Linotype"/>
          <w:b/>
          <w:bCs/>
          <w:sz w:val="22"/>
          <w:szCs w:val="22"/>
        </w:rPr>
        <w:t xml:space="preserve">SAIMEX, </w:t>
      </w:r>
      <w:r w:rsidRPr="00A16850">
        <w:rPr>
          <w:rFonts w:ascii="Palatino Linotype" w:eastAsia="Palatino Linotype" w:hAnsi="Palatino Linotype" w:cs="Palatino Linotype"/>
          <w:sz w:val="22"/>
          <w:szCs w:val="22"/>
        </w:rPr>
        <w:t>en donde se manifestó de la siguiente manera:</w:t>
      </w:r>
    </w:p>
    <w:p w14:paraId="0463F826" w14:textId="77777777" w:rsidR="00DE75A3" w:rsidRPr="00A16850" w:rsidRDefault="00DE75A3">
      <w:pPr>
        <w:spacing w:line="360" w:lineRule="auto"/>
        <w:ind w:right="49"/>
        <w:jc w:val="both"/>
        <w:rPr>
          <w:rFonts w:ascii="Palatino Linotype" w:eastAsia="Palatino Linotype" w:hAnsi="Palatino Linotype" w:cs="Palatino Linotype"/>
          <w:sz w:val="22"/>
          <w:szCs w:val="22"/>
        </w:rPr>
      </w:pPr>
    </w:p>
    <w:p w14:paraId="0A3387C6" w14:textId="77777777" w:rsidR="00DE75A3" w:rsidRPr="00A16850" w:rsidRDefault="002724D5">
      <w:pPr>
        <w:tabs>
          <w:tab w:val="left" w:pos="2745"/>
        </w:tabs>
        <w:spacing w:line="360" w:lineRule="auto"/>
        <w:ind w:left="851" w:right="616"/>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 xml:space="preserve">Acto impugnado: </w:t>
      </w:r>
    </w:p>
    <w:p w14:paraId="75EC72B8" w14:textId="77777777" w:rsidR="00DE75A3" w:rsidRPr="00A16850" w:rsidRDefault="002724D5">
      <w:pPr>
        <w:tabs>
          <w:tab w:val="left" w:pos="2745"/>
        </w:tabs>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“RESPUESTA A LA SOLICITUD 00904/ECATEPEC/IP/2025” (sic)</w:t>
      </w:r>
    </w:p>
    <w:p w14:paraId="0AF9FB1A" w14:textId="77777777" w:rsidR="00DE75A3" w:rsidRPr="00A16850" w:rsidRDefault="00DE75A3">
      <w:pPr>
        <w:tabs>
          <w:tab w:val="left" w:pos="2745"/>
        </w:tabs>
        <w:ind w:left="851" w:right="616"/>
        <w:jc w:val="both"/>
        <w:rPr>
          <w:rFonts w:ascii="Palatino Linotype" w:eastAsia="Palatino Linotype" w:hAnsi="Palatino Linotype" w:cs="Palatino Linotype"/>
          <w:i/>
          <w:iCs/>
          <w:sz w:val="22"/>
          <w:szCs w:val="22"/>
        </w:rPr>
      </w:pPr>
    </w:p>
    <w:p w14:paraId="3322CA78" w14:textId="77777777" w:rsidR="00DE75A3" w:rsidRPr="00A16850" w:rsidRDefault="002724D5">
      <w:pPr>
        <w:spacing w:line="360" w:lineRule="auto"/>
        <w:ind w:left="851" w:right="616"/>
        <w:jc w:val="both"/>
        <w:rPr>
          <w:rFonts w:ascii="Palatino Linotype" w:eastAsia="Palatino Linotype" w:hAnsi="Palatino Linotype" w:cs="Palatino Linotype"/>
          <w:sz w:val="22"/>
          <w:szCs w:val="22"/>
        </w:rPr>
      </w:pPr>
      <w:bookmarkStart w:id="2" w:name="_heading=h.30j0zll" w:colFirst="0" w:colLast="0"/>
      <w:bookmarkEnd w:id="2"/>
      <w:r w:rsidRPr="00A16850">
        <w:rPr>
          <w:rFonts w:ascii="Palatino Linotype" w:eastAsia="Palatino Linotype" w:hAnsi="Palatino Linotype" w:cs="Palatino Linotype"/>
          <w:b/>
          <w:bCs/>
          <w:sz w:val="22"/>
          <w:szCs w:val="22"/>
        </w:rPr>
        <w:t>Y Razones o motivos de inconformidad</w:t>
      </w:r>
      <w:r w:rsidRPr="00A16850">
        <w:rPr>
          <w:rFonts w:ascii="Palatino Linotype" w:eastAsia="Palatino Linotype" w:hAnsi="Palatino Linotype" w:cs="Palatino Linotype"/>
          <w:sz w:val="22"/>
          <w:szCs w:val="22"/>
        </w:rPr>
        <w:t xml:space="preserve">: </w:t>
      </w:r>
    </w:p>
    <w:p w14:paraId="58BE3602" w14:textId="77777777" w:rsidR="00DE75A3" w:rsidRPr="00A16850" w:rsidRDefault="002724D5">
      <w:pPr>
        <w:tabs>
          <w:tab w:val="left" w:pos="2745"/>
        </w:tabs>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“EL SUJETO OBLIGADO SE NIEGA A ENTREGAR LA INFORMACION SOLICITADA, CON LO CUAL VIOLA FLAGRANTEMENTE LA LEY EN MATERIA DE TRANSPARENCIA.” (sic)</w:t>
      </w:r>
    </w:p>
    <w:p w14:paraId="142AD175" w14:textId="77777777" w:rsidR="00DE75A3" w:rsidRPr="00A16850" w:rsidRDefault="00DE75A3">
      <w:pPr>
        <w:spacing w:line="360" w:lineRule="auto"/>
        <w:ind w:right="51"/>
        <w:jc w:val="both"/>
        <w:rPr>
          <w:rFonts w:ascii="Palatino Linotype" w:eastAsia="Palatino Linotype" w:hAnsi="Palatino Linotype" w:cs="Palatino Linotype"/>
          <w:b/>
          <w:bCs/>
          <w:sz w:val="22"/>
          <w:szCs w:val="22"/>
        </w:rPr>
      </w:pPr>
    </w:p>
    <w:p w14:paraId="49B22A1A" w14:textId="77777777" w:rsidR="00DE75A3" w:rsidRPr="00A16850" w:rsidRDefault="002724D5">
      <w:pPr>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4. Turno. </w:t>
      </w:r>
      <w:r w:rsidRPr="00A1685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16850">
        <w:rPr>
          <w:rFonts w:ascii="Palatino Linotype" w:eastAsia="Palatino Linotype" w:hAnsi="Palatino Linotype" w:cs="Palatino Linotype"/>
          <w:b/>
          <w:bCs/>
          <w:sz w:val="22"/>
          <w:szCs w:val="22"/>
        </w:rPr>
        <w:t xml:space="preserve">Guadalupe Ramírez Peña, </w:t>
      </w:r>
      <w:r w:rsidRPr="00A16850">
        <w:rPr>
          <w:rFonts w:ascii="Palatino Linotype" w:eastAsia="Palatino Linotype" w:hAnsi="Palatino Linotype" w:cs="Palatino Linotype"/>
          <w:sz w:val="22"/>
          <w:szCs w:val="22"/>
        </w:rPr>
        <w:t xml:space="preserve">a efecto de que analizara sobre su admisión o su </w:t>
      </w:r>
      <w:proofErr w:type="spellStart"/>
      <w:r w:rsidRPr="00A16850">
        <w:rPr>
          <w:rFonts w:ascii="Palatino Linotype" w:eastAsia="Palatino Linotype" w:hAnsi="Palatino Linotype" w:cs="Palatino Linotype"/>
          <w:sz w:val="22"/>
          <w:szCs w:val="22"/>
        </w:rPr>
        <w:t>desechamiento</w:t>
      </w:r>
      <w:proofErr w:type="spellEnd"/>
      <w:r w:rsidRPr="00A16850">
        <w:rPr>
          <w:rFonts w:ascii="Palatino Linotype" w:eastAsia="Palatino Linotype" w:hAnsi="Palatino Linotype" w:cs="Palatino Linotype"/>
          <w:sz w:val="22"/>
          <w:szCs w:val="22"/>
        </w:rPr>
        <w:t>.</w:t>
      </w:r>
    </w:p>
    <w:p w14:paraId="530614EA"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2B5D3D4F"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5. Admisión del Recurso de revisión.</w:t>
      </w:r>
      <w:r w:rsidRPr="00A16850">
        <w:rPr>
          <w:rFonts w:ascii="Palatino Linotype" w:eastAsia="Palatino Linotype" w:hAnsi="Palatino Linotype" w:cs="Palatino Linotype"/>
          <w:sz w:val="22"/>
          <w:szCs w:val="22"/>
        </w:rPr>
        <w:t xml:space="preserve"> Con fecha</w:t>
      </w:r>
      <w:r w:rsidRPr="00A16850">
        <w:rPr>
          <w:rFonts w:ascii="Palatino Linotype" w:eastAsia="Palatino Linotype" w:hAnsi="Palatino Linotype" w:cs="Palatino Linotype"/>
          <w:b/>
          <w:bCs/>
          <w:sz w:val="22"/>
          <w:szCs w:val="22"/>
        </w:rPr>
        <w:t xml:space="preserve"> diecisiete de diciembre de dos mil veinticinco, </w:t>
      </w:r>
      <w:r w:rsidRPr="00A1685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16850">
        <w:rPr>
          <w:rFonts w:ascii="Palatino Linotype" w:eastAsia="Palatino Linotype" w:hAnsi="Palatino Linotype" w:cs="Palatino Linotype"/>
          <w:b/>
          <w:bCs/>
          <w:sz w:val="22"/>
          <w:szCs w:val="22"/>
        </w:rPr>
        <w:t xml:space="preserve">Sujeto Obligado </w:t>
      </w:r>
      <w:r w:rsidRPr="00A16850">
        <w:rPr>
          <w:rFonts w:ascii="Palatino Linotype" w:eastAsia="Palatino Linotype" w:hAnsi="Palatino Linotype" w:cs="Palatino Linotype"/>
          <w:sz w:val="22"/>
          <w:szCs w:val="22"/>
        </w:rPr>
        <w:t>presentara su informe justificado.</w:t>
      </w:r>
    </w:p>
    <w:p w14:paraId="3305D38C"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1915F28" w14:textId="3C8B7ADB" w:rsidR="00DE75A3" w:rsidRPr="00A16850" w:rsidRDefault="002724D5">
      <w:pPr>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A16850">
        <w:rPr>
          <w:rFonts w:ascii="Palatino Linotype" w:eastAsia="Palatino Linotype" w:hAnsi="Palatino Linotype" w:cs="Palatino Linotype"/>
          <w:b/>
          <w:bCs/>
          <w:sz w:val="22"/>
          <w:szCs w:val="22"/>
        </w:rPr>
        <w:t>6. Manifestaciones</w:t>
      </w:r>
      <w:r w:rsidRPr="00A16850">
        <w:rPr>
          <w:rFonts w:ascii="Palatino Linotype" w:eastAsia="Palatino Linotype" w:hAnsi="Palatino Linotype" w:cs="Palatino Linotype"/>
          <w:sz w:val="22"/>
          <w:szCs w:val="22"/>
        </w:rPr>
        <w:t xml:space="preserve">. El </w:t>
      </w:r>
      <w:r w:rsidRPr="00A16850">
        <w:rPr>
          <w:rFonts w:ascii="Palatino Linotype" w:eastAsia="Palatino Linotype" w:hAnsi="Palatino Linotype" w:cs="Palatino Linotype"/>
          <w:b/>
          <w:bCs/>
          <w:sz w:val="22"/>
          <w:szCs w:val="22"/>
        </w:rPr>
        <w:t>Sujeto Obligado</w:t>
      </w:r>
      <w:r w:rsidR="004145E2" w:rsidRPr="00A16850">
        <w:rPr>
          <w:rFonts w:ascii="Palatino Linotype" w:eastAsia="Palatino Linotype" w:hAnsi="Palatino Linotype" w:cs="Palatino Linotype"/>
          <w:b/>
          <w:bCs/>
          <w:sz w:val="22"/>
          <w:szCs w:val="22"/>
        </w:rPr>
        <w:t xml:space="preserve"> </w:t>
      </w:r>
      <w:r w:rsidR="004145E2" w:rsidRPr="00A16850">
        <w:rPr>
          <w:rFonts w:ascii="Palatino Linotype" w:eastAsia="Palatino Linotype" w:hAnsi="Palatino Linotype" w:cs="Palatino Linotype"/>
          <w:sz w:val="22"/>
          <w:szCs w:val="22"/>
        </w:rPr>
        <w:t xml:space="preserve">en fecha </w:t>
      </w:r>
      <w:r w:rsidR="004145E2" w:rsidRPr="00A16850">
        <w:rPr>
          <w:rFonts w:ascii="Palatino Linotype" w:eastAsia="Palatino Linotype" w:hAnsi="Palatino Linotype" w:cs="Palatino Linotype"/>
          <w:b/>
          <w:bCs/>
          <w:sz w:val="22"/>
          <w:szCs w:val="22"/>
        </w:rPr>
        <w:t>trece de enero de dos mil veintiséis</w:t>
      </w:r>
      <w:r w:rsidR="004145E2" w:rsidRPr="00A16850">
        <w:rPr>
          <w:rFonts w:ascii="Palatino Linotype" w:eastAsia="Palatino Linotype" w:hAnsi="Palatino Linotype" w:cs="Palatino Linotype"/>
          <w:sz w:val="22"/>
          <w:szCs w:val="22"/>
        </w:rPr>
        <w:t xml:space="preserve"> rindió su informe justificado a través de los siguientes archivos electrónicos: </w:t>
      </w:r>
    </w:p>
    <w:p w14:paraId="40FC24F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4233B14" w14:textId="77777777" w:rsidR="00DE75A3" w:rsidRPr="00A16850" w:rsidRDefault="002724D5" w:rsidP="004145E2">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CT_UT_ECA_0065_2026 informe justificado RR14124.pdf</w:t>
      </w:r>
      <w:r w:rsidRPr="00A16850">
        <w:rPr>
          <w:rFonts w:ascii="Palatino Linotype" w:eastAsia="Palatino Linotype" w:hAnsi="Palatino Linotype" w:cs="Palatino Linotype"/>
          <w:sz w:val="22"/>
          <w:szCs w:val="22"/>
        </w:rPr>
        <w:t xml:space="preserve">: Oficio número CT/UT/ECA/0065/2025, de fecha trece de enero de dos mil veinticinco, suscrito por el Titular de la Unidad de Transparencia, en el que informó que el Servidor Público Habilitado de la Tesorería Municipal señaló que </w:t>
      </w:r>
      <w:r w:rsidRPr="00A16850">
        <w:rPr>
          <w:rFonts w:ascii="Palatino Linotype" w:eastAsia="Palatino Linotype" w:hAnsi="Palatino Linotype" w:cs="Palatino Linotype"/>
          <w:i/>
          <w:iCs/>
          <w:sz w:val="22"/>
          <w:szCs w:val="22"/>
        </w:rPr>
        <w:t>la información requerida se encontraba clasificada como Reservada, por las razones y motivos que se exponen en la Acta de Sesión del Comité de Transparencia, demostrando de manera fundada y motivada que la divulgación de la información lesiona el interés jurídicamente protegido por la Ley, y que el menoscabo o daño que puede producirse derivado de la publicidad de la información es mayor que el interés de conocerla y, por lo tanto, debe ser clasificada como Reservada. Lo anterior, en razón de que la causa de reserva se encuentra contemplada por el artículo 140 fracción V de la Ley de Transparencia y Acceso a la Información Pública del Estado de México y Municipios.</w:t>
      </w:r>
    </w:p>
    <w:p w14:paraId="769E2C4E" w14:textId="77777777" w:rsidR="00DE75A3" w:rsidRPr="00A16850" w:rsidRDefault="002724D5" w:rsidP="004145E2">
      <w:pPr>
        <w:pBdr>
          <w:top w:val="nil"/>
          <w:left w:val="nil"/>
          <w:bottom w:val="nil"/>
          <w:right w:val="nil"/>
          <w:between w:val="nil"/>
        </w:pBdr>
        <w:spacing w:line="360" w:lineRule="auto"/>
        <w:ind w:left="720"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Por ello, la divulgación de la información solicitada podría generar un riesgo latente de que personas con experiencia en el manejo de equipos de cómputo pueda acceder a las cuentas bancarias, causando con ello, una afectación a los mexiquenses, ya que al día de hoy es una de las principales demandas, pero aún más es un Derecho Universal de toda persona reconocido en el artículo 11 de la Constitución Política de los Estados Unidos Mexicanos.</w:t>
      </w:r>
      <w:r w:rsidRPr="00A16850">
        <w:rPr>
          <w:rFonts w:ascii="Palatino Linotype" w:eastAsia="Palatino Linotype" w:hAnsi="Palatino Linotype" w:cs="Palatino Linotype"/>
          <w:i/>
          <w:iCs/>
          <w:sz w:val="22"/>
          <w:szCs w:val="22"/>
        </w:rPr>
        <w:br/>
        <w:t>Cabe señalar, que la reserva total de la información mencionada mantiene a salvo el derecho de terceros en dicho proceso administrativo, preservando la secrecía de la información en tanto se concluyan los procesos administrativos que es el conjunto de etapas (planificación, organización, dirección y control) cuya finalidad es conseguir los objetivos de este sector de la forma más eficiente posible" en razón de ser una obligación de este Sujeto obligado concluir los programas y proyectos para garantizar el derecho humano a la movilidad en el Estado de México.</w:t>
      </w:r>
    </w:p>
    <w:p w14:paraId="2D169576" w14:textId="77777777" w:rsidR="00DE75A3" w:rsidRPr="00A16850" w:rsidRDefault="002724D5" w:rsidP="004145E2">
      <w:pPr>
        <w:pBdr>
          <w:top w:val="nil"/>
          <w:left w:val="nil"/>
          <w:bottom w:val="nil"/>
          <w:right w:val="nil"/>
          <w:between w:val="nil"/>
        </w:pBdr>
        <w:spacing w:line="360" w:lineRule="auto"/>
        <w:ind w:left="720"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De tal manera, se puede aseverar que este Sujeto Obligado, realizó la prueba de daño correspondiente, precisando las razones por las cuales la entrega de la información generaría una afectación, haciendo hincapié que su divulgación representa un riesgo real, demostrable e identificable y que el perjuicio supera de momento el interés público general que pudiera existir sobre la información requerida, aunado a lo anterior debe mencionarse que este se encuentra debidamente fundado y motivado, como bien se señala a lo largo del presente ocurso…</w:t>
      </w:r>
    </w:p>
    <w:p w14:paraId="5670A3B6" w14:textId="77777777" w:rsidR="00DE75A3" w:rsidRPr="00A16850" w:rsidRDefault="002724D5" w:rsidP="004145E2">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Oficio número TM/ECA/CA/0125/2025 de fecha ocho de enero de dos mil veinticinco, suscrito por el Tesorero Municipal, en el que informó que en ningún momento negó la información solicitada, ya que con fundamento en el artículo 59 fracción V de la Ley de Transparencia y Acceso a la Información Pública del Estado de México Municipios, se hizo del conocimiento del hoy recurrente que la información solicitada fue determinada como clasificada debido al riesgo que conlleva su difusión, ya que los datos expuestos puede ser utilizados por terceros ajenos al municipio o por otras personas dentro de la institución o de los bancos, para cometer ilícitos en perjuicio del patrimonio.</w:t>
      </w:r>
    </w:p>
    <w:p w14:paraId="3A4560C6" w14:textId="77777777" w:rsidR="00DE75A3" w:rsidRPr="00A16850" w:rsidRDefault="002724D5" w:rsidP="004145E2">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34 ACTA TRIGÉSIMA CUARTA SESIÓN EXTRAORDINARIA.pdf</w:t>
      </w:r>
      <w:r w:rsidRPr="00A16850">
        <w:rPr>
          <w:rFonts w:ascii="Palatino Linotype" w:eastAsia="Palatino Linotype" w:hAnsi="Palatino Linotype" w:cs="Palatino Linotype"/>
          <w:sz w:val="22"/>
          <w:szCs w:val="22"/>
        </w:rPr>
        <w:t xml:space="preserve">: </w:t>
      </w:r>
    </w:p>
    <w:p w14:paraId="129E55BD" w14:textId="77777777" w:rsidR="00DE75A3" w:rsidRPr="00A16850" w:rsidRDefault="002724D5" w:rsidP="004145E2">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Acta número ACT/ECA/CT/EXT/34ª/2025, de la Trigésima Cuarta Sesión Extraordinaria del Comité de Transparencia, por medio de la cual se aprueba la clasificación de la información como reservada, de diversas solitudes que no guardan relación con el recurso en comento; por lo que no se puso a la vista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w:t>
      </w:r>
    </w:p>
    <w:p w14:paraId="5F4BE3EA" w14:textId="77777777" w:rsidR="00DE75A3" w:rsidRPr="00A16850" w:rsidRDefault="00DE75A3" w:rsidP="004145E2">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p>
    <w:p w14:paraId="7D7360F2" w14:textId="77777777" w:rsidR="00DE75A3" w:rsidRPr="00A16850" w:rsidRDefault="002724D5" w:rsidP="004145E2">
      <w:pPr>
        <w:numPr>
          <w:ilvl w:val="0"/>
          <w:numId w:val="6"/>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10 Décima Sesión Ordinaria.pdf</w:t>
      </w:r>
      <w:r w:rsidRPr="00A16850">
        <w:rPr>
          <w:rFonts w:ascii="Palatino Linotype" w:eastAsia="Palatino Linotype" w:hAnsi="Palatino Linotype" w:cs="Palatino Linotype"/>
          <w:sz w:val="22"/>
          <w:szCs w:val="22"/>
        </w:rPr>
        <w:t xml:space="preserve">: </w:t>
      </w:r>
    </w:p>
    <w:p w14:paraId="4E5B150E" w14:textId="77777777" w:rsidR="00DE75A3" w:rsidRPr="00A16850" w:rsidRDefault="002724D5" w:rsidP="004145E2">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Acta número ACT/ECA/CT/ORD/10ª/2025, de la Décima Sesión Ordinaria del Comité de Transparencia, por medio de la cual confirma la clasificación de la información como reservada, tal como se muestra a continuación:</w:t>
      </w:r>
    </w:p>
    <w:p w14:paraId="17439EB8" w14:textId="77777777" w:rsidR="00DE75A3" w:rsidRPr="00A16850" w:rsidRDefault="002724D5" w:rsidP="004145E2">
      <w:pPr>
        <w:pBdr>
          <w:top w:val="nil"/>
          <w:left w:val="nil"/>
          <w:bottom w:val="nil"/>
          <w:right w:val="nil"/>
          <w:between w:val="nil"/>
        </w:pBdr>
        <w:spacing w:line="360" w:lineRule="auto"/>
        <w:ind w:left="720" w:right="616"/>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34FAD5AE" wp14:editId="15E43973">
            <wp:extent cx="4688872" cy="755482"/>
            <wp:effectExtent l="0" t="0" r="0" b="0"/>
            <wp:docPr id="21286493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688872" cy="755482"/>
                    </a:xfrm>
                    <a:prstGeom prst="rect">
                      <a:avLst/>
                    </a:prstGeom>
                    <a:ln/>
                  </pic:spPr>
                </pic:pic>
              </a:graphicData>
            </a:graphic>
          </wp:inline>
        </w:drawing>
      </w:r>
    </w:p>
    <w:p w14:paraId="182CAA26" w14:textId="77777777" w:rsidR="00DE75A3" w:rsidRPr="00A16850" w:rsidRDefault="002724D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Documentos que fueron puestos a la vista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en fecha </w:t>
      </w:r>
      <w:r w:rsidRPr="00A16850">
        <w:rPr>
          <w:rFonts w:ascii="Palatino Linotype" w:eastAsia="Palatino Linotype" w:hAnsi="Palatino Linotype" w:cs="Palatino Linotype"/>
          <w:b/>
          <w:bCs/>
          <w:sz w:val="22"/>
          <w:szCs w:val="22"/>
        </w:rPr>
        <w:t>veintiuno de enero de dos mil veintiséis</w:t>
      </w:r>
      <w:r w:rsidRPr="00A16850">
        <w:rPr>
          <w:rFonts w:ascii="Palatino Linotype" w:eastAsia="Palatino Linotype" w:hAnsi="Palatino Linotype" w:cs="Palatino Linotype"/>
          <w:sz w:val="22"/>
          <w:szCs w:val="22"/>
        </w:rPr>
        <w:t xml:space="preserve">; misma que en fecha </w:t>
      </w:r>
      <w:r w:rsidRPr="00A16850">
        <w:rPr>
          <w:rFonts w:ascii="Palatino Linotype" w:eastAsia="Palatino Linotype" w:hAnsi="Palatino Linotype" w:cs="Palatino Linotype"/>
          <w:b/>
          <w:bCs/>
          <w:sz w:val="22"/>
          <w:szCs w:val="22"/>
        </w:rPr>
        <w:t>veintidós de enero de dos mil veintiséis</w:t>
      </w:r>
      <w:r w:rsidRPr="00A16850">
        <w:rPr>
          <w:rFonts w:ascii="Palatino Linotype" w:eastAsia="Palatino Linotype" w:hAnsi="Palatino Linotype" w:cs="Palatino Linotype"/>
          <w:sz w:val="22"/>
          <w:szCs w:val="22"/>
        </w:rPr>
        <w:t xml:space="preserve"> ratificó su inconformidad, solicitando revocar la clasificación aludida por parte del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y ordenar la entrega de la información. </w:t>
      </w:r>
    </w:p>
    <w:p w14:paraId="04883B37"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954646D"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7. Cierre de instrucción. </w:t>
      </w:r>
      <w:r w:rsidRPr="00A1685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A16850">
        <w:rPr>
          <w:rFonts w:ascii="Palatino Linotype" w:eastAsia="Palatino Linotype" w:hAnsi="Palatino Linotype" w:cs="Palatino Linotype"/>
          <w:b/>
          <w:bCs/>
          <w:sz w:val="22"/>
          <w:szCs w:val="22"/>
        </w:rPr>
        <w:t xml:space="preserve">cinco de febrero de dos mil veintiséis, </w:t>
      </w:r>
      <w:r w:rsidRPr="00A16850">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359D9353" w14:textId="77777777" w:rsidR="00DE75A3" w:rsidRPr="00A16850" w:rsidRDefault="00DE75A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299604" w14:textId="77777777" w:rsidR="00DE75A3" w:rsidRPr="00A16850" w:rsidRDefault="002724D5">
      <w:pPr>
        <w:spacing w:line="360" w:lineRule="auto"/>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B6D0081" w14:textId="77777777" w:rsidR="00DE75A3" w:rsidRPr="00A16850" w:rsidRDefault="002724D5">
      <w:pPr>
        <w:widowControl w:val="0"/>
        <w:spacing w:line="360" w:lineRule="auto"/>
        <w:jc w:val="center"/>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II. C O N S I D E R A N D O S</w:t>
      </w:r>
    </w:p>
    <w:p w14:paraId="2FB921D1" w14:textId="77777777" w:rsidR="00DE75A3" w:rsidRPr="00A16850" w:rsidRDefault="00DE75A3">
      <w:pPr>
        <w:widowControl w:val="0"/>
        <w:spacing w:line="360" w:lineRule="auto"/>
        <w:jc w:val="center"/>
        <w:rPr>
          <w:rFonts w:ascii="Palatino Linotype" w:eastAsia="Palatino Linotype" w:hAnsi="Palatino Linotype" w:cs="Palatino Linotype"/>
          <w:b/>
          <w:bCs/>
          <w:sz w:val="22"/>
          <w:szCs w:val="22"/>
        </w:rPr>
      </w:pPr>
    </w:p>
    <w:p w14:paraId="6C53174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Primero. Competencia.</w:t>
      </w:r>
      <w:r w:rsidRPr="00A1685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B1F702"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85DE251" w14:textId="77777777" w:rsidR="00DE75A3" w:rsidRPr="00A16850" w:rsidRDefault="002724D5">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A16850">
        <w:rPr>
          <w:rFonts w:ascii="Palatino Linotype" w:eastAsia="Palatino Linotype" w:hAnsi="Palatino Linotype" w:cs="Palatino Linotype"/>
          <w:b/>
          <w:bCs/>
          <w:sz w:val="22"/>
          <w:szCs w:val="22"/>
        </w:rPr>
        <w:t xml:space="preserve">Segundo. Oportunidad y </w:t>
      </w:r>
      <w:proofErr w:type="spellStart"/>
      <w:r w:rsidRPr="00A16850">
        <w:rPr>
          <w:rFonts w:ascii="Palatino Linotype" w:eastAsia="Palatino Linotype" w:hAnsi="Palatino Linotype" w:cs="Palatino Linotype"/>
          <w:b/>
          <w:bCs/>
          <w:sz w:val="22"/>
          <w:szCs w:val="22"/>
        </w:rPr>
        <w:t>Procedibilidad</w:t>
      </w:r>
      <w:proofErr w:type="spellEnd"/>
      <w:r w:rsidRPr="00A16850">
        <w:rPr>
          <w:rFonts w:ascii="Palatino Linotype" w:eastAsia="Palatino Linotype" w:hAnsi="Palatino Linotype" w:cs="Palatino Linotype"/>
          <w:b/>
          <w:bCs/>
          <w:sz w:val="22"/>
          <w:szCs w:val="22"/>
        </w:rPr>
        <w:t xml:space="preserve"> del Recurso de Revisión</w:t>
      </w:r>
      <w:r w:rsidRPr="00A16850">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16850">
        <w:rPr>
          <w:rFonts w:ascii="Palatino Linotype" w:eastAsia="Palatino Linotype" w:hAnsi="Palatino Linotype" w:cs="Palatino Linotype"/>
          <w:sz w:val="22"/>
          <w:szCs w:val="22"/>
        </w:rPr>
        <w:t>procedibilidad</w:t>
      </w:r>
      <w:proofErr w:type="spellEnd"/>
      <w:r w:rsidRPr="00A16850">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4C0080E"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601D7A1"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16850">
        <w:rPr>
          <w:rFonts w:ascii="Palatino Linotype" w:eastAsia="Palatino Linotype" w:hAnsi="Palatino Linotype" w:cs="Palatino Linotype"/>
          <w:b/>
          <w:bCs/>
          <w:sz w:val="22"/>
          <w:szCs w:val="22"/>
        </w:rPr>
        <w:t xml:space="preserve">Sujeto Obligado </w:t>
      </w:r>
      <w:r w:rsidRPr="00A16850">
        <w:rPr>
          <w:rFonts w:ascii="Palatino Linotype" w:eastAsia="Palatino Linotype" w:hAnsi="Palatino Linotype" w:cs="Palatino Linotype"/>
          <w:sz w:val="22"/>
          <w:szCs w:val="22"/>
        </w:rPr>
        <w:t xml:space="preserve">remitió la respuesta a la solicitud de información el día </w:t>
      </w:r>
      <w:r w:rsidRPr="00A16850">
        <w:rPr>
          <w:rFonts w:ascii="Palatino Linotype" w:eastAsia="Palatino Linotype" w:hAnsi="Palatino Linotype" w:cs="Palatino Linotype"/>
          <w:b/>
          <w:bCs/>
          <w:sz w:val="22"/>
          <w:szCs w:val="22"/>
        </w:rPr>
        <w:t xml:space="preserve">cuatro de diciembre de dos mil veinticinco, </w:t>
      </w:r>
      <w:r w:rsidRPr="00A16850">
        <w:rPr>
          <w:rFonts w:ascii="Palatino Linotype" w:eastAsia="Palatino Linotype" w:hAnsi="Palatino Linotype" w:cs="Palatino Linotype"/>
          <w:sz w:val="22"/>
          <w:szCs w:val="22"/>
        </w:rPr>
        <w:t xml:space="preserve">mientras que el recurso de revisión interpuesto por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se tuvo por presentado el día </w:t>
      </w:r>
      <w:r w:rsidRPr="00A16850">
        <w:rPr>
          <w:rFonts w:ascii="Palatino Linotype" w:eastAsia="Palatino Linotype" w:hAnsi="Palatino Linotype" w:cs="Palatino Linotype"/>
          <w:b/>
          <w:bCs/>
          <w:sz w:val="22"/>
          <w:szCs w:val="22"/>
        </w:rPr>
        <w:t>once de diciembre de dos mil veinticinco</w:t>
      </w:r>
      <w:r w:rsidRPr="00A16850">
        <w:rPr>
          <w:rFonts w:ascii="Palatino Linotype" w:eastAsia="Palatino Linotype" w:hAnsi="Palatino Linotype" w:cs="Palatino Linotype"/>
          <w:sz w:val="22"/>
          <w:szCs w:val="22"/>
        </w:rPr>
        <w:t>, esto es, al quinto día en que tuvo conocimiento de la respuesta impugnada.</w:t>
      </w:r>
    </w:p>
    <w:p w14:paraId="4FBA0D76" w14:textId="77777777" w:rsidR="00DE75A3" w:rsidRPr="00A16850" w:rsidRDefault="00DE75A3">
      <w:pPr>
        <w:spacing w:line="360" w:lineRule="auto"/>
        <w:jc w:val="both"/>
        <w:rPr>
          <w:rFonts w:ascii="Palatino Linotype" w:eastAsia="Palatino Linotype" w:hAnsi="Palatino Linotype" w:cs="Palatino Linotype"/>
          <w:sz w:val="22"/>
          <w:szCs w:val="22"/>
        </w:rPr>
      </w:pPr>
      <w:bookmarkStart w:id="5" w:name="_heading=h.3znysh7" w:colFirst="0" w:colLast="0"/>
      <w:bookmarkEnd w:id="5"/>
    </w:p>
    <w:p w14:paraId="2FA336C5"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2378E14F"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F6860F3" w14:textId="69393730"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53071D0E" w14:textId="77777777" w:rsidR="00343DED" w:rsidRPr="00A16850" w:rsidRDefault="00343DED">
      <w:pPr>
        <w:spacing w:line="360" w:lineRule="auto"/>
        <w:jc w:val="both"/>
        <w:rPr>
          <w:rFonts w:ascii="Palatino Linotype" w:eastAsia="Palatino Linotype" w:hAnsi="Palatino Linotype" w:cs="Palatino Linotype"/>
          <w:sz w:val="22"/>
          <w:szCs w:val="22"/>
        </w:rPr>
      </w:pPr>
    </w:p>
    <w:p w14:paraId="125C2E89"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179.</w:t>
      </w:r>
      <w:r w:rsidRPr="00A16850">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7571F2BE"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 xml:space="preserve">I. La negativa a la información </w:t>
      </w:r>
      <w:proofErr w:type="gramStart"/>
      <w:r w:rsidRPr="00A16850">
        <w:rPr>
          <w:rFonts w:ascii="Palatino Linotype" w:eastAsia="Palatino Linotype" w:hAnsi="Palatino Linotype" w:cs="Palatino Linotype"/>
          <w:b/>
          <w:bCs/>
          <w:i/>
          <w:iCs/>
          <w:sz w:val="22"/>
          <w:szCs w:val="22"/>
        </w:rPr>
        <w:t>solicitada</w:t>
      </w:r>
      <w:r w:rsidRPr="00A16850">
        <w:rPr>
          <w:rFonts w:ascii="Palatino Linotype" w:eastAsia="Palatino Linotype" w:hAnsi="Palatino Linotype" w:cs="Palatino Linotype"/>
          <w:i/>
          <w:iCs/>
          <w:sz w:val="22"/>
          <w:szCs w:val="22"/>
        </w:rPr>
        <w:t>;…</w:t>
      </w:r>
      <w:proofErr w:type="gramEnd"/>
      <w:r w:rsidRPr="00A16850">
        <w:rPr>
          <w:rFonts w:ascii="Palatino Linotype" w:eastAsia="Palatino Linotype" w:hAnsi="Palatino Linotype" w:cs="Palatino Linotype"/>
          <w:i/>
          <w:iCs/>
          <w:sz w:val="22"/>
          <w:szCs w:val="22"/>
        </w:rPr>
        <w:t>”</w:t>
      </w:r>
    </w:p>
    <w:p w14:paraId="2F7A4CF9"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01E7C04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Tercero. Materia de la revisión. </w:t>
      </w:r>
      <w:r w:rsidRPr="00A1685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16850">
        <w:rPr>
          <w:rFonts w:ascii="Palatino Linotype" w:eastAsia="Palatino Linotype" w:hAnsi="Palatino Linotype" w:cs="Palatino Linotype"/>
          <w:b/>
          <w:bCs/>
          <w:sz w:val="22"/>
          <w:szCs w:val="22"/>
        </w:rPr>
        <w:t xml:space="preserve">verificar si la información proporcionada en respuesta por el Sujeto Obligado es adecuada y suficiente para satisfacer el derecho de acceso a la información pública </w:t>
      </w:r>
      <w:r w:rsidRPr="00A16850">
        <w:rPr>
          <w:rFonts w:ascii="Palatino Linotype" w:eastAsia="Palatino Linotype" w:hAnsi="Palatino Linotype" w:cs="Palatino Linotype"/>
          <w:sz w:val="22"/>
          <w:szCs w:val="22"/>
        </w:rPr>
        <w:t xml:space="preserve">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o en su defecto, en caso de ser procedente, ordenar la entrega de información oportuna.</w:t>
      </w:r>
    </w:p>
    <w:p w14:paraId="32C92DA1"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6AE8434B" w14:textId="77777777" w:rsidR="00DE75A3" w:rsidRPr="00A16850" w:rsidRDefault="002724D5">
      <w:pPr>
        <w:spacing w:line="360" w:lineRule="auto"/>
        <w:jc w:val="both"/>
        <w:rPr>
          <w:rFonts w:ascii="Palatino Linotype" w:eastAsia="Palatino Linotype" w:hAnsi="Palatino Linotype" w:cs="Palatino Linotype"/>
          <w:sz w:val="22"/>
          <w:szCs w:val="22"/>
        </w:rPr>
      </w:pPr>
      <w:bookmarkStart w:id="6" w:name="_heading=h.2et92p0" w:colFirst="0" w:colLast="0"/>
      <w:bookmarkEnd w:id="6"/>
      <w:r w:rsidRPr="00A16850">
        <w:rPr>
          <w:rFonts w:ascii="Palatino Linotype" w:eastAsia="Palatino Linotype" w:hAnsi="Palatino Linotype" w:cs="Palatino Linotype"/>
          <w:b/>
          <w:bCs/>
          <w:sz w:val="22"/>
          <w:szCs w:val="22"/>
        </w:rPr>
        <w:t xml:space="preserve">Cuarto. Estudio del asunto. </w:t>
      </w:r>
      <w:r w:rsidRPr="00A16850">
        <w:rPr>
          <w:rFonts w:ascii="Palatino Linotype" w:eastAsia="Palatino Linotype" w:hAnsi="Palatino Linotype" w:cs="Palatino Linotype"/>
          <w:sz w:val="22"/>
          <w:szCs w:val="22"/>
        </w:rPr>
        <w:t xml:space="preserve">En principio, es conveniente analizar si la respuesta del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B6A81DD"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004F198"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4</w:t>
      </w:r>
      <w:r w:rsidRPr="00A16850">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8B54D3B"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A16850">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E609166"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A16850">
        <w:rPr>
          <w:rFonts w:ascii="Palatino Linotype" w:eastAsia="Palatino Linotype" w:hAnsi="Palatino Linotype" w:cs="Palatino Linotype"/>
          <w:i/>
          <w:iCs/>
          <w:sz w:val="22"/>
          <w:szCs w:val="22"/>
        </w:rPr>
        <w:t>.”</w:t>
      </w:r>
    </w:p>
    <w:p w14:paraId="49B6BC0A"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2589824"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BD13BA7"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4EA2D58"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12.-</w:t>
      </w:r>
      <w:r w:rsidRPr="00A16850">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66DA51DF" w14:textId="77777777" w:rsidR="00DE75A3" w:rsidRPr="00A16850" w:rsidRDefault="00DE75A3">
      <w:pPr>
        <w:spacing w:line="276" w:lineRule="auto"/>
        <w:ind w:left="851" w:right="616"/>
        <w:jc w:val="both"/>
        <w:rPr>
          <w:rFonts w:ascii="Palatino Linotype" w:eastAsia="Palatino Linotype" w:hAnsi="Palatino Linotype" w:cs="Palatino Linotype"/>
          <w:i/>
          <w:iCs/>
          <w:sz w:val="22"/>
          <w:szCs w:val="22"/>
        </w:rPr>
      </w:pPr>
    </w:p>
    <w:p w14:paraId="6083CE19"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B86791D"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30E113D2" w14:textId="77777777" w:rsidR="00DE75A3" w:rsidRPr="00A16850" w:rsidRDefault="002724D5">
      <w:p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5C2214D"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438461C9" w14:textId="77777777" w:rsidR="00DE75A3" w:rsidRPr="00A16850" w:rsidRDefault="002724D5">
      <w:p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16850">
        <w:rPr>
          <w:rFonts w:ascii="Palatino Linotype" w:eastAsia="Palatino Linotype" w:hAnsi="Palatino Linotype" w:cs="Palatino Linotype"/>
          <w:b/>
          <w:bCs/>
          <w:sz w:val="22"/>
          <w:szCs w:val="22"/>
        </w:rPr>
        <w:t xml:space="preserve"> </w:t>
      </w:r>
    </w:p>
    <w:p w14:paraId="48A83B8E"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A16850">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90180C3"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49B5B24C"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85F862"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0969B38" w14:textId="77777777" w:rsidR="00DE75A3" w:rsidRPr="00A16850" w:rsidRDefault="002724D5">
      <w:pPr>
        <w:spacing w:line="360" w:lineRule="auto"/>
        <w:ind w:right="4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CCDA876" w14:textId="77777777" w:rsidR="00DE75A3" w:rsidRPr="00A16850" w:rsidRDefault="00DE75A3">
      <w:pPr>
        <w:spacing w:line="360" w:lineRule="auto"/>
        <w:ind w:right="49"/>
        <w:jc w:val="both"/>
        <w:rPr>
          <w:rFonts w:ascii="Palatino Linotype" w:eastAsia="Palatino Linotype" w:hAnsi="Palatino Linotype" w:cs="Palatino Linotype"/>
          <w:sz w:val="22"/>
          <w:szCs w:val="22"/>
        </w:rPr>
      </w:pPr>
    </w:p>
    <w:p w14:paraId="48C466AC"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1A3A9FB" w14:textId="77777777" w:rsidR="00DE75A3" w:rsidRPr="00A16850" w:rsidRDefault="00DE75A3">
      <w:pPr>
        <w:spacing w:line="360" w:lineRule="auto"/>
        <w:ind w:left="567" w:right="616"/>
        <w:jc w:val="both"/>
        <w:rPr>
          <w:rFonts w:ascii="Palatino Linotype" w:eastAsia="Palatino Linotype" w:hAnsi="Palatino Linotype" w:cs="Palatino Linotype"/>
          <w:i/>
          <w:iCs/>
          <w:sz w:val="22"/>
          <w:szCs w:val="22"/>
        </w:rPr>
      </w:pPr>
    </w:p>
    <w:p w14:paraId="6EBCBF53"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 xml:space="preserve">Artículo 3. </w:t>
      </w:r>
      <w:r w:rsidRPr="00A16850">
        <w:rPr>
          <w:rFonts w:ascii="Palatino Linotype" w:eastAsia="Palatino Linotype" w:hAnsi="Palatino Linotype" w:cs="Palatino Linotype"/>
          <w:i/>
          <w:iCs/>
          <w:sz w:val="22"/>
          <w:szCs w:val="22"/>
        </w:rPr>
        <w:t>Para los efectos de la presente Ley se entenderá por:</w:t>
      </w:r>
    </w:p>
    <w:p w14:paraId="5A04B562"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01AF4F8A"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XI. Documento:</w:t>
      </w:r>
      <w:r w:rsidRPr="00A16850">
        <w:rPr>
          <w:rFonts w:ascii="Palatino Linotype" w:eastAsia="Palatino Linotype" w:hAnsi="Palatino Linotype" w:cs="Palatino Linotype"/>
          <w:i/>
          <w:iCs/>
          <w:sz w:val="22"/>
          <w:szCs w:val="22"/>
        </w:rPr>
        <w:t xml:space="preserve"> Los expedientes, reportes, estudios, actas</w:t>
      </w:r>
      <w:r w:rsidRPr="00A16850">
        <w:rPr>
          <w:rFonts w:ascii="Palatino Linotype" w:eastAsia="Palatino Linotype" w:hAnsi="Palatino Linotype" w:cs="Palatino Linotype"/>
          <w:b/>
          <w:bCs/>
          <w:i/>
          <w:iCs/>
          <w:sz w:val="22"/>
          <w:szCs w:val="22"/>
        </w:rPr>
        <w:t>,</w:t>
      </w:r>
      <w:r w:rsidRPr="00A16850">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D8B19EE" w14:textId="77777777" w:rsidR="00DE75A3" w:rsidRPr="00A16850" w:rsidRDefault="00DE75A3">
      <w:pPr>
        <w:spacing w:line="360" w:lineRule="auto"/>
        <w:ind w:left="851" w:right="899"/>
        <w:jc w:val="both"/>
        <w:rPr>
          <w:rFonts w:ascii="Palatino Linotype" w:eastAsia="Palatino Linotype" w:hAnsi="Palatino Linotype" w:cs="Palatino Linotype"/>
          <w:sz w:val="22"/>
          <w:szCs w:val="22"/>
        </w:rPr>
      </w:pPr>
    </w:p>
    <w:p w14:paraId="1C6E8D2B"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82A5C9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C2F3957"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sz w:val="22"/>
          <w:szCs w:val="22"/>
        </w:rPr>
        <w:t>“</w:t>
      </w:r>
      <w:r w:rsidRPr="00A16850">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A16850">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B79DB0"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En </w:t>
      </w:r>
      <w:proofErr w:type="gramStart"/>
      <w:r w:rsidRPr="00A16850">
        <w:rPr>
          <w:rFonts w:ascii="Palatino Linotype" w:eastAsia="Palatino Linotype" w:hAnsi="Palatino Linotype" w:cs="Palatino Linotype"/>
          <w:i/>
          <w:iCs/>
          <w:sz w:val="22"/>
          <w:szCs w:val="22"/>
        </w:rPr>
        <w:t>consecuencia</w:t>
      </w:r>
      <w:proofErr w:type="gramEnd"/>
      <w:r w:rsidRPr="00A16850">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2129561C"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A16850">
        <w:rPr>
          <w:rFonts w:ascii="Palatino Linotype" w:eastAsia="Palatino Linotype" w:hAnsi="Palatino Linotype" w:cs="Palatino Linotype"/>
          <w:i/>
          <w:iCs/>
          <w:sz w:val="22"/>
          <w:szCs w:val="22"/>
        </w:rPr>
        <w:t>que</w:t>
      </w:r>
      <w:proofErr w:type="gramEnd"/>
      <w:r w:rsidRPr="00A16850">
        <w:rPr>
          <w:rFonts w:ascii="Palatino Linotype" w:eastAsia="Palatino Linotype" w:hAnsi="Palatino Linotype" w:cs="Palatino Linotype"/>
          <w:i/>
          <w:iCs/>
          <w:sz w:val="22"/>
          <w:szCs w:val="22"/>
        </w:rPr>
        <w:t xml:space="preserve"> en ejercicio de las atribuciones conferidas, sea generada por los Sujetos Obligados;</w:t>
      </w:r>
    </w:p>
    <w:p w14:paraId="49D93C99"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A16850">
        <w:rPr>
          <w:rFonts w:ascii="Palatino Linotype" w:eastAsia="Palatino Linotype" w:hAnsi="Palatino Linotype" w:cs="Palatino Linotype"/>
          <w:b/>
          <w:bCs/>
          <w:i/>
          <w:iCs/>
          <w:sz w:val="22"/>
          <w:szCs w:val="22"/>
        </w:rPr>
        <w:t>que</w:t>
      </w:r>
      <w:proofErr w:type="gramEnd"/>
      <w:r w:rsidRPr="00A16850">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2DF69DEA"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A16850">
        <w:rPr>
          <w:rFonts w:ascii="Palatino Linotype" w:eastAsia="Palatino Linotype" w:hAnsi="Palatino Linotype" w:cs="Palatino Linotype"/>
          <w:b/>
          <w:bCs/>
          <w:i/>
          <w:iCs/>
          <w:sz w:val="22"/>
          <w:szCs w:val="22"/>
        </w:rPr>
        <w:t>que</w:t>
      </w:r>
      <w:proofErr w:type="gramEnd"/>
      <w:r w:rsidRPr="00A16850">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6914D5CC"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5F5AF15D" w14:textId="77777777" w:rsidR="00DE75A3" w:rsidRPr="00A16850" w:rsidRDefault="002724D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Dicho lo anterior, se procede al análisis de los agravios hechos valer por la parte Recurrente que actualizan la causal de procedencia prevista en la fracción I del artículo 179 de la Ley de Transparencia y Acceso a la Información del Estado de México y Municipios, relativa a la negativa de la información.</w:t>
      </w:r>
    </w:p>
    <w:p w14:paraId="3EEA5919" w14:textId="77777777" w:rsidR="00DE75A3" w:rsidRPr="00A16850" w:rsidRDefault="00DE75A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F68E588" w14:textId="77777777" w:rsidR="00DE75A3" w:rsidRPr="00A16850" w:rsidRDefault="002724D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principio, resulta conveniente recordar que la pretensión del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es acceder a la información consistente en lo siguiente:</w:t>
      </w:r>
    </w:p>
    <w:p w14:paraId="363A56E4" w14:textId="77777777" w:rsidR="00DE75A3" w:rsidRPr="00A16850" w:rsidRDefault="00DE75A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724436A" w14:textId="77777777" w:rsidR="00DE75A3" w:rsidRPr="00A16850" w:rsidRDefault="002724D5">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Facturas pagadas y en proceso de pago por más de un millón de pesos generadas del 1 de enero al 10 de noviembre de 2025.</w:t>
      </w:r>
    </w:p>
    <w:p w14:paraId="453B2A80" w14:textId="77777777" w:rsidR="00DE75A3" w:rsidRPr="00A16850" w:rsidRDefault="00DE75A3">
      <w:pPr>
        <w:widowControl w:val="0"/>
        <w:spacing w:line="360" w:lineRule="auto"/>
        <w:jc w:val="both"/>
        <w:rPr>
          <w:rFonts w:ascii="Palatino Linotype" w:eastAsia="Palatino Linotype" w:hAnsi="Palatino Linotype" w:cs="Palatino Linotype"/>
          <w:sz w:val="22"/>
          <w:szCs w:val="22"/>
        </w:rPr>
      </w:pPr>
    </w:p>
    <w:p w14:paraId="09DA470C" w14:textId="77777777" w:rsidR="00DE75A3" w:rsidRPr="00A16850" w:rsidRDefault="002724D5">
      <w:pPr>
        <w:widowControl w:val="0"/>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respuesta,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a través de la Tesorería Municipal informó que la información se encontraba clasificada. </w:t>
      </w:r>
    </w:p>
    <w:p w14:paraId="15E442F8"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0E9F2F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Al no estar conforme con los términos de la respuesta otorgada a su solicitud, la persona solicitante interpuso el recurso de revisión que ahora nos ocupa, en el que señaló como motivo de inconformidad la negativa a la entrega de la información.</w:t>
      </w:r>
    </w:p>
    <w:p w14:paraId="5A1BDE60"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A2EFC7C"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Durante el periodo de manifestaciones el </w:t>
      </w:r>
      <w:r w:rsidRPr="00A16850">
        <w:rPr>
          <w:rFonts w:ascii="Palatino Linotype" w:eastAsia="Palatino Linotype" w:hAnsi="Palatino Linotype" w:cs="Palatino Linotype"/>
          <w:b/>
          <w:bCs/>
          <w:sz w:val="22"/>
          <w:szCs w:val="22"/>
        </w:rPr>
        <w:t xml:space="preserve">Sujeto Obligado </w:t>
      </w:r>
      <w:r w:rsidRPr="00A16850">
        <w:rPr>
          <w:rFonts w:ascii="Palatino Linotype" w:eastAsia="Palatino Linotype" w:hAnsi="Palatino Linotype" w:cs="Palatino Linotype"/>
          <w:sz w:val="22"/>
          <w:szCs w:val="22"/>
        </w:rPr>
        <w:t xml:space="preserve">rindió su informe justificado en el que refirió que en ningún momento negó la información solicitada, ya que con fundamento en el artículo 59 fracción V de la Ley de Transparencia y Acceso a la Información Pública del Estado de México Municipios, se hizo del conocimiento que la información solicitada fue determinada como clasificada debido al riesgo que conlleva su difusión, ya que los datos expuestos puede ser utilizados por terceros ajenos al municipio o por otras personas dentro de la institución o de los bancos, para cometer ilícitos en perjuicio del patrimonio. </w:t>
      </w:r>
    </w:p>
    <w:p w14:paraId="77992BA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A2CF418" w14:textId="7990F2DA" w:rsidR="00DE75A3" w:rsidRPr="00A16850" w:rsidRDefault="002724D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Mientras que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ratific</w:t>
      </w:r>
      <w:r w:rsidR="00343DED" w:rsidRPr="00A16850">
        <w:rPr>
          <w:rFonts w:ascii="Palatino Linotype" w:eastAsia="Palatino Linotype" w:hAnsi="Palatino Linotype" w:cs="Palatino Linotype"/>
          <w:sz w:val="22"/>
          <w:szCs w:val="22"/>
        </w:rPr>
        <w:t>ó</w:t>
      </w:r>
      <w:r w:rsidRPr="00A16850">
        <w:rPr>
          <w:rFonts w:ascii="Palatino Linotype" w:eastAsia="Palatino Linotype" w:hAnsi="Palatino Linotype" w:cs="Palatino Linotype"/>
          <w:sz w:val="22"/>
          <w:szCs w:val="22"/>
        </w:rPr>
        <w:t xml:space="preserve"> su inconformidad, solicitando revocar la clasificación aludida por parte del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y ordenar la entrega de la información. </w:t>
      </w:r>
    </w:p>
    <w:p w14:paraId="399D26BE"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5CE421AF" w14:textId="77777777" w:rsidR="00DE75A3" w:rsidRPr="00A16850" w:rsidRDefault="002724D5">
      <w:pPr>
        <w:spacing w:line="360" w:lineRule="auto"/>
        <w:jc w:val="both"/>
        <w:rPr>
          <w:rFonts w:ascii="Palatino Linotype" w:eastAsia="Palatino Linotype" w:hAnsi="Palatino Linotype" w:cs="Palatino Linotype"/>
          <w:sz w:val="22"/>
          <w:szCs w:val="22"/>
        </w:rPr>
      </w:pPr>
      <w:bookmarkStart w:id="7" w:name="_heading=h.17dp8vu" w:colFirst="0" w:colLast="0"/>
      <w:bookmarkEnd w:id="7"/>
      <w:r w:rsidRPr="00A16850">
        <w:rPr>
          <w:rFonts w:ascii="Palatino Linotype" w:eastAsia="Palatino Linotype" w:hAnsi="Palatino Linotype" w:cs="Palatino Linotype"/>
          <w:sz w:val="22"/>
          <w:szCs w:val="22"/>
        </w:rPr>
        <w:t>Expuesto lo anterior, y respecto a la naturaleza de la información solicitada, resulta conveniente señalar que por cuanto hace a las facturas, el Glosario de Términos Hacendarios que emite el Instituto Hacendario del Estado de México, define el término “factura” como el documento fiscal que emite la persona física o moral para comprobar la venta o adquisición de un bien y/o servicio.</w:t>
      </w:r>
    </w:p>
    <w:p w14:paraId="36ED2E8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41F1031" w14:textId="1D9ED4B3"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71528AF3" w14:textId="77777777" w:rsidR="00343DED" w:rsidRPr="00A16850" w:rsidRDefault="00343DED">
      <w:pPr>
        <w:spacing w:line="360" w:lineRule="auto"/>
        <w:jc w:val="both"/>
        <w:rPr>
          <w:rFonts w:ascii="Palatino Linotype" w:eastAsia="Palatino Linotype" w:hAnsi="Palatino Linotype" w:cs="Palatino Linotype"/>
          <w:sz w:val="22"/>
          <w:szCs w:val="22"/>
        </w:rPr>
      </w:pPr>
    </w:p>
    <w:p w14:paraId="76BCFA25" w14:textId="77777777" w:rsidR="00DE75A3" w:rsidRPr="00A16850" w:rsidRDefault="002724D5">
      <w:pPr>
        <w:spacing w:line="360" w:lineRule="auto"/>
        <w:ind w:right="4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4AD54F2F" w14:textId="77777777" w:rsidR="00DE75A3" w:rsidRPr="00A16850" w:rsidRDefault="00DE75A3">
      <w:pPr>
        <w:spacing w:line="360" w:lineRule="auto"/>
        <w:ind w:right="49"/>
        <w:jc w:val="both"/>
        <w:rPr>
          <w:rFonts w:ascii="Palatino Linotype" w:eastAsia="Palatino Linotype" w:hAnsi="Palatino Linotype" w:cs="Palatino Linotype"/>
          <w:sz w:val="22"/>
          <w:szCs w:val="22"/>
        </w:rPr>
      </w:pPr>
    </w:p>
    <w:p w14:paraId="744B8DB8"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342.-</w:t>
      </w:r>
      <w:r w:rsidRPr="00A16850">
        <w:rPr>
          <w:rFonts w:ascii="Palatino Linotype" w:eastAsia="Palatino Linotype" w:hAnsi="Palatino Linotype" w:cs="Palatino Linotype"/>
          <w:i/>
          <w:iCs/>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A16850">
        <w:rPr>
          <w:rFonts w:ascii="Palatino Linotype" w:eastAsia="Palatino Linotype" w:hAnsi="Palatino Linotype" w:cs="Palatino Linotype"/>
          <w:i/>
          <w:iCs/>
          <w:sz w:val="22"/>
          <w:szCs w:val="22"/>
        </w:rPr>
        <w:t>presupuestación</w:t>
      </w:r>
      <w:proofErr w:type="spellEnd"/>
      <w:r w:rsidRPr="00A16850">
        <w:rPr>
          <w:rFonts w:ascii="Palatino Linotype" w:eastAsia="Palatino Linotype" w:hAnsi="Palatino Linotype" w:cs="Palatino Linotype"/>
          <w:i/>
          <w:iCs/>
          <w:sz w:val="22"/>
          <w:szCs w:val="22"/>
        </w:rPr>
        <w:t>, evaluación y contabilidad gubernamental.</w:t>
      </w:r>
    </w:p>
    <w:p w14:paraId="1188CF45"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En el caso de los municipios,</w:t>
      </w:r>
      <w:r w:rsidRPr="00A16850">
        <w:rPr>
          <w:rFonts w:ascii="Palatino Linotype" w:eastAsia="Palatino Linotype" w:hAnsi="Palatino Linotype" w:cs="Palatino Linotype"/>
          <w:i/>
          <w:iCs/>
          <w:sz w:val="22"/>
          <w:szCs w:val="22"/>
        </w:rPr>
        <w:t xml:space="preserve"> el registro a que se refiere el párrafo anterior, se realizará conforme al sistema y a las disposiciones en materia de </w:t>
      </w:r>
      <w:r w:rsidRPr="00A16850">
        <w:rPr>
          <w:rFonts w:ascii="Palatino Linotype" w:eastAsia="Palatino Linotype" w:hAnsi="Palatino Linotype" w:cs="Palatino Linotype"/>
          <w:b/>
          <w:bCs/>
          <w:i/>
          <w:iCs/>
          <w:sz w:val="22"/>
          <w:szCs w:val="22"/>
        </w:rPr>
        <w:t xml:space="preserve">planeación, programación, </w:t>
      </w:r>
      <w:proofErr w:type="spellStart"/>
      <w:r w:rsidRPr="00A16850">
        <w:rPr>
          <w:rFonts w:ascii="Palatino Linotype" w:eastAsia="Palatino Linotype" w:hAnsi="Palatino Linotype" w:cs="Palatino Linotype"/>
          <w:b/>
          <w:bCs/>
          <w:i/>
          <w:iCs/>
          <w:sz w:val="22"/>
          <w:szCs w:val="22"/>
        </w:rPr>
        <w:t>presupuestación</w:t>
      </w:r>
      <w:proofErr w:type="spellEnd"/>
      <w:r w:rsidRPr="00A16850">
        <w:rPr>
          <w:rFonts w:ascii="Palatino Linotype" w:eastAsia="Palatino Linotype" w:hAnsi="Palatino Linotype" w:cs="Palatino Linotype"/>
          <w:b/>
          <w:bCs/>
          <w:i/>
          <w:iCs/>
          <w:sz w:val="22"/>
          <w:szCs w:val="22"/>
        </w:rPr>
        <w:t>, evaluación y contabilidad gubernamental</w:t>
      </w:r>
      <w:r w:rsidRPr="00A16850">
        <w:rPr>
          <w:rFonts w:ascii="Palatino Linotype" w:eastAsia="Palatino Linotype" w:hAnsi="Palatino Linotype" w:cs="Palatino Linotype"/>
          <w:i/>
          <w:iCs/>
          <w:sz w:val="22"/>
          <w:szCs w:val="22"/>
        </w:rPr>
        <w:t>, que se aprueben en el marco del Sistema de Coordinación Hacendaria del Estado de México.</w:t>
      </w:r>
    </w:p>
    <w:p w14:paraId="4884549F"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Artículo 343.-</w:t>
      </w:r>
      <w:r w:rsidRPr="00A16850">
        <w:rPr>
          <w:rFonts w:ascii="Palatino Linotype" w:eastAsia="Palatino Linotype" w:hAnsi="Palatino Linotype" w:cs="Palatino Linotype"/>
          <w:i/>
          <w:iCs/>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17AF2757"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El sistema de contabilidad sobre base acumulativa total, se sustentará en las normas emitidas por el Consejo Nacional de Armonización Contable.</w:t>
      </w:r>
    </w:p>
    <w:p w14:paraId="3584E456" w14:textId="77777777" w:rsidR="00DE75A3" w:rsidRPr="00A16850" w:rsidRDefault="002724D5">
      <w:pPr>
        <w:spacing w:line="276" w:lineRule="auto"/>
        <w:ind w:left="862"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 xml:space="preserve">Artículo 344.- Los Entes Públicos, a través de cualquiera de sus unidades administrativas, de acuerdo con su naturaleza jurídica y según corresponda, </w:t>
      </w:r>
      <w:r w:rsidRPr="00A16850">
        <w:rPr>
          <w:rFonts w:ascii="Palatino Linotype" w:eastAsia="Palatino Linotype" w:hAnsi="Palatino Linotype" w:cs="Palatino Linotype"/>
          <w:b/>
          <w:bCs/>
          <w:i/>
          <w:iCs/>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A16850">
        <w:rPr>
          <w:rFonts w:ascii="Palatino Linotype" w:eastAsia="Palatino Linotype" w:hAnsi="Palatino Linotype" w:cs="Palatino Linotype"/>
          <w:b/>
          <w:bCs/>
          <w:i/>
          <w:iCs/>
          <w:sz w:val="22"/>
          <w:szCs w:val="22"/>
        </w:rPr>
        <w:t>.</w:t>
      </w:r>
    </w:p>
    <w:p w14:paraId="463885C4" w14:textId="77777777" w:rsidR="00DE75A3" w:rsidRPr="00A16850" w:rsidRDefault="002724D5">
      <w:pPr>
        <w:spacing w:line="276" w:lineRule="auto"/>
        <w:ind w:left="862"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u w:val="single"/>
        </w:rPr>
        <w:t>Todo registro contable y presupuestal deberá estar soportado con los documentos comprobatorios originales o en medios electrónicos</w:t>
      </w:r>
      <w:r w:rsidRPr="00A16850">
        <w:rPr>
          <w:rFonts w:ascii="Palatino Linotype" w:eastAsia="Palatino Linotype" w:hAnsi="Palatino Linotype" w:cs="Palatino Linotype"/>
          <w:b/>
          <w:bCs/>
          <w:i/>
          <w:iCs/>
          <w:sz w:val="22"/>
          <w:szCs w:val="22"/>
        </w:rPr>
        <w:t xml:space="preserve">, los que deberán permanecer en custodia y conservación de los Entes Públicos a través de las unidades administrativas que ejercieron el gasto y a disposición de los Órganos de Fiscalización locales y federales, </w:t>
      </w:r>
      <w:r w:rsidRPr="00A16850">
        <w:rPr>
          <w:rFonts w:ascii="Palatino Linotype" w:eastAsia="Palatino Linotype" w:hAnsi="Palatino Linotype" w:cs="Palatino Linotype"/>
          <w:i/>
          <w:iCs/>
          <w:sz w:val="22"/>
          <w:szCs w:val="22"/>
        </w:rPr>
        <w:t xml:space="preserve">según corresponda, así como de los órganos internos de control, </w:t>
      </w:r>
      <w:r w:rsidRPr="00A16850">
        <w:rPr>
          <w:rFonts w:ascii="Palatino Linotype" w:eastAsia="Palatino Linotype" w:hAnsi="Palatino Linotype" w:cs="Palatino Linotype"/>
          <w:b/>
          <w:bCs/>
          <w:i/>
          <w:iCs/>
          <w:sz w:val="22"/>
          <w:szCs w:val="22"/>
        </w:rPr>
        <w:t>por un término de cinco años,</w:t>
      </w:r>
      <w:r w:rsidRPr="00A16850">
        <w:rPr>
          <w:rFonts w:ascii="Palatino Linotype" w:eastAsia="Palatino Linotype" w:hAnsi="Palatino Linotype" w:cs="Palatino Linotype"/>
          <w:i/>
          <w:iCs/>
          <w:sz w:val="22"/>
          <w:szCs w:val="22"/>
        </w:rPr>
        <w:t xml:space="preserve"> contados a partir del ejercicio presupuestal siguiente al que corresponda,</w:t>
      </w:r>
      <w:r w:rsidRPr="00A16850">
        <w:rPr>
          <w:rFonts w:ascii="Palatino Linotype" w:eastAsia="Palatino Linotype" w:hAnsi="Palatino Linotype" w:cs="Palatino Linotype"/>
          <w:b/>
          <w:bCs/>
          <w:i/>
          <w:iCs/>
          <w:sz w:val="22"/>
          <w:szCs w:val="22"/>
        </w:rPr>
        <w:t xml:space="preserve"> en el caso de los Municipios, dicha obligación corresponderá a la Tesorería.</w:t>
      </w:r>
    </w:p>
    <w:p w14:paraId="017097D5"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Tratándose de documentos de carácter histórico, se estará a lo dispuesto por la legislación de la materia.</w:t>
      </w:r>
    </w:p>
    <w:p w14:paraId="577D81DF"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04EC2A66" w14:textId="77777777" w:rsidR="00DE75A3" w:rsidRPr="00A16850" w:rsidRDefault="002724D5">
      <w:pPr>
        <w:spacing w:line="276" w:lineRule="auto"/>
        <w:ind w:left="862"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Artículo 345.-</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A16850">
        <w:rPr>
          <w:rFonts w:ascii="Palatino Linotype" w:eastAsia="Palatino Linotype" w:hAnsi="Palatino Linotype" w:cs="Palatino Linotype"/>
          <w:b/>
          <w:bCs/>
          <w:i/>
          <w:iCs/>
          <w:sz w:val="22"/>
          <w:szCs w:val="22"/>
          <w:u w:val="single"/>
        </w:rPr>
        <w:t>Tratándose de los comprobantes fiscales digitales, estos deberán estar agregados en forma electrónica a cada póliza de registro contable</w:t>
      </w:r>
      <w:r w:rsidRPr="00A16850">
        <w:rPr>
          <w:rFonts w:ascii="Palatino Linotype" w:eastAsia="Palatino Linotype" w:hAnsi="Palatino Linotype" w:cs="Palatino Linotype"/>
          <w:b/>
          <w:bCs/>
          <w:i/>
          <w:iCs/>
          <w:sz w:val="22"/>
          <w:szCs w:val="22"/>
        </w:rPr>
        <w:t>.</w:t>
      </w:r>
    </w:p>
    <w:p w14:paraId="73233696"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A16850">
        <w:rPr>
          <w:rFonts w:ascii="Palatino Linotype" w:eastAsia="Palatino Linotype" w:hAnsi="Palatino Linotype" w:cs="Palatino Linotype"/>
          <w:b/>
          <w:bCs/>
          <w:i/>
          <w:iCs/>
          <w:sz w:val="22"/>
          <w:szCs w:val="22"/>
        </w:rPr>
        <w:t>deberán estar agregados en forma electrónica a cada póliza de registro contable</w:t>
      </w:r>
      <w:r w:rsidRPr="00A16850">
        <w:rPr>
          <w:rFonts w:ascii="Palatino Linotype" w:eastAsia="Palatino Linotype" w:hAnsi="Palatino Linotype" w:cs="Palatino Linotype"/>
          <w:i/>
          <w:iCs/>
          <w:sz w:val="22"/>
          <w:szCs w:val="22"/>
        </w:rPr>
        <w:t>.</w:t>
      </w:r>
    </w:p>
    <w:p w14:paraId="28F206CA" w14:textId="77777777" w:rsidR="00DE75A3" w:rsidRPr="00A16850" w:rsidRDefault="002724D5">
      <w:pPr>
        <w:spacing w:line="276" w:lineRule="auto"/>
        <w:ind w:left="862"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El plazo señalado en este artículo empezará a contar a partir de la publicación en el Periódico Oficial, del decreto correspondiente.</w:t>
      </w:r>
      <w:r w:rsidRPr="00A16850">
        <w:rPr>
          <w:rFonts w:ascii="Palatino Linotype" w:eastAsia="Palatino Linotype" w:hAnsi="Palatino Linotype" w:cs="Palatino Linotype"/>
          <w:b/>
          <w:bCs/>
          <w:i/>
          <w:iCs/>
          <w:sz w:val="22"/>
          <w:szCs w:val="22"/>
        </w:rPr>
        <w:t>”</w:t>
      </w:r>
    </w:p>
    <w:p w14:paraId="67FB353E" w14:textId="77777777" w:rsidR="00DE75A3" w:rsidRPr="00A16850" w:rsidRDefault="002724D5">
      <w:pPr>
        <w:spacing w:line="276" w:lineRule="auto"/>
        <w:ind w:left="862"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(Énfasis Añadido)</w:t>
      </w:r>
    </w:p>
    <w:p w14:paraId="2B367EC4"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4A9E69D"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A16850">
        <w:rPr>
          <w:rFonts w:ascii="Palatino Linotype" w:eastAsia="Palatino Linotype" w:hAnsi="Palatino Linotype" w:cs="Palatino Linotype"/>
          <w:sz w:val="22"/>
          <w:szCs w:val="22"/>
        </w:rPr>
        <w:t>presupuestación</w:t>
      </w:r>
      <w:proofErr w:type="spellEnd"/>
      <w:r w:rsidRPr="00A16850">
        <w:rPr>
          <w:rFonts w:ascii="Palatino Linotype" w:eastAsia="Palatino Linotype" w:hAnsi="Palatino Linotype" w:cs="Palatino Linotype"/>
          <w:sz w:val="22"/>
          <w:szCs w:val="22"/>
        </w:rPr>
        <w:t>, evaluación y contabilidad gubernamental.</w:t>
      </w:r>
    </w:p>
    <w:p w14:paraId="650104D4"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3231327"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A16850">
        <w:rPr>
          <w:rFonts w:ascii="Palatino Linotype" w:eastAsia="Palatino Linotype" w:hAnsi="Palatino Linotype" w:cs="Palatino Linotype"/>
          <w:sz w:val="22"/>
          <w:szCs w:val="22"/>
        </w:rPr>
        <w:t>Presupuestación</w:t>
      </w:r>
      <w:proofErr w:type="spellEnd"/>
      <w:r w:rsidRPr="00A16850">
        <w:rPr>
          <w:rFonts w:ascii="Palatino Linotype" w:eastAsia="Palatino Linotype" w:hAnsi="Palatino Linotype" w:cs="Palatino Linotype"/>
          <w:sz w:val="22"/>
          <w:szCs w:val="22"/>
        </w:rPr>
        <w:t xml:space="preserve"> y Evaluación en la Administración Pública”</w:t>
      </w:r>
      <w:r w:rsidRPr="00A16850">
        <w:rPr>
          <w:rFonts w:ascii="Palatino Linotype" w:eastAsia="Palatino Linotype" w:hAnsi="Palatino Linotype" w:cs="Palatino Linotype"/>
          <w:sz w:val="22"/>
          <w:szCs w:val="22"/>
          <w:vertAlign w:val="superscript"/>
        </w:rPr>
        <w:footnoteReference w:id="1"/>
      </w:r>
      <w:r w:rsidRPr="00A16850">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3A2ACB7" w14:textId="77777777" w:rsidR="00DE75A3" w:rsidRPr="00A16850" w:rsidRDefault="00DE75A3">
      <w:pPr>
        <w:tabs>
          <w:tab w:val="left" w:pos="7655"/>
        </w:tabs>
        <w:spacing w:line="276" w:lineRule="auto"/>
        <w:ind w:left="851" w:right="616" w:hanging="9"/>
        <w:jc w:val="both"/>
        <w:rPr>
          <w:rFonts w:ascii="Palatino Linotype" w:eastAsia="Palatino Linotype" w:hAnsi="Palatino Linotype" w:cs="Palatino Linotype"/>
          <w:b/>
          <w:bCs/>
          <w:i/>
          <w:iCs/>
          <w:sz w:val="22"/>
          <w:szCs w:val="22"/>
        </w:rPr>
      </w:pPr>
    </w:p>
    <w:p w14:paraId="32C8B189" w14:textId="77777777" w:rsidR="00DE75A3" w:rsidRPr="00A16850" w:rsidRDefault="002724D5">
      <w:pPr>
        <w:tabs>
          <w:tab w:val="left" w:pos="7655"/>
        </w:tabs>
        <w:spacing w:line="276" w:lineRule="auto"/>
        <w:ind w:left="851" w:right="616" w:hanging="9"/>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REGISTRO CONTABLE</w:t>
      </w:r>
    </w:p>
    <w:p w14:paraId="584FB26E" w14:textId="77777777" w:rsidR="00DE75A3" w:rsidRPr="00A16850" w:rsidRDefault="002724D5">
      <w:pPr>
        <w:tabs>
          <w:tab w:val="left" w:pos="7655"/>
        </w:tabs>
        <w:spacing w:line="276" w:lineRule="auto"/>
        <w:ind w:left="851" w:right="616" w:hanging="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Asiento que se realiza en los libros de contabilidad de las actividades relacionadas con el ingreso y egresos de un ente económico.”</w:t>
      </w:r>
    </w:p>
    <w:p w14:paraId="047D01C1" w14:textId="77777777" w:rsidR="00DE75A3" w:rsidRPr="00A16850" w:rsidRDefault="00DE75A3">
      <w:pPr>
        <w:tabs>
          <w:tab w:val="left" w:pos="7655"/>
        </w:tabs>
        <w:spacing w:line="276" w:lineRule="auto"/>
        <w:ind w:left="851" w:right="616" w:hanging="9"/>
        <w:jc w:val="both"/>
        <w:rPr>
          <w:rFonts w:ascii="Palatino Linotype" w:eastAsia="Palatino Linotype" w:hAnsi="Palatino Linotype" w:cs="Palatino Linotype"/>
          <w:i/>
          <w:iCs/>
          <w:sz w:val="22"/>
          <w:szCs w:val="22"/>
        </w:rPr>
      </w:pPr>
    </w:p>
    <w:p w14:paraId="4AB8E9C8" w14:textId="77777777" w:rsidR="00DE75A3" w:rsidRPr="00A16850" w:rsidRDefault="002724D5">
      <w:pPr>
        <w:tabs>
          <w:tab w:val="left" w:pos="7655"/>
        </w:tabs>
        <w:spacing w:line="276" w:lineRule="auto"/>
        <w:ind w:left="851" w:right="616" w:hanging="9"/>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REGISTRO PRESUPUESTARIO</w:t>
      </w:r>
    </w:p>
    <w:p w14:paraId="32ED7EFD" w14:textId="77777777" w:rsidR="00DE75A3" w:rsidRPr="00A16850" w:rsidRDefault="002724D5">
      <w:pPr>
        <w:tabs>
          <w:tab w:val="left" w:pos="7655"/>
        </w:tabs>
        <w:spacing w:line="276" w:lineRule="auto"/>
        <w:ind w:left="851" w:right="616" w:hanging="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Asiento contable de las erogaciones realizadas por las dependencias y entidades con relación a la asignación, modificación y ejercicio de los recursos presupuestarios que se les hayan autorizado.”</w:t>
      </w:r>
    </w:p>
    <w:p w14:paraId="5C2D87E0"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59C27FA7" w14:textId="77777777" w:rsidR="00DE75A3" w:rsidRPr="00A16850" w:rsidRDefault="002724D5">
      <w:pPr>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15A81D5C"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6D7B1747"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2638FC3A"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330F33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7F077E0"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F33AB03"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Correlativo a lo anterior, es preciso referir una definición de </w:t>
      </w:r>
      <w:r w:rsidRPr="00A16850">
        <w:rPr>
          <w:rFonts w:ascii="Palatino Linotype" w:eastAsia="Palatino Linotype" w:hAnsi="Palatino Linotype" w:cs="Palatino Linotype"/>
          <w:i/>
          <w:iCs/>
          <w:sz w:val="22"/>
          <w:szCs w:val="22"/>
        </w:rPr>
        <w:t>póliza contable</w:t>
      </w:r>
      <w:r w:rsidRPr="00A16850">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14:paraId="1C345561" w14:textId="77777777" w:rsidR="00DE75A3" w:rsidRPr="00A16850" w:rsidRDefault="00DE75A3">
      <w:pPr>
        <w:spacing w:line="276" w:lineRule="auto"/>
        <w:ind w:left="862" w:right="758"/>
        <w:jc w:val="both"/>
        <w:rPr>
          <w:rFonts w:ascii="Palatino Linotype" w:eastAsia="Palatino Linotype" w:hAnsi="Palatino Linotype" w:cs="Palatino Linotype"/>
          <w:i/>
          <w:iCs/>
          <w:sz w:val="22"/>
          <w:szCs w:val="22"/>
        </w:rPr>
      </w:pPr>
    </w:p>
    <w:p w14:paraId="1EBC2210" w14:textId="77777777" w:rsidR="00DE75A3" w:rsidRPr="00A16850" w:rsidRDefault="002724D5">
      <w:pPr>
        <w:spacing w:line="276" w:lineRule="auto"/>
        <w:ind w:left="862"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PÓLIZA CONTABLE</w:t>
      </w:r>
    </w:p>
    <w:p w14:paraId="32737FA7" w14:textId="77777777" w:rsidR="00DE75A3" w:rsidRPr="00A16850" w:rsidRDefault="002724D5">
      <w:pPr>
        <w:spacing w:line="276" w:lineRule="auto"/>
        <w:ind w:left="862"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Documento en el cual se asientan en forma individual todas y cada una de las operaciones desarrolladas por una institución, así como la información necesaria para la identificación de dichas operaciones.” </w:t>
      </w:r>
    </w:p>
    <w:p w14:paraId="13F4FA38"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382FF3F0"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Así, se advierte que la </w:t>
      </w:r>
      <w:r w:rsidRPr="00A16850">
        <w:rPr>
          <w:rFonts w:ascii="Palatino Linotype" w:eastAsia="Palatino Linotype" w:hAnsi="Palatino Linotype" w:cs="Palatino Linotype"/>
          <w:i/>
          <w:iCs/>
          <w:sz w:val="22"/>
          <w:szCs w:val="22"/>
        </w:rPr>
        <w:t>póliza contable</w:t>
      </w:r>
      <w:r w:rsidRPr="00A16850">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ingresos y egresos y </w:t>
      </w:r>
      <w:r w:rsidRPr="00A16850">
        <w:rPr>
          <w:rFonts w:ascii="Palatino Linotype" w:eastAsia="Palatino Linotype" w:hAnsi="Palatino Linotype" w:cs="Palatino Linotype"/>
          <w:b/>
          <w:bCs/>
          <w:sz w:val="22"/>
          <w:szCs w:val="22"/>
          <w:u w:val="single"/>
        </w:rPr>
        <w:t>se anexan los documentos o comprobantes que justifiquen las anotaciones y cantidades en ellas registradas</w:t>
      </w:r>
      <w:r w:rsidRPr="00A16850">
        <w:rPr>
          <w:rFonts w:ascii="Palatino Linotype" w:eastAsia="Palatino Linotype" w:hAnsi="Palatino Linotype" w:cs="Palatino Linotype"/>
          <w:sz w:val="22"/>
          <w:szCs w:val="22"/>
        </w:rPr>
        <w:t>, lo que permite la identificación plena de dichas operaciones.</w:t>
      </w:r>
    </w:p>
    <w:p w14:paraId="22ADFD81" w14:textId="77777777" w:rsidR="00DE75A3" w:rsidRPr="00A16850" w:rsidRDefault="00DE75A3">
      <w:pPr>
        <w:spacing w:line="360" w:lineRule="auto"/>
        <w:jc w:val="both"/>
        <w:rPr>
          <w:rFonts w:ascii="Palatino Linotype" w:eastAsia="Palatino Linotype" w:hAnsi="Palatino Linotype" w:cs="Palatino Linotype"/>
          <w:i/>
          <w:iCs/>
          <w:sz w:val="22"/>
          <w:szCs w:val="22"/>
        </w:rPr>
      </w:pPr>
    </w:p>
    <w:p w14:paraId="07E30400"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llamadas </w:t>
      </w:r>
      <w:r w:rsidRPr="00A16850">
        <w:rPr>
          <w:rFonts w:ascii="Palatino Linotype" w:eastAsia="Palatino Linotype" w:hAnsi="Palatino Linotype" w:cs="Palatino Linotype"/>
          <w:i/>
          <w:iCs/>
          <w:sz w:val="22"/>
          <w:szCs w:val="22"/>
        </w:rPr>
        <w:t>pólizas de egresos</w:t>
      </w:r>
      <w:r w:rsidRPr="00A16850">
        <w:rPr>
          <w:rFonts w:ascii="Palatino Linotype" w:eastAsia="Palatino Linotype" w:hAnsi="Palatino Linotype" w:cs="Palatino Linotype"/>
          <w:sz w:val="22"/>
          <w:szCs w:val="22"/>
        </w:rPr>
        <w:t xml:space="preserve">, que </w:t>
      </w:r>
      <w:r w:rsidRPr="00A16850">
        <w:rPr>
          <w:rFonts w:ascii="Palatino Linotype" w:eastAsia="Palatino Linotype" w:hAnsi="Palatino Linotype" w:cs="Palatino Linotype"/>
          <w:b/>
          <w:bCs/>
          <w:sz w:val="22"/>
          <w:szCs w:val="22"/>
        </w:rPr>
        <w:t xml:space="preserve">son aquellas en las cuales </w:t>
      </w:r>
      <w:r w:rsidRPr="00A16850">
        <w:rPr>
          <w:rFonts w:ascii="Palatino Linotype" w:eastAsia="Palatino Linotype" w:hAnsi="Palatino Linotype" w:cs="Palatino Linotype"/>
          <w:b/>
          <w:bCs/>
          <w:sz w:val="22"/>
          <w:szCs w:val="22"/>
          <w:u w:val="single"/>
        </w:rPr>
        <w:t>se anotan diariamente las operaciones que representan gastos, es decir, salidas de dinero</w:t>
      </w:r>
      <w:r w:rsidRPr="00A16850">
        <w:rPr>
          <w:rFonts w:ascii="Palatino Linotype" w:eastAsia="Palatino Linotype" w:hAnsi="Palatino Linotype" w:cs="Palatino Linotype"/>
          <w:sz w:val="22"/>
          <w:szCs w:val="22"/>
        </w:rPr>
        <w:t xml:space="preserve"> para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las </w:t>
      </w:r>
      <w:proofErr w:type="gramStart"/>
      <w:r w:rsidRPr="00A16850">
        <w:rPr>
          <w:rFonts w:ascii="Palatino Linotype" w:eastAsia="Palatino Linotype" w:hAnsi="Palatino Linotype" w:cs="Palatino Linotype"/>
          <w:sz w:val="22"/>
          <w:szCs w:val="22"/>
        </w:rPr>
        <w:t>que</w:t>
      </w:r>
      <w:proofErr w:type="gramEnd"/>
      <w:r w:rsidRPr="00A16850">
        <w:rPr>
          <w:rFonts w:ascii="Palatino Linotype" w:eastAsia="Palatino Linotype" w:hAnsi="Palatino Linotype" w:cs="Palatino Linotype"/>
          <w:sz w:val="22"/>
          <w:szCs w:val="22"/>
        </w:rPr>
        <w:t xml:space="preserve"> además, </w:t>
      </w:r>
      <w:r w:rsidRPr="00A16850">
        <w:rPr>
          <w:rFonts w:ascii="Palatino Linotype" w:eastAsia="Palatino Linotype" w:hAnsi="Palatino Linotype" w:cs="Palatino Linotype"/>
          <w:b/>
          <w:bCs/>
          <w:sz w:val="22"/>
          <w:szCs w:val="22"/>
          <w:u w:val="single"/>
        </w:rPr>
        <w:t>deben encontrarse acompañadas de las documentales que sirven de soporte de dicho movimiento</w:t>
      </w:r>
      <w:r w:rsidRPr="00A16850">
        <w:rPr>
          <w:rFonts w:ascii="Palatino Linotype" w:eastAsia="Palatino Linotype" w:hAnsi="Palatino Linotype" w:cs="Palatino Linotype"/>
          <w:sz w:val="22"/>
          <w:szCs w:val="22"/>
        </w:rPr>
        <w:t>, como por ejemplo las facturas.</w:t>
      </w:r>
    </w:p>
    <w:p w14:paraId="2B1D2814"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89743F6"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 este modo,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cuenta con facultades y atribuciones para tener registro de la expedición de las pólizas de egresos, ya que con tales documentales acredita y soporta el gasto realizado. </w:t>
      </w:r>
    </w:p>
    <w:p w14:paraId="70ECDFC4" w14:textId="77777777" w:rsidR="00343DED" w:rsidRPr="00A16850" w:rsidRDefault="00343DED">
      <w:pPr>
        <w:spacing w:line="360" w:lineRule="auto"/>
        <w:jc w:val="both"/>
        <w:rPr>
          <w:rFonts w:ascii="Palatino Linotype" w:eastAsia="Palatino Linotype" w:hAnsi="Palatino Linotype" w:cs="Palatino Linotype"/>
          <w:sz w:val="22"/>
          <w:szCs w:val="22"/>
        </w:rPr>
      </w:pPr>
    </w:p>
    <w:p w14:paraId="6700B688" w14:textId="7B907BDE"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Asimismo, el Manual de Organización de la Tesorería Municipal precisa que dicha área será la encargada de administrar los recursos públicos; para lo cual contará con la Subdirección de Egresos que tiene como objetivo llevar una administración adecuada de los recursos financieros, que cada pago cumpla con su normatividad aplicable y elaborar la información financiera y que esta sea veraz y oportuna para la toma de decisiones y atender los requerimientos de </w:t>
      </w:r>
      <w:proofErr w:type="gramStart"/>
      <w:r w:rsidRPr="00A16850">
        <w:rPr>
          <w:rFonts w:ascii="Palatino Linotype" w:eastAsia="Palatino Linotype" w:hAnsi="Palatino Linotype" w:cs="Palatino Linotype"/>
          <w:sz w:val="22"/>
          <w:szCs w:val="22"/>
        </w:rPr>
        <w:t>auditoria financieras</w:t>
      </w:r>
      <w:proofErr w:type="gramEnd"/>
      <w:r w:rsidRPr="00A16850">
        <w:rPr>
          <w:rFonts w:ascii="Palatino Linotype" w:eastAsia="Palatino Linotype" w:hAnsi="Palatino Linotype" w:cs="Palatino Linotype"/>
          <w:sz w:val="22"/>
          <w:szCs w:val="22"/>
        </w:rPr>
        <w:t xml:space="preserve">. Aunado a ello contara con las siguientes funciones: </w:t>
      </w:r>
    </w:p>
    <w:p w14:paraId="21676F0E"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81C28EE"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0B5AF8D2"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5. Supervisar y programar los pagos con cargo al presupuesto de egresos.</w:t>
      </w:r>
    </w:p>
    <w:p w14:paraId="3C085945"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6. Administrar correctamente los recursos financieros del Municipio de Ecatepec de Morelos para garantizar el pago en tiempo y forma al personal del Ayuntamiento prestadores de servicios y acreedores diversos.</w:t>
      </w:r>
    </w:p>
    <w:p w14:paraId="275582C3"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7. Mantener el control administrativo, de las cuentas por pagar, así como verificar mediante el cruce de información con las áreas de contabilidad y control presupuestal, a efecto de que los pagos que se realicen mantengan control y disciplina en el ejercicio del gasto público.</w:t>
      </w:r>
    </w:p>
    <w:p w14:paraId="16862C63"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8. Llevar el registro contable</w:t>
      </w:r>
      <w:r w:rsidRPr="00A16850">
        <w:rPr>
          <w:rFonts w:ascii="Palatino Linotype" w:eastAsia="Palatino Linotype" w:hAnsi="Palatino Linotype" w:cs="Palatino Linotype"/>
          <w:i/>
          <w:iCs/>
          <w:sz w:val="22"/>
          <w:szCs w:val="22"/>
        </w:rPr>
        <w:t xml:space="preserve"> y presupuestal de los ingresos públicos, egresos públicos y </w:t>
      </w:r>
      <w:r w:rsidRPr="00A16850">
        <w:rPr>
          <w:rFonts w:ascii="Palatino Linotype" w:eastAsia="Palatino Linotype" w:hAnsi="Palatino Linotype" w:cs="Palatino Linotype"/>
          <w:b/>
          <w:bCs/>
          <w:i/>
          <w:iCs/>
          <w:sz w:val="22"/>
          <w:szCs w:val="22"/>
          <w:u w:val="single"/>
        </w:rPr>
        <w:t>de todas las operaciones financieras que efectúa el Ayuntamiento</w:t>
      </w:r>
      <w:r w:rsidRPr="00A16850">
        <w:rPr>
          <w:rFonts w:ascii="Palatino Linotype" w:eastAsia="Palatino Linotype" w:hAnsi="Palatino Linotype" w:cs="Palatino Linotype"/>
          <w:i/>
          <w:iCs/>
          <w:sz w:val="22"/>
          <w:szCs w:val="22"/>
        </w:rPr>
        <w:t xml:space="preserve"> con la finalidad de proporcionar información sobre la aplicación de los fondos públicos. </w:t>
      </w:r>
    </w:p>
    <w:p w14:paraId="346198A0"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1F28F09E"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18. Realizar de manera directa todos los pagos que le sean enviados por parte de la coordinación general de egresos, previo cumplimiento de los requisitos de identificación y soporte documental de las pólizas correspondientes.</w:t>
      </w:r>
    </w:p>
    <w:p w14:paraId="00A3A39C" w14:textId="77777777" w:rsidR="00DE75A3" w:rsidRPr="00A16850" w:rsidRDefault="002724D5">
      <w:pPr>
        <w:spacing w:line="276" w:lineRule="auto"/>
        <w:ind w:left="851" w:right="616"/>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19. Desarrollar además todas aquellas funciones que resulten inherentes a sus ámbitos de competencia, así como aquellas que le sean encomendadas por sus superiores.”</w:t>
      </w:r>
    </w:p>
    <w:p w14:paraId="20C852B8"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01A156B"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 lo anterior, se colige que, el Ayuntamiento de Ecatepec de Morelos a través de la Tesorería Municipal se encarga de realizar las erogaciones que haga el Municipio; asimismo contara con una Subdirección de Egresos, misma que tiene atribuciones para vigilar la administración y correcta aplicación de los egresos, previa autorización de la Tesorería y lleva el registro contable y presupuestal de los egresos públicos y de todas las operaciones financieras que efectúa el Ayuntamiento. </w:t>
      </w:r>
    </w:p>
    <w:p w14:paraId="43B46E2B"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BF343E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 ahí que,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las facturas pagadas por el Ayuntamiento de Ecatepec de Morelos, referidas por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en su solicitud de información.</w:t>
      </w:r>
    </w:p>
    <w:p w14:paraId="3E81F946"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B44B6F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Ahora bien, en el caso que nos ocupa, derivado de las constancias que obran en el expediente en el que se actúa se advierte que la Unidad de Transparencia, en observancia de lo previsto en los artículos 53, fracciones II y IV</w:t>
      </w:r>
      <w:r w:rsidRPr="00A16850">
        <w:rPr>
          <w:rFonts w:ascii="Palatino Linotype" w:eastAsia="Palatino Linotype" w:hAnsi="Palatino Linotype" w:cs="Palatino Linotype"/>
          <w:sz w:val="22"/>
          <w:szCs w:val="22"/>
          <w:vertAlign w:val="superscript"/>
        </w:rPr>
        <w:t xml:space="preserve"> </w:t>
      </w:r>
      <w:r w:rsidRPr="00A16850">
        <w:rPr>
          <w:rFonts w:ascii="Palatino Linotype" w:eastAsia="Palatino Linotype" w:hAnsi="Palatino Linotype" w:cs="Palatino Linotype"/>
          <w:sz w:val="22"/>
          <w:szCs w:val="22"/>
          <w:vertAlign w:val="superscript"/>
        </w:rPr>
        <w:footnoteReference w:id="2"/>
      </w:r>
      <w:r w:rsidRPr="00A16850">
        <w:rPr>
          <w:rFonts w:ascii="Palatino Linotype" w:eastAsia="Palatino Linotype" w:hAnsi="Palatino Linotype" w:cs="Palatino Linotype"/>
          <w:sz w:val="22"/>
          <w:szCs w:val="22"/>
        </w:rPr>
        <w:t xml:space="preserve"> y 162</w:t>
      </w:r>
      <w:r w:rsidRPr="00A16850">
        <w:rPr>
          <w:rFonts w:ascii="Palatino Linotype" w:eastAsia="Palatino Linotype" w:hAnsi="Palatino Linotype" w:cs="Palatino Linotype"/>
          <w:sz w:val="22"/>
          <w:szCs w:val="22"/>
          <w:vertAlign w:val="superscript"/>
        </w:rPr>
        <w:footnoteReference w:id="3"/>
      </w:r>
      <w:r w:rsidRPr="00A16850">
        <w:rPr>
          <w:rFonts w:ascii="Palatino Linotype" w:eastAsia="Palatino Linotype" w:hAnsi="Palatino Linotype" w:cs="Palatino Linotype"/>
          <w:sz w:val="22"/>
          <w:szCs w:val="22"/>
        </w:rPr>
        <w:t xml:space="preserve"> de la Ley de Transparencia y Acceso a la Información Pública del Estado de México y Municipios, turnó la solicitud de información al área que, de acuerdo con sus facultades, competencias y funciones, cuenta con la información materia de la solicitud, esto es la Tesorería Municipal, como se muestra a continuación:</w:t>
      </w:r>
    </w:p>
    <w:p w14:paraId="362CE978"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6F7CB4F6" wp14:editId="1E372673">
            <wp:extent cx="5612130" cy="309245"/>
            <wp:effectExtent l="0" t="0" r="0" b="0"/>
            <wp:docPr id="21286493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612130" cy="309245"/>
                    </a:xfrm>
                    <a:prstGeom prst="rect">
                      <a:avLst/>
                    </a:prstGeom>
                    <a:ln/>
                  </pic:spPr>
                </pic:pic>
              </a:graphicData>
            </a:graphic>
          </wp:inline>
        </w:drawing>
      </w:r>
    </w:p>
    <w:p w14:paraId="7405671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E51275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De la imagen inserta se advierte que la solicitud de información fue atendida por el Servidor Público Habilitado Lic. Alejandro Hernández Aguilar, mismo que se ostenta como Tesorero Municipal, tal y como se advierte a continuación:</w:t>
      </w:r>
    </w:p>
    <w:p w14:paraId="5A5FE93C"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C838375" w14:textId="77777777" w:rsidR="00DE75A3" w:rsidRPr="00A16850" w:rsidRDefault="002724D5">
      <w:pPr>
        <w:spacing w:line="360" w:lineRule="auto"/>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44CABE9A" wp14:editId="30FEF5F5">
            <wp:extent cx="5612130" cy="265430"/>
            <wp:effectExtent l="0" t="0" r="0" b="0"/>
            <wp:docPr id="21286493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265430"/>
                    </a:xfrm>
                    <a:prstGeom prst="rect">
                      <a:avLst/>
                    </a:prstGeom>
                    <a:ln/>
                  </pic:spPr>
                </pic:pic>
              </a:graphicData>
            </a:graphic>
          </wp:inline>
        </w:drawing>
      </w:r>
    </w:p>
    <w:p w14:paraId="4C56DF1E" w14:textId="77777777" w:rsidR="00DE75A3" w:rsidRPr="00A16850" w:rsidRDefault="00DE75A3">
      <w:pPr>
        <w:spacing w:line="360" w:lineRule="auto"/>
        <w:jc w:val="center"/>
        <w:rPr>
          <w:rFonts w:ascii="Palatino Linotype" w:eastAsia="Palatino Linotype" w:hAnsi="Palatino Linotype" w:cs="Palatino Linotype"/>
          <w:sz w:val="22"/>
          <w:szCs w:val="22"/>
        </w:rPr>
      </w:pPr>
    </w:p>
    <w:p w14:paraId="3BBA63E8"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Servidor Público que, en atención a la solicitud de información de mérito, informó que la información solicitada no podía ser proporcionada al estar clasificada; sobre el tema, según Trujillo, Humberto (2019), en el “Diccionario de Transparencia y Acceso a la Información Pública” (p. 201), </w:t>
      </w:r>
      <w:r w:rsidRPr="00A16850">
        <w:rPr>
          <w:rFonts w:ascii="Palatino Linotype" w:eastAsia="Palatino Linotype" w:hAnsi="Palatino Linotype" w:cs="Palatino Linotype"/>
          <w:b/>
          <w:bCs/>
          <w:sz w:val="22"/>
          <w:szCs w:val="22"/>
        </w:rPr>
        <w:t>la negativa de acceso a la información</w:t>
      </w:r>
      <w:r w:rsidRPr="00A16850">
        <w:rPr>
          <w:rFonts w:ascii="Palatino Linotype" w:eastAsia="Palatino Linotype" w:hAnsi="Palatino Linotype" w:cs="Palatino Linotype"/>
          <w:sz w:val="22"/>
          <w:szCs w:val="22"/>
        </w:rPr>
        <w:t xml:space="preserve"> ocurre cuanto de manera fundada y motivada, una autoridad la niega o la limita, por alguna de las siguientes razones:</w:t>
      </w:r>
    </w:p>
    <w:p w14:paraId="7897853B" w14:textId="77777777" w:rsidR="00DE75A3" w:rsidRPr="00A16850" w:rsidRDefault="00DE75A3">
      <w:pPr>
        <w:spacing w:line="360" w:lineRule="auto"/>
        <w:rPr>
          <w:rFonts w:ascii="Palatino Linotype" w:eastAsia="Palatino Linotype" w:hAnsi="Palatino Linotype" w:cs="Palatino Linotype"/>
          <w:sz w:val="22"/>
          <w:szCs w:val="22"/>
        </w:rPr>
      </w:pPr>
    </w:p>
    <w:p w14:paraId="67DF3359" w14:textId="77777777" w:rsidR="00DE75A3" w:rsidRPr="00A16850" w:rsidRDefault="002724D5">
      <w:pPr>
        <w:numPr>
          <w:ilvl w:val="0"/>
          <w:numId w:val="7"/>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La inexistencia de la información (p. 171):</w:t>
      </w:r>
      <w:r w:rsidRPr="00A16850">
        <w:rPr>
          <w:rFonts w:ascii="Palatino Linotype" w:eastAsia="Palatino Linotype" w:hAnsi="Palatino Linotype" w:cs="Palatino Linotype"/>
          <w:sz w:val="22"/>
          <w:szCs w:val="22"/>
        </w:rPr>
        <w:t xml:space="preserve"> Sucede cuando la información solicitada no se encuentra en los archivos públicos o clasificados de los entes sujetos a las Leyes de Transparencia.</w:t>
      </w:r>
    </w:p>
    <w:p w14:paraId="78C1D48A"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3F03B1F6" w14:textId="77777777" w:rsidR="00DE75A3" w:rsidRPr="00A16850" w:rsidRDefault="002724D5">
      <w:pPr>
        <w:numPr>
          <w:ilvl w:val="0"/>
          <w:numId w:val="7"/>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La incompetencia del Sujeto Obligado (p. 171):</w:t>
      </w:r>
      <w:r w:rsidRPr="00A16850">
        <w:rPr>
          <w:rFonts w:ascii="Palatino Linotype" w:eastAsia="Palatino Linotype" w:hAnsi="Palatino Linotype" w:cs="Palatino Linotype"/>
          <w:sz w:val="22"/>
          <w:szCs w:val="22"/>
        </w:rPr>
        <w:t xml:space="preserve"> Ocurre cuando el Sujeto Obligado carece de atribuciones para poseer la información peticionada.</w:t>
      </w:r>
    </w:p>
    <w:p w14:paraId="0BCEFFB7"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F34BEB0" w14:textId="77777777" w:rsidR="00DE75A3" w:rsidRPr="00A16850" w:rsidRDefault="002724D5">
      <w:pPr>
        <w:numPr>
          <w:ilvl w:val="0"/>
          <w:numId w:val="7"/>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La clasificación de la información (p. 70):</w:t>
      </w:r>
      <w:r w:rsidRPr="00A16850">
        <w:rPr>
          <w:rFonts w:ascii="Palatino Linotype" w:eastAsia="Palatino Linotype" w:hAnsi="Palatino Linotype" w:cs="Palatino Linotype"/>
          <w:sz w:val="22"/>
          <w:szCs w:val="22"/>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45842A0C"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A4DEC77"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 xml:space="preserve">Así, es de señalar que las excepciones al derecho de acceso a la información, consisten en que </w:t>
      </w:r>
      <w:r w:rsidRPr="00A16850">
        <w:rPr>
          <w:rFonts w:ascii="Palatino Linotype" w:eastAsia="Palatino Linotype" w:hAnsi="Palatino Linotype" w:cs="Palatino Linotype"/>
          <w:b/>
          <w:bCs/>
          <w:sz w:val="22"/>
          <w:szCs w:val="22"/>
        </w:rPr>
        <w:t xml:space="preserve">la documentación sea inexistente, obre en los archivos, pero se encuentre clasificada, </w:t>
      </w:r>
      <w:r w:rsidRPr="00A16850">
        <w:rPr>
          <w:rFonts w:ascii="Palatino Linotype" w:eastAsia="Palatino Linotype" w:hAnsi="Palatino Linotype" w:cs="Palatino Linotype"/>
          <w:sz w:val="22"/>
          <w:szCs w:val="22"/>
        </w:rPr>
        <w:t>o bien, el</w:t>
      </w:r>
      <w:r w:rsidRPr="00A16850">
        <w:rPr>
          <w:rFonts w:ascii="Palatino Linotype" w:eastAsia="Palatino Linotype" w:hAnsi="Palatino Linotype" w:cs="Palatino Linotype"/>
          <w:b/>
          <w:bCs/>
          <w:sz w:val="22"/>
          <w:szCs w:val="22"/>
        </w:rPr>
        <w:t xml:space="preserve"> Sujeto Obligado sea incompetente</w:t>
      </w:r>
      <w:r w:rsidRPr="00A16850">
        <w:rPr>
          <w:rFonts w:ascii="Palatino Linotype" w:eastAsia="Palatino Linotype" w:hAnsi="Palatino Linotype" w:cs="Palatino Linotype"/>
          <w:sz w:val="22"/>
          <w:szCs w:val="22"/>
        </w:rPr>
        <w:t xml:space="preserve"> para contar con esta; esto es, la negativa de acceso a la información, recae cuando la documentación no se encuentre en los archivos del sujeto obligado, o bien exista, pero no pueda proporcionarse por contener datos </w:t>
      </w:r>
      <w:r w:rsidRPr="00A16850">
        <w:rPr>
          <w:rFonts w:ascii="Palatino Linotype" w:eastAsia="Palatino Linotype" w:hAnsi="Palatino Linotype" w:cs="Palatino Linotype"/>
          <w:b/>
          <w:bCs/>
          <w:sz w:val="22"/>
          <w:szCs w:val="22"/>
        </w:rPr>
        <w:t>confidenciales o reservados.</w:t>
      </w:r>
    </w:p>
    <w:p w14:paraId="1A7596D5"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C2817C3"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ese contexto, es de referir que el Sujeto Obligado, precisó que no podía entregar la información al contener información confidencial, es decir, aludió a una clasificación; sobre el tema, en los artículos 122, 128 y 130 de la Ley Transparencia y Acceso a la Información Pública del Estado de México y Municipios, se prevé que la clasificación es el proceso mediante el cual los sujetos obligados determinan que la información en su poder, actualiza alguno de los supuestos de </w:t>
      </w:r>
      <w:r w:rsidRPr="00A16850">
        <w:rPr>
          <w:rFonts w:ascii="Palatino Linotype" w:eastAsia="Palatino Linotype" w:hAnsi="Palatino Linotype" w:cs="Palatino Linotype"/>
          <w:b/>
          <w:bCs/>
          <w:sz w:val="22"/>
          <w:szCs w:val="22"/>
        </w:rPr>
        <w:t>reserva o confidencialidad</w:t>
      </w:r>
      <w:r w:rsidRPr="00A16850">
        <w:rPr>
          <w:rFonts w:ascii="Palatino Linotype" w:eastAsia="Palatino Linotype" w:hAnsi="Palatino Linotype" w:cs="Palatino Linotype"/>
          <w:sz w:val="22"/>
          <w:szCs w:val="22"/>
        </w:rPr>
        <w:t>. Además, que dichos entes deberán aplicar de manera restrictiva y limitada, las excepciones al derecho de acceso a la información, por lo que, tendrán que acreditar la procedencia.</w:t>
      </w:r>
    </w:p>
    <w:p w14:paraId="19245807"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251C343"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Por lo cual, en los casos en que se niegue el acceso a la información, por actualizarse alguno de los supuestos de clasificación, </w:t>
      </w:r>
      <w:r w:rsidRPr="00A16850">
        <w:rPr>
          <w:rFonts w:ascii="Palatino Linotype" w:eastAsia="Palatino Linotype" w:hAnsi="Palatino Linotype" w:cs="Palatino Linotype"/>
          <w:b/>
          <w:bCs/>
          <w:sz w:val="22"/>
          <w:szCs w:val="22"/>
        </w:rPr>
        <w:t>el Comité de Transparencia deberá confirmar, modificar o revocar la decisión;</w:t>
      </w:r>
      <w:r w:rsidRPr="00A16850">
        <w:rPr>
          <w:rFonts w:ascii="Palatino Linotype" w:eastAsia="Palatino Linotype" w:hAnsi="Palatino Linotype" w:cs="Palatino Linotype"/>
          <w:sz w:val="22"/>
          <w:szCs w:val="22"/>
        </w:rPr>
        <w:t xml:space="preserve"> 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35BC9617"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ED6C567"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 xml:space="preserve">En ese contexto, de la interpretación del artículo 134 de la Ley de Transparencia y Acceso a la Información Pública del Estado de México y Municipios, se logra observar que </w:t>
      </w:r>
      <w:r w:rsidRPr="00A16850">
        <w:rPr>
          <w:rFonts w:ascii="Palatino Linotype" w:eastAsia="Palatino Linotype" w:hAnsi="Palatino Linotype" w:cs="Palatino Linotype"/>
          <w:b/>
          <w:bCs/>
          <w:sz w:val="22"/>
          <w:szCs w:val="22"/>
        </w:rPr>
        <w:t>la clasificación depende del contenido de los documentos, pues de su análisis se establece si corresponde a una clasificación total o parcial.</w:t>
      </w:r>
    </w:p>
    <w:p w14:paraId="305FBA1D"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373BF21"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6A783199"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2013A7E8"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 xml:space="preserve">En ese contexto, según </w:t>
      </w:r>
      <w:proofErr w:type="spellStart"/>
      <w:r w:rsidRPr="00A16850">
        <w:rPr>
          <w:rFonts w:ascii="Palatino Linotype" w:eastAsia="Palatino Linotype" w:hAnsi="Palatino Linotype" w:cs="Palatino Linotype"/>
          <w:sz w:val="22"/>
          <w:szCs w:val="22"/>
        </w:rPr>
        <w:t>Bonifaz</w:t>
      </w:r>
      <w:proofErr w:type="spellEnd"/>
      <w:r w:rsidRPr="00A16850">
        <w:rPr>
          <w:rFonts w:ascii="Palatino Linotype" w:eastAsia="Palatino Linotype" w:hAnsi="Palatino Linotype" w:cs="Palatino Linotype"/>
          <w:sz w:val="22"/>
          <w:szCs w:val="22"/>
        </w:rPr>
        <w:t xml:space="preserve">, Leticia (2016), en la “Ley General de Transparencia y Acceso a la Información Pública Comentada” (p. 342), la </w:t>
      </w:r>
      <w:r w:rsidRPr="00A16850">
        <w:rPr>
          <w:rFonts w:ascii="Palatino Linotype" w:eastAsia="Palatino Linotype" w:hAnsi="Palatino Linotype" w:cs="Palatino Linotype"/>
          <w:b/>
          <w:bCs/>
          <w:sz w:val="22"/>
          <w:szCs w:val="22"/>
        </w:rPr>
        <w:t>clasificación de la información</w:t>
      </w:r>
      <w:r w:rsidRPr="00A16850">
        <w:rPr>
          <w:rFonts w:ascii="Palatino Linotype" w:eastAsia="Palatino Linotype" w:hAnsi="Palatino Linotype" w:cs="Palatino Linotype"/>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A16850">
        <w:rPr>
          <w:rFonts w:ascii="Palatino Linotype" w:eastAsia="Palatino Linotype" w:hAnsi="Palatino Linotype" w:cs="Palatino Linotype"/>
          <w:b/>
          <w:bCs/>
          <w:sz w:val="22"/>
          <w:szCs w:val="22"/>
        </w:rPr>
        <w:t>de manera adecuada la negativa de información.</w:t>
      </w:r>
    </w:p>
    <w:p w14:paraId="2D1D2348"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51DF5D3E"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Además, conforme al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14:paraId="0108F66F"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FE2AACF"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Sobre lo anterior, el artículo 131 de la Ley referida, así como el Quinto de los Lineamientos Generales, establecen que los sujetos obligados deberán fundar y motivar debidamente la clasificación de la información. Al respecto, el Octavo de los Lineamientos Generales, precisa lo siguiente:</w:t>
      </w:r>
    </w:p>
    <w:p w14:paraId="45BFA0AA"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3837A6A" w14:textId="77777777" w:rsidR="00DE75A3" w:rsidRPr="00A16850" w:rsidRDefault="002724D5">
      <w:pPr>
        <w:numPr>
          <w:ilvl w:val="0"/>
          <w:numId w:val="11"/>
        </w:numPr>
        <w:spacing w:line="360" w:lineRule="auto"/>
        <w:jc w:val="both"/>
        <w:rPr>
          <w:rFonts w:ascii="Palatino Linotype" w:eastAsia="Palatino Linotype" w:hAnsi="Palatino Linotype" w:cs="Palatino Linotype"/>
          <w:sz w:val="22"/>
          <w:szCs w:val="22"/>
          <w:u w:val="single"/>
        </w:rPr>
      </w:pPr>
      <w:r w:rsidRPr="00A16850">
        <w:rPr>
          <w:rFonts w:ascii="Palatino Linotype" w:eastAsia="Palatino Linotype" w:hAnsi="Palatino Linotype" w:cs="Palatino Linotype"/>
          <w:b/>
          <w:bCs/>
          <w:sz w:val="22"/>
          <w:szCs w:val="22"/>
        </w:rPr>
        <w:t>Para fundar la clasificación</w:t>
      </w:r>
      <w:r w:rsidRPr="00A16850">
        <w:rPr>
          <w:rFonts w:ascii="Palatino Linotype" w:eastAsia="Palatino Linotype" w:hAnsi="Palatino Linotype" w:cs="Palatino Linotype"/>
          <w:sz w:val="22"/>
          <w:szCs w:val="22"/>
        </w:rPr>
        <w:t xml:space="preserve"> de la información se deberán </w:t>
      </w:r>
      <w:r w:rsidRPr="00A16850">
        <w:rPr>
          <w:rFonts w:ascii="Palatino Linotype" w:eastAsia="Palatino Linotype" w:hAnsi="Palatino Linotype" w:cs="Palatino Linotype"/>
          <w:sz w:val="22"/>
          <w:szCs w:val="22"/>
          <w:u w:val="single"/>
        </w:rPr>
        <w:t>señalar el artículo, fracción, inciso, párrafo o numeral de la Ley aplicable.</w:t>
      </w:r>
    </w:p>
    <w:p w14:paraId="45FC1A7C" w14:textId="77777777" w:rsidR="00DE75A3" w:rsidRPr="00A16850" w:rsidRDefault="00DE75A3">
      <w:pPr>
        <w:spacing w:line="360" w:lineRule="auto"/>
        <w:ind w:left="720"/>
        <w:jc w:val="both"/>
        <w:rPr>
          <w:rFonts w:ascii="Palatino Linotype" w:eastAsia="Palatino Linotype" w:hAnsi="Palatino Linotype" w:cs="Palatino Linotype"/>
          <w:sz w:val="22"/>
          <w:szCs w:val="22"/>
          <w:u w:val="single"/>
        </w:rPr>
      </w:pPr>
    </w:p>
    <w:p w14:paraId="7390E90D" w14:textId="77777777" w:rsidR="00DE75A3" w:rsidRPr="00A16850" w:rsidRDefault="002724D5">
      <w:pPr>
        <w:numPr>
          <w:ilvl w:val="0"/>
          <w:numId w:val="11"/>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Para motivar la clasificación</w:t>
      </w:r>
      <w:r w:rsidRPr="00A16850">
        <w:rPr>
          <w:rFonts w:ascii="Palatino Linotype" w:eastAsia="Palatino Linotype" w:hAnsi="Palatino Linotype" w:cs="Palatino Linotype"/>
          <w:sz w:val="22"/>
          <w:szCs w:val="22"/>
        </w:rPr>
        <w:t xml:space="preserve"> se deberán </w:t>
      </w:r>
      <w:r w:rsidRPr="00A16850">
        <w:rPr>
          <w:rFonts w:ascii="Palatino Linotype" w:eastAsia="Palatino Linotype" w:hAnsi="Palatino Linotype" w:cs="Palatino Linotype"/>
          <w:sz w:val="22"/>
          <w:szCs w:val="22"/>
          <w:u w:val="single"/>
        </w:rPr>
        <w:t>indicar las razones y circunstancias</w:t>
      </w:r>
      <w:r w:rsidRPr="00A16850">
        <w:rPr>
          <w:rFonts w:ascii="Palatino Linotype" w:eastAsia="Palatino Linotype" w:hAnsi="Palatino Linotype" w:cs="Palatino Linotype"/>
          <w:sz w:val="22"/>
          <w:szCs w:val="22"/>
        </w:rPr>
        <w:t xml:space="preserve"> especiales que lo llevaron a concluir que el caso particular se ajusta al supuesto previsto por la norma legal invocada.</w:t>
      </w:r>
    </w:p>
    <w:p w14:paraId="1949880B" w14:textId="77777777" w:rsidR="00DE75A3" w:rsidRPr="00A16850" w:rsidRDefault="00DE75A3">
      <w:pPr>
        <w:spacing w:line="360" w:lineRule="auto"/>
        <w:ind w:left="720"/>
        <w:jc w:val="both"/>
        <w:rPr>
          <w:rFonts w:ascii="Palatino Linotype" w:eastAsia="Palatino Linotype" w:hAnsi="Palatino Linotype" w:cs="Palatino Linotype"/>
          <w:sz w:val="22"/>
          <w:szCs w:val="22"/>
        </w:rPr>
      </w:pPr>
    </w:p>
    <w:p w14:paraId="34F4CC43"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2E4CFE02" w14:textId="77777777" w:rsidR="00DE75A3" w:rsidRPr="00A16850" w:rsidRDefault="002724D5">
      <w:pPr>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FUNDAMENTACION Y MOTIVACION, CONCEPTO DE.</w:t>
      </w:r>
      <w:r w:rsidRPr="00A16850">
        <w:rPr>
          <w:rFonts w:ascii="Palatino Linotype" w:eastAsia="Palatino Linotype" w:hAnsi="Palatino Linotype" w:cs="Palatino Linotype"/>
          <w:i/>
          <w:iCs/>
          <w:sz w:val="22"/>
          <w:szCs w:val="22"/>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5AB95A22"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3C3A82A"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Conforme a lo anterior, se advierte lo siguiente:</w:t>
      </w:r>
    </w:p>
    <w:p w14:paraId="5417169E"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14CB908E" w14:textId="77777777" w:rsidR="00DE75A3" w:rsidRPr="00A16850" w:rsidRDefault="002724D5">
      <w:pPr>
        <w:numPr>
          <w:ilvl w:val="0"/>
          <w:numId w:val="12"/>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Fundamentación:</w:t>
      </w:r>
      <w:r w:rsidRPr="00A16850">
        <w:rPr>
          <w:rFonts w:ascii="Palatino Linotype" w:eastAsia="Palatino Linotype" w:hAnsi="Palatino Linotype" w:cs="Palatino Linotype"/>
          <w:sz w:val="22"/>
          <w:szCs w:val="22"/>
        </w:rPr>
        <w:t xml:space="preserve"> Obligación de la autoridad que emite un acto, para citar los preceptos legales, sustantivos y adjetivos, en que se apoye para la determinación tomada. </w:t>
      </w:r>
    </w:p>
    <w:p w14:paraId="6075534D" w14:textId="77777777" w:rsidR="00DE75A3" w:rsidRPr="00A16850" w:rsidRDefault="002724D5">
      <w:pPr>
        <w:numPr>
          <w:ilvl w:val="0"/>
          <w:numId w:val="12"/>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Motivación:</w:t>
      </w:r>
      <w:r w:rsidRPr="00A16850">
        <w:rPr>
          <w:rFonts w:ascii="Palatino Linotype" w:eastAsia="Palatino Linotype" w:hAnsi="Palatino Linotype" w:cs="Palatino Linotype"/>
          <w:sz w:val="22"/>
          <w:szCs w:val="22"/>
        </w:rPr>
        <w:t xml:space="preserve"> Razonamientos lógico-jurídicos sobre porque se consideró en el caso en concreto, que se ajusta a la hipótesis normativa.</w:t>
      </w:r>
    </w:p>
    <w:p w14:paraId="1009A843"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5D88CC68"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En ese contexto, de la respuesta entregada por la Tesorería Municipal, se logra vislumbrar que confundió la fundamentación y motivación de la clasificación, pues por una parte señala que se trata de información confidencial y por otra parte reservada, tal como se muestra a continuación:</w:t>
      </w:r>
    </w:p>
    <w:p w14:paraId="6416A937" w14:textId="77777777" w:rsidR="00DE75A3" w:rsidRPr="00A16850" w:rsidRDefault="00DE75A3">
      <w:pPr>
        <w:spacing w:line="360" w:lineRule="auto"/>
        <w:jc w:val="center"/>
        <w:rPr>
          <w:rFonts w:ascii="Palatino Linotype" w:eastAsia="Palatino Linotype" w:hAnsi="Palatino Linotype" w:cs="Palatino Linotype"/>
          <w:sz w:val="22"/>
          <w:szCs w:val="22"/>
        </w:rPr>
      </w:pPr>
    </w:p>
    <w:p w14:paraId="54669159" w14:textId="77777777" w:rsidR="00DE75A3" w:rsidRPr="00A16850" w:rsidRDefault="002724D5">
      <w:pPr>
        <w:spacing w:line="360" w:lineRule="auto"/>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402E93F1" wp14:editId="55EE5985">
            <wp:extent cx="5612130" cy="1010920"/>
            <wp:effectExtent l="0" t="0" r="0" b="0"/>
            <wp:docPr id="21286493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1010920"/>
                    </a:xfrm>
                    <a:prstGeom prst="rect">
                      <a:avLst/>
                    </a:prstGeom>
                    <a:ln/>
                  </pic:spPr>
                </pic:pic>
              </a:graphicData>
            </a:graphic>
          </wp:inline>
        </w:drawing>
      </w:r>
    </w:p>
    <w:p w14:paraId="7DE2F286" w14:textId="77777777" w:rsidR="00DE75A3" w:rsidRPr="00A16850" w:rsidRDefault="002724D5">
      <w:pPr>
        <w:spacing w:line="360" w:lineRule="auto"/>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33ED1C68" wp14:editId="2A679A7F">
            <wp:extent cx="5612130" cy="567055"/>
            <wp:effectExtent l="0" t="0" r="0" b="0"/>
            <wp:docPr id="21286493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567055"/>
                    </a:xfrm>
                    <a:prstGeom prst="rect">
                      <a:avLst/>
                    </a:prstGeom>
                    <a:ln/>
                  </pic:spPr>
                </pic:pic>
              </a:graphicData>
            </a:graphic>
          </wp:inline>
        </w:drawing>
      </w:r>
    </w:p>
    <w:p w14:paraId="067EEDCD" w14:textId="77777777" w:rsidR="00DE75A3" w:rsidRPr="00A16850" w:rsidRDefault="002724D5">
      <w:pPr>
        <w:spacing w:line="360" w:lineRule="auto"/>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w:t>
      </w:r>
    </w:p>
    <w:p w14:paraId="4E759356" w14:textId="77777777" w:rsidR="00DE75A3" w:rsidRPr="00A16850" w:rsidRDefault="002724D5">
      <w:pPr>
        <w:spacing w:line="360" w:lineRule="auto"/>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639ED65F" wp14:editId="5F92EB5A">
            <wp:extent cx="5612130" cy="1151890"/>
            <wp:effectExtent l="0" t="0" r="0" b="0"/>
            <wp:docPr id="21286493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24385"/>
                    <a:stretch>
                      <a:fillRect/>
                    </a:stretch>
                  </pic:blipFill>
                  <pic:spPr>
                    <a:xfrm>
                      <a:off x="0" y="0"/>
                      <a:ext cx="5612130" cy="1151890"/>
                    </a:xfrm>
                    <a:prstGeom prst="rect">
                      <a:avLst/>
                    </a:prstGeom>
                    <a:ln/>
                  </pic:spPr>
                </pic:pic>
              </a:graphicData>
            </a:graphic>
          </wp:inline>
        </w:drawing>
      </w:r>
    </w:p>
    <w:p w14:paraId="0FA2171F" w14:textId="77777777" w:rsidR="00DE75A3" w:rsidRPr="00A16850" w:rsidRDefault="00DE75A3">
      <w:pPr>
        <w:spacing w:line="360" w:lineRule="auto"/>
        <w:jc w:val="center"/>
        <w:rPr>
          <w:rFonts w:ascii="Palatino Linotype" w:eastAsia="Palatino Linotype" w:hAnsi="Palatino Linotype" w:cs="Palatino Linotype"/>
          <w:sz w:val="22"/>
          <w:szCs w:val="22"/>
        </w:rPr>
      </w:pPr>
    </w:p>
    <w:p w14:paraId="585DC1AC"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En ese contexto, es de señalar que Ayuntamiento de Ecatepec de Morelos, no precisó de manera clara, fundada y motivada las razones por las cuales, consideraba que los documentos solicitados eran clasificados, lo cual da como resultado que el agravio sea fundado.</w:t>
      </w:r>
    </w:p>
    <w:p w14:paraId="1FDBD348" w14:textId="77777777" w:rsidR="00DE75A3" w:rsidRPr="00A16850" w:rsidRDefault="00DE75A3">
      <w:pPr>
        <w:spacing w:line="360" w:lineRule="auto"/>
        <w:jc w:val="both"/>
        <w:rPr>
          <w:rFonts w:ascii="Palatino Linotype" w:eastAsia="Palatino Linotype" w:hAnsi="Palatino Linotype" w:cs="Palatino Linotype"/>
          <w:b/>
          <w:bCs/>
          <w:sz w:val="22"/>
          <w:szCs w:val="22"/>
        </w:rPr>
      </w:pPr>
    </w:p>
    <w:p w14:paraId="4F4524EE"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No obstante, durante la sustanciación del Medio de Impugnación, la Tesorería Municipal proporcionó el Acta de la Décima Sesión Ordinaria del Comité de Transparencia, en donde aprobó la reserva de la información, tal como se muestra a continuación:</w:t>
      </w:r>
    </w:p>
    <w:p w14:paraId="2AA6AC02"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572191A1"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noProof/>
          <w:sz w:val="22"/>
          <w:szCs w:val="22"/>
        </w:rPr>
        <w:drawing>
          <wp:inline distT="0" distB="0" distL="0" distR="0" wp14:anchorId="225BCAAB" wp14:editId="367AB5F9">
            <wp:extent cx="5612130" cy="937895"/>
            <wp:effectExtent l="0" t="0" r="0" b="0"/>
            <wp:docPr id="2128649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937895"/>
                    </a:xfrm>
                    <a:prstGeom prst="rect">
                      <a:avLst/>
                    </a:prstGeom>
                    <a:ln/>
                  </pic:spPr>
                </pic:pic>
              </a:graphicData>
            </a:graphic>
          </wp:inline>
        </w:drawing>
      </w:r>
    </w:p>
    <w:p w14:paraId="3DDCC393"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5947C26E"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En ese orden de ideas, el Trigésimo tercero de los Lineamientos Generales, establece la forma en que se debe fundamentar y motivar la reserva de la información, es decir, a través de los siguientes pasos:</w:t>
      </w:r>
    </w:p>
    <w:p w14:paraId="30FAE29C"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23D43CB0" w14:textId="77777777" w:rsidR="00DE75A3" w:rsidRPr="00A16850" w:rsidRDefault="002724D5">
      <w:pPr>
        <w:numPr>
          <w:ilvl w:val="0"/>
          <w:numId w:val="8"/>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Se deberá citar la fracción y, en su caso, la causal aplicable de la Ley General de Transparencia y Acceso a la Información Pública o, en el presente caso, de la Ley de Transparencia y Acceso a la Información Pública del Estado de México y Municipios, vinculándola con el Lineamiento específico;</w:t>
      </w:r>
    </w:p>
    <w:p w14:paraId="2028E064" w14:textId="77777777" w:rsidR="00DE75A3" w:rsidRPr="00A16850" w:rsidRDefault="002724D5">
      <w:pPr>
        <w:numPr>
          <w:ilvl w:val="0"/>
          <w:numId w:val="8"/>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Se deberá demostrar que la publicidad de la información generaría un riesgo de perjuicio, que rebasa el interés público;</w:t>
      </w:r>
    </w:p>
    <w:p w14:paraId="5B35157F" w14:textId="77777777" w:rsidR="00DE75A3" w:rsidRPr="00A16850" w:rsidRDefault="002724D5">
      <w:pPr>
        <w:numPr>
          <w:ilvl w:val="0"/>
          <w:numId w:val="8"/>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Se acreditará el vínculo entre la difusión de la información y la afectación del interés jurídico tutelado; </w:t>
      </w:r>
    </w:p>
    <w:p w14:paraId="1E8699AE" w14:textId="77777777" w:rsidR="00DE75A3" w:rsidRPr="00A16850" w:rsidRDefault="002724D5">
      <w:pPr>
        <w:numPr>
          <w:ilvl w:val="0"/>
          <w:numId w:val="8"/>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Se precisará las razones objetivas por las que la apertura de la información generaría una afectación, por medio del riesgo real, demostrable e identificable;</w:t>
      </w:r>
    </w:p>
    <w:p w14:paraId="2CC27B4F" w14:textId="77777777" w:rsidR="00DE75A3" w:rsidRPr="00A16850" w:rsidRDefault="002724D5">
      <w:pPr>
        <w:numPr>
          <w:ilvl w:val="0"/>
          <w:numId w:val="8"/>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Se deberán señalar las circunstancias de modo, tiempo y lugar del daño, y</w:t>
      </w:r>
    </w:p>
    <w:p w14:paraId="3C014A09" w14:textId="77777777" w:rsidR="00DE75A3" w:rsidRPr="00A16850" w:rsidRDefault="002724D5">
      <w:pPr>
        <w:numPr>
          <w:ilvl w:val="0"/>
          <w:numId w:val="8"/>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Se elegirá la opción de excepción al acceso a la información que menos restrinja, la cual será adecuada y proporcional para la protección del interés público.</w:t>
      </w:r>
    </w:p>
    <w:p w14:paraId="188207ED"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4F76BB9B"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Ahora bien, de las constancias que obran en el expediente, se advierte que no fundamentó, ni motivó la clasificación de la información, de manera correcta, por las siguientes consideraciones:</w:t>
      </w:r>
    </w:p>
    <w:p w14:paraId="1907FF1B"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62D26175" w14:textId="77777777" w:rsidR="00DE75A3" w:rsidRPr="00A16850" w:rsidRDefault="002724D5">
      <w:pPr>
        <w:numPr>
          <w:ilvl w:val="0"/>
          <w:numId w:val="9"/>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No fundamentó de manera adecuada la reserva, dado que trajo a colación diversas causales de reserva y confidencialidad, sin analizar de manera específica cada causal.</w:t>
      </w:r>
    </w:p>
    <w:p w14:paraId="44041065" w14:textId="77777777" w:rsidR="00DE75A3" w:rsidRPr="00A16850" w:rsidRDefault="002724D5">
      <w:pPr>
        <w:numPr>
          <w:ilvl w:val="0"/>
          <w:numId w:val="9"/>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No precisó las razones objetivas, concretas y específicas por las cuales la apertura de la información generaría una afectación que rebase el interés público, pues, el Sujeto Obligado confundió la argumentación, entre diversos supuestos de clasificación distintos.</w:t>
      </w:r>
    </w:p>
    <w:p w14:paraId="6AF5BCCB"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7058AA3C" w14:textId="77777777" w:rsidR="00DE75A3" w:rsidRPr="00A16850" w:rsidRDefault="002724D5">
      <w:pPr>
        <w:numPr>
          <w:ilvl w:val="0"/>
          <w:numId w:val="9"/>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No acreditó el vínculo entre la información peticionada y la afectación que podría causar, pues únicamente precisó diversos supuestos establecidos en la Ley de la materia.</w:t>
      </w:r>
    </w:p>
    <w:p w14:paraId="3442AFC0" w14:textId="77777777" w:rsidR="00DE75A3" w:rsidRPr="00A16850" w:rsidRDefault="002724D5">
      <w:pPr>
        <w:numPr>
          <w:ilvl w:val="0"/>
          <w:numId w:val="9"/>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No señalo las circunstancias de tiempo, modo y lugar del daño que produciría entregar la información peticionada.</w:t>
      </w:r>
    </w:p>
    <w:p w14:paraId="7BF1B672" w14:textId="77777777" w:rsidR="00DE75A3" w:rsidRPr="00A16850" w:rsidRDefault="002724D5">
      <w:pPr>
        <w:numPr>
          <w:ilvl w:val="0"/>
          <w:numId w:val="9"/>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No se establecieron las razones, por las cuales la reserva era el medio menos restrictivo, para la protección del interés jurídico.</w:t>
      </w:r>
    </w:p>
    <w:p w14:paraId="02F1315F"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9FFCA06"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Por lo anteriormente expuesto, se advierte que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no fundó y motivó la reserva de la información, pues no realizó de manera correcta, la prueba de daño, señalada en el Trigésimo tercero de los Lineamientos Generales, relacionado con el artículo 129 de la Ley de Transparencia y Acceso a la Información Pública del Estado de México y Municipios,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w:t>
      </w:r>
    </w:p>
    <w:p w14:paraId="64F63114"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53C5C892"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Ahora bien, cabe recordar que en informe justificado el Servidor Público Habilitado Competente refirió que la causa de reserva se encuentra contemplada por el artículo 140 fracción V de la Ley de Transparencia y Acceso a la Información Pública del Estado de México y Municipios, por lo que, este Instituto procederá al análisis de la causal de reserva citada de manera expresa por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a saber, las siguiente:</w:t>
      </w:r>
    </w:p>
    <w:p w14:paraId="65AC6FFD"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23512CC8" w14:textId="77777777" w:rsidR="00DE75A3" w:rsidRPr="00A16850" w:rsidRDefault="002724D5">
      <w:pPr>
        <w:tabs>
          <w:tab w:val="left" w:pos="993"/>
          <w:tab w:val="left" w:pos="4962"/>
        </w:tabs>
        <w:spacing w:line="276" w:lineRule="auto"/>
        <w:ind w:left="851" w:right="567"/>
        <w:jc w:val="both"/>
        <w:rPr>
          <w:rFonts w:ascii="Palatino Linotype" w:eastAsia="Palatino Linotype" w:hAnsi="Palatino Linotype" w:cs="Palatino Linotype"/>
          <w:i/>
          <w:iCs/>
          <w:sz w:val="22"/>
          <w:szCs w:val="22"/>
        </w:rPr>
      </w:pPr>
      <w:bookmarkStart w:id="8" w:name="_heading=h.rfsaa8mn47zv" w:colFirst="0" w:colLast="0"/>
      <w:bookmarkEnd w:id="8"/>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140.</w:t>
      </w:r>
      <w:r w:rsidRPr="00A16850">
        <w:rPr>
          <w:rFonts w:ascii="Palatino Linotype" w:eastAsia="Palatino Linotype" w:hAnsi="Palatino Linotype" w:cs="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7C2FAF66" w14:textId="77777777" w:rsidR="00DE75A3" w:rsidRPr="00A16850" w:rsidRDefault="002724D5">
      <w:pPr>
        <w:tabs>
          <w:tab w:val="left" w:pos="993"/>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4C68C57A" w14:textId="77777777" w:rsidR="00DE75A3" w:rsidRPr="00A16850" w:rsidRDefault="002724D5">
      <w:pPr>
        <w:tabs>
          <w:tab w:val="left" w:pos="993"/>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V. Aquella cuya divulgación obstruya o pueda causar un serio perjuicio a:</w:t>
      </w:r>
    </w:p>
    <w:p w14:paraId="6A6CC909" w14:textId="77777777" w:rsidR="00DE75A3" w:rsidRPr="00A16850" w:rsidRDefault="00DE75A3">
      <w:pPr>
        <w:tabs>
          <w:tab w:val="left" w:pos="993"/>
          <w:tab w:val="left" w:pos="4962"/>
        </w:tabs>
        <w:spacing w:line="276" w:lineRule="auto"/>
        <w:ind w:left="851" w:right="567"/>
        <w:jc w:val="both"/>
        <w:rPr>
          <w:rFonts w:ascii="Palatino Linotype" w:eastAsia="Palatino Linotype" w:hAnsi="Palatino Linotype" w:cs="Palatino Linotype"/>
          <w:i/>
          <w:iCs/>
          <w:sz w:val="22"/>
          <w:szCs w:val="22"/>
        </w:rPr>
      </w:pPr>
    </w:p>
    <w:p w14:paraId="6A6957CD" w14:textId="77777777" w:rsidR="00DE75A3" w:rsidRPr="00A16850" w:rsidRDefault="002724D5">
      <w:pPr>
        <w:tabs>
          <w:tab w:val="left" w:pos="993"/>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1. Las actividades de fiscalización, verificación, inspección, comprobación y auditoría sobre el cumplimiento de las Leyes; o</w:t>
      </w:r>
    </w:p>
    <w:p w14:paraId="665A4523" w14:textId="77777777" w:rsidR="00DE75A3" w:rsidRPr="00A16850" w:rsidRDefault="002724D5">
      <w:pPr>
        <w:tabs>
          <w:tab w:val="left" w:pos="993"/>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301B3E9C" w14:textId="77777777" w:rsidR="00DE75A3" w:rsidRPr="00A16850" w:rsidRDefault="00DE75A3">
      <w:pPr>
        <w:spacing w:line="360" w:lineRule="auto"/>
        <w:ind w:left="927" w:right="567"/>
        <w:jc w:val="both"/>
        <w:rPr>
          <w:rFonts w:ascii="Palatino Linotype" w:eastAsia="Palatino Linotype" w:hAnsi="Palatino Linotype" w:cs="Palatino Linotype"/>
          <w:i/>
          <w:iCs/>
          <w:sz w:val="22"/>
          <w:szCs w:val="22"/>
        </w:rPr>
      </w:pPr>
    </w:p>
    <w:p w14:paraId="203DB9EB"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 dicho precepto normativo se desprende que podrá clasificarse como información reservada aquella cuya publicación obstruya o cause perjuicio en las actividades de fiscalización, verificación, inspección, comprobación y auditoría sobre el cumplimiento de leyes. Por su parte el numeral vigésimo Cuarto de los Lineamientos señala: </w:t>
      </w:r>
    </w:p>
    <w:p w14:paraId="7B123EA4"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05FA045B" w14:textId="77777777" w:rsidR="00DE75A3" w:rsidRPr="00A16850" w:rsidRDefault="002724D5">
      <w:pPr>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“Vigésimo cuarto. </w:t>
      </w:r>
      <w:r w:rsidRPr="00A16850">
        <w:rPr>
          <w:rFonts w:ascii="Palatino Linotype" w:eastAsia="Palatino Linotype" w:hAnsi="Palatino Linotype" w:cs="Palatino Linotype"/>
          <w:i/>
          <w:iCs/>
          <w:sz w:val="22"/>
          <w:szCs w:val="22"/>
        </w:rPr>
        <w:t xml:space="preserve">De conformidad con el artículo 113, fracción VI de la Ley General, podrá considerarse como </w:t>
      </w:r>
      <w:r w:rsidRPr="00A16850">
        <w:rPr>
          <w:rFonts w:ascii="Palatino Linotype" w:eastAsia="Palatino Linotype" w:hAnsi="Palatino Linotype" w:cs="Palatino Linotype"/>
          <w:b/>
          <w:bCs/>
          <w:i/>
          <w:iCs/>
          <w:sz w:val="22"/>
          <w:szCs w:val="22"/>
        </w:rPr>
        <w:t>reservada, aquella información que obstruya las actividades de verificación, inspección y auditoría relativas al cumplimiento de las leyes</w:t>
      </w:r>
      <w:r w:rsidRPr="00A16850">
        <w:rPr>
          <w:rFonts w:ascii="Palatino Linotype" w:eastAsia="Palatino Linotype" w:hAnsi="Palatino Linotype" w:cs="Palatino Linotype"/>
          <w:i/>
          <w:iCs/>
          <w:sz w:val="22"/>
          <w:szCs w:val="22"/>
        </w:rPr>
        <w:t>, cuando se actualicen los siguientes elementos:</w:t>
      </w:r>
    </w:p>
    <w:p w14:paraId="6385C463" w14:textId="77777777" w:rsidR="00DE75A3" w:rsidRPr="00A16850" w:rsidRDefault="00DE75A3">
      <w:pPr>
        <w:spacing w:line="276" w:lineRule="auto"/>
        <w:ind w:left="851" w:right="567"/>
        <w:jc w:val="both"/>
        <w:rPr>
          <w:rFonts w:ascii="Palatino Linotype" w:eastAsia="Palatino Linotype" w:hAnsi="Palatino Linotype" w:cs="Palatino Linotype"/>
          <w:i/>
          <w:iCs/>
          <w:sz w:val="22"/>
          <w:szCs w:val="22"/>
        </w:rPr>
      </w:pPr>
    </w:p>
    <w:p w14:paraId="1DCC060C" w14:textId="77777777" w:rsidR="00DE75A3" w:rsidRPr="00A16850" w:rsidRDefault="002724D5">
      <w:pPr>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w:t>
      </w:r>
      <w:r w:rsidRPr="00A16850">
        <w:rPr>
          <w:rFonts w:ascii="Palatino Linotype" w:eastAsia="Palatino Linotype" w:hAnsi="Palatino Linotype" w:cs="Palatino Linotype"/>
          <w:i/>
          <w:iCs/>
          <w:sz w:val="22"/>
          <w:szCs w:val="22"/>
        </w:rPr>
        <w:t> La existencia de un procedimiento de verificación del cumplimiento de las leyes;</w:t>
      </w:r>
    </w:p>
    <w:p w14:paraId="3710CC68" w14:textId="77777777" w:rsidR="00DE75A3" w:rsidRPr="00A16850" w:rsidRDefault="002724D5">
      <w:pPr>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II</w:t>
      </w:r>
      <w:r w:rsidRPr="00A16850">
        <w:rPr>
          <w:rFonts w:ascii="Palatino Linotype" w:eastAsia="Palatino Linotype" w:hAnsi="Palatino Linotype" w:cs="Palatino Linotype"/>
          <w:i/>
          <w:iCs/>
          <w:sz w:val="22"/>
          <w:szCs w:val="22"/>
        </w:rPr>
        <w:t>. Que el procedimiento se encuentre en trámite;</w:t>
      </w:r>
    </w:p>
    <w:p w14:paraId="1A7E87A7" w14:textId="77777777" w:rsidR="00DE75A3" w:rsidRPr="00A16850" w:rsidRDefault="002724D5">
      <w:pPr>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III.</w:t>
      </w:r>
      <w:r w:rsidRPr="00A16850">
        <w:rPr>
          <w:rFonts w:ascii="Palatino Linotype" w:eastAsia="Palatino Linotype" w:hAnsi="Palatino Linotype" w:cs="Palatino Linotype"/>
          <w:i/>
          <w:iCs/>
          <w:sz w:val="22"/>
          <w:szCs w:val="22"/>
        </w:rPr>
        <w:t> La vinculación directa con las actividades que realiza la autoridad en el procedimiento de verificación del cumplimiento de las leyes, y</w:t>
      </w:r>
    </w:p>
    <w:p w14:paraId="0326CB4B" w14:textId="77777777" w:rsidR="00DE75A3" w:rsidRPr="00A16850" w:rsidRDefault="002724D5">
      <w:pPr>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IV.</w:t>
      </w:r>
      <w:r w:rsidRPr="00A16850">
        <w:rPr>
          <w:rFonts w:ascii="Palatino Linotype" w:eastAsia="Palatino Linotype" w:hAnsi="Palatino Linotype" w:cs="Palatino Linotype"/>
          <w:i/>
          <w:iCs/>
          <w:sz w:val="22"/>
          <w:szCs w:val="22"/>
        </w:rPr>
        <w:t> Que la difusión de la información impida u obstaculice las actividades de inspección, supervisión o vigilancia que realicen las autoridades en el procedimiento de verificación del cumplimiento de las leyes.”</w:t>
      </w:r>
    </w:p>
    <w:p w14:paraId="0251A383" w14:textId="77777777" w:rsidR="00DE75A3" w:rsidRPr="00A16850" w:rsidRDefault="00DE75A3">
      <w:pPr>
        <w:spacing w:line="360" w:lineRule="auto"/>
        <w:ind w:right="-93"/>
        <w:jc w:val="both"/>
        <w:rPr>
          <w:rFonts w:ascii="Palatino Linotype" w:eastAsia="Palatino Linotype" w:hAnsi="Palatino Linotype" w:cs="Palatino Linotype"/>
          <w:b/>
          <w:bCs/>
          <w:sz w:val="22"/>
          <w:szCs w:val="22"/>
        </w:rPr>
      </w:pPr>
    </w:p>
    <w:p w14:paraId="10FA92F7" w14:textId="77777777" w:rsidR="00DE75A3" w:rsidRPr="00A16850" w:rsidRDefault="002724D5">
      <w:p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Del lineamiento en cita, se colige que se trata de información reservada aquella que </w:t>
      </w:r>
      <w:r w:rsidRPr="00A16850">
        <w:rPr>
          <w:rFonts w:ascii="Palatino Linotype" w:eastAsia="Palatino Linotype" w:hAnsi="Palatino Linotype" w:cs="Palatino Linotype"/>
          <w:b/>
          <w:bCs/>
          <w:sz w:val="22"/>
          <w:szCs w:val="22"/>
        </w:rPr>
        <w:t xml:space="preserve">obstruya las actividades de </w:t>
      </w:r>
      <w:r w:rsidRPr="00A16850">
        <w:rPr>
          <w:rFonts w:ascii="Palatino Linotype" w:eastAsia="Palatino Linotype" w:hAnsi="Palatino Linotype" w:cs="Palatino Linotype"/>
          <w:sz w:val="22"/>
          <w:szCs w:val="22"/>
        </w:rPr>
        <w:t xml:space="preserve">verificación, inspección y </w:t>
      </w:r>
      <w:r w:rsidRPr="00A16850">
        <w:rPr>
          <w:rFonts w:ascii="Palatino Linotype" w:eastAsia="Palatino Linotype" w:hAnsi="Palatino Linotype" w:cs="Palatino Linotype"/>
          <w:b/>
          <w:bCs/>
          <w:sz w:val="22"/>
          <w:szCs w:val="22"/>
        </w:rPr>
        <w:t xml:space="preserve">auditoría relativas al cumplimiento de las leyes, </w:t>
      </w:r>
      <w:r w:rsidRPr="00A16850">
        <w:rPr>
          <w:rFonts w:ascii="Palatino Linotype" w:eastAsia="Palatino Linotype" w:hAnsi="Palatino Linotype" w:cs="Palatino Linotype"/>
          <w:sz w:val="22"/>
          <w:szCs w:val="22"/>
        </w:rPr>
        <w:t xml:space="preserve">cuando se actualicen los siguientes elementos: </w:t>
      </w:r>
    </w:p>
    <w:p w14:paraId="77E4C4F2"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1E646B79" w14:textId="77777777" w:rsidR="00DE75A3" w:rsidRPr="00A16850" w:rsidRDefault="002724D5">
      <w:pPr>
        <w:numPr>
          <w:ilvl w:val="0"/>
          <w:numId w:val="10"/>
        </w:num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La existencia de un procedimiento de verificación del cumplimiento de las leyes. </w:t>
      </w:r>
    </w:p>
    <w:p w14:paraId="0D7BD674" w14:textId="77777777" w:rsidR="00DE75A3" w:rsidRPr="00A16850" w:rsidRDefault="002724D5">
      <w:pPr>
        <w:numPr>
          <w:ilvl w:val="0"/>
          <w:numId w:val="10"/>
        </w:num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Que ese procedimiento se encuentre en trámite. </w:t>
      </w:r>
    </w:p>
    <w:p w14:paraId="62DEDD48" w14:textId="77777777" w:rsidR="00DE75A3" w:rsidRPr="00A16850" w:rsidRDefault="002724D5">
      <w:pPr>
        <w:numPr>
          <w:ilvl w:val="0"/>
          <w:numId w:val="10"/>
        </w:num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La vinculación directa con las actividades que realiza la autoridad en el procedimiento de verificación del cumplimiento de las leyes. </w:t>
      </w:r>
    </w:p>
    <w:p w14:paraId="1ADBF564" w14:textId="77777777" w:rsidR="00DE75A3" w:rsidRPr="00A16850" w:rsidRDefault="002724D5">
      <w:pPr>
        <w:numPr>
          <w:ilvl w:val="0"/>
          <w:numId w:val="10"/>
        </w:num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Que la difusión de la información impida u obstaculice las actividades de inspección, supervisión o vigilancia que realicen las autoridades en el proceso de verificación del cumplimiento de las leyes. </w:t>
      </w:r>
    </w:p>
    <w:p w14:paraId="0361B5D4" w14:textId="77777777" w:rsidR="00DE75A3" w:rsidRPr="00A16850" w:rsidRDefault="00DE75A3">
      <w:pPr>
        <w:spacing w:line="360" w:lineRule="auto"/>
        <w:ind w:right="-93"/>
        <w:jc w:val="both"/>
        <w:rPr>
          <w:rFonts w:ascii="Palatino Linotype" w:eastAsia="Palatino Linotype" w:hAnsi="Palatino Linotype" w:cs="Palatino Linotype"/>
          <w:sz w:val="22"/>
          <w:szCs w:val="22"/>
        </w:rPr>
      </w:pPr>
    </w:p>
    <w:p w14:paraId="568937D8" w14:textId="77777777" w:rsidR="00DE75A3" w:rsidRPr="00A16850" w:rsidRDefault="002724D5">
      <w:pPr>
        <w:spacing w:line="360" w:lineRule="auto"/>
        <w:ind w:right="-93"/>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w:t>
      </w:r>
    </w:p>
    <w:p w14:paraId="69302B4A"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77F99D35"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3E10E69A"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296B6E99"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Así las cosas, a continuación, se analizarán cada uno de los requisitos señalados anteriormente, con la finalidad de verificar si se configura la hipótesis de reserva en estudio:</w:t>
      </w:r>
    </w:p>
    <w:p w14:paraId="197EB675"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2D2A55EF" w14:textId="77777777" w:rsidR="00DE75A3" w:rsidRPr="00A16850" w:rsidRDefault="002724D5">
      <w:pPr>
        <w:numPr>
          <w:ilvl w:val="0"/>
          <w:numId w:val="2"/>
        </w:numPr>
        <w:tabs>
          <w:tab w:val="left" w:pos="4962"/>
        </w:tabs>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La existencia de un procedimiento de verificación del cumplimiento de las leyes</w:t>
      </w:r>
    </w:p>
    <w:p w14:paraId="4C2F8AD7"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Al respecto, es de señalar que el Ayuntamiento no acreditó de ninguna manera, la existencia de un procedimiento de verificación del cumplimiento de las leyes, al no señalar algún elemento que permita su identificación.</w:t>
      </w:r>
    </w:p>
    <w:p w14:paraId="56EE2BDA"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0A152A8F"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Por tales circunstancias, se advierte que no existe un procedimiento de verificación del cumplimiento de las leyes, ni que pueda existir alguno respecto a la información peticionada, por lo que no se acredita el requisito número uno. Dicha determinación, toma relevancia, pues la no actualización de uno de los elementos, trae como consecuencia la improcedencia de la reserva, en términos del inciso 1, de la fracción V, del artículo 140 de la Ley de Transparencia y Acceso a la Información Pública del Estado de México y Municipios.</w:t>
      </w:r>
    </w:p>
    <w:p w14:paraId="690E53B0"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65AD796D"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Lo anterior, toma relevancia pues al no haber iniciado algún procedimiento de verificación de leyes, no existe una vinculación con las actividades que realiza la autoridad en el procedimiento de verificación y, por lo tanto, la difusión de dicha información, no impide u obstaculiza las actividades de inspección, supervisión o vigilancia.</w:t>
      </w:r>
    </w:p>
    <w:p w14:paraId="4B18396B"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7B5F8A25" w14:textId="77777777" w:rsidR="00DE75A3" w:rsidRPr="00A16850" w:rsidRDefault="002724D5">
      <w:pPr>
        <w:tabs>
          <w:tab w:val="left" w:pos="4962"/>
        </w:tabs>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sz w:val="22"/>
          <w:szCs w:val="22"/>
        </w:rPr>
        <w:t xml:space="preserve">Por tales consideraciones, </w:t>
      </w:r>
      <w:r w:rsidRPr="00A16850">
        <w:rPr>
          <w:rFonts w:ascii="Palatino Linotype" w:eastAsia="Palatino Linotype" w:hAnsi="Palatino Linotype" w:cs="Palatino Linotype"/>
          <w:b/>
          <w:bCs/>
          <w:sz w:val="22"/>
          <w:szCs w:val="22"/>
        </w:rPr>
        <w:t>no se actualiza la causal de reserva, establecida en el artículo 140, fracción V, inciso 1, de la Ley de Transparencia y Acceso a la Información Pública del Estado de México y Municipios y por lo cual, resulta procedente ordenar la entrega de la información requerida.</w:t>
      </w:r>
    </w:p>
    <w:p w14:paraId="1B43AA33" w14:textId="77777777" w:rsidR="00DE75A3" w:rsidRPr="00A16850" w:rsidRDefault="00DE75A3">
      <w:pPr>
        <w:tabs>
          <w:tab w:val="left" w:pos="4962"/>
        </w:tabs>
        <w:spacing w:line="360" w:lineRule="auto"/>
        <w:jc w:val="both"/>
        <w:rPr>
          <w:rFonts w:ascii="Palatino Linotype" w:eastAsia="Palatino Linotype" w:hAnsi="Palatino Linotype" w:cs="Palatino Linotype"/>
          <w:b/>
          <w:bCs/>
          <w:sz w:val="22"/>
          <w:szCs w:val="22"/>
        </w:rPr>
      </w:pPr>
    </w:p>
    <w:p w14:paraId="0DE52AA4"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Ahora bien, el artículo 140, fracción V, numeral 2, de la Ley citada, (homólogo a parte del artículo 113, fracción V de la Ley General de Transparencia y Acceso a la Información Pública), prevé lo siguiente:</w:t>
      </w:r>
    </w:p>
    <w:p w14:paraId="2BA18D54"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6FB78862" w14:textId="77777777" w:rsidR="00DE75A3" w:rsidRPr="00A16850" w:rsidRDefault="002724D5">
      <w:pPr>
        <w:tabs>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140.</w:t>
      </w:r>
      <w:r w:rsidRPr="00A16850">
        <w:rPr>
          <w:rFonts w:ascii="Palatino Linotype" w:eastAsia="Palatino Linotype" w:hAnsi="Palatino Linotype" w:cs="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6EF812A2" w14:textId="77777777" w:rsidR="00DE75A3" w:rsidRPr="00A16850" w:rsidRDefault="002724D5">
      <w:pPr>
        <w:tabs>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3DEFB495" w14:textId="77777777" w:rsidR="00DE75A3" w:rsidRPr="00A16850" w:rsidRDefault="002724D5">
      <w:pPr>
        <w:tabs>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V. Aquella cuya divulgación obstruya o pueda causar un serio perjuicio a:</w:t>
      </w:r>
    </w:p>
    <w:p w14:paraId="2FEF88FA" w14:textId="77777777" w:rsidR="00DE75A3" w:rsidRPr="00A16850" w:rsidRDefault="002724D5">
      <w:pPr>
        <w:tabs>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p>
    <w:p w14:paraId="1366B84A" w14:textId="77777777" w:rsidR="00DE75A3" w:rsidRPr="00A16850" w:rsidRDefault="002724D5">
      <w:pPr>
        <w:tabs>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2. La recaudación de las contribuciones.</w:t>
      </w:r>
    </w:p>
    <w:p w14:paraId="66B89DB6" w14:textId="77777777" w:rsidR="00DE75A3" w:rsidRPr="00A16850" w:rsidRDefault="002724D5">
      <w:pPr>
        <w:tabs>
          <w:tab w:val="left" w:pos="4962"/>
        </w:tabs>
        <w:spacing w:line="276" w:lineRule="auto"/>
        <w:ind w:left="851" w:right="567"/>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 </w:t>
      </w:r>
    </w:p>
    <w:p w14:paraId="53873D1C"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06404DE4"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De dicho precepto normativo se desprende que podrá clasificarse como información reservada aquella cuya publicación obstruya o cause perjuicio a la recaudación de contribuciones. Por su parte, los Lineamientos Generales establecen lo siguiente:</w:t>
      </w:r>
    </w:p>
    <w:p w14:paraId="6BF8DAD3"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44EFB6EE"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Vigésimo quinto.</w:t>
      </w:r>
      <w:r w:rsidRPr="00A16850">
        <w:rPr>
          <w:rFonts w:ascii="Palatino Linotype" w:eastAsia="Palatino Linotype" w:hAnsi="Palatino Linotype" w:cs="Palatino Linotype"/>
          <w:i/>
          <w:iCs/>
          <w:sz w:val="22"/>
          <w:szCs w:val="22"/>
        </w:rPr>
        <w:t>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3B49A00D"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128DF987"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Del lineamiento en cita, se colige que se trata de información reservada, aquella que cuya difusión pueda obstruir o impedir el ejercicio de las facultades de recaudación y comprobación del cumplimiento de obligaciones fiscales por parte del Ayuntamiento.</w:t>
      </w:r>
    </w:p>
    <w:p w14:paraId="6BAA6B9C"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03EF2906"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Al respecto, los artículos 115, fracción IV, de la Constitución Política de los Estados Unidos Mexicanos y 125, fracciones I a III, de la Constitución Política de los Estado Libre y Soberano de México, precisan que los Municipios administrarán libremente su hacienda, la cual se formará de los rendimientos de los bienes que les pertenezcan, así como de las contribuciones y otros ingresos tengan, conforme a lo siguiente:</w:t>
      </w:r>
    </w:p>
    <w:p w14:paraId="09058DA5"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3517AAD7" w14:textId="77777777" w:rsidR="00DE75A3" w:rsidRPr="00A16850" w:rsidRDefault="002724D5">
      <w:pPr>
        <w:numPr>
          <w:ilvl w:val="0"/>
          <w:numId w:val="3"/>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Podrán percibir contribuciones que establezcan los Estados sobre la propiedad inmobiliaria, de su fraccionamiento, división, consolidación, traslación y mejora;</w:t>
      </w:r>
    </w:p>
    <w:p w14:paraId="6801C0E9" w14:textId="77777777" w:rsidR="00DE75A3" w:rsidRPr="00A16850" w:rsidRDefault="002724D5">
      <w:pPr>
        <w:numPr>
          <w:ilvl w:val="0"/>
          <w:numId w:val="3"/>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Las participaciones federales, y</w:t>
      </w:r>
    </w:p>
    <w:p w14:paraId="26529D70" w14:textId="77777777" w:rsidR="00DE75A3" w:rsidRPr="00A16850" w:rsidRDefault="002724D5">
      <w:pPr>
        <w:numPr>
          <w:ilvl w:val="0"/>
          <w:numId w:val="3"/>
        </w:num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Los ingresos derivados de la prestación de servicios públicos.</w:t>
      </w:r>
    </w:p>
    <w:p w14:paraId="4A6E8FA7"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0E89DBD4"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Por su parte, los artículos 115, fracción IV, de la Constitución Política de los Estados Unidos Mexicanos y 125, fracciones I a III, de la Constitución Política de los Estado Libre y Soberano de México, precisan que los Municipios administrarán libremente su hacienda, la cual se formará de los rendimientos de los bienes que les pertenezcan, así como de las contribuciones y otros ingresos tengan, conforme a lo siguiente:</w:t>
      </w:r>
    </w:p>
    <w:p w14:paraId="59C3058B"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9B881CF" w14:textId="77777777" w:rsidR="00DE75A3" w:rsidRPr="00A16850" w:rsidRDefault="002724D5">
      <w:pPr>
        <w:numPr>
          <w:ilvl w:val="0"/>
          <w:numId w:val="4"/>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Podrán percibir contribuciones que establezcan los Estados sobre la propiedad inmobiliaria, de su fraccionamiento, división, consolidación, traslación y mejora;</w:t>
      </w:r>
    </w:p>
    <w:p w14:paraId="2658B3A6" w14:textId="77777777" w:rsidR="00DE75A3" w:rsidRPr="00A16850" w:rsidRDefault="002724D5">
      <w:pPr>
        <w:numPr>
          <w:ilvl w:val="0"/>
          <w:numId w:val="4"/>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Las participaciones federales, y</w:t>
      </w:r>
    </w:p>
    <w:p w14:paraId="33F0ABCA" w14:textId="77777777" w:rsidR="00DE75A3" w:rsidRPr="00A16850" w:rsidRDefault="002724D5">
      <w:pPr>
        <w:numPr>
          <w:ilvl w:val="0"/>
          <w:numId w:val="4"/>
        </w:num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Los ingresos derivados de la prestación de servicios públicos.</w:t>
      </w:r>
    </w:p>
    <w:p w14:paraId="32FB3EF9" w14:textId="77777777" w:rsidR="00DE75A3" w:rsidRPr="00A16850" w:rsidRDefault="00DE75A3">
      <w:pPr>
        <w:spacing w:line="360" w:lineRule="auto"/>
        <w:ind w:left="720"/>
        <w:jc w:val="both"/>
        <w:rPr>
          <w:rFonts w:ascii="Palatino Linotype" w:eastAsia="Palatino Linotype" w:hAnsi="Palatino Linotype" w:cs="Palatino Linotype"/>
          <w:sz w:val="22"/>
          <w:szCs w:val="22"/>
        </w:rPr>
      </w:pPr>
    </w:p>
    <w:p w14:paraId="6BABA115"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Conforme a lo expuesto, se colige que el Ayuntamiento de Ecatepec de Morelos es una autoridad fiscal, encargada de recabar diversos derechos, contribuciones, entre otros y, por lo tanto, cuenta en sus archivos información que puede obstruir o impedir el ejercicio de sus facultades que lleva como autoridad competente para recaudar, fiscalizar y comprobar el cumplimiento de las obligaciones fiscales.</w:t>
      </w:r>
    </w:p>
    <w:p w14:paraId="324F9F89"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33A81CD1" w14:textId="77777777" w:rsidR="00DE75A3" w:rsidRPr="00A16850" w:rsidRDefault="002724D5">
      <w:pPr>
        <w:tabs>
          <w:tab w:val="left" w:pos="4962"/>
        </w:tabs>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Sin embargo, cabe recordar que la pretensión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es únicamente conocer Facturas pagadas y en proceso de pago por más de un millón de pesos; por lo que, no se logra advertir la forma en que con dicha información pueda afectar la función de recaudar contribuciones del Sujeto Obligado, pues dicha información no da cuenta de la forma en que realizan dichas actividades, ni se trata de aquella obtenida en virtud de los trámites relativos a la aplicación de las disposiciones tributarias, así  como, de sus facultades de comprobación.</w:t>
      </w:r>
    </w:p>
    <w:p w14:paraId="536653CB" w14:textId="77777777" w:rsidR="00DE75A3" w:rsidRPr="00A16850" w:rsidRDefault="00DE75A3">
      <w:pPr>
        <w:tabs>
          <w:tab w:val="left" w:pos="4962"/>
        </w:tabs>
        <w:spacing w:line="360" w:lineRule="auto"/>
        <w:jc w:val="both"/>
        <w:rPr>
          <w:rFonts w:ascii="Palatino Linotype" w:eastAsia="Palatino Linotype" w:hAnsi="Palatino Linotype" w:cs="Palatino Linotype"/>
          <w:sz w:val="22"/>
          <w:szCs w:val="22"/>
        </w:rPr>
      </w:pPr>
    </w:p>
    <w:p w14:paraId="17A972BB" w14:textId="77777777" w:rsidR="00DE75A3" w:rsidRPr="00A16850" w:rsidRDefault="002724D5">
      <w:pPr>
        <w:tabs>
          <w:tab w:val="left" w:pos="4962"/>
        </w:tabs>
        <w:spacing w:line="360" w:lineRule="auto"/>
        <w:jc w:val="both"/>
        <w:rPr>
          <w:rFonts w:ascii="Palatino Linotype" w:eastAsia="Palatino Linotype" w:hAnsi="Palatino Linotype" w:cs="Palatino Linotype"/>
          <w:b/>
          <w:bCs/>
          <w:sz w:val="22"/>
          <w:szCs w:val="22"/>
          <w:u w:val="single"/>
        </w:rPr>
      </w:pPr>
      <w:r w:rsidRPr="00A16850">
        <w:rPr>
          <w:rFonts w:ascii="Palatino Linotype" w:eastAsia="Palatino Linotype" w:hAnsi="Palatino Linotype" w:cs="Palatino Linotype"/>
          <w:sz w:val="22"/>
          <w:szCs w:val="22"/>
        </w:rPr>
        <w:t xml:space="preserve">Por tales circunstancias, se considera que la información solicitada por el Sujeto Obligado no actualiza la causal de reserva, establecida en el artículo 140, fracción V, numeral 2 de la Ley de Transparencia y Acceso a la Información Pública del Estado de México y Municipios, pues como se indicó no obstruye o impide el ejercicio de las facultades de recaudación del Ayuntamiento. Conforme a lo anterior, </w:t>
      </w:r>
      <w:r w:rsidRPr="00A16850">
        <w:rPr>
          <w:rFonts w:ascii="Palatino Linotype" w:eastAsia="Palatino Linotype" w:hAnsi="Palatino Linotype" w:cs="Palatino Linotype"/>
          <w:b/>
          <w:bCs/>
          <w:sz w:val="22"/>
          <w:szCs w:val="22"/>
          <w:u w:val="single"/>
        </w:rPr>
        <w:t xml:space="preserve">se logra vislumbrar que no se acredito ninguna de las causales de reserva señaladas. </w:t>
      </w:r>
    </w:p>
    <w:p w14:paraId="5AA33D8F" w14:textId="4A51669A" w:rsidR="00DE75A3" w:rsidRPr="00A16850" w:rsidRDefault="00DE75A3">
      <w:pPr>
        <w:spacing w:line="360" w:lineRule="auto"/>
        <w:jc w:val="both"/>
        <w:rPr>
          <w:rFonts w:ascii="Palatino Linotype" w:eastAsia="Palatino Linotype" w:hAnsi="Palatino Linotype" w:cs="Palatino Linotype"/>
          <w:sz w:val="22"/>
          <w:szCs w:val="22"/>
        </w:rPr>
      </w:pPr>
    </w:p>
    <w:p w14:paraId="4E8589B6" w14:textId="798F8926" w:rsidR="00343DED" w:rsidRPr="00A16850" w:rsidRDefault="003139F0" w:rsidP="00343DED">
      <w:pPr>
        <w:spacing w:line="360" w:lineRule="auto"/>
        <w:jc w:val="both"/>
        <w:rPr>
          <w:rFonts w:ascii="Palatino Linotype" w:eastAsia="Palatino Linotype" w:hAnsi="Palatino Linotype" w:cs="Palatino Linotype"/>
          <w:sz w:val="22"/>
          <w:szCs w:val="22"/>
        </w:rPr>
      </w:pPr>
      <w:r w:rsidRPr="00A16850">
        <w:rPr>
          <w:rFonts w:ascii="Palatino Linotype" w:hAnsi="Palatino Linotype"/>
          <w:sz w:val="22"/>
          <w:szCs w:val="22"/>
        </w:rPr>
        <w:t xml:space="preserve">Por lo señalado, es que el </w:t>
      </w:r>
      <w:r w:rsidRPr="00A16850">
        <w:rPr>
          <w:rFonts w:ascii="Palatino Linotype" w:hAnsi="Palatino Linotype"/>
          <w:b/>
          <w:bCs/>
          <w:sz w:val="22"/>
          <w:szCs w:val="22"/>
        </w:rPr>
        <w:t>Sujeto Obligado</w:t>
      </w:r>
      <w:r w:rsidRPr="00A16850">
        <w:rPr>
          <w:rFonts w:ascii="Palatino Linotype" w:hAnsi="Palatino Linotype"/>
          <w:sz w:val="22"/>
          <w:szCs w:val="22"/>
        </w:rPr>
        <w:t xml:space="preserve"> no acreditó la clasificación de la información</w:t>
      </w:r>
      <w:r w:rsidR="00343DED" w:rsidRPr="00A16850">
        <w:rPr>
          <w:rFonts w:ascii="Palatino Linotype" w:eastAsia="Palatino Linotype" w:hAnsi="Palatino Linotype" w:cs="Palatino Linotype"/>
          <w:sz w:val="22"/>
          <w:szCs w:val="22"/>
        </w:rPr>
        <w:t>,</w:t>
      </w:r>
      <w:r w:rsidRPr="00A16850">
        <w:rPr>
          <w:rFonts w:ascii="Palatino Linotype" w:eastAsia="Palatino Linotype" w:hAnsi="Palatino Linotype" w:cs="Palatino Linotype"/>
          <w:sz w:val="22"/>
          <w:szCs w:val="22"/>
        </w:rPr>
        <w:t xml:space="preserve"> además que</w:t>
      </w:r>
      <w:r w:rsidR="00343DED" w:rsidRPr="00A16850">
        <w:rPr>
          <w:rFonts w:ascii="Palatino Linotype" w:eastAsia="Palatino Linotype" w:hAnsi="Palatino Linotype" w:cs="Palatino Linotype"/>
          <w:sz w:val="22"/>
          <w:szCs w:val="22"/>
        </w:rPr>
        <w:t xml:space="preserve">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7400FC42" w14:textId="77777777" w:rsidR="00343DED" w:rsidRPr="00A16850" w:rsidRDefault="00343DED" w:rsidP="00343DED">
      <w:pPr>
        <w:spacing w:line="276" w:lineRule="auto"/>
        <w:ind w:left="851" w:right="616"/>
        <w:jc w:val="both"/>
        <w:rPr>
          <w:rFonts w:ascii="Palatino Linotype" w:eastAsia="Palatino Linotype" w:hAnsi="Palatino Linotype" w:cs="Palatino Linotype"/>
          <w:i/>
          <w:iCs/>
          <w:sz w:val="22"/>
          <w:szCs w:val="22"/>
        </w:rPr>
      </w:pPr>
    </w:p>
    <w:p w14:paraId="64DA6B75" w14:textId="77777777" w:rsidR="00343DED" w:rsidRPr="00A16850" w:rsidRDefault="00343DED" w:rsidP="00343DED">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23…</w:t>
      </w:r>
    </w:p>
    <w:p w14:paraId="2A594E88" w14:textId="77777777" w:rsidR="00343DED" w:rsidRPr="00A16850" w:rsidRDefault="00343DED" w:rsidP="00343DED">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Los sujetos obligados deberán hacer pública </w:t>
      </w:r>
      <w:r w:rsidRPr="00A16850">
        <w:rPr>
          <w:rFonts w:ascii="Palatino Linotype" w:eastAsia="Palatino Linotype" w:hAnsi="Palatino Linotype" w:cs="Palatino Linotype"/>
          <w:i/>
          <w:iCs/>
          <w:sz w:val="22"/>
          <w:szCs w:val="22"/>
          <w:u w:val="single"/>
        </w:rPr>
        <w:t>toda aquella información relativa a los montos y las personas a quienes entreguen, por cualquier motivo, recursos públicos</w:t>
      </w:r>
      <w:r w:rsidRPr="00A16850">
        <w:rPr>
          <w:rFonts w:ascii="Palatino Linotype" w:eastAsia="Palatino Linotype" w:hAnsi="Palatino Linotype" w:cs="Palatino Linotype"/>
          <w:i/>
          <w:iCs/>
          <w:sz w:val="22"/>
          <w:szCs w:val="22"/>
        </w:rPr>
        <w:t>, así como los informes que dichas personas les entreguen sobre el uso y destino de dichos recursos…(Sic)”</w:t>
      </w:r>
    </w:p>
    <w:p w14:paraId="3B58B24B" w14:textId="77777777" w:rsidR="003139F0" w:rsidRPr="00A16850" w:rsidRDefault="003139F0">
      <w:pPr>
        <w:spacing w:line="360" w:lineRule="auto"/>
        <w:jc w:val="both"/>
        <w:rPr>
          <w:rFonts w:ascii="Palatino Linotype" w:eastAsia="Palatino Linotype" w:hAnsi="Palatino Linotype" w:cs="Palatino Linotype"/>
          <w:sz w:val="22"/>
          <w:szCs w:val="22"/>
        </w:rPr>
      </w:pPr>
    </w:p>
    <w:p w14:paraId="08F44F4E" w14:textId="0632F206" w:rsidR="003139F0" w:rsidRPr="00A16850" w:rsidRDefault="00343DED">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Por ello la información solicitada adquiere el </w:t>
      </w:r>
      <w:r w:rsidR="003139F0" w:rsidRPr="00A16850">
        <w:rPr>
          <w:rFonts w:ascii="Palatino Linotype" w:eastAsia="Palatino Linotype" w:hAnsi="Palatino Linotype" w:cs="Palatino Linotype"/>
          <w:sz w:val="22"/>
          <w:szCs w:val="22"/>
        </w:rPr>
        <w:t>carácter</w:t>
      </w:r>
      <w:r w:rsidRPr="00A16850">
        <w:rPr>
          <w:rFonts w:ascii="Palatino Linotype" w:eastAsia="Palatino Linotype" w:hAnsi="Palatino Linotype" w:cs="Palatino Linotype"/>
          <w:sz w:val="22"/>
          <w:szCs w:val="22"/>
        </w:rPr>
        <w:t xml:space="preserve"> de público</w:t>
      </w:r>
      <w:r w:rsidR="003139F0" w:rsidRPr="00A16850">
        <w:rPr>
          <w:rFonts w:ascii="Palatino Linotype" w:eastAsia="Palatino Linotype" w:hAnsi="Palatino Linotype" w:cs="Palatino Linotype"/>
          <w:sz w:val="22"/>
          <w:szCs w:val="22"/>
        </w:rPr>
        <w:t xml:space="preserve">, al existir disposición normativa que obliga al sujeto obligado a hacer del conocimiento de los particulares toda aquella información relativa a los montos y las personas a quienes entreguen, por cualquier motivo, recursos públicos, y que en este caso lo que da cuenta de ellos son las facturas solicitadas. </w:t>
      </w:r>
    </w:p>
    <w:p w14:paraId="7AF6C8E5" w14:textId="77777777" w:rsidR="003139F0" w:rsidRPr="00A16850" w:rsidRDefault="003139F0">
      <w:pPr>
        <w:spacing w:line="360" w:lineRule="auto"/>
        <w:jc w:val="both"/>
        <w:rPr>
          <w:rFonts w:ascii="Palatino Linotype" w:eastAsia="Palatino Linotype" w:hAnsi="Palatino Linotype" w:cs="Palatino Linotype"/>
          <w:sz w:val="22"/>
          <w:szCs w:val="22"/>
        </w:rPr>
      </w:pPr>
    </w:p>
    <w:p w14:paraId="437D77AF" w14:textId="0D22612E"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En ese contexto, los artículos 3°, fracción XLV, y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3F653B28"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 </w:t>
      </w:r>
    </w:p>
    <w:p w14:paraId="299B4B6B"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Como se logra observar, la clasificación total del documento no es la única forma de proteger información localizada en este, pues existe otro procedimiento, en el cual, solamente se testan las partes que contienen datos o información, denominado versión pública; con lo cual,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podría testar los datos confidenciales y proporcionar el documento que da cuenta de la información solicitada, con lo cual se robustece que no procede la reservada aludida, resultando procedente ordenar la entrega de las facturas pagadas y en proceso de pago, generadas por un monto mayor a un millón de pesos, del primero de enero al diez de noviembre de dos mil veinticinco, en versión pública, conforme al considerando quinto.</w:t>
      </w:r>
    </w:p>
    <w:p w14:paraId="45A91233"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22C0F90" w14:textId="77777777" w:rsidR="00DE75A3" w:rsidRPr="00A16850" w:rsidRDefault="002724D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Quinto. Versión pública. </w:t>
      </w:r>
      <w:r w:rsidRPr="00A16850">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xml:space="preserve"> sin menoscabar el derecho a la protección de los datos personales de terceros.</w:t>
      </w:r>
    </w:p>
    <w:p w14:paraId="6F5DC367" w14:textId="77777777" w:rsidR="00DE75A3" w:rsidRPr="00A16850" w:rsidRDefault="00DE75A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1E3A2E" w14:textId="77777777" w:rsidR="00DE75A3" w:rsidRPr="00A16850" w:rsidRDefault="002724D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51AAFFE7"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 xml:space="preserve"> “Artículo 3. Para los efectos de la presente Ley se entenderá por:</w:t>
      </w:r>
    </w:p>
    <w:p w14:paraId="2828313D"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IX. Datos personales:</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La información concerniente a una persona, identificada o identificable</w:t>
      </w:r>
      <w:r w:rsidRPr="00A16850">
        <w:rPr>
          <w:rFonts w:ascii="Palatino Linotype" w:eastAsia="Palatino Linotype" w:hAnsi="Palatino Linotype" w:cs="Palatino Linotype"/>
          <w:i/>
          <w:iCs/>
          <w:sz w:val="22"/>
          <w:szCs w:val="22"/>
        </w:rPr>
        <w:t xml:space="preserve"> según lo dispuesto por la Ley de Protección de Datos Personales del Estado de México;</w:t>
      </w:r>
    </w:p>
    <w:p w14:paraId="28F5AF5A"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XX. Información clasificada:</w:t>
      </w:r>
      <w:r w:rsidRPr="00A16850">
        <w:rPr>
          <w:rFonts w:ascii="Palatino Linotype" w:eastAsia="Palatino Linotype" w:hAnsi="Palatino Linotype" w:cs="Palatino Linotype"/>
          <w:i/>
          <w:iCs/>
          <w:sz w:val="22"/>
          <w:szCs w:val="22"/>
        </w:rPr>
        <w:t xml:space="preserve"> Aquella considerada por la presente Ley como reservada o confidencial;</w:t>
      </w:r>
    </w:p>
    <w:p w14:paraId="7454E064"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XXXII. Protección de Datos Personales:</w:t>
      </w:r>
      <w:r w:rsidRPr="00A16850">
        <w:rPr>
          <w:rFonts w:ascii="Palatino Linotype" w:eastAsia="Palatino Linotype" w:hAnsi="Palatino Linotype" w:cs="Palatino Linotype"/>
          <w:i/>
          <w:iCs/>
          <w:sz w:val="22"/>
          <w:szCs w:val="22"/>
        </w:rPr>
        <w:t xml:space="preserve"> Derecho humano que tutela la privacidad de datos personales en poder de los sujetos obligados y sujetos particulares;</w:t>
      </w:r>
    </w:p>
    <w:p w14:paraId="77314E37"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XLV. Versión pública</w:t>
      </w:r>
      <w:r w:rsidRPr="00A16850">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399297C8"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“Artículo 6.</w:t>
      </w:r>
      <w:r w:rsidRPr="00A16850">
        <w:rPr>
          <w:rFonts w:ascii="Palatino Linotype" w:eastAsia="Palatino Linotype" w:hAnsi="Palatino Linotype" w:cs="Palatino Linotype"/>
          <w:i/>
          <w:iCs/>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7D59A9D" w14:textId="77777777" w:rsidR="00DE75A3" w:rsidRPr="00A16850" w:rsidRDefault="002724D5">
      <w:pPr>
        <w:spacing w:line="276" w:lineRule="auto"/>
        <w:ind w:left="851" w:right="616"/>
        <w:jc w:val="both"/>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“Artículo 137.</w:t>
      </w:r>
      <w:r w:rsidRPr="00A16850">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8995366"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“Artículo 143</w:t>
      </w:r>
      <w:r w:rsidRPr="00A16850">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5D214C24"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w:t>
      </w:r>
      <w:r w:rsidRPr="00A16850">
        <w:rPr>
          <w:rFonts w:ascii="Palatino Linotype" w:eastAsia="Palatino Linotype" w:hAnsi="Palatino Linotype" w:cs="Palatino Linotype"/>
          <w:i/>
          <w:iCs/>
          <w:sz w:val="22"/>
          <w:szCs w:val="22"/>
        </w:rPr>
        <w:t xml:space="preserve"> Se refiera a la información privada y los datos personales concernientes a una persona física o jurídica colectiva identificada o identificable;</w:t>
      </w:r>
    </w:p>
    <w:p w14:paraId="6172E3FB"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FA10B66"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III. La que presenten los particulares a los sujetos obligados, de conformidad con lo dispuesto por las leyes o los tratados internacionales.” </w:t>
      </w:r>
    </w:p>
    <w:p w14:paraId="303EFB28" w14:textId="77777777" w:rsidR="00DE75A3" w:rsidRPr="00A16850" w:rsidRDefault="00DE75A3">
      <w:pPr>
        <w:ind w:left="993" w:right="1041"/>
        <w:jc w:val="both"/>
        <w:rPr>
          <w:rFonts w:ascii="Palatino Linotype" w:eastAsia="Palatino Linotype" w:hAnsi="Palatino Linotype" w:cs="Palatino Linotype"/>
          <w:i/>
          <w:iCs/>
          <w:sz w:val="22"/>
          <w:szCs w:val="22"/>
        </w:rPr>
      </w:pPr>
    </w:p>
    <w:p w14:paraId="7B3602B9" w14:textId="77777777" w:rsidR="00DE75A3" w:rsidRPr="00A16850" w:rsidRDefault="002724D5">
      <w:pPr>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2136133"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1C84D43F" w14:textId="77777777" w:rsidR="00DE75A3" w:rsidRPr="00A16850" w:rsidRDefault="002724D5">
      <w:pP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ECF2BE3"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5CD36361" w14:textId="77777777" w:rsidR="00DE75A3" w:rsidRPr="00A16850" w:rsidRDefault="002724D5">
      <w:pPr>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349857C1"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536B66F2"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“Artículo 49.</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Los Comités de Transparencia</w:t>
      </w:r>
      <w:r w:rsidRPr="00A16850">
        <w:rPr>
          <w:rFonts w:ascii="Palatino Linotype" w:eastAsia="Palatino Linotype" w:hAnsi="Palatino Linotype" w:cs="Palatino Linotype"/>
          <w:i/>
          <w:iCs/>
          <w:sz w:val="22"/>
          <w:szCs w:val="22"/>
        </w:rPr>
        <w:t xml:space="preserve"> tendrán las siguientes atribuciones:</w:t>
      </w:r>
    </w:p>
    <w:p w14:paraId="5A5937F7"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VIII. Aprobar, modificar o revocar la clasificación de la información</w:t>
      </w:r>
      <w:r w:rsidRPr="00A16850">
        <w:rPr>
          <w:rFonts w:ascii="Palatino Linotype" w:eastAsia="Palatino Linotype" w:hAnsi="Palatino Linotype" w:cs="Palatino Linotype"/>
          <w:i/>
          <w:iCs/>
          <w:sz w:val="22"/>
          <w:szCs w:val="22"/>
        </w:rPr>
        <w:t>…”</w:t>
      </w:r>
    </w:p>
    <w:p w14:paraId="2BC4E7B5"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53.</w:t>
      </w:r>
      <w:r w:rsidRPr="00A16850">
        <w:rPr>
          <w:rFonts w:ascii="Palatino Linotype" w:eastAsia="Palatino Linotype" w:hAnsi="Palatino Linotype" w:cs="Palatino Linotype"/>
          <w:i/>
          <w:iCs/>
          <w:sz w:val="22"/>
          <w:szCs w:val="22"/>
        </w:rPr>
        <w:t xml:space="preserve"> Las </w:t>
      </w:r>
      <w:r w:rsidRPr="00A16850">
        <w:rPr>
          <w:rFonts w:ascii="Palatino Linotype" w:eastAsia="Palatino Linotype" w:hAnsi="Palatino Linotype" w:cs="Palatino Linotype"/>
          <w:b/>
          <w:bCs/>
          <w:i/>
          <w:iCs/>
          <w:sz w:val="22"/>
          <w:szCs w:val="22"/>
        </w:rPr>
        <w:t>Unidades de Transparencia</w:t>
      </w:r>
      <w:r w:rsidRPr="00A16850">
        <w:rPr>
          <w:rFonts w:ascii="Palatino Linotype" w:eastAsia="Palatino Linotype" w:hAnsi="Palatino Linotype" w:cs="Palatino Linotype"/>
          <w:i/>
          <w:iCs/>
          <w:sz w:val="22"/>
          <w:szCs w:val="22"/>
        </w:rPr>
        <w:t xml:space="preserve"> tendrán las siguientes </w:t>
      </w:r>
      <w:r w:rsidRPr="00A16850">
        <w:rPr>
          <w:rFonts w:ascii="Palatino Linotype" w:eastAsia="Palatino Linotype" w:hAnsi="Palatino Linotype" w:cs="Palatino Linotype"/>
          <w:b/>
          <w:bCs/>
          <w:i/>
          <w:iCs/>
          <w:sz w:val="22"/>
          <w:szCs w:val="22"/>
        </w:rPr>
        <w:t>funciones</w:t>
      </w:r>
      <w:r w:rsidRPr="00A16850">
        <w:rPr>
          <w:rFonts w:ascii="Palatino Linotype" w:eastAsia="Palatino Linotype" w:hAnsi="Palatino Linotype" w:cs="Palatino Linotype"/>
          <w:i/>
          <w:iCs/>
          <w:sz w:val="22"/>
          <w:szCs w:val="22"/>
        </w:rPr>
        <w:t>:</w:t>
      </w:r>
    </w:p>
    <w:p w14:paraId="3BF9D096"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X. Presentar ante el Comité, el proyecto de clasificación de información</w:t>
      </w:r>
      <w:r w:rsidRPr="00A16850">
        <w:rPr>
          <w:rFonts w:ascii="Palatino Linotype" w:eastAsia="Palatino Linotype" w:hAnsi="Palatino Linotype" w:cs="Palatino Linotype"/>
          <w:i/>
          <w:iCs/>
          <w:sz w:val="22"/>
          <w:szCs w:val="22"/>
        </w:rPr>
        <w:t xml:space="preserve">…” </w:t>
      </w:r>
    </w:p>
    <w:p w14:paraId="79C3EF6B"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“Artículo 59.</w:t>
      </w:r>
      <w:r w:rsidRPr="00A16850">
        <w:rPr>
          <w:rFonts w:ascii="Palatino Linotype" w:eastAsia="Palatino Linotype" w:hAnsi="Palatino Linotype" w:cs="Palatino Linotype"/>
          <w:i/>
          <w:iCs/>
          <w:sz w:val="22"/>
          <w:szCs w:val="22"/>
        </w:rPr>
        <w:t xml:space="preserve"> Los </w:t>
      </w:r>
      <w:r w:rsidRPr="00A16850">
        <w:rPr>
          <w:rFonts w:ascii="Palatino Linotype" w:eastAsia="Palatino Linotype" w:hAnsi="Palatino Linotype" w:cs="Palatino Linotype"/>
          <w:b/>
          <w:bCs/>
          <w:i/>
          <w:iCs/>
          <w:sz w:val="22"/>
          <w:szCs w:val="22"/>
        </w:rPr>
        <w:t>servidores públicos habilitados</w:t>
      </w:r>
      <w:r w:rsidRPr="00A16850">
        <w:rPr>
          <w:rFonts w:ascii="Palatino Linotype" w:eastAsia="Palatino Linotype" w:hAnsi="Palatino Linotype" w:cs="Palatino Linotype"/>
          <w:i/>
          <w:iCs/>
          <w:sz w:val="22"/>
          <w:szCs w:val="22"/>
        </w:rPr>
        <w:t xml:space="preserve"> tendrán las </w:t>
      </w:r>
      <w:r w:rsidRPr="00A16850">
        <w:rPr>
          <w:rFonts w:ascii="Palatino Linotype" w:eastAsia="Palatino Linotype" w:hAnsi="Palatino Linotype" w:cs="Palatino Linotype"/>
          <w:b/>
          <w:bCs/>
          <w:i/>
          <w:iCs/>
          <w:sz w:val="22"/>
          <w:szCs w:val="22"/>
        </w:rPr>
        <w:t>funciones</w:t>
      </w:r>
      <w:r w:rsidRPr="00A16850">
        <w:rPr>
          <w:rFonts w:ascii="Palatino Linotype" w:eastAsia="Palatino Linotype" w:hAnsi="Palatino Linotype" w:cs="Palatino Linotype"/>
          <w:i/>
          <w:iCs/>
          <w:sz w:val="22"/>
          <w:szCs w:val="22"/>
        </w:rPr>
        <w:t xml:space="preserve"> siguientes:</w:t>
      </w:r>
    </w:p>
    <w:p w14:paraId="6CC4CF68"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A16850">
        <w:rPr>
          <w:rFonts w:ascii="Palatino Linotype" w:eastAsia="Palatino Linotype" w:hAnsi="Palatino Linotype" w:cs="Palatino Linotype"/>
          <w:i/>
          <w:iCs/>
          <w:sz w:val="22"/>
          <w:szCs w:val="22"/>
        </w:rPr>
        <w:t xml:space="preserve">, la cual tendrá los fundamentos y argumentos en que se basa dicha propuesta…” </w:t>
      </w:r>
    </w:p>
    <w:p w14:paraId="5555CC94" w14:textId="77777777" w:rsidR="00DE75A3" w:rsidRPr="00A16850" w:rsidRDefault="00DE75A3">
      <w:pPr>
        <w:spacing w:line="276" w:lineRule="auto"/>
        <w:ind w:left="992" w:right="1043"/>
        <w:jc w:val="both"/>
        <w:rPr>
          <w:rFonts w:ascii="Palatino Linotype" w:eastAsia="Palatino Linotype" w:hAnsi="Palatino Linotype" w:cs="Palatino Linotype"/>
          <w:i/>
          <w:iCs/>
          <w:sz w:val="22"/>
          <w:szCs w:val="22"/>
        </w:rPr>
      </w:pPr>
    </w:p>
    <w:p w14:paraId="57963716"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8CC215B"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A287C26"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E2F7A5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E75792F" w14:textId="77777777" w:rsidR="00DE75A3" w:rsidRPr="00A16850" w:rsidRDefault="002724D5">
      <w:pPr>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149.</w:t>
      </w:r>
      <w:r w:rsidRPr="00A16850">
        <w:rPr>
          <w:rFonts w:ascii="Palatino Linotype" w:eastAsia="Palatino Linotype" w:hAnsi="Palatino Linotype" w:cs="Palatino Linotype"/>
          <w:i/>
          <w:iCs/>
          <w:sz w:val="22"/>
          <w:szCs w:val="22"/>
        </w:rPr>
        <w:t xml:space="preserve"> El </w:t>
      </w:r>
      <w:r w:rsidRPr="00A16850">
        <w:rPr>
          <w:rFonts w:ascii="Palatino Linotype" w:eastAsia="Palatino Linotype" w:hAnsi="Palatino Linotype" w:cs="Palatino Linotype"/>
          <w:b/>
          <w:bCs/>
          <w:i/>
          <w:iCs/>
          <w:sz w:val="22"/>
          <w:szCs w:val="22"/>
        </w:rPr>
        <w:t>acuerdo que clasifique la información como confidencial</w:t>
      </w:r>
      <w:r w:rsidRPr="00A16850">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w:t>
      </w:r>
    </w:p>
    <w:p w14:paraId="4BB6B32D" w14:textId="77777777" w:rsidR="00DE75A3" w:rsidRPr="00A16850" w:rsidRDefault="00DE75A3">
      <w:pPr>
        <w:spacing w:line="360" w:lineRule="auto"/>
        <w:ind w:right="51"/>
        <w:jc w:val="both"/>
        <w:rPr>
          <w:rFonts w:ascii="Palatino Linotype" w:eastAsia="Palatino Linotype" w:hAnsi="Palatino Linotype" w:cs="Palatino Linotype"/>
          <w:i/>
          <w:iCs/>
          <w:sz w:val="22"/>
          <w:szCs w:val="22"/>
        </w:rPr>
      </w:pPr>
    </w:p>
    <w:p w14:paraId="3B049A8B" w14:textId="77777777" w:rsidR="00DE75A3" w:rsidRPr="00A16850" w:rsidRDefault="002724D5">
      <w:pPr>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Es decir, el</w:t>
      </w:r>
      <w:r w:rsidRPr="00A16850">
        <w:rPr>
          <w:rFonts w:ascii="Palatino Linotype" w:eastAsia="Palatino Linotype" w:hAnsi="Palatino Linotype" w:cs="Palatino Linotype"/>
          <w:b/>
          <w:bCs/>
          <w:sz w:val="22"/>
          <w:szCs w:val="22"/>
        </w:rPr>
        <w:t xml:space="preserve"> Sujeto Obligado</w:t>
      </w:r>
      <w:r w:rsidRPr="00A1685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AA98E21"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15BE5458" w14:textId="77777777" w:rsidR="00DE75A3" w:rsidRPr="00A16850" w:rsidRDefault="002724D5">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Respecto del </w:t>
      </w:r>
      <w:r w:rsidRPr="00A16850">
        <w:rPr>
          <w:rFonts w:ascii="Palatino Linotype" w:eastAsia="Palatino Linotype" w:hAnsi="Palatino Linotype" w:cs="Palatino Linotype"/>
          <w:b/>
          <w:bCs/>
          <w:sz w:val="22"/>
          <w:szCs w:val="22"/>
        </w:rPr>
        <w:t>nombre de las personas físicas</w:t>
      </w:r>
      <w:r w:rsidRPr="00A16850">
        <w:rPr>
          <w:rFonts w:ascii="Palatino Linotype" w:eastAsia="Palatino Linotype" w:hAnsi="Palatino Linotype" w:cs="Palatino Linotype"/>
          <w:sz w:val="22"/>
          <w:szCs w:val="22"/>
        </w:rPr>
        <w:t xml:space="preserve"> o los </w:t>
      </w:r>
      <w:r w:rsidRPr="00A16850">
        <w:rPr>
          <w:rFonts w:ascii="Palatino Linotype" w:eastAsia="Palatino Linotype" w:hAnsi="Palatino Linotype" w:cs="Palatino Linotype"/>
          <w:b/>
          <w:bCs/>
          <w:sz w:val="22"/>
          <w:szCs w:val="22"/>
        </w:rPr>
        <w:t>representantes legales de las personas morales</w:t>
      </w:r>
      <w:r w:rsidRPr="00A16850">
        <w:rPr>
          <w:rFonts w:ascii="Palatino Linotype" w:eastAsia="Palatino Linotype" w:hAnsi="Palatino Linotype" w:cs="Palatino Linotype"/>
          <w:sz w:val="22"/>
          <w:szCs w:val="22"/>
        </w:rPr>
        <w:t xml:space="preserve">, </w:t>
      </w:r>
      <w:r w:rsidRPr="00A16850">
        <w:rPr>
          <w:rFonts w:ascii="Palatino Linotype" w:eastAsia="Palatino Linotype" w:hAnsi="Palatino Linotype" w:cs="Palatino Linotype"/>
          <w:b/>
          <w:bCs/>
          <w:sz w:val="22"/>
          <w:szCs w:val="22"/>
        </w:rPr>
        <w:t>en su calidad de proveedores, contratistas o prestadores de servicios, y la firma y rúbrica de estos</w:t>
      </w:r>
      <w:r w:rsidRPr="00A16850">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6BA89A4" w14:textId="77777777" w:rsidR="003139F0" w:rsidRPr="00A16850" w:rsidRDefault="003139F0">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41B66AF7" w14:textId="6D3F4406" w:rsidR="00DE75A3" w:rsidRPr="00A16850" w:rsidRDefault="002724D5">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0E326C03" w14:textId="77777777" w:rsidR="00DE75A3" w:rsidRPr="00A16850" w:rsidRDefault="00DE75A3">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3F66603E" w14:textId="77777777" w:rsidR="00DE75A3" w:rsidRPr="00A16850" w:rsidRDefault="002724D5">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Artículo 23.</w:t>
      </w:r>
      <w:r w:rsidRPr="00A16850">
        <w:rPr>
          <w:rFonts w:ascii="Palatino Linotype" w:eastAsia="Palatino Linotype" w:hAnsi="Palatino Linotype" w:cs="Palatino Linotype"/>
          <w:i/>
          <w:iCs/>
          <w:sz w:val="22"/>
          <w:szCs w:val="22"/>
        </w:rPr>
        <w:t xml:space="preserve"> (…)</w:t>
      </w:r>
    </w:p>
    <w:p w14:paraId="55870A5B" w14:textId="77777777" w:rsidR="00DE75A3" w:rsidRPr="00A16850" w:rsidRDefault="002724D5">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D9B22FE" w14:textId="77777777" w:rsidR="003139F0" w:rsidRPr="00A16850" w:rsidRDefault="003139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A52B1D" w14:textId="1262F7C0" w:rsidR="00DE75A3" w:rsidRPr="00A16850" w:rsidRDefault="002724D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79C72935" w14:textId="77777777" w:rsidR="009755E9" w:rsidRPr="00A16850" w:rsidRDefault="009755E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73BA26" w14:textId="77777777" w:rsidR="00DE75A3" w:rsidRPr="00A16850" w:rsidRDefault="002724D5">
      <w:pPr>
        <w:pBdr>
          <w:top w:val="nil"/>
          <w:left w:val="nil"/>
          <w:bottom w:val="nil"/>
          <w:right w:val="nil"/>
          <w:between w:val="nil"/>
        </w:pBdr>
        <w:spacing w:line="276" w:lineRule="auto"/>
        <w:ind w:left="851" w:right="902"/>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“Datos de identificación del representante o apoderado legal.</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 xml:space="preserve">Naturaleza jurídica. El nombre, la </w:t>
      </w:r>
      <w:r w:rsidRPr="00A16850">
        <w:rPr>
          <w:rFonts w:ascii="Palatino Linotype" w:eastAsia="Palatino Linotype" w:hAnsi="Palatino Linotype" w:cs="Palatino Linotype"/>
          <w:b/>
          <w:bCs/>
          <w:i/>
          <w:iCs/>
          <w:sz w:val="22"/>
          <w:szCs w:val="22"/>
          <w:u w:val="single"/>
        </w:rPr>
        <w:t>firma y la rúbrica</w:t>
      </w:r>
      <w:r w:rsidRPr="00A16850">
        <w:rPr>
          <w:rFonts w:ascii="Palatino Linotype" w:eastAsia="Palatino Linotype" w:hAnsi="Palatino Linotype" w:cs="Palatino Linotype"/>
          <w:i/>
          <w:iCs/>
          <w:sz w:val="22"/>
          <w:szCs w:val="22"/>
        </w:rPr>
        <w:t xml:space="preserve"> de una persona física, que actúe como representante o apoderado legal de un tercero que haya celebrado un acto jurídico, con algún sujeto obligado, </w:t>
      </w:r>
      <w:r w:rsidRPr="00A16850">
        <w:rPr>
          <w:rFonts w:ascii="Palatino Linotype" w:eastAsia="Palatino Linotype" w:hAnsi="Palatino Linotype" w:cs="Palatino Linotype"/>
          <w:b/>
          <w:bCs/>
          <w:i/>
          <w:iCs/>
          <w:sz w:val="22"/>
          <w:szCs w:val="22"/>
          <w:u w:val="single"/>
        </w:rPr>
        <w:t>es información pública</w:t>
      </w:r>
      <w:r w:rsidRPr="00A16850">
        <w:rPr>
          <w:rFonts w:ascii="Palatino Linotype" w:eastAsia="Palatino Linotype" w:hAnsi="Palatino Linotype" w:cs="Palatino Linotype"/>
          <w:b/>
          <w:bCs/>
          <w:i/>
          <w:iCs/>
          <w:sz w:val="22"/>
          <w:szCs w:val="22"/>
        </w:rPr>
        <w:t>, en razón de que tales datos fueron proporcionados con el objeto de expresar el consentimiento obligacional del tercero y otorgar validez a dicho instrumento jurídico</w:t>
      </w:r>
      <w:r w:rsidRPr="00A16850">
        <w:rPr>
          <w:rFonts w:ascii="Palatino Linotype" w:eastAsia="Palatino Linotype" w:hAnsi="Palatino Linotype" w:cs="Palatino Linotype"/>
          <w:i/>
          <w:iCs/>
          <w:sz w:val="22"/>
          <w:szCs w:val="22"/>
        </w:rPr>
        <w:t>.”</w:t>
      </w:r>
    </w:p>
    <w:p w14:paraId="79B909A2"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AB39725"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Por cuanto hace al </w:t>
      </w:r>
      <w:r w:rsidRPr="00A16850">
        <w:rPr>
          <w:rFonts w:ascii="Palatino Linotype" w:eastAsia="Palatino Linotype" w:hAnsi="Palatino Linotype" w:cs="Palatino Linotype"/>
          <w:b/>
          <w:bCs/>
          <w:sz w:val="22"/>
          <w:szCs w:val="22"/>
          <w:u w:val="single"/>
        </w:rPr>
        <w:t>número de cuenta bancaria</w:t>
      </w:r>
      <w:r w:rsidRPr="00A16850">
        <w:rPr>
          <w:rFonts w:ascii="Palatino Linotype" w:eastAsia="Palatino Linotype" w:hAnsi="Palatino Linotype" w:cs="Palatino Linotype"/>
          <w:sz w:val="22"/>
          <w:szCs w:val="22"/>
        </w:rPr>
        <w:t xml:space="preserve"> de los particulares debe ser clasificado como confidencial con fundamento en las fracciones I y II del artículo 143 de la Ley de la Materia de la Entidad; en razón de que, con su difusión se estaría poniendo en riesgo la seguridad de su titular.</w:t>
      </w:r>
    </w:p>
    <w:p w14:paraId="66BA33B1" w14:textId="77777777" w:rsidR="00DE75A3" w:rsidRPr="00A16850" w:rsidRDefault="00DE75A3">
      <w:pPr>
        <w:spacing w:line="360" w:lineRule="auto"/>
        <w:ind w:right="50"/>
        <w:jc w:val="both"/>
        <w:rPr>
          <w:rFonts w:ascii="Palatino Linotype" w:eastAsia="Palatino Linotype" w:hAnsi="Palatino Linotype" w:cs="Palatino Linotype"/>
          <w:sz w:val="22"/>
          <w:szCs w:val="22"/>
        </w:rPr>
      </w:pPr>
    </w:p>
    <w:p w14:paraId="105DF18F" w14:textId="77777777" w:rsidR="00DE75A3" w:rsidRPr="00A16850" w:rsidRDefault="002724D5">
      <w:pPr>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F08AFC5" w14:textId="77777777" w:rsidR="00DE75A3" w:rsidRPr="00A16850" w:rsidRDefault="00DE75A3">
      <w:pPr>
        <w:spacing w:line="360" w:lineRule="auto"/>
        <w:ind w:right="51"/>
        <w:jc w:val="both"/>
        <w:rPr>
          <w:rFonts w:ascii="Palatino Linotype" w:eastAsia="Palatino Linotype" w:hAnsi="Palatino Linotype" w:cs="Palatino Linotype"/>
          <w:sz w:val="22"/>
          <w:szCs w:val="22"/>
        </w:rPr>
      </w:pPr>
    </w:p>
    <w:p w14:paraId="0B4C1AF2" w14:textId="505BB096" w:rsidR="00DE75A3" w:rsidRPr="00A16850" w:rsidRDefault="002724D5">
      <w:pP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Lo anterior encuentra sustento en el criterio </w:t>
      </w:r>
      <w:r w:rsidR="003139F0" w:rsidRPr="00A16850">
        <w:rPr>
          <w:rFonts w:ascii="Palatino Linotype" w:eastAsia="Palatino Linotype" w:hAnsi="Palatino Linotype" w:cs="Palatino Linotype"/>
          <w:sz w:val="22"/>
          <w:szCs w:val="22"/>
        </w:rPr>
        <w:t xml:space="preserve">orientador </w:t>
      </w:r>
      <w:r w:rsidRPr="00A16850">
        <w:rPr>
          <w:rFonts w:ascii="Palatino Linotype" w:eastAsia="Palatino Linotype" w:hAnsi="Palatino Linotype" w:cs="Palatino Linotype"/>
          <w:sz w:val="22"/>
          <w:szCs w:val="22"/>
        </w:rPr>
        <w:t>10/17 emitido por el</w:t>
      </w:r>
      <w:r w:rsidR="003139F0" w:rsidRPr="00A16850">
        <w:rPr>
          <w:rFonts w:ascii="Palatino Linotype" w:eastAsia="Palatino Linotype" w:hAnsi="Palatino Linotype" w:cs="Palatino Linotype"/>
          <w:sz w:val="22"/>
          <w:szCs w:val="22"/>
        </w:rPr>
        <w:t xml:space="preserve"> entonces Instituto</w:t>
      </w:r>
      <w:r w:rsidRPr="00A16850">
        <w:rPr>
          <w:rFonts w:ascii="Palatino Linotype" w:eastAsia="Palatino Linotype" w:hAnsi="Palatino Linotype" w:cs="Palatino Linotype"/>
          <w:sz w:val="22"/>
          <w:szCs w:val="22"/>
        </w:rPr>
        <w:t xml:space="preserve"> Nacional de Transparencia y Acceso a la Información Pública del Estado de México y Municipios, que a la letra dicen:</w:t>
      </w:r>
    </w:p>
    <w:p w14:paraId="01B26B7E" w14:textId="77777777" w:rsidR="00DE75A3" w:rsidRPr="00A16850" w:rsidRDefault="00DE75A3">
      <w:pPr>
        <w:spacing w:line="360" w:lineRule="auto"/>
        <w:ind w:right="50"/>
        <w:jc w:val="both"/>
        <w:rPr>
          <w:rFonts w:ascii="Palatino Linotype" w:eastAsia="Palatino Linotype" w:hAnsi="Palatino Linotype" w:cs="Palatino Linotype"/>
          <w:sz w:val="22"/>
          <w:szCs w:val="22"/>
        </w:rPr>
      </w:pPr>
    </w:p>
    <w:p w14:paraId="34D26F61" w14:textId="77777777" w:rsidR="00DE75A3" w:rsidRPr="00A16850" w:rsidRDefault="002724D5">
      <w:pPr>
        <w:spacing w:line="276" w:lineRule="auto"/>
        <w:ind w:left="851" w:right="1134"/>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“Cuentas bancarias y/o CLABE interbancaria de personas físicas y morales privadas.</w:t>
      </w:r>
      <w:r w:rsidRPr="00A16850">
        <w:rPr>
          <w:rFonts w:ascii="Palatino Linotype" w:eastAsia="Palatino Linotype" w:hAnsi="Palatino Linotype" w:cs="Palatino Linotype"/>
          <w:i/>
          <w:iCs/>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807B556" w14:textId="77777777" w:rsidR="00DE75A3" w:rsidRPr="00A16850" w:rsidRDefault="00DE75A3">
      <w:pPr>
        <w:ind w:left="851" w:right="899"/>
        <w:jc w:val="center"/>
        <w:rPr>
          <w:rFonts w:ascii="Palatino Linotype" w:eastAsia="Palatino Linotype" w:hAnsi="Palatino Linotype" w:cs="Palatino Linotype"/>
          <w:b/>
          <w:bCs/>
          <w:i/>
          <w:iCs/>
          <w:sz w:val="22"/>
          <w:szCs w:val="22"/>
        </w:rPr>
      </w:pPr>
    </w:p>
    <w:p w14:paraId="2AC4473C" w14:textId="77777777" w:rsidR="00DE75A3" w:rsidRPr="00A16850" w:rsidRDefault="002724D5">
      <w:pP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6ED9BF8" w14:textId="77777777" w:rsidR="00DE75A3" w:rsidRPr="00A16850" w:rsidRDefault="00DE75A3">
      <w:pPr>
        <w:spacing w:line="360" w:lineRule="auto"/>
        <w:ind w:right="50"/>
        <w:jc w:val="both"/>
        <w:rPr>
          <w:rFonts w:ascii="Palatino Linotype" w:eastAsia="Palatino Linotype" w:hAnsi="Palatino Linotype" w:cs="Palatino Linotype"/>
          <w:sz w:val="22"/>
          <w:szCs w:val="22"/>
        </w:rPr>
      </w:pPr>
    </w:p>
    <w:p w14:paraId="24854466" w14:textId="77777777" w:rsidR="00DE75A3" w:rsidRPr="00A16850" w:rsidRDefault="002724D5">
      <w:pPr>
        <w:spacing w:line="276" w:lineRule="auto"/>
        <w:ind w:left="851" w:right="1134"/>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w:t>
      </w:r>
      <w:r w:rsidRPr="00A16850">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A16850">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79DC596" w14:textId="77777777" w:rsidR="00DE75A3" w:rsidRPr="00A16850" w:rsidRDefault="00DE75A3">
      <w:pPr>
        <w:spacing w:line="360" w:lineRule="auto"/>
        <w:ind w:left="851" w:right="1134"/>
        <w:jc w:val="both"/>
        <w:rPr>
          <w:rFonts w:ascii="Palatino Linotype" w:eastAsia="Palatino Linotype" w:hAnsi="Palatino Linotype" w:cs="Palatino Linotype"/>
          <w:i/>
          <w:iCs/>
          <w:sz w:val="22"/>
          <w:szCs w:val="22"/>
        </w:rPr>
      </w:pPr>
    </w:p>
    <w:p w14:paraId="6AB1DEBC" w14:textId="77777777" w:rsidR="00DE75A3" w:rsidRPr="00A16850" w:rsidRDefault="002724D5">
      <w:pP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Sobre el </w:t>
      </w:r>
      <w:r w:rsidRPr="00A16850">
        <w:rPr>
          <w:rFonts w:ascii="Palatino Linotype" w:eastAsia="Palatino Linotype" w:hAnsi="Palatino Linotype" w:cs="Palatino Linotype"/>
          <w:b/>
          <w:bCs/>
          <w:sz w:val="22"/>
          <w:szCs w:val="22"/>
        </w:rPr>
        <w:t>RFC</w:t>
      </w:r>
      <w:r w:rsidRPr="00A16850">
        <w:rPr>
          <w:rFonts w:ascii="Palatino Linotype" w:eastAsia="Palatino Linotype" w:hAnsi="Palatino Linotype" w:cs="Palatino Linotype"/>
          <w:sz w:val="22"/>
          <w:szCs w:val="22"/>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4BACAEE" w14:textId="77777777" w:rsidR="00DE75A3" w:rsidRPr="00A16850" w:rsidRDefault="00DE75A3">
      <w:pPr>
        <w:spacing w:line="360" w:lineRule="auto"/>
        <w:ind w:right="50"/>
        <w:jc w:val="both"/>
        <w:rPr>
          <w:rFonts w:ascii="Palatino Linotype" w:eastAsia="Palatino Linotype" w:hAnsi="Palatino Linotype" w:cs="Palatino Linotype"/>
          <w:sz w:val="22"/>
          <w:szCs w:val="22"/>
        </w:rPr>
      </w:pPr>
    </w:p>
    <w:p w14:paraId="4D07F73C" w14:textId="77777777" w:rsidR="00DE75A3" w:rsidRPr="00A16850" w:rsidRDefault="002724D5">
      <w:pP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5A48C6B" w14:textId="77777777" w:rsidR="00DE75A3" w:rsidRPr="00A16850" w:rsidRDefault="00DE75A3">
      <w:pPr>
        <w:spacing w:line="360" w:lineRule="auto"/>
        <w:ind w:right="50"/>
        <w:jc w:val="both"/>
        <w:rPr>
          <w:rFonts w:ascii="Palatino Linotype" w:eastAsia="Palatino Linotype" w:hAnsi="Palatino Linotype" w:cs="Palatino Linotype"/>
          <w:sz w:val="22"/>
          <w:szCs w:val="22"/>
        </w:rPr>
      </w:pPr>
    </w:p>
    <w:p w14:paraId="54ABB39F" w14:textId="77777777" w:rsidR="00DE75A3" w:rsidRPr="00A16850" w:rsidRDefault="002724D5">
      <w:pPr>
        <w:spacing w:line="360" w:lineRule="auto"/>
        <w:ind w:right="50"/>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5A16B0EE" w14:textId="77777777" w:rsidR="00DE75A3" w:rsidRPr="00A16850" w:rsidRDefault="00DE75A3">
      <w:pPr>
        <w:spacing w:line="360" w:lineRule="auto"/>
        <w:ind w:right="50"/>
        <w:jc w:val="both"/>
        <w:rPr>
          <w:rFonts w:ascii="Palatino Linotype" w:eastAsia="Palatino Linotype" w:hAnsi="Palatino Linotype" w:cs="Palatino Linotype"/>
          <w:sz w:val="22"/>
          <w:szCs w:val="22"/>
        </w:rPr>
      </w:pPr>
    </w:p>
    <w:p w14:paraId="338E6FF5"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Al respecto, se destaca que la versión pública que elabore 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16850">
        <w:rPr>
          <w:rFonts w:ascii="Palatino Linotype" w:eastAsia="Palatino Linotype" w:hAnsi="Palatino Linotype" w:cs="Palatino Linotype"/>
          <w:b/>
          <w:bCs/>
          <w:sz w:val="22"/>
          <w:szCs w:val="22"/>
        </w:rPr>
        <w:t>LINEAMIENTOS GENERALES EN MATERIA DE CLASIFICACIÓN Y DESCLASIFICACIÓN DE LA INFORMACIÓN, ASÍ COMO PARA LA ELABORACIÓN DE VERSIONES PÚBLICAS</w:t>
      </w:r>
      <w:r w:rsidRPr="00A16850">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A69C724" w14:textId="77777777" w:rsidR="00DE75A3" w:rsidRPr="00A16850" w:rsidRDefault="00DE75A3">
      <w:pPr>
        <w:ind w:left="709" w:right="709"/>
        <w:jc w:val="both"/>
        <w:rPr>
          <w:rFonts w:ascii="Palatino Linotype" w:eastAsia="Palatino Linotype" w:hAnsi="Palatino Linotype" w:cs="Palatino Linotype"/>
          <w:b/>
          <w:bCs/>
          <w:i/>
          <w:iCs/>
          <w:sz w:val="22"/>
          <w:szCs w:val="22"/>
        </w:rPr>
      </w:pPr>
    </w:p>
    <w:p w14:paraId="4709B8AC"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“Lineamientos Generales en materia de Clasificación y Desclasificación de la Información, así como para la elaboración de Versiones Públicas</w:t>
      </w:r>
    </w:p>
    <w:p w14:paraId="5AFE7D6B"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w:t>
      </w:r>
      <w:proofErr w:type="gramStart"/>
      <w:r w:rsidRPr="00A16850">
        <w:rPr>
          <w:rFonts w:ascii="Palatino Linotype" w:eastAsia="Palatino Linotype" w:hAnsi="Palatino Linotype" w:cs="Palatino Linotype"/>
          <w:b/>
          <w:bCs/>
          <w:i/>
          <w:iCs/>
          <w:sz w:val="22"/>
          <w:szCs w:val="22"/>
        </w:rPr>
        <w:t>Segundo.-</w:t>
      </w:r>
      <w:proofErr w:type="gramEnd"/>
      <w:r w:rsidRPr="00A16850">
        <w:rPr>
          <w:rFonts w:ascii="Palatino Linotype" w:eastAsia="Palatino Linotype" w:hAnsi="Palatino Linotype" w:cs="Palatino Linotype"/>
          <w:i/>
          <w:iCs/>
          <w:sz w:val="22"/>
          <w:szCs w:val="22"/>
        </w:rPr>
        <w:t xml:space="preserve"> Para efectos de los presentes Lineamientos Generales, se entenderá por:</w:t>
      </w:r>
    </w:p>
    <w:p w14:paraId="701E5107"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XVIII.</w:t>
      </w:r>
      <w:r w:rsidRPr="00A16850">
        <w:rPr>
          <w:rFonts w:ascii="Palatino Linotype" w:eastAsia="Palatino Linotype" w:hAnsi="Palatino Linotype" w:cs="Palatino Linotype"/>
          <w:i/>
          <w:iCs/>
          <w:sz w:val="22"/>
          <w:szCs w:val="22"/>
        </w:rPr>
        <w:t xml:space="preserve"> </w:t>
      </w:r>
      <w:r w:rsidRPr="00A16850">
        <w:rPr>
          <w:rFonts w:ascii="Palatino Linotype" w:eastAsia="Palatino Linotype" w:hAnsi="Palatino Linotype" w:cs="Palatino Linotype"/>
          <w:b/>
          <w:bCs/>
          <w:i/>
          <w:iCs/>
          <w:sz w:val="22"/>
          <w:szCs w:val="22"/>
        </w:rPr>
        <w:t>Versión pública:</w:t>
      </w:r>
      <w:r w:rsidRPr="00A16850">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A16850">
        <w:rPr>
          <w:rFonts w:ascii="Palatino Linotype" w:eastAsia="Palatino Linotype" w:hAnsi="Palatino Linotype" w:cs="Palatino Linotype"/>
          <w:b/>
          <w:bCs/>
          <w:i/>
          <w:iCs/>
          <w:sz w:val="22"/>
          <w:szCs w:val="22"/>
          <w:u w:val="single"/>
        </w:rPr>
        <w:t>fundando y motivando la</w:t>
      </w:r>
      <w:r w:rsidRPr="00A16850">
        <w:rPr>
          <w:rFonts w:ascii="Palatino Linotype" w:eastAsia="Palatino Linotype" w:hAnsi="Palatino Linotype" w:cs="Palatino Linotype"/>
          <w:i/>
          <w:iCs/>
          <w:sz w:val="22"/>
          <w:szCs w:val="22"/>
        </w:rPr>
        <w:t xml:space="preserve"> reserva o </w:t>
      </w:r>
      <w:r w:rsidRPr="00A16850">
        <w:rPr>
          <w:rFonts w:ascii="Palatino Linotype" w:eastAsia="Palatino Linotype" w:hAnsi="Palatino Linotype" w:cs="Palatino Linotype"/>
          <w:b/>
          <w:bCs/>
          <w:i/>
          <w:iCs/>
          <w:sz w:val="22"/>
          <w:szCs w:val="22"/>
          <w:u w:val="single"/>
        </w:rPr>
        <w:t>confidencialidad</w:t>
      </w:r>
      <w:r w:rsidRPr="00A16850">
        <w:rPr>
          <w:rFonts w:ascii="Palatino Linotype" w:eastAsia="Palatino Linotype" w:hAnsi="Palatino Linotype" w:cs="Palatino Linotype"/>
          <w:i/>
          <w:iCs/>
          <w:sz w:val="22"/>
          <w:szCs w:val="22"/>
        </w:rPr>
        <w:t>, a través de la resolución que para tal efecto emita el Comité de Transparencia.</w:t>
      </w:r>
    </w:p>
    <w:p w14:paraId="56176D9B"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Cuarto.</w:t>
      </w:r>
      <w:r w:rsidRPr="00A16850">
        <w:rPr>
          <w:rFonts w:ascii="Palatino Linotype" w:eastAsia="Palatino Linotype" w:hAnsi="Palatino Linotype" w:cs="Palatino Linotype"/>
          <w:i/>
          <w:iCs/>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D4BB15"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0B1A046D"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Quinto.</w:t>
      </w:r>
      <w:r w:rsidRPr="00A16850">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287D61"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w:t>
      </w:r>
    </w:p>
    <w:p w14:paraId="2C5E930F"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Séptimo.</w:t>
      </w:r>
      <w:r w:rsidRPr="00A16850">
        <w:rPr>
          <w:rFonts w:ascii="Palatino Linotype" w:eastAsia="Palatino Linotype" w:hAnsi="Palatino Linotype" w:cs="Palatino Linotype"/>
          <w:i/>
          <w:iCs/>
          <w:sz w:val="22"/>
          <w:szCs w:val="22"/>
        </w:rPr>
        <w:t xml:space="preserve"> La clasificación de la información se llevará a cabo en el momento en que:</w:t>
      </w:r>
    </w:p>
    <w:p w14:paraId="433C6F5B"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I.</w:t>
      </w:r>
      <w:r w:rsidRPr="00A16850">
        <w:rPr>
          <w:rFonts w:ascii="Palatino Linotype" w:eastAsia="Palatino Linotype" w:hAnsi="Palatino Linotype" w:cs="Palatino Linotype"/>
          <w:i/>
          <w:iCs/>
          <w:sz w:val="22"/>
          <w:szCs w:val="22"/>
        </w:rPr>
        <w:t xml:space="preserve"> Se reciba una solicitud de acceso a la información;</w:t>
      </w:r>
    </w:p>
    <w:p w14:paraId="0088D42C"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II.</w:t>
      </w:r>
      <w:r w:rsidRPr="00A16850">
        <w:rPr>
          <w:rFonts w:ascii="Palatino Linotype" w:eastAsia="Palatino Linotype" w:hAnsi="Palatino Linotype" w:cs="Palatino Linotype"/>
          <w:i/>
          <w:iCs/>
          <w:sz w:val="22"/>
          <w:szCs w:val="22"/>
        </w:rPr>
        <w:t xml:space="preserve"> </w:t>
      </w:r>
      <w:proofErr w:type="gramStart"/>
      <w:r w:rsidRPr="00A16850">
        <w:rPr>
          <w:rFonts w:ascii="Palatino Linotype" w:eastAsia="Palatino Linotype" w:hAnsi="Palatino Linotype" w:cs="Palatino Linotype"/>
          <w:i/>
          <w:iCs/>
          <w:sz w:val="22"/>
          <w:szCs w:val="22"/>
        </w:rPr>
        <w:t>Se  determine</w:t>
      </w:r>
      <w:proofErr w:type="gramEnd"/>
      <w:r w:rsidRPr="00A16850">
        <w:rPr>
          <w:rFonts w:ascii="Palatino Linotype" w:eastAsia="Palatino Linotype" w:hAnsi="Palatino Linotype" w:cs="Palatino Linotype"/>
          <w:i/>
          <w:iCs/>
          <w:sz w:val="22"/>
          <w:szCs w:val="22"/>
        </w:rPr>
        <w:t xml:space="preserve"> mediante resolución del Comité de Transparencia, el órgano garante </w:t>
      </w:r>
    </w:p>
    <w:p w14:paraId="1C4054DC"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competente, o en cumplimiento a una sentencia del Poder Judicial; o</w:t>
      </w:r>
    </w:p>
    <w:p w14:paraId="6B042A3A"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III.</w:t>
      </w:r>
      <w:r w:rsidRPr="00A16850">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19D4E227"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16F4C3C5"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Octavo.</w:t>
      </w:r>
      <w:r w:rsidRPr="00A16850">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70708A0"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73E2B478"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B325155"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Noveno.</w:t>
      </w:r>
      <w:r w:rsidRPr="00A16850">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671FE4"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Décimo.</w:t>
      </w:r>
      <w:r w:rsidRPr="00A16850">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33F4AE3"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5E28D73B"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Décimo primero.</w:t>
      </w:r>
      <w:r w:rsidRPr="00A16850">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FD5DA82"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w:t>
      </w:r>
    </w:p>
    <w:p w14:paraId="2A2C9288" w14:textId="77777777" w:rsidR="00DE75A3" w:rsidRPr="00A16850" w:rsidRDefault="002724D5">
      <w:pPr>
        <w:pBdr>
          <w:top w:val="nil"/>
          <w:left w:val="nil"/>
          <w:bottom w:val="nil"/>
          <w:right w:val="nil"/>
          <w:between w:val="nil"/>
        </w:pBdr>
        <w:spacing w:line="276" w:lineRule="auto"/>
        <w:ind w:left="709" w:right="709"/>
        <w:jc w:val="center"/>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CAPÍTULO VIII</w:t>
      </w:r>
    </w:p>
    <w:p w14:paraId="0AFE3510" w14:textId="77777777" w:rsidR="00DE75A3" w:rsidRPr="00A16850" w:rsidRDefault="002724D5">
      <w:pPr>
        <w:pBdr>
          <w:top w:val="nil"/>
          <w:left w:val="nil"/>
          <w:bottom w:val="nil"/>
          <w:right w:val="nil"/>
          <w:between w:val="nil"/>
        </w:pBdr>
        <w:spacing w:line="276" w:lineRule="auto"/>
        <w:ind w:left="709" w:right="709"/>
        <w:jc w:val="center"/>
        <w:rPr>
          <w:rFonts w:ascii="Palatino Linotype" w:eastAsia="Palatino Linotype" w:hAnsi="Palatino Linotype" w:cs="Palatino Linotype"/>
          <w:b/>
          <w:bCs/>
          <w:i/>
          <w:iCs/>
          <w:sz w:val="22"/>
          <w:szCs w:val="22"/>
        </w:rPr>
      </w:pPr>
      <w:r w:rsidRPr="00A16850">
        <w:rPr>
          <w:rFonts w:ascii="Palatino Linotype" w:eastAsia="Palatino Linotype" w:hAnsi="Palatino Linotype" w:cs="Palatino Linotype"/>
          <w:b/>
          <w:bCs/>
          <w:i/>
          <w:iCs/>
          <w:sz w:val="22"/>
          <w:szCs w:val="22"/>
        </w:rPr>
        <w:t>DE LOS ELEMENTOS PARA LA CLASIFICACIÓN</w:t>
      </w:r>
    </w:p>
    <w:p w14:paraId="55466F7E"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Quincuagésimo</w:t>
      </w:r>
      <w:r w:rsidRPr="00A16850">
        <w:rPr>
          <w:rFonts w:ascii="Palatino Linotype" w:eastAsia="Palatino Linotype" w:hAnsi="Palatino Linotype" w:cs="Palatino Linotype"/>
          <w:i/>
          <w:iCs/>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A3015F6"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Quincuagésimo primero</w:t>
      </w:r>
      <w:r w:rsidRPr="00A16850">
        <w:rPr>
          <w:rFonts w:ascii="Palatino Linotype" w:eastAsia="Palatino Linotype" w:hAnsi="Palatino Linotype" w:cs="Palatino Linotype"/>
          <w:i/>
          <w:iCs/>
          <w:sz w:val="22"/>
          <w:szCs w:val="22"/>
        </w:rPr>
        <w:t>. Toda acta del Comité de Transparencia deberá contener:</w:t>
      </w:r>
    </w:p>
    <w:p w14:paraId="71C72208"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I. El número de sesión y fecha; </w:t>
      </w:r>
    </w:p>
    <w:p w14:paraId="7F71786D"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 El nombre del área que solicitó la clasificación de información;</w:t>
      </w:r>
    </w:p>
    <w:p w14:paraId="3F25E09D"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III. La fundamentación legal y motivación correspondiente;</w:t>
      </w:r>
    </w:p>
    <w:p w14:paraId="2B26B9FB"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IV. La resolución o resoluciones aprobadas; y</w:t>
      </w:r>
    </w:p>
    <w:p w14:paraId="07B9AEF3"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V. La rúbrica o firma digital de cada integrante del Comité de Transparencia. </w:t>
      </w:r>
    </w:p>
    <w:p w14:paraId="79794ECE"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Las resoluciones del Comité en las que se haya determinado confirmar o modificar la clasificación de información pública como reservada, deberán incluir, cuando menos:</w:t>
      </w:r>
    </w:p>
    <w:p w14:paraId="3DD12D52"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 Los motivos y razonamientos que sustenten la confirmación o modificación de la prueba de daño;</w:t>
      </w:r>
    </w:p>
    <w:p w14:paraId="1CC47FA1"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 Descripción de las partes o secciones reservadas, en caso de clasificación parcial;</w:t>
      </w:r>
    </w:p>
    <w:p w14:paraId="3960F8FD"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III. El periodo por el que mantendrá su clasificación y fecha de expiración; y</w:t>
      </w:r>
    </w:p>
    <w:p w14:paraId="583CCFE9"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IV. El nombre del titular y área encargada de realizar la versión pública del documento, en su caso.</w:t>
      </w:r>
    </w:p>
    <w:p w14:paraId="3000FADB"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0A47BE6"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1320650"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b/>
          <w:bCs/>
          <w:i/>
          <w:iCs/>
          <w:sz w:val="22"/>
          <w:szCs w:val="22"/>
        </w:rPr>
        <w:t>Quincuagésimo segundo</w:t>
      </w:r>
      <w:r w:rsidRPr="00A16850">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16850">
        <w:rPr>
          <w:rFonts w:ascii="Palatino Linotype" w:eastAsia="Palatino Linotype" w:hAnsi="Palatino Linotype" w:cs="Palatino Linotype"/>
          <w:i/>
          <w:iCs/>
          <w:sz w:val="22"/>
          <w:szCs w:val="22"/>
        </w:rPr>
        <w:t>sobreposición</w:t>
      </w:r>
      <w:proofErr w:type="spellEnd"/>
      <w:r w:rsidRPr="00A16850">
        <w:rPr>
          <w:rFonts w:ascii="Palatino Linotype" w:eastAsia="Palatino Linotype" w:hAnsi="Palatino Linotype" w:cs="Palatino Linotype"/>
          <w:i/>
          <w:iCs/>
          <w:sz w:val="22"/>
          <w:szCs w:val="22"/>
        </w:rPr>
        <w:t xml:space="preserve"> de contenido distinto al autorizado por el Comité.</w:t>
      </w:r>
    </w:p>
    <w:p w14:paraId="67290A25"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2C771A8A"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7041E597"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2B11BA4F"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III. Señalar las personas o instancias autorizadas a acceder a la información clasificada.</w:t>
      </w:r>
    </w:p>
    <w:p w14:paraId="62252444"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5ED2E0D"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i/>
          <w:iCs/>
          <w:sz w:val="22"/>
          <w:szCs w:val="22"/>
        </w:rPr>
        <w:t>…</w:t>
      </w:r>
    </w:p>
    <w:p w14:paraId="370C9166"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832C660" w14:textId="77777777" w:rsidR="00DE75A3" w:rsidRPr="00A16850" w:rsidRDefault="002724D5">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i/>
          <w:iCs/>
          <w:sz w:val="22"/>
          <w:szCs w:val="22"/>
        </w:rPr>
        <w:t xml:space="preserve">Quincuagésimo quinto. Cada área del sujeto obligado podrá designar formalmente a una o más personas como responsables del </w:t>
      </w:r>
      <w:proofErr w:type="spellStart"/>
      <w:r w:rsidRPr="00A16850">
        <w:rPr>
          <w:rFonts w:ascii="Palatino Linotype" w:eastAsia="Palatino Linotype" w:hAnsi="Palatino Linotype" w:cs="Palatino Linotype"/>
          <w:i/>
          <w:iCs/>
          <w:sz w:val="22"/>
          <w:szCs w:val="22"/>
        </w:rPr>
        <w:t>testado</w:t>
      </w:r>
      <w:proofErr w:type="spellEnd"/>
      <w:r w:rsidRPr="00A16850">
        <w:rPr>
          <w:rFonts w:ascii="Palatino Linotype" w:eastAsia="Palatino Linotype" w:hAnsi="Palatino Linotype" w:cs="Palatino Linotype"/>
          <w:i/>
          <w:iCs/>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4EF14649" w14:textId="77777777" w:rsidR="00DE75A3" w:rsidRPr="00A16850" w:rsidRDefault="00DE75A3">
      <w:pPr>
        <w:jc w:val="both"/>
        <w:rPr>
          <w:rFonts w:ascii="Palatino Linotype" w:eastAsia="Palatino Linotype" w:hAnsi="Palatino Linotype" w:cs="Palatino Linotype"/>
          <w:sz w:val="22"/>
          <w:szCs w:val="22"/>
        </w:rPr>
      </w:pPr>
    </w:p>
    <w:p w14:paraId="192250A3"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547C4931"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3F10BDAF" w14:textId="77777777" w:rsidR="00DE75A3" w:rsidRPr="00A16850" w:rsidRDefault="002724D5">
      <w:pPr>
        <w:shd w:val="clear" w:color="auto" w:fill="FFFFFF"/>
        <w:spacing w:line="360" w:lineRule="auto"/>
        <w:ind w:right="51"/>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w:t>
      </w:r>
    </w:p>
    <w:p w14:paraId="0049B719"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701E95D"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En mérito de lo expuesto en líneas anteriores resultan fundadas las razones o motivos de inconformidad que arguye la parte</w:t>
      </w:r>
      <w:r w:rsidRPr="00A16850">
        <w:rPr>
          <w:rFonts w:ascii="Palatino Linotype" w:eastAsia="Palatino Linotype" w:hAnsi="Palatino Linotype" w:cs="Palatino Linotype"/>
          <w:b/>
          <w:bCs/>
          <w:sz w:val="22"/>
          <w:szCs w:val="22"/>
        </w:rPr>
        <w:t xml:space="preserve"> Recurrente</w:t>
      </w:r>
      <w:r w:rsidRPr="00A16850">
        <w:rPr>
          <w:rFonts w:ascii="Palatino Linotype" w:eastAsia="Palatino Linotype" w:hAnsi="Palatino Linotype" w:cs="Palatino Linotype"/>
          <w:sz w:val="22"/>
          <w:szCs w:val="22"/>
        </w:rPr>
        <w:t xml:space="preserve">, por ello con fundamento en el artículo 124 fracción III de la Ley de Transparencia y Acceso a la Información Pública del Estado de México y Municipios, este Instituto </w:t>
      </w:r>
      <w:r w:rsidRPr="00A16850">
        <w:rPr>
          <w:rFonts w:ascii="Palatino Linotype" w:eastAsia="Palatino Linotype" w:hAnsi="Palatino Linotype" w:cs="Palatino Linotype"/>
          <w:b/>
          <w:bCs/>
          <w:sz w:val="22"/>
          <w:szCs w:val="22"/>
        </w:rPr>
        <w:t>Revoca</w:t>
      </w:r>
      <w:r w:rsidRPr="00A16850">
        <w:rPr>
          <w:rFonts w:ascii="Palatino Linotype" w:eastAsia="Palatino Linotype" w:hAnsi="Palatino Linotype" w:cs="Palatino Linotype"/>
          <w:sz w:val="22"/>
          <w:szCs w:val="22"/>
        </w:rPr>
        <w:t xml:space="preserve"> la respuesta a la solicitud de información pública </w:t>
      </w:r>
      <w:r w:rsidRPr="00A16850">
        <w:rPr>
          <w:rFonts w:ascii="Palatino Linotype" w:eastAsia="Palatino Linotype" w:hAnsi="Palatino Linotype" w:cs="Palatino Linotype"/>
          <w:b/>
          <w:bCs/>
          <w:sz w:val="22"/>
          <w:szCs w:val="22"/>
        </w:rPr>
        <w:t>00904/ECATEPEC/IP/2025</w:t>
      </w:r>
      <w:r w:rsidRPr="00A16850">
        <w:rPr>
          <w:rFonts w:ascii="Palatino Linotype" w:eastAsia="Palatino Linotype" w:hAnsi="Palatino Linotype" w:cs="Palatino Linotype"/>
          <w:sz w:val="22"/>
          <w:szCs w:val="22"/>
        </w:rPr>
        <w:t>,</w:t>
      </w:r>
      <w:r w:rsidRPr="00A16850">
        <w:rPr>
          <w:rFonts w:ascii="Palatino Linotype" w:eastAsia="Palatino Linotype" w:hAnsi="Palatino Linotype" w:cs="Palatino Linotype"/>
          <w:b/>
          <w:bCs/>
          <w:sz w:val="22"/>
          <w:szCs w:val="22"/>
        </w:rPr>
        <w:t xml:space="preserve"> </w:t>
      </w:r>
      <w:r w:rsidRPr="00A16850">
        <w:rPr>
          <w:rFonts w:ascii="Palatino Linotype" w:eastAsia="Palatino Linotype" w:hAnsi="Palatino Linotype" w:cs="Palatino Linotype"/>
          <w:sz w:val="22"/>
          <w:szCs w:val="22"/>
        </w:rPr>
        <w:t>que ha sido materia del presente fallo.</w:t>
      </w:r>
    </w:p>
    <w:p w14:paraId="0F625FDE"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4C0489A9"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14:paraId="6521F335"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627C17C9" w14:textId="77777777" w:rsidR="00DE75A3" w:rsidRPr="00A16850" w:rsidRDefault="002724D5">
      <w:pPr>
        <w:spacing w:line="360" w:lineRule="auto"/>
        <w:jc w:val="center"/>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R E S U E L V E:</w:t>
      </w:r>
    </w:p>
    <w:p w14:paraId="4DA96A90" w14:textId="77777777" w:rsidR="00DE75A3" w:rsidRPr="00A16850" w:rsidRDefault="00DE75A3">
      <w:pPr>
        <w:spacing w:line="360" w:lineRule="auto"/>
        <w:jc w:val="center"/>
        <w:rPr>
          <w:rFonts w:ascii="Palatino Linotype" w:eastAsia="Palatino Linotype" w:hAnsi="Palatino Linotype" w:cs="Palatino Linotype"/>
          <w:b/>
          <w:bCs/>
          <w:sz w:val="22"/>
          <w:szCs w:val="22"/>
        </w:rPr>
      </w:pPr>
    </w:p>
    <w:p w14:paraId="7769E968" w14:textId="77777777" w:rsidR="00DE75A3" w:rsidRPr="00A16850" w:rsidRDefault="002724D5">
      <w:pPr>
        <w:spacing w:line="360" w:lineRule="auto"/>
        <w:jc w:val="both"/>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 xml:space="preserve">Primero. </w:t>
      </w:r>
      <w:r w:rsidRPr="00A16850">
        <w:rPr>
          <w:rFonts w:ascii="Palatino Linotype" w:eastAsia="Palatino Linotype" w:hAnsi="Palatino Linotype" w:cs="Palatino Linotype"/>
          <w:sz w:val="22"/>
          <w:szCs w:val="22"/>
        </w:rPr>
        <w:t xml:space="preserve">Resultan </w:t>
      </w:r>
      <w:r w:rsidRPr="00A16850">
        <w:rPr>
          <w:rFonts w:ascii="Palatino Linotype" w:eastAsia="Palatino Linotype" w:hAnsi="Palatino Linotype" w:cs="Palatino Linotype"/>
          <w:b/>
          <w:bCs/>
          <w:sz w:val="22"/>
          <w:szCs w:val="22"/>
        </w:rPr>
        <w:t>fundadas</w:t>
      </w:r>
      <w:r w:rsidRPr="00A16850">
        <w:rPr>
          <w:rFonts w:ascii="Palatino Linotype" w:eastAsia="Palatino Linotype" w:hAnsi="Palatino Linotype" w:cs="Palatino Linotype"/>
          <w:sz w:val="22"/>
          <w:szCs w:val="22"/>
        </w:rPr>
        <w:t xml:space="preserve"> las razones o motivos de inconformidad hechos valer por la parte</w:t>
      </w:r>
      <w:r w:rsidRPr="00A16850">
        <w:rPr>
          <w:rFonts w:ascii="Palatino Linotype" w:eastAsia="Palatino Linotype" w:hAnsi="Palatino Linotype" w:cs="Palatino Linotype"/>
          <w:b/>
          <w:bCs/>
          <w:sz w:val="22"/>
          <w:szCs w:val="22"/>
        </w:rPr>
        <w:t xml:space="preserve"> Recurrente</w:t>
      </w:r>
      <w:r w:rsidRPr="00A16850">
        <w:rPr>
          <w:rFonts w:ascii="Palatino Linotype" w:eastAsia="Palatino Linotype" w:hAnsi="Palatino Linotype" w:cs="Palatino Linotype"/>
          <w:sz w:val="22"/>
          <w:szCs w:val="22"/>
        </w:rPr>
        <w:t xml:space="preserve"> en el recurso de revisión </w:t>
      </w:r>
      <w:r w:rsidRPr="00A16850">
        <w:rPr>
          <w:rFonts w:ascii="Palatino Linotype" w:eastAsia="Palatino Linotype" w:hAnsi="Palatino Linotype" w:cs="Palatino Linotype"/>
          <w:b/>
          <w:bCs/>
          <w:sz w:val="22"/>
          <w:szCs w:val="22"/>
        </w:rPr>
        <w:t>14124/INFOEM/IP/RR/2025</w:t>
      </w:r>
      <w:r w:rsidRPr="00A16850">
        <w:rPr>
          <w:rFonts w:ascii="Palatino Linotype" w:eastAsia="Palatino Linotype" w:hAnsi="Palatino Linotype" w:cs="Palatino Linotype"/>
          <w:sz w:val="22"/>
          <w:szCs w:val="22"/>
        </w:rPr>
        <w:t xml:space="preserve">; por lo que, en términos del </w:t>
      </w:r>
      <w:r w:rsidRPr="00A16850">
        <w:rPr>
          <w:rFonts w:ascii="Palatino Linotype" w:eastAsia="Palatino Linotype" w:hAnsi="Palatino Linotype" w:cs="Palatino Linotype"/>
          <w:b/>
          <w:bCs/>
          <w:sz w:val="22"/>
          <w:szCs w:val="22"/>
        </w:rPr>
        <w:t>Considerando</w:t>
      </w:r>
      <w:r w:rsidRPr="00A16850">
        <w:rPr>
          <w:rFonts w:ascii="Palatino Linotype" w:eastAsia="Palatino Linotype" w:hAnsi="Palatino Linotype" w:cs="Palatino Linotype"/>
          <w:sz w:val="22"/>
          <w:szCs w:val="22"/>
        </w:rPr>
        <w:t xml:space="preserve"> </w:t>
      </w:r>
      <w:r w:rsidRPr="00A16850">
        <w:rPr>
          <w:rFonts w:ascii="Palatino Linotype" w:eastAsia="Palatino Linotype" w:hAnsi="Palatino Linotype" w:cs="Palatino Linotype"/>
          <w:b/>
          <w:bCs/>
          <w:sz w:val="22"/>
          <w:szCs w:val="22"/>
        </w:rPr>
        <w:t xml:space="preserve">Cuarto </w:t>
      </w:r>
      <w:r w:rsidRPr="00A16850">
        <w:rPr>
          <w:rFonts w:ascii="Palatino Linotype" w:eastAsia="Palatino Linotype" w:hAnsi="Palatino Linotype" w:cs="Palatino Linotype"/>
          <w:sz w:val="22"/>
          <w:szCs w:val="22"/>
        </w:rPr>
        <w:t xml:space="preserve">de esta resolución, se </w:t>
      </w:r>
      <w:r w:rsidRPr="00A16850">
        <w:rPr>
          <w:rFonts w:ascii="Palatino Linotype" w:eastAsia="Palatino Linotype" w:hAnsi="Palatino Linotype" w:cs="Palatino Linotype"/>
          <w:b/>
          <w:bCs/>
          <w:sz w:val="22"/>
          <w:szCs w:val="22"/>
        </w:rPr>
        <w:t xml:space="preserve">Revoca </w:t>
      </w:r>
      <w:r w:rsidRPr="00A16850">
        <w:rPr>
          <w:rFonts w:ascii="Palatino Linotype" w:eastAsia="Palatino Linotype" w:hAnsi="Palatino Linotype" w:cs="Palatino Linotype"/>
          <w:sz w:val="22"/>
          <w:szCs w:val="22"/>
        </w:rPr>
        <w:t xml:space="preserve">la respuesta emitida por el </w:t>
      </w:r>
      <w:r w:rsidRPr="00A16850">
        <w:rPr>
          <w:rFonts w:ascii="Palatino Linotype" w:eastAsia="Palatino Linotype" w:hAnsi="Palatino Linotype" w:cs="Palatino Linotype"/>
          <w:b/>
          <w:bCs/>
          <w:sz w:val="22"/>
          <w:szCs w:val="22"/>
        </w:rPr>
        <w:t>Sujeto Obligado.</w:t>
      </w:r>
    </w:p>
    <w:p w14:paraId="352C257B"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79A6AC55" w14:textId="77777777" w:rsidR="00DE75A3" w:rsidRPr="00A16850" w:rsidRDefault="002724D5">
      <w:pPr>
        <w:spacing w:line="360" w:lineRule="auto"/>
        <w:jc w:val="both"/>
        <w:rPr>
          <w:rFonts w:ascii="Palatino Linotype" w:eastAsia="Palatino Linotype" w:hAnsi="Palatino Linotype" w:cs="Palatino Linotype"/>
          <w:sz w:val="22"/>
          <w:szCs w:val="22"/>
        </w:rPr>
      </w:pPr>
      <w:bookmarkStart w:id="9" w:name="_heading=h.1fob9te" w:colFirst="0" w:colLast="0"/>
      <w:bookmarkEnd w:id="9"/>
      <w:r w:rsidRPr="00A16850">
        <w:rPr>
          <w:rFonts w:ascii="Palatino Linotype" w:eastAsia="Palatino Linotype" w:hAnsi="Palatino Linotype" w:cs="Palatino Linotype"/>
          <w:b/>
          <w:bCs/>
          <w:sz w:val="22"/>
          <w:szCs w:val="22"/>
        </w:rPr>
        <w:t xml:space="preserve">Segundo. </w:t>
      </w:r>
      <w:r w:rsidRPr="00A16850">
        <w:rPr>
          <w:rFonts w:ascii="Palatino Linotype" w:eastAsia="Palatino Linotype" w:hAnsi="Palatino Linotype" w:cs="Palatino Linotype"/>
          <w:sz w:val="22"/>
          <w:szCs w:val="22"/>
        </w:rPr>
        <w:t xml:space="preserve">Se </w:t>
      </w:r>
      <w:r w:rsidRPr="00A16850">
        <w:rPr>
          <w:rFonts w:ascii="Palatino Linotype" w:eastAsia="Palatino Linotype" w:hAnsi="Palatino Linotype" w:cs="Palatino Linotype"/>
          <w:b/>
          <w:bCs/>
          <w:sz w:val="22"/>
          <w:szCs w:val="22"/>
        </w:rPr>
        <w:t xml:space="preserve">ordena </w:t>
      </w:r>
      <w:r w:rsidRPr="00A16850">
        <w:rPr>
          <w:rFonts w:ascii="Palatino Linotype" w:eastAsia="Palatino Linotype" w:hAnsi="Palatino Linotype" w:cs="Palatino Linotype"/>
          <w:sz w:val="22"/>
          <w:szCs w:val="22"/>
        </w:rPr>
        <w:t xml:space="preserve">al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xml:space="preserve"> entregue a</w:t>
      </w:r>
      <w:r w:rsidRPr="00A16850">
        <w:rPr>
          <w:rFonts w:ascii="Palatino Linotype" w:eastAsia="Palatino Linotype" w:hAnsi="Palatino Linotype" w:cs="Palatino Linotype"/>
          <w:b/>
          <w:bCs/>
          <w:sz w:val="22"/>
          <w:szCs w:val="22"/>
        </w:rPr>
        <w:t xml:space="preserve"> </w:t>
      </w:r>
      <w:r w:rsidRPr="00A16850">
        <w:rPr>
          <w:rFonts w:ascii="Palatino Linotype" w:eastAsia="Palatino Linotype" w:hAnsi="Palatino Linotype" w:cs="Palatino Linotype"/>
          <w:sz w:val="22"/>
          <w:szCs w:val="22"/>
        </w:rPr>
        <w:t xml:space="preserve">la parte </w:t>
      </w:r>
      <w:r w:rsidRPr="00A16850">
        <w:rPr>
          <w:rFonts w:ascii="Palatino Linotype" w:eastAsia="Palatino Linotype" w:hAnsi="Palatino Linotype" w:cs="Palatino Linotype"/>
          <w:b/>
          <w:bCs/>
          <w:sz w:val="22"/>
          <w:szCs w:val="22"/>
        </w:rPr>
        <w:t>Recurrente</w:t>
      </w:r>
      <w:r w:rsidRPr="00A16850">
        <w:rPr>
          <w:rFonts w:ascii="Palatino Linotype" w:eastAsia="Palatino Linotype" w:hAnsi="Palatino Linotype" w:cs="Palatino Linotype"/>
          <w:sz w:val="22"/>
          <w:szCs w:val="22"/>
        </w:rPr>
        <w:t>, vía</w:t>
      </w:r>
      <w:r w:rsidRPr="00A16850">
        <w:rPr>
          <w:rFonts w:ascii="Palatino Linotype" w:eastAsia="Palatino Linotype" w:hAnsi="Palatino Linotype" w:cs="Palatino Linotype"/>
          <w:b/>
          <w:bCs/>
          <w:sz w:val="22"/>
          <w:szCs w:val="22"/>
        </w:rPr>
        <w:t xml:space="preserve"> SAIMEX, </w:t>
      </w:r>
      <w:r w:rsidRPr="00A16850">
        <w:rPr>
          <w:rFonts w:ascii="Palatino Linotype" w:eastAsia="Palatino Linotype" w:hAnsi="Palatino Linotype" w:cs="Palatino Linotype"/>
          <w:sz w:val="22"/>
          <w:szCs w:val="22"/>
        </w:rPr>
        <w:t>en términos de</w:t>
      </w:r>
      <w:r w:rsidRPr="00A16850">
        <w:rPr>
          <w:rFonts w:ascii="Palatino Linotype" w:eastAsia="Palatino Linotype" w:hAnsi="Palatino Linotype" w:cs="Palatino Linotype"/>
          <w:b/>
          <w:bCs/>
          <w:sz w:val="22"/>
          <w:szCs w:val="22"/>
        </w:rPr>
        <w:t>l Considerando</w:t>
      </w:r>
      <w:r w:rsidRPr="00A16850">
        <w:rPr>
          <w:rFonts w:ascii="Palatino Linotype" w:eastAsia="Palatino Linotype" w:hAnsi="Palatino Linotype" w:cs="Palatino Linotype"/>
          <w:sz w:val="22"/>
          <w:szCs w:val="22"/>
        </w:rPr>
        <w:t xml:space="preserve"> </w:t>
      </w:r>
      <w:r w:rsidRPr="00A16850">
        <w:rPr>
          <w:rFonts w:ascii="Palatino Linotype" w:eastAsia="Palatino Linotype" w:hAnsi="Palatino Linotype" w:cs="Palatino Linotype"/>
          <w:b/>
          <w:bCs/>
          <w:sz w:val="22"/>
          <w:szCs w:val="22"/>
        </w:rPr>
        <w:t>Cuarto y Quinto</w:t>
      </w:r>
      <w:r w:rsidRPr="00A16850">
        <w:rPr>
          <w:rFonts w:ascii="Palatino Linotype" w:eastAsia="Palatino Linotype" w:hAnsi="Palatino Linotype" w:cs="Palatino Linotype"/>
          <w:sz w:val="22"/>
          <w:szCs w:val="22"/>
        </w:rPr>
        <w:t>, de ser procedente en versión pública, de lo siguiente:</w:t>
      </w:r>
    </w:p>
    <w:p w14:paraId="0A2E321E" w14:textId="77777777" w:rsidR="00DE75A3" w:rsidRPr="00A16850" w:rsidRDefault="00DE75A3">
      <w:pPr>
        <w:spacing w:line="360" w:lineRule="auto"/>
        <w:jc w:val="both"/>
        <w:rPr>
          <w:rFonts w:ascii="Palatino Linotype" w:eastAsia="Palatino Linotype" w:hAnsi="Palatino Linotype" w:cs="Palatino Linotype"/>
          <w:i/>
          <w:iCs/>
          <w:sz w:val="22"/>
          <w:szCs w:val="22"/>
        </w:rPr>
      </w:pPr>
    </w:p>
    <w:p w14:paraId="2945587B" w14:textId="733C8808" w:rsidR="00DE75A3" w:rsidRPr="00A16850" w:rsidRDefault="002724D5">
      <w:pPr>
        <w:numPr>
          <w:ilvl w:val="0"/>
          <w:numId w:val="5"/>
        </w:numPr>
        <w:pBdr>
          <w:top w:val="nil"/>
          <w:left w:val="nil"/>
          <w:bottom w:val="nil"/>
          <w:right w:val="nil"/>
          <w:between w:val="nil"/>
        </w:pBdr>
        <w:spacing w:line="360" w:lineRule="auto"/>
        <w:ind w:left="851" w:right="616" w:firstLine="0"/>
        <w:rPr>
          <w:rFonts w:ascii="Palatino Linotype" w:eastAsia="Palatino Linotype" w:hAnsi="Palatino Linotype" w:cs="Palatino Linotype"/>
          <w:b/>
          <w:bCs/>
          <w:sz w:val="22"/>
          <w:szCs w:val="22"/>
        </w:rPr>
      </w:pPr>
      <w:r w:rsidRPr="00A16850">
        <w:rPr>
          <w:rFonts w:ascii="Palatino Linotype" w:eastAsia="Palatino Linotype" w:hAnsi="Palatino Linotype" w:cs="Palatino Linotype"/>
          <w:b/>
          <w:bCs/>
          <w:sz w:val="22"/>
          <w:szCs w:val="22"/>
        </w:rPr>
        <w:t>Facturas pagadas y en proceso de pago, por monto</w:t>
      </w:r>
      <w:r w:rsidR="009755E9" w:rsidRPr="00A16850">
        <w:rPr>
          <w:rFonts w:ascii="Palatino Linotype" w:eastAsia="Palatino Linotype" w:hAnsi="Palatino Linotype" w:cs="Palatino Linotype"/>
          <w:b/>
          <w:bCs/>
          <w:sz w:val="22"/>
          <w:szCs w:val="22"/>
        </w:rPr>
        <w:t>s</w:t>
      </w:r>
      <w:r w:rsidRPr="00A16850">
        <w:rPr>
          <w:rFonts w:ascii="Palatino Linotype" w:eastAsia="Palatino Linotype" w:hAnsi="Palatino Linotype" w:cs="Palatino Linotype"/>
          <w:b/>
          <w:bCs/>
          <w:sz w:val="22"/>
          <w:szCs w:val="22"/>
        </w:rPr>
        <w:t xml:space="preserve"> mayor</w:t>
      </w:r>
      <w:r w:rsidR="009755E9" w:rsidRPr="00A16850">
        <w:rPr>
          <w:rFonts w:ascii="Palatino Linotype" w:eastAsia="Palatino Linotype" w:hAnsi="Palatino Linotype" w:cs="Palatino Linotype"/>
          <w:b/>
          <w:bCs/>
          <w:sz w:val="22"/>
          <w:szCs w:val="22"/>
        </w:rPr>
        <w:t>es</w:t>
      </w:r>
      <w:r w:rsidRPr="00A16850">
        <w:rPr>
          <w:rFonts w:ascii="Palatino Linotype" w:eastAsia="Palatino Linotype" w:hAnsi="Palatino Linotype" w:cs="Palatino Linotype"/>
          <w:b/>
          <w:bCs/>
          <w:sz w:val="22"/>
          <w:szCs w:val="22"/>
        </w:rPr>
        <w:t xml:space="preserve"> a un millón de pesos, </w:t>
      </w:r>
      <w:r w:rsidR="009755E9" w:rsidRPr="00A16850">
        <w:rPr>
          <w:rFonts w:ascii="Palatino Linotype" w:eastAsia="Palatino Linotype" w:hAnsi="Palatino Linotype" w:cs="Palatino Linotype"/>
          <w:b/>
          <w:bCs/>
          <w:sz w:val="22"/>
          <w:szCs w:val="22"/>
        </w:rPr>
        <w:t xml:space="preserve">generadas </w:t>
      </w:r>
      <w:r w:rsidRPr="00A16850">
        <w:rPr>
          <w:rFonts w:ascii="Palatino Linotype" w:eastAsia="Palatino Linotype" w:hAnsi="Palatino Linotype" w:cs="Palatino Linotype"/>
          <w:b/>
          <w:bCs/>
          <w:sz w:val="22"/>
          <w:szCs w:val="22"/>
        </w:rPr>
        <w:t>del primero de enero al diez de noviembre de dos mil veinticinco.</w:t>
      </w:r>
    </w:p>
    <w:p w14:paraId="64602745" w14:textId="77777777" w:rsidR="00DE75A3" w:rsidRPr="00A16850" w:rsidRDefault="00DE75A3">
      <w:pPr>
        <w:spacing w:line="360" w:lineRule="auto"/>
        <w:ind w:left="851" w:right="616"/>
        <w:jc w:val="both"/>
        <w:rPr>
          <w:rFonts w:ascii="Palatino Linotype" w:eastAsia="Palatino Linotype" w:hAnsi="Palatino Linotype" w:cs="Palatino Linotype"/>
          <w:sz w:val="22"/>
          <w:szCs w:val="22"/>
        </w:rPr>
      </w:pPr>
    </w:p>
    <w:p w14:paraId="57CF71EF" w14:textId="77777777" w:rsidR="00DE75A3" w:rsidRPr="00A16850" w:rsidRDefault="002724D5">
      <w:pPr>
        <w:spacing w:line="276" w:lineRule="auto"/>
        <w:ind w:left="851" w:right="616"/>
        <w:jc w:val="both"/>
        <w:rPr>
          <w:rFonts w:ascii="Palatino Linotype" w:eastAsia="Palatino Linotype" w:hAnsi="Palatino Linotype" w:cs="Palatino Linotype"/>
          <w:i/>
          <w:iCs/>
          <w:sz w:val="22"/>
          <w:szCs w:val="22"/>
        </w:rPr>
      </w:pPr>
      <w:r w:rsidRPr="00A16850">
        <w:rPr>
          <w:rFonts w:ascii="Palatino Linotype" w:eastAsia="Palatino Linotype" w:hAnsi="Palatino Linotype" w:cs="Palatino Linotype"/>
          <w:i/>
          <w:iCs/>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A16850">
        <w:rPr>
          <w:rFonts w:ascii="Palatino Linotype" w:eastAsia="Palatino Linotype" w:hAnsi="Palatino Linotype" w:cs="Palatino Linotype"/>
          <w:b/>
          <w:bCs/>
          <w:i/>
          <w:iCs/>
          <w:sz w:val="22"/>
          <w:szCs w:val="22"/>
        </w:rPr>
        <w:t>Recurrente</w:t>
      </w:r>
      <w:r w:rsidRPr="00A16850">
        <w:rPr>
          <w:rFonts w:ascii="Palatino Linotype" w:eastAsia="Palatino Linotype" w:hAnsi="Palatino Linotype" w:cs="Palatino Linotype"/>
          <w:i/>
          <w:iCs/>
          <w:sz w:val="22"/>
          <w:szCs w:val="22"/>
        </w:rPr>
        <w:t>.</w:t>
      </w:r>
    </w:p>
    <w:p w14:paraId="4C52BEEE" w14:textId="77777777" w:rsidR="00DE75A3" w:rsidRPr="00A16850" w:rsidRDefault="00DE75A3">
      <w:pPr>
        <w:spacing w:line="360" w:lineRule="auto"/>
        <w:jc w:val="both"/>
        <w:rPr>
          <w:rFonts w:ascii="Palatino Linotype" w:eastAsia="Palatino Linotype" w:hAnsi="Palatino Linotype" w:cs="Palatino Linotype"/>
          <w:i/>
          <w:iCs/>
          <w:sz w:val="22"/>
          <w:szCs w:val="22"/>
        </w:rPr>
      </w:pPr>
    </w:p>
    <w:p w14:paraId="1D7399E3"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Tercero. Notifíquese </w:t>
      </w:r>
      <w:r w:rsidRPr="00A16850">
        <w:rPr>
          <w:rFonts w:ascii="Palatino Linotype" w:eastAsia="Palatino Linotype" w:hAnsi="Palatino Linotype" w:cs="Palatino Linotype"/>
          <w:sz w:val="22"/>
          <w:szCs w:val="22"/>
        </w:rPr>
        <w:t>vía</w:t>
      </w:r>
      <w:r w:rsidRPr="00A16850">
        <w:rPr>
          <w:rFonts w:ascii="Palatino Linotype" w:eastAsia="Palatino Linotype" w:hAnsi="Palatino Linotype" w:cs="Palatino Linotype"/>
          <w:b/>
          <w:bCs/>
          <w:sz w:val="22"/>
          <w:szCs w:val="22"/>
        </w:rPr>
        <w:t xml:space="preserve"> SAIMEX, </w:t>
      </w:r>
      <w:r w:rsidRPr="00A16850">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E362BE"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0C500598"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Cuarto. </w:t>
      </w:r>
      <w:r w:rsidRPr="00A16850">
        <w:rPr>
          <w:rFonts w:ascii="Palatino Linotype" w:eastAsia="Palatino Linotype" w:hAnsi="Palatino Linotype" w:cs="Palatino Linotype"/>
          <w:sz w:val="22"/>
          <w:szCs w:val="22"/>
        </w:rPr>
        <w:t xml:space="preserve">Notifíquese vía </w:t>
      </w:r>
      <w:r w:rsidRPr="00A16850">
        <w:rPr>
          <w:rFonts w:ascii="Palatino Linotype" w:eastAsia="Palatino Linotype" w:hAnsi="Palatino Linotype" w:cs="Palatino Linotype"/>
          <w:b/>
          <w:bCs/>
          <w:sz w:val="22"/>
          <w:szCs w:val="22"/>
        </w:rPr>
        <w:t>SAIMEX</w:t>
      </w:r>
      <w:r w:rsidRPr="00A16850">
        <w:rPr>
          <w:rFonts w:ascii="Palatino Linotype" w:eastAsia="Palatino Linotype" w:hAnsi="Palatino Linotype" w:cs="Palatino Linotype"/>
          <w:sz w:val="22"/>
          <w:szCs w:val="22"/>
        </w:rPr>
        <w:t xml:space="preserve">, al Titular de la Unidad de Transparencia del </w:t>
      </w:r>
      <w:r w:rsidRPr="00A16850">
        <w:rPr>
          <w:rFonts w:ascii="Palatino Linotype" w:eastAsia="Palatino Linotype" w:hAnsi="Palatino Linotype" w:cs="Palatino Linotype"/>
          <w:b/>
          <w:bCs/>
          <w:sz w:val="22"/>
          <w:szCs w:val="22"/>
        </w:rPr>
        <w:t>Sujeto Obligado</w:t>
      </w:r>
      <w:r w:rsidRPr="00A16850">
        <w:rPr>
          <w:rFonts w:ascii="Palatino Linotype" w:eastAsia="Palatino Linotype" w:hAnsi="Palatino Linotype" w:cs="Palatino Linotype"/>
          <w:sz w:val="22"/>
          <w:szCs w:val="22"/>
        </w:rPr>
        <w:t>,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4F3415A"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331F0F2F" w14:textId="77777777" w:rsidR="00DE75A3" w:rsidRPr="00A16850" w:rsidRDefault="002724D5">
      <w:pPr>
        <w:spacing w:line="360" w:lineRule="auto"/>
        <w:jc w:val="both"/>
        <w:rPr>
          <w:rFonts w:ascii="Palatino Linotype" w:eastAsia="Palatino Linotype" w:hAnsi="Palatino Linotype" w:cs="Palatino Linotype"/>
          <w:sz w:val="22"/>
          <w:szCs w:val="22"/>
        </w:rPr>
      </w:pPr>
      <w:r w:rsidRPr="00A16850">
        <w:rPr>
          <w:rFonts w:ascii="Palatino Linotype" w:eastAsia="Palatino Linotype" w:hAnsi="Palatino Linotype" w:cs="Palatino Linotype"/>
          <w:b/>
          <w:bCs/>
          <w:sz w:val="22"/>
          <w:szCs w:val="22"/>
        </w:rPr>
        <w:t xml:space="preserve">Quinto. Notifíquese, </w:t>
      </w:r>
      <w:r w:rsidRPr="00A16850">
        <w:rPr>
          <w:rFonts w:ascii="Palatino Linotype" w:eastAsia="Palatino Linotype" w:hAnsi="Palatino Linotype" w:cs="Palatino Linotype"/>
          <w:sz w:val="22"/>
          <w:szCs w:val="22"/>
        </w:rPr>
        <w:t xml:space="preserve">vía </w:t>
      </w:r>
      <w:r w:rsidRPr="00A16850">
        <w:rPr>
          <w:rFonts w:ascii="Palatino Linotype" w:eastAsia="Palatino Linotype" w:hAnsi="Palatino Linotype" w:cs="Palatino Linotype"/>
          <w:b/>
          <w:bCs/>
          <w:sz w:val="22"/>
          <w:szCs w:val="22"/>
        </w:rPr>
        <w:t>SAIMEX</w:t>
      </w:r>
      <w:r w:rsidRPr="00A16850">
        <w:rPr>
          <w:rFonts w:ascii="Palatino Linotype" w:eastAsia="Palatino Linotype" w:hAnsi="Palatino Linotype" w:cs="Palatino Linotype"/>
          <w:sz w:val="22"/>
          <w:szCs w:val="22"/>
        </w:rPr>
        <w:t>, a la parte</w:t>
      </w:r>
      <w:r w:rsidRPr="00A16850">
        <w:rPr>
          <w:rFonts w:ascii="Palatino Linotype" w:eastAsia="Palatino Linotype" w:hAnsi="Palatino Linotype" w:cs="Palatino Linotype"/>
          <w:b/>
          <w:bCs/>
          <w:sz w:val="22"/>
          <w:szCs w:val="22"/>
        </w:rPr>
        <w:t xml:space="preserve"> Recurrente</w:t>
      </w:r>
      <w:r w:rsidRPr="00A16850">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99650B8" w14:textId="77777777" w:rsidR="00DE75A3" w:rsidRPr="00A16850" w:rsidRDefault="00DE75A3">
      <w:pPr>
        <w:spacing w:line="360" w:lineRule="auto"/>
        <w:jc w:val="both"/>
        <w:rPr>
          <w:rFonts w:ascii="Palatino Linotype" w:eastAsia="Palatino Linotype" w:hAnsi="Palatino Linotype" w:cs="Palatino Linotype"/>
          <w:sz w:val="22"/>
          <w:szCs w:val="22"/>
        </w:rPr>
      </w:pPr>
    </w:p>
    <w:p w14:paraId="26A38A19" w14:textId="77777777" w:rsidR="00DE75A3" w:rsidRPr="004C16EC" w:rsidRDefault="002724D5">
      <w:pPr>
        <w:spacing w:line="360" w:lineRule="auto"/>
        <w:jc w:val="both"/>
        <w:rPr>
          <w:rFonts w:ascii="Palatino Linotype" w:eastAsia="Palatino Linotype" w:hAnsi="Palatino Linotype" w:cs="Palatino Linotype"/>
          <w:sz w:val="22"/>
          <w:szCs w:val="22"/>
        </w:rPr>
      </w:pPr>
      <w:bookmarkStart w:id="10" w:name="_heading=h.lnxbz9" w:colFirst="0" w:colLast="0"/>
      <w:bookmarkEnd w:id="10"/>
      <w:r w:rsidRPr="00A1685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6AF5A018" w14:textId="77777777" w:rsidR="00DE75A3" w:rsidRPr="004C16EC" w:rsidRDefault="00DE75A3">
      <w:pPr>
        <w:rPr>
          <w:rFonts w:ascii="Palatino Linotype" w:eastAsia="Palatino Linotype" w:hAnsi="Palatino Linotype" w:cs="Palatino Linotype"/>
          <w:sz w:val="22"/>
          <w:szCs w:val="22"/>
        </w:rPr>
      </w:pPr>
    </w:p>
    <w:p w14:paraId="6C0BAFB4" w14:textId="77777777" w:rsidR="00DE75A3" w:rsidRPr="004C16EC" w:rsidRDefault="00DE75A3">
      <w:pPr>
        <w:rPr>
          <w:rFonts w:ascii="Palatino Linotype" w:eastAsia="Palatino Linotype" w:hAnsi="Palatino Linotype" w:cs="Palatino Linotype"/>
          <w:sz w:val="22"/>
          <w:szCs w:val="22"/>
        </w:rPr>
      </w:pPr>
    </w:p>
    <w:p w14:paraId="17607751" w14:textId="77777777" w:rsidR="00DE75A3" w:rsidRPr="004C16EC" w:rsidRDefault="00DE75A3">
      <w:pPr>
        <w:rPr>
          <w:rFonts w:ascii="Palatino Linotype" w:eastAsia="Palatino Linotype" w:hAnsi="Palatino Linotype" w:cs="Palatino Linotype"/>
          <w:sz w:val="22"/>
          <w:szCs w:val="22"/>
        </w:rPr>
      </w:pPr>
    </w:p>
    <w:p w14:paraId="6ACE19B1" w14:textId="77777777" w:rsidR="00DE75A3" w:rsidRPr="004C16EC" w:rsidRDefault="00DE75A3">
      <w:pPr>
        <w:rPr>
          <w:rFonts w:ascii="Palatino Linotype" w:eastAsia="Palatino Linotype" w:hAnsi="Palatino Linotype" w:cs="Palatino Linotype"/>
          <w:sz w:val="22"/>
          <w:szCs w:val="22"/>
        </w:rPr>
      </w:pPr>
    </w:p>
    <w:p w14:paraId="7FBC8F23" w14:textId="77777777" w:rsidR="00DE75A3" w:rsidRPr="004C16EC" w:rsidRDefault="00DE75A3">
      <w:pPr>
        <w:rPr>
          <w:rFonts w:ascii="Palatino Linotype" w:eastAsia="Palatino Linotype" w:hAnsi="Palatino Linotype" w:cs="Palatino Linotype"/>
          <w:sz w:val="22"/>
          <w:szCs w:val="22"/>
        </w:rPr>
      </w:pPr>
    </w:p>
    <w:p w14:paraId="7FCC2B05" w14:textId="77777777" w:rsidR="00DE75A3" w:rsidRPr="004C16EC" w:rsidRDefault="00DE75A3">
      <w:pPr>
        <w:rPr>
          <w:rFonts w:ascii="Palatino Linotype" w:eastAsia="Palatino Linotype" w:hAnsi="Palatino Linotype" w:cs="Palatino Linotype"/>
          <w:sz w:val="22"/>
          <w:szCs w:val="22"/>
        </w:rPr>
      </w:pPr>
    </w:p>
    <w:p w14:paraId="569B6204" w14:textId="77777777" w:rsidR="00DE75A3" w:rsidRPr="004C16EC" w:rsidRDefault="00DE75A3">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220C0F64"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43B7444C"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68C3F0B2" w14:textId="77777777" w:rsidR="00DE75A3" w:rsidRPr="004C16EC" w:rsidRDefault="00DE75A3">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3FF5DBBE"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55FBE442"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3B70A8D2"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6C0948E4"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3B3E5368"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61128AEE"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1F68B79C"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0F58ABC6"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57C28513"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5C7801F1" w14:textId="77777777" w:rsidR="00DE75A3" w:rsidRPr="004C16EC" w:rsidRDefault="00DE75A3">
      <w:pPr>
        <w:spacing w:line="360" w:lineRule="auto"/>
        <w:jc w:val="both"/>
        <w:rPr>
          <w:rFonts w:ascii="Palatino Linotype" w:eastAsia="Palatino Linotype" w:hAnsi="Palatino Linotype" w:cs="Palatino Linotype"/>
          <w:sz w:val="22"/>
          <w:szCs w:val="22"/>
        </w:rPr>
      </w:pPr>
    </w:p>
    <w:p w14:paraId="02EF64CE" w14:textId="77777777" w:rsidR="00DE75A3" w:rsidRPr="004C16EC" w:rsidRDefault="00DE75A3">
      <w:pPr>
        <w:spacing w:line="360" w:lineRule="auto"/>
        <w:jc w:val="both"/>
        <w:rPr>
          <w:rFonts w:ascii="Palatino Linotype" w:eastAsia="Palatino Linotype" w:hAnsi="Palatino Linotype" w:cs="Palatino Linotype"/>
          <w:sz w:val="22"/>
          <w:szCs w:val="22"/>
        </w:rPr>
      </w:pPr>
    </w:p>
    <w:sectPr w:rsidR="00DE75A3" w:rsidRPr="004C16EC">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1945D" w14:textId="77777777" w:rsidR="00343F7F" w:rsidRDefault="00343F7F">
      <w:r>
        <w:separator/>
      </w:r>
    </w:p>
  </w:endnote>
  <w:endnote w:type="continuationSeparator" w:id="0">
    <w:p w14:paraId="2A7D3AC4" w14:textId="77777777" w:rsidR="00343F7F" w:rsidRDefault="0034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BFF29BC-0061-4FE2-AD1A-2EF9307583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1C3B27-6EA6-47BD-A99C-4DA68E994B06}"/>
    <w:embedBold r:id="rId3" w:fontKey="{39130620-7DBE-4FDF-B1F2-2D121BF11894}"/>
  </w:font>
  <w:font w:name="Cambria">
    <w:panose1 w:val="02040503050406030204"/>
    <w:charset w:val="00"/>
    <w:family w:val="roman"/>
    <w:pitch w:val="variable"/>
    <w:sig w:usb0="E00006FF" w:usb1="420024FF" w:usb2="02000000" w:usb3="00000000" w:csb0="0000019F" w:csb1="00000000"/>
    <w:embedRegular r:id="rId4" w:fontKey="{CB48527F-E92D-486E-BBAB-1E49F87B7B40}"/>
    <w:embedBold r:id="rId5" w:fontKey="{4C152B19-0F7B-440B-9254-A57257949E65}"/>
    <w:embedItalic r:id="rId6" w:fontKey="{27CD851A-3370-4BB6-A73D-8E5EDCC6497D}"/>
    <w:embedBoldItalic r:id="rId7" w:fontKey="{93ACA69B-71C4-4CBD-9318-FD83D647C1ED}"/>
  </w:font>
  <w:font w:name="Lucida Grande">
    <w:altName w:val="Times New Roman"/>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embedRegular r:id="rId8" w:fontKey="{C60F667A-19A6-4BE2-B4C5-D4D01A318F6B}"/>
  </w:font>
  <w:font w:name="Myriad Pro">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9" w:fontKey="{9BCDA0C0-9925-4E8B-89A3-86824FE92A4C}"/>
  </w:font>
  <w:font w:name="Palatino Linotype">
    <w:panose1 w:val="02040502050505030304"/>
    <w:charset w:val="00"/>
    <w:family w:val="roman"/>
    <w:pitch w:val="variable"/>
    <w:sig w:usb0="E0000287" w:usb1="40000013" w:usb2="00000000" w:usb3="00000000" w:csb0="0000019F" w:csb1="00000000"/>
    <w:embedRegular r:id="rId10" w:fontKey="{FC810946-B448-45C4-8CA3-4D2291211546}"/>
    <w:embedBold r:id="rId11" w:fontKey="{EF22C38F-6B74-48D2-9C68-A510511AB350}"/>
    <w:embedItalic r:id="rId12" w:fontKey="{1BAF8AEE-7ACC-4492-B841-4BB5CC2A504C}"/>
    <w:embedBoldItalic r:id="rId13" w:fontKey="{AAB0F6D4-11AE-4746-87D4-71CEC583A2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2EAEE" w14:textId="4AFB14AC" w:rsidR="00DE75A3" w:rsidRDefault="002724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9B0199">
      <w:rPr>
        <w:rFonts w:ascii="Palatino Linotype" w:eastAsia="Palatino Linotype" w:hAnsi="Palatino Linotype" w:cs="Palatino Linotype"/>
        <w:b/>
        <w:bCs/>
        <w:noProof/>
        <w:color w:val="000000"/>
        <w:sz w:val="20"/>
        <w:szCs w:val="20"/>
      </w:rPr>
      <w:t>11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9B0199">
      <w:rPr>
        <w:rFonts w:ascii="Palatino Linotype" w:eastAsia="Palatino Linotype" w:hAnsi="Palatino Linotype" w:cs="Palatino Linotype"/>
        <w:b/>
        <w:bCs/>
        <w:noProof/>
        <w:color w:val="000000"/>
        <w:sz w:val="20"/>
        <w:szCs w:val="20"/>
      </w:rPr>
      <w:t>52</w:t>
    </w:r>
    <w:r>
      <w:rPr>
        <w:rFonts w:ascii="Palatino Linotype" w:eastAsia="Palatino Linotype" w:hAnsi="Palatino Linotype" w:cs="Palatino Linotype"/>
        <w:b/>
        <w:bCs/>
        <w:color w:val="000000"/>
        <w:sz w:val="20"/>
        <w:szCs w:val="20"/>
      </w:rPr>
      <w:fldChar w:fldCharType="end"/>
    </w:r>
  </w:p>
  <w:p w14:paraId="22EB7A50" w14:textId="77777777" w:rsidR="00DE75A3" w:rsidRDefault="00DE75A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B7E6C" w14:textId="0059F01C" w:rsidR="00DE75A3" w:rsidRDefault="002724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9B019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9B0199">
      <w:rPr>
        <w:rFonts w:ascii="Palatino Linotype" w:eastAsia="Palatino Linotype" w:hAnsi="Palatino Linotype" w:cs="Palatino Linotype"/>
        <w:b/>
        <w:bCs/>
        <w:noProof/>
        <w:color w:val="000000"/>
        <w:sz w:val="20"/>
        <w:szCs w:val="20"/>
      </w:rPr>
      <w:t>52</w:t>
    </w:r>
    <w:r>
      <w:rPr>
        <w:rFonts w:ascii="Palatino Linotype" w:eastAsia="Palatino Linotype" w:hAnsi="Palatino Linotype" w:cs="Palatino Linotype"/>
        <w:b/>
        <w:bCs/>
        <w:color w:val="000000"/>
        <w:sz w:val="20"/>
        <w:szCs w:val="20"/>
      </w:rPr>
      <w:fldChar w:fldCharType="end"/>
    </w:r>
  </w:p>
  <w:p w14:paraId="01FDA797" w14:textId="77777777" w:rsidR="00DE75A3" w:rsidRDefault="00DE75A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56D6A" w14:textId="77777777" w:rsidR="00343F7F" w:rsidRDefault="00343F7F">
      <w:r>
        <w:separator/>
      </w:r>
    </w:p>
  </w:footnote>
  <w:footnote w:type="continuationSeparator" w:id="0">
    <w:p w14:paraId="2A2B03C7" w14:textId="77777777" w:rsidR="00343F7F" w:rsidRDefault="00343F7F">
      <w:r>
        <w:continuationSeparator/>
      </w:r>
    </w:p>
  </w:footnote>
  <w:footnote w:id="1">
    <w:p w14:paraId="5F6A0A02" w14:textId="77777777" w:rsidR="00DE75A3" w:rsidRDefault="002724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020EE0FF" w14:textId="77777777" w:rsidR="00DE75A3" w:rsidRDefault="009B0199">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2724D5">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2724D5">
        <w:rPr>
          <w:rFonts w:ascii="Palatino Linotype" w:eastAsia="Palatino Linotype" w:hAnsi="Palatino Linotype" w:cs="Palatino Linotype"/>
          <w:color w:val="000000"/>
          <w:sz w:val="16"/>
          <w:szCs w:val="16"/>
        </w:rPr>
        <w:t xml:space="preserve"> </w:t>
      </w:r>
    </w:p>
  </w:footnote>
  <w:footnote w:id="2">
    <w:p w14:paraId="0FDA4A31" w14:textId="77777777" w:rsidR="00DE75A3" w:rsidRDefault="002724D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b/>
          <w:bCs/>
          <w:color w:val="000000"/>
          <w:sz w:val="16"/>
          <w:szCs w:val="16"/>
        </w:rPr>
        <w:t xml:space="preserve"> Artículo 53</w:t>
      </w:r>
      <w:r>
        <w:rPr>
          <w:rFonts w:ascii="Palatino Linotype" w:eastAsia="Palatino Linotype" w:hAnsi="Palatino Linotype" w:cs="Palatino Linotype"/>
          <w:color w:val="000000"/>
          <w:sz w:val="16"/>
          <w:szCs w:val="16"/>
        </w:rPr>
        <w:t>. Las Unidades de Transparencia tendrán las siguientes funciones:</w:t>
      </w:r>
    </w:p>
    <w:p w14:paraId="445CEC14" w14:textId="77777777" w:rsidR="00DE75A3" w:rsidRDefault="002724D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3BD9A78A" w14:textId="77777777" w:rsidR="00DE75A3" w:rsidRDefault="002724D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27FD1EAB" w14:textId="77777777" w:rsidR="00DE75A3" w:rsidRDefault="002724D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162.</w:t>
      </w:r>
      <w:r>
        <w:rPr>
          <w:rFonts w:ascii="Palatino Linotype" w:eastAsia="Palatino Linotype" w:hAnsi="Palatino Linotype" w:cs="Palatino Linotype"/>
          <w:color w:val="000000"/>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2709" w14:textId="77777777" w:rsidR="00DE75A3" w:rsidRDefault="002724D5">
    <w:pPr>
      <w:rPr>
        <w:rFonts w:ascii="Cambria" w:eastAsia="Cambria" w:hAnsi="Cambria" w:cs="Cambria"/>
        <w:color w:val="000000"/>
      </w:rPr>
    </w:pPr>
    <w:r>
      <w:rPr>
        <w:noProof/>
      </w:rPr>
      <w:drawing>
        <wp:anchor distT="0" distB="0" distL="0" distR="0" simplePos="0" relativeHeight="251658240" behindDoc="1" locked="0" layoutInCell="1" hidden="0" allowOverlap="1" wp14:anchorId="70791B30" wp14:editId="7114FEEA">
          <wp:simplePos x="0" y="0"/>
          <wp:positionH relativeFrom="column">
            <wp:posOffset>-1080115</wp:posOffset>
          </wp:positionH>
          <wp:positionV relativeFrom="paragraph">
            <wp:posOffset>-488292</wp:posOffset>
          </wp:positionV>
          <wp:extent cx="7809865" cy="10165715"/>
          <wp:effectExtent l="0" t="0" r="0" b="0"/>
          <wp:wrapNone/>
          <wp:docPr id="21286493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489"/>
      <w:gridCol w:w="3464"/>
    </w:tblGrid>
    <w:tr w:rsidR="00DE75A3" w14:paraId="59223C32" w14:textId="77777777">
      <w:tc>
        <w:tcPr>
          <w:tcW w:w="2489" w:type="dxa"/>
        </w:tcPr>
        <w:p w14:paraId="2BD475DD" w14:textId="77777777" w:rsidR="00DE75A3" w:rsidRDefault="002724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0BA60DA" w14:textId="77777777" w:rsidR="00DE75A3" w:rsidRDefault="002724D5">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14124/INFOEM/IP/RR/2025</w:t>
          </w:r>
        </w:p>
      </w:tc>
    </w:tr>
    <w:tr w:rsidR="00DE75A3" w14:paraId="1FBC7E45" w14:textId="77777777">
      <w:trPr>
        <w:trHeight w:val="228"/>
      </w:trPr>
      <w:tc>
        <w:tcPr>
          <w:tcW w:w="2489" w:type="dxa"/>
          <w:vAlign w:val="center"/>
        </w:tcPr>
        <w:p w14:paraId="116C426D" w14:textId="77777777" w:rsidR="00DE75A3" w:rsidRDefault="002724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13D1788" w14:textId="77777777" w:rsidR="00DE75A3" w:rsidRDefault="002724D5">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Ecatepec de Morelos</w:t>
          </w:r>
        </w:p>
      </w:tc>
    </w:tr>
    <w:tr w:rsidR="00DE75A3" w14:paraId="767F5E17" w14:textId="77777777">
      <w:tc>
        <w:tcPr>
          <w:tcW w:w="2489" w:type="dxa"/>
          <w:vAlign w:val="center"/>
        </w:tcPr>
        <w:p w14:paraId="1D44E9F2" w14:textId="77777777" w:rsidR="00DE75A3" w:rsidRDefault="002724D5">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77CFB5D3" w14:textId="77777777" w:rsidR="00DE75A3" w:rsidRDefault="002724D5">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F49994F" w14:textId="77777777" w:rsidR="00DE75A3" w:rsidRDefault="002724D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A9D3" w14:textId="77777777" w:rsidR="00DE75A3" w:rsidRDefault="002724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D844839" wp14:editId="3EDB9FD4">
          <wp:simplePos x="0" y="0"/>
          <wp:positionH relativeFrom="page">
            <wp:align>left</wp:align>
          </wp:positionH>
          <wp:positionV relativeFrom="paragraph">
            <wp:posOffset>-262864</wp:posOffset>
          </wp:positionV>
          <wp:extent cx="7809865" cy="10165715"/>
          <wp:effectExtent l="0" t="0" r="635" b="6985"/>
          <wp:wrapNone/>
          <wp:docPr id="2128649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670" w:type="dxa"/>
      <w:tblInd w:w="3261" w:type="dxa"/>
      <w:tblLayout w:type="fixed"/>
      <w:tblLook w:val="0400" w:firstRow="0" w:lastRow="0" w:firstColumn="0" w:lastColumn="0" w:noHBand="0" w:noVBand="1"/>
    </w:tblPr>
    <w:tblGrid>
      <w:gridCol w:w="2551"/>
      <w:gridCol w:w="3119"/>
    </w:tblGrid>
    <w:tr w:rsidR="00DE75A3" w14:paraId="3D740542" w14:textId="77777777">
      <w:tc>
        <w:tcPr>
          <w:tcW w:w="2551" w:type="dxa"/>
          <w:vAlign w:val="center"/>
        </w:tcPr>
        <w:p w14:paraId="4377E2A9" w14:textId="77777777" w:rsidR="00DE75A3" w:rsidRDefault="002724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693F5385" w14:textId="77777777" w:rsidR="00DE75A3" w:rsidRDefault="002724D5">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14124/INFOEM/IP/RR/2025</w:t>
          </w:r>
        </w:p>
      </w:tc>
    </w:tr>
    <w:tr w:rsidR="00DE75A3" w14:paraId="67309332" w14:textId="77777777">
      <w:trPr>
        <w:trHeight w:val="130"/>
      </w:trPr>
      <w:tc>
        <w:tcPr>
          <w:tcW w:w="2551" w:type="dxa"/>
          <w:vAlign w:val="center"/>
        </w:tcPr>
        <w:p w14:paraId="26FA9D0E" w14:textId="77777777" w:rsidR="00DE75A3" w:rsidRDefault="002724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7767E106" w14:textId="0D1C1CE0" w:rsidR="00DE75A3" w:rsidRDefault="009B0199" w:rsidP="009B0199">
          <w:pPr>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 XXXXXX XXXXXXXX </w:t>
          </w:r>
        </w:p>
      </w:tc>
    </w:tr>
    <w:tr w:rsidR="00DE75A3" w14:paraId="416DBA9C" w14:textId="77777777">
      <w:trPr>
        <w:trHeight w:val="228"/>
      </w:trPr>
      <w:tc>
        <w:tcPr>
          <w:tcW w:w="2551" w:type="dxa"/>
          <w:vAlign w:val="center"/>
        </w:tcPr>
        <w:p w14:paraId="4D8BD448" w14:textId="77777777" w:rsidR="00DE75A3" w:rsidRDefault="002724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085BB64F" w14:textId="77777777" w:rsidR="00DE75A3" w:rsidRDefault="002724D5">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Ecatepec de Morelos</w:t>
          </w:r>
        </w:p>
      </w:tc>
    </w:tr>
    <w:tr w:rsidR="00DE75A3" w14:paraId="2D20BE5C" w14:textId="77777777">
      <w:tc>
        <w:tcPr>
          <w:tcW w:w="2551" w:type="dxa"/>
          <w:vAlign w:val="center"/>
        </w:tcPr>
        <w:p w14:paraId="299CB835" w14:textId="77777777" w:rsidR="00DE75A3" w:rsidRDefault="002724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7C53924E" w14:textId="77777777" w:rsidR="00DE75A3" w:rsidRDefault="002724D5">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C33AB5C" w14:textId="77777777" w:rsidR="00DE75A3" w:rsidRDefault="00DE75A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2070"/>
    <w:multiLevelType w:val="multilevel"/>
    <w:tmpl w:val="3D6010E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030E578B"/>
    <w:multiLevelType w:val="multilevel"/>
    <w:tmpl w:val="5CDCD29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086C47CC"/>
    <w:multiLevelType w:val="multilevel"/>
    <w:tmpl w:val="65421BB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193D6304"/>
    <w:multiLevelType w:val="multilevel"/>
    <w:tmpl w:val="A89E2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225B24"/>
    <w:multiLevelType w:val="multilevel"/>
    <w:tmpl w:val="657CD6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29D80B1A"/>
    <w:multiLevelType w:val="multilevel"/>
    <w:tmpl w:val="4E2A314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2DBB28D2"/>
    <w:multiLevelType w:val="multilevel"/>
    <w:tmpl w:val="6742C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131CE0"/>
    <w:multiLevelType w:val="multilevel"/>
    <w:tmpl w:val="DD6649F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39F417B9"/>
    <w:multiLevelType w:val="multilevel"/>
    <w:tmpl w:val="AFBC3F5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40DB4E4C"/>
    <w:multiLevelType w:val="multilevel"/>
    <w:tmpl w:val="FEBE5B5A"/>
    <w:lvl w:ilvl="0">
      <w:start w:val="1"/>
      <w:numFmt w:val="decimal"/>
      <w:pStyle w:val="Listaconvietas3"/>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5EA93A56"/>
    <w:multiLevelType w:val="multilevel"/>
    <w:tmpl w:val="44EC829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15:restartNumberingAfterBreak="0">
    <w:nsid w:val="79BA278E"/>
    <w:multiLevelType w:val="multilevel"/>
    <w:tmpl w:val="4E34B25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6"/>
  </w:num>
  <w:num w:numId="2">
    <w:abstractNumId w:val="9"/>
  </w:num>
  <w:num w:numId="3">
    <w:abstractNumId w:val="2"/>
  </w:num>
  <w:num w:numId="4">
    <w:abstractNumId w:val="7"/>
  </w:num>
  <w:num w:numId="5">
    <w:abstractNumId w:val="10"/>
  </w:num>
  <w:num w:numId="6">
    <w:abstractNumId w:val="3"/>
  </w:num>
  <w:num w:numId="7">
    <w:abstractNumId w:val="0"/>
  </w:num>
  <w:num w:numId="8">
    <w:abstractNumId w:val="11"/>
  </w:num>
  <w:num w:numId="9">
    <w:abstractNumId w:val="5"/>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5A3"/>
    <w:rsid w:val="002724D5"/>
    <w:rsid w:val="0030082D"/>
    <w:rsid w:val="003139F0"/>
    <w:rsid w:val="00343DED"/>
    <w:rsid w:val="00343F7F"/>
    <w:rsid w:val="003669E5"/>
    <w:rsid w:val="00396593"/>
    <w:rsid w:val="004145E2"/>
    <w:rsid w:val="00430307"/>
    <w:rsid w:val="004C16EC"/>
    <w:rsid w:val="00543861"/>
    <w:rsid w:val="009755E9"/>
    <w:rsid w:val="009B0199"/>
    <w:rsid w:val="00A16850"/>
    <w:rsid w:val="00C608E3"/>
    <w:rsid w:val="00D522FF"/>
    <w:rsid w:val="00DE75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DB84"/>
  <w15:docId w15:val="{E3CC1329-5829-4E86-AA58-B52AB7E25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0"/>
    <w:tblPr>
      <w:tblStyleRowBandSize w:val="1"/>
      <w:tblStyleColBandSize w:val="1"/>
      <w:tblCellMar>
        <w:left w:w="115" w:type="dxa"/>
        <w:right w:w="115" w:type="dxa"/>
      </w:tblCellMar>
    </w:tblPr>
  </w:style>
  <w:style w:type="table" w:customStyle="1" w:styleId="23">
    <w:name w:val="23"/>
    <w:basedOn w:val="TableNormal9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left w:w="115" w:type="dxa"/>
        <w:right w:w="115" w:type="dxa"/>
      </w:tblCellMar>
    </w:tblPr>
  </w:style>
  <w:style w:type="table" w:customStyle="1" w:styleId="21">
    <w:name w:val="21"/>
    <w:basedOn w:val="TableNormal90"/>
    <w:tblPr>
      <w:tblStyleRowBandSize w:val="1"/>
      <w:tblStyleColBandSize w:val="1"/>
      <w:tblCellMar>
        <w:left w:w="115" w:type="dxa"/>
        <w:right w:w="115" w:type="dxa"/>
      </w:tblCellMar>
    </w:tblPr>
  </w:style>
  <w:style w:type="table" w:customStyle="1" w:styleId="a">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91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NfoDejyCkX0VIoojSfvdt3TMbA==">CgMxLjAyCWguM2R5NnZrbTIJaC4zMGowemxsMgloLjJzOGV5bzEyCGgudHlqY3d0MgloLjN6bnlzaDcyCWguMmV0OTJwMDIJaC4xN2RwOHZ1Mg5oLnJmc2FhOG1uNDd6djIJaC4xZm9iOXRlMghoLmxueGJ6OTIJaC4zcmRjcmpuMgloLjF0M2g1c2Y4AHIhMTloNVF1dHVoU0ZnTktHcWhoV05feV9BV2E4ZnRsRWFr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14133</Words>
  <Characters>77737</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2026-02-13T16:58:00Z</cp:lastPrinted>
  <dcterms:created xsi:type="dcterms:W3CDTF">2026-04-06T17:48:00Z</dcterms:created>
  <dcterms:modified xsi:type="dcterms:W3CDTF">2026-04-06T17:48:00Z</dcterms:modified>
</cp:coreProperties>
</file>