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7E8" w:rsidRDefault="003B07E8">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BD2054" w:rsidRDefault="00C34E74">
      <w:pPr>
        <w:pBdr>
          <w:top w:val="nil"/>
          <w:left w:val="nil"/>
          <w:bottom w:val="nil"/>
          <w:right w:val="nil"/>
          <w:between w:val="nil"/>
        </w:pBd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D173FA">
        <w:rPr>
          <w:rFonts w:ascii="Palatino Linotype" w:eastAsia="Palatino Linotype" w:hAnsi="Palatino Linotype" w:cs="Palatino Linotype"/>
          <w:b/>
          <w:bCs/>
        </w:rPr>
        <w:t xml:space="preserve">veintisiete </w:t>
      </w:r>
      <w:r w:rsidR="003B07E8">
        <w:rPr>
          <w:rFonts w:ascii="Palatino Linotype" w:eastAsia="Palatino Linotype" w:hAnsi="Palatino Linotype" w:cs="Palatino Linotype"/>
          <w:b/>
          <w:bCs/>
        </w:rPr>
        <w:t xml:space="preserve">(27) </w:t>
      </w:r>
      <w:r>
        <w:rPr>
          <w:rFonts w:ascii="Palatino Linotype" w:eastAsia="Palatino Linotype" w:hAnsi="Palatino Linotype" w:cs="Palatino Linotype"/>
          <w:b/>
          <w:bCs/>
        </w:rPr>
        <w:t>de mayo de dos mil veintiséis</w:t>
      </w:r>
      <w:r>
        <w:rPr>
          <w:rFonts w:ascii="Palatino Linotype" w:eastAsia="Palatino Linotype" w:hAnsi="Palatino Linotype" w:cs="Palatino Linotype"/>
        </w:rPr>
        <w:t>.</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BD2054" w:rsidRDefault="00C34E74">
      <w:pPr>
        <w:pBdr>
          <w:top w:val="nil"/>
          <w:left w:val="nil"/>
          <w:bottom w:val="nil"/>
          <w:right w:val="nil"/>
          <w:between w:val="nil"/>
        </w:pBd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VISTO </w:t>
      </w:r>
      <w:r>
        <w:rPr>
          <w:rFonts w:ascii="Palatino Linotype" w:eastAsia="Palatino Linotype" w:hAnsi="Palatino Linotype" w:cs="Palatino Linotype"/>
        </w:rPr>
        <w:t xml:space="preserve">el expediente electrónico formado con motivo del recurso de revisión </w:t>
      </w:r>
      <w:r>
        <w:rPr>
          <w:rFonts w:ascii="Palatino Linotype" w:eastAsia="Palatino Linotype" w:hAnsi="Palatino Linotype" w:cs="Palatino Linotype"/>
          <w:b/>
          <w:bCs/>
        </w:rPr>
        <w:t xml:space="preserve">10203/INFOEM/ICR-129/IP/RR/2025, </w:t>
      </w:r>
      <w:r>
        <w:rPr>
          <w:rFonts w:ascii="Palatino Linotype" w:eastAsia="Palatino Linotype" w:hAnsi="Palatino Linotype" w:cs="Palatino Linotype"/>
        </w:rPr>
        <w:t>promovido por</w:t>
      </w:r>
      <w:r>
        <w:rPr>
          <w:rFonts w:ascii="Palatino Linotype" w:eastAsia="Palatino Linotype" w:hAnsi="Palatino Linotype" w:cs="Palatino Linotype"/>
          <w:b/>
          <w:bCs/>
        </w:rPr>
        <w:t xml:space="preserve"> </w:t>
      </w:r>
      <w:r w:rsidR="00593217">
        <w:rPr>
          <w:rFonts w:ascii="Palatino Linotype" w:eastAsia="Palatino Linotype" w:hAnsi="Palatino Linotype" w:cs="Palatino Linotype"/>
          <w:b/>
          <w:bCs/>
        </w:rPr>
        <w:t>XXXX</w:t>
      </w:r>
      <w:r>
        <w:rPr>
          <w:rFonts w:ascii="Palatino Linotype" w:eastAsia="Palatino Linotype" w:hAnsi="Palatino Linotype" w:cs="Palatino Linotype"/>
        </w:rPr>
        <w:t xml:space="preserve">, a quien en lo sucesivo se le identificara como </w:t>
      </w:r>
      <w:r>
        <w:rPr>
          <w:rFonts w:ascii="Palatino Linotype" w:eastAsia="Palatino Linotype" w:hAnsi="Palatino Linotype" w:cs="Palatino Linotype"/>
          <w:b/>
          <w:bCs/>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w:t>
      </w:r>
      <w:bookmarkStart w:id="0" w:name="_GoBack"/>
      <w:bookmarkEnd w:id="0"/>
      <w:r>
        <w:rPr>
          <w:rFonts w:ascii="Palatino Linotype" w:eastAsia="Palatino Linotype" w:hAnsi="Palatino Linotype" w:cs="Palatino Linotype"/>
        </w:rPr>
        <w:t xml:space="preserve">en contra de la falta de respuesta del </w:t>
      </w:r>
      <w:r>
        <w:rPr>
          <w:rFonts w:ascii="Palatino Linotype" w:eastAsia="Palatino Linotype" w:hAnsi="Palatino Linotype" w:cs="Palatino Linotype"/>
          <w:b/>
          <w:bCs/>
        </w:rPr>
        <w:t>Sistema Municipal Para el Desarrollo Integral de la Familia de Ixtapaluca</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 </w:t>
      </w:r>
      <w:r>
        <w:rPr>
          <w:rFonts w:ascii="Palatino Linotype" w:eastAsia="Palatino Linotype" w:hAnsi="Palatino Linotype" w:cs="Palatino Linotype"/>
        </w:rPr>
        <w:t>se procede a dictar la presente resolución, con base en los siguientes:</w:t>
      </w:r>
    </w:p>
    <w:p w:rsidR="003B07E8" w:rsidRDefault="003B07E8">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BD2054" w:rsidRDefault="00C34E74">
      <w:pPr>
        <w:pBdr>
          <w:top w:val="nil"/>
          <w:left w:val="nil"/>
          <w:bottom w:val="nil"/>
          <w:right w:val="nil"/>
          <w:between w:val="nil"/>
        </w:pBdr>
        <w:spacing w:line="360" w:lineRule="auto"/>
        <w:ind w:right="-734"/>
        <w:jc w:val="center"/>
        <w:rPr>
          <w:rFonts w:ascii="Palatino Linotype" w:eastAsia="Palatino Linotype" w:hAnsi="Palatino Linotype" w:cs="Palatino Linotype"/>
          <w:b/>
          <w:bCs/>
        </w:rPr>
      </w:pPr>
      <w:bookmarkStart w:id="1" w:name="_heading=h.u9pzan3eu60x" w:colFirst="0" w:colLast="0"/>
      <w:bookmarkEnd w:id="1"/>
      <w:r>
        <w:rPr>
          <w:rFonts w:ascii="Palatino Linotype" w:eastAsia="Palatino Linotype" w:hAnsi="Palatino Linotype" w:cs="Palatino Linotype"/>
          <w:b/>
          <w:bCs/>
        </w:rPr>
        <w:t>A N T E C E D E N T E S</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siete de agosto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presentó</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(SAIMEX), la solicitud de información pública registrada con el número </w:t>
      </w:r>
      <w:r>
        <w:rPr>
          <w:rFonts w:ascii="Palatino Linotype" w:eastAsia="Palatino Linotype" w:hAnsi="Palatino Linotype" w:cs="Palatino Linotype"/>
          <w:b/>
          <w:bCs/>
          <w:color w:val="000000"/>
        </w:rPr>
        <w:t xml:space="preserve">00068/DIFIXTAPAL/IP/2025, </w:t>
      </w:r>
      <w:r>
        <w:rPr>
          <w:rFonts w:ascii="Palatino Linotype" w:eastAsia="Palatino Linotype" w:hAnsi="Palatino Linotype" w:cs="Palatino Linotype"/>
        </w:rPr>
        <w:t xml:space="preserve">en la que se </w:t>
      </w:r>
      <w:r>
        <w:rPr>
          <w:rFonts w:ascii="Palatino Linotype" w:eastAsia="Palatino Linotype" w:hAnsi="Palatino Linotype" w:cs="Palatino Linotype"/>
          <w:color w:val="000000"/>
        </w:rPr>
        <w:t>solicitó lo siguiente:</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BD2054" w:rsidRDefault="00C34E74">
      <w:pPr>
        <w:pBdr>
          <w:top w:val="nil"/>
          <w:left w:val="nil"/>
          <w:bottom w:val="nil"/>
          <w:right w:val="nil"/>
          <w:between w:val="nil"/>
        </w:pBdr>
        <w:ind w:left="1134"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“Solicito copia del Reglamento Interno o lineamientos que definen las facultades, atribuciones y responsabilidades de la presidenta Honorífica del DIF Ixtapaluca, actualizado a 2025..” </w:t>
      </w:r>
      <w:r>
        <w:rPr>
          <w:rFonts w:ascii="Palatino Linotype" w:eastAsia="Palatino Linotype" w:hAnsi="Palatino Linotype" w:cs="Palatino Linotype"/>
        </w:rPr>
        <w:t>(Sic)</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i/>
          <w:iCs/>
        </w:rPr>
      </w:pPr>
    </w:p>
    <w:p w:rsidR="00BD2054" w:rsidRDefault="00C34E74">
      <w:pPr>
        <w:numPr>
          <w:ilvl w:val="0"/>
          <w:numId w:val="2"/>
        </w:num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Señaló como modalidad de entrega de la información a través del Sistema de Acceso a la Información. </w:t>
      </w:r>
    </w:p>
    <w:p w:rsidR="00BD2054" w:rsidRDefault="00BD2054">
      <w:pPr>
        <w:pBdr>
          <w:top w:val="nil"/>
          <w:left w:val="nil"/>
          <w:bottom w:val="nil"/>
          <w:right w:val="nil"/>
          <w:between w:val="nil"/>
        </w:pBdr>
        <w:ind w:left="720" w:right="-734"/>
        <w:rPr>
          <w:rFonts w:ascii="Palatino Linotype" w:eastAsia="Palatino Linotype" w:hAnsi="Palatino Linotype" w:cs="Palatino Linotype"/>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Ante la falta de respuesta, el </w:t>
      </w:r>
      <w:r>
        <w:rPr>
          <w:rFonts w:ascii="Palatino Linotype" w:eastAsia="Palatino Linotype" w:hAnsi="Palatino Linotype" w:cs="Palatino Linotype"/>
          <w:b/>
          <w:bCs/>
          <w:color w:val="000000"/>
        </w:rPr>
        <w:t>primero de septiembre de dos mil veinticinco</w:t>
      </w:r>
      <w:r>
        <w:rPr>
          <w:rFonts w:ascii="Palatino Linotype" w:eastAsia="Palatino Linotype" w:hAnsi="Palatino Linotype" w:cs="Palatino Linotype"/>
          <w:color w:val="000000"/>
        </w:rPr>
        <w:t xml:space="preserve">, el particular interpuso Recurso de Revisión al tenor del siguiente </w:t>
      </w:r>
    </w:p>
    <w:p w:rsidR="00BD2054" w:rsidRDefault="00BD2054">
      <w:pPr>
        <w:pBdr>
          <w:top w:val="nil"/>
          <w:left w:val="nil"/>
          <w:bottom w:val="nil"/>
          <w:right w:val="nil"/>
          <w:between w:val="nil"/>
        </w:pBdr>
        <w:ind w:left="720" w:right="-734"/>
        <w:rPr>
          <w:rFonts w:ascii="Palatino Linotype" w:eastAsia="Palatino Linotype" w:hAnsi="Palatino Linotype" w:cs="Palatino Linotype"/>
          <w:b/>
          <w:bCs/>
          <w:color w:val="000000"/>
        </w:rPr>
      </w:pPr>
    </w:p>
    <w:p w:rsidR="00BD2054" w:rsidRDefault="00C34E74">
      <w:pPr>
        <w:numPr>
          <w:ilvl w:val="0"/>
          <w:numId w:val="2"/>
        </w:numPr>
        <w:pBdr>
          <w:top w:val="nil"/>
          <w:left w:val="nil"/>
          <w:bottom w:val="nil"/>
          <w:right w:val="nil"/>
          <w:between w:val="nil"/>
        </w:pBdr>
        <w:ind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w:t>
      </w:r>
      <w:r>
        <w:rPr>
          <w:rFonts w:ascii="Palatino Linotype" w:eastAsia="Palatino Linotype" w:hAnsi="Palatino Linotype" w:cs="Palatino Linotype"/>
          <w:i/>
          <w:iCs/>
          <w:color w:val="000000"/>
        </w:rPr>
        <w:t xml:space="preserve"> “Transcurrido el plazo legal previsto en la Ley de Transparencia y Acceso a la Información Pública del Estado de México y Municipios, no recibí respuesta alguna por parte del sujeto obligado, configurándose la omisión de respuesta. La falta de contestación vulnera mi derecho de acceso a la información reconocido en los artículos 6° de la Constitución Política de los Estados Unidos Mexicanos y 5 de la Constitución Política del Estado Libre y Soberano de México, así como en los artículos 10 y 12 de la Ley de Transparencia y Acceso a la Información Pública del Estado de México y Municipios. Por lo anterior, interpongo recurso de revisión solicitando que se ordene al sujeto obligado dar respuesta a mi solicitud, entregando la información requerida o, en su caso, fundando y motivando las razones legales por las que no pueda proporcionarla.” (Sic)</w:t>
      </w:r>
    </w:p>
    <w:p w:rsidR="00BD2054" w:rsidRDefault="00BD2054">
      <w:pPr>
        <w:pBdr>
          <w:top w:val="nil"/>
          <w:left w:val="nil"/>
          <w:bottom w:val="nil"/>
          <w:right w:val="nil"/>
          <w:between w:val="nil"/>
        </w:pBdr>
        <w:ind w:left="1134" w:right="-734"/>
        <w:jc w:val="both"/>
        <w:rPr>
          <w:rFonts w:ascii="Palatino Linotype" w:eastAsia="Palatino Linotype" w:hAnsi="Palatino Linotype" w:cs="Palatino Linotype"/>
          <w:i/>
          <w:iCs/>
          <w:color w:val="000000"/>
        </w:rPr>
      </w:pPr>
    </w:p>
    <w:p w:rsidR="00BD2054" w:rsidRDefault="00C34E74">
      <w:pPr>
        <w:numPr>
          <w:ilvl w:val="0"/>
          <w:numId w:val="2"/>
        </w:numPr>
        <w:pBdr>
          <w:top w:val="nil"/>
          <w:left w:val="nil"/>
          <w:bottom w:val="nil"/>
          <w:right w:val="nil"/>
          <w:between w:val="nil"/>
        </w:pBdr>
        <w:ind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Razones</w:t>
      </w:r>
      <w:r>
        <w:rPr>
          <w:rFonts w:ascii="Palatino Linotype" w:eastAsia="Palatino Linotype" w:hAnsi="Palatino Linotype" w:cs="Palatino Linotype"/>
          <w:b/>
          <w:bCs/>
          <w:i/>
          <w:iCs/>
          <w:color w:val="000000"/>
        </w:rPr>
        <w:t xml:space="preserve"> o motivos de inconformidad: </w:t>
      </w:r>
      <w:r>
        <w:rPr>
          <w:rFonts w:ascii="Palatino Linotype" w:eastAsia="Palatino Linotype" w:hAnsi="Palatino Linotype" w:cs="Palatino Linotype"/>
          <w:i/>
          <w:iCs/>
          <w:color w:val="000000"/>
        </w:rPr>
        <w:t>“Transcurrido el plazo legal previsto en la Ley de Transparencia y Acceso a la Información Pública del Estado de México y Municipios, no recibí respuesta alguna por parte del sujeto obligado, configurándose la omisión de respuesta. La falta de contestación vulnera mi derecho de acceso a la información reconocido en los artículos 6° de la Constitución Política de los Estados Unidos Mexicanos y 5 de la Constitución Política del Estado Libre y Soberano de México, así como en los artículos 10 y 12 de la Ley de Transparencia y Acceso a la Información Pública del Estado de México y Municipios. Por lo anterior, interpongo recurso de revisión solicitando que se ordene al sujeto obligado dar respuesta a mi solicitud, entregando la información requerida o, en su caso, fundando y motivando las razones legales por las que no pueda proporcionarla.”</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i/>
          <w:iCs/>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turna</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b/>
          <w:bCs/>
          <w:color w:val="000000"/>
        </w:rPr>
        <w:t xml:space="preserve">Comisionada María del Rosario Mejía Ayala, </w:t>
      </w:r>
      <w:r>
        <w:rPr>
          <w:rFonts w:ascii="Palatino Linotype" w:eastAsia="Palatino Linotype" w:hAnsi="Palatino Linotype" w:cs="Palatino Linotype"/>
        </w:rPr>
        <w:t>para</w:t>
      </w:r>
      <w:r>
        <w:rPr>
          <w:rFonts w:ascii="Palatino Linotype" w:eastAsia="Palatino Linotype" w:hAnsi="Palatino Linotype" w:cs="Palatino Linotype"/>
          <w:color w:val="000000"/>
        </w:rPr>
        <w:t xml:space="preserve"> su análisis.</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w:t>
      </w:r>
      <w:r>
        <w:rPr>
          <w:rFonts w:ascii="Palatino Linotype" w:eastAsia="Palatino Linotype" w:hAnsi="Palatino Linotype" w:cs="Palatino Linotype"/>
          <w:b/>
          <w:bCs/>
          <w:color w:val="000000"/>
        </w:rPr>
        <w:t xml:space="preserve">tres de septiembre de dos mil </w:t>
      </w:r>
      <w:r>
        <w:rPr>
          <w:rFonts w:ascii="Palatino Linotype" w:eastAsia="Palatino Linotype" w:hAnsi="Palatino Linotype" w:cs="Palatino Linotype"/>
          <w:b/>
          <w:bCs/>
          <w:color w:val="000000"/>
        </w:rPr>
        <w:lastRenderedPageBreak/>
        <w:t>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i/>
          <w:iCs/>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particular fue omiso en realizar manifestaciones que  a su derecho conviniera y asistiera. </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no rindió el informe justificado correspondiente.</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diecisiete de septiembre de dos mil veintiséis</w:t>
      </w:r>
      <w:r>
        <w:rPr>
          <w:rFonts w:ascii="Palatino Linotype" w:eastAsia="Palatino Linotype" w:hAnsi="Palatino Linotype" w:cs="Palatino Linotype"/>
          <w:color w:val="000000"/>
        </w:rPr>
        <w:t xml:space="preserve">, la Comisionada Ponente decretó el cierre de instrucción, por lo que </w:t>
      </w:r>
      <w:r>
        <w:rPr>
          <w:rFonts w:ascii="Palatino Linotype" w:eastAsia="Palatino Linotype" w:hAnsi="Palatino Linotype" w:cs="Palatino Linotype"/>
        </w:rPr>
        <w:t>tornó</w:t>
      </w:r>
      <w:r>
        <w:rPr>
          <w:rFonts w:ascii="Palatino Linotype" w:eastAsia="Palatino Linotype" w:hAnsi="Palatino Linotype" w:cs="Palatino Linotype"/>
          <w:color w:val="000000"/>
        </w:rPr>
        <w:t xml:space="preserve"> la presente resolución para su aprobación.</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seis de octubre de dos mil veintiséis</w:t>
      </w:r>
      <w:r>
        <w:rPr>
          <w:rFonts w:ascii="Palatino Linotype" w:eastAsia="Palatino Linotype" w:hAnsi="Palatino Linotype" w:cs="Palatino Linotype"/>
          <w:color w:val="000000"/>
        </w:rPr>
        <w:t>, se notificó a las partes la resolución al recurso de revisión que nos ocupa.</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veinte de octubre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respuesta a la resolución notificada, mediante el archivo electrónico en formato pdf, </w:t>
      </w:r>
      <w:hyperlink r:id="rId8">
        <w:r>
          <w:rPr>
            <w:rFonts w:ascii="Palatino Linotype" w:eastAsia="Palatino Linotype" w:hAnsi="Palatino Linotype" w:cs="Palatino Linotype"/>
            <w:b/>
            <w:bCs/>
            <w:color w:val="000000"/>
          </w:rPr>
          <w:t>068.pdf</w:t>
        </w:r>
      </w:hyperlink>
      <w:r>
        <w:rPr>
          <w:rFonts w:ascii="Palatino Linotype" w:eastAsia="Palatino Linotype" w:hAnsi="Palatino Linotype" w:cs="Palatino Linotype"/>
          <w:color w:val="000000"/>
        </w:rPr>
        <w:t>, del que se desprende lo siguiente:</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BD2054" w:rsidRDefault="00C34E74" w:rsidP="003B07E8">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firmado por el Titular de la Unidad de Transparencia, por el que se informó lo siguiente:</w:t>
      </w:r>
    </w:p>
    <w:p w:rsidR="00BD2054" w:rsidRDefault="00C34E74">
      <w:pPr>
        <w:pBdr>
          <w:top w:val="nil"/>
          <w:left w:val="nil"/>
          <w:bottom w:val="nil"/>
          <w:right w:val="nil"/>
          <w:between w:val="nil"/>
        </w:pBdr>
        <w:ind w:left="720"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TOMA DE PROTESTA DE LA DIRECTORA DEL SMDIF IXTAPALUCA FUE LLEVADA A CABO EN EL CABILDO DEL AYUNTAMIENTO DE IXTAPALUCA, POR TANTO, LA ACTA SOLICITADA. ESTA INFORMACIÓN PUDE SOLICITARLA EN LA UNIDAD DE TRANSPARENCIA CORRESPONDIENTE.</w:t>
      </w:r>
    </w:p>
    <w:p w:rsidR="00BD2054" w:rsidRDefault="00BD2054">
      <w:pPr>
        <w:pBdr>
          <w:top w:val="nil"/>
          <w:left w:val="nil"/>
          <w:bottom w:val="nil"/>
          <w:right w:val="nil"/>
          <w:between w:val="nil"/>
        </w:pBdr>
        <w:spacing w:line="360" w:lineRule="auto"/>
        <w:ind w:left="720" w:right="-734"/>
        <w:jc w:val="both"/>
        <w:rPr>
          <w:rFonts w:ascii="Palatino Linotype" w:eastAsia="Palatino Linotype" w:hAnsi="Palatino Linotype" w:cs="Palatino Linotype"/>
          <w:color w:val="000000"/>
        </w:rPr>
      </w:pPr>
    </w:p>
    <w:p w:rsidR="00BD2054" w:rsidRDefault="00C34E74">
      <w:pPr>
        <w:numPr>
          <w:ilvl w:val="0"/>
          <w:numId w:val="3"/>
        </w:numPr>
        <w:pBdr>
          <w:top w:val="nil"/>
          <w:left w:val="nil"/>
          <w:bottom w:val="nil"/>
          <w:right w:val="nil"/>
          <w:between w:val="nil"/>
        </w:pBdr>
        <w:spacing w:line="276"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firmado por el Titular de la Unidad de Transparencia, por el que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que, </w:t>
      </w:r>
      <w:r>
        <w:rPr>
          <w:rFonts w:ascii="Palatino Linotype" w:eastAsia="Palatino Linotype" w:hAnsi="Palatino Linotype" w:cs="Palatino Linotype"/>
          <w:i/>
          <w:iCs/>
          <w:color w:val="000000"/>
        </w:rPr>
        <w:t>LAS FACULTADES, RESPONSABILIDADES Y ATRIBUCIONES QUE TIENE LA PRESIDENTE DEL SMDIF IXTAPALUCA SE ENCUENTRAN EN LINEA DE LA "LEY OQUE CREA LOS ORGANISMOS PÚBLICOS DESCENTRALIZADOS DE ASISTENCIA SOCIAL, DE CARÁCTER MUNICIPAL, DENOMINADOS "SISTEMAS MUNICIPALES PARA EL DESARROLLO INTEGRAL DE LA FAMILIA", ESTA LA PUDE CONSULTAR DE MANERA GRATUITA EN LINEA.</w:t>
      </w:r>
    </w:p>
    <w:p w:rsidR="00BD2054" w:rsidRDefault="00BD2054">
      <w:pPr>
        <w:pBdr>
          <w:top w:val="nil"/>
          <w:left w:val="nil"/>
          <w:bottom w:val="nil"/>
          <w:right w:val="nil"/>
          <w:between w:val="nil"/>
        </w:pBdr>
        <w:spacing w:line="360" w:lineRule="auto"/>
        <w:ind w:left="720" w:right="-734"/>
        <w:jc w:val="both"/>
        <w:rPr>
          <w:rFonts w:ascii="Palatino Linotype" w:eastAsia="Palatino Linotype" w:hAnsi="Palatino Linotype" w:cs="Palatino Linotype"/>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veintisiete de octubre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interpuso el recurso de revisión, mediante el cual arguyó lo siguiente:</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BD2054" w:rsidRDefault="00C34E74">
      <w:pPr>
        <w:numPr>
          <w:ilvl w:val="0"/>
          <w:numId w:val="3"/>
        </w:numPr>
        <w:pBdr>
          <w:top w:val="nil"/>
          <w:left w:val="nil"/>
          <w:bottom w:val="nil"/>
          <w:right w:val="nil"/>
          <w:between w:val="nil"/>
        </w:pBdr>
        <w:ind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i/>
          <w:iCs/>
          <w:color w:val="000000"/>
        </w:rPr>
        <w:t xml:space="preserve">“Acusación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titulares de las áreas que omitieron atender los turnos en </w:t>
      </w:r>
      <w:r>
        <w:rPr>
          <w:rFonts w:ascii="Palatino Linotype" w:eastAsia="Palatino Linotype" w:hAnsi="Palatino Linotype" w:cs="Palatino Linotype"/>
          <w:i/>
          <w:iCs/>
          <w:color w:val="000000"/>
        </w:rPr>
        <w:lastRenderedPageBreak/>
        <w:t xml:space="preserve">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 </w:t>
      </w:r>
    </w:p>
    <w:p w:rsidR="00BD2054" w:rsidRDefault="00BD2054">
      <w:pPr>
        <w:pBdr>
          <w:top w:val="nil"/>
          <w:left w:val="nil"/>
          <w:bottom w:val="nil"/>
          <w:right w:val="nil"/>
          <w:between w:val="nil"/>
        </w:pBdr>
        <w:ind w:left="1134" w:right="-734"/>
        <w:jc w:val="both"/>
        <w:rPr>
          <w:rFonts w:ascii="Palatino Linotype" w:eastAsia="Palatino Linotype" w:hAnsi="Palatino Linotype" w:cs="Palatino Linotype"/>
          <w:b/>
          <w:bCs/>
          <w:i/>
          <w:iCs/>
          <w:color w:val="000000"/>
        </w:rPr>
      </w:pPr>
    </w:p>
    <w:p w:rsidR="00BD2054" w:rsidRDefault="00C34E74">
      <w:pPr>
        <w:numPr>
          <w:ilvl w:val="0"/>
          <w:numId w:val="3"/>
        </w:numPr>
        <w:pBdr>
          <w:top w:val="nil"/>
          <w:left w:val="nil"/>
          <w:bottom w:val="nil"/>
          <w:right w:val="nil"/>
          <w:between w:val="nil"/>
        </w:pBdr>
        <w:ind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i/>
          <w:iCs/>
          <w:color w:val="000000"/>
        </w:rPr>
        <w:t>“Acusación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titulares de las áreas que 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i/>
          <w:iCs/>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w:t>
      </w:r>
      <w:r>
        <w:rPr>
          <w:rFonts w:ascii="Palatino Linotype" w:eastAsia="Palatino Linotype" w:hAnsi="Palatino Linotype" w:cs="Palatino Linotype"/>
          <w:b/>
          <w:bCs/>
          <w:color w:val="000000"/>
        </w:rPr>
        <w:t>veintisiete de octubre de dos mil 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lastRenderedPageBreak/>
        <w:t xml:space="preserve">pruebas y alegatos según corresponda al caso concreto,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i/>
          <w:iCs/>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fue omiso en manifestar lo que a su derecho conviniera y asistiera.</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i/>
          <w:iCs/>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rindió el Informe Justificado correspondiente, a través de los archivos siguientes:</w:t>
      </w:r>
    </w:p>
    <w:p w:rsidR="00BD2054" w:rsidRDefault="00FF74A6">
      <w:pPr>
        <w:numPr>
          <w:ilvl w:val="0"/>
          <w:numId w:val="6"/>
        </w:numPr>
        <w:pBdr>
          <w:top w:val="nil"/>
          <w:left w:val="nil"/>
          <w:bottom w:val="nil"/>
          <w:right w:val="nil"/>
          <w:between w:val="nil"/>
        </w:pBdr>
        <w:ind w:left="709" w:right="-734" w:firstLine="0"/>
        <w:jc w:val="both"/>
        <w:rPr>
          <w:rFonts w:ascii="Palatino Linotype" w:eastAsia="Palatino Linotype" w:hAnsi="Palatino Linotype" w:cs="Palatino Linotype"/>
          <w:color w:val="000000"/>
        </w:rPr>
      </w:pPr>
      <w:hyperlink r:id="rId9">
        <w:r w:rsidR="00C34E74">
          <w:rPr>
            <w:rFonts w:ascii="Palatino Linotype" w:eastAsia="Palatino Linotype" w:hAnsi="Palatino Linotype" w:cs="Palatino Linotype"/>
            <w:b/>
            <w:bCs/>
            <w:i/>
            <w:iCs/>
            <w:color w:val="000000"/>
          </w:rPr>
          <w:t>OFICIOS 2025 PRESIDENTA LEY-198.PDF</w:t>
        </w:r>
      </w:hyperlink>
      <w:r w:rsidR="00C34E74">
        <w:rPr>
          <w:rFonts w:ascii="Palatino Linotype" w:eastAsia="Palatino Linotype" w:hAnsi="Palatino Linotype" w:cs="Palatino Linotype"/>
          <w:b/>
          <w:bCs/>
          <w:i/>
          <w:iCs/>
          <w:color w:val="000000"/>
        </w:rPr>
        <w:t xml:space="preserve">: </w:t>
      </w:r>
      <w:r w:rsidR="00C34E74">
        <w:rPr>
          <w:rFonts w:ascii="Palatino Linotype" w:eastAsia="Palatino Linotype" w:hAnsi="Palatino Linotype" w:cs="Palatino Linotype"/>
          <w:color w:val="000000"/>
        </w:rPr>
        <w:t xml:space="preserve">Oficio firmado por el Titular de la Unidad de Transparencia, por </w:t>
      </w:r>
      <w:r w:rsidR="00C34E74">
        <w:rPr>
          <w:rFonts w:ascii="Palatino Linotype" w:eastAsia="Palatino Linotype" w:hAnsi="Palatino Linotype" w:cs="Palatino Linotype"/>
        </w:rPr>
        <w:t>lo</w:t>
      </w:r>
      <w:r w:rsidR="00C34E74">
        <w:rPr>
          <w:rFonts w:ascii="Palatino Linotype" w:eastAsia="Palatino Linotype" w:hAnsi="Palatino Linotype" w:cs="Palatino Linotype"/>
          <w:color w:val="000000"/>
        </w:rPr>
        <w:t xml:space="preserve"> que </w:t>
      </w:r>
      <w:r w:rsidR="00C34E74">
        <w:rPr>
          <w:rFonts w:ascii="Palatino Linotype" w:eastAsia="Palatino Linotype" w:hAnsi="Palatino Linotype" w:cs="Palatino Linotype"/>
        </w:rPr>
        <w:t>informó</w:t>
      </w:r>
      <w:r w:rsidR="00C34E74">
        <w:rPr>
          <w:rFonts w:ascii="Palatino Linotype" w:eastAsia="Palatino Linotype" w:hAnsi="Palatino Linotype" w:cs="Palatino Linotype"/>
          <w:color w:val="000000"/>
        </w:rPr>
        <w:t xml:space="preserve"> lo siguiente:</w:t>
      </w:r>
    </w:p>
    <w:p w:rsidR="00BD2054" w:rsidRDefault="00BD2054">
      <w:pPr>
        <w:ind w:left="709" w:right="-734"/>
        <w:jc w:val="both"/>
        <w:rPr>
          <w:rFonts w:ascii="Palatino Linotype" w:eastAsia="Palatino Linotype" w:hAnsi="Palatino Linotype" w:cs="Palatino Linotype"/>
          <w:i/>
          <w:iCs/>
        </w:rPr>
      </w:pPr>
    </w:p>
    <w:p w:rsidR="00BD2054" w:rsidRDefault="00C34E74">
      <w:pPr>
        <w:ind w:left="709" w:right="-734"/>
        <w:jc w:val="both"/>
        <w:rPr>
          <w:rFonts w:ascii="Palatino Linotype" w:eastAsia="Palatino Linotype" w:hAnsi="Palatino Linotype" w:cs="Palatino Linotype"/>
          <w:i/>
          <w:iCs/>
        </w:rPr>
      </w:pPr>
      <w:r>
        <w:rPr>
          <w:rFonts w:ascii="Palatino Linotype" w:eastAsia="Palatino Linotype" w:hAnsi="Palatino Linotype" w:cs="Palatino Linotype"/>
          <w:i/>
          <w:iCs/>
        </w:rPr>
        <w:t>SE MENCIONA QUE: LAS FACULTADES, RESPONSABILIDADES Y ATRIBUCIONES QUE TIENE LA PRESIDENTA DEL SMDIF IXTAPALUCA SE ENCUENTRAN EN LINEA DE LA "LEY OQUE CREA LOS ORGANISMOS PÚBLICOS DESCENTRALIZADOS DE ASISTENCIA SOCIAL, DE CARÁCTER MUNICIPAL, DENOMINADOS "SISTEMAS MUNICIPALES PARA EL DESARROLLO INTEGRAL DE LA FAMILIA", ESTA LA PUDE CONSULTAR DE MANERA GRATUITA EN LINEA.</w:t>
      </w:r>
    </w:p>
    <w:p w:rsidR="00BD2054" w:rsidRDefault="00FF74A6">
      <w:pPr>
        <w:numPr>
          <w:ilvl w:val="0"/>
          <w:numId w:val="5"/>
        </w:numPr>
        <w:pBdr>
          <w:top w:val="nil"/>
          <w:left w:val="nil"/>
          <w:bottom w:val="nil"/>
          <w:right w:val="nil"/>
          <w:between w:val="nil"/>
        </w:pBdr>
        <w:ind w:left="709" w:right="-734" w:firstLine="0"/>
        <w:jc w:val="both"/>
        <w:rPr>
          <w:rFonts w:ascii="Palatino Linotype" w:eastAsia="Palatino Linotype" w:hAnsi="Palatino Linotype" w:cs="Palatino Linotype"/>
          <w:b/>
          <w:bCs/>
          <w:i/>
          <w:iCs/>
          <w:color w:val="000000"/>
        </w:rPr>
      </w:pPr>
      <w:hyperlink r:id="rId10">
        <w:r w:rsidR="00C34E74">
          <w:rPr>
            <w:rFonts w:ascii="Palatino Linotype" w:eastAsia="Palatino Linotype" w:hAnsi="Palatino Linotype" w:cs="Palatino Linotype"/>
            <w:b/>
            <w:bCs/>
            <w:i/>
            <w:iCs/>
            <w:color w:val="000000"/>
          </w:rPr>
          <w:t>MANUAL DE ORGANIZACION DIF 2024 ACTUALIZACIÓN (1).PDF</w:t>
        </w:r>
      </w:hyperlink>
      <w:r w:rsidR="00C34E74">
        <w:rPr>
          <w:rFonts w:ascii="Palatino Linotype" w:eastAsia="Palatino Linotype" w:hAnsi="Palatino Linotype" w:cs="Palatino Linotype"/>
          <w:b/>
          <w:bCs/>
          <w:i/>
          <w:iCs/>
          <w:color w:val="000000"/>
        </w:rPr>
        <w:t>:</w:t>
      </w:r>
    </w:p>
    <w:p w:rsidR="00BD2054" w:rsidRDefault="00C34E74">
      <w:pPr>
        <w:ind w:left="709" w:right="-734"/>
        <w:jc w:val="both"/>
        <w:rPr>
          <w:rFonts w:ascii="Palatino Linotype" w:eastAsia="Palatino Linotype" w:hAnsi="Palatino Linotype" w:cs="Palatino Linotype"/>
        </w:rPr>
      </w:pPr>
      <w:r>
        <w:rPr>
          <w:rFonts w:ascii="Palatino Linotype" w:eastAsia="Palatino Linotype" w:hAnsi="Palatino Linotype" w:cs="Palatino Linotype"/>
        </w:rPr>
        <w:t>Manual de Organización del SMIDF 2022-2024</w:t>
      </w:r>
    </w:p>
    <w:p w:rsidR="00BD2054" w:rsidRDefault="00C34E74">
      <w:pPr>
        <w:numPr>
          <w:ilvl w:val="0"/>
          <w:numId w:val="4"/>
        </w:numPr>
        <w:pBdr>
          <w:top w:val="nil"/>
          <w:left w:val="nil"/>
          <w:bottom w:val="nil"/>
          <w:right w:val="nil"/>
          <w:between w:val="nil"/>
        </w:pBdr>
        <w:ind w:left="709"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REGLAMENTO DIF 2025 AUTORIZADO (1).pdf</w:t>
      </w:r>
    </w:p>
    <w:p w:rsidR="00BD2054" w:rsidRDefault="00C34E74">
      <w:pPr>
        <w:pBdr>
          <w:top w:val="nil"/>
          <w:left w:val="nil"/>
          <w:bottom w:val="nil"/>
          <w:right w:val="nil"/>
          <w:between w:val="nil"/>
        </w:pBdr>
        <w:ind w:left="709"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Reglamento Interno del SMIDIF 2025-2027</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Finalmente, el </w:t>
      </w:r>
      <w:r>
        <w:rPr>
          <w:rFonts w:ascii="Palatino Linotype" w:eastAsia="Palatino Linotype" w:hAnsi="Palatino Linotype" w:cs="Palatino Linotype"/>
          <w:b/>
          <w:bCs/>
          <w:color w:val="000000"/>
        </w:rPr>
        <w:t>veinticinco de mayo de dos mil veintiséis</w:t>
      </w:r>
      <w:r>
        <w:rPr>
          <w:rFonts w:ascii="Palatino Linotype" w:eastAsia="Palatino Linotype" w:hAnsi="Palatino Linotype" w:cs="Palatino Linotype"/>
          <w:color w:val="000000"/>
        </w:rPr>
        <w:t>, la Comisionada Ponente decretó el cierre del periodo de instrucción, por lo que ordenó turnar el expediente para su resolución, misma que ahora se pronuncia; y</w:t>
      </w:r>
    </w:p>
    <w:p w:rsidR="00BD2054" w:rsidRDefault="00BD2054">
      <w:pPr>
        <w:pBdr>
          <w:top w:val="nil"/>
          <w:left w:val="nil"/>
          <w:bottom w:val="nil"/>
          <w:right w:val="nil"/>
          <w:between w:val="nil"/>
        </w:pBdr>
        <w:ind w:left="720" w:right="-734"/>
        <w:rPr>
          <w:rFonts w:ascii="Palatino Linotype" w:eastAsia="Palatino Linotype" w:hAnsi="Palatino Linotype" w:cs="Palatino Linotype"/>
          <w:color w:val="000000"/>
        </w:rPr>
      </w:pPr>
    </w:p>
    <w:p w:rsidR="00BD2054" w:rsidRDefault="00C34E74">
      <w:pPr>
        <w:pBdr>
          <w:top w:val="nil"/>
          <w:left w:val="nil"/>
          <w:bottom w:val="nil"/>
          <w:right w:val="nil"/>
          <w:between w:val="nil"/>
        </w:pBdr>
        <w:spacing w:line="360" w:lineRule="auto"/>
        <w:ind w:right="-734"/>
        <w:jc w:val="center"/>
        <w:rPr>
          <w:rFonts w:ascii="Palatino Linotype" w:eastAsia="Palatino Linotype" w:hAnsi="Palatino Linotype" w:cs="Palatino Linotype"/>
          <w:b/>
          <w:bCs/>
        </w:rPr>
      </w:pPr>
      <w:bookmarkStart w:id="2" w:name="_heading=h.f2p0fbmnkbmh" w:colFirst="0" w:colLast="0"/>
      <w:bookmarkEnd w:id="2"/>
      <w:r>
        <w:rPr>
          <w:rFonts w:ascii="Palatino Linotype" w:eastAsia="Palatino Linotype" w:hAnsi="Palatino Linotype" w:cs="Palatino Linotype"/>
          <w:b/>
          <w:bCs/>
        </w:rPr>
        <w:t>C O N S I D E R A N D O</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BD2054" w:rsidRDefault="00C34E74">
      <w:pPr>
        <w:pBdr>
          <w:top w:val="nil"/>
          <w:left w:val="nil"/>
          <w:bottom w:val="nil"/>
          <w:right w:val="nil"/>
          <w:between w:val="nil"/>
        </w:pBdr>
        <w:spacing w:line="360" w:lineRule="auto"/>
        <w:ind w:right="-734"/>
        <w:jc w:val="both"/>
        <w:rPr>
          <w:rFonts w:ascii="Palatino Linotype" w:eastAsia="Palatino Linotype" w:hAnsi="Palatino Linotype" w:cs="Palatino Linotype"/>
          <w:b/>
          <w:bCs/>
        </w:rPr>
      </w:pPr>
      <w:bookmarkStart w:id="3" w:name="_heading=h.lxwl83kdyio" w:colFirst="0" w:colLast="0"/>
      <w:bookmarkEnd w:id="3"/>
      <w:r>
        <w:rPr>
          <w:rFonts w:ascii="Palatino Linotype" w:eastAsia="Palatino Linotype" w:hAnsi="Palatino Linotype" w:cs="Palatino Linotype"/>
          <w:b/>
          <w:bCs/>
        </w:rPr>
        <w:lastRenderedPageBreak/>
        <w:t>PRIMERO. De la competencia</w:t>
      </w: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D2054" w:rsidRDefault="00BD2054">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b/>
          <w:bCs/>
          <w:color w:val="000000"/>
        </w:rPr>
      </w:pPr>
      <w:bookmarkStart w:id="4" w:name="_heading=h.e0g3t38tvh8b" w:colFirst="0" w:colLast="0"/>
      <w:bookmarkEnd w:id="4"/>
    </w:p>
    <w:p w:rsidR="00BD2054" w:rsidRDefault="00C34E74">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b/>
          <w:bCs/>
          <w:color w:val="000000"/>
        </w:rPr>
      </w:pPr>
      <w:bookmarkStart w:id="5" w:name="_heading=h.p1tun44w9xnh" w:colFirst="0" w:colLast="0"/>
      <w:bookmarkEnd w:id="5"/>
      <w:r>
        <w:rPr>
          <w:rFonts w:ascii="Palatino Linotype" w:eastAsia="Palatino Linotype" w:hAnsi="Palatino Linotype" w:cs="Palatino Linotype"/>
          <w:b/>
          <w:bCs/>
          <w:color w:val="000000"/>
        </w:rPr>
        <w:t>SEGUNDO. De la oportunidad y procedencia.</w:t>
      </w: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bookmarkStart w:id="6" w:name="_heading=h.kqu0d0ri3ovl" w:colFirst="0" w:colLast="0"/>
      <w:bookmarkEnd w:id="6"/>
      <w:r>
        <w:rPr>
          <w:rFonts w:ascii="Palatino Linotype" w:eastAsia="Palatino Linotype" w:hAnsi="Palatino Linotype" w:cs="Palatino Linotype"/>
          <w:color w:val="000000"/>
        </w:rPr>
        <w:t xml:space="preserve">El medio de impugnación fue presentado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hizo entrega de la información solicitada, el </w:t>
      </w:r>
      <w:r>
        <w:rPr>
          <w:rFonts w:ascii="Palatino Linotype" w:eastAsia="Palatino Linotype" w:hAnsi="Palatino Linotype" w:cs="Palatino Linotype"/>
          <w:b/>
          <w:bCs/>
          <w:color w:val="000000"/>
        </w:rPr>
        <w:t>veinte de octubre de dos mil veintiséis</w:t>
      </w:r>
      <w:r>
        <w:rPr>
          <w:rFonts w:ascii="Palatino Linotype" w:eastAsia="Palatino Linotype" w:hAnsi="Palatino Linotype" w:cs="Palatino Linotype"/>
          <w:color w:val="000000"/>
        </w:rPr>
        <w:t>, de tal forma que el plazo para interponer el recurso de revisión transcurrió del</w:t>
      </w:r>
      <w:r>
        <w:rPr>
          <w:rFonts w:ascii="Palatino Linotype" w:eastAsia="Palatino Linotype" w:hAnsi="Palatino Linotype" w:cs="Palatino Linotype"/>
          <w:b/>
          <w:bCs/>
          <w:color w:val="000000"/>
        </w:rPr>
        <w:t xml:space="preserve"> veintiuno de octubre al once de noviembre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w:t>
      </w:r>
      <w:r>
        <w:rPr>
          <w:rFonts w:ascii="Palatino Linotype" w:eastAsia="Palatino Linotype" w:hAnsi="Palatino Linotype" w:cs="Palatino Linotype"/>
          <w:b/>
          <w:bCs/>
          <w:color w:val="000000"/>
        </w:rPr>
        <w:t>veintisiete de octubre de dos mil veintiséis</w:t>
      </w:r>
      <w:r>
        <w:rPr>
          <w:rFonts w:ascii="Palatino Linotype" w:eastAsia="Palatino Linotype" w:hAnsi="Palatino Linotype" w:cs="Palatino Linotype"/>
          <w:color w:val="000000"/>
        </w:rPr>
        <w:t>; por lo que se estima que la inconformidad se presentó dentro del lapso legalmente establecido para tal efecto.</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BD2054" w:rsidRDefault="00BD2054">
      <w:pPr>
        <w:ind w:right="-734"/>
        <w:rPr>
          <w:rFonts w:ascii="Palatino Linotype" w:eastAsia="Palatino Linotype" w:hAnsi="Palatino Linotype" w:cs="Palatino Linotype"/>
        </w:rPr>
      </w:pPr>
    </w:p>
    <w:p w:rsidR="00BD2054" w:rsidRDefault="00C34E74">
      <w:pP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TERCERO. De las causales de sobreseimiento</w:t>
      </w: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que hace a las causas de sobreseimiento contenidas en la fracción III del artículo 192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es oportuno señalar que estos requisitos privilegian la existencia de elementos de fondo, tales como el desistimiento o fallecimiento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o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u w:val="single"/>
        </w:rPr>
        <w:t>modifique o revoque el acto</w:t>
      </w:r>
      <w:r>
        <w:rPr>
          <w:rFonts w:ascii="Palatino Linotype" w:eastAsia="Palatino Linotype" w:hAnsi="Palatino Linotype" w:cs="Palatino Linotype"/>
          <w:color w:val="000000"/>
        </w:rPr>
        <w:t>; de ahí que la actualización de alguno de éstos trae como consecuencia que el medio de impugnación se concluya sin que se analice el objeto de estudio planteado, es decir se sobresea.</w:t>
      </w:r>
    </w:p>
    <w:p w:rsidR="00BD2054" w:rsidRDefault="00BD2054">
      <w:pP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los efectos de esta resolución, es oportuno precisar los alcances jurídicos de la fracción III de la disposición legal transcrita. Así, procede el sobreseimiento del recurso de revisión cuando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p>
    <w:p w:rsidR="00BD2054" w:rsidRDefault="00C34E74">
      <w:pPr>
        <w:numPr>
          <w:ilvl w:val="0"/>
          <w:numId w:val="7"/>
        </w:numPr>
        <w:spacing w:line="360" w:lineRule="auto"/>
        <w:ind w:left="567" w:right="-734"/>
        <w:jc w:val="both"/>
        <w:rPr>
          <w:rFonts w:ascii="Palatino Linotype" w:eastAsia="Palatino Linotype" w:hAnsi="Palatino Linotype" w:cs="Palatino Linotype"/>
        </w:rPr>
      </w:pPr>
      <w:r>
        <w:rPr>
          <w:rFonts w:ascii="Palatino Linotype" w:eastAsia="Palatino Linotype" w:hAnsi="Palatino Linotype" w:cs="Palatino Linotype"/>
          <w:b/>
          <w:bCs/>
        </w:rPr>
        <w:t>Modifique el acto impugnado:</w:t>
      </w:r>
      <w:r>
        <w:rPr>
          <w:rFonts w:ascii="Palatino Linotype" w:eastAsia="Palatino Linotype" w:hAnsi="Palatino Linotype" w:cs="Palatino Linotype"/>
        </w:rPr>
        <w:t xml:space="preserve"> Se actualiza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BD2054" w:rsidRDefault="00C34E74">
      <w:pPr>
        <w:numPr>
          <w:ilvl w:val="0"/>
          <w:numId w:val="7"/>
        </w:numPr>
        <w:spacing w:line="360" w:lineRule="auto"/>
        <w:ind w:left="567" w:right="-734"/>
        <w:jc w:val="both"/>
        <w:rPr>
          <w:rFonts w:ascii="Palatino Linotype" w:eastAsia="Palatino Linotype" w:hAnsi="Palatino Linotype" w:cs="Palatino Linotype"/>
        </w:rPr>
      </w:pPr>
      <w:r>
        <w:rPr>
          <w:rFonts w:ascii="Palatino Linotype" w:eastAsia="Palatino Linotype" w:hAnsi="Palatino Linotype" w:cs="Palatino Linotype"/>
          <w:b/>
          <w:bCs/>
        </w:rPr>
        <w:t>Revoque el acto impugnado:</w:t>
      </w:r>
      <w:r>
        <w:rPr>
          <w:rFonts w:ascii="Palatino Linotype" w:eastAsia="Palatino Linotype" w:hAnsi="Palatino Linotype" w:cs="Palatino Linotype"/>
        </w:rPr>
        <w:t xml:space="preserve"> En este supuesto,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BD2054" w:rsidRDefault="00BD2054">
      <w:pP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Precisado lo anterior, se reitera que el </w:t>
      </w:r>
      <w:r>
        <w:rPr>
          <w:rFonts w:ascii="Palatino Linotype" w:eastAsia="Palatino Linotype" w:hAnsi="Palatino Linotype" w:cs="Palatino Linotype"/>
          <w:b/>
          <w:bCs/>
          <w:color w:val="000000"/>
        </w:rPr>
        <w:t>PARTICULAR</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solicitó</w:t>
      </w:r>
      <w:r>
        <w:rPr>
          <w:rFonts w:ascii="Palatino Linotype" w:eastAsia="Palatino Linotype" w:hAnsi="Palatino Linotype" w:cs="Palatino Linotype"/>
          <w:color w:val="000000"/>
        </w:rPr>
        <w:t xml:space="preserve"> lo siguiente:</w:t>
      </w:r>
    </w:p>
    <w:p w:rsidR="00BD2054" w:rsidRDefault="00C34E74">
      <w:pPr>
        <w:spacing w:line="276" w:lineRule="auto"/>
        <w:ind w:left="709" w:right="-734"/>
        <w:jc w:val="both"/>
        <w:rPr>
          <w:rFonts w:ascii="Palatino Linotype" w:eastAsia="Palatino Linotype" w:hAnsi="Palatino Linotype" w:cs="Palatino Linotype"/>
        </w:rPr>
      </w:pPr>
      <w:r>
        <w:rPr>
          <w:rFonts w:ascii="Palatino Linotype" w:eastAsia="Palatino Linotype" w:hAnsi="Palatino Linotype" w:cs="Palatino Linotype"/>
        </w:rPr>
        <w:t>“Solicito copia del Reglamento Interno o lineamientos que definen las facultades, atribuciones y responsabilidades de la presidenta Honorífica del DIF Ixtapaluca, actualizado a 2025.”</w:t>
      </w:r>
    </w:p>
    <w:p w:rsidR="00BD2054" w:rsidRDefault="00BD2054">
      <w:pPr>
        <w:spacing w:line="276" w:lineRule="auto"/>
        <w:ind w:right="-734"/>
        <w:jc w:val="both"/>
        <w:rPr>
          <w:rFonts w:ascii="Palatino Linotype" w:eastAsia="Palatino Linotype" w:hAnsi="Palatino Linotype" w:cs="Palatino Linotype"/>
          <w:i/>
          <w:iCs/>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no dio respuesta. </w:t>
      </w:r>
    </w:p>
    <w:p w:rsidR="00BD2054" w:rsidRDefault="00BD2054">
      <w:pPr>
        <w:spacing w:line="360" w:lineRule="auto"/>
        <w:ind w:right="-734"/>
        <w:jc w:val="both"/>
        <w:rPr>
          <w:rFonts w:ascii="Palatino Linotype" w:eastAsia="Palatino Linotype" w:hAnsi="Palatino Linotype" w:cs="Palatino Linotype"/>
          <w:b/>
          <w:bCs/>
          <w:i/>
          <w:iCs/>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Inconforme con lo anterior, el ahora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interpuso Recurso de Revisión arguyendo medularmente que no se le hizo entrega de la información solicitada y se ordenó al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la entrega de la información </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i/>
          <w:iCs/>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atención a lo ordenado,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hizo de conocimiento que, </w:t>
      </w:r>
      <w:r>
        <w:rPr>
          <w:rFonts w:ascii="Palatino Linotype" w:eastAsia="Palatino Linotype" w:hAnsi="Palatino Linotype" w:cs="Palatino Linotype"/>
          <w:i/>
          <w:iCs/>
          <w:color w:val="000000"/>
        </w:rPr>
        <w:t>LAS FACULTADES, RESPONSABILIDADES Y ATRIBUCIONES QUE TIENE LA PRESIDENTE DEL SMDIF IXTAPALUCA SE ENCUENTRAN EN LINEA DE LA "LEY OQUE CREA LOS ORGANISMOS PÚBLICOS DESCENTRALIZADOS DE ASISTENCIA SOCIAL, DE CARÁCTER MUNICIPAL, DENOMINADOS "SISTEMAS MUNICIPALES PARA EL DESARROLLO INTEGRAL DE LA FAMILIA", ESTA LA PUDE CONSULTAR DE MANERA GRATUITA EN LINEA.</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i/>
          <w:iCs/>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Inconforme con la información proporcionada, el ahora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interpuso el recurso de revisión </w:t>
      </w:r>
      <w:r>
        <w:rPr>
          <w:rFonts w:ascii="Palatino Linotype" w:eastAsia="Palatino Linotype" w:hAnsi="Palatino Linotype" w:cs="Palatino Linotype"/>
          <w:b/>
          <w:bCs/>
          <w:color w:val="000000"/>
        </w:rPr>
        <w:t>10203/INFOEM/ICR-129/IP/RR/2025</w:t>
      </w:r>
      <w:r>
        <w:rPr>
          <w:rFonts w:ascii="Palatino Linotype" w:eastAsia="Palatino Linotype" w:hAnsi="Palatino Linotype" w:cs="Palatino Linotype"/>
          <w:color w:val="000000"/>
        </w:rPr>
        <w:t xml:space="preserve">, por lo que a continuación se plasmas el estudio correspondiente, con la finalidad de poder determinar si con la información remitida se tiene por colmada la solitud </w:t>
      </w:r>
      <w:r>
        <w:rPr>
          <w:rFonts w:ascii="Palatino Linotype" w:eastAsia="Palatino Linotype" w:hAnsi="Palatino Linotype" w:cs="Palatino Linotype"/>
          <w:b/>
          <w:bCs/>
          <w:color w:val="000000"/>
        </w:rPr>
        <w:t>00068/DIFIXTAPAL/IP/2025.</w:t>
      </w:r>
    </w:p>
    <w:p w:rsidR="00BD2054" w:rsidRDefault="00BD2054">
      <w:pPr>
        <w:spacing w:line="360" w:lineRule="auto"/>
        <w:ind w:right="-734"/>
        <w:jc w:val="both"/>
        <w:rPr>
          <w:rFonts w:ascii="Palatino Linotype" w:eastAsia="Palatino Linotype" w:hAnsi="Palatino Linotype" w:cs="Palatino Linotype"/>
          <w:i/>
          <w:iCs/>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respecto la fuente obligacional, se obvia el análisis de la competencia por parte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para generar, administrar o poseer la información solicitada, dado que éste ha asumido la misma conforme documentación proporcionada, razón por la cual, al haberse pronunciado es que acepta poseer y administrar dicha información en ejercicio de sus funciones de derecho público, motivo por el cual se actualiza el supuesto jurídico, previsto en el artículo 12 de la Ley de Transparencia y Acceso a la Información Pública del Estado de México y Municipios.</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Precisado lo anterior y en atención a lo ordenado, en un primer momento,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únicamente refirió en donde se localizaba la información solicitada, posteriormente, en etapa de manifestaciones, se hizo entrega en formato pdf, del Manual de Organización del SMIDF 2022-2024 y del Reglamento Interno del SMIDIF 2025-2027. </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colige que con el informe justificado se modificó la respuesta, para así quedar colmada en su totalidad la solicitud de información que nos ocupa, ya que se hizo entrega de la información en formato pdf, remitiendo el Reglamento Interno y el Manual, en donde se refirió se encuentra lo solicitado y con el que cuenta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vigente al siete de agosto de dos mil veinticinco</w:t>
      </w:r>
    </w:p>
    <w:p w:rsidR="00BD2054" w:rsidRDefault="00BD2054">
      <w:pPr>
        <w:spacing w:line="360" w:lineRule="auto"/>
        <w:ind w:right="-734"/>
        <w:jc w:val="both"/>
        <w:rPr>
          <w:rFonts w:ascii="Palatino Linotype" w:eastAsia="Palatino Linotype" w:hAnsi="Palatino Linotype" w:cs="Palatino Linotype"/>
          <w:i/>
          <w:iCs/>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y de conformidad con lo establecido en el artículo 12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anteriormente invocado,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únicamente proporcionará la información que obra en sus archivos, lo que a</w:t>
      </w:r>
      <w:r>
        <w:rPr>
          <w:rFonts w:ascii="Palatino Linotype" w:eastAsia="Palatino Linotype" w:hAnsi="Palatino Linotype" w:cs="Palatino Linotype"/>
          <w:i/>
          <w:iCs/>
          <w:color w:val="000000"/>
        </w:rPr>
        <w:t xml:space="preserve"> contrario sensu</w:t>
      </w:r>
      <w:r>
        <w:rPr>
          <w:rFonts w:ascii="Palatino Linotype" w:eastAsia="Palatino Linotype" w:hAnsi="Palatino Linotype" w:cs="Palatino Linotype"/>
          <w:color w:val="000000"/>
        </w:rPr>
        <w:t xml:space="preserve"> significa que no se está obligado a proporcionar lo que no obre en sus archivos.</w:t>
      </w:r>
    </w:p>
    <w:p w:rsidR="00BD2054" w:rsidRDefault="00BD2054">
      <w:pP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mismo, es necesario señalar que éste Órgano Garante no está facultado para pronunciarse sobre la veracidad de la información que los Sujetos Obligados ponen a disposición de los solicitantes; situación que se aleja de las atribuciones de este Instituto máxime que al momento que ponen a disposición ésta, la misma tiene el carácter oficial y se presume veraz, tan es así que la misma queda registrada en el Sistema de Acceso a la Información Mexiquense (SAIMEX).</w:t>
      </w:r>
    </w:p>
    <w:p w:rsidR="00BD2054" w:rsidRDefault="00BD2054">
      <w:pPr>
        <w:spacing w:line="360" w:lineRule="auto"/>
        <w:ind w:right="-734"/>
        <w:jc w:val="both"/>
        <w:rPr>
          <w:rFonts w:ascii="Palatino Linotype" w:eastAsia="Palatino Linotype" w:hAnsi="Palatino Linotype" w:cs="Palatino Linotype"/>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Sirviendo de apoyo a lo anterior por analogía, el criterio 31-10 emitido por el ahora Instituto Nacional de Transparencia, Acceso a la Información y Protección de Datos Personales, que a la letra dice:</w:t>
      </w:r>
    </w:p>
    <w:p w:rsidR="00BD2054" w:rsidRDefault="00C34E74">
      <w:pPr>
        <w:pBdr>
          <w:top w:val="nil"/>
          <w:left w:val="nil"/>
          <w:bottom w:val="nil"/>
          <w:right w:val="nil"/>
          <w:between w:val="nil"/>
        </w:pBdr>
        <w:spacing w:before="240" w:after="360" w:line="360" w:lineRule="auto"/>
        <w:ind w:left="851"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Instituto Federal de Acceso a la Información y Protección de Datos </w:t>
      </w:r>
      <w:r>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mismo,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BD2054" w:rsidRDefault="00C34E74">
      <w:pPr>
        <w:pBdr>
          <w:top w:val="nil"/>
          <w:left w:val="nil"/>
          <w:bottom w:val="nil"/>
          <w:right w:val="nil"/>
          <w:between w:val="nil"/>
        </w:pBdr>
        <w:spacing w:line="360" w:lineRule="auto"/>
        <w:ind w:left="644"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w:t>
      </w:r>
      <w:r>
        <w:rPr>
          <w:rFonts w:ascii="Palatino Linotype" w:eastAsia="Palatino Linotype" w:hAnsi="Palatino Linotype" w:cs="Palatino Linotype"/>
          <w:i/>
          <w:iCs/>
          <w:color w:val="000000"/>
        </w:rPr>
        <w:lastRenderedPageBreak/>
        <w:t xml:space="preserve">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BD2054" w:rsidRDefault="00BD2054">
      <w:pPr>
        <w:spacing w:line="360" w:lineRule="auto"/>
        <w:ind w:right="-734"/>
        <w:jc w:val="both"/>
        <w:rPr>
          <w:rFonts w:ascii="Palatino Linotype" w:eastAsia="Palatino Linotype" w:hAnsi="Palatino Linotype" w:cs="Palatino Linotype"/>
          <w:b/>
          <w:bCs/>
          <w:i/>
          <w:iCs/>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Numerales que compelen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apegarse en todo momento a los criterios ya expuestos, </w:t>
      </w:r>
      <w:r>
        <w:rPr>
          <w:rFonts w:ascii="Palatino Linotype" w:eastAsia="Palatino Linotype" w:hAnsi="Palatino Linotype" w:cs="Palatino Linotype"/>
        </w:rPr>
        <w:t>impidiendo</w:t>
      </w:r>
      <w:r>
        <w:rPr>
          <w:rFonts w:ascii="Palatino Linotype" w:eastAsia="Palatino Linotype" w:hAnsi="Palatino Linotype" w:cs="Palatino Linotype"/>
          <w:color w:val="000000"/>
        </w:rPr>
        <w:t xml:space="preserve">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p>
    <w:p w:rsidR="00BD2054" w:rsidRDefault="00BD2054">
      <w:pP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las consecuencias jurídicas de esta modificación o revocación es que el recurso de revisión interpuesto quede sin efectos o sin materia, ya que un acto impugnado </w:t>
      </w:r>
      <w:r>
        <w:rPr>
          <w:rFonts w:ascii="Palatino Linotype" w:eastAsia="Palatino Linotype" w:hAnsi="Palatino Linotype" w:cs="Palatino Linotype"/>
        </w:rPr>
        <w:t>quedará</w:t>
      </w:r>
      <w:r>
        <w:rPr>
          <w:rFonts w:ascii="Palatino Linotype" w:eastAsia="Palatino Linotype" w:hAnsi="Palatino Linotype" w:cs="Palatino Linotype"/>
          <w:color w:val="000000"/>
        </w:rPr>
        <w:t xml:space="preserve"> sin efectos, cuando aun existiendo jurídicamente, no genera consecuencia legal alguna; queda sin materia, cuando ha sido satisfecha la pretensión del particular, ya sea porque se hizo la entrega de la información solicitada o porque se completó la misma, como ocurrió en el caso que nos ocupa.</w:t>
      </w:r>
    </w:p>
    <w:p w:rsidR="00BD2054" w:rsidRDefault="00BD2054">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este Pleno advierte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 la información enviada a través del informe de justificación, </w:t>
      </w:r>
      <w:r>
        <w:rPr>
          <w:rFonts w:ascii="Palatino Linotype" w:eastAsia="Palatino Linotype" w:hAnsi="Palatino Linotype" w:cs="Palatino Linotype"/>
          <w:b/>
          <w:bCs/>
          <w:color w:val="000000"/>
        </w:rPr>
        <w:t>modifica</w:t>
      </w:r>
      <w:r>
        <w:rPr>
          <w:rFonts w:ascii="Palatino Linotype" w:eastAsia="Palatino Linotype" w:hAnsi="Palatino Linotype" w:cs="Palatino Linotype"/>
          <w:color w:val="000000"/>
        </w:rPr>
        <w:t xml:space="preserve"> el acto que le dio origen al recurso de revisión, lo que trae como consecuencia que, el presente recurso quede sin materia, actualizándose de este modo, la hipótesis jurídica contenida en la fracción III del artículo 192 </w:t>
      </w:r>
      <w:r>
        <w:rPr>
          <w:rFonts w:ascii="Palatino Linotype" w:eastAsia="Palatino Linotype" w:hAnsi="Palatino Linotype" w:cs="Palatino Linotype"/>
          <w:color w:val="000000"/>
        </w:rPr>
        <w:lastRenderedPageBreak/>
        <w:t>de la Ley de Transparencia y Acceso a la Información Pública del Estado de México y Municipios</w:t>
      </w:r>
    </w:p>
    <w:p w:rsidR="00BD2054" w:rsidRDefault="00BD2054">
      <w:pP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Dicho lo anterior este Órgano Resolutor arriba a la conclusión que, con la información proporcionada al momento de rendir el Informe Justificado correspondiente, se modificó la respuesta primigenia, quedando colmada en su totalidad la solicitud</w:t>
      </w:r>
      <w:r>
        <w:rPr>
          <w:rFonts w:ascii="Palatino Linotype" w:eastAsia="Palatino Linotype" w:hAnsi="Palatino Linotype" w:cs="Palatino Linotype"/>
          <w:b/>
          <w:bCs/>
          <w:color w:val="000000"/>
        </w:rPr>
        <w:t>  00068/DIFIXTAPAL/IP/2025.</w:t>
      </w:r>
    </w:p>
    <w:p w:rsidR="00BD2054" w:rsidRDefault="00BD2054">
      <w:pP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la ley prevé que cuando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planteada, debido a que la afectación en su esfera de derechos fue restituida por la propia autoridad que emitió el acto motivo de impugnación.</w:t>
      </w: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Sirve de sustento a lo anterior la siguiente jurisprudencia por contradicción, cuyo rubro, texto y datos de identificación son los siguientes:</w:t>
      </w:r>
    </w:p>
    <w:p w:rsidR="00BD2054" w:rsidRDefault="00C34E74">
      <w:pPr>
        <w:spacing w:line="276"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Pr>
          <w:rFonts w:ascii="Palatino Linotype" w:eastAsia="Palatino Linotype" w:hAnsi="Palatino Linotype" w:cs="Palatino Linotype"/>
          <w:i/>
          <w:iCs/>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w:t>
      </w:r>
      <w:r>
        <w:rPr>
          <w:rFonts w:ascii="Palatino Linotype" w:eastAsia="Palatino Linotype" w:hAnsi="Palatino Linotype" w:cs="Palatino Linotype"/>
          <w:i/>
          <w:iCs/>
        </w:rPr>
        <w:lastRenderedPageBreak/>
        <w:t>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BD2054" w:rsidRDefault="00BD2054">
      <w:pPr>
        <w:spacing w:line="360" w:lineRule="auto"/>
        <w:ind w:left="708" w:right="-734"/>
        <w:jc w:val="both"/>
        <w:rPr>
          <w:rFonts w:ascii="Palatino Linotype" w:eastAsia="Palatino Linotype" w:hAnsi="Palatino Linotype" w:cs="Palatino Linotype"/>
          <w:i/>
          <w:iCs/>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anterior jurisprudencia resulta aplicable al presente asunto, en dos aspectos:</w:t>
      </w:r>
    </w:p>
    <w:p w:rsidR="00BD2054" w:rsidRDefault="00C34E74">
      <w:pPr>
        <w:numPr>
          <w:ilvl w:val="0"/>
          <w:numId w:val="8"/>
        </w:numPr>
        <w:spacing w:line="276" w:lineRule="auto"/>
        <w:ind w:left="709" w:right="-734" w:hanging="283"/>
        <w:jc w:val="both"/>
        <w:rPr>
          <w:rFonts w:ascii="Palatino Linotype" w:eastAsia="Palatino Linotype" w:hAnsi="Palatino Linotype" w:cs="Palatino Linotype"/>
        </w:rPr>
      </w:pPr>
      <w:r>
        <w:rPr>
          <w:rFonts w:ascii="Palatino Linotype" w:eastAsia="Palatino Linotype" w:hAnsi="Palatino Linotype" w:cs="Palatino Linotype"/>
          <w:b/>
          <w:bCs/>
        </w:rPr>
        <w:t>La cesación de los efectos perniciosos del acto de autoridad:</w:t>
      </w:r>
      <w:r>
        <w:rPr>
          <w:rFonts w:ascii="Palatino Linotype" w:eastAsia="Palatino Linotype" w:hAnsi="Palatino Linotype" w:cs="Palatino Linotype"/>
        </w:rPr>
        <w:t xml:space="preserve"> Al respecto, la Ley de Transparencia contempla la figura jurídica del sobreseimiento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w:t>
      </w:r>
      <w:r>
        <w:rPr>
          <w:rFonts w:ascii="Palatino Linotype" w:eastAsia="Palatino Linotype" w:hAnsi="Palatino Linotype" w:cs="Palatino Linotype"/>
          <w:i/>
          <w:iCs/>
        </w:rPr>
        <w:t>motu proprio</w:t>
      </w:r>
      <w:r>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rsidR="00BD2054" w:rsidRDefault="00C34E74">
      <w:pPr>
        <w:numPr>
          <w:ilvl w:val="0"/>
          <w:numId w:val="8"/>
        </w:numPr>
        <w:spacing w:line="276" w:lineRule="auto"/>
        <w:ind w:left="709" w:right="-734" w:hanging="283"/>
        <w:jc w:val="both"/>
        <w:rPr>
          <w:rFonts w:ascii="Palatino Linotype" w:eastAsia="Palatino Linotype" w:hAnsi="Palatino Linotype" w:cs="Palatino Linotype"/>
        </w:rPr>
      </w:pPr>
      <w:r>
        <w:rPr>
          <w:rFonts w:ascii="Palatino Linotype" w:eastAsia="Palatino Linotype" w:hAnsi="Palatino Linotype" w:cs="Palatino Linotype"/>
          <w:b/>
          <w:bCs/>
        </w:rPr>
        <w:t>El momento procesal para modificar el acto impugnado:</w:t>
      </w:r>
      <w:r>
        <w:rPr>
          <w:rFonts w:ascii="Palatino Linotype" w:eastAsia="Palatino Linotype" w:hAnsi="Palatino Linotype" w:cs="Palatino Linotype"/>
        </w:rPr>
        <w:t xml:space="preserve"> Para que se actualice el sobreseimiento de un recurso de revisión,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puede entregar o completar la información al momento de rendir su informe de justificación o </w:t>
      </w:r>
      <w:r>
        <w:rPr>
          <w:rFonts w:ascii="Palatino Linotype" w:eastAsia="Palatino Linotype" w:hAnsi="Palatino Linotype" w:cs="Palatino Linotype"/>
          <w:b/>
          <w:bCs/>
          <w:u w:val="single"/>
        </w:rPr>
        <w:t>posteriormente</w:t>
      </w:r>
      <w:r>
        <w:rPr>
          <w:rFonts w:ascii="Palatino Linotype" w:eastAsia="Palatino Linotype" w:hAnsi="Palatino Linotype" w:cs="Palatino Linotype"/>
        </w:rPr>
        <w:t xml:space="preserve"> a éste, siempre y cuando el Pleno del Instituto no haya dictado resolución definitiva.</w:t>
      </w:r>
    </w:p>
    <w:p w:rsidR="00BD2054" w:rsidRDefault="00BD2054">
      <w:pP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Eduardo Pallares, en su artículo </w:t>
      </w:r>
      <w:r>
        <w:rPr>
          <w:rFonts w:ascii="Palatino Linotype" w:eastAsia="Palatino Linotype" w:hAnsi="Palatino Linotype" w:cs="Palatino Linotype"/>
          <w:i/>
          <w:iCs/>
          <w:color w:val="000000"/>
        </w:rPr>
        <w:t>“La caducidad y el sobreseimiento en el amparo”</w:t>
      </w:r>
      <w:r>
        <w:rPr>
          <w:rFonts w:ascii="Palatino Linotype" w:eastAsia="Palatino Linotype" w:hAnsi="Palatino Linotype" w:cs="Palatino Linotype"/>
          <w:color w:val="000000"/>
        </w:rPr>
        <w:t xml:space="preserve">, cita la definición de Aguilera Paz, aduciendo que se </w:t>
      </w:r>
      <w:r>
        <w:rPr>
          <w:rFonts w:ascii="Palatino Linotype" w:eastAsia="Palatino Linotype" w:hAnsi="Palatino Linotype" w:cs="Palatino Linotype"/>
          <w:i/>
          <w:iCs/>
          <w:color w:val="000000"/>
        </w:rPr>
        <w:t>“...entiende por sobreseimiento en el tecnicismo forense, el hecho de cesar en el procedimiento o curso de la causa, por no existir méritos bastantes para entrar en un juicio o para entablar la contienda judicial que debe ser objeto del mismo...”</w:t>
      </w:r>
      <w:r>
        <w:rPr>
          <w:rFonts w:ascii="Palatino Linotype" w:eastAsia="Palatino Linotype" w:hAnsi="Palatino Linotype" w:cs="Palatino Linotype"/>
          <w:color w:val="000000"/>
        </w:rPr>
        <w:t>. Asimismo señala que existe el sobreseimiento provisional y el definitivo</w:t>
      </w:r>
      <w:r>
        <w:rPr>
          <w:rFonts w:ascii="Palatino Linotype" w:eastAsia="Palatino Linotype" w:hAnsi="Palatino Linotype" w:cs="Palatino Linotype"/>
          <w:i/>
          <w:iCs/>
          <w:color w:val="000000"/>
        </w:rPr>
        <w:t>: “...el definitivo es una verdadera sentencia que pone fin al juicio, y que una vez dictada, produce cosa juzgada, mientras que el provisorio tiene por efectos suspender la prosecución de la causa...”</w:t>
      </w:r>
    </w:p>
    <w:p w:rsidR="00BD2054" w:rsidRDefault="00BD2054">
      <w:pP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Asimismo, para que se actualice el sobreseimiento de un recurso de revisión,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puede entregar, completar o precisar la información al momento de rendir su informe justificado o dentro de los siete días previstos para manifestar lo que a su derecho convenga, lo anterior también puede ocurrir si entrega la información después de ese lapso pero antes del cierre de instrucción, tal como aconteció en el presente recurso.</w:t>
      </w:r>
    </w:p>
    <w:p w:rsidR="00BD2054" w:rsidRDefault="00BD2054">
      <w:pPr>
        <w:spacing w:line="360" w:lineRule="auto"/>
        <w:ind w:right="-734"/>
        <w:jc w:val="both"/>
        <w:rPr>
          <w:rFonts w:ascii="Palatino Linotype" w:eastAsia="Palatino Linotype" w:hAnsi="Palatino Linotype" w:cs="Palatino Linotype"/>
        </w:rPr>
      </w:pP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Bajo ese tenor, con la nueva información remitida por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se colige que se colma la solicitud de información </w:t>
      </w:r>
      <w:r>
        <w:rPr>
          <w:rFonts w:ascii="Palatino Linotype" w:eastAsia="Palatino Linotype" w:hAnsi="Palatino Linotype" w:cs="Palatino Linotype"/>
          <w:b/>
          <w:bCs/>
          <w:color w:val="000000"/>
        </w:rPr>
        <w:t xml:space="preserve"> 00068/DIFIXTAPAL/IP/2025, </w:t>
      </w:r>
      <w:r>
        <w:rPr>
          <w:rFonts w:ascii="Palatino Linotype" w:eastAsia="Palatino Linotype" w:hAnsi="Palatino Linotype" w:cs="Palatino Linotype"/>
          <w:color w:val="000000"/>
        </w:rPr>
        <w:t xml:space="preserve">y consecuentemente, los motivos de inconformidad hechos valer por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devienen inatendibles por actualizarse la figura del sobreseimiento, al cumplimentarse su derecho de acceso a la información y al quedarse </w:t>
      </w:r>
      <w:r>
        <w:rPr>
          <w:rFonts w:ascii="Palatino Linotype" w:eastAsia="Palatino Linotype" w:hAnsi="Palatino Linotype" w:cs="Palatino Linotype"/>
        </w:rPr>
        <w:t>sin materia</w:t>
      </w:r>
      <w:r>
        <w:rPr>
          <w:rFonts w:ascii="Palatino Linotype" w:eastAsia="Palatino Linotype" w:hAnsi="Palatino Linotype" w:cs="Palatino Linotype"/>
          <w:color w:val="000000"/>
        </w:rPr>
        <w:t xml:space="preserve"> el presente recurso, por lo que, en términos del artículo 186 fracción I este Pleno determina el </w:t>
      </w:r>
      <w:r>
        <w:rPr>
          <w:rFonts w:ascii="Palatino Linotype" w:eastAsia="Palatino Linotype" w:hAnsi="Palatino Linotype" w:cs="Palatino Linotype"/>
          <w:b/>
          <w:bCs/>
          <w:color w:val="000000"/>
        </w:rPr>
        <w:t xml:space="preserve">SOBRESEIMIENTO </w:t>
      </w:r>
      <w:r>
        <w:rPr>
          <w:rFonts w:ascii="Palatino Linotype" w:eastAsia="Palatino Linotype" w:hAnsi="Palatino Linotype" w:cs="Palatino Linotype"/>
          <w:color w:val="000000"/>
        </w:rPr>
        <w:t>del presente recurso de revisión, toda vez que la afectación al derecho de acceso a la información pública establecido constitucionalmente a favor del particular, ha sido resarcida.</w:t>
      </w:r>
    </w:p>
    <w:p w:rsidR="00BD2054" w:rsidRDefault="00C34E74">
      <w:pPr>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BD2054" w:rsidRDefault="00BD2054">
      <w:pPr>
        <w:spacing w:line="360" w:lineRule="auto"/>
        <w:ind w:right="-734"/>
        <w:jc w:val="both"/>
        <w:rPr>
          <w:rFonts w:ascii="Palatino Linotype" w:eastAsia="Palatino Linotype" w:hAnsi="Palatino Linotype" w:cs="Palatino Linotype"/>
        </w:rPr>
      </w:pPr>
    </w:p>
    <w:p w:rsidR="00BD2054" w:rsidRDefault="00C34E74">
      <w:pPr>
        <w:keepNext/>
        <w:keepLines/>
        <w:spacing w:line="360" w:lineRule="auto"/>
        <w:ind w:right="-734"/>
        <w:jc w:val="center"/>
        <w:rPr>
          <w:rFonts w:ascii="Palatino Linotype" w:eastAsia="Palatino Linotype" w:hAnsi="Palatino Linotype" w:cs="Palatino Linotype"/>
          <w:b/>
          <w:bCs/>
        </w:rPr>
      </w:pPr>
      <w:bookmarkStart w:id="7" w:name="_heading=h.lu5pl3jrlb9" w:colFirst="0" w:colLast="0"/>
      <w:bookmarkEnd w:id="7"/>
      <w:r>
        <w:rPr>
          <w:rFonts w:ascii="Palatino Linotype" w:eastAsia="Palatino Linotype" w:hAnsi="Palatino Linotype" w:cs="Palatino Linotype"/>
          <w:b/>
          <w:bCs/>
        </w:rPr>
        <w:t>R E S O L U T I V O S</w:t>
      </w:r>
    </w:p>
    <w:p w:rsidR="00BD2054" w:rsidRDefault="00BD2054">
      <w:pPr>
        <w:keepNext/>
        <w:keepLines/>
        <w:spacing w:line="360" w:lineRule="auto"/>
        <w:ind w:right="-734"/>
        <w:jc w:val="center"/>
        <w:rPr>
          <w:rFonts w:ascii="Palatino Linotype" w:eastAsia="Palatino Linotype" w:hAnsi="Palatino Linotype" w:cs="Palatino Linotype"/>
          <w:b/>
          <w:bCs/>
        </w:rPr>
      </w:pPr>
    </w:p>
    <w:p w:rsidR="00BD2054" w:rsidRDefault="00C34E7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SOBRESEE</w:t>
      </w:r>
      <w:r>
        <w:rPr>
          <w:rFonts w:ascii="Palatino Linotype" w:eastAsia="Palatino Linotype" w:hAnsi="Palatino Linotype" w:cs="Palatino Linotype"/>
        </w:rPr>
        <w:t xml:space="preserve"> el Recurso de Revisión número</w:t>
      </w:r>
      <w:r>
        <w:rPr>
          <w:rFonts w:ascii="Palatino Linotype" w:eastAsia="Palatino Linotype" w:hAnsi="Palatino Linotype" w:cs="Palatino Linotype"/>
          <w:b/>
          <w:bCs/>
        </w:rPr>
        <w:t xml:space="preserve"> 10203/INFOEM/ICR-129/IP/RR/2025</w:t>
      </w:r>
      <w:r>
        <w:rPr>
          <w:rFonts w:ascii="Palatino Linotype" w:eastAsia="Palatino Linotype" w:hAnsi="Palatino Linotype" w:cs="Palatino Linotype"/>
        </w:rPr>
        <w:t xml:space="preserve">,  conforme al artículo 192 fracción III, porque al modificar la respuesta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el recurso de revisión quedó sin materia en términos del  Considerando </w:t>
      </w:r>
      <w:r>
        <w:rPr>
          <w:rFonts w:ascii="Palatino Linotype" w:eastAsia="Palatino Linotype" w:hAnsi="Palatino Linotype" w:cs="Palatino Linotype"/>
          <w:b/>
          <w:bCs/>
        </w:rPr>
        <w:t>TERCERO</w:t>
      </w:r>
      <w:r>
        <w:rPr>
          <w:rFonts w:ascii="Palatino Linotype" w:eastAsia="Palatino Linotype" w:hAnsi="Palatino Linotype" w:cs="Palatino Linotype"/>
        </w:rPr>
        <w:t xml:space="preserve"> de la presente resolución.</w:t>
      </w:r>
    </w:p>
    <w:p w:rsidR="00BD2054" w:rsidRDefault="00BD2054">
      <w:pPr>
        <w:spacing w:line="360" w:lineRule="auto"/>
        <w:ind w:right="-734"/>
        <w:jc w:val="both"/>
        <w:rPr>
          <w:rFonts w:ascii="Palatino Linotype" w:eastAsia="Palatino Linotype" w:hAnsi="Palatino Linotype" w:cs="Palatino Linotype"/>
          <w:b/>
          <w:bCs/>
        </w:rPr>
      </w:pPr>
    </w:p>
    <w:p w:rsidR="00BD2054" w:rsidRDefault="00C34E74">
      <w:pPr>
        <w:spacing w:line="360" w:lineRule="auto"/>
        <w:ind w:right="-734"/>
        <w:jc w:val="both"/>
        <w:rPr>
          <w:rFonts w:ascii="Palatino Linotype" w:eastAsia="Palatino Linotype" w:hAnsi="Palatino Linotype" w:cs="Palatino Linotype"/>
          <w:b/>
          <w:bCs/>
        </w:rPr>
      </w:pPr>
      <w:bookmarkStart w:id="8" w:name="_heading=h.utmvdjqwv1qh" w:colFirst="0" w:colLast="0"/>
      <w:bookmarkEnd w:id="8"/>
      <w:r>
        <w:rPr>
          <w:rFonts w:ascii="Palatino Linotype" w:eastAsia="Palatino Linotype" w:hAnsi="Palatino Linotype" w:cs="Palatino Linotype"/>
          <w:b/>
          <w:bCs/>
        </w:rPr>
        <w:lastRenderedPageBreak/>
        <w:t xml:space="preserve">SEGUNDO. Notifíquese </w:t>
      </w:r>
      <w:r>
        <w:rPr>
          <w:rFonts w:ascii="Palatino Linotype" w:eastAsia="Palatino Linotype" w:hAnsi="Palatino Linotype" w:cs="Palatino Linotype"/>
        </w:rPr>
        <w:t xml:space="preserve">a través del Sistema de Acceso a la Información Mexiquense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la presente resolución al Titular de la Unidad de Transparencia del</w:t>
      </w:r>
      <w:r>
        <w:rPr>
          <w:rFonts w:ascii="Palatino Linotype" w:eastAsia="Palatino Linotype" w:hAnsi="Palatino Linotype" w:cs="Palatino Linotype"/>
          <w:b/>
          <w:bCs/>
        </w:rPr>
        <w:t xml:space="preserve"> SUJETO OBLIGADO. </w:t>
      </w:r>
    </w:p>
    <w:p w:rsidR="00BD2054" w:rsidRDefault="00BD2054">
      <w:pPr>
        <w:spacing w:line="360" w:lineRule="auto"/>
        <w:ind w:right="-734"/>
        <w:jc w:val="both"/>
        <w:rPr>
          <w:rFonts w:ascii="Palatino Linotype" w:eastAsia="Palatino Linotype" w:hAnsi="Palatino Linotype" w:cs="Palatino Linotype"/>
          <w:b/>
          <w:bCs/>
        </w:rPr>
      </w:pPr>
    </w:p>
    <w:p w:rsidR="00BD2054" w:rsidRDefault="00C34E7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al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la presente resolución, vía SAIMEX.</w:t>
      </w:r>
    </w:p>
    <w:p w:rsidR="00BD2054" w:rsidRDefault="00BD2054">
      <w:pPr>
        <w:tabs>
          <w:tab w:val="left" w:pos="8080"/>
        </w:tabs>
        <w:spacing w:line="360" w:lineRule="auto"/>
        <w:ind w:right="-734"/>
        <w:jc w:val="both"/>
        <w:rPr>
          <w:rFonts w:ascii="Palatino Linotype" w:eastAsia="Palatino Linotype" w:hAnsi="Palatino Linotype" w:cs="Palatino Linotype"/>
          <w:b/>
          <w:bCs/>
        </w:rPr>
      </w:pPr>
    </w:p>
    <w:p w:rsidR="00BD2054" w:rsidRDefault="00C34E74">
      <w:pPr>
        <w:shd w:val="clear" w:color="auto" w:fill="FFFFFF"/>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CUARTO.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BD2054" w:rsidRDefault="00BD2054">
      <w:pPr>
        <w:shd w:val="clear" w:color="auto" w:fill="FFFFFF"/>
        <w:spacing w:line="360" w:lineRule="auto"/>
        <w:ind w:right="-734"/>
        <w:jc w:val="both"/>
        <w:rPr>
          <w:rFonts w:ascii="Palatino Linotype" w:eastAsia="Palatino Linotype" w:hAnsi="Palatino Linotype" w:cs="Palatino Linotype"/>
        </w:rPr>
      </w:pPr>
    </w:p>
    <w:p w:rsidR="00D173FA" w:rsidRPr="003E2295" w:rsidRDefault="00D173FA" w:rsidP="00D173FA">
      <w:pPr>
        <w:spacing w:before="240" w:after="240" w:line="360" w:lineRule="auto"/>
        <w:ind w:right="-737" w:firstLine="1"/>
        <w:jc w:val="both"/>
        <w:rPr>
          <w:rFonts w:ascii="Palatino Linotype" w:hAnsi="Palatino Linotype"/>
        </w:rPr>
      </w:pPr>
      <w:bookmarkStart w:id="9"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BD2054" w:rsidRDefault="00BD2054" w:rsidP="00D173FA">
      <w:pPr>
        <w:spacing w:line="360" w:lineRule="auto"/>
        <w:ind w:right="-737"/>
        <w:jc w:val="both"/>
        <w:rPr>
          <w:rFonts w:ascii="Palatino Linotype" w:eastAsia="Palatino Linotype" w:hAnsi="Palatino Linotype" w:cs="Palatino Linotype"/>
        </w:rPr>
      </w:pPr>
    </w:p>
    <w:p w:rsidR="00BD2054" w:rsidRDefault="00BD2054" w:rsidP="00D173FA">
      <w:pPr>
        <w:spacing w:line="360" w:lineRule="auto"/>
        <w:ind w:right="-737"/>
        <w:jc w:val="both"/>
        <w:rPr>
          <w:rFonts w:ascii="Palatino Linotype" w:eastAsia="Palatino Linotype" w:hAnsi="Palatino Linotype" w:cs="Palatino Linotype"/>
        </w:rPr>
      </w:pPr>
    </w:p>
    <w:p w:rsidR="00BD2054" w:rsidRDefault="00BD2054" w:rsidP="00D173FA">
      <w:pPr>
        <w:spacing w:line="360" w:lineRule="auto"/>
        <w:ind w:right="-737"/>
        <w:jc w:val="both"/>
        <w:rPr>
          <w:rFonts w:ascii="Palatino Linotype" w:eastAsia="Palatino Linotype" w:hAnsi="Palatino Linotype" w:cs="Palatino Linotype"/>
        </w:rPr>
      </w:pPr>
    </w:p>
    <w:p w:rsidR="00BD2054" w:rsidRDefault="00BD2054">
      <w:pPr>
        <w:spacing w:line="360" w:lineRule="auto"/>
        <w:ind w:right="-734"/>
        <w:rPr>
          <w:rFonts w:ascii="Palatino Linotype" w:eastAsia="Palatino Linotype" w:hAnsi="Palatino Linotype" w:cs="Palatino Linotype"/>
        </w:rPr>
      </w:pPr>
    </w:p>
    <w:p w:rsidR="003B07E8" w:rsidRDefault="003B07E8">
      <w:pPr>
        <w:spacing w:line="360" w:lineRule="auto"/>
        <w:ind w:right="-734"/>
        <w:rPr>
          <w:rFonts w:ascii="Palatino Linotype" w:eastAsia="Palatino Linotype" w:hAnsi="Palatino Linotype" w:cs="Palatino Linotype"/>
        </w:rPr>
      </w:pPr>
    </w:p>
    <w:p w:rsidR="003B07E8" w:rsidRDefault="003B07E8">
      <w:pPr>
        <w:spacing w:line="360" w:lineRule="auto"/>
        <w:ind w:right="-734"/>
        <w:rPr>
          <w:rFonts w:ascii="Palatino Linotype" w:eastAsia="Palatino Linotype" w:hAnsi="Palatino Linotype" w:cs="Palatino Linotype"/>
        </w:rPr>
      </w:pPr>
    </w:p>
    <w:p w:rsidR="003B07E8" w:rsidRDefault="003B07E8">
      <w:pPr>
        <w:spacing w:line="360" w:lineRule="auto"/>
        <w:ind w:right="-734"/>
        <w:rPr>
          <w:rFonts w:ascii="Palatino Linotype" w:eastAsia="Palatino Linotype" w:hAnsi="Palatino Linotype" w:cs="Palatino Linotype"/>
        </w:rPr>
      </w:pPr>
    </w:p>
    <w:p w:rsidR="003B07E8" w:rsidRDefault="003B07E8">
      <w:pPr>
        <w:spacing w:line="360" w:lineRule="auto"/>
        <w:ind w:right="-734"/>
        <w:rPr>
          <w:rFonts w:ascii="Palatino Linotype" w:eastAsia="Palatino Linotype" w:hAnsi="Palatino Linotype" w:cs="Palatino Linotype"/>
        </w:rPr>
      </w:pPr>
    </w:p>
    <w:p w:rsidR="003B07E8" w:rsidRDefault="003B07E8">
      <w:pPr>
        <w:spacing w:line="360" w:lineRule="auto"/>
        <w:ind w:right="-734"/>
        <w:rPr>
          <w:rFonts w:ascii="Palatino Linotype" w:eastAsia="Palatino Linotype" w:hAnsi="Palatino Linotype" w:cs="Palatino Linotype"/>
        </w:rPr>
      </w:pPr>
    </w:p>
    <w:p w:rsidR="003B07E8" w:rsidRDefault="003B07E8">
      <w:pPr>
        <w:spacing w:line="360" w:lineRule="auto"/>
        <w:ind w:right="-734"/>
        <w:rPr>
          <w:rFonts w:ascii="Palatino Linotype" w:eastAsia="Palatino Linotype" w:hAnsi="Palatino Linotype" w:cs="Palatino Linotype"/>
        </w:rPr>
      </w:pPr>
    </w:p>
    <w:p w:rsidR="003B07E8" w:rsidRDefault="003B07E8">
      <w:pPr>
        <w:spacing w:line="360" w:lineRule="auto"/>
        <w:ind w:right="-734"/>
        <w:rPr>
          <w:rFonts w:ascii="Palatino Linotype" w:eastAsia="Palatino Linotype" w:hAnsi="Palatino Linotype" w:cs="Palatino Linotype"/>
        </w:rPr>
      </w:pPr>
    </w:p>
    <w:p w:rsidR="003B07E8" w:rsidRDefault="003B07E8">
      <w:pPr>
        <w:spacing w:line="360" w:lineRule="auto"/>
        <w:ind w:right="-734"/>
        <w:rPr>
          <w:rFonts w:ascii="Palatino Linotype" w:eastAsia="Palatino Linotype" w:hAnsi="Palatino Linotype" w:cs="Palatino Linotype"/>
        </w:rPr>
      </w:pPr>
    </w:p>
    <w:p w:rsidR="003B07E8" w:rsidRDefault="003B07E8">
      <w:pPr>
        <w:spacing w:line="360" w:lineRule="auto"/>
        <w:ind w:right="-734"/>
        <w:rPr>
          <w:rFonts w:ascii="Palatino Linotype" w:eastAsia="Palatino Linotype" w:hAnsi="Palatino Linotype" w:cs="Palatino Linotype"/>
        </w:rPr>
      </w:pPr>
    </w:p>
    <w:p w:rsidR="00BD2054" w:rsidRDefault="00BD2054">
      <w:pPr>
        <w:spacing w:line="360" w:lineRule="auto"/>
        <w:ind w:right="-734"/>
        <w:rPr>
          <w:rFonts w:ascii="Palatino Linotype" w:eastAsia="Palatino Linotype" w:hAnsi="Palatino Linotype" w:cs="Palatino Linotype"/>
        </w:rPr>
      </w:pPr>
    </w:p>
    <w:p w:rsidR="00BD2054" w:rsidRDefault="00BD2054">
      <w:pPr>
        <w:spacing w:line="360" w:lineRule="auto"/>
        <w:ind w:right="-734"/>
        <w:rPr>
          <w:rFonts w:ascii="Palatino Linotype" w:eastAsia="Palatino Linotype" w:hAnsi="Palatino Linotype" w:cs="Palatino Linotype"/>
        </w:rPr>
      </w:pPr>
    </w:p>
    <w:p w:rsidR="00BD2054" w:rsidRDefault="00BD2054">
      <w:pPr>
        <w:spacing w:line="360" w:lineRule="auto"/>
        <w:ind w:right="-734"/>
        <w:rPr>
          <w:rFonts w:ascii="Palatino Linotype" w:eastAsia="Palatino Linotype" w:hAnsi="Palatino Linotype" w:cs="Palatino Linotype"/>
        </w:rPr>
      </w:pPr>
    </w:p>
    <w:p w:rsidR="00BD2054" w:rsidRDefault="00BD2054">
      <w:pPr>
        <w:spacing w:line="360" w:lineRule="auto"/>
        <w:ind w:right="-734"/>
        <w:rPr>
          <w:rFonts w:ascii="Palatino Linotype" w:eastAsia="Palatino Linotype" w:hAnsi="Palatino Linotype" w:cs="Palatino Linotype"/>
        </w:rPr>
      </w:pPr>
    </w:p>
    <w:p w:rsidR="00BD2054" w:rsidRDefault="00BD2054">
      <w:pPr>
        <w:spacing w:line="360" w:lineRule="auto"/>
        <w:ind w:right="-734"/>
        <w:rPr>
          <w:rFonts w:ascii="Palatino Linotype" w:eastAsia="Palatino Linotype" w:hAnsi="Palatino Linotype" w:cs="Palatino Linotype"/>
        </w:rPr>
      </w:pPr>
    </w:p>
    <w:p w:rsidR="00BD2054" w:rsidRDefault="00BD2054">
      <w:pPr>
        <w:spacing w:line="360" w:lineRule="auto"/>
        <w:ind w:right="-734"/>
        <w:rPr>
          <w:rFonts w:ascii="Palatino Linotype" w:eastAsia="Palatino Linotype" w:hAnsi="Palatino Linotype" w:cs="Palatino Linotype"/>
        </w:rPr>
      </w:pPr>
    </w:p>
    <w:p w:rsidR="00BD2054" w:rsidRDefault="00BD2054">
      <w:pPr>
        <w:ind w:right="-734"/>
        <w:rPr>
          <w:rFonts w:ascii="Palatino Linotype" w:eastAsia="Palatino Linotype" w:hAnsi="Palatino Linotype" w:cs="Palatino Linotype"/>
        </w:rPr>
      </w:pPr>
    </w:p>
    <w:p w:rsidR="00BD2054" w:rsidRDefault="00BD2054">
      <w:pPr>
        <w:ind w:right="-734"/>
        <w:rPr>
          <w:rFonts w:ascii="Palatino Linotype" w:eastAsia="Palatino Linotype" w:hAnsi="Palatino Linotype" w:cs="Palatino Linotype"/>
        </w:rPr>
      </w:pPr>
    </w:p>
    <w:p w:rsidR="00BD2054" w:rsidRDefault="00BD2054">
      <w:pPr>
        <w:ind w:right="-734"/>
        <w:rPr>
          <w:rFonts w:ascii="Palatino Linotype" w:eastAsia="Palatino Linotype" w:hAnsi="Palatino Linotype" w:cs="Palatino Linotype"/>
        </w:rPr>
      </w:pPr>
    </w:p>
    <w:p w:rsidR="00BD2054" w:rsidRDefault="00C34E74">
      <w:pPr>
        <w:ind w:right="-734"/>
        <w:rPr>
          <w:rFonts w:ascii="Palatino Linotype" w:eastAsia="Palatino Linotype" w:hAnsi="Palatino Linotype" w:cs="Palatino Linotype"/>
        </w:rPr>
      </w:pPr>
      <w:r>
        <w:rPr>
          <w:rFonts w:ascii="Palatino Linotype" w:eastAsia="Palatino Linotype" w:hAnsi="Palatino Linotype" w:cs="Palatino Linotype"/>
        </w:rPr>
        <w:tab/>
      </w:r>
    </w:p>
    <w:p w:rsidR="00BD2054" w:rsidRDefault="00BD2054">
      <w:pPr>
        <w:ind w:right="-734"/>
        <w:rPr>
          <w:rFonts w:ascii="Palatino Linotype" w:eastAsia="Palatino Linotype" w:hAnsi="Palatino Linotype" w:cs="Palatino Linotype"/>
        </w:rPr>
      </w:pPr>
    </w:p>
    <w:p w:rsidR="00BD2054" w:rsidRDefault="00BD2054">
      <w:pPr>
        <w:ind w:right="-734"/>
        <w:rPr>
          <w:rFonts w:ascii="Palatino Linotype" w:eastAsia="Palatino Linotype" w:hAnsi="Palatino Linotype" w:cs="Palatino Linotype"/>
        </w:rPr>
      </w:pPr>
    </w:p>
    <w:p w:rsidR="00BD2054" w:rsidRDefault="00BD2054">
      <w:pPr>
        <w:ind w:right="-734"/>
        <w:rPr>
          <w:rFonts w:ascii="Palatino Linotype" w:eastAsia="Palatino Linotype" w:hAnsi="Palatino Linotype" w:cs="Palatino Linotype"/>
        </w:rPr>
      </w:pPr>
    </w:p>
    <w:p w:rsidR="00BD2054" w:rsidRDefault="00BD2054">
      <w:pPr>
        <w:ind w:right="-734"/>
      </w:pPr>
    </w:p>
    <w:sectPr w:rsidR="00BD2054">
      <w:headerReference w:type="even" r:id="rId11"/>
      <w:headerReference w:type="default" r:id="rId12"/>
      <w:footerReference w:type="default" r:id="rId13"/>
      <w:headerReference w:type="first" r:id="rId14"/>
      <w:footerReference w:type="first" r:id="rId15"/>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4A6" w:rsidRDefault="00FF74A6">
      <w:r>
        <w:separator/>
      </w:r>
    </w:p>
  </w:endnote>
  <w:endnote w:type="continuationSeparator" w:id="0">
    <w:p w:rsidR="00FF74A6" w:rsidRDefault="00FF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92A7B9F5-DA89-4133-875D-6745038EA37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EECBA4B-AB17-4F9C-B234-C4ADEA1EA78D}"/>
  </w:font>
  <w:font w:name="Georgia">
    <w:panose1 w:val="02040502050405020303"/>
    <w:charset w:val="00"/>
    <w:family w:val="roman"/>
    <w:pitch w:val="variable"/>
    <w:sig w:usb0="00000287" w:usb1="00000000" w:usb2="00000000" w:usb3="00000000" w:csb0="0000009F" w:csb1="00000000"/>
    <w:embedItalic r:id="rId3" w:fontKey="{A4B41FD2-929F-49B7-85FA-1FD1F2208F13}"/>
  </w:font>
  <w:font w:name="Palatino Linotype">
    <w:panose1 w:val="02040502050505030304"/>
    <w:charset w:val="00"/>
    <w:family w:val="roman"/>
    <w:pitch w:val="variable"/>
    <w:sig w:usb0="E0000287" w:usb1="40000013" w:usb2="00000000" w:usb3="00000000" w:csb0="0000019F" w:csb1="00000000"/>
    <w:embedRegular r:id="rId4" w:fontKey="{28967A32-3015-47FB-938D-B819925188C0}"/>
    <w:embedBold r:id="rId5" w:fontKey="{3E7793EE-CCC4-46F2-8200-897298395A85}"/>
    <w:embedItalic r:id="rId6" w:fontKey="{F880E21A-5642-4E51-8374-3CCBE83ABD3C}"/>
    <w:embedBoldItalic r:id="rId7" w:fontKey="{C547A8D4-3601-4FA0-9177-B750E13C7C2E}"/>
  </w:font>
  <w:font w:name="Cambria">
    <w:panose1 w:val="02040503050406030204"/>
    <w:charset w:val="00"/>
    <w:family w:val="roman"/>
    <w:pitch w:val="variable"/>
    <w:sig w:usb0="E00006FF" w:usb1="420024FF" w:usb2="02000000" w:usb3="00000000" w:csb0="0000019F" w:csb1="00000000"/>
    <w:embedRegular r:id="rId8" w:fontKey="{0317EF40-9164-4458-9503-0EC8532834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054" w:rsidRPr="003B07E8" w:rsidRDefault="00C34E7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3B07E8">
      <w:rPr>
        <w:rFonts w:ascii="Palatino Linotype" w:hAnsi="Palatino Linotype"/>
        <w:color w:val="000000"/>
        <w:sz w:val="22"/>
      </w:rPr>
      <w:t xml:space="preserve">Página </w:t>
    </w:r>
    <w:r w:rsidRPr="003B07E8">
      <w:rPr>
        <w:rFonts w:ascii="Palatino Linotype" w:hAnsi="Palatino Linotype"/>
        <w:b/>
        <w:bCs/>
        <w:color w:val="000000"/>
        <w:sz w:val="22"/>
      </w:rPr>
      <w:fldChar w:fldCharType="begin"/>
    </w:r>
    <w:r w:rsidRPr="003B07E8">
      <w:rPr>
        <w:rFonts w:ascii="Palatino Linotype" w:hAnsi="Palatino Linotype"/>
        <w:b/>
        <w:bCs/>
        <w:color w:val="000000"/>
        <w:sz w:val="22"/>
      </w:rPr>
      <w:instrText>PAGE</w:instrText>
    </w:r>
    <w:r w:rsidRPr="003B07E8">
      <w:rPr>
        <w:rFonts w:ascii="Palatino Linotype" w:hAnsi="Palatino Linotype"/>
        <w:b/>
        <w:bCs/>
        <w:color w:val="000000"/>
        <w:sz w:val="22"/>
      </w:rPr>
      <w:fldChar w:fldCharType="separate"/>
    </w:r>
    <w:r w:rsidR="00593217">
      <w:rPr>
        <w:rFonts w:ascii="Palatino Linotype" w:hAnsi="Palatino Linotype"/>
        <w:b/>
        <w:bCs/>
        <w:noProof/>
        <w:color w:val="000000"/>
        <w:sz w:val="22"/>
      </w:rPr>
      <w:t>5</w:t>
    </w:r>
    <w:r w:rsidRPr="003B07E8">
      <w:rPr>
        <w:rFonts w:ascii="Palatino Linotype" w:hAnsi="Palatino Linotype"/>
        <w:b/>
        <w:bCs/>
        <w:color w:val="000000"/>
        <w:sz w:val="22"/>
      </w:rPr>
      <w:fldChar w:fldCharType="end"/>
    </w:r>
    <w:r w:rsidRPr="003B07E8">
      <w:rPr>
        <w:rFonts w:ascii="Palatino Linotype" w:hAnsi="Palatino Linotype"/>
        <w:color w:val="000000"/>
        <w:sz w:val="22"/>
      </w:rPr>
      <w:t xml:space="preserve"> de </w:t>
    </w:r>
    <w:r w:rsidRPr="003B07E8">
      <w:rPr>
        <w:rFonts w:ascii="Palatino Linotype" w:hAnsi="Palatino Linotype"/>
        <w:b/>
        <w:bCs/>
        <w:color w:val="000000"/>
        <w:sz w:val="22"/>
      </w:rPr>
      <w:fldChar w:fldCharType="begin"/>
    </w:r>
    <w:r w:rsidRPr="003B07E8">
      <w:rPr>
        <w:rFonts w:ascii="Palatino Linotype" w:hAnsi="Palatino Linotype"/>
        <w:b/>
        <w:bCs/>
        <w:color w:val="000000"/>
        <w:sz w:val="22"/>
      </w:rPr>
      <w:instrText>NUMPAGES</w:instrText>
    </w:r>
    <w:r w:rsidRPr="003B07E8">
      <w:rPr>
        <w:rFonts w:ascii="Palatino Linotype" w:hAnsi="Palatino Linotype"/>
        <w:b/>
        <w:bCs/>
        <w:color w:val="000000"/>
        <w:sz w:val="22"/>
      </w:rPr>
      <w:fldChar w:fldCharType="separate"/>
    </w:r>
    <w:r w:rsidR="00593217">
      <w:rPr>
        <w:rFonts w:ascii="Palatino Linotype" w:hAnsi="Palatino Linotype"/>
        <w:b/>
        <w:bCs/>
        <w:noProof/>
        <w:color w:val="000000"/>
        <w:sz w:val="22"/>
      </w:rPr>
      <w:t>17</w:t>
    </w:r>
    <w:r w:rsidRPr="003B07E8">
      <w:rPr>
        <w:rFonts w:ascii="Palatino Linotype" w:hAnsi="Palatino Linotype"/>
        <w:b/>
        <w:bCs/>
        <w:color w:val="000000"/>
        <w:sz w:val="22"/>
      </w:rPr>
      <w:fldChar w:fldCharType="end"/>
    </w:r>
  </w:p>
  <w:p w:rsidR="00BD2054" w:rsidRDefault="00BD205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054" w:rsidRDefault="00C34E7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593217">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593217">
      <w:rPr>
        <w:rFonts w:ascii="Palatino Linotype" w:eastAsia="Palatino Linotype" w:hAnsi="Palatino Linotype" w:cs="Palatino Linotype"/>
        <w:b/>
        <w:bCs/>
        <w:noProof/>
        <w:color w:val="000000"/>
        <w:sz w:val="22"/>
        <w:szCs w:val="22"/>
      </w:rPr>
      <w:t>17</w:t>
    </w:r>
    <w:r>
      <w:rPr>
        <w:rFonts w:ascii="Palatino Linotype" w:eastAsia="Palatino Linotype" w:hAnsi="Palatino Linotype" w:cs="Palatino Linotype"/>
        <w:b/>
        <w:bCs/>
        <w:color w:val="000000"/>
        <w:sz w:val="22"/>
        <w:szCs w:val="22"/>
      </w:rPr>
      <w:fldChar w:fldCharType="end"/>
    </w:r>
  </w:p>
  <w:p w:rsidR="00BD2054" w:rsidRDefault="00BD205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4A6" w:rsidRDefault="00FF74A6">
      <w:r>
        <w:separator/>
      </w:r>
    </w:p>
  </w:footnote>
  <w:footnote w:type="continuationSeparator" w:id="0">
    <w:p w:rsidR="00FF74A6" w:rsidRDefault="00FF7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054" w:rsidRDefault="00FF74A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371" w:type="dxa"/>
      <w:tblInd w:w="3119" w:type="dxa"/>
      <w:tblLayout w:type="fixed"/>
      <w:tblLook w:val="0400" w:firstRow="0" w:lastRow="0" w:firstColumn="0" w:lastColumn="0" w:noHBand="0" w:noVBand="1"/>
    </w:tblPr>
    <w:tblGrid>
      <w:gridCol w:w="2835"/>
      <w:gridCol w:w="4536"/>
    </w:tblGrid>
    <w:tr w:rsidR="00BD2054" w:rsidTr="003B07E8">
      <w:tc>
        <w:tcPr>
          <w:tcW w:w="2835" w:type="dxa"/>
          <w:vAlign w:val="center"/>
        </w:tcPr>
        <w:p w:rsidR="00BD2054" w:rsidRPr="003B07E8" w:rsidRDefault="00C34E74">
          <w:pPr>
            <w:rPr>
              <w:rFonts w:ascii="Palatino Linotype" w:eastAsia="Palatino Linotype" w:hAnsi="Palatino Linotype" w:cs="Palatino Linotype"/>
              <w:b/>
              <w:bCs/>
            </w:rPr>
          </w:pPr>
          <w:r w:rsidRPr="003B07E8">
            <w:rPr>
              <w:rFonts w:ascii="Palatino Linotype" w:eastAsia="Palatino Linotype" w:hAnsi="Palatino Linotype" w:cs="Palatino Linotype"/>
              <w:b/>
              <w:bCs/>
            </w:rPr>
            <w:t>Recurso de Revisión:</w:t>
          </w:r>
        </w:p>
      </w:tc>
      <w:tc>
        <w:tcPr>
          <w:tcW w:w="4536" w:type="dxa"/>
          <w:vAlign w:val="center"/>
        </w:tcPr>
        <w:p w:rsidR="00BD2054" w:rsidRPr="003B07E8" w:rsidRDefault="00C34E74">
          <w:pPr>
            <w:ind w:left="-262" w:right="-239"/>
            <w:jc w:val="both"/>
            <w:rPr>
              <w:rFonts w:ascii="Palatino Linotype" w:eastAsia="Palatino Linotype" w:hAnsi="Palatino Linotype" w:cs="Palatino Linotype"/>
              <w:bCs/>
            </w:rPr>
          </w:pPr>
          <w:r w:rsidRPr="003B07E8">
            <w:rPr>
              <w:rFonts w:ascii="Palatino Linotype" w:eastAsia="Palatino Linotype" w:hAnsi="Palatino Linotype" w:cs="Palatino Linotype"/>
              <w:bCs/>
            </w:rPr>
            <w:t>0  10203/INFOEM/ICR-129/IP/RR/2025</w:t>
          </w:r>
        </w:p>
      </w:tc>
    </w:tr>
    <w:tr w:rsidR="00BD2054" w:rsidTr="003B07E8">
      <w:trPr>
        <w:trHeight w:val="228"/>
      </w:trPr>
      <w:tc>
        <w:tcPr>
          <w:tcW w:w="2835" w:type="dxa"/>
          <w:vAlign w:val="center"/>
        </w:tcPr>
        <w:p w:rsidR="00BD2054" w:rsidRPr="003B07E8" w:rsidRDefault="00C34E74">
          <w:pPr>
            <w:rPr>
              <w:rFonts w:ascii="Palatino Linotype" w:eastAsia="Palatino Linotype" w:hAnsi="Palatino Linotype" w:cs="Palatino Linotype"/>
              <w:b/>
              <w:bCs/>
            </w:rPr>
          </w:pPr>
          <w:r w:rsidRPr="003B07E8">
            <w:rPr>
              <w:rFonts w:ascii="Palatino Linotype" w:eastAsia="Palatino Linotype" w:hAnsi="Palatino Linotype" w:cs="Palatino Linotype"/>
              <w:b/>
              <w:bCs/>
            </w:rPr>
            <w:t>Sujeto Obligado:</w:t>
          </w:r>
        </w:p>
      </w:tc>
      <w:tc>
        <w:tcPr>
          <w:tcW w:w="4536" w:type="dxa"/>
          <w:shd w:val="clear" w:color="auto" w:fill="auto"/>
          <w:vAlign w:val="center"/>
        </w:tcPr>
        <w:p w:rsidR="00BD2054" w:rsidRPr="003B07E8" w:rsidRDefault="00C34E74">
          <w:pPr>
            <w:rPr>
              <w:rFonts w:ascii="Palatino Linotype" w:eastAsia="Palatino Linotype" w:hAnsi="Palatino Linotype" w:cs="Palatino Linotype"/>
              <w:bCs/>
            </w:rPr>
          </w:pPr>
          <w:r w:rsidRPr="003B07E8">
            <w:rPr>
              <w:rFonts w:ascii="Palatino Linotype" w:eastAsia="Palatino Linotype" w:hAnsi="Palatino Linotype" w:cs="Palatino Linotype"/>
              <w:bCs/>
              <w:color w:val="000000"/>
            </w:rPr>
            <w:t>Sistema Municipal Para el Desarrollo Integral de la Familia de Ixtapaluca</w:t>
          </w:r>
        </w:p>
      </w:tc>
    </w:tr>
    <w:tr w:rsidR="00BD2054" w:rsidTr="003B07E8">
      <w:tc>
        <w:tcPr>
          <w:tcW w:w="2835" w:type="dxa"/>
          <w:vAlign w:val="center"/>
        </w:tcPr>
        <w:p w:rsidR="00BD2054" w:rsidRPr="003B07E8" w:rsidRDefault="00C34E74">
          <w:pPr>
            <w:rPr>
              <w:rFonts w:ascii="Palatino Linotype" w:eastAsia="Palatino Linotype" w:hAnsi="Palatino Linotype" w:cs="Palatino Linotype"/>
              <w:b/>
              <w:bCs/>
            </w:rPr>
          </w:pPr>
          <w:r w:rsidRPr="003B07E8">
            <w:rPr>
              <w:rFonts w:ascii="Palatino Linotype" w:eastAsia="Palatino Linotype" w:hAnsi="Palatino Linotype" w:cs="Palatino Linotype"/>
              <w:b/>
              <w:bCs/>
            </w:rPr>
            <w:t>Comisionada Ponente:</w:t>
          </w:r>
        </w:p>
      </w:tc>
      <w:tc>
        <w:tcPr>
          <w:tcW w:w="4536" w:type="dxa"/>
          <w:vAlign w:val="center"/>
        </w:tcPr>
        <w:p w:rsidR="00BD2054" w:rsidRPr="003B07E8" w:rsidRDefault="00C34E74">
          <w:pPr>
            <w:ind w:right="-533"/>
            <w:jc w:val="both"/>
            <w:rPr>
              <w:rFonts w:ascii="Palatino Linotype" w:eastAsia="Palatino Linotype" w:hAnsi="Palatino Linotype" w:cs="Palatino Linotype"/>
              <w:bCs/>
            </w:rPr>
          </w:pPr>
          <w:r w:rsidRPr="003B07E8">
            <w:rPr>
              <w:rFonts w:ascii="Palatino Linotype" w:eastAsia="Palatino Linotype" w:hAnsi="Palatino Linotype" w:cs="Palatino Linotype"/>
              <w:bCs/>
            </w:rPr>
            <w:t>María del Rosario Mejía Ayala</w:t>
          </w:r>
        </w:p>
      </w:tc>
    </w:tr>
  </w:tbl>
  <w:p w:rsidR="00BD2054" w:rsidRDefault="003B07E8">
    <w:pPr>
      <w:pBdr>
        <w:top w:val="nil"/>
        <w:left w:val="nil"/>
        <w:bottom w:val="nil"/>
        <w:right w:val="nil"/>
        <w:between w:val="nil"/>
      </w:pBdr>
      <w:tabs>
        <w:tab w:val="center" w:pos="4419"/>
        <w:tab w:val="right" w:pos="8838"/>
      </w:tabs>
      <w:rPr>
        <w:color w:val="000000"/>
        <w:sz w:val="14"/>
        <w:szCs w:val="14"/>
      </w:rPr>
    </w:pPr>
    <w:r>
      <w:rPr>
        <w:noProof/>
        <w:color w:val="000000"/>
      </w:rPr>
      <w:drawing>
        <wp:anchor distT="0" distB="0" distL="0" distR="0" simplePos="0" relativeHeight="251656704" behindDoc="1" locked="0" layoutInCell="1" hidden="0" allowOverlap="1">
          <wp:simplePos x="0" y="0"/>
          <wp:positionH relativeFrom="page">
            <wp:posOffset>254371</wp:posOffset>
          </wp:positionH>
          <wp:positionV relativeFrom="page">
            <wp:align>top</wp:align>
          </wp:positionV>
          <wp:extent cx="7694930" cy="10020300"/>
          <wp:effectExtent l="0" t="0" r="127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94930" cy="1002030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50" w:type="dxa"/>
      <w:tblInd w:w="2977" w:type="dxa"/>
      <w:tblLayout w:type="fixed"/>
      <w:tblLook w:val="0400" w:firstRow="0" w:lastRow="0" w:firstColumn="0" w:lastColumn="0" w:noHBand="0" w:noVBand="1"/>
    </w:tblPr>
    <w:tblGrid>
      <w:gridCol w:w="2670"/>
      <w:gridCol w:w="4980"/>
    </w:tblGrid>
    <w:tr w:rsidR="00BD2054" w:rsidTr="003B07E8">
      <w:tc>
        <w:tcPr>
          <w:tcW w:w="2670" w:type="dxa"/>
          <w:vAlign w:val="center"/>
        </w:tcPr>
        <w:p w:rsidR="00BD2054" w:rsidRDefault="00C34E74" w:rsidP="003B07E8">
          <w:pPr>
            <w:ind w:right="-219" w:firstLine="66"/>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980" w:type="dxa"/>
          <w:vAlign w:val="center"/>
        </w:tcPr>
        <w:p w:rsidR="00BD2054" w:rsidRDefault="00C34E74" w:rsidP="003B07E8">
          <w:pPr>
            <w:ind w:left="90" w:right="-78"/>
            <w:rPr>
              <w:rFonts w:ascii="Palatino Linotype" w:eastAsia="Palatino Linotype" w:hAnsi="Palatino Linotype" w:cs="Palatino Linotype"/>
            </w:rPr>
          </w:pPr>
          <w:r>
            <w:rPr>
              <w:rFonts w:ascii="Palatino Linotype" w:eastAsia="Palatino Linotype" w:hAnsi="Palatino Linotype" w:cs="Palatino Linotype"/>
            </w:rPr>
            <w:t xml:space="preserve"> 10203/INFOEM/ICR-129/IP/RR/2025</w:t>
          </w:r>
        </w:p>
      </w:tc>
    </w:tr>
    <w:tr w:rsidR="00BD2054" w:rsidTr="003B07E8">
      <w:tc>
        <w:tcPr>
          <w:tcW w:w="2670" w:type="dxa"/>
          <w:vAlign w:val="center"/>
        </w:tcPr>
        <w:p w:rsidR="00BD2054" w:rsidRDefault="00C34E74" w:rsidP="003B07E8">
          <w:pPr>
            <w:ind w:right="-219" w:firstLine="66"/>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980" w:type="dxa"/>
          <w:shd w:val="clear" w:color="auto" w:fill="auto"/>
          <w:vAlign w:val="center"/>
        </w:tcPr>
        <w:p w:rsidR="00BD2054" w:rsidRDefault="00593217" w:rsidP="003B07E8">
          <w:pPr>
            <w:ind w:left="90" w:right="-78"/>
            <w:rPr>
              <w:rFonts w:ascii="Palatino Linotype" w:eastAsia="Palatino Linotype" w:hAnsi="Palatino Linotype" w:cs="Palatino Linotype"/>
            </w:rPr>
          </w:pPr>
          <w:r>
            <w:rPr>
              <w:rFonts w:ascii="Palatino Linotype" w:eastAsia="Palatino Linotype" w:hAnsi="Palatino Linotype" w:cs="Palatino Linotype"/>
            </w:rPr>
            <w:t>XXXX</w:t>
          </w:r>
        </w:p>
      </w:tc>
    </w:tr>
    <w:tr w:rsidR="00BD2054" w:rsidTr="003B07E8">
      <w:trPr>
        <w:trHeight w:val="228"/>
      </w:trPr>
      <w:tc>
        <w:tcPr>
          <w:tcW w:w="2670" w:type="dxa"/>
          <w:vAlign w:val="center"/>
        </w:tcPr>
        <w:p w:rsidR="00BD2054" w:rsidRDefault="00C34E74" w:rsidP="003B07E8">
          <w:pPr>
            <w:ind w:right="-219" w:firstLine="66"/>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980" w:type="dxa"/>
          <w:shd w:val="clear" w:color="auto" w:fill="auto"/>
          <w:vAlign w:val="center"/>
        </w:tcPr>
        <w:p w:rsidR="00BD2054" w:rsidRDefault="00C34E74" w:rsidP="003B07E8">
          <w:pPr>
            <w:ind w:left="90" w:right="-78"/>
            <w:rPr>
              <w:rFonts w:ascii="Palatino Linotype" w:eastAsia="Palatino Linotype" w:hAnsi="Palatino Linotype" w:cs="Palatino Linotype"/>
            </w:rPr>
          </w:pPr>
          <w:r>
            <w:rPr>
              <w:rFonts w:ascii="Palatino Linotype" w:eastAsia="Palatino Linotype" w:hAnsi="Palatino Linotype" w:cs="Palatino Linotype"/>
              <w:color w:val="000000"/>
            </w:rPr>
            <w:t>Sistema Municipal Para el Desarrollo Integral de la Familia de Ixtapaluca</w:t>
          </w:r>
        </w:p>
      </w:tc>
    </w:tr>
    <w:tr w:rsidR="00BD2054" w:rsidTr="003B07E8">
      <w:tc>
        <w:tcPr>
          <w:tcW w:w="2670" w:type="dxa"/>
          <w:vAlign w:val="center"/>
        </w:tcPr>
        <w:p w:rsidR="00BD2054" w:rsidRDefault="00C34E74" w:rsidP="003B07E8">
          <w:pPr>
            <w:ind w:right="-219" w:firstLine="66"/>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980" w:type="dxa"/>
          <w:vAlign w:val="center"/>
        </w:tcPr>
        <w:p w:rsidR="003B07E8" w:rsidRDefault="00C34E74" w:rsidP="003B07E8">
          <w:pPr>
            <w:ind w:left="90" w:right="-78"/>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BD2054" w:rsidRDefault="00FF74A6">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16B12"/>
    <w:multiLevelType w:val="multilevel"/>
    <w:tmpl w:val="A7D8BA4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10412DBB"/>
    <w:multiLevelType w:val="multilevel"/>
    <w:tmpl w:val="3CBED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6D0029"/>
    <w:multiLevelType w:val="multilevel"/>
    <w:tmpl w:val="B82C0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1400F1"/>
    <w:multiLevelType w:val="multilevel"/>
    <w:tmpl w:val="88825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B98262D"/>
    <w:multiLevelType w:val="multilevel"/>
    <w:tmpl w:val="6622B9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AF74D2"/>
    <w:multiLevelType w:val="multilevel"/>
    <w:tmpl w:val="FE58268C"/>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6" w15:restartNumberingAfterBreak="0">
    <w:nsid w:val="712D22C0"/>
    <w:multiLevelType w:val="multilevel"/>
    <w:tmpl w:val="C65A1738"/>
    <w:lvl w:ilvl="0">
      <w:start w:val="1"/>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B327283"/>
    <w:multiLevelType w:val="multilevel"/>
    <w:tmpl w:val="B8425B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
  </w:num>
  <w:num w:numId="3">
    <w:abstractNumId w:val="7"/>
  </w:num>
  <w:num w:numId="4">
    <w:abstractNumId w:val="4"/>
  </w:num>
  <w:num w:numId="5">
    <w:abstractNumId w:val="3"/>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054"/>
    <w:rsid w:val="0019615F"/>
    <w:rsid w:val="003B07E8"/>
    <w:rsid w:val="00402DD8"/>
    <w:rsid w:val="00593217"/>
    <w:rsid w:val="00BD2054"/>
    <w:rsid w:val="00C34E74"/>
    <w:rsid w:val="00D173FA"/>
    <w:rsid w:val="00D5469A"/>
    <w:rsid w:val="00FF74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0975411-4230-4086-98F4-B57F57CB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3B07E8"/>
    <w:pPr>
      <w:tabs>
        <w:tab w:val="center" w:pos="4419"/>
        <w:tab w:val="right" w:pos="8838"/>
      </w:tabs>
    </w:pPr>
  </w:style>
  <w:style w:type="character" w:customStyle="1" w:styleId="PiedepginaCar">
    <w:name w:val="Pie de página Car"/>
    <w:basedOn w:val="Fuentedeprrafopredeter"/>
    <w:link w:val="Piedepgina"/>
    <w:uiPriority w:val="99"/>
    <w:rsid w:val="003B0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upload/2025/10/a035cc4fbeb7cf60be9bbd2108e08d8e.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aimex.org.mx/saimex/solicitud/downloadAttach/2663518.page" TargetMode="External"/><Relationship Id="rId4" Type="http://schemas.openxmlformats.org/officeDocument/2006/relationships/settings" Target="settings.xml"/><Relationship Id="rId9" Type="http://schemas.openxmlformats.org/officeDocument/2006/relationships/hyperlink" Target="https://saimex.org.mx/saimex/solicitud/downloadAttach/2657620.page"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xNlOQK4iqI8QuMmeFaaMDz8dQ==">CgMxLjAyDmgudTlwemFuM2V1NjB4Mg5oLmYycDBmYm1ua2JtaDINaC5seHdsODNrZHlpbzIOaC5lMGczdDM4dHZoOGIyDmgucDF0dW40NHc5eG5oMg5oLmtxdTBkMHJpM292bDINaC5sdTVwbDNqcmxiOTIOaC51dG12ZGpxd3YxcWg4AHIhMUxRNktReG1TQlJoV1lhbFl0cXpTWDlFV1JPbENqWUdy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4454</Words>
  <Characters>24499</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2026-05-29T00:14:00Z</cp:lastPrinted>
  <dcterms:created xsi:type="dcterms:W3CDTF">2026-05-27T20:57:00Z</dcterms:created>
  <dcterms:modified xsi:type="dcterms:W3CDTF">2026-06-03T00:01:00Z</dcterms:modified>
</cp:coreProperties>
</file>