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0F" w:rsidRDefault="00D97405">
      <w:pPr>
        <w:tabs>
          <w:tab w:val="left" w:pos="3465"/>
        </w:tabs>
        <w:spacing w:line="360" w:lineRule="auto"/>
        <w:ind w:right="-929"/>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A45ABA">
        <w:rPr>
          <w:rFonts w:ascii="Palatino Linotype" w:eastAsia="Palatino Linotype" w:hAnsi="Palatino Linotype" w:cs="Palatino Linotype"/>
          <w:b/>
          <w:bCs/>
        </w:rPr>
        <w:t>fecha veintisiete</w:t>
      </w:r>
      <w:r w:rsidR="002B1262">
        <w:rPr>
          <w:rFonts w:ascii="Palatino Linotype" w:eastAsia="Palatino Linotype" w:hAnsi="Palatino Linotype" w:cs="Palatino Linotype"/>
          <w:b/>
          <w:bCs/>
        </w:rPr>
        <w:t xml:space="preserve"> (27)</w:t>
      </w:r>
      <w:r w:rsidR="00A45ABA">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03750F" w:rsidRDefault="0003750F">
      <w:pPr>
        <w:tabs>
          <w:tab w:val="left" w:pos="3465"/>
        </w:tabs>
        <w:spacing w:line="360" w:lineRule="auto"/>
        <w:ind w:right="-929"/>
        <w:jc w:val="both"/>
        <w:rPr>
          <w:rFonts w:ascii="Palatino Linotype" w:eastAsia="Palatino Linotype" w:hAnsi="Palatino Linotype" w:cs="Palatino Linotype"/>
        </w:rPr>
      </w:pPr>
    </w:p>
    <w:p w:rsidR="0003750F" w:rsidRDefault="00D97405">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12623/INFOEM/IP/RR/2025,</w:t>
      </w:r>
      <w:r>
        <w:rPr>
          <w:rFonts w:ascii="Palatino Linotype" w:eastAsia="Palatino Linotype" w:hAnsi="Palatino Linotype" w:cs="Palatino Linotype"/>
        </w:rPr>
        <w:t xml:space="preserve"> presentado por</w:t>
      </w:r>
      <w:r>
        <w:rPr>
          <w:rFonts w:ascii="Palatino Linotype" w:eastAsia="Palatino Linotype" w:hAnsi="Palatino Linotype" w:cs="Palatino Linotype"/>
          <w:b/>
          <w:bCs/>
          <w:i/>
          <w:iCs/>
        </w:rPr>
        <w:t xml:space="preserve"> </w:t>
      </w:r>
      <w:r>
        <w:rPr>
          <w:rFonts w:ascii="Palatino Linotype" w:eastAsia="Palatino Linotype" w:hAnsi="Palatino Linotype" w:cs="Palatino Linotype"/>
          <w:b/>
          <w:bCs/>
        </w:rPr>
        <w:t>una persona que no aportó datos de identificación,</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00081/CEDIPIEM/IP/2025</w:t>
      </w:r>
      <w:r>
        <w:rPr>
          <w:rFonts w:ascii="Palatino Linotype" w:eastAsia="Palatino Linotype" w:hAnsi="Palatino Linotype" w:cs="Palatino Linotype"/>
        </w:rPr>
        <w:t xml:space="preserve">, por parte de la </w:t>
      </w:r>
      <w:r>
        <w:rPr>
          <w:rFonts w:ascii="Palatino Linotype" w:eastAsia="Palatino Linotype" w:hAnsi="Palatino Linotype" w:cs="Palatino Linotype"/>
          <w:b/>
          <w:bCs/>
        </w:rPr>
        <w:t xml:space="preserve">Consejo Estatal para el Desarrollo Integral de Los Pueblos Indígenas del Estado de México,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03750F" w:rsidRDefault="00D97405">
      <w:pPr>
        <w:numPr>
          <w:ilvl w:val="0"/>
          <w:numId w:val="3"/>
        </w:numPr>
        <w:pBdr>
          <w:top w:val="nil"/>
          <w:left w:val="nil"/>
          <w:bottom w:val="nil"/>
          <w:right w:val="nil"/>
          <w:between w:val="nil"/>
        </w:pBdr>
        <w:tabs>
          <w:tab w:val="left" w:pos="0"/>
        </w:tabs>
        <w:spacing w:line="360" w:lineRule="auto"/>
        <w:ind w:left="0" w:right="-929" w:firstLine="0"/>
        <w:jc w:val="both"/>
        <w:rPr>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veinte de septiembre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Solicito Informe de asistencias, bitácoras o reportes de actividades de cada trabajador eventual de julio a diciembre del año 2024 y de enero a julio del año 2025.</w:t>
      </w:r>
      <w:r>
        <w:rPr>
          <w:rFonts w:ascii="Palatino Linotype" w:eastAsia="Palatino Linotype" w:hAnsi="Palatino Linotype" w:cs="Palatino Linotype"/>
          <w:i/>
          <w:iCs/>
          <w:color w:val="000000"/>
        </w:rPr>
        <w:t>”</w:t>
      </w:r>
    </w:p>
    <w:p w:rsidR="0003750F" w:rsidRDefault="0003750F">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rsidR="0003750F" w:rsidRDefault="00D97405">
      <w:pPr>
        <w:numPr>
          <w:ilvl w:val="0"/>
          <w:numId w:val="5"/>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03750F" w:rsidRDefault="0003750F">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 xml:space="preserve">trece de octubre de dos mil veinticinco, </w:t>
      </w: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solicitó una prórroga del plazo adicional para recabar la información solicitada, de 7 días hábiles más, </w:t>
      </w:r>
      <w:r>
        <w:rPr>
          <w:rFonts w:ascii="Palatino Linotype" w:eastAsia="Palatino Linotype" w:hAnsi="Palatino Linotype" w:cs="Palatino Linotype"/>
          <w:color w:val="000000"/>
        </w:rPr>
        <w:t>contados</w:t>
      </w:r>
      <w:r>
        <w:rPr>
          <w:rFonts w:ascii="Palatino Linotype" w:eastAsia="Palatino Linotype" w:hAnsi="Palatino Linotype" w:cs="Palatino Linotype"/>
        </w:rPr>
        <w:t xml:space="preserve"> a partir del día trece de octubre del año dos mil veinticinco, y estar en condiciones de dar cumplimiento a lo dispuesto por el artículo 49 de la Ley de Transparencia y Acceso a la Información Pública del Estado de México y Municipios.</w:t>
      </w:r>
    </w:p>
    <w:p w:rsidR="0003750F" w:rsidRDefault="0003750F">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rsidR="0003750F" w:rsidRDefault="00D9740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veintidós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dio respuesta a la solicitud de acceso a la información a través de SAIMEX, mediante cinco archivos electrónicos, a saber:</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TARJETAS ASISTENCIA ENERO - SEPTIEMBRE 2025.pdf</w:t>
      </w:r>
    </w:p>
    <w:p w:rsidR="0003750F" w:rsidRDefault="00D9740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REGISTROS 2025 1 ER SEM.pdf</w:t>
      </w:r>
    </w:p>
    <w:p w:rsidR="0003750F" w:rsidRDefault="00D9740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OTUT-81.pdf</w:t>
      </w:r>
    </w:p>
    <w:p w:rsidR="0003750F" w:rsidRDefault="00D9740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LISTA DE ASISTENCIA ENERO - JUNIO 2024.pdf</w:t>
      </w:r>
    </w:p>
    <w:p w:rsidR="0003750F" w:rsidRDefault="00D9740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LSITA DE ASISTENCIA JULIO - DICIEMBRE 2024.pdf</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tabs>
          <w:tab w:val="left" w:pos="0"/>
        </w:tabs>
        <w:spacing w:line="360" w:lineRule="auto"/>
        <w:ind w:left="0" w:right="-929" w:firstLine="0"/>
        <w:jc w:val="both"/>
      </w:pPr>
      <w:r>
        <w:rPr>
          <w:rFonts w:ascii="Palatino Linotype" w:eastAsia="Palatino Linotype" w:hAnsi="Palatino Linotype" w:cs="Palatino Linotype"/>
        </w:rPr>
        <w:t>Cuyo contenido de manera general, corresponde a diversas tarjetas y listas de registro de asistencia del mes de enero a diciembre de 2024 y del mes de enero a septiembre de 2025 y diversos oficios de comisión y exención del registro de asistencia.</w:t>
      </w:r>
    </w:p>
    <w:p w:rsidR="0003750F" w:rsidRDefault="0003750F">
      <w:pPr>
        <w:pBdr>
          <w:top w:val="nil"/>
          <w:left w:val="nil"/>
          <w:bottom w:val="nil"/>
          <w:right w:val="nil"/>
          <w:between w:val="nil"/>
        </w:pBdr>
        <w:tabs>
          <w:tab w:val="left" w:pos="0"/>
        </w:tabs>
        <w:spacing w:line="360" w:lineRule="auto"/>
        <w:ind w:left="502" w:right="-929"/>
        <w:jc w:val="both"/>
        <w:rPr>
          <w:rFonts w:ascii="Palatino Linotype" w:eastAsia="Palatino Linotype" w:hAnsi="Palatino Linotype" w:cs="Palatino Linotype"/>
        </w:rPr>
      </w:pPr>
    </w:p>
    <w:p w:rsidR="0003750F" w:rsidRDefault="00D97405">
      <w:pPr>
        <w:numPr>
          <w:ilvl w:val="0"/>
          <w:numId w:val="3"/>
        </w:numPr>
        <w:pBdr>
          <w:top w:val="nil"/>
          <w:left w:val="nil"/>
          <w:bottom w:val="nil"/>
          <w:right w:val="nil"/>
          <w:between w:val="nil"/>
        </w:pBdr>
        <w:tabs>
          <w:tab w:val="left" w:pos="0"/>
        </w:tabs>
        <w:spacing w:line="360" w:lineRule="auto"/>
        <w:ind w:left="0" w:right="-929" w:firstLine="0"/>
        <w:jc w:val="both"/>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cuatro de noviembre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lo siguiente:</w:t>
      </w:r>
    </w:p>
    <w:p w:rsidR="0003750F" w:rsidRDefault="0003750F">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03750F" w:rsidRDefault="00D97405">
      <w:pPr>
        <w:numPr>
          <w:ilvl w:val="0"/>
          <w:numId w:val="2"/>
        </w:numPr>
        <w:tabs>
          <w:tab w:val="left" w:pos="274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03750F" w:rsidRDefault="00D97405">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 Consejo Estatal para el Desarrollo Integral de los Pueblos Indígenas del Estado de México (CEDIPIEM), se adjunta en formato electrónico PDF copia simple de las listas y tarjetas de asistencia de cada uno de los trabajadores eventuales del CEDIPIEM, correspondientes a los periodos julio a diciembre 2024 y enero a julio 2025.”</w:t>
      </w:r>
    </w:p>
    <w:p w:rsidR="0003750F" w:rsidRDefault="0003750F">
      <w:pPr>
        <w:tabs>
          <w:tab w:val="left" w:pos="2745"/>
        </w:tabs>
        <w:spacing w:line="360" w:lineRule="auto"/>
        <w:ind w:left="709" w:right="-929"/>
        <w:jc w:val="both"/>
        <w:rPr>
          <w:rFonts w:ascii="Palatino Linotype" w:eastAsia="Palatino Linotype" w:hAnsi="Palatino Linotype" w:cs="Palatino Linotype"/>
          <w:i/>
          <w:iCs/>
        </w:rPr>
      </w:pPr>
    </w:p>
    <w:p w:rsidR="0003750F" w:rsidRDefault="00D97405">
      <w:pPr>
        <w:numPr>
          <w:ilvl w:val="0"/>
          <w:numId w:val="1"/>
        </w:numPr>
        <w:spacing w:line="360" w:lineRule="auto"/>
        <w:ind w:right="-929"/>
        <w:jc w:val="both"/>
        <w:rPr>
          <w:rFonts w:ascii="Palatino Linotype" w:eastAsia="Palatino Linotype" w:hAnsi="Palatino Linotype" w:cs="Palatino Linotype"/>
        </w:rPr>
      </w:pPr>
      <w:bookmarkStart w:id="2" w:name="_heading=h.30j0zll" w:colFirst="0" w:colLast="0"/>
      <w:bookmarkEnd w:id="2"/>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03750F" w:rsidRDefault="00D97405">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t>“El sujeto obligado únicamente proporcionó algunas listas y tarjetas de asistencia, pero faltan registros correspondientes a varios trabajadores y meses solicitados, por lo que la información no cubre de manera integral los periodos requeridos (julio–diciembre 2024 y enero–julio 2025). La solicitud requería expresamente los informes, bitácoras o reportes de actividades de cada trabajador eventual, sin embargo, el sujeto obligado no entregó ningún documento que acredite las actividades realizadas, limitándose a remitir listas de asistencia, lo cual no satisface el requerimiento principal. El sujeto obligado no acredita haber realizado una búsqueda exhaustiva en las unidades responsables de generar o resguardar los reportes de actividades El CEDIPIEM omitió entregar la información en su totalidad y no emitió una declaratoria formal de inexistencia respecto de los reportes o bitácoras de actividades”</w:t>
      </w:r>
    </w:p>
    <w:p w:rsidR="0003750F" w:rsidRDefault="0003750F">
      <w:pPr>
        <w:pBdr>
          <w:top w:val="nil"/>
          <w:left w:val="nil"/>
          <w:bottom w:val="nil"/>
          <w:right w:val="nil"/>
          <w:between w:val="nil"/>
        </w:pBdr>
        <w:spacing w:line="360" w:lineRule="auto"/>
        <w:ind w:left="709" w:right="-929"/>
        <w:jc w:val="both"/>
        <w:rPr>
          <w:rFonts w:ascii="Palatino Linotype" w:eastAsia="Palatino Linotype" w:hAnsi="Palatino Linotype" w:cs="Palatino Linotype"/>
          <w:i/>
          <w:iCs/>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cuatro de noviembre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03750F" w:rsidRDefault="00D9740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veintiuno de noviembre de dos </w:t>
      </w:r>
      <w:r>
        <w:rPr>
          <w:rFonts w:ascii="Palatino Linotype" w:eastAsia="Palatino Linotype" w:hAnsi="Palatino Linotype" w:cs="Palatino Linotype"/>
          <w:b/>
          <w:bCs/>
        </w:rPr>
        <w:t>mil</w:t>
      </w:r>
      <w:r>
        <w:rPr>
          <w:rFonts w:ascii="Palatino Linotype" w:eastAsia="Palatino Linotype" w:hAnsi="Palatino Linotype" w:cs="Palatino Linotype"/>
          <w:b/>
          <w:bCs/>
          <w:color w:val="000000"/>
        </w:rPr>
        <w:t xml:space="preserve"> veinticinco </w:t>
      </w:r>
      <w:r>
        <w:rPr>
          <w:rFonts w:ascii="Palatino Linotype" w:eastAsia="Palatino Linotype" w:hAnsi="Palatino Linotype" w:cs="Palatino Linotype"/>
          <w:color w:val="000000"/>
        </w:rPr>
        <w:t>rindió info</w:t>
      </w:r>
      <w:r>
        <w:rPr>
          <w:rFonts w:ascii="Palatino Linotype" w:eastAsia="Palatino Linotype" w:hAnsi="Palatino Linotype" w:cs="Palatino Linotype"/>
        </w:rPr>
        <w:t>rme justificado mediante el cual refiere que se dio atención puntual a la solicitud</w:t>
      </w:r>
      <w:r>
        <w:rPr>
          <w:rFonts w:ascii="Palatino Linotype" w:eastAsia="Palatino Linotype" w:hAnsi="Palatino Linotype" w:cs="Palatino Linotype"/>
          <w:color w:val="000000"/>
        </w:rPr>
        <w:t xml:space="preserve"> de información remitiendo listas y tarjetas de asistencia de cada uno de los trabajadores eventuales del Consejo Estatal para el Desarrollo Integral de los Pueblos Indígenas del Estado de México (CEDIPIEM), de los periodos solicitados, considerando que resultan infundados los argumentos vertidos por el RECURRENTE, solicitando el sobreseimiento del asunto..</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b/>
          <w:bCs/>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diecinueve de mayo de dos mil veintiséis</w:t>
      </w:r>
      <w:r>
        <w:rPr>
          <w:rFonts w:ascii="Palatino Linotype" w:eastAsia="Palatino Linotype" w:hAnsi="Palatino Linotype" w:cs="Palatino Linotype"/>
          <w:color w:val="000000"/>
        </w:rPr>
        <w:t xml:space="preserve">, 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consecutivamente se decretó el cierre de instrucción mediante Acuerdo de día </w:t>
      </w:r>
      <w:r>
        <w:rPr>
          <w:rFonts w:ascii="Palatino Linotype" w:eastAsia="Palatino Linotype" w:hAnsi="Palatino Linotype" w:cs="Palatino Linotype"/>
          <w:b/>
          <w:bCs/>
          <w:color w:val="000000"/>
        </w:rPr>
        <w:t>veinticinco del mismo mes y año</w:t>
      </w:r>
      <w:r>
        <w:rPr>
          <w:rFonts w:ascii="Palatino Linotype" w:eastAsia="Palatino Linotype" w:hAnsi="Palatino Linotype" w:cs="Palatino Linotype"/>
          <w:color w:val="000000"/>
        </w:rPr>
        <w:t>, por lo que no habiendo más que hacer constar, y</w:t>
      </w:r>
    </w:p>
    <w:p w:rsidR="0003750F" w:rsidRDefault="0003750F">
      <w:pPr>
        <w:pBdr>
          <w:top w:val="nil"/>
          <w:left w:val="nil"/>
          <w:bottom w:val="nil"/>
          <w:right w:val="nil"/>
          <w:between w:val="nil"/>
        </w:pBdr>
        <w:spacing w:line="360" w:lineRule="auto"/>
        <w:ind w:left="720" w:right="-929"/>
        <w:jc w:val="center"/>
        <w:rPr>
          <w:rFonts w:ascii="Palatino Linotype" w:eastAsia="Palatino Linotype" w:hAnsi="Palatino Linotype" w:cs="Palatino Linotype"/>
          <w:b/>
          <w:bCs/>
          <w:color w:val="000000"/>
        </w:rPr>
      </w:pPr>
    </w:p>
    <w:p w:rsidR="0003750F" w:rsidRDefault="00D97405">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C I O N E S</w:t>
      </w:r>
    </w:p>
    <w:p w:rsidR="0003750F" w:rsidRDefault="0003750F">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rsidR="0003750F" w:rsidRDefault="00D97405">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Pr>
          <w:rFonts w:ascii="Palatino Linotype" w:eastAsia="Palatino Linotype" w:hAnsi="Palatino Linotype" w:cs="Palatino Linotype"/>
        </w:rPr>
        <w:t>trigésimo</w:t>
      </w:r>
      <w:r>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3750F" w:rsidRDefault="00D97405">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lastRenderedPageBreak/>
        <w:t>SEGUNDO. Procedencia.</w:t>
      </w: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Por otro lado, es de suma importancia señalar que la parte recurrente no proporciona un </w:t>
      </w:r>
      <w:r>
        <w:rPr>
          <w:rFonts w:ascii="Palatino Linotype" w:eastAsia="Palatino Linotype" w:hAnsi="Palatino Linotype" w:cs="Palatino Linotype"/>
          <w:u w:val="single"/>
        </w:rPr>
        <w:t>nombre completo</w:t>
      </w:r>
      <w:r>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03750F" w:rsidRDefault="0003750F">
      <w:pPr>
        <w:pBdr>
          <w:top w:val="nil"/>
          <w:left w:val="nil"/>
          <w:bottom w:val="nil"/>
          <w:right w:val="nil"/>
          <w:between w:val="nil"/>
        </w:pBdr>
        <w:spacing w:line="360" w:lineRule="auto"/>
        <w:ind w:right="-929"/>
        <w:rPr>
          <w:rFonts w:ascii="Palatino Linotype" w:eastAsia="Palatino Linotype" w:hAnsi="Palatino Linotype" w:cs="Palatino Linotype"/>
          <w:color w:val="000000"/>
        </w:rPr>
      </w:pPr>
    </w:p>
    <w:p w:rsidR="0003750F" w:rsidRDefault="00D97405">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Se solicitó tener acceso, a la información que a continuación se simplifica, relativa a trabajadores eventuales del CEDIPIEM, de los meses de julio a diciembre del año 2024 y de enero a julio del año 2025:</w:t>
      </w:r>
    </w:p>
    <w:p w:rsidR="0003750F" w:rsidRDefault="00D97405">
      <w:pPr>
        <w:numPr>
          <w:ilvl w:val="0"/>
          <w:numId w:val="7"/>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Informe de asistencias; y</w:t>
      </w:r>
    </w:p>
    <w:p w:rsidR="0003750F" w:rsidRDefault="00D97405">
      <w:pPr>
        <w:numPr>
          <w:ilvl w:val="0"/>
          <w:numId w:val="7"/>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Bitácoras o reportes de actividades.</w:t>
      </w:r>
    </w:p>
    <w:p w:rsidR="0003750F" w:rsidRDefault="0003750F">
      <w:pPr>
        <w:pBdr>
          <w:top w:val="nil"/>
          <w:left w:val="nil"/>
          <w:bottom w:val="nil"/>
          <w:right w:val="nil"/>
          <w:between w:val="nil"/>
        </w:pBdr>
        <w:spacing w:line="360" w:lineRule="auto"/>
        <w:ind w:left="1080" w:right="-929"/>
        <w:jc w:val="both"/>
        <w:rPr>
          <w:rFonts w:ascii="Palatino Linotype" w:eastAsia="Palatino Linotype" w:hAnsi="Palatino Linotype" w:cs="Palatino Linotype"/>
          <w:b/>
          <w:bCs/>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Inconforme con la respuesta, el solicitante interpuso recurso de revisión de manera general en contra de 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w:t>
      </w:r>
      <w:r>
        <w:rPr>
          <w:rFonts w:ascii="Palatino Linotype" w:eastAsia="Palatino Linotype" w:hAnsi="Palatino Linotype" w:cs="Palatino Linotype"/>
        </w:rPr>
        <w:lastRenderedPageBreak/>
        <w:t>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pPr>
      <w:bookmarkStart w:id="6" w:name="_heading=h.ymhvo780rqb" w:colFirst="0" w:colLast="0"/>
      <w:bookmarkEnd w:id="6"/>
      <w:r>
        <w:rPr>
          <w:rFonts w:ascii="Palatino Linotype" w:eastAsia="Palatino Linotype" w:hAnsi="Palatino Linotype" w:cs="Palatino Linotype"/>
        </w:rPr>
        <w:t xml:space="preserve">Dicho lo anterior por razones de orden argumentativo, es necesario traer a contexto primeramente el rubro relativo al </w:t>
      </w:r>
      <w:r>
        <w:rPr>
          <w:rFonts w:ascii="Palatino Linotype" w:eastAsia="Palatino Linotype" w:hAnsi="Palatino Linotype" w:cs="Palatino Linotype"/>
          <w:b/>
          <w:bCs/>
          <w:i/>
          <w:iCs/>
        </w:rPr>
        <w:t>Informe de asistencias</w:t>
      </w:r>
      <w:r>
        <w:rPr>
          <w:rFonts w:ascii="Palatino Linotype" w:eastAsia="Palatino Linotype" w:hAnsi="Palatino Linotype" w:cs="Palatino Linotype"/>
          <w:b/>
          <w:bCs/>
        </w:rPr>
        <w:t>,</w:t>
      </w:r>
      <w:r>
        <w:rPr>
          <w:rFonts w:ascii="Palatino Linotype" w:eastAsia="Palatino Linotype" w:hAnsi="Palatino Linotype" w:cs="Palatino Linotype"/>
        </w:rPr>
        <w:t xml:space="preserve"> del cual se advierte el </w:t>
      </w:r>
      <w:r>
        <w:rPr>
          <w:rFonts w:ascii="Palatino Linotype" w:eastAsia="Palatino Linotype" w:hAnsi="Palatino Linotype" w:cs="Palatino Linotype"/>
          <w:b/>
          <w:bCs/>
        </w:rPr>
        <w:t xml:space="preserve">SUJETO </w:t>
      </w:r>
      <w:r>
        <w:rPr>
          <w:rFonts w:ascii="Palatino Linotype" w:eastAsia="Palatino Linotype" w:hAnsi="Palatino Linotype" w:cs="Palatino Linotype"/>
          <w:b/>
          <w:bCs/>
        </w:rPr>
        <w:lastRenderedPageBreak/>
        <w:t xml:space="preserve">OBLIGADO </w:t>
      </w:r>
      <w:r>
        <w:rPr>
          <w:rFonts w:ascii="Palatino Linotype" w:eastAsia="Palatino Linotype" w:hAnsi="Palatino Linotype" w:cs="Palatino Linotype"/>
        </w:rPr>
        <w:t>le otorga una expresión documental y remite las documentales que estima contienen lo solicitado; a saber tarjetas y listas de registro de asistencia, así como oficios de exención del registro de asistencia, de conformidad con el Criterio 16/17 emitido por el entonces Instituto Nacional de Transparencia, Acceso a la Información y Protección de Datos Personales (INAI), a saber:</w:t>
      </w:r>
    </w:p>
    <w:p w:rsidR="0003750F" w:rsidRDefault="00D97405">
      <w:pPr>
        <w:pBdr>
          <w:top w:val="nil"/>
          <w:left w:val="nil"/>
          <w:bottom w:val="nil"/>
          <w:right w:val="nil"/>
          <w:between w:val="nil"/>
        </w:pBdr>
        <w:spacing w:line="360" w:lineRule="auto"/>
        <w:ind w:left="567" w:right="-929"/>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 xml:space="preserve">Expresión documental. </w:t>
      </w:r>
      <w:r>
        <w:rPr>
          <w:rFonts w:ascii="Palatino Linotype" w:eastAsia="Palatino Linotype" w:hAnsi="Palatino Linotype" w:cs="Palatino Linotype"/>
          <w:i/>
          <w:iC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03750F" w:rsidRDefault="0003750F">
      <w:pPr>
        <w:spacing w:line="360" w:lineRule="auto"/>
        <w:ind w:right="-929"/>
        <w:jc w:val="both"/>
        <w:rPr>
          <w:rFonts w:ascii="Palatino Linotype" w:eastAsia="Palatino Linotype" w:hAnsi="Palatino Linotype" w:cs="Palatino Linotype"/>
        </w:rPr>
      </w:pP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numPr>
          <w:ilvl w:val="0"/>
          <w:numId w:val="3"/>
        </w:numPr>
        <w:spacing w:line="360" w:lineRule="auto"/>
        <w:ind w:left="141" w:right="-929" w:firstLine="0"/>
        <w:jc w:val="both"/>
      </w:pPr>
      <w:r>
        <w:rPr>
          <w:rFonts w:ascii="Palatino Linotype" w:eastAsia="Palatino Linotype" w:hAnsi="Palatino Linotype" w:cs="Palatino Linotype"/>
        </w:rPr>
        <w:t xml:space="preserve">Ahora bien, las documentales entregadas se estima ciertamente de puede colmar dicho requerimiento, pues de su naturaleza es dable señalar que de conformidad con el artículo 49, de la Ley del Trabajo de los Servidores Públicos del Estado de México y Municipios se determinan los requisitos para tener por formalizada una relación de trabajo entre el servidor y las entidades públicas, los cuales se enlistan a continuación: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Los nombramientos, contratos o formato único de Movimientos de Personal de los servidores públicos deberán contener:</w:t>
      </w:r>
    </w:p>
    <w:p w:rsidR="0003750F" w:rsidRDefault="0003750F">
      <w:pPr>
        <w:spacing w:line="360" w:lineRule="auto"/>
        <w:ind w:left="567" w:right="-929"/>
        <w:jc w:val="both"/>
        <w:rPr>
          <w:rFonts w:ascii="Palatino Linotype" w:eastAsia="Palatino Linotype" w:hAnsi="Palatino Linotype" w:cs="Palatino Linotype"/>
          <w:i/>
          <w:iCs/>
        </w:rPr>
      </w:pP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Nombre completo del servidor público;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Cargo para el que es designado, fecha de inicio de sus servicios y lugar de adscripción;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Carácter del nombramiento, ya sea de servidores públicos generales o de confianza, así como la temporalidad del mismo;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IV. Remuneración correspondiente al puesto; </w:t>
      </w:r>
    </w:p>
    <w:p w:rsidR="0003750F" w:rsidRDefault="00D97405">
      <w:pPr>
        <w:spacing w:line="360" w:lineRule="auto"/>
        <w:ind w:left="567"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 Jornada de trabajo;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Derogada;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VII. Firma del servidor público autorizado para emitir el nombramiento, contrato o formato único de Movimientos de Personal, así como el fundamento legal de esa atribución.</w:t>
      </w:r>
    </w:p>
    <w:p w:rsidR="0003750F" w:rsidRDefault="0003750F">
      <w:pPr>
        <w:spacing w:line="360" w:lineRule="auto"/>
        <w:ind w:right="-929"/>
        <w:jc w:val="both"/>
        <w:rPr>
          <w:rFonts w:ascii="Palatino Linotype" w:eastAsia="Palatino Linotype" w:hAnsi="Palatino Linotype" w:cs="Palatino Linotype"/>
          <w:i/>
          <w:iCs/>
        </w:rPr>
      </w:pPr>
    </w:p>
    <w:p w:rsidR="0003750F" w:rsidRDefault="00D97405">
      <w:pPr>
        <w:numPr>
          <w:ilvl w:val="0"/>
          <w:numId w:val="3"/>
        </w:numPr>
        <w:spacing w:line="360" w:lineRule="auto"/>
        <w:ind w:left="141" w:right="-929" w:firstLine="0"/>
        <w:jc w:val="both"/>
      </w:pPr>
      <w:r>
        <w:rPr>
          <w:rFonts w:ascii="Palatino Linotype" w:eastAsia="Palatino Linotype" w:hAnsi="Palatino Linotype" w:cs="Palatino Linotype"/>
        </w:rPr>
        <w:t xml:space="preserve">Del citado ordenamiento legal, se advierte que, en los nombramientos, contratos o formatos únicos de movimientos de personal, deben contener, entre otros requisitos, la jornada de trabajo; es decir el periodo o espacio de tiempo por el cual el servidor público prestará su servicio al ente público del que se trate, lo que se robustece con lo establecido en los artículos 56 y 59 del mismo ordenamiento legal, que dispone lo siguiente: </w:t>
      </w:r>
    </w:p>
    <w:p w:rsidR="0003750F" w:rsidRDefault="00D97405">
      <w:pPr>
        <w:tabs>
          <w:tab w:val="left" w:pos="7938"/>
        </w:tabs>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56</w:t>
      </w:r>
      <w:r>
        <w:rPr>
          <w:rFonts w:ascii="Palatino Linotype" w:eastAsia="Palatino Linotype" w:hAnsi="Palatino Linotype" w:cs="Palatino Linotype"/>
          <w:i/>
          <w:iCs/>
        </w:rPr>
        <w:t>. Las condiciones generales de trabajo, establecerán como mínimo:</w:t>
      </w:r>
    </w:p>
    <w:p w:rsidR="0003750F" w:rsidRDefault="00D97405">
      <w:pPr>
        <w:tabs>
          <w:tab w:val="left" w:pos="7938"/>
        </w:tabs>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w:t>
      </w:r>
      <w:r>
        <w:rPr>
          <w:rFonts w:ascii="Palatino Linotype" w:eastAsia="Palatino Linotype" w:hAnsi="Palatino Linotype" w:cs="Palatino Linotype"/>
          <w:b/>
          <w:bCs/>
          <w:i/>
          <w:iCs/>
        </w:rPr>
        <w:t>Duración de la jornada de trabajo</w:t>
      </w:r>
      <w:r>
        <w:rPr>
          <w:rFonts w:ascii="Palatino Linotype" w:eastAsia="Palatino Linotype" w:hAnsi="Palatino Linotype" w:cs="Palatino Linotype"/>
          <w:i/>
          <w:iCs/>
        </w:rPr>
        <w:t>;</w:t>
      </w:r>
    </w:p>
    <w:p w:rsidR="0003750F" w:rsidRDefault="00D97405">
      <w:pPr>
        <w:tabs>
          <w:tab w:val="left" w:pos="7938"/>
        </w:tabs>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03750F" w:rsidRDefault="00D97405">
      <w:pPr>
        <w:tabs>
          <w:tab w:val="left" w:pos="7938"/>
        </w:tabs>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Jornada de trabajo es el tiempo durante el cual el servidor público está a disposición de la institución pública para prestar sus servicios</w:t>
      </w:r>
      <w:r>
        <w:rPr>
          <w:rFonts w:ascii="Palatino Linotype" w:eastAsia="Palatino Linotype" w:hAnsi="Palatino Linotype" w:cs="Palatino Linotype"/>
          <w:i/>
          <w:iCs/>
        </w:rPr>
        <w:t>. El horario de trabajo será determinado conforme a las necesidades del servicio de la institución pública o dependencia, de acuerdo a lo estipulado en las condiciones generales de trabajo, sin que exceda los máximos legales”.</w:t>
      </w:r>
    </w:p>
    <w:p w:rsidR="0003750F" w:rsidRDefault="00D97405">
      <w:pPr>
        <w:spacing w:line="360" w:lineRule="auto"/>
        <w:ind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03750F" w:rsidRDefault="00D97405">
      <w:pPr>
        <w:numPr>
          <w:ilvl w:val="0"/>
          <w:numId w:val="3"/>
        </w:numPr>
        <w:spacing w:line="360" w:lineRule="auto"/>
        <w:ind w:left="141" w:right="-929" w:firstLine="0"/>
        <w:jc w:val="both"/>
      </w:pPr>
      <w:r>
        <w:rPr>
          <w:rFonts w:ascii="Palatino Linotype" w:eastAsia="Palatino Linotype" w:hAnsi="Palatino Linotype" w:cs="Palatino Linotype"/>
        </w:rPr>
        <w:t xml:space="preserve">En ese contexto, la duración de la jornada de trabajo puede ser de varias maneras, las cuales se encuentran establecidas en el artículo 60, 61, 62 y 63 de la mencionada Ley de Trabajo que literalmente señala lo siguiente: </w:t>
      </w:r>
    </w:p>
    <w:p w:rsidR="0003750F" w:rsidRDefault="00D97405">
      <w:pPr>
        <w:tabs>
          <w:tab w:val="left" w:pos="7938"/>
        </w:tabs>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60</w:t>
      </w:r>
      <w:r>
        <w:rPr>
          <w:rFonts w:ascii="Palatino Linotype" w:eastAsia="Palatino Linotype" w:hAnsi="Palatino Linotype" w:cs="Palatino Linotype"/>
          <w:i/>
          <w:iCs/>
        </w:rPr>
        <w:t xml:space="preserve">. La jornada de trabajo puede ser diurna, nocturna o mixta, conforme a lo siguiente: </w:t>
      </w:r>
    </w:p>
    <w:p w:rsidR="0003750F" w:rsidRDefault="00D97405">
      <w:pPr>
        <w:tabs>
          <w:tab w:val="left" w:pos="7938"/>
        </w:tabs>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Diurna, la comprendida entre las seis y las veinte horas; </w:t>
      </w:r>
    </w:p>
    <w:p w:rsidR="0003750F" w:rsidRDefault="00D97405">
      <w:pPr>
        <w:tabs>
          <w:tab w:val="left" w:pos="7938"/>
        </w:tabs>
        <w:spacing w:line="360" w:lineRule="auto"/>
        <w:ind w:left="426" w:right="-929"/>
        <w:rPr>
          <w:rFonts w:ascii="Palatino Linotype" w:eastAsia="Palatino Linotype" w:hAnsi="Palatino Linotype" w:cs="Palatino Linotype"/>
          <w:i/>
          <w:iCs/>
        </w:rPr>
      </w:pPr>
      <w:r>
        <w:rPr>
          <w:rFonts w:ascii="Palatino Linotype" w:eastAsia="Palatino Linotype" w:hAnsi="Palatino Linotype" w:cs="Palatino Linotype"/>
          <w:i/>
          <w:iCs/>
        </w:rPr>
        <w:t xml:space="preserve">II. Nocturna, la comprendida entre las veinte y las seis horas; y </w:t>
      </w:r>
    </w:p>
    <w:p w:rsidR="0003750F" w:rsidRDefault="00D97405">
      <w:pPr>
        <w:tabs>
          <w:tab w:val="left" w:pos="7938"/>
        </w:tabs>
        <w:spacing w:line="360" w:lineRule="auto"/>
        <w:ind w:left="426" w:right="-929"/>
        <w:rPr>
          <w:rFonts w:ascii="Palatino Linotype" w:eastAsia="Palatino Linotype" w:hAnsi="Palatino Linotype" w:cs="Palatino Linotype"/>
          <w:i/>
          <w:iCs/>
        </w:rPr>
      </w:pPr>
      <w:r>
        <w:rPr>
          <w:rFonts w:ascii="Palatino Linotype" w:eastAsia="Palatino Linotype" w:hAnsi="Palatino Linotype" w:cs="Palatino Linotype"/>
          <w:i/>
          <w:iCs/>
        </w:rPr>
        <w:t xml:space="preserve">III. Mixta, la que comprenda períodos de tiempo de las jornadas diurna y nocturna, siempre que el período nocturno sea menor de tres horas y media, pues en caso contrario, se considerará como jornada nocturna. </w:t>
      </w:r>
    </w:p>
    <w:p w:rsidR="0003750F" w:rsidRDefault="0003750F">
      <w:pPr>
        <w:tabs>
          <w:tab w:val="left" w:pos="7938"/>
        </w:tabs>
        <w:spacing w:line="360" w:lineRule="auto"/>
        <w:ind w:left="426" w:right="-929"/>
        <w:jc w:val="both"/>
        <w:rPr>
          <w:rFonts w:ascii="Palatino Linotype" w:eastAsia="Palatino Linotype" w:hAnsi="Palatino Linotype" w:cs="Palatino Linotype"/>
          <w:i/>
          <w:iCs/>
        </w:rPr>
      </w:pPr>
    </w:p>
    <w:p w:rsidR="0003750F" w:rsidRDefault="00D97405">
      <w:pPr>
        <w:tabs>
          <w:tab w:val="left" w:pos="7938"/>
        </w:tabs>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61.</w:t>
      </w:r>
      <w:r>
        <w:rPr>
          <w:rFonts w:ascii="Palatino Linotype" w:eastAsia="Palatino Linotype" w:hAnsi="Palatino Linotype" w:cs="Palatino Linotype"/>
          <w:i/>
          <w:iCs/>
        </w:rPr>
        <w:t xml:space="preserve"> Cuando la naturaleza del trabajo así lo exija, la jornada se reducirá teniendo en cuenta el número de horas que pueda trabajar un individuo normal sin sufrir quebranto en su salud. </w:t>
      </w:r>
    </w:p>
    <w:p w:rsidR="0003750F" w:rsidRDefault="0003750F">
      <w:pPr>
        <w:tabs>
          <w:tab w:val="left" w:pos="7938"/>
        </w:tabs>
        <w:spacing w:line="360" w:lineRule="auto"/>
        <w:ind w:left="426" w:right="-929"/>
        <w:jc w:val="both"/>
        <w:rPr>
          <w:rFonts w:ascii="Palatino Linotype" w:eastAsia="Palatino Linotype" w:hAnsi="Palatino Linotype" w:cs="Palatino Linotype"/>
          <w:i/>
          <w:iCs/>
        </w:rPr>
      </w:pPr>
    </w:p>
    <w:p w:rsidR="0003750F" w:rsidRDefault="00D97405">
      <w:pPr>
        <w:tabs>
          <w:tab w:val="left" w:pos="7938"/>
        </w:tabs>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62.</w:t>
      </w:r>
      <w:r>
        <w:rPr>
          <w:rFonts w:ascii="Palatino Linotype" w:eastAsia="Palatino Linotype" w:hAnsi="Palatino Linotype" w:cs="Palatino Linotype"/>
          <w:i/>
          <w:iCs/>
        </w:rPr>
        <w:t xml:space="preserve"> Por cada seis días de trabajo el servidor público disfrutará de uno de descanso con goce de sueldo íntegro. Cuando proceda, se podrán distribuir las horas de trabajo, a fin de permitir a los servidores públicos el descanso del sábado o cualquier modalidad equivalente. </w:t>
      </w:r>
    </w:p>
    <w:p w:rsidR="0003750F" w:rsidRDefault="0003750F">
      <w:pPr>
        <w:tabs>
          <w:tab w:val="left" w:pos="7938"/>
        </w:tabs>
        <w:spacing w:line="360" w:lineRule="auto"/>
        <w:ind w:left="426" w:right="-929"/>
        <w:jc w:val="both"/>
        <w:rPr>
          <w:rFonts w:ascii="Palatino Linotype" w:eastAsia="Palatino Linotype" w:hAnsi="Palatino Linotype" w:cs="Palatino Linotype"/>
          <w:i/>
          <w:iCs/>
        </w:rPr>
      </w:pPr>
    </w:p>
    <w:p w:rsidR="0003750F" w:rsidRDefault="00D97405">
      <w:pPr>
        <w:tabs>
          <w:tab w:val="left" w:pos="7938"/>
        </w:tabs>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63.</w:t>
      </w:r>
      <w:r>
        <w:rPr>
          <w:rFonts w:ascii="Palatino Linotype" w:eastAsia="Palatino Linotype" w:hAnsi="Palatino Linotype" w:cs="Palatino Linotype"/>
          <w:i/>
          <w:iCs/>
        </w:rPr>
        <w:t xml:space="preserve"> El servidor público tendrá derecho a un descanso de media hora cuando trabaje horario continuo de más de siete horas y cuando menos de una hora, en horario discontinuo. Cuando el servidor público no pueda salir del lugar donde presta sus servicios durante la hora de descanso o de comidas, el tiempo correspondiente le será considerado como tiempo efectivo de trabajo.</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spacing w:line="360" w:lineRule="auto"/>
        <w:ind w:left="141" w:right="-929" w:firstLine="0"/>
        <w:jc w:val="both"/>
      </w:pPr>
      <w:r>
        <w:rPr>
          <w:rFonts w:ascii="Palatino Linotype" w:eastAsia="Palatino Linotype" w:hAnsi="Palatino Linotype" w:cs="Palatino Linotype"/>
        </w:rPr>
        <w:t xml:space="preserve">De lo anterior, se concluye que se establecen algunos supuestos para la duración de la jornada de trabajo, la cual deberá cumplir cabalmente el servidor público ya que se constituye como una obligación en la Ley de Trabajo de los Servidores Públicos del Estado de México y Municipios, en su artículo 88 fracción III y VI que literalmente indica: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88.</w:t>
      </w:r>
      <w:r>
        <w:rPr>
          <w:rFonts w:ascii="Palatino Linotype" w:eastAsia="Palatino Linotype" w:hAnsi="Palatino Linotype" w:cs="Palatino Linotype"/>
          <w:i/>
          <w:iCs/>
        </w:rPr>
        <w:t xml:space="preserve"> Son obligaciones de los servidores públicos: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Cumplir con las obligaciones que señalan las condiciones generales de trabajo; </w:t>
      </w:r>
    </w:p>
    <w:p w:rsidR="0003750F" w:rsidRDefault="0003750F">
      <w:pPr>
        <w:spacing w:line="360" w:lineRule="auto"/>
        <w:ind w:right="-929"/>
        <w:jc w:val="both"/>
        <w:rPr>
          <w:rFonts w:ascii="Palatino Linotype" w:eastAsia="Palatino Linotype" w:hAnsi="Palatino Linotype" w:cs="Palatino Linotype"/>
          <w:i/>
          <w:iCs/>
        </w:rPr>
      </w:pPr>
    </w:p>
    <w:p w:rsidR="0003750F" w:rsidRDefault="00D97405">
      <w:pPr>
        <w:numPr>
          <w:ilvl w:val="0"/>
          <w:numId w:val="3"/>
        </w:numPr>
        <w:spacing w:line="360" w:lineRule="auto"/>
        <w:ind w:left="-283" w:right="-929" w:firstLine="0"/>
        <w:jc w:val="both"/>
      </w:pPr>
      <w:r>
        <w:rPr>
          <w:rFonts w:ascii="Palatino Linotype" w:eastAsia="Palatino Linotype" w:hAnsi="Palatino Linotype" w:cs="Palatino Linotype"/>
        </w:rPr>
        <w:t>Es decir que los servidores públicos tienen la obligación de cumplir con la jornada de trabajo estipulada en su nombramiento, contrato o formato único de movimiento de personal; en caso contrario, será motivo de rescisión de la relación laboral aquellas que establecen el artículo 93 de la Ley de Trabajo de los Servidores Públicos del Estado de México y Municipios:</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93.</w:t>
      </w:r>
      <w:r>
        <w:rPr>
          <w:rFonts w:ascii="Palatino Linotype" w:eastAsia="Palatino Linotype" w:hAnsi="Palatino Linotype" w:cs="Palatino Linotype"/>
          <w:i/>
          <w:iCs/>
        </w:rPr>
        <w:t xml:space="preserve"> Son causas de rescisión de la relación laboral, sin responsabilidad para las instituciones públicas:</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IV. Incurrir en cuatro o más faltas de asistencia a sus labores sin causa justificada, dentro de un lapso de treinta días;</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V. Abandonar las labores sin autorización previa o razón plenamente justificada, en contravención a lo establecido en las condiciones generales de trabajo;</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XVII. Sustraer tarjetas o listas de puntualidad y asistencia del lugar destinado para ello, ya sea la del propio servidor público o la de otro, utilizar o registrar asistencia con gafete-credencial o tarjeta distinto al suyo o alterar en cualquier forma los registros de control de puntualidad y asistencia; siempre y cuando no sea resultado de un error involuntario;”</w:t>
      </w:r>
    </w:p>
    <w:p w:rsidR="002B1262" w:rsidRDefault="002B1262">
      <w:pPr>
        <w:spacing w:line="360" w:lineRule="auto"/>
        <w:ind w:left="567" w:right="-929"/>
        <w:jc w:val="both"/>
        <w:rPr>
          <w:rFonts w:ascii="Palatino Linotype" w:eastAsia="Palatino Linotype" w:hAnsi="Palatino Linotype" w:cs="Palatino Linotype"/>
          <w:i/>
          <w:iCs/>
        </w:rPr>
      </w:pPr>
    </w:p>
    <w:p w:rsidR="0003750F" w:rsidRDefault="00D97405">
      <w:pPr>
        <w:numPr>
          <w:ilvl w:val="0"/>
          <w:numId w:val="3"/>
        </w:numPr>
        <w:spacing w:line="360" w:lineRule="auto"/>
        <w:ind w:left="141" w:right="-929" w:firstLine="0"/>
        <w:jc w:val="both"/>
      </w:pPr>
      <w:r>
        <w:rPr>
          <w:rFonts w:ascii="Palatino Linotype" w:eastAsia="Palatino Linotype" w:hAnsi="Palatino Linotype" w:cs="Palatino Linotype"/>
        </w:rPr>
        <w:t xml:space="preserve">Ahora bien, para comprobar el cumplimiento de la jornada de trabajo del Servidor Público, de conformidad con lo que establecen la fracción III y el penúltimo párrafo del artículo 220-K de la Ley en cita, precisa que: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 Controles de asistencia o la información magnética o electrónica de asistencia de los servidores públicos</w:t>
      </w:r>
      <w:r>
        <w:rPr>
          <w:rFonts w:ascii="Palatino Linotype" w:eastAsia="Palatino Linotype" w:hAnsi="Palatino Linotype" w:cs="Palatino Linotype"/>
          <w:i/>
          <w:iCs/>
        </w:rPr>
        <w:t xml:space="preserve">; </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426"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 este artículo, deberán conservarse mientras dure la relación laboral y hasta un año después; </w:t>
      </w:r>
      <w:r>
        <w:rPr>
          <w:rFonts w:ascii="Palatino Linotype" w:eastAsia="Palatino Linotype" w:hAnsi="Palatino Linotype" w:cs="Palatino Linotype"/>
          <w:b/>
          <w:bCs/>
          <w:i/>
          <w:iCs/>
        </w:rPr>
        <w:t>los señalados por las fracciones</w:t>
      </w:r>
      <w:r>
        <w:rPr>
          <w:rFonts w:ascii="Palatino Linotype" w:eastAsia="Palatino Linotype" w:hAnsi="Palatino Linotype" w:cs="Palatino Linotype"/>
          <w:i/>
          <w:iCs/>
        </w:rPr>
        <w:t xml:space="preserve"> II, </w:t>
      </w: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IV </w:t>
      </w:r>
      <w:r>
        <w:rPr>
          <w:rFonts w:ascii="Palatino Linotype" w:eastAsia="Palatino Linotype" w:hAnsi="Palatino Linotype" w:cs="Palatino Linotype"/>
          <w:b/>
          <w:bCs/>
          <w:i/>
          <w:iCs/>
        </w:rPr>
        <w:t>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03750F" w:rsidRDefault="0003750F">
      <w:pPr>
        <w:spacing w:line="360" w:lineRule="auto"/>
        <w:ind w:right="-929"/>
        <w:jc w:val="both"/>
        <w:rPr>
          <w:rFonts w:ascii="Palatino Linotype" w:eastAsia="Palatino Linotype" w:hAnsi="Palatino Linotype" w:cs="Palatino Linotype"/>
        </w:rPr>
      </w:pPr>
    </w:p>
    <w:p w:rsidR="0003750F" w:rsidRPr="002B1262" w:rsidRDefault="00D97405">
      <w:pPr>
        <w:numPr>
          <w:ilvl w:val="0"/>
          <w:numId w:val="3"/>
        </w:numPr>
        <w:spacing w:line="360" w:lineRule="auto"/>
        <w:ind w:left="-283" w:right="-929" w:firstLine="0"/>
        <w:jc w:val="both"/>
      </w:pPr>
      <w:r>
        <w:rPr>
          <w:rFonts w:ascii="Palatino Linotype" w:eastAsia="Palatino Linotype" w:hAnsi="Palatino Linotype" w:cs="Palatino Linotype"/>
        </w:rPr>
        <w:lastRenderedPageBreak/>
        <w:t>En consecuencia, se acredita que el Sujeto debe generar el control se asistencia de sus trabajadores y estos deben ser conservados durante el último año y un año después para el caso de que la relación laboral ya esté extinta. Por tanto se estima que lo entregado contiene lo relativo al informe de asistencias.</w:t>
      </w:r>
    </w:p>
    <w:p w:rsidR="002B1262" w:rsidRDefault="002B1262" w:rsidP="002B1262">
      <w:pPr>
        <w:spacing w:line="360" w:lineRule="auto"/>
        <w:ind w:left="-283" w:right="-929"/>
        <w:jc w:val="both"/>
      </w:pPr>
    </w:p>
    <w:p w:rsidR="0003750F" w:rsidRDefault="00D97405">
      <w:pPr>
        <w:numPr>
          <w:ilvl w:val="0"/>
          <w:numId w:val="3"/>
        </w:numPr>
        <w:spacing w:line="360" w:lineRule="auto"/>
        <w:ind w:left="-283" w:right="-929" w:firstLine="0"/>
        <w:jc w:val="both"/>
      </w:pPr>
      <w:r>
        <w:rPr>
          <w:rFonts w:ascii="Palatino Linotype" w:eastAsia="Palatino Linotype" w:hAnsi="Palatino Linotype" w:cs="Palatino Linotype"/>
        </w:rPr>
        <w:t>Por otro lado, es de señalar que también existe la posibilidad que ciertos trabajadores cuenten con exención del registro de asistencia (como se actualiza del caso concreto). Dichas exenciones de registro de asistencia es la autorización que se otorga a una persona trabajadora o servidora pública para quedar dispensada de registrar su entrada y salida mediante los mecanismos de control de asistencia (reloj checador, biométrico, listas, tarjetas, etc.). Generalmente, esta exención se concede por razones como:</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Naturaleza del cargo o funciones.</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Actividades fuera de oficina.</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Disponibilidad permanente.</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Comisión oficial.</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Nivel jerárquico.</w:t>
      </w:r>
    </w:p>
    <w:p w:rsidR="0003750F" w:rsidRDefault="00D97405">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Condiciones médicas o justificadas.</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En el presente caso corresponde a la naturaleza del cargo o funciones, como se desprenden de los oficios entregados, en dicho supuesto no basta con que los sujetos obligados hagan mención de dicha situación; sino que, en todo caso debe entregarse el documento mediante el cual se </w:t>
      </w:r>
      <w:r>
        <w:rPr>
          <w:rFonts w:ascii="Palatino Linotype" w:eastAsia="Palatino Linotype" w:hAnsi="Palatino Linotype" w:cs="Palatino Linotype"/>
        </w:rPr>
        <w:lastRenderedPageBreak/>
        <w:t>autorizó de forma expresa la exención de firmar o, registrar asistencia; por lo que, en el caso concreto, al haberse remitido los oficios, se tiene por colmado.</w:t>
      </w:r>
    </w:p>
    <w:p w:rsidR="0003750F" w:rsidRDefault="0003750F">
      <w:pPr>
        <w:tabs>
          <w:tab w:val="left" w:pos="8080"/>
        </w:tabs>
        <w:spacing w:line="360" w:lineRule="auto"/>
        <w:ind w:right="-929"/>
        <w:jc w:val="both"/>
        <w:rPr>
          <w:rFonts w:ascii="Palatino Linotype" w:eastAsia="Palatino Linotype" w:hAnsi="Palatino Linotype" w:cs="Palatino Linotype"/>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Por cuanto hace a los extremos temporales, se advierte que lo entregado colma la temporalidad delimitada por el ahora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incluso excediéndose, respecto del año dos mil veinticuatro al remitir soporte documental de los meses de enero a junio y, de los meses de agosto y septiembre de 2025, por tanto, se estima que lo entregado colma los límites temporales establecidos por el solicitante. </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Relativo al motivo de inconformidad, tocante a </w:t>
      </w:r>
      <w:r>
        <w:rPr>
          <w:rFonts w:ascii="Palatino Linotype" w:eastAsia="Palatino Linotype" w:hAnsi="Palatino Linotype" w:cs="Palatino Linotype"/>
          <w:i/>
          <w:iCs/>
        </w:rPr>
        <w:t>la falta de registros correspondientes a varios trabajadores</w:t>
      </w:r>
      <w:r>
        <w:rPr>
          <w:rFonts w:ascii="Palatino Linotype" w:eastAsia="Palatino Linotype" w:hAnsi="Palatino Linotype" w:cs="Palatino Linotype"/>
        </w:rPr>
        <w:t xml:space="preserve">. Al respecto, de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subraya que de la respuesta emitida por el servidor público habilitado del Departamento de Recursos Humanos y Materiales adscrito a la Unidad de Apoyo Administrativo del CEDIPIEM, las tarjetas y listas de asistencia corresponden a cada uno de los trabajadores eventuales comprendidos en los periodos de julio a diciembre de 2024 y de enero a julio de 2025, contexto que fue confirmado en un hecho posterior a la interposición del recurso de revisión, en calidad de informe justificado.</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De tales pronunciamientos emitidos en calidad de respuesta, </w:t>
      </w:r>
      <w:r>
        <w:rPr>
          <w:rFonts w:ascii="Palatino Linotype" w:eastAsia="Palatino Linotype" w:hAnsi="Palatino Linotype" w:cs="Palatino Linotype"/>
          <w:color w:val="000000"/>
        </w:rPr>
        <w:t xml:space="preserve">es dable subrayar que este Instituto no </w:t>
      </w:r>
      <w:r>
        <w:rPr>
          <w:rFonts w:ascii="Palatino Linotype" w:eastAsia="Palatino Linotype" w:hAnsi="Palatino Linotype" w:cs="Palatino Linotype"/>
        </w:rPr>
        <w:t>está</w:t>
      </w:r>
      <w:r>
        <w:rPr>
          <w:rFonts w:ascii="Palatino Linotype" w:eastAsia="Palatino Linotype" w:hAnsi="Palatino Linotype" w:cs="Palatino Linotype"/>
          <w:color w:val="000000"/>
        </w:rPr>
        <w:t xml:space="preserve"> este Órgano Garante no se encuentra facultado para dudar de su veracidad de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que le fue entregada al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Pr>
          <w:rFonts w:ascii="Palatino Linotype" w:eastAsia="Palatino Linotype" w:hAnsi="Palatino Linotype" w:cs="Palatino Linotype"/>
        </w:rPr>
        <w:t xml:space="preserve">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w:t>
      </w:r>
      <w:r>
        <w:rPr>
          <w:rFonts w:ascii="Palatino Linotype" w:eastAsia="Palatino Linotype" w:hAnsi="Palatino Linotype" w:cs="Palatino Linotype"/>
          <w:color w:val="000000"/>
        </w:rPr>
        <w:lastRenderedPageBreak/>
        <w:t>que ponen a disposición ésta, la misma tiene el carácter oficial y se presume veraz, tan es así que la misma queda registrada en el Sistema de Acceso a la Información Mexiquense (SAIMEX).</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rsidP="002B1262">
      <w:pPr>
        <w:numPr>
          <w:ilvl w:val="0"/>
          <w:numId w:val="3"/>
        </w:numPr>
        <w:spacing w:line="360" w:lineRule="auto"/>
        <w:ind w:left="0" w:right="-929" w:firstLine="0"/>
        <w:jc w:val="both"/>
      </w:pPr>
      <w:r>
        <w:rPr>
          <w:rFonts w:ascii="Palatino Linotype" w:eastAsia="Palatino Linotype" w:hAnsi="Palatino Linotype" w:cs="Palatino Linotype"/>
        </w:rPr>
        <w:t xml:space="preserve">Sirviendo de apoyo a lo anterior por analogía, el criterio 31-10 emitido por el ahora Instituto </w:t>
      </w:r>
      <w:r>
        <w:rPr>
          <w:rFonts w:ascii="Palatino Linotype" w:eastAsia="Palatino Linotype" w:hAnsi="Palatino Linotype" w:cs="Palatino Linotype"/>
          <w:color w:val="000000"/>
        </w:rPr>
        <w:t>Nacional</w:t>
      </w:r>
      <w:r>
        <w:rPr>
          <w:rFonts w:ascii="Palatino Linotype" w:eastAsia="Palatino Linotype" w:hAnsi="Palatino Linotype" w:cs="Palatino Linotype"/>
        </w:rPr>
        <w:t xml:space="preserve"> de Transparencia, Acceso a la Información y Protección de Datos Personales, que a la letra dice:</w:t>
      </w:r>
    </w:p>
    <w:p w:rsidR="0003750F" w:rsidRDefault="00D97405">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03750F" w:rsidRDefault="0003750F">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p>
    <w:p w:rsidR="0003750F" w:rsidRDefault="00D97405" w:rsidP="002B1262">
      <w:pPr>
        <w:numPr>
          <w:ilvl w:val="0"/>
          <w:numId w:val="3"/>
        </w:numPr>
        <w:spacing w:line="360" w:lineRule="auto"/>
        <w:ind w:left="0" w:right="-929" w:firstLine="0"/>
        <w:jc w:val="both"/>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color w:val="000000"/>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w:t>
      </w:r>
      <w:r>
        <w:rPr>
          <w:rFonts w:ascii="Palatino Linotype" w:eastAsia="Palatino Linotype" w:hAnsi="Palatino Linotype" w:cs="Palatino Linotype"/>
        </w:rPr>
        <w:lastRenderedPageBreak/>
        <w:t>principio de máxima publicidad de la información, por lo que deberán apegarse en todo momento a los criterios de publicidad, veracidad, oportunidad entre otros, numeral en comento que a la letra señala:</w:t>
      </w:r>
    </w:p>
    <w:p w:rsidR="0003750F" w:rsidRDefault="00D97405">
      <w:pPr>
        <w:pBdr>
          <w:top w:val="nil"/>
          <w:left w:val="nil"/>
          <w:bottom w:val="nil"/>
          <w:right w:val="nil"/>
          <w:between w:val="nil"/>
        </w:pBdr>
        <w:spacing w:line="360" w:lineRule="auto"/>
        <w:ind w:left="567"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03750F" w:rsidRDefault="0003750F">
      <w:pPr>
        <w:pBdr>
          <w:top w:val="nil"/>
          <w:left w:val="nil"/>
          <w:bottom w:val="nil"/>
          <w:right w:val="nil"/>
          <w:between w:val="nil"/>
        </w:pBdr>
        <w:spacing w:line="360" w:lineRule="auto"/>
        <w:ind w:left="567" w:right="-929"/>
        <w:jc w:val="both"/>
        <w:rPr>
          <w:rFonts w:ascii="Palatino Linotype" w:eastAsia="Palatino Linotype" w:hAnsi="Palatino Linotype" w:cs="Palatino Linotype"/>
          <w:b/>
          <w:bCs/>
          <w:i/>
          <w:iCs/>
          <w:color w:val="000000"/>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 Por lo que en relatadas consideraciones, se tiene por colmado el rubro relativo a informe de asistencias.</w:t>
      </w:r>
    </w:p>
    <w:p w:rsidR="0003750F" w:rsidRDefault="0003750F">
      <w:pP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Seguidamente, respecto del rubro tocante a bitácoras o reportes de actividades, que de acuerdo a lo vertido en el escrito recursal, se refiere al </w:t>
      </w:r>
      <w:r>
        <w:rPr>
          <w:rFonts w:ascii="Palatino Linotype" w:eastAsia="Palatino Linotype" w:hAnsi="Palatino Linotype" w:cs="Palatino Linotype"/>
          <w:color w:val="000000"/>
        </w:rPr>
        <w:t>documento que acredite las actividades realizadas de cada trabajador eventual. Solicitud de la que ciertamente se omitió entregar soporte documental o pronunciamiento al respecto, de acuerdo a las constancias que obran en el expediente electrónico en que se actúa.</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Ahora bien, el personal eventual del CEDIPIEM, que ya se </w:t>
      </w:r>
      <w:r w:rsidR="002B1262">
        <w:rPr>
          <w:rFonts w:ascii="Palatino Linotype" w:eastAsia="Palatino Linotype" w:hAnsi="Palatino Linotype" w:cs="Palatino Linotype"/>
        </w:rPr>
        <w:t>aceptó</w:t>
      </w:r>
      <w:r>
        <w:rPr>
          <w:rFonts w:ascii="Palatino Linotype" w:eastAsia="Palatino Linotype" w:hAnsi="Palatino Linotype" w:cs="Palatino Linotype"/>
        </w:rPr>
        <w:t xml:space="preserve"> expresamente que se cuenta con él en la respuesta, corresponde aquellos trabajadores contratados de manera temporal para realizar funciones específicas, por tiempo determinado o para cubrir </w:t>
      </w:r>
      <w:r>
        <w:rPr>
          <w:rFonts w:ascii="Palatino Linotype" w:eastAsia="Palatino Linotype" w:hAnsi="Palatino Linotype" w:cs="Palatino Linotype"/>
        </w:rPr>
        <w:lastRenderedPageBreak/>
        <w:t>necesidades extraordinarias del Consejo, los cuales cumplen con características como no ocupan plazas permanentes, cuentan un nombramiento o contrato con fecha de inicio y término</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Respecto de sus actividades, se colige de acuerdo a los oficios de exención entregados en respuesta que corresponden de manera enunciativa más no limitativa en apoyar en programas, proyectos, eventos o </w:t>
      </w:r>
      <w:r w:rsidR="00A45ABA">
        <w:rPr>
          <w:rFonts w:ascii="Palatino Linotype" w:eastAsia="Palatino Linotype" w:hAnsi="Palatino Linotype" w:cs="Palatino Linotype"/>
        </w:rPr>
        <w:t>actividades administrativas; si</w:t>
      </w:r>
      <w:r>
        <w:rPr>
          <w:rFonts w:ascii="Palatino Linotype" w:eastAsia="Palatino Linotype" w:hAnsi="Palatino Linotype" w:cs="Palatino Linotype"/>
        </w:rPr>
        <w:t xml:space="preserve">n embargo de la revisión al marco normativo no se localizó una fuente obligacional que constriña al personal eventual del CEDIPIEM a que realicen una bitácora, informe o reportes de todas sus actividades; no obstante derivado de la falta de pronunciamiento, lo procedente es ordenar que se realice una nueva exhaustiva y razonable en todas las áreas que de acuerdo a sus facultades y atribuciones, eventualmente generen, posean y administren lo solicitado, a efecto de ser entregado al ahora </w:t>
      </w:r>
      <w:r>
        <w:rPr>
          <w:rFonts w:ascii="Palatino Linotype" w:eastAsia="Palatino Linotype" w:hAnsi="Palatino Linotype" w:cs="Palatino Linotype"/>
          <w:b/>
          <w:bCs/>
        </w:rPr>
        <w:t>RECURRENTE.</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Y con ello, se colme el cumplimiento al principio de </w:t>
      </w:r>
      <w:r>
        <w:rPr>
          <w:rFonts w:ascii="Palatino Linotype" w:eastAsia="Palatino Linotype" w:hAnsi="Palatino Linotype" w:cs="Palatino Linotype"/>
          <w:b/>
          <w:bCs/>
        </w:rPr>
        <w:t>exhaustividad</w:t>
      </w:r>
      <w:r>
        <w:rPr>
          <w:rFonts w:ascii="Palatino Linotype" w:eastAsia="Palatino Linotype" w:hAnsi="Palatino Linotype" w:cs="Palatino Linotype"/>
        </w:rPr>
        <w:t>; sobre el tema, el artículo 1.8, fracción XIII, del Código Administrativo del Estado de México, establece que para que tenga validez, todo acto administrativo deberá resolver todos los puntos propuestos por los interesados. Situación que se robustece, con el Criterio 02/17, del Instituto Nacional de Transparencia, Acceso a la Información y Protección de Datos Personales, el cual establece lo siguiente:</w:t>
      </w:r>
    </w:p>
    <w:p w:rsidR="0003750F" w:rsidRDefault="00D97405">
      <w:pPr>
        <w:spacing w:before="280" w:after="280"/>
        <w:ind w:left="567"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w:t>
      </w:r>
      <w:r>
        <w:rPr>
          <w:rFonts w:ascii="Palatino Linotype" w:eastAsia="Palatino Linotype" w:hAnsi="Palatino Linotype" w:cs="Palatino Linotype"/>
          <w:i/>
          <w:iCs/>
        </w:rPr>
        <w:lastRenderedPageBreak/>
        <w:t xml:space="preserve">principios de congruencia y exhaustividad. Para el efectivo ejercicio del derecho de acceso a la información, la congruencia implica que exista concordancia entre el requerimiento formulado por el particular y la respuesta proporcionada por el sujeto obligado;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xml:space="preserve">. Por lo anterior, los sujetos obligados cumplirán con los principios de congruencia y exhaustividad, cuando las respuestas que emitan guarden una relación lógica con lo solicitado y </w:t>
      </w:r>
      <w:r>
        <w:rPr>
          <w:rFonts w:ascii="Palatino Linotype" w:eastAsia="Palatino Linotype" w:hAnsi="Palatino Linotype" w:cs="Palatino Linotype"/>
          <w:b/>
          <w:bCs/>
          <w:i/>
          <w:iCs/>
        </w:rPr>
        <w:t>atiendan de manera puntual y expresa, cada uno de los contenidos de información.”</w:t>
      </w:r>
    </w:p>
    <w:p w:rsidR="002B1262" w:rsidRDefault="002B1262">
      <w:pPr>
        <w:spacing w:before="280" w:after="280"/>
        <w:ind w:left="567" w:right="-929"/>
        <w:jc w:val="both"/>
        <w:rPr>
          <w:rFonts w:ascii="Palatino Linotype" w:eastAsia="Palatino Linotype" w:hAnsi="Palatino Linotype" w:cs="Palatino Linotype"/>
          <w:i/>
          <w:iCs/>
        </w:rPr>
      </w:pPr>
    </w:p>
    <w:p w:rsidR="0003750F"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De lo citado, se desprende que todo acto administrativo debe apegarse al </w:t>
      </w:r>
      <w:r>
        <w:rPr>
          <w:rFonts w:ascii="Palatino Linotype" w:eastAsia="Palatino Linotype" w:hAnsi="Palatino Linotype" w:cs="Palatino Linotype"/>
          <w:b/>
          <w:bCs/>
        </w:rPr>
        <w:t>principio de exhaustividad</w:t>
      </w:r>
      <w:r>
        <w:rPr>
          <w:rFonts w:ascii="Palatino Linotype" w:eastAsia="Palatino Linotype" w:hAnsi="Palatino Linotype" w:cs="Palatino Linotype"/>
        </w:rPr>
        <w:t xml:space="preserve">, entendiendo por éste que </w:t>
      </w:r>
      <w:r>
        <w:rPr>
          <w:rFonts w:ascii="Palatino Linotype" w:eastAsia="Palatino Linotype" w:hAnsi="Palatino Linotype" w:cs="Palatino Linotype"/>
          <w:u w:val="single"/>
        </w:rPr>
        <w:t>se pronuncie expresamente sobre cada uno de los puntos requeridos</w:t>
      </w:r>
      <w:r>
        <w:rPr>
          <w:rFonts w:ascii="Palatino Linotype" w:eastAsia="Palatino Linotype" w:hAnsi="Palatino Linotype" w:cs="Palatino Linotype"/>
        </w:rPr>
        <w:t>, lo cual en materia de transparencia y acceso a la información pública se traduce en que, las respuestas que emitan los sujetos obligados.</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spacing w:before="240" w:after="240" w:line="360" w:lineRule="auto"/>
        <w:ind w:left="0" w:right="-929" w:firstLine="0"/>
        <w:jc w:val="both"/>
      </w:pPr>
      <w:r>
        <w:rPr>
          <w:rFonts w:ascii="Palatino Linotype" w:eastAsia="Palatino Linotype" w:hAnsi="Palatino Linotype" w:cs="Palatino Linotype"/>
        </w:rPr>
        <w:t xml:space="preserve">Sin embargo, derivado de la falta de atribuciones al respecto, si luego de la nueva búsqueda exhaustiva y razonable, no se localizara información al respecto, bastará con que así lo manifieste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al momento de dar cumplimiento al presente proveído en términos del artículo 19 párrafo segundo de la Ley de Transparencia y Acceso a la Información Pública del Estado de México y Municipios, a saber:</w:t>
      </w:r>
    </w:p>
    <w:p w:rsidR="0003750F" w:rsidRDefault="00D97405">
      <w:pPr>
        <w:spacing w:before="120" w:after="120"/>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“Artículo 19. Se presume que la información debe existir si se refiere a las facultades, competencias y funciones que los ordenamientos jurídicos aplicables otorgan a los sujetos obligados.</w:t>
      </w:r>
    </w:p>
    <w:p w:rsidR="0003750F" w:rsidRDefault="00D97405">
      <w:pPr>
        <w:spacing w:before="120" w:after="120"/>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En los casos en que ciertas facultades, competencias o funciones no se hayan ejercido, se debe motivar la respuesta en función de las causas que motiven tal circunstancia.</w:t>
      </w:r>
    </w:p>
    <w:p w:rsidR="0003750F" w:rsidRDefault="00D97405">
      <w:pPr>
        <w:spacing w:before="120" w:after="120"/>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Si el sujeto obligado, en el ejercicio de sus atribuciones, debía generar, poseer o administrar la información, pero ésta no se encuentra, el Comité de transparencia deberá emitir un acuerdo de </w:t>
      </w:r>
      <w:r>
        <w:rPr>
          <w:rFonts w:ascii="Palatino Linotype" w:eastAsia="Palatino Linotype" w:hAnsi="Palatino Linotype" w:cs="Palatino Linotype"/>
          <w:i/>
          <w:iCs/>
        </w:rPr>
        <w:lastRenderedPageBreak/>
        <w:t>inexistencia, debidamente fundado y motivado, en el que detalle las razones del por qué no obra en sus archivos.”</w:t>
      </w:r>
    </w:p>
    <w:p w:rsidR="0003750F" w:rsidRDefault="0003750F">
      <w:pPr>
        <w:spacing w:before="120" w:after="120"/>
        <w:ind w:left="851" w:right="-929"/>
        <w:jc w:val="both"/>
        <w:rPr>
          <w:rFonts w:ascii="Palatino Linotype" w:eastAsia="Palatino Linotype" w:hAnsi="Palatino Linotype" w:cs="Palatino Linotype"/>
          <w:i/>
          <w:iCs/>
        </w:rPr>
      </w:pPr>
    </w:p>
    <w:p w:rsidR="002B1262" w:rsidRDefault="00D97405" w:rsidP="002B1262">
      <w:pPr>
        <w:numPr>
          <w:ilvl w:val="0"/>
          <w:numId w:val="3"/>
        </w:numPr>
        <w:spacing w:before="240" w:line="360" w:lineRule="auto"/>
        <w:ind w:left="0" w:right="-929" w:firstLine="0"/>
        <w:jc w:val="both"/>
      </w:pPr>
      <w:r>
        <w:rPr>
          <w:rFonts w:ascii="Palatino Linotype" w:eastAsia="Palatino Linotype" w:hAnsi="Palatino Linotype" w:cs="Palatino Linotype"/>
        </w:rPr>
        <w:t xml:space="preserve">Siendo improcedente, en tal supuesto, la entrega de documento alguno, o en su caso, el acuerdo de inexistencia como pretende el </w:t>
      </w:r>
      <w:r>
        <w:rPr>
          <w:rFonts w:ascii="Palatino Linotype" w:eastAsia="Palatino Linotype" w:hAnsi="Palatino Linotype" w:cs="Palatino Linotype"/>
          <w:b/>
          <w:bCs/>
        </w:rPr>
        <w:t>RECURRENTE</w:t>
      </w:r>
      <w:r>
        <w:rPr>
          <w:rFonts w:ascii="Palatino Linotype" w:eastAsia="Palatino Linotype" w:hAnsi="Palatino Linotype" w:cs="Palatino Linotype"/>
        </w:rPr>
        <w:t>, toda vez que dicho supuesto corresponde, aquel en el cual el sujeto obligado, derivado de su fuente obligacional debía generar, poseer y administrar la información, pero que, sin embargo, por alguna razón no cuenta con ella.</w:t>
      </w:r>
    </w:p>
    <w:p w:rsidR="002B1262" w:rsidRDefault="002B1262" w:rsidP="002B1262">
      <w:pPr>
        <w:spacing w:before="240" w:line="360" w:lineRule="auto"/>
        <w:ind w:right="-929"/>
        <w:jc w:val="both"/>
      </w:pPr>
    </w:p>
    <w:p w:rsidR="0003750F" w:rsidRPr="002B1262" w:rsidRDefault="00D97405">
      <w:pPr>
        <w:numPr>
          <w:ilvl w:val="0"/>
          <w:numId w:val="3"/>
        </w:numPr>
        <w:spacing w:line="360" w:lineRule="auto"/>
        <w:ind w:left="0" w:right="-929" w:firstLine="0"/>
        <w:jc w:val="both"/>
      </w:pPr>
      <w:r>
        <w:rPr>
          <w:rFonts w:ascii="Palatino Linotype" w:eastAsia="Palatino Linotype" w:hAnsi="Palatino Linotype" w:cs="Palatino Linotype"/>
        </w:rPr>
        <w:t xml:space="preserve">En el caso concreto, al no contar con un marco normativo que constriña a todos y cada uno de los servidores públicos eventuales a que realicen informes o bitácoras de sus actividades, no resulta aplicable el tercer párrafo del precepto en comento. </w:t>
      </w:r>
    </w:p>
    <w:p w:rsidR="002B1262" w:rsidRDefault="002B1262" w:rsidP="002B1262">
      <w:pPr>
        <w:pStyle w:val="Prrafodelista"/>
      </w:pPr>
    </w:p>
    <w:p w:rsidR="002B1262" w:rsidRDefault="002B1262" w:rsidP="002B1262">
      <w:pPr>
        <w:spacing w:line="360" w:lineRule="auto"/>
        <w:ind w:right="-929"/>
        <w:jc w:val="both"/>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Con la determinación anterior, se estima </w:t>
      </w:r>
      <w:r>
        <w:rPr>
          <w:rFonts w:ascii="Palatino Linotype" w:eastAsia="Palatino Linotype" w:hAnsi="Palatino Linotype" w:cs="Palatino Linotype"/>
        </w:rPr>
        <w:t>quedará</w:t>
      </w:r>
      <w:r>
        <w:rPr>
          <w:rFonts w:ascii="Palatino Linotype" w:eastAsia="Palatino Linotype" w:hAnsi="Palatino Linotype" w:cs="Palatino Linotype"/>
          <w:color w:val="000000"/>
        </w:rPr>
        <w:t xml:space="preserve"> por colmado el derecho de acceso a la información del ahora Recurrente; toda vez que el Derecho que tutela este Órgano Garante corresponde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w:t>
      </w:r>
      <w:r>
        <w:rPr>
          <w:rFonts w:ascii="Palatino Linotype" w:eastAsia="Palatino Linotype" w:hAnsi="Palatino Linotype" w:cs="Palatino Linotype"/>
          <w:color w:val="000000"/>
        </w:rPr>
        <w:t>fideicomisos</w:t>
      </w:r>
      <w:r>
        <w:rPr>
          <w:rFonts w:ascii="Palatino Linotype" w:eastAsia="Palatino Linotype" w:hAnsi="Palatino Linotype" w:cs="Palatino Linotype"/>
          <w:i/>
          <w:iCs/>
          <w:color w:val="000000"/>
        </w:rPr>
        <w:t>,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 xml:space="preserve">ejercer </w:t>
      </w:r>
      <w:r>
        <w:rPr>
          <w:rFonts w:ascii="Palatino Linotype" w:eastAsia="Palatino Linotype" w:hAnsi="Palatino Linotype" w:cs="Palatino Linotype"/>
          <w:i/>
          <w:iCs/>
          <w:color w:val="000000"/>
        </w:rPr>
        <w:lastRenderedPageBreak/>
        <w:t>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 xml:space="preserve"> ” </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3750F" w:rsidRDefault="00D97405">
      <w:pPr>
        <w:spacing w:line="360" w:lineRule="auto"/>
        <w:ind w:left="426"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w:t>
      </w:r>
      <w:r>
        <w:rPr>
          <w:rFonts w:ascii="Palatino Linotype" w:eastAsia="Palatino Linotype" w:hAnsi="Palatino Linotype" w:cs="Palatino Linotype"/>
          <w:i/>
          <w:iCs/>
          <w:color w:val="000000"/>
        </w:rPr>
        <w:lastRenderedPageBreak/>
        <w:t>en virtud del ejercicio de sus funciones de derecho público, sin importar su fuente, soporte o fecha de elaboración.</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03750F" w:rsidRDefault="0003750F">
      <w:pP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w:t>
      </w:r>
      <w:r>
        <w:rPr>
          <w:rFonts w:ascii="Palatino Linotype" w:eastAsia="Palatino Linotype" w:hAnsi="Palatino Linotype" w:cs="Palatino Linotype"/>
          <w:color w:val="000000"/>
        </w:rPr>
        <w:t>estar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03750F" w:rsidRDefault="00D97405">
      <w:pP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03750F" w:rsidRDefault="00D97405">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w:t>
      </w:r>
      <w:r>
        <w:rPr>
          <w:rFonts w:ascii="Palatino Linotype" w:eastAsia="Palatino Linotype" w:hAnsi="Palatino Linotype" w:cs="Palatino Linotype"/>
          <w:i/>
          <w:iCs/>
          <w:color w:val="000000"/>
        </w:rPr>
        <w:lastRenderedPageBreak/>
        <w:t>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3750F" w:rsidRDefault="00D97405">
      <w:pPr>
        <w:spacing w:line="360" w:lineRule="auto"/>
        <w:ind w:left="426"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03750F" w:rsidRDefault="0003750F">
      <w:pP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141" w:right="-929" w:firstLine="0"/>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3750F" w:rsidRDefault="0003750F">
      <w:pP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141" w:right="-929" w:firstLine="0"/>
        <w:jc w:val="both"/>
        <w:rPr>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3750F" w:rsidRDefault="00D97405">
      <w:pPr>
        <w:pBdr>
          <w:top w:val="nil"/>
          <w:left w:val="nil"/>
          <w:bottom w:val="nil"/>
          <w:right w:val="nil"/>
          <w:between w:val="nil"/>
        </w:pBdr>
        <w:tabs>
          <w:tab w:val="left" w:pos="851"/>
        </w:tabs>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3750F" w:rsidRDefault="0003750F">
      <w:pPr>
        <w:spacing w:line="360" w:lineRule="auto"/>
        <w:ind w:right="-929"/>
        <w:rPr>
          <w:rFonts w:ascii="Palatino Linotype" w:eastAsia="Palatino Linotype" w:hAnsi="Palatino Linotype" w:cs="Palatino Linotype"/>
          <w:b/>
          <w:bCs/>
        </w:rPr>
      </w:pPr>
      <w:bookmarkStart w:id="7" w:name="_heading=h.r452eeokbrlv" w:colFirst="0" w:colLast="0"/>
      <w:bookmarkEnd w:id="7"/>
    </w:p>
    <w:p w:rsidR="002B1262" w:rsidRDefault="002B1262">
      <w:pPr>
        <w:spacing w:line="360" w:lineRule="auto"/>
        <w:ind w:right="-929"/>
        <w:rPr>
          <w:rFonts w:ascii="Palatino Linotype" w:eastAsia="Palatino Linotype" w:hAnsi="Palatino Linotype" w:cs="Palatino Linotype"/>
          <w:b/>
          <w:bCs/>
        </w:rPr>
      </w:pPr>
    </w:p>
    <w:p w:rsidR="0003750F" w:rsidRDefault="00D97405">
      <w:pPr>
        <w:pBdr>
          <w:top w:val="nil"/>
          <w:left w:val="nil"/>
          <w:bottom w:val="nil"/>
          <w:right w:val="nil"/>
          <w:between w:val="nil"/>
        </w:pBdr>
        <w:tabs>
          <w:tab w:val="left" w:pos="284"/>
          <w:tab w:val="left" w:pos="426"/>
        </w:tabs>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Finalmente, debe señalarse que, dada la propia y especial naturaleza de lo solicitado, eventualmente pudiera contener datos personales que deberán ser protegidos como ya quedó asentado en el Considerando anterior del presente proveído. Para dar cumplimiento a la presente resolución, contengan datos que deban ser clasificados,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03750F" w:rsidRDefault="00D97405">
      <w:pPr>
        <w:spacing w:line="360" w:lineRule="auto"/>
        <w:ind w:left="993"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03750F" w:rsidRDefault="0003750F">
      <w:pPr>
        <w:spacing w:line="360" w:lineRule="auto"/>
        <w:ind w:left="993" w:right="-929"/>
        <w:jc w:val="both"/>
        <w:rPr>
          <w:rFonts w:ascii="Palatino Linotype" w:eastAsia="Palatino Linotype" w:hAnsi="Palatino Linotype" w:cs="Palatino Linotype"/>
          <w:i/>
          <w:iCs/>
        </w:rPr>
      </w:pP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rsidR="0003750F" w:rsidRDefault="0003750F">
      <w:pPr>
        <w:spacing w:line="360" w:lineRule="auto"/>
        <w:ind w:left="993" w:right="-929"/>
        <w:jc w:val="both"/>
        <w:rPr>
          <w:rFonts w:ascii="Palatino Linotype" w:eastAsia="Palatino Linotype" w:hAnsi="Palatino Linotype" w:cs="Palatino Linotype"/>
          <w:i/>
          <w:iCs/>
        </w:rPr>
      </w:pPr>
    </w:p>
    <w:p w:rsidR="0003750F" w:rsidRDefault="00D97405">
      <w:pPr>
        <w:spacing w:line="360" w:lineRule="auto"/>
        <w:ind w:left="993"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03750F" w:rsidRDefault="0003750F">
      <w:pPr>
        <w:spacing w:line="360" w:lineRule="auto"/>
        <w:ind w:left="993" w:right="-929"/>
        <w:jc w:val="both"/>
        <w:rPr>
          <w:rFonts w:ascii="Palatino Linotype" w:eastAsia="Palatino Linotype" w:hAnsi="Palatino Linotype" w:cs="Palatino Linotype"/>
          <w:b/>
          <w:bCs/>
          <w:i/>
          <w:iCs/>
        </w:rPr>
      </w:pP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03750F" w:rsidRDefault="00D97405">
      <w:pPr>
        <w:spacing w:line="360" w:lineRule="auto"/>
        <w:ind w:left="993"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03750F" w:rsidRDefault="0003750F">
      <w:pPr>
        <w:spacing w:line="360" w:lineRule="auto"/>
        <w:ind w:left="993" w:right="-929"/>
        <w:jc w:val="both"/>
        <w:rPr>
          <w:rFonts w:ascii="Palatino Linotype" w:eastAsia="Palatino Linotype" w:hAnsi="Palatino Linotype" w:cs="Palatino Linotype"/>
          <w:i/>
          <w:iCs/>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Datos que deberá clasificar como confidenciales por tratarse precisamente de información privada, puesto que los datos personales son irrenunciables, intransferibles e </w:t>
      </w:r>
      <w:r>
        <w:rPr>
          <w:rFonts w:ascii="Palatino Linotype" w:eastAsia="Palatino Linotype" w:hAnsi="Palatino Linotype" w:cs="Palatino Linotype"/>
          <w:color w:val="000000"/>
        </w:rPr>
        <w:lastRenderedPageBreak/>
        <w:t>indelegables y los Sujetos Obligados no deberán hacer entrega de los mismos a personas ajenas a su titular.</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Aprobar, modificar o revocar la clasificación de la información</w:t>
      </w:r>
      <w:r>
        <w:rPr>
          <w:rFonts w:ascii="Palatino Linotype" w:eastAsia="Palatino Linotype" w:hAnsi="Palatino Linotype" w:cs="Palatino Linotype"/>
          <w:i/>
          <w:iCs/>
        </w:rPr>
        <w:t>…”</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rsidR="0003750F" w:rsidRDefault="00D97405">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rsidR="0003750F" w:rsidRDefault="0003750F">
      <w:pPr>
        <w:spacing w:line="360" w:lineRule="auto"/>
        <w:ind w:left="851" w:right="-929"/>
        <w:jc w:val="both"/>
        <w:rPr>
          <w:rFonts w:ascii="Palatino Linotype" w:eastAsia="Palatino Linotype" w:hAnsi="Palatino Linotype" w:cs="Palatino Linotype"/>
          <w:i/>
          <w:iCs/>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w:t>
      </w:r>
      <w:r>
        <w:rPr>
          <w:rFonts w:ascii="Palatino Linotype" w:eastAsia="Palatino Linotype" w:hAnsi="Palatino Linotype" w:cs="Palatino Linotype"/>
          <w:color w:val="000000"/>
        </w:rPr>
        <w:lastRenderedPageBreak/>
        <w:t>de así resultar procedente el proyecto de clasificación de la información y finalmente sea éste último quien apruebe, modifique o revoque la clasificación de la información solicitada.</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documentación </w:t>
      </w:r>
      <w:r>
        <w:rPr>
          <w:rFonts w:ascii="Palatino Linotype" w:eastAsia="Palatino Linotype" w:hAnsi="Palatino Linotype" w:cs="Palatino Linotype"/>
          <w:color w:val="000000"/>
        </w:rPr>
        <w:lastRenderedPageBreak/>
        <w:t>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03750F" w:rsidRDefault="0003750F">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desclasificarán y generarán, en su caso, versiones públicas de expedientes o documentos que contengan partes o secciones clasificadas.</w:t>
      </w:r>
    </w:p>
    <w:p w:rsidR="0003750F" w:rsidRDefault="0003750F">
      <w:pPr>
        <w:pBdr>
          <w:top w:val="nil"/>
          <w:left w:val="nil"/>
          <w:bottom w:val="nil"/>
          <w:right w:val="nil"/>
          <w:between w:val="nil"/>
        </w:pBdr>
        <w:ind w:left="720"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03750F" w:rsidRDefault="00D97405">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03750F" w:rsidRDefault="0003750F">
      <w:pPr>
        <w:spacing w:line="360" w:lineRule="auto"/>
        <w:ind w:left="851" w:right="-929"/>
        <w:jc w:val="both"/>
        <w:rPr>
          <w:rFonts w:ascii="Palatino Linotype" w:eastAsia="Palatino Linotype" w:hAnsi="Palatino Linotype" w:cs="Palatino Linotype"/>
          <w:i/>
          <w:iCs/>
        </w:rPr>
      </w:pPr>
    </w:p>
    <w:p w:rsidR="0003750F" w:rsidRDefault="00D97405">
      <w:pPr>
        <w:numPr>
          <w:ilvl w:val="0"/>
          <w:numId w:val="3"/>
        </w:numPr>
        <w:pBdr>
          <w:top w:val="nil"/>
          <w:left w:val="nil"/>
          <w:bottom w:val="nil"/>
          <w:right w:val="nil"/>
          <w:between w:val="nil"/>
        </w:pBdr>
        <w:spacing w:line="360" w:lineRule="auto"/>
        <w:ind w:left="141" w:right="-929" w:firstLine="0"/>
        <w:jc w:val="both"/>
        <w:rPr>
          <w:color w:val="000000"/>
        </w:rPr>
      </w:pP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w:t>
      </w:r>
      <w:r>
        <w:rPr>
          <w:rFonts w:ascii="Palatino Linotype" w:eastAsia="Palatino Linotype" w:hAnsi="Palatino Linotype" w:cs="Palatino Linotype"/>
          <w:b/>
          <w:bCs/>
          <w:color w:val="000000"/>
        </w:rPr>
        <w:lastRenderedPageBreak/>
        <w:t>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03750F" w:rsidRDefault="0003750F">
      <w:pPr>
        <w:pBdr>
          <w:top w:val="nil"/>
          <w:left w:val="nil"/>
          <w:bottom w:val="nil"/>
          <w:right w:val="nil"/>
          <w:between w:val="nil"/>
        </w:pBdr>
        <w:tabs>
          <w:tab w:val="left" w:pos="284"/>
          <w:tab w:val="left" w:pos="426"/>
        </w:tabs>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283" w:right="-929" w:firstLine="0"/>
        <w:jc w:val="both"/>
        <w:rPr>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3750F" w:rsidRDefault="0003750F">
      <w:pPr>
        <w:pBdr>
          <w:top w:val="nil"/>
          <w:left w:val="nil"/>
          <w:bottom w:val="nil"/>
          <w:right w:val="nil"/>
          <w:between w:val="nil"/>
        </w:pBdr>
        <w:spacing w:line="360" w:lineRule="auto"/>
        <w:ind w:left="502" w:right="-929"/>
        <w:jc w:val="both"/>
        <w:rPr>
          <w:rFonts w:ascii="Palatino Linotype" w:eastAsia="Palatino Linotype" w:hAnsi="Palatino Linotype" w:cs="Palatino Linotype"/>
        </w:rPr>
      </w:pPr>
    </w:p>
    <w:tbl>
      <w:tblPr>
        <w:tblStyle w:val="a"/>
        <w:tblW w:w="1015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60"/>
        <w:gridCol w:w="7095"/>
      </w:tblGrid>
      <w:tr w:rsidR="0003750F">
        <w:tc>
          <w:tcPr>
            <w:tcW w:w="3060" w:type="dxa"/>
          </w:tcPr>
          <w:p w:rsidR="0003750F" w:rsidRDefault="00D97405">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095" w:type="dxa"/>
          </w:tcPr>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w:t>
            </w:r>
            <w:r>
              <w:rPr>
                <w:rFonts w:ascii="Palatino Linotype" w:eastAsia="Palatino Linotype" w:hAnsi="Palatino Linotype" w:cs="Palatino Linotype"/>
                <w:color w:val="000000"/>
              </w:rPr>
              <w:lastRenderedPageBreak/>
              <w:t>análisis y tampoco se puede hacer un acuerdo por cada dato que se vaya a clasificar dentro de un documento con diez datos, por ejemplo, susceptibles de ser clasificados.</w:t>
            </w:r>
          </w:p>
          <w:p w:rsidR="0003750F" w:rsidRDefault="0003750F" w:rsidP="002B1262">
            <w:pPr>
              <w:tabs>
                <w:tab w:val="left" w:pos="284"/>
              </w:tabs>
              <w:jc w:val="both"/>
              <w:rPr>
                <w:rFonts w:ascii="Palatino Linotype" w:eastAsia="Palatino Linotype" w:hAnsi="Palatino Linotype" w:cs="Palatino Linotype"/>
              </w:rPr>
            </w:pPr>
          </w:p>
        </w:tc>
      </w:tr>
      <w:tr w:rsidR="0003750F">
        <w:tc>
          <w:tcPr>
            <w:tcW w:w="3060" w:type="dxa"/>
          </w:tcPr>
          <w:p w:rsidR="0003750F" w:rsidRDefault="00D97405">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095" w:type="dxa"/>
          </w:tcPr>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03750F" w:rsidRDefault="0003750F" w:rsidP="002B1262">
            <w:pPr>
              <w:tabs>
                <w:tab w:val="left" w:pos="284"/>
              </w:tabs>
              <w:jc w:val="both"/>
              <w:rPr>
                <w:rFonts w:ascii="Palatino Linotype" w:eastAsia="Palatino Linotype" w:hAnsi="Palatino Linotype" w:cs="Palatino Linotype"/>
              </w:rPr>
            </w:pPr>
          </w:p>
        </w:tc>
      </w:tr>
      <w:tr w:rsidR="0003750F">
        <w:tc>
          <w:tcPr>
            <w:tcW w:w="3060" w:type="dxa"/>
          </w:tcPr>
          <w:p w:rsidR="0003750F" w:rsidRDefault="00D97405">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7095" w:type="dxa"/>
          </w:tcPr>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w:t>
            </w:r>
            <w:r>
              <w:rPr>
                <w:rFonts w:ascii="Palatino Linotype" w:eastAsia="Palatino Linotype" w:hAnsi="Palatino Linotype" w:cs="Palatino Linotype"/>
                <w:color w:val="000000"/>
              </w:rPr>
              <w:lastRenderedPageBreak/>
              <w:t>agenda de los asuntos a tratar en las sesiones, se insiste, a partir de las decisiones adoptadas previamente por los titulares de áreas y que son sujetas a control, en primera instancia, por el Comité de Transparencia.</w:t>
            </w:r>
          </w:p>
          <w:p w:rsidR="0003750F" w:rsidRDefault="0003750F" w:rsidP="002B1262">
            <w:pPr>
              <w:tabs>
                <w:tab w:val="left" w:pos="284"/>
              </w:tabs>
              <w:jc w:val="both"/>
              <w:rPr>
                <w:rFonts w:ascii="Palatino Linotype" w:eastAsia="Palatino Linotype" w:hAnsi="Palatino Linotype" w:cs="Palatino Linotype"/>
              </w:rPr>
            </w:pPr>
          </w:p>
        </w:tc>
      </w:tr>
      <w:tr w:rsidR="0003750F">
        <w:tc>
          <w:tcPr>
            <w:tcW w:w="3060" w:type="dxa"/>
          </w:tcPr>
          <w:p w:rsidR="0003750F" w:rsidRDefault="0003750F">
            <w:pPr>
              <w:tabs>
                <w:tab w:val="left" w:pos="284"/>
              </w:tabs>
              <w:ind w:right="-106"/>
              <w:rPr>
                <w:rFonts w:ascii="Palatino Linotype" w:eastAsia="Palatino Linotype" w:hAnsi="Palatino Linotype" w:cs="Palatino Linotype"/>
              </w:rPr>
            </w:pPr>
          </w:p>
          <w:p w:rsidR="0003750F" w:rsidRDefault="00D97405">
            <w:pPr>
              <w:tabs>
                <w:tab w:val="left" w:pos="284"/>
              </w:tabs>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95" w:type="dxa"/>
          </w:tcPr>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w:t>
            </w:r>
            <w:r>
              <w:rPr>
                <w:rFonts w:ascii="Palatino Linotype" w:eastAsia="Palatino Linotype" w:hAnsi="Palatino Linotype" w:cs="Palatino Linotype"/>
                <w:color w:val="000000"/>
              </w:rPr>
              <w:lastRenderedPageBreak/>
              <w:t>Registro de Población (CURP), Registro Federal de Contribuyentes (R.F.C.), claves de seguros, préstamos o descuentos personales, secretos bancario, fiduciario, industrial, comercial, fiscal, bursátil y postal, cuya titularidad corresponda a particulares, entre otros.</w:t>
            </w:r>
          </w:p>
          <w:p w:rsidR="0003750F" w:rsidRDefault="0003750F" w:rsidP="002B1262">
            <w:pPr>
              <w:tabs>
                <w:tab w:val="left" w:pos="284"/>
              </w:tabs>
              <w:jc w:val="both"/>
              <w:rPr>
                <w:rFonts w:ascii="Palatino Linotype" w:eastAsia="Palatino Linotype" w:hAnsi="Palatino Linotype" w:cs="Palatino Linotype"/>
                <w:color w:val="000000"/>
              </w:rPr>
            </w:pPr>
          </w:p>
        </w:tc>
      </w:tr>
      <w:tr w:rsidR="0003750F">
        <w:tc>
          <w:tcPr>
            <w:tcW w:w="3060" w:type="dxa"/>
          </w:tcPr>
          <w:p w:rsidR="0003750F" w:rsidRDefault="00D97405">
            <w:pPr>
              <w:tabs>
                <w:tab w:val="left" w:pos="284"/>
              </w:tabs>
              <w:ind w:right="-10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095" w:type="dxa"/>
          </w:tcPr>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3750F" w:rsidRDefault="00D97405" w:rsidP="002B1262">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3750F" w:rsidRDefault="00D97405" w:rsidP="002B1262">
            <w:pPr>
              <w:tabs>
                <w:tab w:val="left" w:pos="284"/>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03750F" w:rsidRDefault="0003750F" w:rsidP="002B1262">
            <w:pPr>
              <w:tabs>
                <w:tab w:val="left" w:pos="284"/>
              </w:tabs>
              <w:rPr>
                <w:rFonts w:ascii="Palatino Linotype" w:eastAsia="Palatino Linotype" w:hAnsi="Palatino Linotype" w:cs="Palatino Linotype"/>
              </w:rPr>
            </w:pPr>
          </w:p>
        </w:tc>
      </w:tr>
    </w:tbl>
    <w:p w:rsidR="0003750F" w:rsidRDefault="0003750F">
      <w:pPr>
        <w:tabs>
          <w:tab w:val="left" w:pos="284"/>
        </w:tabs>
        <w:spacing w:line="360" w:lineRule="auto"/>
        <w:ind w:right="-929"/>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03750F" w:rsidRDefault="0003750F">
      <w:pPr>
        <w:widowControl w:val="0"/>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03750F" w:rsidRDefault="00D97405">
      <w:pPr>
        <w:numPr>
          <w:ilvl w:val="0"/>
          <w:numId w:val="3"/>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lo anteriormente expuesto y fundado, este Órgano Garante emite los siguientes:</w:t>
      </w:r>
    </w:p>
    <w:p w:rsidR="0003750F" w:rsidRDefault="0003750F">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03750F" w:rsidRDefault="00D97405">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8" w:name="_heading=h.y3ehl9yicfus" w:colFirst="0" w:colLast="0"/>
      <w:bookmarkEnd w:id="8"/>
      <w:r>
        <w:rPr>
          <w:rFonts w:ascii="Palatino Linotype" w:eastAsia="Palatino Linotype" w:hAnsi="Palatino Linotype" w:cs="Palatino Linotype"/>
          <w:b/>
          <w:bCs/>
          <w:color w:val="000000"/>
          <w:sz w:val="24"/>
          <w:szCs w:val="24"/>
        </w:rPr>
        <w:lastRenderedPageBreak/>
        <w:t>R E S O L U T I V O S</w:t>
      </w:r>
    </w:p>
    <w:p w:rsidR="0003750F" w:rsidRDefault="0003750F">
      <w:pPr>
        <w:spacing w:line="360" w:lineRule="auto"/>
        <w:ind w:right="-929"/>
        <w:rPr>
          <w:rFonts w:ascii="Palatino Linotype" w:eastAsia="Palatino Linotype" w:hAnsi="Palatino Linotype" w:cs="Palatino Linotype"/>
        </w:rPr>
      </w:pPr>
    </w:p>
    <w:p w:rsidR="0003750F" w:rsidRDefault="00D97405">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12623/INFOEM/IP/RR/2025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 </w:t>
      </w: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la presente Resolución.</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spacing w:line="360" w:lineRule="auto"/>
        <w:ind w:right="-929"/>
        <w:jc w:val="both"/>
        <w:rPr>
          <w:rFonts w:ascii="Palatino Linotype" w:eastAsia="Palatino Linotype" w:hAnsi="Palatino Linotype" w:cs="Palatino Linotype"/>
        </w:rPr>
      </w:pPr>
      <w:bookmarkStart w:id="9" w:name="_heading=h.t8p7a78vansx"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la </w:t>
      </w:r>
      <w:r>
        <w:rPr>
          <w:rFonts w:ascii="Palatino Linotype" w:eastAsia="Palatino Linotype" w:hAnsi="Palatino Linotype" w:cs="Palatino Linotype"/>
          <w:b/>
          <w:bCs/>
        </w:rPr>
        <w:t>Consejo Estatal para el Desarrollo Integral de Los Pueblos Indígenas del Estado de México</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de ser el caso en versión pública, previa búsqueda exhaustiva y razonable, la siguiente información</w:t>
      </w:r>
      <w:r>
        <w:rPr>
          <w:rFonts w:ascii="Palatino Linotype" w:eastAsia="Palatino Linotype" w:hAnsi="Palatino Linotype" w:cs="Palatino Linotype"/>
        </w:rPr>
        <w:t>:</w:t>
      </w:r>
    </w:p>
    <w:p w:rsidR="0003750F" w:rsidRDefault="0003750F">
      <w:pPr>
        <w:pBdr>
          <w:top w:val="nil"/>
          <w:left w:val="nil"/>
          <w:bottom w:val="nil"/>
          <w:right w:val="nil"/>
          <w:between w:val="nil"/>
        </w:pBdr>
        <w:tabs>
          <w:tab w:val="left" w:pos="8080"/>
        </w:tabs>
        <w:spacing w:line="360" w:lineRule="auto"/>
        <w:ind w:left="709" w:right="-929"/>
        <w:jc w:val="both"/>
        <w:rPr>
          <w:rFonts w:ascii="Palatino Linotype" w:eastAsia="Palatino Linotype" w:hAnsi="Palatino Linotype" w:cs="Palatino Linotype"/>
          <w:i/>
          <w:iCs/>
          <w:color w:val="000000"/>
        </w:rPr>
      </w:pPr>
    </w:p>
    <w:p w:rsidR="0003750F" w:rsidRDefault="00D97405">
      <w:pPr>
        <w:numPr>
          <w:ilvl w:val="0"/>
          <w:numId w:val="6"/>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Bitácoras o reportes de actividades de los trabajadores eventuales, del 01 de julio al 31 diciembre de 2024 y, del 01 de enero al 31 julio de 2025.</w:t>
      </w:r>
    </w:p>
    <w:p w:rsidR="0003750F" w:rsidRDefault="0003750F">
      <w:pPr>
        <w:pBdr>
          <w:top w:val="nil"/>
          <w:left w:val="nil"/>
          <w:bottom w:val="nil"/>
          <w:right w:val="nil"/>
          <w:between w:val="nil"/>
        </w:pBdr>
        <w:spacing w:line="360" w:lineRule="auto"/>
        <w:ind w:left="720" w:right="-929"/>
        <w:jc w:val="both"/>
        <w:rPr>
          <w:rFonts w:ascii="Palatino Linotype" w:eastAsia="Palatino Linotype" w:hAnsi="Palatino Linotype" w:cs="Palatino Linotype"/>
          <w:b/>
          <w:bCs/>
          <w:color w:val="000000"/>
        </w:rPr>
      </w:pPr>
    </w:p>
    <w:p w:rsidR="0003750F" w:rsidRDefault="00D97405">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p>
    <w:p w:rsidR="0003750F" w:rsidRDefault="0003750F">
      <w:pPr>
        <w:tabs>
          <w:tab w:val="left" w:pos="8080"/>
        </w:tabs>
        <w:spacing w:line="360" w:lineRule="auto"/>
        <w:ind w:right="-929"/>
        <w:jc w:val="both"/>
        <w:rPr>
          <w:rFonts w:ascii="Palatino Linotype" w:eastAsia="Palatino Linotype" w:hAnsi="Palatino Linotype" w:cs="Palatino Linotype"/>
        </w:rPr>
      </w:pPr>
    </w:p>
    <w:p w:rsidR="0003750F" w:rsidRDefault="00D97405">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de no contar con lo ordenado en el </w:t>
      </w:r>
      <w:r>
        <w:rPr>
          <w:rFonts w:ascii="Palatino Linotype" w:eastAsia="Palatino Linotype" w:hAnsi="Palatino Linotype" w:cs="Palatino Linotype"/>
          <w:b/>
          <w:bCs/>
        </w:rPr>
        <w:t>inciso a)</w:t>
      </w:r>
      <w:r>
        <w:rPr>
          <w:rFonts w:ascii="Palatino Linotype" w:eastAsia="Palatino Linotype" w:hAnsi="Palatino Linotype" w:cs="Palatino Linotype"/>
        </w:rPr>
        <w:t xml:space="preserve">, por no haberse generado, poseído o administrado, bastará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w:t>
      </w:r>
      <w:r>
        <w:rPr>
          <w:rFonts w:ascii="Palatino Linotype" w:eastAsia="Palatino Linotype" w:hAnsi="Palatino Linotype" w:cs="Palatino Linotype"/>
        </w:rPr>
        <w:lastRenderedPageBreak/>
        <w:t>artículo 19 párrafo segundo de la Ley de Transparencia y Acceso a la Información Pública del Estado de México y Municipios.</w:t>
      </w:r>
    </w:p>
    <w:p w:rsidR="0003750F" w:rsidRDefault="0003750F">
      <w:pPr>
        <w:tabs>
          <w:tab w:val="left" w:pos="8080"/>
        </w:tabs>
        <w:spacing w:line="360" w:lineRule="auto"/>
        <w:ind w:right="-929"/>
        <w:jc w:val="both"/>
        <w:rPr>
          <w:rFonts w:ascii="Palatino Linotype" w:eastAsia="Palatino Linotype" w:hAnsi="Palatino Linotype" w:cs="Palatino Linotype"/>
        </w:rPr>
      </w:pPr>
    </w:p>
    <w:p w:rsidR="0003750F" w:rsidRDefault="00D97405">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3750F" w:rsidRDefault="0003750F">
      <w:pPr>
        <w:spacing w:line="360" w:lineRule="auto"/>
        <w:ind w:right="-929"/>
        <w:jc w:val="both"/>
        <w:rPr>
          <w:rFonts w:ascii="Palatino Linotype" w:eastAsia="Palatino Linotype" w:hAnsi="Palatino Linotype" w:cs="Palatino Linotype"/>
        </w:rPr>
      </w:pPr>
    </w:p>
    <w:p w:rsidR="0003750F" w:rsidRDefault="00D97405">
      <w:pPr>
        <w:tabs>
          <w:tab w:val="left" w:pos="8080"/>
        </w:tabs>
        <w:spacing w:line="360" w:lineRule="auto"/>
        <w:ind w:right="-929"/>
        <w:jc w:val="both"/>
        <w:rPr>
          <w:rFonts w:ascii="Palatino Linotype" w:eastAsia="Palatino Linotype" w:hAnsi="Palatino Linotype" w:cs="Palatino Linotype"/>
        </w:rPr>
      </w:pPr>
      <w:bookmarkStart w:id="10" w:name="_heading=h.do4tg7ezyc02" w:colFirst="0" w:colLast="0"/>
      <w:bookmarkEnd w:id="10"/>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A45ABA" w:rsidRDefault="00A45ABA">
      <w:pPr>
        <w:tabs>
          <w:tab w:val="left" w:pos="8080"/>
        </w:tabs>
        <w:spacing w:line="360" w:lineRule="auto"/>
        <w:ind w:right="-929"/>
        <w:jc w:val="both"/>
        <w:rPr>
          <w:rFonts w:ascii="Palatino Linotype" w:eastAsia="Palatino Linotype" w:hAnsi="Palatino Linotype" w:cs="Palatino Linotype"/>
        </w:rPr>
      </w:pPr>
    </w:p>
    <w:p w:rsidR="0003750F" w:rsidRDefault="00D97405">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que, de conformidad con lo establecido en el artículo 196 de la Ley de Transparencia y Acceso a la Información Pública del Estado de </w:t>
      </w:r>
      <w:r>
        <w:rPr>
          <w:rFonts w:ascii="Palatino Linotype" w:eastAsia="Palatino Linotype" w:hAnsi="Palatino Linotype" w:cs="Palatino Linotype"/>
        </w:rPr>
        <w:lastRenderedPageBreak/>
        <w:t>México y Municipios, en caso de que considere que la Resolución le cause algún perjuicio podrá impugnar vía juicio de amparo en los términos de las leyes aplicables.</w:t>
      </w:r>
    </w:p>
    <w:p w:rsidR="0003750F" w:rsidRDefault="0003750F">
      <w:pPr>
        <w:shd w:val="clear" w:color="auto" w:fill="FFFFFF"/>
        <w:spacing w:line="360" w:lineRule="auto"/>
        <w:ind w:right="-929"/>
        <w:jc w:val="both"/>
        <w:rPr>
          <w:rFonts w:ascii="Palatino Linotype" w:eastAsia="Palatino Linotype" w:hAnsi="Palatino Linotype" w:cs="Palatino Linotype"/>
        </w:rPr>
      </w:pPr>
    </w:p>
    <w:p w:rsidR="00A45ABA" w:rsidRPr="003E2295" w:rsidRDefault="00A45ABA" w:rsidP="00A45ABA">
      <w:pPr>
        <w:spacing w:before="240" w:after="240" w:line="360" w:lineRule="auto"/>
        <w:ind w:right="-943" w:firstLine="1"/>
        <w:jc w:val="both"/>
        <w:rPr>
          <w:rFonts w:ascii="Palatino Linotype" w:hAnsi="Palatino Linotype"/>
        </w:rPr>
      </w:pPr>
      <w:bookmarkStart w:id="11"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03750F" w:rsidRDefault="0003750F">
      <w:pPr>
        <w:spacing w:line="360" w:lineRule="auto"/>
        <w:ind w:right="-929"/>
        <w:jc w:val="both"/>
        <w:rPr>
          <w:rFonts w:ascii="Palatino Linotype" w:eastAsia="Palatino Linotype" w:hAnsi="Palatino Linotype" w:cs="Palatino Linotype"/>
        </w:rPr>
      </w:pPr>
    </w:p>
    <w:p w:rsidR="0003750F" w:rsidRDefault="0003750F">
      <w:pPr>
        <w:spacing w:line="360" w:lineRule="auto"/>
        <w:ind w:right="-929"/>
        <w:jc w:val="both"/>
        <w:rPr>
          <w:rFonts w:ascii="Palatino Linotype" w:eastAsia="Palatino Linotype" w:hAnsi="Palatino Linotype" w:cs="Palatino Linotype"/>
        </w:rPr>
      </w:pPr>
    </w:p>
    <w:p w:rsidR="0003750F" w:rsidRDefault="0003750F">
      <w:pPr>
        <w:spacing w:line="360" w:lineRule="auto"/>
        <w:ind w:right="-929"/>
        <w:jc w:val="both"/>
        <w:rPr>
          <w:rFonts w:ascii="Palatino Linotype" w:eastAsia="Palatino Linotype" w:hAnsi="Palatino Linotype" w:cs="Palatino Linotype"/>
        </w:rPr>
      </w:pPr>
    </w:p>
    <w:p w:rsidR="0003750F" w:rsidRDefault="0003750F">
      <w:pPr>
        <w:spacing w:line="360" w:lineRule="auto"/>
        <w:ind w:right="-929"/>
        <w:jc w:val="both"/>
        <w:rPr>
          <w:rFonts w:ascii="Palatino Linotype" w:eastAsia="Palatino Linotype" w:hAnsi="Palatino Linotype" w:cs="Palatino Linotype"/>
        </w:rPr>
      </w:pPr>
    </w:p>
    <w:p w:rsidR="0003750F" w:rsidRDefault="0003750F">
      <w:pPr>
        <w:spacing w:line="360" w:lineRule="auto"/>
        <w:ind w:right="-929"/>
        <w:jc w:val="both"/>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p w:rsidR="0003750F" w:rsidRDefault="00D97405">
      <w:pPr>
        <w:tabs>
          <w:tab w:val="left" w:pos="3374"/>
        </w:tabs>
        <w:spacing w:line="360" w:lineRule="auto"/>
        <w:ind w:right="-929"/>
        <w:rPr>
          <w:rFonts w:ascii="Palatino Linotype" w:eastAsia="Palatino Linotype" w:hAnsi="Palatino Linotype" w:cs="Palatino Linotype"/>
        </w:rPr>
      </w:pPr>
      <w:r>
        <w:rPr>
          <w:rFonts w:ascii="Palatino Linotype" w:eastAsia="Palatino Linotype" w:hAnsi="Palatino Linotype" w:cs="Palatino Linotype"/>
        </w:rPr>
        <w:tab/>
      </w: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tabs>
          <w:tab w:val="left" w:pos="3374"/>
        </w:tabs>
        <w:spacing w:line="360" w:lineRule="auto"/>
        <w:ind w:right="-929"/>
        <w:rPr>
          <w:rFonts w:ascii="Palatino Linotype" w:eastAsia="Palatino Linotype" w:hAnsi="Palatino Linotype" w:cs="Palatino Linotype"/>
        </w:rPr>
      </w:pPr>
    </w:p>
    <w:p w:rsidR="0003750F" w:rsidRDefault="0003750F">
      <w:pPr>
        <w:spacing w:line="360" w:lineRule="auto"/>
        <w:ind w:right="-929"/>
        <w:rPr>
          <w:rFonts w:ascii="Palatino Linotype" w:eastAsia="Palatino Linotype" w:hAnsi="Palatino Linotype" w:cs="Palatino Linotype"/>
        </w:rPr>
      </w:pPr>
    </w:p>
    <w:sectPr w:rsidR="0003750F">
      <w:headerReference w:type="even" r:id="rId8"/>
      <w:headerReference w:type="default" r:id="rId9"/>
      <w:footerReference w:type="default" r:id="rId10"/>
      <w:headerReference w:type="first" r:id="rId11"/>
      <w:footerReference w:type="first" r:id="rId12"/>
      <w:pgSz w:w="12240" w:h="15840"/>
      <w:pgMar w:top="2268" w:right="1701" w:bottom="1985" w:left="1559"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25A" w:rsidRDefault="002B725A">
      <w:r>
        <w:separator/>
      </w:r>
    </w:p>
  </w:endnote>
  <w:endnote w:type="continuationSeparator" w:id="0">
    <w:p w:rsidR="002B725A" w:rsidRDefault="002B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0235C84-132D-4ABC-855B-D2743E3ECD6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F9840E87-F97B-47B4-8268-F46A25EC5F20}"/>
    <w:embedBold r:id="rId3" w:fontKey="{416A8FC7-5FC0-427A-826D-8FF9AC1888E1}"/>
    <w:embedItalic r:id="rId4" w:fontKey="{356A5333-3021-4E4E-9C59-2A1EE061B088}"/>
    <w:embedBoldItalic r:id="rId5" w:fontKey="{66DCF5ED-0F34-4DC8-9215-2EE07831D195}"/>
  </w:font>
  <w:font w:name="Calibri">
    <w:panose1 w:val="020F0502020204030204"/>
    <w:charset w:val="00"/>
    <w:family w:val="swiss"/>
    <w:pitch w:val="variable"/>
    <w:sig w:usb0="E4002EFF" w:usb1="C200247B" w:usb2="00000009" w:usb3="00000000" w:csb0="000001FF" w:csb1="00000000"/>
    <w:embedRegular r:id="rId6" w:fontKey="{55BD05A0-9FAA-487C-8F86-916F37805EE3}"/>
    <w:embedBold r:id="rId7" w:fontKey="{24839957-67A5-47A6-94C7-7336F5C6BC4F}"/>
  </w:font>
  <w:font w:name="Georgia">
    <w:panose1 w:val="02040502050405020303"/>
    <w:charset w:val="00"/>
    <w:family w:val="roman"/>
    <w:pitch w:val="variable"/>
    <w:sig w:usb0="00000287" w:usb1="00000000" w:usb2="00000000" w:usb3="00000000" w:csb0="0000009F" w:csb1="00000000"/>
    <w:embedItalic r:id="rId8" w:fontKey="{739434F5-D993-4F68-B6EE-C76E18D8A094}"/>
  </w:font>
  <w:font w:name="Cambria">
    <w:panose1 w:val="02040503050406030204"/>
    <w:charset w:val="00"/>
    <w:family w:val="roman"/>
    <w:pitch w:val="variable"/>
    <w:sig w:usb0="E00006FF" w:usb1="420024FF" w:usb2="02000000" w:usb3="00000000" w:csb0="0000019F" w:csb1="00000000"/>
    <w:embedRegular r:id="rId9" w:fontKey="{D77742A8-6E66-4D5D-A70D-840F8145FF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50F" w:rsidRDefault="00D9740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B1262">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B1262">
      <w:rPr>
        <w:rFonts w:ascii="Palatino Linotype" w:eastAsia="Palatino Linotype" w:hAnsi="Palatino Linotype" w:cs="Palatino Linotype"/>
        <w:noProof/>
        <w:color w:val="000000"/>
        <w:sz w:val="22"/>
        <w:szCs w:val="22"/>
      </w:rPr>
      <w:t>38</w:t>
    </w:r>
    <w:r>
      <w:rPr>
        <w:rFonts w:ascii="Palatino Linotype" w:eastAsia="Palatino Linotype" w:hAnsi="Palatino Linotype" w:cs="Palatino Linotype"/>
        <w:color w:val="000000"/>
        <w:sz w:val="22"/>
        <w:szCs w:val="22"/>
      </w:rPr>
      <w:fldChar w:fldCharType="end"/>
    </w:r>
  </w:p>
  <w:p w:rsidR="0003750F" w:rsidRDefault="0003750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50F" w:rsidRDefault="00D9740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B126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B1262">
      <w:rPr>
        <w:rFonts w:ascii="Palatino Linotype" w:eastAsia="Palatino Linotype" w:hAnsi="Palatino Linotype" w:cs="Palatino Linotype"/>
        <w:noProof/>
        <w:color w:val="000000"/>
        <w:sz w:val="22"/>
        <w:szCs w:val="22"/>
      </w:rPr>
      <w:t>38</w:t>
    </w:r>
    <w:r>
      <w:rPr>
        <w:rFonts w:ascii="Palatino Linotype" w:eastAsia="Palatino Linotype" w:hAnsi="Palatino Linotype" w:cs="Palatino Linotype"/>
        <w:color w:val="000000"/>
        <w:sz w:val="22"/>
        <w:szCs w:val="22"/>
      </w:rPr>
      <w:fldChar w:fldCharType="end"/>
    </w:r>
  </w:p>
  <w:p w:rsidR="0003750F" w:rsidRDefault="0003750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25A" w:rsidRDefault="002B725A">
      <w:r>
        <w:separator/>
      </w:r>
    </w:p>
  </w:footnote>
  <w:footnote w:type="continuationSeparator" w:id="0">
    <w:p w:rsidR="002B725A" w:rsidRDefault="002B725A">
      <w:r>
        <w:continuationSeparator/>
      </w:r>
    </w:p>
  </w:footnote>
  <w:footnote w:id="1">
    <w:p w:rsidR="0003750F" w:rsidRDefault="00D97405">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Convención Americana sobre Derechos Humanos. Artículo 13.</w:t>
      </w:r>
    </w:p>
  </w:footnote>
  <w:footnote w:id="2">
    <w:p w:rsidR="0003750F" w:rsidRDefault="00D97405">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Constitución Política de los Estados Unidos Mexicanos. Artículo sexto, sección A, Fracción I.</w:t>
      </w:r>
    </w:p>
  </w:footnote>
  <w:footnote w:id="3">
    <w:p w:rsidR="0003750F" w:rsidRDefault="00D9740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03750F" w:rsidRDefault="00D9740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03750F" w:rsidRDefault="00D97405">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03750F" w:rsidRDefault="00D9740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03750F" w:rsidRDefault="00D97405">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03750F" w:rsidRDefault="00D97405">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50F" w:rsidRDefault="002B725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10" w:type="dxa"/>
      <w:tblInd w:w="2127" w:type="dxa"/>
      <w:tblLayout w:type="fixed"/>
      <w:tblLook w:val="0400" w:firstRow="0" w:lastRow="0" w:firstColumn="0" w:lastColumn="0" w:noHBand="0" w:noVBand="1"/>
    </w:tblPr>
    <w:tblGrid>
      <w:gridCol w:w="3510"/>
      <w:gridCol w:w="4200"/>
    </w:tblGrid>
    <w:tr w:rsidR="0003750F" w:rsidTr="002B1262">
      <w:trPr>
        <w:trHeight w:val="227"/>
      </w:trPr>
      <w:tc>
        <w:tcPr>
          <w:tcW w:w="3510" w:type="dxa"/>
          <w:vAlign w:val="center"/>
        </w:tcPr>
        <w:p w:rsidR="0003750F" w:rsidRDefault="00D9740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00" w:type="dxa"/>
          <w:vAlign w:val="center"/>
        </w:tcPr>
        <w:p w:rsidR="0003750F" w:rsidRDefault="00D9740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12623/INFOEM/IP/RR/2025</w:t>
          </w:r>
        </w:p>
      </w:tc>
    </w:tr>
    <w:tr w:rsidR="0003750F" w:rsidTr="002B1262">
      <w:trPr>
        <w:trHeight w:val="242"/>
      </w:trPr>
      <w:tc>
        <w:tcPr>
          <w:tcW w:w="3510" w:type="dxa"/>
          <w:vAlign w:val="center"/>
        </w:tcPr>
        <w:p w:rsidR="0003750F" w:rsidRDefault="00D9740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00" w:type="dxa"/>
          <w:vAlign w:val="center"/>
        </w:tcPr>
        <w:p w:rsidR="0003750F" w:rsidRDefault="00D97405">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Consejo Estatal para el Desarrollo Integral de Los Pueblos Indígenas del Estado de México</w:t>
          </w:r>
        </w:p>
      </w:tc>
    </w:tr>
    <w:tr w:rsidR="0003750F" w:rsidTr="002B1262">
      <w:trPr>
        <w:trHeight w:val="342"/>
      </w:trPr>
      <w:tc>
        <w:tcPr>
          <w:tcW w:w="3510" w:type="dxa"/>
          <w:vAlign w:val="center"/>
        </w:tcPr>
        <w:p w:rsidR="0003750F" w:rsidRDefault="00D9740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00" w:type="dxa"/>
          <w:vAlign w:val="center"/>
        </w:tcPr>
        <w:p w:rsidR="0003750F" w:rsidRDefault="00D9740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3750F" w:rsidRDefault="002B725A">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1.45pt;margin-top:-134.5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30" w:type="dxa"/>
      <w:tblInd w:w="2552" w:type="dxa"/>
      <w:tblLayout w:type="fixed"/>
      <w:tblLook w:val="0400" w:firstRow="0" w:lastRow="0" w:firstColumn="0" w:lastColumn="0" w:noHBand="0" w:noVBand="1"/>
    </w:tblPr>
    <w:tblGrid>
      <w:gridCol w:w="3495"/>
      <w:gridCol w:w="4335"/>
    </w:tblGrid>
    <w:tr w:rsidR="0003750F">
      <w:trPr>
        <w:trHeight w:val="227"/>
      </w:trPr>
      <w:tc>
        <w:tcPr>
          <w:tcW w:w="3495" w:type="dxa"/>
          <w:vAlign w:val="center"/>
        </w:tcPr>
        <w:p w:rsidR="0003750F" w:rsidRDefault="00D9740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35" w:type="dxa"/>
          <w:vAlign w:val="center"/>
        </w:tcPr>
        <w:p w:rsidR="0003750F" w:rsidRDefault="00D9740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12623/INFOEM/IP/RR/2025</w:t>
          </w:r>
        </w:p>
      </w:tc>
    </w:tr>
    <w:tr w:rsidR="0003750F">
      <w:trPr>
        <w:trHeight w:val="242"/>
      </w:trPr>
      <w:tc>
        <w:tcPr>
          <w:tcW w:w="3495" w:type="dxa"/>
          <w:vAlign w:val="center"/>
        </w:tcPr>
        <w:p w:rsidR="0003750F" w:rsidRDefault="00D9740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35" w:type="dxa"/>
        </w:tcPr>
        <w:p w:rsidR="0003750F" w:rsidRDefault="0003750F">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p>
      </w:tc>
    </w:tr>
    <w:tr w:rsidR="0003750F">
      <w:trPr>
        <w:trHeight w:val="342"/>
      </w:trPr>
      <w:tc>
        <w:tcPr>
          <w:tcW w:w="3495" w:type="dxa"/>
          <w:vAlign w:val="center"/>
        </w:tcPr>
        <w:p w:rsidR="0003750F" w:rsidRDefault="00D97405">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35" w:type="dxa"/>
          <w:vAlign w:val="center"/>
        </w:tcPr>
        <w:p w:rsidR="0003750F" w:rsidRDefault="00D9740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Consejo Estatal para el Desarrollo Integral de Los Pueblos Indígenas del Estado de México</w:t>
          </w:r>
        </w:p>
      </w:tc>
    </w:tr>
    <w:tr w:rsidR="0003750F">
      <w:trPr>
        <w:trHeight w:val="342"/>
      </w:trPr>
      <w:tc>
        <w:tcPr>
          <w:tcW w:w="3495" w:type="dxa"/>
          <w:vAlign w:val="center"/>
        </w:tcPr>
        <w:p w:rsidR="0003750F" w:rsidRDefault="00D97405">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35" w:type="dxa"/>
          <w:vAlign w:val="center"/>
        </w:tcPr>
        <w:p w:rsidR="0003750F" w:rsidRDefault="00D9740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3750F" w:rsidRDefault="002B725A">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E1033"/>
    <w:multiLevelType w:val="multilevel"/>
    <w:tmpl w:val="2F7AAD9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0B09096C"/>
    <w:multiLevelType w:val="multilevel"/>
    <w:tmpl w:val="33F6E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F91E9B"/>
    <w:multiLevelType w:val="multilevel"/>
    <w:tmpl w:val="A0208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295AF5"/>
    <w:multiLevelType w:val="multilevel"/>
    <w:tmpl w:val="41E414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7186426"/>
    <w:multiLevelType w:val="multilevel"/>
    <w:tmpl w:val="7F7A1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5964A2"/>
    <w:multiLevelType w:val="multilevel"/>
    <w:tmpl w:val="E5DAA34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F27849"/>
    <w:multiLevelType w:val="multilevel"/>
    <w:tmpl w:val="C23E75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0F"/>
    <w:rsid w:val="0003750F"/>
    <w:rsid w:val="002B1262"/>
    <w:rsid w:val="002B725A"/>
    <w:rsid w:val="00A45ABA"/>
    <w:rsid w:val="00D16C52"/>
    <w:rsid w:val="00D97405"/>
    <w:rsid w:val="00F461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2C2DB12-3913-4FBC-80EA-4C90EDB7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2B1262"/>
    <w:pPr>
      <w:tabs>
        <w:tab w:val="center" w:pos="4419"/>
        <w:tab w:val="right" w:pos="8838"/>
      </w:tabs>
    </w:pPr>
  </w:style>
  <w:style w:type="character" w:customStyle="1" w:styleId="PiedepginaCar">
    <w:name w:val="Pie de página Car"/>
    <w:basedOn w:val="Fuentedeprrafopredeter"/>
    <w:link w:val="Piedepgina"/>
    <w:uiPriority w:val="99"/>
    <w:rsid w:val="002B1262"/>
  </w:style>
  <w:style w:type="paragraph" w:styleId="Prrafodelista">
    <w:name w:val="List Paragraph"/>
    <w:basedOn w:val="Normal"/>
    <w:uiPriority w:val="34"/>
    <w:qFormat/>
    <w:rsid w:val="002B1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X10VbkZgAxX2y/YTik01Xl0IOQ==">CgMxLjAyCGguZ2pkZ3hzMgloLjMwajB6bGwyCWguM3pueXNoNzIJaC4yZXQ5MnAwMghoLnR5amN3dDINaC55bWh2bzc4MHJxYjIOaC5yNDUyZWVva2JybHYyDmgueTNlaGw5eWljZnVzMg5oLnQ4cDdhNzh2YW5zeDIOaC5kbzR0ZzdlenljMDI4AHIhMWphM0JLWUZ5cDNYSnI4T3N4NE5kZDRRZkp3YzI2Wm1k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8963</Words>
  <Characters>49299</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2026-05-29T00:16:00Z</cp:lastPrinted>
  <dcterms:created xsi:type="dcterms:W3CDTF">2026-05-27T21:37:00Z</dcterms:created>
  <dcterms:modified xsi:type="dcterms:W3CDTF">2026-06-02T19:01:00Z</dcterms:modified>
</cp:coreProperties>
</file>