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FBB8E"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bookmarkStart w:id="0" w:name="_GoBack"/>
      <w:bookmarkEnd w:id="0"/>
      <w:r w:rsidRPr="00593EF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veinticinco de febrero de dos mil veintiséis. </w:t>
      </w:r>
    </w:p>
    <w:p w14:paraId="5B4B2255" w14:textId="77777777" w:rsidR="00185260" w:rsidRPr="00593EF3" w:rsidRDefault="00A7275D">
      <w:pPr>
        <w:tabs>
          <w:tab w:val="left" w:pos="5812"/>
        </w:tabs>
        <w:spacing w:before="240" w:after="240" w:line="360" w:lineRule="auto"/>
        <w:jc w:val="both"/>
        <w:rPr>
          <w:rFonts w:ascii="Palatino Linotype" w:eastAsia="Palatino Linotype" w:hAnsi="Palatino Linotype" w:cs="Palatino Linotype"/>
          <w:sz w:val="22"/>
          <w:szCs w:val="22"/>
        </w:rPr>
      </w:pPr>
      <w:bookmarkStart w:id="1" w:name="_heading=h.daj3j2xo6q66" w:colFirst="0" w:colLast="0"/>
      <w:bookmarkEnd w:id="1"/>
      <w:r w:rsidRPr="00593EF3">
        <w:rPr>
          <w:rFonts w:ascii="Palatino Linotype" w:eastAsia="Palatino Linotype" w:hAnsi="Palatino Linotype" w:cs="Palatino Linotype"/>
          <w:b/>
          <w:bCs/>
          <w:sz w:val="22"/>
          <w:szCs w:val="22"/>
        </w:rPr>
        <w:t>VISTO</w:t>
      </w:r>
      <w:r w:rsidRPr="00593EF3">
        <w:rPr>
          <w:rFonts w:ascii="Palatino Linotype" w:eastAsia="Palatino Linotype" w:hAnsi="Palatino Linotype" w:cs="Palatino Linotype"/>
          <w:sz w:val="22"/>
          <w:szCs w:val="22"/>
        </w:rPr>
        <w:t xml:space="preserve"> el expediente formado con motivo del recurso de revisión </w:t>
      </w:r>
      <w:r w:rsidRPr="00593EF3">
        <w:rPr>
          <w:rFonts w:ascii="Palatino Linotype" w:eastAsia="Palatino Linotype" w:hAnsi="Palatino Linotype" w:cs="Palatino Linotype"/>
          <w:b/>
          <w:bCs/>
          <w:sz w:val="22"/>
          <w:szCs w:val="22"/>
        </w:rPr>
        <w:t>14154/INFOEM/IP/RR/2025</w:t>
      </w:r>
      <w:r w:rsidRPr="00593EF3">
        <w:rPr>
          <w:rFonts w:ascii="Palatino Linotype" w:eastAsia="Palatino Linotype" w:hAnsi="Palatino Linotype" w:cs="Palatino Linotype"/>
          <w:sz w:val="22"/>
          <w:szCs w:val="22"/>
        </w:rPr>
        <w:t>, interpuesto por</w:t>
      </w:r>
      <w:r w:rsidRPr="00593EF3">
        <w:rPr>
          <w:rFonts w:ascii="Palatino Linotype" w:eastAsia="Palatino Linotype" w:hAnsi="Palatino Linotype" w:cs="Palatino Linotype"/>
          <w:b/>
          <w:bCs/>
          <w:sz w:val="22"/>
          <w:szCs w:val="22"/>
        </w:rPr>
        <w:t xml:space="preserve"> un particular que no proporcionó nombre,</w:t>
      </w:r>
      <w:r w:rsidRPr="00593EF3">
        <w:rPr>
          <w:rFonts w:ascii="Palatino Linotype" w:eastAsia="Palatino Linotype" w:hAnsi="Palatino Linotype" w:cs="Palatino Linotype"/>
          <w:sz w:val="22"/>
          <w:szCs w:val="22"/>
        </w:rPr>
        <w:t xml:space="preserve"> en lo sucesivo</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sz w:val="22"/>
          <w:szCs w:val="22"/>
        </w:rPr>
        <w:t xml:space="preserve">la parte </w:t>
      </w:r>
      <w:r w:rsidRPr="00593EF3">
        <w:rPr>
          <w:rFonts w:ascii="Palatino Linotype" w:eastAsia="Palatino Linotype" w:hAnsi="Palatino Linotype" w:cs="Palatino Linotype"/>
          <w:b/>
          <w:bCs/>
          <w:sz w:val="22"/>
          <w:szCs w:val="22"/>
        </w:rPr>
        <w:t>Recurrente,</w:t>
      </w:r>
      <w:r w:rsidRPr="00593EF3">
        <w:rPr>
          <w:rFonts w:ascii="Palatino Linotype" w:eastAsia="Palatino Linotype" w:hAnsi="Palatino Linotype" w:cs="Palatino Linotype"/>
          <w:sz w:val="22"/>
          <w:szCs w:val="22"/>
        </w:rPr>
        <w:t xml:space="preserve"> en contra de la respuesta a la solicitud de información con número de folio</w:t>
      </w:r>
      <w:r w:rsidRPr="00593EF3">
        <w:rPr>
          <w:rFonts w:ascii="Palatino Linotype" w:eastAsia="Palatino Linotype" w:hAnsi="Palatino Linotype" w:cs="Palatino Linotype"/>
          <w:b/>
          <w:bCs/>
          <w:sz w:val="22"/>
          <w:szCs w:val="22"/>
        </w:rPr>
        <w:t xml:space="preserve"> 05893/TOLUCA/IP/2025, </w:t>
      </w:r>
      <w:r w:rsidRPr="00593EF3">
        <w:rPr>
          <w:rFonts w:ascii="Palatino Linotype" w:eastAsia="Palatino Linotype" w:hAnsi="Palatino Linotype" w:cs="Palatino Linotype"/>
          <w:sz w:val="22"/>
          <w:szCs w:val="22"/>
        </w:rPr>
        <w:t xml:space="preserve">por parte del </w:t>
      </w:r>
      <w:r w:rsidRPr="00593EF3">
        <w:rPr>
          <w:rFonts w:ascii="Palatino Linotype" w:eastAsia="Palatino Linotype" w:hAnsi="Palatino Linotype" w:cs="Palatino Linotype"/>
          <w:b/>
          <w:bCs/>
          <w:sz w:val="22"/>
          <w:szCs w:val="22"/>
        </w:rPr>
        <w:t xml:space="preserve">Ayuntamiento de Toluca, </w:t>
      </w:r>
      <w:r w:rsidRPr="00593EF3">
        <w:rPr>
          <w:rFonts w:ascii="Palatino Linotype" w:eastAsia="Palatino Linotype" w:hAnsi="Palatino Linotype" w:cs="Palatino Linotype"/>
          <w:sz w:val="22"/>
          <w:szCs w:val="22"/>
        </w:rPr>
        <w:t xml:space="preserve">en lo sucesivo 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 xml:space="preserve">se procede a dictar la presente resolución con base en los siguientes: </w:t>
      </w:r>
    </w:p>
    <w:p w14:paraId="6C70F85C" w14:textId="77777777" w:rsidR="00185260" w:rsidRPr="00593EF3" w:rsidRDefault="00A7275D">
      <w:pPr>
        <w:spacing w:before="240" w:after="240" w:line="360" w:lineRule="auto"/>
        <w:jc w:val="center"/>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I. A N T E C E D E N T E S</w:t>
      </w:r>
    </w:p>
    <w:p w14:paraId="44F4C753"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bookmarkStart w:id="2" w:name="_heading=h.gjdgxs" w:colFirst="0" w:colLast="0"/>
      <w:bookmarkEnd w:id="2"/>
      <w:r w:rsidRPr="00593EF3">
        <w:rPr>
          <w:rFonts w:ascii="Palatino Linotype" w:eastAsia="Palatino Linotype" w:hAnsi="Palatino Linotype" w:cs="Palatino Linotype"/>
          <w:b/>
          <w:bCs/>
          <w:sz w:val="22"/>
          <w:szCs w:val="22"/>
        </w:rPr>
        <w:t>1. Solicitud de acceso a la información.</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seis de noviembre de dos mil veinticinco,</w:t>
      </w:r>
      <w:r w:rsidRPr="00593EF3">
        <w:rPr>
          <w:rFonts w:ascii="Palatino Linotype" w:eastAsia="Palatino Linotype" w:hAnsi="Palatino Linotype" w:cs="Palatino Linotype"/>
          <w:sz w:val="22"/>
          <w:szCs w:val="22"/>
        </w:rPr>
        <w:t xml:space="preserve"> la parte </w:t>
      </w:r>
      <w:r w:rsidRPr="00593EF3">
        <w:rPr>
          <w:rFonts w:ascii="Palatino Linotype" w:eastAsia="Palatino Linotype" w:hAnsi="Palatino Linotype" w:cs="Palatino Linotype"/>
          <w:b/>
          <w:bCs/>
          <w:sz w:val="22"/>
          <w:szCs w:val="22"/>
        </w:rPr>
        <w:t xml:space="preserve">Recurrente </w:t>
      </w:r>
      <w:r w:rsidRPr="00593EF3">
        <w:rPr>
          <w:rFonts w:ascii="Palatino Linotype" w:eastAsia="Palatino Linotype" w:hAnsi="Palatino Linotype" w:cs="Palatino Linotype"/>
          <w:sz w:val="22"/>
          <w:szCs w:val="22"/>
        </w:rPr>
        <w:t xml:space="preserve">presentó la solicitud de acceso a la información pública ante 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xml:space="preserve">, a través del Sistema de Acceso a la Información Mexiquense, en lo subsecuente el </w:t>
      </w:r>
      <w:r w:rsidRPr="00593EF3">
        <w:rPr>
          <w:rFonts w:ascii="Palatino Linotype" w:eastAsia="Palatino Linotype" w:hAnsi="Palatino Linotype" w:cs="Palatino Linotype"/>
          <w:b/>
          <w:bCs/>
          <w:sz w:val="22"/>
          <w:szCs w:val="22"/>
        </w:rPr>
        <w:t>SAIMEX,</w:t>
      </w:r>
      <w:r w:rsidRPr="00593EF3">
        <w:rPr>
          <w:rFonts w:ascii="Palatino Linotype" w:eastAsia="Palatino Linotype" w:hAnsi="Palatino Linotype" w:cs="Palatino Linotype"/>
          <w:sz w:val="22"/>
          <w:szCs w:val="22"/>
        </w:rPr>
        <w:t xml:space="preserve"> mediante la cual requirió lo siguiente:</w:t>
      </w:r>
    </w:p>
    <w:p w14:paraId="7D8F9630" w14:textId="77777777" w:rsidR="00185260" w:rsidRPr="00593EF3" w:rsidRDefault="00A7275D">
      <w:pPr>
        <w:spacing w:before="120" w:after="120"/>
        <w:ind w:left="851"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i/>
          <w:iCs/>
          <w:sz w:val="22"/>
          <w:szCs w:val="22"/>
        </w:rPr>
        <w:t xml:space="preserve"> “Todas las determinaciones recibidas por el infoem por cualquier tema en la unidad de transparencia durante 2025</w:t>
      </w:r>
      <w:r w:rsidRPr="00593EF3">
        <w:rPr>
          <w:rFonts w:ascii="Palatino Linotype" w:eastAsia="Palatino Linotype" w:hAnsi="Palatino Linotype" w:cs="Palatino Linotype"/>
          <w:b/>
          <w:bCs/>
          <w:i/>
          <w:iCs/>
          <w:sz w:val="22"/>
          <w:szCs w:val="22"/>
        </w:rPr>
        <w:t>”</w:t>
      </w:r>
      <w:r w:rsidRPr="00593EF3">
        <w:rPr>
          <w:rFonts w:ascii="Palatino Linotype" w:eastAsia="Palatino Linotype" w:hAnsi="Palatino Linotype" w:cs="Palatino Linotype"/>
          <w:i/>
          <w:iCs/>
          <w:sz w:val="22"/>
          <w:szCs w:val="22"/>
        </w:rPr>
        <w:t xml:space="preserve"> (sic) </w:t>
      </w:r>
    </w:p>
    <w:p w14:paraId="0881A3E1"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bookmarkStart w:id="3" w:name="_heading=h.3dy6vkm" w:colFirst="0" w:colLast="0"/>
      <w:bookmarkEnd w:id="3"/>
      <w:r w:rsidRPr="00593EF3">
        <w:rPr>
          <w:rFonts w:ascii="Palatino Linotype" w:eastAsia="Palatino Linotype" w:hAnsi="Palatino Linotype" w:cs="Palatino Linotype"/>
          <w:b/>
          <w:bCs/>
          <w:sz w:val="22"/>
          <w:szCs w:val="22"/>
        </w:rPr>
        <w:t>Modalidad de Entrega:</w:t>
      </w:r>
      <w:r w:rsidRPr="00593EF3">
        <w:rPr>
          <w:rFonts w:ascii="Palatino Linotype" w:eastAsia="Palatino Linotype" w:hAnsi="Palatino Linotype" w:cs="Palatino Linotype"/>
          <w:sz w:val="22"/>
          <w:szCs w:val="22"/>
        </w:rPr>
        <w:t xml:space="preserve"> a través del</w:t>
      </w:r>
      <w:r w:rsidRPr="00593EF3">
        <w:rPr>
          <w:rFonts w:ascii="Palatino Linotype" w:eastAsia="Palatino Linotype" w:hAnsi="Palatino Linotype" w:cs="Palatino Linotype"/>
          <w:b/>
          <w:bCs/>
          <w:sz w:val="22"/>
          <w:szCs w:val="22"/>
        </w:rPr>
        <w:t xml:space="preserve"> SAIMEX.</w:t>
      </w:r>
    </w:p>
    <w:p w14:paraId="7078ACB4" w14:textId="77777777" w:rsidR="00185260" w:rsidRPr="00593EF3" w:rsidRDefault="00A7275D">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2. Prórroga. </w:t>
      </w:r>
      <w:r w:rsidRPr="00593EF3">
        <w:rPr>
          <w:rFonts w:ascii="Palatino Linotype" w:eastAsia="Palatino Linotype" w:hAnsi="Palatino Linotype" w:cs="Palatino Linotype"/>
          <w:sz w:val="22"/>
          <w:szCs w:val="22"/>
        </w:rPr>
        <w:t xml:space="preserve">El </w:t>
      </w:r>
      <w:r w:rsidRPr="00593EF3">
        <w:rPr>
          <w:rFonts w:ascii="Palatino Linotype" w:eastAsia="Palatino Linotype" w:hAnsi="Palatino Linotype" w:cs="Palatino Linotype"/>
          <w:b/>
          <w:bCs/>
          <w:sz w:val="22"/>
          <w:szCs w:val="22"/>
        </w:rPr>
        <w:t xml:space="preserve">veintiocho de noviembre de dos mil veinticinco, </w:t>
      </w:r>
      <w:r w:rsidRPr="00593EF3">
        <w:rPr>
          <w:rFonts w:ascii="Palatino Linotype" w:eastAsia="Palatino Linotype" w:hAnsi="Palatino Linotype" w:cs="Palatino Linotype"/>
          <w:sz w:val="22"/>
          <w:szCs w:val="22"/>
        </w:rPr>
        <w:t xml:space="preserve">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notificó a la persona solicitante la prórroga para dar respuesta a la solicitud</w:t>
      </w:r>
      <w:r w:rsidRPr="00593EF3">
        <w:rPr>
          <w:rFonts w:ascii="Palatino Linotype" w:eastAsia="Palatino Linotype" w:hAnsi="Palatino Linotype" w:cs="Palatino Linotype"/>
          <w:b/>
          <w:bCs/>
          <w:sz w:val="22"/>
          <w:szCs w:val="22"/>
        </w:rPr>
        <w:t>,</w:t>
      </w:r>
      <w:r w:rsidRPr="00593EF3">
        <w:rPr>
          <w:rFonts w:ascii="Palatino Linotype" w:eastAsia="Palatino Linotype" w:hAnsi="Palatino Linotype" w:cs="Palatino Linotype"/>
          <w:sz w:val="22"/>
          <w:szCs w:val="22"/>
        </w:rPr>
        <w:t xml:space="preserve"> medularmente en los siguientes términos:</w:t>
      </w:r>
    </w:p>
    <w:p w14:paraId="6086578C" w14:textId="77777777" w:rsidR="00185260" w:rsidRPr="00593EF3" w:rsidRDefault="00A7275D">
      <w:pPr>
        <w:spacing w:before="240" w:after="240"/>
        <w:ind w:left="851" w:right="900"/>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05893/TOLUCA/IP/2025, recibida a través del Sistema </w:t>
      </w:r>
      <w:r w:rsidRPr="00593EF3">
        <w:rPr>
          <w:rFonts w:ascii="Palatino Linotype" w:eastAsia="Palatino Linotype" w:hAnsi="Palatino Linotype" w:cs="Palatino Linotype"/>
          <w:i/>
          <w:iCs/>
          <w:sz w:val="22"/>
          <w:szCs w:val="22"/>
        </w:rPr>
        <w:lastRenderedPageBreak/>
        <w:t>de Acceso a la Información Mexiquense (SAIMEX), misma que fue procedente, quedando bajo el ACTA correspondiente,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14:paraId="1CD96DE7"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14:paraId="5C59FACD"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3. Respuesta. </w:t>
      </w:r>
      <w:r w:rsidRPr="00593EF3">
        <w:rPr>
          <w:rFonts w:ascii="Palatino Linotype" w:eastAsia="Palatino Linotype" w:hAnsi="Palatino Linotype" w:cs="Palatino Linotype"/>
          <w:sz w:val="22"/>
          <w:szCs w:val="22"/>
        </w:rPr>
        <w:t xml:space="preserve">El </w:t>
      </w:r>
      <w:r w:rsidRPr="00593EF3">
        <w:rPr>
          <w:rFonts w:ascii="Palatino Linotype" w:eastAsia="Palatino Linotype" w:hAnsi="Palatino Linotype" w:cs="Palatino Linotype"/>
          <w:b/>
          <w:bCs/>
          <w:sz w:val="22"/>
          <w:szCs w:val="22"/>
        </w:rPr>
        <w:t>nueve de diciembre de dos mil veinticinco,</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02F77A0C" w14:textId="77777777" w:rsidR="00185260" w:rsidRPr="00593EF3" w:rsidRDefault="00A7275D">
      <w:pPr>
        <w:spacing w:before="240" w:after="24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“…En atención a la solicitud con folio 05893/TOLUCA/IP/2025, me permito adjuntar al presente la respuesta correspondiente, Sin más por el momento, reciba un saludo...” (sic)</w:t>
      </w:r>
    </w:p>
    <w:p w14:paraId="6B11BD3A" w14:textId="77777777" w:rsidR="00185260" w:rsidRPr="00593EF3" w:rsidRDefault="00A7275D">
      <w:pPr>
        <w:spacing w:before="240" w:after="240" w:line="360" w:lineRule="auto"/>
        <w:ind w:right="49"/>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adjuntó lo siguiente:</w:t>
      </w:r>
    </w:p>
    <w:p w14:paraId="229553FC" w14:textId="77777777" w:rsidR="00185260" w:rsidRPr="00593EF3" w:rsidRDefault="00A7275D">
      <w:pPr>
        <w:spacing w:before="240" w:after="240" w:line="360" w:lineRule="auto"/>
        <w:ind w:right="49"/>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Escrito mediante el cual la Unidad de Transparencia manifestó que derivado de una búsqueda exhaustiva y razonable dentro de los archivos físicos y electrónicos a su cargo, anexaba la información solicitada en versión pública misma que fue aprobada en el Acta Milésima Cuadringentésima Cuadragésima Primera</w:t>
      </w:r>
    </w:p>
    <w:p w14:paraId="55C3A2F8" w14:textId="77777777" w:rsidR="00185260" w:rsidRPr="00593EF3" w:rsidRDefault="00A7275D">
      <w:pPr>
        <w:spacing w:before="240" w:after="240" w:line="360" w:lineRule="auto"/>
        <w:ind w:right="49"/>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lastRenderedPageBreak/>
        <w:t>Sesión Extraordinaria 2025 de fecha del día 02/12/2025 con numero de acuerdo CT/SE/1441/01/2025.</w:t>
      </w:r>
      <w:r w:rsidRPr="00593EF3">
        <w:rPr>
          <w:rFonts w:ascii="Palatino Linotype" w:eastAsia="Palatino Linotype" w:hAnsi="Palatino Linotype" w:cs="Palatino Linotype"/>
          <w:sz w:val="22"/>
          <w:szCs w:val="22"/>
        </w:rPr>
        <w:br/>
        <w:t>- Carpeta comprimida que contiene veintiocho determinaciones emitidas por la Dirección General de Protección de Datos Personales de este Instituto, integras, y siete determinaciones en versión pública.</w:t>
      </w:r>
    </w:p>
    <w:p w14:paraId="4D4FD551" w14:textId="77777777" w:rsidR="00185260" w:rsidRPr="00593EF3" w:rsidRDefault="00A7275D">
      <w:pPr>
        <w:spacing w:before="240" w:after="240" w:line="360" w:lineRule="auto"/>
        <w:ind w:right="51"/>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4. Interposición del recurso de revisión. </w:t>
      </w:r>
      <w:r w:rsidRPr="00593EF3">
        <w:rPr>
          <w:rFonts w:ascii="Palatino Linotype" w:eastAsia="Palatino Linotype" w:hAnsi="Palatino Linotype" w:cs="Palatino Linotype"/>
          <w:sz w:val="22"/>
          <w:szCs w:val="22"/>
        </w:rPr>
        <w:t xml:space="preserve">Inconforme con los términos de la respuesta emitida por parte del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once de diciembre de dos mil veinticinco,</w:t>
      </w:r>
      <w:r w:rsidRPr="00593EF3">
        <w:rPr>
          <w:rFonts w:ascii="Palatino Linotype" w:eastAsia="Palatino Linotype" w:hAnsi="Palatino Linotype" w:cs="Palatino Linotype"/>
          <w:sz w:val="22"/>
          <w:szCs w:val="22"/>
        </w:rPr>
        <w:t xml:space="preserve"> la parte </w:t>
      </w:r>
      <w:r w:rsidRPr="00593EF3">
        <w:rPr>
          <w:rFonts w:ascii="Palatino Linotype" w:eastAsia="Palatino Linotype" w:hAnsi="Palatino Linotype" w:cs="Palatino Linotype"/>
          <w:b/>
          <w:bCs/>
          <w:sz w:val="22"/>
          <w:szCs w:val="22"/>
        </w:rPr>
        <w:t>Recurrente</w:t>
      </w:r>
      <w:r w:rsidRPr="00593EF3">
        <w:rPr>
          <w:rFonts w:ascii="Palatino Linotype" w:eastAsia="Palatino Linotype" w:hAnsi="Palatino Linotype" w:cs="Palatino Linotype"/>
          <w:sz w:val="22"/>
          <w:szCs w:val="22"/>
        </w:rPr>
        <w:t xml:space="preserve"> interpuso el recurso de revisión a través de </w:t>
      </w:r>
      <w:r w:rsidRPr="00593EF3">
        <w:rPr>
          <w:rFonts w:ascii="Palatino Linotype" w:eastAsia="Palatino Linotype" w:hAnsi="Palatino Linotype" w:cs="Palatino Linotype"/>
          <w:b/>
          <w:bCs/>
          <w:sz w:val="22"/>
          <w:szCs w:val="22"/>
        </w:rPr>
        <w:t xml:space="preserve">SAIMEX, </w:t>
      </w:r>
      <w:r w:rsidRPr="00593EF3">
        <w:rPr>
          <w:rFonts w:ascii="Palatino Linotype" w:eastAsia="Palatino Linotype" w:hAnsi="Palatino Linotype" w:cs="Palatino Linotype"/>
          <w:sz w:val="22"/>
          <w:szCs w:val="22"/>
        </w:rPr>
        <w:t>en donde se manifestó de la siguiente manera:</w:t>
      </w:r>
    </w:p>
    <w:p w14:paraId="0AB75A5F" w14:textId="77777777" w:rsidR="00185260" w:rsidRPr="00593EF3" w:rsidRDefault="00A7275D">
      <w:pPr>
        <w:spacing w:before="240" w:after="240" w:line="360" w:lineRule="auto"/>
        <w:ind w:right="49"/>
        <w:jc w:val="both"/>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 xml:space="preserve">Acto impugnado: </w:t>
      </w:r>
    </w:p>
    <w:p w14:paraId="3712AF1A" w14:textId="77777777" w:rsidR="00185260" w:rsidRPr="00593EF3" w:rsidRDefault="00A7275D">
      <w:pPr>
        <w:ind w:left="851" w:right="900"/>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w:t>
      </w:r>
      <w:r w:rsidRPr="00593EF3">
        <w:rPr>
          <w:rFonts w:ascii="Palatino Linotype" w:eastAsia="Palatino Linotype" w:hAnsi="Palatino Linotype" w:cs="Palatino Linotype"/>
          <w:b/>
          <w:bCs/>
          <w:i/>
          <w:iCs/>
          <w:sz w:val="22"/>
          <w:szCs w:val="22"/>
        </w:rPr>
        <w:t xml:space="preserve">La información esta incompleta se esta ocultado información </w:t>
      </w:r>
      <w:r w:rsidRPr="00593EF3">
        <w:rPr>
          <w:rFonts w:ascii="Palatino Linotype" w:eastAsia="Palatino Linotype" w:hAnsi="Palatino Linotype" w:cs="Palatino Linotype"/>
          <w:b/>
          <w:bCs/>
          <w:i/>
          <w:iCs/>
          <w:sz w:val="22"/>
          <w:szCs w:val="22"/>
          <w:u w:val="single"/>
        </w:rPr>
        <w:t>ya que en ostro saimex entrega otros correo</w:t>
      </w:r>
      <w:r w:rsidRPr="00593EF3">
        <w:rPr>
          <w:rFonts w:ascii="Palatino Linotype" w:eastAsia="Palatino Linotype" w:hAnsi="Palatino Linotype" w:cs="Palatino Linotype"/>
          <w:i/>
          <w:iCs/>
          <w:sz w:val="22"/>
          <w:szCs w:val="22"/>
        </w:rPr>
        <w:t xml:space="preserve"> por lo que se ve que esta manipulando la información a conveniencia se pide al ifoem </w:t>
      </w:r>
      <w:r w:rsidRPr="00593EF3">
        <w:rPr>
          <w:rFonts w:ascii="Palatino Linotype" w:eastAsia="Palatino Linotype" w:hAnsi="Palatino Linotype" w:cs="Palatino Linotype"/>
          <w:b/>
          <w:bCs/>
          <w:i/>
          <w:iCs/>
          <w:sz w:val="22"/>
          <w:szCs w:val="22"/>
        </w:rPr>
        <w:t>se obligue a antegrada completa y con anexo por que o entrega los anexos tampoco</w:t>
      </w:r>
      <w:r w:rsidRPr="00593EF3">
        <w:rPr>
          <w:rFonts w:ascii="Palatino Linotype" w:eastAsia="Palatino Linotype" w:hAnsi="Palatino Linotype" w:cs="Palatino Linotype"/>
          <w:i/>
          <w:iCs/>
          <w:sz w:val="22"/>
          <w:szCs w:val="22"/>
        </w:rPr>
        <w:t>” (sic)</w:t>
      </w:r>
    </w:p>
    <w:p w14:paraId="62D441F3" w14:textId="77777777" w:rsidR="00185260" w:rsidRPr="00593EF3" w:rsidRDefault="00185260">
      <w:pPr>
        <w:ind w:left="851" w:right="900"/>
        <w:jc w:val="both"/>
        <w:rPr>
          <w:rFonts w:ascii="Palatino Linotype" w:eastAsia="Palatino Linotype" w:hAnsi="Palatino Linotype" w:cs="Palatino Linotype"/>
          <w:i/>
          <w:iCs/>
          <w:sz w:val="22"/>
          <w:szCs w:val="22"/>
        </w:rPr>
      </w:pPr>
    </w:p>
    <w:p w14:paraId="03F2E863" w14:textId="77777777" w:rsidR="00185260" w:rsidRPr="00593EF3" w:rsidRDefault="00A7275D">
      <w:pPr>
        <w:spacing w:line="360" w:lineRule="auto"/>
        <w:jc w:val="both"/>
        <w:rPr>
          <w:rFonts w:ascii="Palatino Linotype" w:eastAsia="Palatino Linotype" w:hAnsi="Palatino Linotype" w:cs="Palatino Linotype"/>
          <w:sz w:val="22"/>
          <w:szCs w:val="22"/>
        </w:rPr>
      </w:pPr>
      <w:bookmarkStart w:id="4" w:name="_heading=h.30j0zll" w:colFirst="0" w:colLast="0"/>
      <w:bookmarkEnd w:id="4"/>
      <w:r w:rsidRPr="00593EF3">
        <w:rPr>
          <w:rFonts w:ascii="Palatino Linotype" w:eastAsia="Palatino Linotype" w:hAnsi="Palatino Linotype" w:cs="Palatino Linotype"/>
          <w:b/>
          <w:bCs/>
          <w:sz w:val="22"/>
          <w:szCs w:val="22"/>
        </w:rPr>
        <w:t>Y, Razones o motivos de inconformidad</w:t>
      </w:r>
      <w:r w:rsidRPr="00593EF3">
        <w:rPr>
          <w:rFonts w:ascii="Palatino Linotype" w:eastAsia="Palatino Linotype" w:hAnsi="Palatino Linotype" w:cs="Palatino Linotype"/>
          <w:sz w:val="22"/>
          <w:szCs w:val="22"/>
        </w:rPr>
        <w:t>:</w:t>
      </w:r>
    </w:p>
    <w:p w14:paraId="18C9E107" w14:textId="77777777" w:rsidR="00185260" w:rsidRPr="00593EF3" w:rsidRDefault="00A7275D">
      <w:pPr>
        <w:tabs>
          <w:tab w:val="left" w:pos="2745"/>
        </w:tabs>
        <w:spacing w:before="240" w:after="240"/>
        <w:ind w:left="851" w:right="900"/>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w:t>
      </w:r>
      <w:r w:rsidRPr="00593EF3">
        <w:rPr>
          <w:rFonts w:ascii="Palatino Linotype" w:eastAsia="Palatino Linotype" w:hAnsi="Palatino Linotype" w:cs="Palatino Linotype"/>
          <w:b/>
          <w:bCs/>
          <w:i/>
          <w:iCs/>
          <w:sz w:val="22"/>
          <w:szCs w:val="22"/>
        </w:rPr>
        <w:t xml:space="preserve">La información esta incompleta se esta ocultado información </w:t>
      </w:r>
      <w:r w:rsidRPr="00593EF3">
        <w:rPr>
          <w:rFonts w:ascii="Palatino Linotype" w:eastAsia="Palatino Linotype" w:hAnsi="Palatino Linotype" w:cs="Palatino Linotype"/>
          <w:b/>
          <w:bCs/>
          <w:i/>
          <w:iCs/>
          <w:sz w:val="22"/>
          <w:szCs w:val="22"/>
          <w:u w:val="single"/>
        </w:rPr>
        <w:t>ya que en ostro saimex entrega otros correo</w:t>
      </w:r>
      <w:r w:rsidRPr="00593EF3">
        <w:rPr>
          <w:rFonts w:ascii="Palatino Linotype" w:eastAsia="Palatino Linotype" w:hAnsi="Palatino Linotype" w:cs="Palatino Linotype"/>
          <w:i/>
          <w:iCs/>
          <w:sz w:val="22"/>
          <w:szCs w:val="22"/>
        </w:rPr>
        <w:t xml:space="preserve"> por lo que se ve que esta manipulando la información a conveniencia se pide al ifoem </w:t>
      </w:r>
      <w:r w:rsidRPr="00593EF3">
        <w:rPr>
          <w:rFonts w:ascii="Palatino Linotype" w:eastAsia="Palatino Linotype" w:hAnsi="Palatino Linotype" w:cs="Palatino Linotype"/>
          <w:b/>
          <w:bCs/>
          <w:i/>
          <w:iCs/>
          <w:sz w:val="22"/>
          <w:szCs w:val="22"/>
        </w:rPr>
        <w:t>se obligue a antegrada completa y con anexo por que o entrega los anexos tampoco</w:t>
      </w:r>
      <w:r w:rsidRPr="00593EF3">
        <w:rPr>
          <w:rFonts w:ascii="Palatino Linotype" w:eastAsia="Palatino Linotype" w:hAnsi="Palatino Linotype" w:cs="Palatino Linotype"/>
          <w:i/>
          <w:iCs/>
          <w:sz w:val="22"/>
          <w:szCs w:val="22"/>
        </w:rPr>
        <w:t>” (sic)</w:t>
      </w:r>
    </w:p>
    <w:p w14:paraId="13CA92D3" w14:textId="77777777" w:rsidR="00185260" w:rsidRPr="00593EF3" w:rsidRDefault="00A7275D">
      <w:pPr>
        <w:spacing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5. Turno. </w:t>
      </w:r>
      <w:r w:rsidRPr="00593EF3">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593EF3">
        <w:rPr>
          <w:rFonts w:ascii="Palatino Linotype" w:eastAsia="Palatino Linotype" w:hAnsi="Palatino Linotype" w:cs="Palatino Linotype"/>
          <w:b/>
          <w:bCs/>
          <w:sz w:val="22"/>
          <w:szCs w:val="22"/>
        </w:rPr>
        <w:t xml:space="preserve">Guadalupe Ramírez Peña, </w:t>
      </w:r>
      <w:r w:rsidRPr="00593EF3">
        <w:rPr>
          <w:rFonts w:ascii="Palatino Linotype" w:eastAsia="Palatino Linotype" w:hAnsi="Palatino Linotype" w:cs="Palatino Linotype"/>
          <w:sz w:val="22"/>
          <w:szCs w:val="22"/>
        </w:rPr>
        <w:t>a efecto de que analizara sobre su admisión o su desechamiento.</w:t>
      </w:r>
    </w:p>
    <w:p w14:paraId="5D6F74DA" w14:textId="77777777" w:rsidR="00185260" w:rsidRPr="00593EF3" w:rsidRDefault="00A7275D">
      <w:pPr>
        <w:spacing w:before="240" w:after="240" w:line="360" w:lineRule="auto"/>
        <w:jc w:val="both"/>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6. Admisión del Recurso de revisión.</w:t>
      </w:r>
      <w:r w:rsidRPr="00593EF3">
        <w:rPr>
          <w:rFonts w:ascii="Palatino Linotype" w:eastAsia="Palatino Linotype" w:hAnsi="Palatino Linotype" w:cs="Palatino Linotype"/>
          <w:sz w:val="22"/>
          <w:szCs w:val="22"/>
        </w:rPr>
        <w:t xml:space="preserve"> El</w:t>
      </w:r>
      <w:r w:rsidRPr="00593EF3">
        <w:rPr>
          <w:rFonts w:ascii="Palatino Linotype" w:eastAsia="Palatino Linotype" w:hAnsi="Palatino Linotype" w:cs="Palatino Linotype"/>
          <w:b/>
          <w:bCs/>
          <w:sz w:val="22"/>
          <w:szCs w:val="22"/>
        </w:rPr>
        <w:t xml:space="preserve"> diecisiete de diciembre de dos mil veinticinco, </w:t>
      </w:r>
      <w:r w:rsidRPr="00593EF3">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presentara su informe justificado.</w:t>
      </w:r>
    </w:p>
    <w:p w14:paraId="17E2C4FC"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bookmarkStart w:id="5" w:name="_heading=h.2s8eyo1" w:colFirst="0" w:colLast="0"/>
      <w:bookmarkEnd w:id="5"/>
      <w:r w:rsidRPr="00593EF3">
        <w:rPr>
          <w:rFonts w:ascii="Palatino Linotype" w:eastAsia="Palatino Linotype" w:hAnsi="Palatino Linotype" w:cs="Palatino Linotype"/>
          <w:b/>
          <w:bCs/>
          <w:sz w:val="22"/>
          <w:szCs w:val="22"/>
        </w:rPr>
        <w:t>7. Manifestaciones</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doce de enero de</w:t>
      </w:r>
      <w:r w:rsidRPr="00593EF3">
        <w:rPr>
          <w:rFonts w:ascii="Palatino Linotype" w:eastAsia="Palatino Linotype" w:hAnsi="Palatino Linotype" w:cs="Palatino Linotype"/>
          <w:sz w:val="22"/>
          <w:szCs w:val="22"/>
        </w:rPr>
        <w:t xml:space="preserve"> </w:t>
      </w:r>
      <w:r w:rsidRPr="00593EF3">
        <w:rPr>
          <w:rFonts w:ascii="Palatino Linotype" w:eastAsia="Palatino Linotype" w:hAnsi="Palatino Linotype" w:cs="Palatino Linotype"/>
          <w:b/>
          <w:bCs/>
          <w:sz w:val="22"/>
          <w:szCs w:val="22"/>
        </w:rPr>
        <w:t>dos mil veintiséis</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xml:space="preserve"> remitió, a través del SAIMEX el escrito mediante el cual el titular de la Unidad de Transparencia ratificó la respuesta proporcionada en primera instancia.</w:t>
      </w:r>
    </w:p>
    <w:p w14:paraId="71ABBFB3"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Una vez analizada la información, se hizo del conocimiento de la persona solicitante a efecto de que manifestara lo que a su derecho estimara conveniente, siendo omisa en ejercer dicha prerrogativa.</w:t>
      </w:r>
    </w:p>
    <w:p w14:paraId="64E63328" w14:textId="77777777" w:rsidR="00185260" w:rsidRPr="00593EF3" w:rsidRDefault="00A7275D">
      <w:pPr>
        <w:spacing w:before="240" w:after="240" w:line="360" w:lineRule="auto"/>
        <w:jc w:val="both"/>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8. Ampliación del término para resolver</w:t>
      </w:r>
      <w:r w:rsidRPr="00593EF3">
        <w:rPr>
          <w:rFonts w:ascii="Palatino Linotype" w:eastAsia="Palatino Linotype" w:hAnsi="Palatino Linotype" w:cs="Palatino Linotype"/>
          <w:sz w:val="22"/>
          <w:szCs w:val="22"/>
        </w:rPr>
        <w:t xml:space="preserve">. El </w:t>
      </w:r>
      <w:r w:rsidRPr="00593EF3">
        <w:rPr>
          <w:rFonts w:ascii="Palatino Linotype" w:eastAsia="Palatino Linotype" w:hAnsi="Palatino Linotype" w:cs="Palatino Linotype"/>
          <w:b/>
          <w:bCs/>
          <w:sz w:val="22"/>
          <w:szCs w:val="22"/>
        </w:rPr>
        <w:t>diecisiete de febrero de dos mil veintiséis</w:t>
      </w:r>
      <w:r w:rsidRPr="00593EF3">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6E456C8E" w14:textId="76DD22B6" w:rsidR="00185260" w:rsidRPr="00593EF3" w:rsidRDefault="00A7275D">
      <w:pPr>
        <w:widowControl w:val="0"/>
        <w:spacing w:before="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9. Cierre de instrucción. </w:t>
      </w:r>
      <w:r w:rsidRPr="00593EF3">
        <w:rPr>
          <w:rFonts w:ascii="Palatino Linotype" w:eastAsia="Palatino Linotype" w:hAnsi="Palatino Linotype" w:cs="Palatino Linotype"/>
          <w:sz w:val="22"/>
          <w:szCs w:val="22"/>
        </w:rPr>
        <w:t>Una vez transcurrido el periodo otorgado a las partes para realizar sus manifestaciones y no habiendo documentos que integrar al expediente, el</w:t>
      </w:r>
      <w:r w:rsidRPr="00593EF3">
        <w:rPr>
          <w:rFonts w:ascii="Palatino Linotype" w:eastAsia="Palatino Linotype" w:hAnsi="Palatino Linotype" w:cs="Palatino Linotype"/>
          <w:b/>
          <w:bCs/>
          <w:sz w:val="22"/>
          <w:szCs w:val="22"/>
        </w:rPr>
        <w:t xml:space="preserve"> vei</w:t>
      </w:r>
      <w:r w:rsidR="007316C7" w:rsidRPr="00593EF3">
        <w:rPr>
          <w:rFonts w:ascii="Palatino Linotype" w:eastAsia="Palatino Linotype" w:hAnsi="Palatino Linotype" w:cs="Palatino Linotype"/>
          <w:b/>
          <w:bCs/>
          <w:sz w:val="22"/>
          <w:szCs w:val="22"/>
        </w:rPr>
        <w:t>ntitrés</w:t>
      </w:r>
      <w:r w:rsidRPr="00593EF3">
        <w:rPr>
          <w:rFonts w:ascii="Palatino Linotype" w:eastAsia="Palatino Linotype" w:hAnsi="Palatino Linotype" w:cs="Palatino Linotype"/>
          <w:b/>
          <w:bCs/>
          <w:sz w:val="22"/>
          <w:szCs w:val="22"/>
        </w:rPr>
        <w:t xml:space="preserve"> de febrero de dos mil veintiséis</w:t>
      </w:r>
      <w:r w:rsidRPr="00593EF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8627A6B"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4FF5E5E" w14:textId="77777777" w:rsidR="00185260" w:rsidRPr="00593EF3" w:rsidRDefault="00A7275D">
      <w:pPr>
        <w:widowControl w:val="0"/>
        <w:spacing w:before="240" w:after="240" w:line="360" w:lineRule="auto"/>
        <w:jc w:val="center"/>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II. C O N S I D E R A N D O S</w:t>
      </w:r>
    </w:p>
    <w:p w14:paraId="03D433F6"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Primero. Competencia.</w:t>
      </w:r>
      <w:r w:rsidRPr="00593EF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EDA28EC"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bookmarkStart w:id="6" w:name="_heading=h.tyjcwt" w:colFirst="0" w:colLast="0"/>
      <w:bookmarkEnd w:id="6"/>
      <w:r w:rsidRPr="00593EF3">
        <w:rPr>
          <w:rFonts w:ascii="Palatino Linotype" w:eastAsia="Palatino Linotype" w:hAnsi="Palatino Linotype" w:cs="Palatino Linotype"/>
          <w:b/>
          <w:bCs/>
          <w:sz w:val="22"/>
          <w:szCs w:val="22"/>
        </w:rPr>
        <w:t>Segundo. Oportunidad y Procedibilidad del Recurso de Revisión</w:t>
      </w:r>
      <w:r w:rsidRPr="00593EF3">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260EDA8"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 xml:space="preserve">remitió la respuesta a la solicitud de información el día </w:t>
      </w:r>
      <w:r w:rsidRPr="00593EF3">
        <w:rPr>
          <w:rFonts w:ascii="Palatino Linotype" w:eastAsia="Palatino Linotype" w:hAnsi="Palatino Linotype" w:cs="Palatino Linotype"/>
          <w:b/>
          <w:bCs/>
          <w:sz w:val="22"/>
          <w:szCs w:val="22"/>
        </w:rPr>
        <w:t xml:space="preserve">nueve de diciembre de dos mil veinticinco, </w:t>
      </w:r>
      <w:r w:rsidRPr="00593EF3">
        <w:rPr>
          <w:rFonts w:ascii="Palatino Linotype" w:eastAsia="Palatino Linotype" w:hAnsi="Palatino Linotype" w:cs="Palatino Linotype"/>
          <w:sz w:val="22"/>
          <w:szCs w:val="22"/>
        </w:rPr>
        <w:t xml:space="preserve">mientras que el recurso de revisión interpuesto por la parte </w:t>
      </w:r>
      <w:r w:rsidRPr="00593EF3">
        <w:rPr>
          <w:rFonts w:ascii="Palatino Linotype" w:eastAsia="Palatino Linotype" w:hAnsi="Palatino Linotype" w:cs="Palatino Linotype"/>
          <w:b/>
          <w:bCs/>
          <w:sz w:val="22"/>
          <w:szCs w:val="22"/>
        </w:rPr>
        <w:t xml:space="preserve">Recurrente, </w:t>
      </w:r>
      <w:r w:rsidRPr="00593EF3">
        <w:rPr>
          <w:rFonts w:ascii="Palatino Linotype" w:eastAsia="Palatino Linotype" w:hAnsi="Palatino Linotype" w:cs="Palatino Linotype"/>
          <w:sz w:val="22"/>
          <w:szCs w:val="22"/>
        </w:rPr>
        <w:t>se tuvo por presentado el día</w:t>
      </w:r>
      <w:r w:rsidRPr="00593EF3">
        <w:rPr>
          <w:rFonts w:ascii="Palatino Linotype" w:eastAsia="Palatino Linotype" w:hAnsi="Palatino Linotype" w:cs="Palatino Linotype"/>
          <w:b/>
          <w:bCs/>
          <w:sz w:val="22"/>
          <w:szCs w:val="22"/>
        </w:rPr>
        <w:t xml:space="preserve"> once de diciembre de dos mil veinticinco, </w:t>
      </w:r>
      <w:r w:rsidRPr="00593EF3">
        <w:rPr>
          <w:rFonts w:ascii="Palatino Linotype" w:eastAsia="Palatino Linotype" w:hAnsi="Palatino Linotype" w:cs="Palatino Linotype"/>
          <w:sz w:val="22"/>
          <w:szCs w:val="22"/>
        </w:rPr>
        <w:t>esto es, al segundo día hábil posterior a aquel en el que tuvo conocimiento de la respuesta impugnada. En este sentido, se concluye que el presente recurso de revisión se encuentra dentro de los márgenes temporales previstos en las disposiciones legales referidas.</w:t>
      </w:r>
    </w:p>
    <w:p w14:paraId="2B8A0CB1"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Además, por cuanto hace a la procedibilidad del recurso de revisión, es de suma importancia señalar que la parte</w:t>
      </w:r>
      <w:r w:rsidRPr="00593EF3">
        <w:rPr>
          <w:rFonts w:ascii="Palatino Linotype" w:eastAsia="Palatino Linotype" w:hAnsi="Palatino Linotype" w:cs="Palatino Linotype"/>
          <w:b/>
          <w:bCs/>
          <w:sz w:val="22"/>
          <w:szCs w:val="22"/>
        </w:rPr>
        <w:t xml:space="preserve"> Recurrente</w:t>
      </w:r>
      <w:r w:rsidRPr="00593EF3">
        <w:rPr>
          <w:rFonts w:ascii="Palatino Linotype" w:eastAsia="Palatino Linotype" w:hAnsi="Palatino Linotype" w:cs="Palatino Linotype"/>
          <w:sz w:val="22"/>
          <w:szCs w:val="22"/>
        </w:rPr>
        <w:t xml:space="preserve">, no señaló </w:t>
      </w:r>
      <w:r w:rsidRPr="00593EF3">
        <w:rPr>
          <w:rFonts w:ascii="Palatino Linotype" w:eastAsia="Palatino Linotype" w:hAnsi="Palatino Linotype" w:cs="Palatino Linotype"/>
          <w:b/>
          <w:bCs/>
          <w:sz w:val="22"/>
          <w:szCs w:val="22"/>
        </w:rPr>
        <w:t>nombre o seudónimo,</w:t>
      </w:r>
      <w:r w:rsidRPr="00593EF3">
        <w:rPr>
          <w:rFonts w:ascii="Palatino Linotype" w:eastAsia="Palatino Linotype" w:hAnsi="Palatino Linotype" w:cs="Palatino Linotype"/>
          <w:sz w:val="22"/>
          <w:szCs w:val="22"/>
        </w:rPr>
        <w:t xml:space="preserve">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A15A0CA" w14:textId="77777777" w:rsidR="00185260" w:rsidRPr="00593EF3" w:rsidRDefault="00A7275D">
      <w:pPr>
        <w:spacing w:before="120" w:after="12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w:t>
      </w:r>
      <w:r w:rsidRPr="00593EF3">
        <w:rPr>
          <w:rFonts w:ascii="Palatino Linotype" w:eastAsia="Palatino Linotype" w:hAnsi="Palatino Linotype" w:cs="Palatino Linotype"/>
          <w:b/>
          <w:bCs/>
          <w:i/>
          <w:iCs/>
          <w:sz w:val="22"/>
          <w:szCs w:val="22"/>
        </w:rPr>
        <w:t>Las solicitudes anónimas</w:t>
      </w:r>
      <w:r w:rsidRPr="00593EF3">
        <w:rPr>
          <w:rFonts w:ascii="Palatino Linotype" w:eastAsia="Palatino Linotype" w:hAnsi="Palatino Linotype" w:cs="Palatino Linotype"/>
          <w:i/>
          <w:iCs/>
          <w:sz w:val="22"/>
          <w:szCs w:val="22"/>
        </w:rPr>
        <w:t xml:space="preserve">, con nombre incompleto o </w:t>
      </w:r>
      <w:r w:rsidRPr="00593EF3">
        <w:rPr>
          <w:rFonts w:ascii="Palatino Linotype" w:eastAsia="Palatino Linotype" w:hAnsi="Palatino Linotype" w:cs="Palatino Linotype"/>
          <w:b/>
          <w:bCs/>
          <w:i/>
          <w:iCs/>
          <w:sz w:val="22"/>
          <w:szCs w:val="22"/>
        </w:rPr>
        <w:t>seudónimo</w:t>
      </w:r>
      <w:r w:rsidRPr="00593EF3">
        <w:rPr>
          <w:rFonts w:ascii="Palatino Linotype" w:eastAsia="Palatino Linotype" w:hAnsi="Palatino Linotype" w:cs="Palatino Linotype"/>
          <w:i/>
          <w:iCs/>
          <w:sz w:val="22"/>
          <w:szCs w:val="22"/>
        </w:rPr>
        <w:t xml:space="preserve"> serán procedentes para su trámite por parte del sujeto obligado ante quien se presente. No podrá requerirse información adicional con motivo del nombre proporcionado por el solicitante."</w:t>
      </w:r>
    </w:p>
    <w:p w14:paraId="5AC651F4" w14:textId="77777777" w:rsidR="00185260" w:rsidRPr="00593EF3" w:rsidRDefault="00A7275D">
      <w:pPr>
        <w:spacing w:before="240" w:after="240" w:line="360" w:lineRule="auto"/>
        <w:jc w:val="both"/>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sz w:val="22"/>
          <w:szCs w:val="22"/>
        </w:rPr>
        <w:t>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el</w:t>
      </w:r>
      <w:r w:rsidRPr="00593EF3">
        <w:rPr>
          <w:rFonts w:ascii="Palatino Linotype" w:eastAsia="Palatino Linotype" w:hAnsi="Palatino Linotype" w:cs="Palatino Linotype"/>
          <w:b/>
          <w:bCs/>
          <w:sz w:val="22"/>
          <w:szCs w:val="22"/>
        </w:rPr>
        <w:t xml:space="preserve"> SAIMEX.</w:t>
      </w:r>
    </w:p>
    <w:p w14:paraId="0542DF0D"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Tercero. Análisis de las causales de sobreseimiento del recurso de revisión.</w:t>
      </w:r>
      <w:r w:rsidRPr="00593EF3">
        <w:rPr>
          <w:rFonts w:ascii="Palatino Linotype" w:eastAsia="Palatino Linotype" w:hAnsi="Palatino Linotype" w:cs="Palatino Linotype"/>
          <w:sz w:val="22"/>
          <w:szCs w:val="22"/>
        </w:rPr>
        <w:t xml:space="preserve"> 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173AE4A"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Es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este no se coarta por regular causas de improcedencia y sobreseimiento con tales fines.</w:t>
      </w:r>
    </w:p>
    <w:p w14:paraId="7DF25267" w14:textId="77777777" w:rsidR="00185260" w:rsidRPr="00593EF3" w:rsidRDefault="00A7275D">
      <w:pPr>
        <w:spacing w:before="240" w:after="240" w:line="360" w:lineRule="auto"/>
        <w:ind w:right="51"/>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De manera preliminar en el caso concreto conviene analizar si se actualiza alguna de las causales de sobreseimiento del recurso de revisión.</w:t>
      </w:r>
    </w:p>
    <w:p w14:paraId="54502DA1" w14:textId="77777777" w:rsidR="00185260" w:rsidRPr="00593EF3" w:rsidRDefault="00A7275D">
      <w:pPr>
        <w:spacing w:before="240" w:after="240" w:line="360" w:lineRule="auto"/>
        <w:ind w:right="51"/>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En tal contexto, del análisis de la solicitud de información motivo del recurso de revisión que ahora se resuelve, se advierte que la persona solicitante requirió al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xml:space="preserve"> le proporcione información que consiste medularmente en lo siguiente:</w:t>
      </w:r>
    </w:p>
    <w:p w14:paraId="22F36F34" w14:textId="77777777" w:rsidR="00185260" w:rsidRPr="00593EF3" w:rsidRDefault="00A7275D">
      <w:pPr>
        <w:spacing w:before="240" w:after="240" w:line="360" w:lineRule="auto"/>
        <w:ind w:left="284"/>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1. Todas las determinaciones recibidas por parte del INFOEM, en la Unidad de Transparencia del uno de enero al seis de noviembre de dos mil veinticinco, por cualquier tema.</w:t>
      </w:r>
    </w:p>
    <w:p w14:paraId="6FFDDF13" w14:textId="77777777" w:rsidR="00185260" w:rsidRPr="00593EF3" w:rsidRDefault="00A7275D">
      <w:pPr>
        <w:spacing w:before="240" w:after="240" w:line="360" w:lineRule="auto"/>
        <w:ind w:right="49"/>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En respuesta, el </w:t>
      </w:r>
      <w:r w:rsidRPr="00593EF3">
        <w:rPr>
          <w:rFonts w:ascii="Palatino Linotype" w:eastAsia="Palatino Linotype" w:hAnsi="Palatino Linotype" w:cs="Palatino Linotype"/>
          <w:b/>
          <w:bCs/>
          <w:sz w:val="22"/>
          <w:szCs w:val="22"/>
        </w:rPr>
        <w:t xml:space="preserve">Sujeto Obligado, </w:t>
      </w:r>
      <w:r w:rsidRPr="00593EF3">
        <w:rPr>
          <w:rFonts w:ascii="Palatino Linotype" w:eastAsia="Palatino Linotype" w:hAnsi="Palatino Linotype" w:cs="Palatino Linotype"/>
          <w:sz w:val="22"/>
          <w:szCs w:val="22"/>
        </w:rPr>
        <w:t>por conducto de la Unidad de Transparencia derivado de la búsqueda exhaustiva y razonable dentro de los archivos físicos y electrónicos a su cargo, hizo entrega de treinta y cinco determinaciones emitidas por la Dirección General de Protección de Datos Personales de este Instituto, siete de ellas en versión pública.</w:t>
      </w:r>
    </w:p>
    <w:p w14:paraId="7963DD27" w14:textId="77777777" w:rsidR="00185260" w:rsidRPr="00593EF3" w:rsidRDefault="00A7275D">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No obstante, una vez conocida la respuesta emitida por 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la parte</w:t>
      </w:r>
      <w:r w:rsidRPr="00593EF3">
        <w:rPr>
          <w:rFonts w:ascii="Palatino Linotype" w:eastAsia="Palatino Linotype" w:hAnsi="Palatino Linotype" w:cs="Palatino Linotype"/>
          <w:b/>
          <w:bCs/>
          <w:sz w:val="22"/>
          <w:szCs w:val="22"/>
        </w:rPr>
        <w:t xml:space="preserve"> Recurrente</w:t>
      </w:r>
      <w:r w:rsidRPr="00593EF3">
        <w:rPr>
          <w:rFonts w:ascii="Palatino Linotype" w:eastAsia="Palatino Linotype" w:hAnsi="Palatino Linotype" w:cs="Palatino Linotype"/>
          <w:sz w:val="22"/>
          <w:szCs w:val="22"/>
        </w:rPr>
        <w:t>, al no estar conforme con los términos de la misma, interpuso el recurso de revisión que nos ocupa, mediante el cual señaló como motivo de inconformidad: “</w:t>
      </w:r>
      <w:r w:rsidRPr="00593EF3">
        <w:rPr>
          <w:rFonts w:ascii="Palatino Linotype" w:eastAsia="Palatino Linotype" w:hAnsi="Palatino Linotype" w:cs="Palatino Linotype"/>
          <w:b/>
          <w:bCs/>
          <w:i/>
          <w:iCs/>
          <w:sz w:val="22"/>
          <w:szCs w:val="22"/>
        </w:rPr>
        <w:t xml:space="preserve">La información esta incompleta se esta ocultado información ya que </w:t>
      </w:r>
      <w:r w:rsidRPr="00593EF3">
        <w:rPr>
          <w:rFonts w:ascii="Palatino Linotype" w:eastAsia="Palatino Linotype" w:hAnsi="Palatino Linotype" w:cs="Palatino Linotype"/>
          <w:b/>
          <w:bCs/>
          <w:i/>
          <w:iCs/>
          <w:sz w:val="22"/>
          <w:szCs w:val="22"/>
          <w:u w:val="single"/>
        </w:rPr>
        <w:t>en ostro saimex entrega otros correo</w:t>
      </w:r>
      <w:r w:rsidRPr="00593EF3">
        <w:rPr>
          <w:rFonts w:ascii="Palatino Linotype" w:eastAsia="Palatino Linotype" w:hAnsi="Palatino Linotype" w:cs="Palatino Linotype"/>
          <w:i/>
          <w:iCs/>
          <w:sz w:val="22"/>
          <w:szCs w:val="22"/>
        </w:rPr>
        <w:t xml:space="preserve"> por lo que se ve que esta manipulando la información a conveniencia se pide al ifoem </w:t>
      </w:r>
      <w:r w:rsidRPr="00593EF3">
        <w:rPr>
          <w:rFonts w:ascii="Palatino Linotype" w:eastAsia="Palatino Linotype" w:hAnsi="Palatino Linotype" w:cs="Palatino Linotype"/>
          <w:b/>
          <w:bCs/>
          <w:i/>
          <w:iCs/>
          <w:sz w:val="22"/>
          <w:szCs w:val="22"/>
        </w:rPr>
        <w:t>se obligue a antegrada completa y con anexo por que o entrega los anexos tampoco</w:t>
      </w:r>
      <w:r w:rsidRPr="00593EF3">
        <w:rPr>
          <w:rFonts w:ascii="Palatino Linotype" w:eastAsia="Palatino Linotype" w:hAnsi="Palatino Linotype" w:cs="Palatino Linotype"/>
          <w:i/>
          <w:iCs/>
          <w:sz w:val="22"/>
          <w:szCs w:val="22"/>
        </w:rPr>
        <w:t>”</w:t>
      </w:r>
      <w:r w:rsidRPr="00593EF3">
        <w:rPr>
          <w:rFonts w:ascii="Palatino Linotype" w:eastAsia="Palatino Linotype" w:hAnsi="Palatino Linotype" w:cs="Palatino Linotype"/>
          <w:sz w:val="22"/>
          <w:szCs w:val="22"/>
        </w:rPr>
        <w:t xml:space="preserve"> (sic)</w:t>
      </w:r>
    </w:p>
    <w:p w14:paraId="072807C0" w14:textId="77777777" w:rsidR="00185260" w:rsidRPr="00593EF3" w:rsidRDefault="00A7275D">
      <w:pPr>
        <w:pBdr>
          <w:top w:val="nil"/>
          <w:left w:val="nil"/>
          <w:bottom w:val="nil"/>
          <w:right w:val="nil"/>
          <w:between w:val="nil"/>
        </w:pBdr>
        <w:spacing w:before="240" w:after="240" w:line="360" w:lineRule="auto"/>
        <w:jc w:val="both"/>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sz w:val="22"/>
          <w:szCs w:val="22"/>
        </w:rPr>
        <w:t>Ahora bien, atentos a la inconformidad planteada, resulta necesario señalar que esta no guarda relación lógica con la materia de la solicitud ni con la respuesta proporcionada por el S</w:t>
      </w:r>
      <w:r w:rsidRPr="00593EF3">
        <w:rPr>
          <w:rFonts w:ascii="Palatino Linotype" w:eastAsia="Palatino Linotype" w:hAnsi="Palatino Linotype" w:cs="Palatino Linotype"/>
          <w:b/>
          <w:bCs/>
          <w:sz w:val="22"/>
          <w:szCs w:val="22"/>
        </w:rPr>
        <w:t xml:space="preserve">ujeto Obligado, </w:t>
      </w:r>
      <w:r w:rsidRPr="00593EF3">
        <w:rPr>
          <w:rFonts w:ascii="Palatino Linotype" w:eastAsia="Palatino Linotype" w:hAnsi="Palatino Linotype" w:cs="Palatino Linotype"/>
          <w:sz w:val="22"/>
          <w:szCs w:val="22"/>
        </w:rPr>
        <w:t xml:space="preserve">ello en virtud de </w:t>
      </w:r>
      <w:r w:rsidRPr="00593EF3">
        <w:rPr>
          <w:rFonts w:ascii="Palatino Linotype" w:eastAsia="Palatino Linotype" w:hAnsi="Palatino Linotype" w:cs="Palatino Linotype"/>
          <w:b/>
          <w:bCs/>
          <w:sz w:val="22"/>
          <w:szCs w:val="22"/>
          <w:u w:val="single"/>
        </w:rPr>
        <w:t>que se solicitó específicamente la entrega de determinaciones recibidas por parte de este Instituto en la Unidad de Transparencia del uno de enero al seis de noviembre de dos mil veinticinco sobre cualquier tema</w:t>
      </w:r>
      <w:r w:rsidRPr="00593EF3">
        <w:rPr>
          <w:rFonts w:ascii="Palatino Linotype" w:eastAsia="Palatino Linotype" w:hAnsi="Palatino Linotype" w:cs="Palatino Linotype"/>
          <w:sz w:val="22"/>
          <w:szCs w:val="22"/>
        </w:rPr>
        <w:t xml:space="preserve">, asimismo, se hizo entrega de diversas determinaciones emitidas por la Dirección General de Protección de Datos Personales de este Instituto, mientras que </w:t>
      </w:r>
      <w:r w:rsidRPr="00593EF3">
        <w:rPr>
          <w:rFonts w:ascii="Palatino Linotype" w:eastAsia="Palatino Linotype" w:hAnsi="Palatino Linotype" w:cs="Palatino Linotype"/>
          <w:b/>
          <w:bCs/>
          <w:sz w:val="22"/>
          <w:szCs w:val="22"/>
        </w:rPr>
        <w:t xml:space="preserve">la parte Recurrente se inconformó por la entrega de correos incompletos,  bajo el argumento de que en otros saimex </w:t>
      </w:r>
      <w:r w:rsidRPr="00593EF3">
        <w:rPr>
          <w:rFonts w:ascii="Palatino Linotype" w:eastAsia="Palatino Linotype" w:hAnsi="Palatino Linotype" w:cs="Palatino Linotype"/>
          <w:sz w:val="22"/>
          <w:szCs w:val="22"/>
        </w:rPr>
        <w:t>–entiéndase solicitudes-,</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b/>
          <w:bCs/>
          <w:sz w:val="22"/>
          <w:szCs w:val="22"/>
          <w:u w:val="single"/>
        </w:rPr>
        <w:t>se han entregado otros correos</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sz w:val="22"/>
          <w:szCs w:val="22"/>
        </w:rPr>
        <w:t xml:space="preserve">asimismo </w:t>
      </w:r>
      <w:r w:rsidRPr="00593EF3">
        <w:rPr>
          <w:rFonts w:ascii="Palatino Linotype" w:eastAsia="Palatino Linotype" w:hAnsi="Palatino Linotype" w:cs="Palatino Linotype"/>
          <w:b/>
          <w:bCs/>
          <w:sz w:val="22"/>
          <w:szCs w:val="22"/>
        </w:rPr>
        <w:t xml:space="preserve">refiere que </w:t>
      </w:r>
      <w:r w:rsidRPr="00593EF3">
        <w:rPr>
          <w:rFonts w:ascii="Palatino Linotype" w:eastAsia="Palatino Linotype" w:hAnsi="Palatino Linotype" w:cs="Palatino Linotype"/>
          <w:b/>
          <w:bCs/>
          <w:sz w:val="22"/>
          <w:szCs w:val="22"/>
          <w:u w:val="single"/>
        </w:rPr>
        <w:t>no se hizo entrega de los anexos</w:t>
      </w:r>
      <w:r w:rsidRPr="00593EF3">
        <w:rPr>
          <w:rFonts w:ascii="Palatino Linotype" w:eastAsia="Palatino Linotype" w:hAnsi="Palatino Linotype" w:cs="Palatino Linotype"/>
          <w:b/>
          <w:bCs/>
          <w:sz w:val="22"/>
          <w:szCs w:val="22"/>
        </w:rPr>
        <w:t>, sin embargo, es de señalar que de la lectura de las determinaciones entregadas, no se advierte que estas incluyan anexos.</w:t>
      </w:r>
    </w:p>
    <w:p w14:paraId="25BDF77D" w14:textId="77777777" w:rsidR="00185260" w:rsidRPr="00593EF3" w:rsidRDefault="00A7275D">
      <w:pPr>
        <w:widowControl w:val="0"/>
        <w:spacing w:before="120" w:after="12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sz w:val="22"/>
          <w:szCs w:val="22"/>
        </w:rPr>
        <w:t xml:space="preserve">En esta virtud, al no versar sobre el contenido de la respuesta que le fue entregada, el motivo de inconformidad no actualiza ninguna causal de procedencia, por consiguiente, en estricto derecho la alegación de la parte </w:t>
      </w:r>
      <w:r w:rsidRPr="00593EF3">
        <w:rPr>
          <w:rFonts w:ascii="Palatino Linotype" w:eastAsia="Palatino Linotype" w:hAnsi="Palatino Linotype" w:cs="Palatino Linotype"/>
          <w:b/>
          <w:bCs/>
          <w:sz w:val="22"/>
          <w:szCs w:val="22"/>
        </w:rPr>
        <w:t>Recurrente</w:t>
      </w:r>
      <w:r w:rsidRPr="00593EF3">
        <w:rPr>
          <w:rFonts w:ascii="Palatino Linotype" w:eastAsia="Palatino Linotype" w:hAnsi="Palatino Linotype" w:cs="Palatino Linotype"/>
          <w:sz w:val="22"/>
          <w:szCs w:val="22"/>
        </w:rPr>
        <w:t xml:space="preserve"> se califica de inoperante.</w:t>
      </w:r>
    </w:p>
    <w:p w14:paraId="03CC4CBB" w14:textId="77777777" w:rsidR="00185260" w:rsidRPr="00593EF3" w:rsidRDefault="00A7275D">
      <w:pPr>
        <w:widowControl w:val="0"/>
        <w:spacing w:before="120" w:after="120" w:line="360" w:lineRule="auto"/>
        <w:jc w:val="both"/>
        <w:rPr>
          <w:sz w:val="22"/>
          <w:szCs w:val="22"/>
        </w:rPr>
      </w:pPr>
      <w:r w:rsidRPr="00593EF3">
        <w:rPr>
          <w:rFonts w:ascii="Palatino Linotype" w:eastAsia="Palatino Linotype" w:hAnsi="Palatino Linotype" w:cs="Palatino Linotype"/>
          <w:sz w:val="22"/>
          <w:szCs w:val="22"/>
        </w:rPr>
        <w:t>En esta línea de pensamiento, lo procedente es sobreseer el recurso de revisión; resultando necesario traer a colación la Tesis Aislada con número de registro 2017549 de rubro “INEXISTENCIA DE LOS ACTOS RECLAMADOS EN EL AMPARO. NO ES UN MOTIVO MANIFIESTO E INDUDABLE DE IMPROCEDENCIA QUE DÉ LUGAR AL DESECHAMIENTO DE LA DEMANDA, SINO QUE CONSTITUYE UNA CAUSAL DE SOBRESEIMIENTO EN EL JUICIO.”, la cual constituye un criterio orientador para este Organismo Garante, que pone en aptitudes de poder sobreseer el presente recurso de revisión, lo que en el caso particular, se tiene por acreditada la inexistencia del acto reclamado, quedando sin materia el presente asunto.</w:t>
      </w:r>
    </w:p>
    <w:p w14:paraId="4FA85F00" w14:textId="77777777" w:rsidR="00185260" w:rsidRPr="00593EF3" w:rsidRDefault="00A7275D">
      <w:pPr>
        <w:pBdr>
          <w:top w:val="nil"/>
          <w:left w:val="nil"/>
          <w:bottom w:val="nil"/>
          <w:right w:val="nil"/>
          <w:between w:val="nil"/>
        </w:pBdr>
        <w:spacing w:before="8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Derivado de lo expuesto, es necesario hacer del conocimiento de la persona solicitante que, toda vez que de la simple lectura a su Recurso de Revisión, se desprende que</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b/>
          <w:bCs/>
          <w:sz w:val="22"/>
          <w:szCs w:val="22"/>
          <w:u w:val="single"/>
        </w:rPr>
        <w:t>las razones o motivos de inconformidad hechas valer, no corresponden ni con la solicitud, ni con la respuesta proporcionada por el Sujeto Obligado para atender su requerimiento de información,</w:t>
      </w:r>
      <w:r w:rsidRPr="00593EF3">
        <w:rPr>
          <w:rFonts w:ascii="Palatino Linotype" w:eastAsia="Palatino Linotype" w:hAnsi="Palatino Linotype" w:cs="Palatino Linotype"/>
          <w:sz w:val="22"/>
          <w:szCs w:val="22"/>
        </w:rPr>
        <w:t xml:space="preserve"> el medio de impugnación que nos ocupa no actualiza ninguno de los supuestos previstos en la Ley de la materia conforme a las actuaciones que obran en los expedientes electrónicos formados en el SAIMEX. </w:t>
      </w:r>
    </w:p>
    <w:p w14:paraId="09515E44"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Por tales circunstancias, este Instituto se encuentra impedido a entrar al estudio de fondo, en virtud que la parte </w:t>
      </w:r>
      <w:r w:rsidRPr="00593EF3">
        <w:rPr>
          <w:rFonts w:ascii="Palatino Linotype" w:eastAsia="Palatino Linotype" w:hAnsi="Palatino Linotype" w:cs="Palatino Linotype"/>
          <w:b/>
          <w:bCs/>
          <w:sz w:val="22"/>
          <w:szCs w:val="22"/>
        </w:rPr>
        <w:t>Recurrente</w:t>
      </w:r>
      <w:r w:rsidRPr="00593EF3">
        <w:rPr>
          <w:rFonts w:ascii="Palatino Linotype" w:eastAsia="Palatino Linotype" w:hAnsi="Palatino Linotype" w:cs="Palatino Linotype"/>
          <w:sz w:val="22"/>
          <w:szCs w:val="22"/>
        </w:rPr>
        <w:t xml:space="preserve"> no manifestó razones o motivos de inconformidad, relacionados con la solicitud y  la respuesta del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a fin de atender su solicitud de acceso.</w:t>
      </w:r>
    </w:p>
    <w:p w14:paraId="119A1353"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Por consiguiente, se concluye que se está ante la presencia de la causal de sobreseimiento establecida en el diverso 192, fracción IV, de la Ley Transparencia y Acceso a la Información Pública del Estado de México y Municipios, en correlación con la causal de improcedencia contemplada en el artículo 191, fracción III, del mismo ordenamiento legal, a saber:</w:t>
      </w:r>
    </w:p>
    <w:p w14:paraId="5EE4089A" w14:textId="77777777" w:rsidR="00185260" w:rsidRPr="00593EF3" w:rsidRDefault="00A7275D">
      <w:pPr>
        <w:tabs>
          <w:tab w:val="left" w:pos="7938"/>
        </w:tabs>
        <w:spacing w:before="120" w:after="12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b/>
          <w:bCs/>
          <w:i/>
          <w:iCs/>
          <w:sz w:val="22"/>
          <w:szCs w:val="22"/>
        </w:rPr>
        <w:t xml:space="preserve">“Artículo 191. </w:t>
      </w:r>
      <w:r w:rsidRPr="00593EF3">
        <w:rPr>
          <w:rFonts w:ascii="Palatino Linotype" w:eastAsia="Palatino Linotype" w:hAnsi="Palatino Linotype" w:cs="Palatino Linotype"/>
          <w:i/>
          <w:iCs/>
          <w:sz w:val="22"/>
          <w:szCs w:val="22"/>
        </w:rPr>
        <w:t xml:space="preserve">El recurso será desechado por improcedente cuando: </w:t>
      </w:r>
    </w:p>
    <w:p w14:paraId="6D2AF7A6" w14:textId="77777777" w:rsidR="00185260" w:rsidRPr="00593EF3" w:rsidRDefault="00A7275D">
      <w:pPr>
        <w:tabs>
          <w:tab w:val="left" w:pos="7938"/>
        </w:tabs>
        <w:spacing w:before="120" w:after="120"/>
        <w:ind w:left="1134"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b/>
          <w:bCs/>
          <w:i/>
          <w:iCs/>
          <w:sz w:val="22"/>
          <w:szCs w:val="22"/>
        </w:rPr>
        <w:t>…</w:t>
      </w:r>
    </w:p>
    <w:p w14:paraId="246B973D" w14:textId="77777777" w:rsidR="00185260" w:rsidRPr="00593EF3" w:rsidRDefault="00A7275D">
      <w:pPr>
        <w:tabs>
          <w:tab w:val="left" w:pos="7938"/>
        </w:tabs>
        <w:spacing w:before="120" w:after="120"/>
        <w:ind w:left="1134"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b/>
          <w:bCs/>
          <w:i/>
          <w:iCs/>
          <w:sz w:val="22"/>
          <w:szCs w:val="22"/>
        </w:rPr>
        <w:t xml:space="preserve">III. </w:t>
      </w:r>
      <w:r w:rsidRPr="00593EF3">
        <w:rPr>
          <w:rFonts w:ascii="Palatino Linotype" w:eastAsia="Palatino Linotype" w:hAnsi="Palatino Linotype" w:cs="Palatino Linotype"/>
          <w:i/>
          <w:iCs/>
          <w:sz w:val="22"/>
          <w:szCs w:val="22"/>
        </w:rPr>
        <w:t>No se actualice alguno de los supuestos previstos en la Ley.</w:t>
      </w:r>
    </w:p>
    <w:p w14:paraId="4E95C36B" w14:textId="77777777" w:rsidR="00185260" w:rsidRPr="00593EF3" w:rsidRDefault="00A7275D">
      <w:pPr>
        <w:tabs>
          <w:tab w:val="left" w:pos="7938"/>
        </w:tabs>
        <w:spacing w:before="120" w:after="120"/>
        <w:ind w:left="851"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b/>
          <w:bCs/>
          <w:i/>
          <w:iCs/>
          <w:sz w:val="22"/>
          <w:szCs w:val="22"/>
        </w:rPr>
        <w:t>…</w:t>
      </w:r>
    </w:p>
    <w:p w14:paraId="6276CBEA" w14:textId="77777777" w:rsidR="00185260" w:rsidRPr="00593EF3" w:rsidRDefault="00A7275D">
      <w:pPr>
        <w:tabs>
          <w:tab w:val="left" w:pos="7938"/>
        </w:tabs>
        <w:spacing w:before="120" w:after="12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b/>
          <w:bCs/>
          <w:i/>
          <w:iCs/>
          <w:sz w:val="22"/>
          <w:szCs w:val="22"/>
        </w:rPr>
        <w:t xml:space="preserve">Artículo 192. </w:t>
      </w:r>
      <w:r w:rsidRPr="00593EF3">
        <w:rPr>
          <w:rFonts w:ascii="Palatino Linotype" w:eastAsia="Palatino Linotype" w:hAnsi="Palatino Linotype" w:cs="Palatino Linotype"/>
          <w:i/>
          <w:iCs/>
          <w:sz w:val="22"/>
          <w:szCs w:val="22"/>
        </w:rPr>
        <w:t xml:space="preserve">El recurso será </w:t>
      </w:r>
      <w:r w:rsidRPr="00593EF3">
        <w:rPr>
          <w:rFonts w:ascii="Palatino Linotype" w:eastAsia="Palatino Linotype" w:hAnsi="Palatino Linotype" w:cs="Palatino Linotype"/>
          <w:i/>
          <w:iCs/>
          <w:sz w:val="22"/>
          <w:szCs w:val="22"/>
          <w:u w:val="single"/>
        </w:rPr>
        <w:t>sobreseído</w:t>
      </w:r>
      <w:r w:rsidRPr="00593EF3">
        <w:rPr>
          <w:rFonts w:ascii="Palatino Linotype" w:eastAsia="Palatino Linotype" w:hAnsi="Palatino Linotype" w:cs="Palatino Linotype"/>
          <w:i/>
          <w:iCs/>
          <w:sz w:val="22"/>
          <w:szCs w:val="22"/>
        </w:rPr>
        <w:t>, en todo o en parte, cuando una vez admitido, se actualicen alguno de los siguientes supuestos:</w:t>
      </w:r>
    </w:p>
    <w:p w14:paraId="0279CD5E" w14:textId="77777777" w:rsidR="00185260" w:rsidRPr="00593EF3" w:rsidRDefault="00A7275D">
      <w:pPr>
        <w:tabs>
          <w:tab w:val="left" w:pos="7938"/>
        </w:tabs>
        <w:spacing w:before="120" w:after="120"/>
        <w:ind w:left="1134"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b/>
          <w:bCs/>
          <w:i/>
          <w:iCs/>
          <w:sz w:val="22"/>
          <w:szCs w:val="22"/>
        </w:rPr>
        <w:t>…</w:t>
      </w:r>
    </w:p>
    <w:p w14:paraId="15C83E35" w14:textId="77777777" w:rsidR="00185260" w:rsidRPr="00593EF3" w:rsidRDefault="00A7275D">
      <w:pPr>
        <w:tabs>
          <w:tab w:val="left" w:pos="7938"/>
        </w:tabs>
        <w:spacing w:before="120" w:after="120"/>
        <w:ind w:left="1134" w:right="902"/>
        <w:jc w:val="both"/>
        <w:rPr>
          <w:rFonts w:ascii="Palatino Linotype" w:eastAsia="Palatino Linotype" w:hAnsi="Palatino Linotype" w:cs="Palatino Linotype"/>
          <w:b/>
          <w:bCs/>
          <w:i/>
          <w:iCs/>
          <w:sz w:val="22"/>
          <w:szCs w:val="22"/>
        </w:rPr>
      </w:pPr>
      <w:r w:rsidRPr="00593EF3">
        <w:rPr>
          <w:rFonts w:ascii="Palatino Linotype" w:eastAsia="Palatino Linotype" w:hAnsi="Palatino Linotype" w:cs="Palatino Linotype"/>
          <w:b/>
          <w:bCs/>
          <w:i/>
          <w:iCs/>
          <w:sz w:val="22"/>
          <w:szCs w:val="22"/>
        </w:rPr>
        <w:t xml:space="preserve">IV. </w:t>
      </w:r>
      <w:r w:rsidRPr="00593EF3">
        <w:rPr>
          <w:rFonts w:ascii="Palatino Linotype" w:eastAsia="Palatino Linotype" w:hAnsi="Palatino Linotype" w:cs="Palatino Linotype"/>
          <w:i/>
          <w:iCs/>
          <w:sz w:val="22"/>
          <w:szCs w:val="22"/>
        </w:rPr>
        <w:t>Admitido el recurso de revisión aparezca alguna causal de improcedencia en términos de la presente Ley.</w:t>
      </w:r>
      <w:r w:rsidRPr="00593EF3">
        <w:rPr>
          <w:rFonts w:ascii="Palatino Linotype" w:eastAsia="Palatino Linotype" w:hAnsi="Palatino Linotype" w:cs="Palatino Linotype"/>
          <w:b/>
          <w:bCs/>
          <w:i/>
          <w:iCs/>
          <w:sz w:val="22"/>
          <w:szCs w:val="22"/>
        </w:rPr>
        <w:t>”</w:t>
      </w:r>
    </w:p>
    <w:p w14:paraId="3E072D6E" w14:textId="77777777" w:rsidR="00185260" w:rsidRPr="00593EF3" w:rsidRDefault="00A7275D">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Por tales circunstancias, este Instituto se encuentra impedido a entrar al estudio de fondo, en virtud que la parte </w:t>
      </w:r>
      <w:r w:rsidRPr="00593EF3">
        <w:rPr>
          <w:rFonts w:ascii="Palatino Linotype" w:eastAsia="Palatino Linotype" w:hAnsi="Palatino Linotype" w:cs="Palatino Linotype"/>
          <w:b/>
          <w:bCs/>
          <w:sz w:val="22"/>
          <w:szCs w:val="22"/>
        </w:rPr>
        <w:t xml:space="preserve">Recurrente </w:t>
      </w:r>
      <w:r w:rsidRPr="00593EF3">
        <w:rPr>
          <w:rFonts w:ascii="Palatino Linotype" w:eastAsia="Palatino Linotype" w:hAnsi="Palatino Linotype" w:cs="Palatino Linotype"/>
          <w:sz w:val="22"/>
          <w:szCs w:val="22"/>
        </w:rPr>
        <w:t xml:space="preserve">no manifestó razones o motivos de inconformidad relacionados ni con la solicitud, ni con la respuesta del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a fin de atender su solicitud de información.</w:t>
      </w:r>
    </w:p>
    <w:p w14:paraId="3466ABF4"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En consecuencia, lo procedente es </w:t>
      </w:r>
      <w:r w:rsidRPr="00593EF3">
        <w:rPr>
          <w:rFonts w:ascii="Palatino Linotype" w:eastAsia="Palatino Linotype" w:hAnsi="Palatino Linotype" w:cs="Palatino Linotype"/>
          <w:b/>
          <w:bCs/>
          <w:sz w:val="22"/>
          <w:szCs w:val="22"/>
        </w:rPr>
        <w:t xml:space="preserve">Sobreseer </w:t>
      </w:r>
      <w:r w:rsidRPr="00593EF3">
        <w:rPr>
          <w:rFonts w:ascii="Palatino Linotype" w:eastAsia="Palatino Linotype" w:hAnsi="Palatino Linotype" w:cs="Palatino Linotype"/>
          <w:sz w:val="22"/>
          <w:szCs w:val="22"/>
        </w:rPr>
        <w:t>el presente recurso de revisión, de conformidad con el artículo 186, fracción I</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sz w:val="22"/>
          <w:szCs w:val="22"/>
        </w:rPr>
        <w:t xml:space="preserve">de la Ley de Transparencia y Acceso a la Información Pública del Estado de México y Municipios, que es del tenor literal siguiente: </w:t>
      </w:r>
    </w:p>
    <w:p w14:paraId="61DF850F" w14:textId="77777777" w:rsidR="00185260" w:rsidRPr="00593EF3" w:rsidRDefault="00A7275D">
      <w:pPr>
        <w:tabs>
          <w:tab w:val="left" w:pos="993"/>
        </w:tabs>
        <w:spacing w:before="120" w:after="12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i/>
          <w:iCs/>
          <w:sz w:val="22"/>
          <w:szCs w:val="22"/>
        </w:rPr>
        <w:t>“</w:t>
      </w:r>
      <w:r w:rsidRPr="00593EF3">
        <w:rPr>
          <w:rFonts w:ascii="Palatino Linotype" w:eastAsia="Palatino Linotype" w:hAnsi="Palatino Linotype" w:cs="Palatino Linotype"/>
          <w:b/>
          <w:bCs/>
          <w:i/>
          <w:iCs/>
          <w:sz w:val="22"/>
          <w:szCs w:val="22"/>
        </w:rPr>
        <w:t>Artículo 186</w:t>
      </w:r>
      <w:r w:rsidRPr="00593EF3">
        <w:rPr>
          <w:rFonts w:ascii="Palatino Linotype" w:eastAsia="Palatino Linotype" w:hAnsi="Palatino Linotype" w:cs="Palatino Linotype"/>
          <w:i/>
          <w:iCs/>
          <w:sz w:val="22"/>
          <w:szCs w:val="22"/>
        </w:rPr>
        <w:t xml:space="preserve">. Las resoluciones del Instituto podrán: </w:t>
      </w:r>
    </w:p>
    <w:p w14:paraId="57006CFC" w14:textId="77777777" w:rsidR="00185260" w:rsidRPr="00593EF3" w:rsidRDefault="00A7275D">
      <w:pPr>
        <w:tabs>
          <w:tab w:val="left" w:pos="993"/>
        </w:tabs>
        <w:spacing w:before="120" w:after="120"/>
        <w:ind w:left="1134" w:right="902"/>
        <w:jc w:val="both"/>
        <w:rPr>
          <w:rFonts w:ascii="Palatino Linotype" w:eastAsia="Palatino Linotype" w:hAnsi="Palatino Linotype" w:cs="Palatino Linotype"/>
          <w:b/>
          <w:bCs/>
          <w:i/>
          <w:iCs/>
          <w:sz w:val="22"/>
          <w:szCs w:val="22"/>
          <w:u w:val="single"/>
        </w:rPr>
      </w:pPr>
      <w:r w:rsidRPr="00593EF3">
        <w:rPr>
          <w:rFonts w:ascii="Palatino Linotype" w:eastAsia="Palatino Linotype" w:hAnsi="Palatino Linotype" w:cs="Palatino Linotype"/>
          <w:b/>
          <w:bCs/>
          <w:i/>
          <w:iCs/>
          <w:sz w:val="22"/>
          <w:szCs w:val="22"/>
        </w:rPr>
        <w:t>I.</w:t>
      </w:r>
      <w:r w:rsidRPr="00593EF3">
        <w:rPr>
          <w:rFonts w:ascii="Palatino Linotype" w:eastAsia="Palatino Linotype" w:hAnsi="Palatino Linotype" w:cs="Palatino Linotype"/>
          <w:i/>
          <w:iCs/>
          <w:sz w:val="22"/>
          <w:szCs w:val="22"/>
        </w:rPr>
        <w:t xml:space="preserve"> Desechar o sobreseer el recurso;</w:t>
      </w:r>
      <w:r w:rsidRPr="00593EF3">
        <w:rPr>
          <w:rFonts w:ascii="Palatino Linotype" w:eastAsia="Palatino Linotype" w:hAnsi="Palatino Linotype" w:cs="Palatino Linotype"/>
          <w:b/>
          <w:bCs/>
          <w:i/>
          <w:iCs/>
          <w:sz w:val="22"/>
          <w:szCs w:val="22"/>
          <w:u w:val="single"/>
        </w:rPr>
        <w:t>”</w:t>
      </w:r>
    </w:p>
    <w:p w14:paraId="4661E5E6" w14:textId="77777777" w:rsidR="00185260" w:rsidRPr="00593EF3" w:rsidRDefault="00A7275D">
      <w:pPr>
        <w:spacing w:before="240" w:after="240" w:line="360" w:lineRule="auto"/>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sz w:val="22"/>
          <w:szCs w:val="22"/>
        </w:rPr>
        <w:t xml:space="preserve">Al respecto, no obsta mencionar que, de acuerdo con el procesalista Niceto Alcalá-Zamora y Castillo en su obra </w:t>
      </w:r>
      <w:r w:rsidRPr="00593EF3">
        <w:rPr>
          <w:rFonts w:ascii="Palatino Linotype" w:eastAsia="Palatino Linotype" w:hAnsi="Palatino Linotype" w:cs="Palatino Linotype"/>
          <w:i/>
          <w:iCs/>
          <w:sz w:val="22"/>
          <w:szCs w:val="22"/>
        </w:rPr>
        <w:t>“Cuestiones de Terminología Procesal”</w:t>
      </w:r>
      <w:r w:rsidRPr="00593EF3">
        <w:rPr>
          <w:rFonts w:ascii="Palatino Linotype" w:eastAsia="Palatino Linotype" w:hAnsi="Palatino Linotype" w:cs="Palatino Linotype"/>
          <w:sz w:val="22"/>
          <w:szCs w:val="22"/>
        </w:rPr>
        <w:t xml:space="preserve">, el sobreseimiento es </w:t>
      </w:r>
      <w:r w:rsidRPr="00593EF3">
        <w:rPr>
          <w:rFonts w:ascii="Palatino Linotype" w:eastAsia="Palatino Linotype" w:hAnsi="Palatino Linotype" w:cs="Palatino Linotype"/>
          <w:i/>
          <w:iCs/>
          <w:sz w:val="22"/>
          <w:szCs w:val="22"/>
        </w:rPr>
        <w:t>“...una resolución en forma de auto, que produce la suspensión indefinida del procedimiento penal, o que pone fin al proceso, impidiendo en ambos casos, mientras subsista, la apertura del plenario o que en él se pronuncie sentencia...”</w:t>
      </w:r>
    </w:p>
    <w:p w14:paraId="34BD870A"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Y, por su parte, Eduardo Pallares, en su artículo </w:t>
      </w:r>
      <w:r w:rsidRPr="00593EF3">
        <w:rPr>
          <w:rFonts w:ascii="Palatino Linotype" w:eastAsia="Palatino Linotype" w:hAnsi="Palatino Linotype" w:cs="Palatino Linotype"/>
          <w:i/>
          <w:iCs/>
          <w:sz w:val="22"/>
          <w:szCs w:val="22"/>
        </w:rPr>
        <w:t>“La caducidad y el sobreseimiento en el amparo”</w:t>
      </w:r>
      <w:r w:rsidRPr="00593EF3">
        <w:rPr>
          <w:rFonts w:ascii="Palatino Linotype" w:eastAsia="Palatino Linotype" w:hAnsi="Palatino Linotype" w:cs="Palatino Linotype"/>
          <w:sz w:val="22"/>
          <w:szCs w:val="22"/>
        </w:rPr>
        <w:t xml:space="preserve">, cita la definición de Aguilera Paz, aduciendo que se </w:t>
      </w:r>
      <w:r w:rsidRPr="00593EF3">
        <w:rPr>
          <w:rFonts w:ascii="Palatino Linotype" w:eastAsia="Palatino Linotype" w:hAnsi="Palatino Linotype" w:cs="Palatino Linotype"/>
          <w:i/>
          <w:iCs/>
          <w:sz w:val="22"/>
          <w:szCs w:val="22"/>
        </w:rPr>
        <w:t>“...entiende por sobreseimiento en el tecnicismo forense, el hecho de cesar en el procedimiento o curso de la causa, por no existir méritos bastantes para entrar en un juicio o para entablar la contienda judicial que debe ser objeto del mismo...”</w:t>
      </w:r>
      <w:r w:rsidRPr="00593EF3">
        <w:rPr>
          <w:rFonts w:ascii="Palatino Linotype" w:eastAsia="Palatino Linotype" w:hAnsi="Palatino Linotype" w:cs="Palatino Linotype"/>
          <w:sz w:val="22"/>
          <w:szCs w:val="22"/>
        </w:rPr>
        <w:t>. Asimismo señala que existe el sobreseimiento provisional y el definitivo</w:t>
      </w:r>
      <w:r w:rsidRPr="00593EF3">
        <w:rPr>
          <w:rFonts w:ascii="Palatino Linotype" w:eastAsia="Palatino Linotype" w:hAnsi="Palatino Linotype" w:cs="Palatino Linotype"/>
          <w:i/>
          <w:iCs/>
          <w:sz w:val="22"/>
          <w:szCs w:val="22"/>
        </w:rPr>
        <w:t>: “...el definitivo es una verdadera sentencia que pone fin al juicio, y que una vez dictada, produce cosa juzgada, mientras que el provisorio tiene por efectos suspender la prosecución de la causa...”</w:t>
      </w:r>
    </w:p>
    <w:p w14:paraId="65F26658"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Así, para la doctrina el sobreseimiento provoca que un procedimiento se suspenda o se resuelva en definitiva </w:t>
      </w:r>
      <w:r w:rsidRPr="00593EF3">
        <w:rPr>
          <w:rFonts w:ascii="Palatino Linotype" w:eastAsia="Palatino Linotype" w:hAnsi="Palatino Linotype" w:cs="Palatino Linotype"/>
          <w:b/>
          <w:bCs/>
          <w:sz w:val="22"/>
          <w:szCs w:val="22"/>
          <w:u w:val="single"/>
        </w:rPr>
        <w:t>sin que se entre al estudio de los agravios o motivos de inconformidad</w:t>
      </w:r>
      <w:r w:rsidRPr="00593EF3">
        <w:rPr>
          <w:rFonts w:ascii="Palatino Linotype" w:eastAsia="Palatino Linotype" w:hAnsi="Palatino Linotype" w:cs="Palatino Linotype"/>
          <w:b/>
          <w:bCs/>
          <w:sz w:val="22"/>
          <w:szCs w:val="22"/>
        </w:rPr>
        <w:t xml:space="preserve">. </w:t>
      </w:r>
      <w:r w:rsidRPr="00593EF3">
        <w:rPr>
          <w:rFonts w:ascii="Palatino Linotype" w:eastAsia="Palatino Linotype" w:hAnsi="Palatino Linotype" w:cs="Palatino Linotype"/>
          <w:sz w:val="22"/>
          <w:szCs w:val="22"/>
        </w:rPr>
        <w:t>Este mismo criterio es compartido por el más alto tribunal del país en múltiples jurisprudencias, por lo que a continuación se agrega una de ellas que sirve como orientador en esta resolución:</w:t>
      </w:r>
    </w:p>
    <w:p w14:paraId="1F4D2466" w14:textId="77777777" w:rsidR="00185260" w:rsidRPr="00593EF3" w:rsidRDefault="00A7275D">
      <w:pPr>
        <w:spacing w:before="240" w:after="240"/>
        <w:ind w:left="851" w:right="902"/>
        <w:jc w:val="both"/>
        <w:rPr>
          <w:rFonts w:ascii="Palatino Linotype" w:eastAsia="Palatino Linotype" w:hAnsi="Palatino Linotype" w:cs="Palatino Linotype"/>
          <w:i/>
          <w:iCs/>
          <w:sz w:val="22"/>
          <w:szCs w:val="22"/>
        </w:rPr>
      </w:pPr>
      <w:r w:rsidRPr="00593EF3">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 El sobreseimiento</w:t>
      </w:r>
      <w:r w:rsidRPr="00593EF3">
        <w:rPr>
          <w:rFonts w:ascii="Palatino Linotype" w:eastAsia="Palatino Linotype" w:hAnsi="Palatino Linotype" w:cs="Palatino Linotype"/>
          <w:i/>
          <w:iCs/>
          <w:sz w:val="22"/>
          <w:szCs w:val="22"/>
        </w:rPr>
        <w:t xml:space="preserve"> en el juicio de amparo directo </w:t>
      </w:r>
      <w:r w:rsidRPr="00593EF3">
        <w:rPr>
          <w:rFonts w:ascii="Palatino Linotype" w:eastAsia="Palatino Linotype" w:hAnsi="Palatino Linotype" w:cs="Palatino Linotype"/>
          <w:b/>
          <w:bCs/>
          <w:i/>
          <w:iCs/>
          <w:sz w:val="22"/>
          <w:szCs w:val="22"/>
        </w:rPr>
        <w:t>provoca la terminación de la controversia planteada</w:t>
      </w:r>
      <w:r w:rsidRPr="00593EF3">
        <w:rPr>
          <w:rFonts w:ascii="Palatino Linotype" w:eastAsia="Palatino Linotype" w:hAnsi="Palatino Linotype" w:cs="Palatino Linotype"/>
          <w:i/>
          <w:iCs/>
          <w:sz w:val="22"/>
          <w:szCs w:val="22"/>
        </w:rPr>
        <w:t xml:space="preserve"> por el quejoso en la demanda de amparo</w:t>
      </w:r>
      <w:r w:rsidRPr="00593EF3">
        <w:rPr>
          <w:rFonts w:ascii="Palatino Linotype" w:eastAsia="Palatino Linotype" w:hAnsi="Palatino Linotype" w:cs="Palatino Linotype"/>
          <w:b/>
          <w:bCs/>
          <w:i/>
          <w:iCs/>
          <w:sz w:val="22"/>
          <w:szCs w:val="22"/>
        </w:rPr>
        <w:t>, sin hacer un pronunciamiento de fondo sobre la legalidad o ilegalidad de la sentencia reclamada</w:t>
      </w:r>
      <w:r w:rsidRPr="00593EF3">
        <w:rPr>
          <w:rFonts w:ascii="Palatino Linotype" w:eastAsia="Palatino Linotype" w:hAnsi="Palatino Linotype" w:cs="Palatino Linotype"/>
          <w:i/>
          <w:iCs/>
          <w:sz w:val="22"/>
          <w:szCs w:val="22"/>
        </w:rPr>
        <w:t xml:space="preserve">. </w:t>
      </w:r>
      <w:r w:rsidRPr="00593EF3">
        <w:rPr>
          <w:rFonts w:ascii="Palatino Linotype" w:eastAsia="Palatino Linotype" w:hAnsi="Palatino Linotype" w:cs="Palatino Linotype"/>
          <w:b/>
          <w:bCs/>
          <w:i/>
          <w:iCs/>
          <w:sz w:val="22"/>
          <w:szCs w:val="22"/>
        </w:rPr>
        <w:t xml:space="preserve">Por consiguiente, si al sobreseerse en el juicio de amparo </w:t>
      </w:r>
      <w:r w:rsidRPr="00593EF3">
        <w:rPr>
          <w:rFonts w:ascii="Palatino Linotype" w:eastAsia="Palatino Linotype" w:hAnsi="Palatino Linotype" w:cs="Palatino Linotype"/>
          <w:b/>
          <w:bCs/>
          <w:i/>
          <w:iCs/>
          <w:sz w:val="22"/>
          <w:szCs w:val="22"/>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593EF3">
        <w:rPr>
          <w:rFonts w:ascii="Palatino Linotype" w:eastAsia="Palatino Linotype" w:hAnsi="Palatino Linotype" w:cs="Palatino Linotype"/>
          <w:i/>
          <w:iCs/>
          <w:sz w:val="22"/>
          <w:szCs w:val="22"/>
        </w:rPr>
        <w:t>.”</w:t>
      </w:r>
    </w:p>
    <w:p w14:paraId="6D7A1C24"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Así, con fundamento en lo prescrito en los artículos 5 párrafos cuadragésimo cuarto, cuadragésimo quinto y cuadragésimo sexto, de la Constitución Política del Estado Libre y Soberano de México; transitorio Cuarto del Decreto número 198 de la “LXII” Legislatura del Estado de México; 2, fracción II; 29, 36 fracciones I y II; 176, 178, 181, 185 y 186 fracción II de la Ley de Transparencia y Acceso a la Información Pública del Estado de México y Municipios, este Pleno:</w:t>
      </w:r>
    </w:p>
    <w:p w14:paraId="00968F09" w14:textId="77777777" w:rsidR="00185260" w:rsidRPr="00593EF3" w:rsidRDefault="00A7275D">
      <w:pPr>
        <w:pBdr>
          <w:top w:val="nil"/>
          <w:left w:val="nil"/>
          <w:bottom w:val="nil"/>
          <w:right w:val="nil"/>
          <w:between w:val="nil"/>
        </w:pBdr>
        <w:spacing w:before="240" w:after="240" w:line="360" w:lineRule="auto"/>
        <w:jc w:val="center"/>
        <w:rPr>
          <w:rFonts w:ascii="Palatino Linotype" w:eastAsia="Palatino Linotype" w:hAnsi="Palatino Linotype" w:cs="Palatino Linotype"/>
          <w:b/>
          <w:bCs/>
          <w:sz w:val="22"/>
          <w:szCs w:val="22"/>
        </w:rPr>
      </w:pPr>
      <w:r w:rsidRPr="00593EF3">
        <w:rPr>
          <w:rFonts w:ascii="Palatino Linotype" w:eastAsia="Palatino Linotype" w:hAnsi="Palatino Linotype" w:cs="Palatino Linotype"/>
          <w:b/>
          <w:bCs/>
          <w:sz w:val="22"/>
          <w:szCs w:val="22"/>
        </w:rPr>
        <w:t>III. R E S U E L V E</w:t>
      </w:r>
    </w:p>
    <w:p w14:paraId="2AFA0CC9" w14:textId="77777777" w:rsidR="00185260" w:rsidRPr="00593EF3" w:rsidRDefault="00A7275D">
      <w:pPr>
        <w:spacing w:before="160" w:line="360" w:lineRule="auto"/>
        <w:jc w:val="both"/>
        <w:rPr>
          <w:rFonts w:ascii="Palatino Linotype" w:eastAsia="Palatino Linotype" w:hAnsi="Palatino Linotype" w:cs="Palatino Linotype"/>
          <w:b/>
          <w:bCs/>
          <w:sz w:val="22"/>
          <w:szCs w:val="22"/>
        </w:rPr>
      </w:pPr>
      <w:bookmarkStart w:id="7" w:name="_heading=h.lnxbz9" w:colFirst="0" w:colLast="0"/>
      <w:bookmarkEnd w:id="7"/>
      <w:r w:rsidRPr="00593EF3">
        <w:rPr>
          <w:rFonts w:ascii="Palatino Linotype" w:eastAsia="Palatino Linotype" w:hAnsi="Palatino Linotype" w:cs="Palatino Linotype"/>
          <w:b/>
          <w:bCs/>
          <w:sz w:val="22"/>
          <w:szCs w:val="22"/>
        </w:rPr>
        <w:t xml:space="preserve">Primero. </w:t>
      </w:r>
      <w:r w:rsidRPr="00593EF3">
        <w:rPr>
          <w:rFonts w:ascii="Palatino Linotype" w:eastAsia="Palatino Linotype" w:hAnsi="Palatino Linotype" w:cs="Palatino Linotype"/>
          <w:sz w:val="22"/>
          <w:szCs w:val="22"/>
        </w:rPr>
        <w:t>Se</w:t>
      </w:r>
      <w:r w:rsidRPr="00593EF3">
        <w:rPr>
          <w:rFonts w:ascii="Palatino Linotype" w:eastAsia="Palatino Linotype" w:hAnsi="Palatino Linotype" w:cs="Palatino Linotype"/>
          <w:b/>
          <w:bCs/>
          <w:sz w:val="22"/>
          <w:szCs w:val="22"/>
        </w:rPr>
        <w:t xml:space="preserve"> Sobresee </w:t>
      </w:r>
      <w:r w:rsidRPr="00593EF3">
        <w:rPr>
          <w:rFonts w:ascii="Palatino Linotype" w:eastAsia="Palatino Linotype" w:hAnsi="Palatino Linotype" w:cs="Palatino Linotype"/>
          <w:sz w:val="22"/>
          <w:szCs w:val="22"/>
        </w:rPr>
        <w:t>por</w:t>
      </w:r>
      <w:r w:rsidRPr="00593EF3">
        <w:rPr>
          <w:rFonts w:ascii="Palatino Linotype" w:eastAsia="Palatino Linotype" w:hAnsi="Palatino Linotype" w:cs="Palatino Linotype"/>
          <w:b/>
          <w:bCs/>
          <w:sz w:val="22"/>
          <w:szCs w:val="22"/>
        </w:rPr>
        <w:t xml:space="preserve"> improcedente </w:t>
      </w:r>
      <w:r w:rsidRPr="00593EF3">
        <w:rPr>
          <w:rFonts w:ascii="Palatino Linotype" w:eastAsia="Palatino Linotype" w:hAnsi="Palatino Linotype" w:cs="Palatino Linotype"/>
          <w:sz w:val="22"/>
          <w:szCs w:val="22"/>
        </w:rPr>
        <w:t xml:space="preserve">el recurso de revisión número </w:t>
      </w:r>
      <w:r w:rsidRPr="00593EF3">
        <w:rPr>
          <w:rFonts w:ascii="Palatino Linotype" w:eastAsia="Palatino Linotype" w:hAnsi="Palatino Linotype" w:cs="Palatino Linotype"/>
          <w:b/>
          <w:bCs/>
          <w:sz w:val="22"/>
          <w:szCs w:val="22"/>
        </w:rPr>
        <w:t xml:space="preserve">14154/INFOEM/IP/RR/2025, </w:t>
      </w:r>
      <w:r w:rsidRPr="00593EF3">
        <w:rPr>
          <w:rFonts w:ascii="Palatino Linotype" w:eastAsia="Palatino Linotype" w:hAnsi="Palatino Linotype" w:cs="Palatino Linotype"/>
          <w:sz w:val="22"/>
          <w:szCs w:val="22"/>
        </w:rPr>
        <w:t xml:space="preserve">de conformidad con lo dispuesto en la fracción IV del artículo 192, en relación con la fracción III del artículo 191, ambos, de la Ley de Transparencia y Acceso a la Información Pública del Estado de México y Municipios, en términos del Considerando </w:t>
      </w:r>
      <w:r w:rsidRPr="00593EF3">
        <w:rPr>
          <w:rFonts w:ascii="Palatino Linotype" w:eastAsia="Palatino Linotype" w:hAnsi="Palatino Linotype" w:cs="Palatino Linotype"/>
          <w:b/>
          <w:bCs/>
          <w:sz w:val="22"/>
          <w:szCs w:val="22"/>
        </w:rPr>
        <w:t>Tercero</w:t>
      </w:r>
      <w:r w:rsidRPr="00593EF3">
        <w:rPr>
          <w:rFonts w:ascii="Palatino Linotype" w:eastAsia="Palatino Linotype" w:hAnsi="Palatino Linotype" w:cs="Palatino Linotype"/>
          <w:sz w:val="22"/>
          <w:szCs w:val="22"/>
        </w:rPr>
        <w:t xml:space="preserve"> de la presente resolución.</w:t>
      </w:r>
    </w:p>
    <w:p w14:paraId="55C93D8E" w14:textId="77777777" w:rsidR="00185260" w:rsidRPr="00593EF3" w:rsidRDefault="00A7275D">
      <w:pP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 xml:space="preserve"> </w:t>
      </w:r>
      <w:r w:rsidRPr="00593EF3">
        <w:rPr>
          <w:rFonts w:ascii="Palatino Linotype" w:eastAsia="Palatino Linotype" w:hAnsi="Palatino Linotype" w:cs="Palatino Linotype"/>
          <w:b/>
          <w:bCs/>
          <w:sz w:val="22"/>
          <w:szCs w:val="22"/>
        </w:rPr>
        <w:t xml:space="preserve">Segundo. Notifíquese, </w:t>
      </w:r>
      <w:r w:rsidRPr="00593EF3">
        <w:rPr>
          <w:rFonts w:ascii="Palatino Linotype" w:eastAsia="Palatino Linotype" w:hAnsi="Palatino Linotype" w:cs="Palatino Linotype"/>
          <w:sz w:val="22"/>
          <w:szCs w:val="22"/>
        </w:rPr>
        <w:t>vía</w:t>
      </w:r>
      <w:r w:rsidRPr="00593EF3">
        <w:rPr>
          <w:rFonts w:ascii="Palatino Linotype" w:eastAsia="Palatino Linotype" w:hAnsi="Palatino Linotype" w:cs="Palatino Linotype"/>
          <w:b/>
          <w:bCs/>
          <w:sz w:val="22"/>
          <w:szCs w:val="22"/>
        </w:rPr>
        <w:t xml:space="preserve"> SAIMEX</w:t>
      </w:r>
      <w:r w:rsidRPr="00593EF3">
        <w:rPr>
          <w:rFonts w:ascii="Palatino Linotype" w:eastAsia="Palatino Linotype" w:hAnsi="Palatino Linotype" w:cs="Palatino Linotype"/>
          <w:b/>
          <w:bCs/>
          <w:i/>
          <w:iCs/>
          <w:sz w:val="22"/>
          <w:szCs w:val="22"/>
        </w:rPr>
        <w:t xml:space="preserve">, </w:t>
      </w:r>
      <w:r w:rsidRPr="00593EF3">
        <w:rPr>
          <w:rFonts w:ascii="Palatino Linotype" w:eastAsia="Palatino Linotype" w:hAnsi="Palatino Linotype" w:cs="Palatino Linotype"/>
          <w:sz w:val="22"/>
          <w:szCs w:val="22"/>
        </w:rPr>
        <w:t>la presente resolución</w:t>
      </w:r>
      <w:r w:rsidRPr="00593EF3">
        <w:rPr>
          <w:rFonts w:ascii="Palatino Linotype" w:eastAsia="Palatino Linotype" w:hAnsi="Palatino Linotype" w:cs="Palatino Linotype"/>
          <w:b/>
          <w:bCs/>
          <w:i/>
          <w:iCs/>
          <w:sz w:val="22"/>
          <w:szCs w:val="22"/>
        </w:rPr>
        <w:t xml:space="preserve"> </w:t>
      </w:r>
      <w:r w:rsidRPr="00593EF3">
        <w:rPr>
          <w:rFonts w:ascii="Palatino Linotype" w:eastAsia="Palatino Linotype" w:hAnsi="Palatino Linotype" w:cs="Palatino Linotype"/>
          <w:sz w:val="22"/>
          <w:szCs w:val="22"/>
        </w:rPr>
        <w:t xml:space="preserve">a la persona Titular de la Unidad de Transparencia del </w:t>
      </w:r>
      <w:r w:rsidRPr="00593EF3">
        <w:rPr>
          <w:rFonts w:ascii="Palatino Linotype" w:eastAsia="Palatino Linotype" w:hAnsi="Palatino Linotype" w:cs="Palatino Linotype"/>
          <w:b/>
          <w:bCs/>
          <w:sz w:val="22"/>
          <w:szCs w:val="22"/>
        </w:rPr>
        <w:t>Sujeto Obligado</w:t>
      </w:r>
      <w:r w:rsidRPr="00593EF3">
        <w:rPr>
          <w:rFonts w:ascii="Palatino Linotype" w:eastAsia="Palatino Linotype" w:hAnsi="Palatino Linotype" w:cs="Palatino Linotype"/>
          <w:sz w:val="22"/>
          <w:szCs w:val="22"/>
        </w:rPr>
        <w:t xml:space="preserve"> para su conocimiento, en términos del artículo 189 de la Ley de Transparencia y Acceso a la Información Pública del Estado de México y Municipios.</w:t>
      </w:r>
    </w:p>
    <w:p w14:paraId="244B6151" w14:textId="77777777" w:rsidR="00185260" w:rsidRPr="00593EF3" w:rsidRDefault="00A7275D">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b/>
          <w:bCs/>
          <w:sz w:val="22"/>
          <w:szCs w:val="22"/>
        </w:rPr>
        <w:t xml:space="preserve">Tercero. Notifíquese, </w:t>
      </w:r>
      <w:r w:rsidRPr="00593EF3">
        <w:rPr>
          <w:rFonts w:ascii="Palatino Linotype" w:eastAsia="Palatino Linotype" w:hAnsi="Palatino Linotype" w:cs="Palatino Linotype"/>
          <w:sz w:val="22"/>
          <w:szCs w:val="22"/>
        </w:rPr>
        <w:t>vía</w:t>
      </w:r>
      <w:r w:rsidRPr="00593EF3">
        <w:rPr>
          <w:rFonts w:ascii="Palatino Linotype" w:eastAsia="Palatino Linotype" w:hAnsi="Palatino Linotype" w:cs="Palatino Linotype"/>
          <w:b/>
          <w:bCs/>
          <w:sz w:val="22"/>
          <w:szCs w:val="22"/>
        </w:rPr>
        <w:t xml:space="preserve"> SAIMEX</w:t>
      </w:r>
      <w:r w:rsidRPr="00593EF3">
        <w:rPr>
          <w:rFonts w:ascii="Palatino Linotype" w:eastAsia="Palatino Linotype" w:hAnsi="Palatino Linotype" w:cs="Palatino Linotype"/>
          <w:sz w:val="22"/>
          <w:szCs w:val="22"/>
        </w:rPr>
        <w:t>, a</w:t>
      </w:r>
      <w:r w:rsidRPr="00593EF3">
        <w:rPr>
          <w:rFonts w:ascii="Palatino Linotype" w:eastAsia="Palatino Linotype" w:hAnsi="Palatino Linotype" w:cs="Palatino Linotype"/>
          <w:b/>
          <w:bCs/>
          <w:sz w:val="22"/>
          <w:szCs w:val="22"/>
        </w:rPr>
        <w:t xml:space="preserve"> la parte</w:t>
      </w:r>
      <w:r w:rsidRPr="00593EF3">
        <w:rPr>
          <w:rFonts w:ascii="Palatino Linotype" w:eastAsia="Palatino Linotype" w:hAnsi="Palatino Linotype" w:cs="Palatino Linotype"/>
          <w:sz w:val="22"/>
          <w:szCs w:val="22"/>
        </w:rPr>
        <w:t xml:space="preserve"> </w:t>
      </w:r>
      <w:r w:rsidRPr="00593EF3">
        <w:rPr>
          <w:rFonts w:ascii="Palatino Linotype" w:eastAsia="Palatino Linotype" w:hAnsi="Palatino Linotype" w:cs="Palatino Linotype"/>
          <w:b/>
          <w:bCs/>
          <w:sz w:val="22"/>
          <w:szCs w:val="22"/>
        </w:rPr>
        <w:t>Recurrente</w:t>
      </w:r>
      <w:r w:rsidRPr="00593EF3">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vía el Juicio de Amparo en los términos de las leyes aplicables.</w:t>
      </w:r>
    </w:p>
    <w:p w14:paraId="7AE131CB" w14:textId="77777777" w:rsidR="00185260" w:rsidRPr="007316C7" w:rsidRDefault="00A7275D">
      <w:pPr>
        <w:tabs>
          <w:tab w:val="left" w:pos="8647"/>
        </w:tabs>
        <w:spacing w:before="240" w:after="240" w:line="360" w:lineRule="auto"/>
        <w:ind w:right="51"/>
        <w:jc w:val="both"/>
        <w:rPr>
          <w:rFonts w:ascii="Palatino Linotype" w:eastAsia="Palatino Linotype" w:hAnsi="Palatino Linotype" w:cs="Palatino Linotype"/>
          <w:sz w:val="22"/>
          <w:szCs w:val="22"/>
        </w:rPr>
      </w:pPr>
      <w:r w:rsidRPr="00593EF3">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2C4042FE"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3856C2B2" w14:textId="77777777" w:rsidR="00185260" w:rsidRPr="007316C7" w:rsidRDefault="00185260">
      <w:pPr>
        <w:spacing w:line="360" w:lineRule="auto"/>
        <w:jc w:val="center"/>
        <w:rPr>
          <w:rFonts w:ascii="Palatino Linotype" w:eastAsia="Palatino Linotype" w:hAnsi="Palatino Linotype" w:cs="Palatino Linotype"/>
          <w:sz w:val="22"/>
          <w:szCs w:val="22"/>
        </w:rPr>
      </w:pPr>
    </w:p>
    <w:p w14:paraId="7377F7E2"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5C6D9568"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73099DCE"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52F7DEAC"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0A2649A0"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79E32A21"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1AD43E3C"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5B643C37"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2F670191"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1DB3ED9F"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1AAFAD5A"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609A1F33"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13ABC8A3" w14:textId="77777777" w:rsidR="00185260" w:rsidRPr="007316C7" w:rsidRDefault="00185260">
      <w:pPr>
        <w:spacing w:line="360" w:lineRule="auto"/>
        <w:jc w:val="both"/>
        <w:rPr>
          <w:rFonts w:ascii="Palatino Linotype" w:eastAsia="Palatino Linotype" w:hAnsi="Palatino Linotype" w:cs="Palatino Linotype"/>
          <w:sz w:val="22"/>
          <w:szCs w:val="22"/>
        </w:rPr>
      </w:pPr>
    </w:p>
    <w:p w14:paraId="403CD847" w14:textId="77777777" w:rsidR="00185260" w:rsidRPr="007316C7" w:rsidRDefault="00185260">
      <w:pPr>
        <w:spacing w:line="360" w:lineRule="auto"/>
        <w:jc w:val="both"/>
        <w:rPr>
          <w:rFonts w:ascii="Palatino Linotype" w:eastAsia="Palatino Linotype" w:hAnsi="Palatino Linotype" w:cs="Palatino Linotype"/>
          <w:sz w:val="22"/>
          <w:szCs w:val="22"/>
        </w:rPr>
      </w:pPr>
    </w:p>
    <w:sectPr w:rsidR="00185260" w:rsidRPr="007316C7">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4D777" w14:textId="77777777" w:rsidR="001B49C0" w:rsidRDefault="001B49C0">
      <w:r>
        <w:separator/>
      </w:r>
    </w:p>
  </w:endnote>
  <w:endnote w:type="continuationSeparator" w:id="0">
    <w:p w14:paraId="60170CAB" w14:textId="77777777" w:rsidR="001B49C0" w:rsidRDefault="001B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249F39-1DAE-4C9B-9EA9-0FAE40D74890}"/>
    <w:embedBold r:id="rId2" w:fontKey="{7ADF21D9-932C-413F-8668-41E5C7A4CD6F}"/>
  </w:font>
  <w:font w:name="Cambria">
    <w:panose1 w:val="02040503050406030204"/>
    <w:charset w:val="00"/>
    <w:family w:val="roman"/>
    <w:pitch w:val="variable"/>
    <w:sig w:usb0="E00006FF" w:usb1="420024FF" w:usb2="02000000" w:usb3="00000000" w:csb0="0000019F" w:csb1="00000000"/>
    <w:embedRegular r:id="rId3" w:fontKey="{48C59DBC-63F3-4C6C-AFCE-17349A8D2A3A}"/>
    <w:embedBold r:id="rId4" w:fontKey="{6A23BEA8-FB75-4E70-8C77-8F65B324BA89}"/>
    <w:embedBoldItalic r:id="rId5" w:fontKey="{B38A7E28-54D5-4517-9D9B-0C0AE8DD798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A1923979-909F-4FB5-932C-1884536A51CD}"/>
  </w:font>
  <w:font w:name="Georgia">
    <w:panose1 w:val="02040502050405020303"/>
    <w:charset w:val="00"/>
    <w:family w:val="roman"/>
    <w:pitch w:val="variable"/>
    <w:sig w:usb0="00000287" w:usb1="00000000" w:usb2="00000000" w:usb3="00000000" w:csb0="0000009F" w:csb1="00000000"/>
    <w:embedItalic r:id="rId7" w:fontKey="{38B06A72-3872-45F6-A0B8-BA46D833423E}"/>
  </w:font>
  <w:font w:name="Palatino Linotype">
    <w:panose1 w:val="02040502050505030304"/>
    <w:charset w:val="00"/>
    <w:family w:val="roman"/>
    <w:pitch w:val="variable"/>
    <w:sig w:usb0="E0000287" w:usb1="40000013" w:usb2="00000000" w:usb3="00000000" w:csb0="0000019F" w:csb1="00000000"/>
    <w:embedRegular r:id="rId8" w:fontKey="{5F9B8D81-21E3-4D20-8F30-2B60A00214F9}"/>
    <w:embedBold r:id="rId9" w:fontKey="{6CF598DD-33E4-4C7F-9E37-D8BE9CB336D6}"/>
    <w:embedItalic r:id="rId10" w:fontKey="{10B3269E-1E3E-4552-9482-DB4EE6DC0723}"/>
    <w:embedBoldItalic r:id="rId11" w:fontKey="{D29BC4B1-292D-4F34-8C22-C67CCF4594E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EAA6" w14:textId="2698B2B6" w:rsidR="00185260" w:rsidRDefault="00A7275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43C59">
      <w:rPr>
        <w:rFonts w:ascii="Palatino Linotype" w:eastAsia="Palatino Linotype" w:hAnsi="Palatino Linotype" w:cs="Palatino Linotype"/>
        <w:b/>
        <w:bCs/>
        <w:noProof/>
        <w:color w:val="000000"/>
        <w:sz w:val="20"/>
        <w:szCs w:val="20"/>
      </w:rPr>
      <w:t>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43C59">
      <w:rPr>
        <w:rFonts w:ascii="Palatino Linotype" w:eastAsia="Palatino Linotype" w:hAnsi="Palatino Linotype" w:cs="Palatino Linotype"/>
        <w:b/>
        <w:bCs/>
        <w:noProof/>
        <w:color w:val="000000"/>
        <w:sz w:val="20"/>
        <w:szCs w:val="20"/>
      </w:rPr>
      <w:t>13</w:t>
    </w:r>
    <w:r>
      <w:rPr>
        <w:rFonts w:ascii="Palatino Linotype" w:eastAsia="Palatino Linotype" w:hAnsi="Palatino Linotype" w:cs="Palatino Linotype"/>
        <w:b/>
        <w:bCs/>
        <w:color w:val="000000"/>
        <w:sz w:val="20"/>
        <w:szCs w:val="20"/>
      </w:rPr>
      <w:fldChar w:fldCharType="end"/>
    </w:r>
  </w:p>
  <w:p w14:paraId="4F46A404" w14:textId="77777777" w:rsidR="00185260" w:rsidRDefault="0018526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E318E" w14:textId="3378EFE7" w:rsidR="00185260" w:rsidRDefault="00A7275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43C59">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43C59">
      <w:rPr>
        <w:rFonts w:ascii="Palatino Linotype" w:eastAsia="Palatino Linotype" w:hAnsi="Palatino Linotype" w:cs="Palatino Linotype"/>
        <w:b/>
        <w:bCs/>
        <w:noProof/>
        <w:color w:val="000000"/>
        <w:sz w:val="20"/>
        <w:szCs w:val="20"/>
      </w:rPr>
      <w:t>13</w:t>
    </w:r>
    <w:r>
      <w:rPr>
        <w:rFonts w:ascii="Palatino Linotype" w:eastAsia="Palatino Linotype" w:hAnsi="Palatino Linotype" w:cs="Palatino Linotype"/>
        <w:b/>
        <w:bCs/>
        <w:color w:val="000000"/>
        <w:sz w:val="20"/>
        <w:szCs w:val="20"/>
      </w:rPr>
      <w:fldChar w:fldCharType="end"/>
    </w:r>
  </w:p>
  <w:p w14:paraId="67600F64" w14:textId="77777777" w:rsidR="00185260" w:rsidRDefault="0018526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DA50A" w14:textId="77777777" w:rsidR="001B49C0" w:rsidRDefault="001B49C0">
      <w:r>
        <w:separator/>
      </w:r>
    </w:p>
  </w:footnote>
  <w:footnote w:type="continuationSeparator" w:id="0">
    <w:p w14:paraId="1F4DA8F9" w14:textId="77777777" w:rsidR="001B49C0" w:rsidRDefault="001B49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EB89F" w14:textId="77777777" w:rsidR="00185260" w:rsidRDefault="00A7275D">
    <w:pPr>
      <w:rPr>
        <w:rFonts w:ascii="Cambria" w:eastAsia="Cambria" w:hAnsi="Cambria" w:cs="Cambria"/>
        <w:color w:val="000000"/>
      </w:rPr>
    </w:pPr>
    <w:r>
      <w:rPr>
        <w:noProof/>
      </w:rPr>
      <w:drawing>
        <wp:anchor distT="0" distB="0" distL="0" distR="0" simplePos="0" relativeHeight="251658240" behindDoc="1" locked="0" layoutInCell="1" hidden="0" allowOverlap="1" wp14:anchorId="06994EFE" wp14:editId="42780AFD">
          <wp:simplePos x="0" y="0"/>
          <wp:positionH relativeFrom="column">
            <wp:posOffset>-1080088</wp:posOffset>
          </wp:positionH>
          <wp:positionV relativeFrom="paragraph">
            <wp:posOffset>-488257</wp:posOffset>
          </wp:positionV>
          <wp:extent cx="7809865" cy="10165715"/>
          <wp:effectExtent l="0" t="0" r="0" b="0"/>
          <wp:wrapNone/>
          <wp:docPr id="19520825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1"/>
      <w:tblW w:w="5953" w:type="dxa"/>
      <w:tblInd w:w="3261" w:type="dxa"/>
      <w:tblLayout w:type="fixed"/>
      <w:tblLook w:val="0400" w:firstRow="0" w:lastRow="0" w:firstColumn="0" w:lastColumn="0" w:noHBand="0" w:noVBand="1"/>
    </w:tblPr>
    <w:tblGrid>
      <w:gridCol w:w="2489"/>
      <w:gridCol w:w="3464"/>
    </w:tblGrid>
    <w:tr w:rsidR="00185260" w14:paraId="799EE5FF" w14:textId="77777777">
      <w:tc>
        <w:tcPr>
          <w:tcW w:w="2489" w:type="dxa"/>
        </w:tcPr>
        <w:p w14:paraId="070D7712" w14:textId="77777777" w:rsidR="00185260" w:rsidRDefault="00A7275D">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2A9D8FB5" w14:textId="77777777" w:rsidR="00185260" w:rsidRDefault="00A7275D">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14154/INFOEM/IP/RR/2025</w:t>
          </w:r>
        </w:p>
      </w:tc>
    </w:tr>
    <w:tr w:rsidR="00185260" w14:paraId="5E30C877" w14:textId="77777777">
      <w:trPr>
        <w:trHeight w:val="228"/>
      </w:trPr>
      <w:tc>
        <w:tcPr>
          <w:tcW w:w="2489" w:type="dxa"/>
          <w:vAlign w:val="center"/>
        </w:tcPr>
        <w:p w14:paraId="5FEA6045" w14:textId="77777777" w:rsidR="00185260" w:rsidRDefault="00A7275D">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3D7C21FD" w14:textId="77777777" w:rsidR="00185260" w:rsidRDefault="00A7275D">
          <w:pPr>
            <w:ind w:left="-45" w:right="17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185260" w14:paraId="75AB443B" w14:textId="77777777">
      <w:tc>
        <w:tcPr>
          <w:tcW w:w="2489" w:type="dxa"/>
          <w:vAlign w:val="center"/>
        </w:tcPr>
        <w:p w14:paraId="10876A1B" w14:textId="77777777" w:rsidR="00185260" w:rsidRDefault="00A7275D">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35FE3E5D" w14:textId="77777777" w:rsidR="00185260" w:rsidRDefault="00A7275D">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46659274" w14:textId="77777777" w:rsidR="00185260" w:rsidRDefault="00A7275D">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F6622" w14:textId="77777777" w:rsidR="00185260" w:rsidRDefault="00A7275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24A65E7" wp14:editId="4B34082A">
          <wp:simplePos x="0" y="0"/>
          <wp:positionH relativeFrom="column">
            <wp:posOffset>-1080132</wp:posOffset>
          </wp:positionH>
          <wp:positionV relativeFrom="paragraph">
            <wp:posOffset>-369889</wp:posOffset>
          </wp:positionV>
          <wp:extent cx="7809865" cy="10165715"/>
          <wp:effectExtent l="0" t="0" r="0" b="0"/>
          <wp:wrapNone/>
          <wp:docPr id="19520825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2"/>
      <w:tblW w:w="5953" w:type="dxa"/>
      <w:tblInd w:w="3261" w:type="dxa"/>
      <w:tblLayout w:type="fixed"/>
      <w:tblLook w:val="0400" w:firstRow="0" w:lastRow="0" w:firstColumn="0" w:lastColumn="0" w:noHBand="0" w:noVBand="1"/>
    </w:tblPr>
    <w:tblGrid>
      <w:gridCol w:w="2489"/>
      <w:gridCol w:w="3464"/>
    </w:tblGrid>
    <w:tr w:rsidR="00185260" w14:paraId="69892762" w14:textId="77777777">
      <w:tc>
        <w:tcPr>
          <w:tcW w:w="2489" w:type="dxa"/>
        </w:tcPr>
        <w:p w14:paraId="4E0DEF08" w14:textId="77777777" w:rsidR="00185260" w:rsidRDefault="00A7275D">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464" w:type="dxa"/>
          <w:vAlign w:val="center"/>
        </w:tcPr>
        <w:p w14:paraId="0797E718" w14:textId="77777777" w:rsidR="00185260" w:rsidRDefault="00A7275D">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14154/INFOEM/IP/RR/2025</w:t>
          </w:r>
        </w:p>
      </w:tc>
    </w:tr>
    <w:tr w:rsidR="00185260" w14:paraId="374A44CB" w14:textId="77777777">
      <w:tc>
        <w:tcPr>
          <w:tcW w:w="2489" w:type="dxa"/>
        </w:tcPr>
        <w:p w14:paraId="4DB8C620" w14:textId="77777777" w:rsidR="00185260" w:rsidRDefault="00A7275D">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464" w:type="dxa"/>
          <w:vAlign w:val="center"/>
        </w:tcPr>
        <w:p w14:paraId="44958634" w14:textId="77777777" w:rsidR="00185260" w:rsidRDefault="00185260">
          <w:pPr>
            <w:ind w:right="175"/>
            <w:jc w:val="both"/>
            <w:rPr>
              <w:rFonts w:ascii="Palatino Linotype" w:eastAsia="Palatino Linotype" w:hAnsi="Palatino Linotype" w:cs="Palatino Linotype"/>
              <w:b/>
              <w:bCs/>
              <w:sz w:val="22"/>
              <w:szCs w:val="22"/>
              <w:highlight w:val="yellow"/>
            </w:rPr>
          </w:pPr>
        </w:p>
      </w:tc>
    </w:tr>
    <w:tr w:rsidR="00185260" w14:paraId="09F1AB8B" w14:textId="77777777">
      <w:trPr>
        <w:trHeight w:val="228"/>
      </w:trPr>
      <w:tc>
        <w:tcPr>
          <w:tcW w:w="2489" w:type="dxa"/>
          <w:vAlign w:val="center"/>
        </w:tcPr>
        <w:p w14:paraId="373DF9A9" w14:textId="77777777" w:rsidR="00185260" w:rsidRDefault="00A7275D">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464" w:type="dxa"/>
          <w:vAlign w:val="center"/>
        </w:tcPr>
        <w:p w14:paraId="5F9FA108" w14:textId="77777777" w:rsidR="00185260" w:rsidRDefault="00A7275D">
          <w:pPr>
            <w:ind w:left="-45" w:right="17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185260" w14:paraId="07606FC8" w14:textId="77777777">
      <w:tc>
        <w:tcPr>
          <w:tcW w:w="2489" w:type="dxa"/>
          <w:vAlign w:val="center"/>
        </w:tcPr>
        <w:p w14:paraId="174E9BBC" w14:textId="77777777" w:rsidR="00185260" w:rsidRDefault="00A7275D">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464" w:type="dxa"/>
          <w:vAlign w:val="center"/>
        </w:tcPr>
        <w:p w14:paraId="3DB94387" w14:textId="77777777" w:rsidR="00185260" w:rsidRDefault="00A7275D">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19AD080D" w14:textId="77777777" w:rsidR="00185260" w:rsidRDefault="0018526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738C4"/>
    <w:multiLevelType w:val="multilevel"/>
    <w:tmpl w:val="EAA094D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60"/>
    <w:rsid w:val="00185260"/>
    <w:rsid w:val="001B49C0"/>
    <w:rsid w:val="00593EF3"/>
    <w:rsid w:val="007316C7"/>
    <w:rsid w:val="00A7275D"/>
    <w:rsid w:val="00E43C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D8C2"/>
  <w15:docId w15:val="{DDC06121-508A-4A13-8DE1-41E9019A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3">
    <w:name w:val="TableNormal3"/>
    <w:tblPr>
      <w:tblCellMar>
        <w:top w:w="0" w:type="dxa"/>
        <w:left w:w="0" w:type="dxa"/>
        <w:bottom w:w="0" w:type="dxa"/>
        <w:right w:w="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15">
    <w:name w:val="Table Normal15"/>
    <w:tblPr>
      <w:tblCellMar>
        <w:top w:w="0" w:type="dxa"/>
        <w:left w:w="0" w:type="dxa"/>
        <w:bottom w:w="0" w:type="dxa"/>
        <w:right w:w="0" w:type="dxa"/>
      </w:tblCellMar>
    </w:tblPr>
  </w:style>
  <w:style w:type="table" w:customStyle="1" w:styleId="TableNormal14">
    <w:name w:val="Table Normal14"/>
    <w:tblPr>
      <w:tblCellMar>
        <w:top w:w="0" w:type="dxa"/>
        <w:left w:w="0" w:type="dxa"/>
        <w:bottom w:w="0" w:type="dxa"/>
        <w:right w:w="0" w:type="dxa"/>
      </w:tblCellMar>
    </w:tblPr>
  </w:style>
  <w:style w:type="table" w:customStyle="1" w:styleId="TableNormal13">
    <w:name w:val="Table Normal13"/>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6">
    <w:name w:val="Table Normal1"/>
    <w:tblPr>
      <w:tblCellMar>
        <w:top w:w="0" w:type="dxa"/>
        <w:left w:w="0" w:type="dxa"/>
        <w:bottom w:w="0" w:type="dxa"/>
        <w:right w:w="0" w:type="dxa"/>
      </w:tblCellMar>
    </w:tblPr>
  </w:style>
  <w:style w:type="table" w:customStyle="1" w:styleId="47">
    <w:name w:val="47"/>
    <w:basedOn w:val="TableNormal16"/>
    <w:tblPr>
      <w:tblStyleRowBandSize w:val="1"/>
      <w:tblStyleColBandSize w:val="1"/>
      <w:tblCellMar>
        <w:left w:w="115" w:type="dxa"/>
        <w:right w:w="115" w:type="dxa"/>
      </w:tblCellMar>
    </w:tblPr>
  </w:style>
  <w:style w:type="table" w:customStyle="1" w:styleId="46">
    <w:name w:val="46"/>
    <w:basedOn w:val="TableNormal16"/>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45">
    <w:name w:val="45"/>
    <w:basedOn w:val="TableNormal16"/>
    <w:tblPr>
      <w:tblStyleRowBandSize w:val="1"/>
      <w:tblStyleColBandSize w:val="1"/>
      <w:tblCellMar>
        <w:left w:w="115" w:type="dxa"/>
        <w:right w:w="115" w:type="dxa"/>
      </w:tblCellMar>
    </w:tblPr>
  </w:style>
  <w:style w:type="table" w:customStyle="1" w:styleId="44">
    <w:name w:val="44"/>
    <w:basedOn w:val="TableNormal16"/>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43"/>
    <w:basedOn w:val="TableNormal20"/>
    <w:tblPr>
      <w:tblStyleRowBandSize w:val="1"/>
      <w:tblStyleColBandSize w:val="1"/>
      <w:tblCellMar>
        <w:left w:w="115" w:type="dxa"/>
        <w:right w:w="115" w:type="dxa"/>
      </w:tblCellMar>
    </w:tblPr>
  </w:style>
  <w:style w:type="table" w:customStyle="1" w:styleId="42">
    <w:name w:val="42"/>
    <w:basedOn w:val="TableNormal2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41">
    <w:name w:val="41"/>
    <w:basedOn w:val="TableNormal30"/>
    <w:tblPr>
      <w:tblStyleRowBandSize w:val="1"/>
      <w:tblStyleColBandSize w:val="1"/>
      <w:tblCellMar>
        <w:left w:w="108" w:type="dxa"/>
        <w:right w:w="108" w:type="dxa"/>
      </w:tblCellMar>
    </w:tblPr>
  </w:style>
  <w:style w:type="table" w:customStyle="1" w:styleId="40">
    <w:name w:val="40"/>
    <w:basedOn w:val="TableNormal30"/>
    <w:tblPr>
      <w:tblStyleRowBandSize w:val="1"/>
      <w:tblStyleColBandSize w:val="1"/>
      <w:tblCellMar>
        <w:left w:w="108" w:type="dxa"/>
        <w:right w:w="108" w:type="dxa"/>
      </w:tblCellMar>
    </w:tblPr>
  </w:style>
  <w:style w:type="table" w:customStyle="1" w:styleId="39">
    <w:name w:val="39"/>
    <w:basedOn w:val="TableNormal30"/>
    <w:tblPr>
      <w:tblStyleRowBandSize w:val="1"/>
      <w:tblStyleColBandSize w:val="1"/>
      <w:tblCellMar>
        <w:left w:w="108" w:type="dxa"/>
        <w:right w:w="108" w:type="dxa"/>
      </w:tblCellMar>
    </w:tblPr>
  </w:style>
  <w:style w:type="table" w:customStyle="1" w:styleId="38">
    <w:name w:val="38"/>
    <w:basedOn w:val="TableNormal30"/>
    <w:tblPr>
      <w:tblStyleRowBandSize w:val="1"/>
      <w:tblStyleColBandSize w:val="1"/>
      <w:tblCellMar>
        <w:left w:w="108" w:type="dxa"/>
        <w:right w:w="108" w:type="dxa"/>
      </w:tblCellMar>
    </w:tblPr>
  </w:style>
  <w:style w:type="table" w:customStyle="1" w:styleId="37">
    <w:name w:val="37"/>
    <w:basedOn w:val="TableNormal30"/>
    <w:tblPr>
      <w:tblStyleRowBandSize w:val="1"/>
      <w:tblStyleColBandSize w:val="1"/>
      <w:tblCellMar>
        <w:left w:w="108" w:type="dxa"/>
        <w:right w:w="108" w:type="dxa"/>
      </w:tblCellMar>
    </w:tblPr>
  </w:style>
  <w:style w:type="table" w:customStyle="1" w:styleId="36">
    <w:name w:val="36"/>
    <w:basedOn w:val="TableNormal30"/>
    <w:tblPr>
      <w:tblStyleRowBandSize w:val="1"/>
      <w:tblStyleColBandSize w:val="1"/>
      <w:tblCellMar>
        <w:left w:w="115" w:type="dxa"/>
        <w:right w:w="115" w:type="dxa"/>
      </w:tblCellMar>
    </w:tblPr>
  </w:style>
  <w:style w:type="table" w:customStyle="1" w:styleId="35">
    <w:name w:val="35"/>
    <w:basedOn w:val="TableNormal30"/>
    <w:tblPr>
      <w:tblStyleRowBandSize w:val="1"/>
      <w:tblStyleColBandSize w:val="1"/>
      <w:tblCellMar>
        <w:left w:w="115" w:type="dxa"/>
        <w:right w:w="115" w:type="dxa"/>
      </w:tblCellMar>
    </w:tblPr>
  </w:style>
  <w:style w:type="table" w:customStyle="1" w:styleId="34">
    <w:name w:val="34"/>
    <w:basedOn w:val="TableNormal40"/>
    <w:tblPr>
      <w:tblStyleRowBandSize w:val="1"/>
      <w:tblStyleColBandSize w:val="1"/>
      <w:tblCellMar>
        <w:left w:w="108" w:type="dxa"/>
        <w:right w:w="108" w:type="dxa"/>
      </w:tblCellMar>
    </w:tblPr>
  </w:style>
  <w:style w:type="table" w:customStyle="1" w:styleId="33">
    <w:name w:val="33"/>
    <w:basedOn w:val="TableNormal40"/>
    <w:tblPr>
      <w:tblStyleRowBandSize w:val="1"/>
      <w:tblStyleColBandSize w:val="1"/>
      <w:tblCellMar>
        <w:left w:w="115" w:type="dxa"/>
        <w:right w:w="115" w:type="dxa"/>
      </w:tblCellMar>
    </w:tblPr>
  </w:style>
  <w:style w:type="table" w:customStyle="1" w:styleId="32">
    <w:name w:val="32"/>
    <w:basedOn w:val="TableNormal40"/>
    <w:tblPr>
      <w:tblStyleRowBandSize w:val="1"/>
      <w:tblStyleColBandSize w:val="1"/>
      <w:tblCellMar>
        <w:left w:w="115" w:type="dxa"/>
        <w:right w:w="115" w:type="dxa"/>
      </w:tblCellMar>
    </w:tblPr>
  </w:style>
  <w:style w:type="table" w:customStyle="1" w:styleId="31">
    <w:name w:val="31"/>
    <w:basedOn w:val="TableNormal5"/>
    <w:tblPr>
      <w:tblStyleRowBandSize w:val="1"/>
      <w:tblStyleColBandSize w:val="1"/>
      <w:tblCellMar>
        <w:left w:w="115" w:type="dxa"/>
        <w:right w:w="115" w:type="dxa"/>
      </w:tblCellMar>
    </w:tblPr>
  </w:style>
  <w:style w:type="table" w:customStyle="1" w:styleId="30">
    <w:name w:val="30"/>
    <w:basedOn w:val="TableNormal5"/>
    <w:tblPr>
      <w:tblStyleRowBandSize w:val="1"/>
      <w:tblStyleColBandSize w:val="1"/>
      <w:tblCellMar>
        <w:left w:w="115" w:type="dxa"/>
        <w:right w:w="115" w:type="dxa"/>
      </w:tblCellMar>
    </w:tblPr>
  </w:style>
  <w:style w:type="table" w:customStyle="1" w:styleId="29">
    <w:name w:val="29"/>
    <w:basedOn w:val="TableNormal5"/>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7"/>
    <w:tblPr>
      <w:tblStyleRowBandSize w:val="1"/>
      <w:tblStyleColBandSize w:val="1"/>
      <w:tblCellMar>
        <w:left w:w="115" w:type="dxa"/>
        <w:right w:w="115" w:type="dxa"/>
      </w:tblCellMar>
    </w:tblPr>
  </w:style>
  <w:style w:type="table" w:customStyle="1" w:styleId="25">
    <w:name w:val="25"/>
    <w:basedOn w:val="TableNormal7"/>
    <w:tblPr>
      <w:tblStyleRowBandSize w:val="1"/>
      <w:tblStyleColBandSize w:val="1"/>
      <w:tblCellMar>
        <w:left w:w="115" w:type="dxa"/>
        <w:right w:w="115" w:type="dxa"/>
      </w:tblCellMar>
    </w:tblPr>
  </w:style>
  <w:style w:type="table" w:customStyle="1" w:styleId="24">
    <w:name w:val="24"/>
    <w:basedOn w:val="TableNormal8"/>
    <w:tblPr>
      <w:tblStyleRowBandSize w:val="1"/>
      <w:tblStyleColBandSize w:val="1"/>
      <w:tblCellMar>
        <w:left w:w="115" w:type="dxa"/>
        <w:right w:w="115" w:type="dxa"/>
      </w:tblCellMar>
    </w:tblPr>
  </w:style>
  <w:style w:type="table" w:customStyle="1" w:styleId="23">
    <w:name w:val="23"/>
    <w:basedOn w:val="TableNormal8"/>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22">
    <w:name w:val="22"/>
    <w:basedOn w:val="TableNormal9"/>
    <w:tblPr>
      <w:tblStyleRowBandSize w:val="1"/>
      <w:tblStyleColBandSize w:val="1"/>
      <w:tblCellMar>
        <w:left w:w="115" w:type="dxa"/>
        <w:right w:w="115" w:type="dxa"/>
      </w:tblCellMar>
    </w:tblPr>
  </w:style>
  <w:style w:type="table" w:customStyle="1" w:styleId="21">
    <w:name w:val="21"/>
    <w:basedOn w:val="TableNormal9"/>
    <w:tblPr>
      <w:tblStyleRowBandSize w:val="1"/>
      <w:tblStyleColBandSize w:val="1"/>
      <w:tblCellMar>
        <w:left w:w="115" w:type="dxa"/>
        <w:right w:w="115" w:type="dxa"/>
      </w:tblCellMar>
    </w:tblPr>
  </w:style>
  <w:style w:type="table" w:customStyle="1" w:styleId="20">
    <w:name w:val="20"/>
    <w:basedOn w:val="TableNormal100"/>
    <w:tblPr>
      <w:tblStyleRowBandSize w:val="1"/>
      <w:tblStyleColBandSize w:val="1"/>
      <w:tblCellMar>
        <w:left w:w="115" w:type="dxa"/>
        <w:right w:w="115" w:type="dxa"/>
      </w:tblCellMar>
    </w:tblPr>
  </w:style>
  <w:style w:type="table" w:customStyle="1" w:styleId="19">
    <w:name w:val="19"/>
    <w:basedOn w:val="TableNormal100"/>
    <w:tblPr>
      <w:tblStyleRowBandSize w:val="1"/>
      <w:tblStyleColBandSize w:val="1"/>
      <w:tblCellMar>
        <w:left w:w="115" w:type="dxa"/>
        <w:right w:w="115" w:type="dxa"/>
      </w:tblCellMar>
    </w:tblPr>
  </w:style>
  <w:style w:type="table" w:customStyle="1" w:styleId="18">
    <w:name w:val="18"/>
    <w:basedOn w:val="TableNormal11"/>
    <w:tblPr>
      <w:tblStyleRowBandSize w:val="1"/>
      <w:tblStyleColBandSize w:val="1"/>
      <w:tblCellMar>
        <w:left w:w="115" w:type="dxa"/>
        <w:right w:w="115" w:type="dxa"/>
      </w:tblCellMar>
    </w:tblPr>
  </w:style>
  <w:style w:type="table" w:customStyle="1" w:styleId="17">
    <w:name w:val="17"/>
    <w:basedOn w:val="TableNormal11"/>
    <w:tblPr>
      <w:tblStyleRowBandSize w:val="1"/>
      <w:tblStyleColBandSize w:val="1"/>
      <w:tblCellMar>
        <w:left w:w="115" w:type="dxa"/>
        <w:right w:w="115" w:type="dxa"/>
      </w:tblCellMar>
    </w:tblPr>
  </w:style>
  <w:style w:type="table" w:customStyle="1" w:styleId="16">
    <w:name w:val="16"/>
    <w:basedOn w:val="TableNormal12"/>
    <w:tblPr>
      <w:tblStyleRowBandSize w:val="1"/>
      <w:tblStyleColBandSize w:val="1"/>
      <w:tblCellMar>
        <w:left w:w="115" w:type="dxa"/>
        <w:right w:w="115" w:type="dxa"/>
      </w:tblCellMar>
    </w:tblPr>
  </w:style>
  <w:style w:type="table" w:customStyle="1" w:styleId="15">
    <w:name w:val="15"/>
    <w:basedOn w:val="TableNormal12"/>
    <w:tblPr>
      <w:tblStyleRowBandSize w:val="1"/>
      <w:tblStyleColBandSize w:val="1"/>
      <w:tblCellMar>
        <w:left w:w="115" w:type="dxa"/>
        <w:right w:w="115" w:type="dxa"/>
      </w:tblCellMar>
    </w:tblPr>
  </w:style>
  <w:style w:type="table" w:customStyle="1" w:styleId="14">
    <w:name w:val="14"/>
    <w:basedOn w:val="TableNormal13"/>
    <w:tblPr>
      <w:tblStyleRowBandSize w:val="1"/>
      <w:tblStyleColBandSize w:val="1"/>
      <w:tblCellMar>
        <w:left w:w="115" w:type="dxa"/>
        <w:right w:w="115" w:type="dxa"/>
      </w:tblCellMar>
    </w:tblPr>
  </w:style>
  <w:style w:type="table" w:customStyle="1" w:styleId="13">
    <w:name w:val="13"/>
    <w:basedOn w:val="TableNormal13"/>
    <w:tblPr>
      <w:tblStyleRowBandSize w:val="1"/>
      <w:tblStyleColBandSize w:val="1"/>
      <w:tblCellMar>
        <w:left w:w="115" w:type="dxa"/>
        <w:right w:w="115" w:type="dxa"/>
      </w:tblCellMar>
    </w:tblPr>
  </w:style>
  <w:style w:type="table" w:customStyle="1" w:styleId="12">
    <w:name w:val="12"/>
    <w:basedOn w:val="TableNormal14"/>
    <w:tblPr>
      <w:tblStyleRowBandSize w:val="1"/>
      <w:tblStyleColBandSize w:val="1"/>
      <w:tblCellMar>
        <w:left w:w="115" w:type="dxa"/>
        <w:right w:w="115" w:type="dxa"/>
      </w:tblCellMar>
    </w:tblPr>
  </w:style>
  <w:style w:type="table" w:customStyle="1" w:styleId="11">
    <w:name w:val="11"/>
    <w:basedOn w:val="TableNormal14"/>
    <w:tblPr>
      <w:tblStyleRowBandSize w:val="1"/>
      <w:tblStyleColBandSize w:val="1"/>
      <w:tblCellMar>
        <w:left w:w="115" w:type="dxa"/>
        <w:right w:w="115" w:type="dxa"/>
      </w:tblCellMar>
    </w:tblPr>
  </w:style>
  <w:style w:type="table" w:customStyle="1" w:styleId="10">
    <w:name w:val="10"/>
    <w:basedOn w:val="TableNormal15"/>
    <w:tblPr>
      <w:tblStyleRowBandSize w:val="1"/>
      <w:tblStyleColBandSize w:val="1"/>
      <w:tblCellMar>
        <w:left w:w="115" w:type="dxa"/>
        <w:right w:w="115" w:type="dxa"/>
      </w:tblCellMar>
    </w:tblPr>
  </w:style>
  <w:style w:type="table" w:customStyle="1" w:styleId="9">
    <w:name w:val="9"/>
    <w:basedOn w:val="TableNormal15"/>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10"/>
    <w:tblPr>
      <w:tblStyleRowBandSize w:val="1"/>
      <w:tblStyleColBandSize w:val="1"/>
      <w:tblCellMar>
        <w:left w:w="115" w:type="dxa"/>
        <w:right w:w="1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paragraph" w:styleId="Lista">
    <w:name w:val="List"/>
    <w:basedOn w:val="Normal"/>
    <w:uiPriority w:val="99"/>
    <w:unhideWhenUsed/>
    <w:rsid w:val="0076259D"/>
    <w:pPr>
      <w:ind w:left="283" w:hanging="283"/>
      <w:contextualSpacing/>
    </w:pPr>
  </w:style>
  <w:style w:type="paragraph" w:styleId="Lista2">
    <w:name w:val="List 2"/>
    <w:basedOn w:val="Normal"/>
    <w:uiPriority w:val="99"/>
    <w:unhideWhenUsed/>
    <w:rsid w:val="0076259D"/>
    <w:pPr>
      <w:ind w:left="566" w:hanging="283"/>
      <w:contextualSpacing/>
    </w:pPr>
  </w:style>
  <w:style w:type="paragraph" w:styleId="Lista3">
    <w:name w:val="List 3"/>
    <w:basedOn w:val="Normal"/>
    <w:uiPriority w:val="99"/>
    <w:unhideWhenUsed/>
    <w:rsid w:val="0076259D"/>
    <w:pPr>
      <w:ind w:left="849" w:hanging="283"/>
      <w:contextualSpacing/>
    </w:pPr>
  </w:style>
  <w:style w:type="paragraph" w:styleId="Lista4">
    <w:name w:val="List 4"/>
    <w:basedOn w:val="Normal"/>
    <w:uiPriority w:val="99"/>
    <w:unhideWhenUsed/>
    <w:rsid w:val="0076259D"/>
    <w:pPr>
      <w:ind w:left="1132" w:hanging="283"/>
      <w:contextualSpacing/>
    </w:pPr>
  </w:style>
  <w:style w:type="paragraph" w:styleId="Lista5">
    <w:name w:val="List 5"/>
    <w:basedOn w:val="Normal"/>
    <w:uiPriority w:val="99"/>
    <w:unhideWhenUsed/>
    <w:rsid w:val="0076259D"/>
    <w:pPr>
      <w:ind w:left="1415" w:hanging="283"/>
      <w:contextualSpacing/>
    </w:pPr>
  </w:style>
  <w:style w:type="paragraph" w:styleId="Saludo">
    <w:name w:val="Salutation"/>
    <w:basedOn w:val="Normal"/>
    <w:next w:val="Normal"/>
    <w:link w:val="SaludoCar"/>
    <w:uiPriority w:val="99"/>
    <w:unhideWhenUsed/>
    <w:rsid w:val="0076259D"/>
  </w:style>
  <w:style w:type="character" w:customStyle="1" w:styleId="SaludoCar">
    <w:name w:val="Saludo Car"/>
    <w:basedOn w:val="Fuentedeprrafopredeter"/>
    <w:link w:val="Saludo"/>
    <w:uiPriority w:val="99"/>
    <w:rsid w:val="0076259D"/>
  </w:style>
  <w:style w:type="paragraph" w:styleId="Listaconvietas">
    <w:name w:val="List Bullet"/>
    <w:basedOn w:val="Normal"/>
    <w:uiPriority w:val="99"/>
    <w:unhideWhenUsed/>
    <w:rsid w:val="0076259D"/>
    <w:pPr>
      <w:tabs>
        <w:tab w:val="num" w:pos="720"/>
      </w:tabs>
      <w:ind w:left="720" w:hanging="720"/>
      <w:contextualSpacing/>
    </w:pPr>
  </w:style>
  <w:style w:type="paragraph" w:styleId="Listaconvietas2">
    <w:name w:val="List Bullet 2"/>
    <w:basedOn w:val="Normal"/>
    <w:uiPriority w:val="99"/>
    <w:unhideWhenUsed/>
    <w:rsid w:val="0076259D"/>
    <w:pPr>
      <w:tabs>
        <w:tab w:val="num" w:pos="720"/>
      </w:tabs>
      <w:ind w:left="720" w:hanging="720"/>
      <w:contextualSpacing/>
    </w:pPr>
  </w:style>
  <w:style w:type="paragraph" w:styleId="Continuarlista">
    <w:name w:val="List Continue"/>
    <w:basedOn w:val="Normal"/>
    <w:uiPriority w:val="99"/>
    <w:unhideWhenUsed/>
    <w:rsid w:val="0076259D"/>
    <w:pPr>
      <w:spacing w:after="120"/>
      <w:ind w:left="283"/>
      <w:contextualSpacing/>
    </w:pPr>
  </w:style>
  <w:style w:type="paragraph" w:styleId="Textoindependiente">
    <w:name w:val="Body Text"/>
    <w:basedOn w:val="Normal"/>
    <w:link w:val="TextoindependienteCar"/>
    <w:uiPriority w:val="99"/>
    <w:unhideWhenUsed/>
    <w:rsid w:val="0076259D"/>
    <w:pPr>
      <w:spacing w:after="120"/>
    </w:pPr>
  </w:style>
  <w:style w:type="character" w:customStyle="1" w:styleId="TextoindependienteCar">
    <w:name w:val="Texto independiente Car"/>
    <w:basedOn w:val="Fuentedeprrafopredeter"/>
    <w:link w:val="Textoindependiente"/>
    <w:uiPriority w:val="99"/>
    <w:rsid w:val="0076259D"/>
  </w:style>
  <w:style w:type="paragraph" w:styleId="Sangradetextonormal">
    <w:name w:val="Body Text Indent"/>
    <w:basedOn w:val="Normal"/>
    <w:link w:val="SangradetextonormalCar"/>
    <w:uiPriority w:val="99"/>
    <w:unhideWhenUsed/>
    <w:rsid w:val="0076259D"/>
    <w:pPr>
      <w:spacing w:after="120"/>
      <w:ind w:left="283"/>
    </w:pPr>
  </w:style>
  <w:style w:type="character" w:customStyle="1" w:styleId="SangradetextonormalCar">
    <w:name w:val="Sangría de texto normal Car"/>
    <w:basedOn w:val="Fuentedeprrafopredeter"/>
    <w:link w:val="Sangradetextonormal"/>
    <w:uiPriority w:val="99"/>
    <w:rsid w:val="0076259D"/>
  </w:style>
  <w:style w:type="paragraph" w:styleId="Textoindependienteprimerasangra2">
    <w:name w:val="Body Text First Indent 2"/>
    <w:basedOn w:val="Sangradetextonormal"/>
    <w:link w:val="Textoindependienteprimerasangra2Car"/>
    <w:uiPriority w:val="99"/>
    <w:unhideWhenUsed/>
    <w:rsid w:val="0076259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259D"/>
  </w:style>
  <w:style w:type="character" w:customStyle="1" w:styleId="Mencinsinresolver3">
    <w:name w:val="Mención sin resolver3"/>
    <w:basedOn w:val="Fuentedeprrafopredeter"/>
    <w:uiPriority w:val="99"/>
    <w:semiHidden/>
    <w:unhideWhenUsed/>
    <w:rsid w:val="00C90819"/>
    <w:rPr>
      <w:color w:val="605E5C"/>
      <w:shd w:val="clear" w:color="auto" w:fill="E1DFDD"/>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0BFSvzOq0Kt2g41juCzthMKuw==">CgMxLjAyDmguZGFqM2oyeG82cTY2MghoLmdqZGd4czIJaC4zZHk2dmttMgloLjMwajB6bGwyCWguMnM4ZXlvMTIIaC50eWpjd3QyCGgubG54Yno5OAByITFoLUZnbHN1YW10LUxuNi1ZdjI2TS01b1cxcVRhbEpYWQ==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3317</Words>
  <Characters>18244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2026-02-27T18:14:00Z</cp:lastPrinted>
  <dcterms:created xsi:type="dcterms:W3CDTF">2026-04-06T23:02:00Z</dcterms:created>
  <dcterms:modified xsi:type="dcterms:W3CDTF">2026-04-06T23:02:00Z</dcterms:modified>
</cp:coreProperties>
</file>