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2E4" w:rsidRPr="001C2D3C" w:rsidRDefault="00B67E55">
      <w:pPr>
        <w:tabs>
          <w:tab w:val="left" w:pos="0"/>
        </w:tabs>
        <w:spacing w:line="360" w:lineRule="auto"/>
        <w:jc w:val="both"/>
        <w:rPr>
          <w:rFonts w:ascii="Palatino Linotype" w:eastAsia="Palatino Linotype" w:hAnsi="Palatino Linotype" w:cs="Palatino Linotype"/>
          <w:sz w:val="24"/>
          <w:szCs w:val="24"/>
        </w:rPr>
      </w:pPr>
      <w:bookmarkStart w:id="0" w:name="_heading=h.sre9h05q4v0b" w:colFirst="0" w:colLast="0"/>
      <w:bookmarkEnd w:id="0"/>
      <w:r w:rsidRPr="001C2D3C">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en Metepec, Estado</w:t>
      </w:r>
      <w:r w:rsidR="00011930" w:rsidRPr="001C2D3C">
        <w:rPr>
          <w:rFonts w:ascii="Palatino Linotype" w:eastAsia="Palatino Linotype" w:hAnsi="Palatino Linotype" w:cs="Palatino Linotype"/>
          <w:sz w:val="24"/>
          <w:szCs w:val="24"/>
        </w:rPr>
        <w:t xml:space="preserve"> de México; de fecha siete</w:t>
      </w:r>
      <w:r w:rsidR="001C2D3C">
        <w:rPr>
          <w:rFonts w:ascii="Palatino Linotype" w:eastAsia="Palatino Linotype" w:hAnsi="Palatino Linotype" w:cs="Palatino Linotype"/>
          <w:sz w:val="24"/>
          <w:szCs w:val="24"/>
        </w:rPr>
        <w:t xml:space="preserve"> (07) </w:t>
      </w:r>
      <w:r w:rsidRPr="001C2D3C">
        <w:rPr>
          <w:rFonts w:ascii="Palatino Linotype" w:eastAsia="Palatino Linotype" w:hAnsi="Palatino Linotype" w:cs="Palatino Linotype"/>
          <w:sz w:val="24"/>
          <w:szCs w:val="24"/>
        </w:rPr>
        <w:t>de mayo de dos mil veintiséis.</w:t>
      </w:r>
    </w:p>
    <w:p w:rsidR="009432E4" w:rsidRPr="001C2D3C" w:rsidRDefault="009432E4">
      <w:pPr>
        <w:tabs>
          <w:tab w:val="left" w:pos="567"/>
        </w:tabs>
        <w:spacing w:line="360" w:lineRule="auto"/>
        <w:jc w:val="both"/>
        <w:rPr>
          <w:rFonts w:ascii="Palatino Linotype" w:eastAsia="Palatino Linotype" w:hAnsi="Palatino Linotype" w:cs="Palatino Linotype"/>
          <w:sz w:val="24"/>
          <w:szCs w:val="24"/>
        </w:rPr>
      </w:pPr>
    </w:p>
    <w:p w:rsidR="009432E4" w:rsidRDefault="00B67E55">
      <w:pPr>
        <w:spacing w:line="360" w:lineRule="auto"/>
        <w:jc w:val="both"/>
        <w:rPr>
          <w:rFonts w:ascii="Palatino Linotype" w:eastAsia="Palatino Linotype" w:hAnsi="Palatino Linotype" w:cs="Palatino Linotype"/>
          <w:sz w:val="24"/>
          <w:szCs w:val="24"/>
        </w:rPr>
      </w:pPr>
      <w:bookmarkStart w:id="1" w:name="_heading=h.gjdgxs" w:colFirst="0" w:colLast="0"/>
      <w:bookmarkEnd w:id="1"/>
      <w:r w:rsidRPr="001C2D3C">
        <w:rPr>
          <w:rFonts w:ascii="Palatino Linotype" w:eastAsia="Palatino Linotype" w:hAnsi="Palatino Linotype" w:cs="Palatino Linotype"/>
          <w:b/>
          <w:bCs/>
          <w:sz w:val="24"/>
          <w:szCs w:val="24"/>
        </w:rPr>
        <w:t>VISTO</w:t>
      </w:r>
      <w:r w:rsidRPr="001C2D3C">
        <w:rPr>
          <w:rFonts w:ascii="Palatino Linotype" w:eastAsia="Palatino Linotype" w:hAnsi="Palatino Linotype" w:cs="Palatino Linotype"/>
          <w:sz w:val="24"/>
          <w:szCs w:val="24"/>
        </w:rPr>
        <w:t xml:space="preserve"> el expediente electrónico formado con motivo de los recursos de revisión </w:t>
      </w:r>
      <w:r w:rsidRPr="001C2D3C">
        <w:rPr>
          <w:rFonts w:ascii="Palatino Linotype" w:eastAsia="Palatino Linotype" w:hAnsi="Palatino Linotype" w:cs="Palatino Linotype"/>
          <w:b/>
          <w:sz w:val="24"/>
          <w:szCs w:val="24"/>
        </w:rPr>
        <w:t>0</w:t>
      </w:r>
      <w:r w:rsidRPr="001C2D3C">
        <w:rPr>
          <w:rFonts w:ascii="Palatino Linotype" w:eastAsia="Palatino Linotype" w:hAnsi="Palatino Linotype" w:cs="Palatino Linotype"/>
          <w:b/>
          <w:bCs/>
          <w:sz w:val="24"/>
          <w:szCs w:val="24"/>
        </w:rPr>
        <w:t>2288/INFOEM/IP/RR/2026 y 02293/INFOEM/IP/RR/2026</w:t>
      </w:r>
      <w:r w:rsidRPr="001C2D3C">
        <w:rPr>
          <w:rFonts w:ascii="Palatino Linotype" w:eastAsia="Palatino Linotype" w:hAnsi="Palatino Linotype" w:cs="Palatino Linotype"/>
          <w:sz w:val="24"/>
          <w:szCs w:val="24"/>
        </w:rPr>
        <w:t>,</w:t>
      </w:r>
      <w:r w:rsidRPr="001C2D3C">
        <w:rPr>
          <w:rFonts w:ascii="Palatino Linotype" w:eastAsia="Palatino Linotype" w:hAnsi="Palatino Linotype" w:cs="Palatino Linotype"/>
          <w:b/>
          <w:bCs/>
          <w:sz w:val="24"/>
          <w:szCs w:val="24"/>
        </w:rPr>
        <w:t xml:space="preserve"> </w:t>
      </w:r>
      <w:r w:rsidRPr="001C2D3C">
        <w:rPr>
          <w:rFonts w:ascii="Palatino Linotype" w:eastAsia="Palatino Linotype" w:hAnsi="Palatino Linotype" w:cs="Palatino Linotype"/>
          <w:sz w:val="24"/>
          <w:szCs w:val="24"/>
        </w:rPr>
        <w:t xml:space="preserve">promovido por </w:t>
      </w:r>
      <w:r w:rsidR="00357594">
        <w:rPr>
          <w:rFonts w:ascii="Palatino Linotype" w:eastAsia="Palatino Linotype" w:hAnsi="Palatino Linotype" w:cs="Palatino Linotype"/>
          <w:b/>
          <w:bCs/>
          <w:sz w:val="24"/>
          <w:szCs w:val="24"/>
        </w:rPr>
        <w:t>XXXX</w:t>
      </w:r>
      <w:r w:rsidRPr="001C2D3C">
        <w:rPr>
          <w:rFonts w:ascii="Palatino Linotype" w:eastAsia="Palatino Linotype" w:hAnsi="Palatino Linotype" w:cs="Palatino Linotype"/>
          <w:b/>
          <w:bCs/>
          <w:sz w:val="24"/>
          <w:szCs w:val="24"/>
        </w:rPr>
        <w:t xml:space="preserve">, </w:t>
      </w:r>
      <w:r w:rsidRPr="001C2D3C">
        <w:rPr>
          <w:rFonts w:ascii="Palatino Linotype" w:eastAsia="Palatino Linotype" w:hAnsi="Palatino Linotype" w:cs="Palatino Linotype"/>
          <w:sz w:val="24"/>
          <w:szCs w:val="24"/>
        </w:rPr>
        <w:t xml:space="preserve">a quien en lo sucesivo se le denominará como </w:t>
      </w:r>
      <w:r w:rsidRPr="001C2D3C">
        <w:rPr>
          <w:rFonts w:ascii="Palatino Linotype" w:eastAsia="Palatino Linotype" w:hAnsi="Palatino Linotype" w:cs="Palatino Linotype"/>
          <w:b/>
          <w:bCs/>
          <w:sz w:val="24"/>
          <w:szCs w:val="24"/>
        </w:rPr>
        <w:t>EL</w:t>
      </w:r>
      <w:r w:rsidRPr="001C2D3C">
        <w:rPr>
          <w:rFonts w:ascii="Palatino Linotype" w:eastAsia="Palatino Linotype" w:hAnsi="Palatino Linotype" w:cs="Palatino Linotype"/>
          <w:sz w:val="24"/>
          <w:szCs w:val="24"/>
        </w:rPr>
        <w:t xml:space="preserve"> </w:t>
      </w:r>
      <w:r w:rsidRPr="001C2D3C">
        <w:rPr>
          <w:rFonts w:ascii="Palatino Linotype" w:eastAsia="Palatino Linotype" w:hAnsi="Palatino Linotype" w:cs="Palatino Linotype"/>
          <w:b/>
          <w:bCs/>
          <w:sz w:val="24"/>
          <w:szCs w:val="24"/>
        </w:rPr>
        <w:t>RECURRENTE,</w:t>
      </w:r>
      <w:r w:rsidRPr="001C2D3C">
        <w:rPr>
          <w:rFonts w:ascii="Palatino Linotype" w:eastAsia="Palatino Linotype" w:hAnsi="Palatino Linotype" w:cs="Palatino Linotype"/>
          <w:sz w:val="24"/>
          <w:szCs w:val="24"/>
        </w:rPr>
        <w:t xml:space="preserve"> en contra de la respuesta del </w:t>
      </w:r>
      <w:r w:rsidRPr="001C2D3C">
        <w:rPr>
          <w:rFonts w:ascii="Palatino Linotype" w:eastAsia="Palatino Linotype" w:hAnsi="Palatino Linotype" w:cs="Palatino Linotype"/>
          <w:b/>
          <w:bCs/>
          <w:sz w:val="24"/>
          <w:szCs w:val="24"/>
        </w:rPr>
        <w:t xml:space="preserve">Ayuntamiento de Tepotzotlán, </w:t>
      </w:r>
      <w:r w:rsidRPr="001C2D3C">
        <w:rPr>
          <w:rFonts w:ascii="Palatino Linotype" w:eastAsia="Palatino Linotype" w:hAnsi="Palatino Linotype" w:cs="Palatino Linotype"/>
          <w:sz w:val="24"/>
          <w:szCs w:val="24"/>
        </w:rPr>
        <w:t>en adelante el</w:t>
      </w:r>
      <w:r w:rsidRPr="001C2D3C">
        <w:rPr>
          <w:rFonts w:ascii="Palatino Linotype" w:eastAsia="Palatino Linotype" w:hAnsi="Palatino Linotype" w:cs="Palatino Linotype"/>
          <w:b/>
          <w:bCs/>
          <w:sz w:val="24"/>
          <w:szCs w:val="24"/>
        </w:rPr>
        <w:t xml:space="preserve"> SUJETO OBLIGADO</w:t>
      </w:r>
      <w:r w:rsidRPr="001C2D3C">
        <w:rPr>
          <w:rFonts w:ascii="Palatino Linotype" w:eastAsia="Palatino Linotype" w:hAnsi="Palatino Linotype" w:cs="Palatino Linotype"/>
          <w:sz w:val="24"/>
          <w:szCs w:val="24"/>
        </w:rPr>
        <w:t>, se procede a dictar la presente resolución, con base en los siguie</w:t>
      </w:r>
      <w:bookmarkStart w:id="2" w:name="_GoBack"/>
      <w:bookmarkEnd w:id="2"/>
      <w:r w:rsidRPr="001C2D3C">
        <w:rPr>
          <w:rFonts w:ascii="Palatino Linotype" w:eastAsia="Palatino Linotype" w:hAnsi="Palatino Linotype" w:cs="Palatino Linotype"/>
          <w:sz w:val="24"/>
          <w:szCs w:val="24"/>
        </w:rPr>
        <w:t>ntes:</w:t>
      </w:r>
    </w:p>
    <w:p w:rsidR="001C2D3C" w:rsidRPr="001C2D3C" w:rsidRDefault="001C2D3C">
      <w:pPr>
        <w:spacing w:line="360" w:lineRule="auto"/>
        <w:jc w:val="both"/>
        <w:rPr>
          <w:rFonts w:ascii="Palatino Linotype" w:eastAsia="Palatino Linotype" w:hAnsi="Palatino Linotype" w:cs="Palatino Linotype"/>
          <w:sz w:val="24"/>
          <w:szCs w:val="24"/>
        </w:rPr>
      </w:pPr>
    </w:p>
    <w:p w:rsidR="009432E4" w:rsidRPr="001C2D3C" w:rsidRDefault="00B67E55">
      <w:pPr>
        <w:pStyle w:val="Ttulo2"/>
        <w:jc w:val="center"/>
        <w:rPr>
          <w:rFonts w:ascii="Palatino Linotype" w:eastAsia="Palatino Linotype" w:hAnsi="Palatino Linotype" w:cs="Palatino Linotype"/>
          <w:b/>
          <w:bCs/>
          <w:color w:val="000000"/>
          <w:sz w:val="24"/>
          <w:szCs w:val="24"/>
        </w:rPr>
      </w:pPr>
      <w:bookmarkStart w:id="3" w:name="_heading=h.xkwl4g4svku4" w:colFirst="0" w:colLast="0"/>
      <w:bookmarkEnd w:id="3"/>
      <w:r w:rsidRPr="001C2D3C">
        <w:rPr>
          <w:rFonts w:ascii="Palatino Linotype" w:eastAsia="Palatino Linotype" w:hAnsi="Palatino Linotype" w:cs="Palatino Linotype"/>
          <w:b/>
          <w:bCs/>
          <w:color w:val="000000"/>
          <w:sz w:val="24"/>
          <w:szCs w:val="24"/>
        </w:rPr>
        <w:t>A</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N</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T</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E</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C</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E</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D</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E</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N</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T</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E</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S</w:t>
      </w:r>
    </w:p>
    <w:p w:rsidR="009432E4" w:rsidRPr="001C2D3C" w:rsidRDefault="009432E4">
      <w:pPr>
        <w:rPr>
          <w:rFonts w:ascii="Palatino Linotype" w:eastAsia="Palatino Linotype" w:hAnsi="Palatino Linotype" w:cs="Palatino Linotype"/>
          <w:sz w:val="24"/>
          <w:szCs w:val="24"/>
        </w:rPr>
      </w:pPr>
    </w:p>
    <w:p w:rsidR="009432E4" w:rsidRPr="001C2D3C" w:rsidRDefault="00B67E55" w:rsidP="00011930">
      <w:pPr>
        <w:numPr>
          <w:ilvl w:val="0"/>
          <w:numId w:val="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El </w:t>
      </w:r>
      <w:r w:rsidRPr="001C2D3C">
        <w:rPr>
          <w:rFonts w:ascii="Palatino Linotype" w:eastAsia="Palatino Linotype" w:hAnsi="Palatino Linotype" w:cs="Palatino Linotype"/>
          <w:b/>
          <w:bCs/>
          <w:color w:val="000000"/>
          <w:sz w:val="24"/>
          <w:szCs w:val="24"/>
        </w:rPr>
        <w:t>veinticinco de enero de dos mil veintiséis</w:t>
      </w:r>
      <w:r w:rsidRPr="001C2D3C">
        <w:rPr>
          <w:rFonts w:ascii="Palatino Linotype" w:eastAsia="Palatino Linotype" w:hAnsi="Palatino Linotype" w:cs="Palatino Linotype"/>
          <w:color w:val="000000"/>
          <w:sz w:val="24"/>
          <w:szCs w:val="24"/>
        </w:rPr>
        <w:t>, se</w:t>
      </w:r>
      <w:r w:rsidRP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color w:val="000000"/>
          <w:sz w:val="24"/>
          <w:szCs w:val="24"/>
        </w:rPr>
        <w:t>presentaron</w:t>
      </w:r>
      <w:r w:rsidRP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color w:val="000000"/>
          <w:sz w:val="24"/>
          <w:szCs w:val="24"/>
        </w:rPr>
        <w:t xml:space="preserve">vía Sistema de Acceso a la Información Mexiquense </w:t>
      </w:r>
      <w:r w:rsidRPr="001C2D3C">
        <w:rPr>
          <w:rFonts w:ascii="Palatino Linotype" w:eastAsia="Palatino Linotype" w:hAnsi="Palatino Linotype" w:cs="Palatino Linotype"/>
          <w:b/>
          <w:bCs/>
          <w:color w:val="000000"/>
          <w:sz w:val="24"/>
          <w:szCs w:val="24"/>
        </w:rPr>
        <w:t>(SAIMEX),</w:t>
      </w:r>
      <w:r w:rsidRPr="001C2D3C">
        <w:rPr>
          <w:rFonts w:ascii="Palatino Linotype" w:eastAsia="Palatino Linotype" w:hAnsi="Palatino Linotype" w:cs="Palatino Linotype"/>
          <w:color w:val="000000"/>
          <w:sz w:val="24"/>
          <w:szCs w:val="24"/>
        </w:rPr>
        <w:t xml:space="preserve"> las solicitudes de información públicas registradas con los números </w:t>
      </w:r>
      <w:r w:rsidRPr="001C2D3C">
        <w:rPr>
          <w:rFonts w:ascii="Palatino Linotype" w:eastAsia="Palatino Linotype" w:hAnsi="Palatino Linotype" w:cs="Palatino Linotype"/>
          <w:b/>
          <w:bCs/>
          <w:color w:val="000000"/>
          <w:sz w:val="24"/>
          <w:szCs w:val="24"/>
        </w:rPr>
        <w:t xml:space="preserve">00495/TEPOTZOT/IP/2026 </w:t>
      </w:r>
      <w:r w:rsidRPr="001C2D3C">
        <w:rPr>
          <w:rFonts w:ascii="Palatino Linotype" w:eastAsia="Palatino Linotype" w:hAnsi="Palatino Linotype" w:cs="Palatino Linotype"/>
          <w:color w:val="000000"/>
          <w:sz w:val="24"/>
          <w:szCs w:val="24"/>
        </w:rPr>
        <w:t xml:space="preserve">y </w:t>
      </w:r>
      <w:r w:rsidRPr="001C2D3C">
        <w:rPr>
          <w:rFonts w:ascii="Palatino Linotype" w:eastAsia="Palatino Linotype" w:hAnsi="Palatino Linotype" w:cs="Palatino Linotype"/>
          <w:b/>
          <w:bCs/>
          <w:color w:val="000000"/>
          <w:sz w:val="24"/>
          <w:szCs w:val="24"/>
        </w:rPr>
        <w:t>00487/TEPOTZOT/IP/2026,</w:t>
      </w:r>
      <w:r w:rsidRPr="001C2D3C">
        <w:rPr>
          <w:rFonts w:ascii="Palatino Linotype" w:eastAsia="Palatino Linotype" w:hAnsi="Palatino Linotype" w:cs="Palatino Linotype"/>
          <w:color w:val="000000"/>
          <w:sz w:val="24"/>
          <w:szCs w:val="24"/>
        </w:rPr>
        <w:t xml:space="preserve"> mediante las cuales requirieron lo siguiente:</w:t>
      </w:r>
    </w:p>
    <w:p w:rsidR="009432E4" w:rsidRPr="001C2D3C" w:rsidRDefault="009432E4" w:rsidP="00011930">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sz w:val="24"/>
          <w:szCs w:val="24"/>
        </w:rPr>
        <w:t>0</w:t>
      </w:r>
      <w:r w:rsidRPr="001C2D3C">
        <w:rPr>
          <w:rFonts w:ascii="Palatino Linotype" w:eastAsia="Palatino Linotype" w:hAnsi="Palatino Linotype" w:cs="Palatino Linotype"/>
          <w:b/>
          <w:bCs/>
          <w:sz w:val="24"/>
          <w:szCs w:val="24"/>
        </w:rPr>
        <w:t xml:space="preserve">2288/INFOEM/IP/RR/2026 </w:t>
      </w:r>
    </w:p>
    <w:p w:rsidR="009432E4" w:rsidRPr="001C2D3C" w:rsidRDefault="009432E4">
      <w:pPr>
        <w:ind w:left="567" w:right="565"/>
        <w:jc w:val="both"/>
        <w:rPr>
          <w:rFonts w:ascii="Palatino Linotype" w:eastAsia="Palatino Linotype" w:hAnsi="Palatino Linotype" w:cs="Palatino Linotype"/>
          <w:i/>
          <w:iCs/>
          <w:color w:val="000000"/>
          <w:sz w:val="24"/>
          <w:szCs w:val="24"/>
        </w:rPr>
      </w:pPr>
    </w:p>
    <w:p w:rsidR="009432E4" w:rsidRPr="001C2D3C" w:rsidRDefault="00B67E55">
      <w:pPr>
        <w:ind w:left="567" w:right="565"/>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“Informe si derivado del retiro de cámaras de videovigilancia en domicilios particulares se presentaron: a) Quejas ante órganos de control. b) Denuncias administrativas. c) Juicios o amparos. indicando número de expediente y estatus.” (Sic)</w:t>
      </w:r>
    </w:p>
    <w:p w:rsidR="009432E4" w:rsidRPr="001C2D3C" w:rsidRDefault="009432E4">
      <w:pPr>
        <w:ind w:left="567" w:right="565"/>
        <w:jc w:val="both"/>
        <w:rPr>
          <w:rFonts w:ascii="Palatino Linotype" w:eastAsia="Palatino Linotype" w:hAnsi="Palatino Linotype" w:cs="Palatino Linotype"/>
          <w:i/>
          <w:iCs/>
          <w:sz w:val="24"/>
          <w:szCs w:val="24"/>
        </w:rPr>
      </w:pPr>
    </w:p>
    <w:p w:rsidR="009432E4" w:rsidRDefault="009432E4">
      <w:pPr>
        <w:ind w:left="567" w:right="565"/>
        <w:jc w:val="both"/>
        <w:rPr>
          <w:rFonts w:ascii="Palatino Linotype" w:eastAsia="Palatino Linotype" w:hAnsi="Palatino Linotype" w:cs="Palatino Linotype"/>
          <w:i/>
          <w:iCs/>
          <w:sz w:val="24"/>
          <w:szCs w:val="24"/>
        </w:rPr>
      </w:pPr>
    </w:p>
    <w:p w:rsidR="001C2D3C" w:rsidRDefault="001C2D3C">
      <w:pPr>
        <w:ind w:left="567" w:right="565"/>
        <w:jc w:val="both"/>
        <w:rPr>
          <w:rFonts w:ascii="Palatino Linotype" w:eastAsia="Palatino Linotype" w:hAnsi="Palatino Linotype" w:cs="Palatino Linotype"/>
          <w:i/>
          <w:iCs/>
          <w:sz w:val="24"/>
          <w:szCs w:val="24"/>
        </w:rPr>
      </w:pPr>
    </w:p>
    <w:p w:rsidR="001C2D3C" w:rsidRDefault="001C2D3C">
      <w:pPr>
        <w:ind w:left="567" w:right="565"/>
        <w:jc w:val="both"/>
        <w:rPr>
          <w:rFonts w:ascii="Palatino Linotype" w:eastAsia="Palatino Linotype" w:hAnsi="Palatino Linotype" w:cs="Palatino Linotype"/>
          <w:i/>
          <w:iCs/>
          <w:sz w:val="24"/>
          <w:szCs w:val="24"/>
        </w:rPr>
      </w:pPr>
    </w:p>
    <w:p w:rsidR="001C2D3C" w:rsidRPr="001C2D3C" w:rsidRDefault="001C2D3C">
      <w:pPr>
        <w:ind w:left="567" w:right="565"/>
        <w:jc w:val="both"/>
        <w:rPr>
          <w:rFonts w:ascii="Palatino Linotype" w:eastAsia="Palatino Linotype" w:hAnsi="Palatino Linotype" w:cs="Palatino Linotype"/>
          <w:i/>
          <w:iCs/>
          <w:sz w:val="24"/>
          <w:szCs w:val="24"/>
        </w:rPr>
      </w:pPr>
    </w:p>
    <w:p w:rsidR="009432E4" w:rsidRPr="001C2D3C" w:rsidRDefault="00B67E55">
      <w:pPr>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lastRenderedPageBreak/>
        <w:t>02293/INFOEM/IP/RR/2026</w:t>
      </w:r>
    </w:p>
    <w:p w:rsidR="009432E4" w:rsidRPr="001C2D3C" w:rsidRDefault="009432E4">
      <w:pPr>
        <w:ind w:left="567" w:right="565"/>
        <w:jc w:val="both"/>
        <w:rPr>
          <w:rFonts w:ascii="Palatino Linotype" w:eastAsia="Palatino Linotype" w:hAnsi="Palatino Linotype" w:cs="Palatino Linotype"/>
          <w:i/>
          <w:iCs/>
          <w:sz w:val="24"/>
          <w:szCs w:val="24"/>
        </w:rPr>
      </w:pPr>
    </w:p>
    <w:p w:rsidR="009432E4" w:rsidRPr="001C2D3C" w:rsidRDefault="00B67E55">
      <w:pPr>
        <w:ind w:left="567" w:right="565"/>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“Informe si previo al retiro de cámaras de videovigilancia en domicilios particulares se inició procedimiento administrativo, indicando: a) Número de expediente. b) Autoridad que lo instruyó. c) Notificación al propietario. d) Resolución emitida.”(Sic.)</w:t>
      </w:r>
    </w:p>
    <w:p w:rsidR="009432E4" w:rsidRDefault="009432E4">
      <w:pPr>
        <w:tabs>
          <w:tab w:val="left" w:pos="426"/>
          <w:tab w:val="left" w:pos="567"/>
        </w:tabs>
        <w:jc w:val="both"/>
        <w:rPr>
          <w:rFonts w:ascii="Palatino Linotype" w:eastAsia="Palatino Linotype" w:hAnsi="Palatino Linotype" w:cs="Palatino Linotype"/>
          <w:b/>
          <w:bCs/>
          <w:color w:val="000000"/>
          <w:sz w:val="24"/>
          <w:szCs w:val="24"/>
        </w:rPr>
      </w:pPr>
    </w:p>
    <w:p w:rsidR="001C2D3C" w:rsidRPr="001C2D3C" w:rsidRDefault="001C2D3C">
      <w:pPr>
        <w:tabs>
          <w:tab w:val="left" w:pos="426"/>
          <w:tab w:val="left" w:pos="567"/>
        </w:tabs>
        <w:jc w:val="both"/>
        <w:rPr>
          <w:rFonts w:ascii="Palatino Linotype" w:eastAsia="Palatino Linotype" w:hAnsi="Palatino Linotype" w:cs="Palatino Linotype"/>
          <w:b/>
          <w:bCs/>
          <w:color w:val="000000"/>
          <w:sz w:val="24"/>
          <w:szCs w:val="24"/>
        </w:rPr>
      </w:pPr>
    </w:p>
    <w:p w:rsidR="009432E4" w:rsidRPr="001C2D3C" w:rsidRDefault="00B67E55">
      <w:pPr>
        <w:numPr>
          <w:ilvl w:val="0"/>
          <w:numId w:val="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Se señaló como modalidad de entrega de la información: a través de </w:t>
      </w:r>
      <w:r w:rsidRPr="001C2D3C">
        <w:rPr>
          <w:rFonts w:ascii="Palatino Linotype" w:eastAsia="Palatino Linotype" w:hAnsi="Palatino Linotype" w:cs="Palatino Linotype"/>
          <w:b/>
          <w:bCs/>
          <w:color w:val="000000"/>
          <w:sz w:val="24"/>
          <w:szCs w:val="24"/>
        </w:rPr>
        <w:t>SAIMEX.</w:t>
      </w:r>
    </w:p>
    <w:p w:rsidR="009432E4" w:rsidRPr="001C2D3C" w:rsidRDefault="009432E4">
      <w:pPr>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color w:val="000000"/>
          <w:sz w:val="24"/>
          <w:szCs w:val="24"/>
        </w:rPr>
        <w:t>Derivado de lo anterior</w:t>
      </w:r>
      <w:r w:rsidRPr="001C2D3C">
        <w:rPr>
          <w:rFonts w:ascii="Palatino Linotype" w:eastAsia="Palatino Linotype" w:hAnsi="Palatino Linotype" w:cs="Palatino Linotype"/>
          <w:b/>
          <w:bCs/>
          <w:color w:val="000000"/>
          <w:sz w:val="24"/>
          <w:szCs w:val="24"/>
        </w:rPr>
        <w:t>, EL SUJETO OBLIGADO</w:t>
      </w:r>
      <w:r w:rsidRPr="001C2D3C">
        <w:rPr>
          <w:rFonts w:ascii="Palatino Linotype" w:eastAsia="Palatino Linotype" w:hAnsi="Palatino Linotype" w:cs="Palatino Linotype"/>
          <w:color w:val="000000"/>
          <w:sz w:val="24"/>
          <w:szCs w:val="24"/>
        </w:rPr>
        <w:t xml:space="preserve"> no proporcionó respuestas a las solicitudes de información dentro del plazo de quince días establecido en el artículo 163 de la Ley de Transparencia y Acceso a la Información Pública del Estado de México y Municipios.</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Ante la falta de respuestas</w:t>
      </w:r>
      <w:r w:rsidRP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color w:val="000000"/>
          <w:sz w:val="24"/>
          <w:szCs w:val="24"/>
        </w:rPr>
        <w:t xml:space="preserve">del </w:t>
      </w:r>
      <w:r w:rsidRPr="001C2D3C">
        <w:rPr>
          <w:rFonts w:ascii="Palatino Linotype" w:eastAsia="Palatino Linotype" w:hAnsi="Palatino Linotype" w:cs="Palatino Linotype"/>
          <w:b/>
          <w:bCs/>
          <w:color w:val="000000"/>
          <w:sz w:val="24"/>
          <w:szCs w:val="24"/>
        </w:rPr>
        <w:t>SUJETO OBLIGADO</w:t>
      </w:r>
      <w:r w:rsidRPr="001C2D3C">
        <w:rPr>
          <w:rFonts w:ascii="Palatino Linotype" w:eastAsia="Palatino Linotype" w:hAnsi="Palatino Linotype" w:cs="Palatino Linotype"/>
          <w:color w:val="000000"/>
          <w:sz w:val="24"/>
          <w:szCs w:val="24"/>
        </w:rPr>
        <w:t xml:space="preserve">, </w:t>
      </w:r>
      <w:r w:rsidRPr="001C2D3C">
        <w:rPr>
          <w:rFonts w:ascii="Palatino Linotype" w:eastAsia="Palatino Linotype" w:hAnsi="Palatino Linotype" w:cs="Palatino Linotype"/>
          <w:b/>
          <w:bCs/>
          <w:color w:val="000000"/>
          <w:sz w:val="24"/>
          <w:szCs w:val="24"/>
        </w:rPr>
        <w:t>EL RECURRENTE</w:t>
      </w:r>
      <w:r w:rsidRPr="001C2D3C">
        <w:rPr>
          <w:rFonts w:ascii="Palatino Linotype" w:eastAsia="Palatino Linotype" w:hAnsi="Palatino Linotype" w:cs="Palatino Linotype"/>
          <w:color w:val="000000"/>
          <w:sz w:val="24"/>
          <w:szCs w:val="24"/>
        </w:rPr>
        <w:t xml:space="preserve"> interpuso los Recursos de Revisión el </w:t>
      </w:r>
      <w:r w:rsidRPr="001C2D3C">
        <w:rPr>
          <w:rFonts w:ascii="Palatino Linotype" w:eastAsia="Palatino Linotype" w:hAnsi="Palatino Linotype" w:cs="Palatino Linotype"/>
          <w:b/>
          <w:bCs/>
          <w:color w:val="000000"/>
          <w:sz w:val="24"/>
          <w:szCs w:val="24"/>
        </w:rPr>
        <w:t xml:space="preserve">dieciocho de febrero de dos mil veintiséis, </w:t>
      </w:r>
      <w:r w:rsidRPr="001C2D3C">
        <w:rPr>
          <w:rFonts w:ascii="Palatino Linotype" w:eastAsia="Palatino Linotype" w:hAnsi="Palatino Linotype" w:cs="Palatino Linotype"/>
          <w:color w:val="000000"/>
          <w:sz w:val="24"/>
          <w:szCs w:val="24"/>
        </w:rPr>
        <w:t xml:space="preserve">registrados en el </w:t>
      </w:r>
      <w:r w:rsidRPr="001C2D3C">
        <w:rPr>
          <w:rFonts w:ascii="Palatino Linotype" w:eastAsia="Palatino Linotype" w:hAnsi="Palatino Linotype" w:cs="Palatino Linotype"/>
          <w:b/>
          <w:bCs/>
          <w:color w:val="000000"/>
          <w:sz w:val="24"/>
          <w:szCs w:val="24"/>
        </w:rPr>
        <w:t xml:space="preserve">SAIMEX </w:t>
      </w:r>
      <w:r w:rsidRPr="001C2D3C">
        <w:rPr>
          <w:rFonts w:ascii="Palatino Linotype" w:eastAsia="Palatino Linotype" w:hAnsi="Palatino Linotype" w:cs="Palatino Linotype"/>
          <w:color w:val="000000"/>
          <w:sz w:val="24"/>
          <w:szCs w:val="24"/>
        </w:rPr>
        <w:t xml:space="preserve">con números de expediente </w:t>
      </w:r>
      <w:r w:rsidRPr="001C2D3C">
        <w:rPr>
          <w:rFonts w:ascii="Palatino Linotype" w:eastAsia="Palatino Linotype" w:hAnsi="Palatino Linotype" w:cs="Palatino Linotype"/>
          <w:b/>
          <w:bCs/>
          <w:color w:val="000000"/>
          <w:sz w:val="24"/>
          <w:szCs w:val="24"/>
        </w:rPr>
        <w:t xml:space="preserve">02288/INFOEM/IP/RR/2026 y 02293/INFOEM/IP/RR/2026, </w:t>
      </w:r>
      <w:r w:rsidRPr="001C2D3C">
        <w:rPr>
          <w:rFonts w:ascii="Palatino Linotype" w:eastAsia="Palatino Linotype" w:hAnsi="Palatino Linotype" w:cs="Palatino Linotype"/>
          <w:color w:val="000000"/>
          <w:sz w:val="24"/>
          <w:szCs w:val="24"/>
        </w:rPr>
        <w:t>en el cual aduce, las siguientes manifestaciones:</w:t>
      </w:r>
    </w:p>
    <w:p w:rsidR="009432E4" w:rsidRPr="001C2D3C" w:rsidRDefault="009432E4">
      <w:pPr>
        <w:tabs>
          <w:tab w:val="left" w:pos="426"/>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tabs>
          <w:tab w:val="left" w:pos="426"/>
          <w:tab w:val="left" w:pos="567"/>
        </w:tabs>
        <w:spacing w:line="360" w:lineRule="auto"/>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b/>
          <w:bCs/>
          <w:color w:val="000000"/>
          <w:sz w:val="24"/>
          <w:szCs w:val="24"/>
        </w:rPr>
        <w:t>02288/INFOEM/IP/RR/2026</w:t>
      </w:r>
    </w:p>
    <w:p w:rsidR="009432E4" w:rsidRPr="001C2D3C" w:rsidRDefault="00B67E55">
      <w:pPr>
        <w:numPr>
          <w:ilvl w:val="0"/>
          <w:numId w:val="7"/>
        </w:numPr>
        <w:spacing w:line="259" w:lineRule="auto"/>
        <w:ind w:left="567" w:right="567" w:firstLine="66"/>
        <w:jc w:val="both"/>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 xml:space="preserve">Acto Impugnado: </w:t>
      </w:r>
    </w:p>
    <w:p w:rsidR="009432E4" w:rsidRPr="001C2D3C" w:rsidRDefault="00B67E55">
      <w:pPr>
        <w:tabs>
          <w:tab w:val="left" w:pos="426"/>
          <w:tab w:val="left" w:pos="567"/>
        </w:tabs>
        <w:ind w:left="567" w:right="567" w:firstLine="66"/>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“Informe si derivado del retiro de cámaras de videovigilancia en domicilios particulares se presentaron: a) Quejas ante órganos de control. b) Denuncias administrativas. c) Juicios o amparos. indicando número de expediente y estatus” (Sic.)</w:t>
      </w:r>
    </w:p>
    <w:p w:rsidR="009432E4" w:rsidRDefault="009432E4">
      <w:pPr>
        <w:tabs>
          <w:tab w:val="left" w:pos="426"/>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6"/>
        </w:numPr>
        <w:pBdr>
          <w:top w:val="nil"/>
          <w:left w:val="nil"/>
          <w:bottom w:val="nil"/>
          <w:right w:val="nil"/>
          <w:between w:val="nil"/>
        </w:pBdr>
        <w:ind w:left="993" w:right="-141"/>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b/>
          <w:bCs/>
          <w:color w:val="000000"/>
          <w:sz w:val="24"/>
          <w:szCs w:val="24"/>
        </w:rPr>
        <w:t>Razones o Motivos de Inconformidad</w:t>
      </w:r>
      <w:r w:rsidRPr="001C2D3C">
        <w:rPr>
          <w:rFonts w:ascii="Palatino Linotype" w:eastAsia="Palatino Linotype" w:hAnsi="Palatino Linotype" w:cs="Palatino Linotype"/>
          <w:color w:val="000000"/>
          <w:sz w:val="24"/>
          <w:szCs w:val="24"/>
        </w:rPr>
        <w:t xml:space="preserve">: </w:t>
      </w:r>
    </w:p>
    <w:p w:rsidR="009432E4" w:rsidRPr="001C2D3C" w:rsidRDefault="00B67E55">
      <w:pPr>
        <w:tabs>
          <w:tab w:val="left" w:pos="426"/>
          <w:tab w:val="left" w:pos="567"/>
        </w:tabs>
        <w:ind w:left="567" w:right="567" w:firstLine="66"/>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w:t>
      </w:r>
      <w:r w:rsidRPr="001C2D3C">
        <w:rPr>
          <w:rFonts w:ascii="Palatino Linotype" w:eastAsia="Palatino Linotype" w:hAnsi="Palatino Linotype" w:cs="Palatino Linotype"/>
          <w:i/>
          <w:iCs/>
          <w:color w:val="000000"/>
          <w:sz w:val="24"/>
          <w:szCs w:val="24"/>
        </w:rPr>
        <w:lastRenderedPageBreak/>
        <w:t xml:space="preserve">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w:t>
      </w:r>
      <w:r w:rsidRPr="001C2D3C">
        <w:rPr>
          <w:rFonts w:ascii="Palatino Linotype" w:eastAsia="Palatino Linotype" w:hAnsi="Palatino Linotype" w:cs="Palatino Linotype"/>
          <w:i/>
          <w:iCs/>
          <w:color w:val="000000"/>
          <w:sz w:val="24"/>
          <w:szCs w:val="24"/>
        </w:rPr>
        <w:lastRenderedPageBreak/>
        <w:t>acompañado del acta del Comité de Transparencia donde conste la determinación correspondiente.”(Sic.)</w:t>
      </w:r>
    </w:p>
    <w:p w:rsidR="009432E4" w:rsidRPr="001C2D3C" w:rsidRDefault="009432E4">
      <w:pPr>
        <w:tabs>
          <w:tab w:val="left" w:pos="426"/>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tabs>
          <w:tab w:val="left" w:pos="426"/>
          <w:tab w:val="left" w:pos="567"/>
        </w:tabs>
        <w:spacing w:line="360" w:lineRule="auto"/>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b/>
          <w:bCs/>
          <w:color w:val="000000"/>
          <w:sz w:val="24"/>
          <w:szCs w:val="24"/>
        </w:rPr>
        <w:t>02293/INFOEM/IP/RR/2026</w:t>
      </w:r>
    </w:p>
    <w:p w:rsidR="009432E4" w:rsidRPr="001C2D3C" w:rsidRDefault="00B67E55">
      <w:pPr>
        <w:numPr>
          <w:ilvl w:val="0"/>
          <w:numId w:val="7"/>
        </w:numPr>
        <w:spacing w:line="259" w:lineRule="auto"/>
        <w:ind w:left="993" w:right="-141"/>
        <w:jc w:val="both"/>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 xml:space="preserve">Acto Impugnado: </w:t>
      </w:r>
    </w:p>
    <w:p w:rsidR="009432E4" w:rsidRPr="001C2D3C" w:rsidRDefault="00B67E55">
      <w:pPr>
        <w:tabs>
          <w:tab w:val="left" w:pos="426"/>
          <w:tab w:val="left" w:pos="567"/>
        </w:tabs>
        <w:ind w:left="567" w:right="567"/>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 xml:space="preserve"> “Informe si previo al retiro de cámaras de videovigilancia en domicilios particulares se inició procedimiento administrativo, indicando: a) Número de expediente. b) Autoridad que lo instruyó. c) Notificación al propietario. d) Resolución emitida” (Sic.)</w:t>
      </w:r>
    </w:p>
    <w:p w:rsidR="009432E4" w:rsidRPr="001C2D3C" w:rsidRDefault="009432E4">
      <w:pPr>
        <w:tabs>
          <w:tab w:val="left" w:pos="426"/>
          <w:tab w:val="left" w:pos="567"/>
        </w:tabs>
        <w:ind w:left="567" w:right="567"/>
        <w:jc w:val="both"/>
        <w:rPr>
          <w:rFonts w:ascii="Palatino Linotype" w:eastAsia="Palatino Linotype" w:hAnsi="Palatino Linotype" w:cs="Palatino Linotype"/>
          <w:i/>
          <w:iCs/>
          <w:color w:val="000000"/>
          <w:sz w:val="24"/>
          <w:szCs w:val="24"/>
        </w:rPr>
      </w:pPr>
    </w:p>
    <w:p w:rsidR="009432E4" w:rsidRPr="001C2D3C" w:rsidRDefault="00B67E55">
      <w:pPr>
        <w:numPr>
          <w:ilvl w:val="0"/>
          <w:numId w:val="6"/>
        </w:numPr>
        <w:pBdr>
          <w:top w:val="nil"/>
          <w:left w:val="nil"/>
          <w:bottom w:val="nil"/>
          <w:right w:val="nil"/>
          <w:between w:val="nil"/>
        </w:pBdr>
        <w:ind w:left="993" w:right="-141"/>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b/>
          <w:bCs/>
          <w:color w:val="000000"/>
          <w:sz w:val="24"/>
          <w:szCs w:val="24"/>
        </w:rPr>
        <w:t>Razones o Motivos de Inconformidad</w:t>
      </w:r>
      <w:r w:rsidRPr="001C2D3C">
        <w:rPr>
          <w:rFonts w:ascii="Palatino Linotype" w:eastAsia="Palatino Linotype" w:hAnsi="Palatino Linotype" w:cs="Palatino Linotype"/>
          <w:color w:val="000000"/>
          <w:sz w:val="24"/>
          <w:szCs w:val="24"/>
        </w:rPr>
        <w:t xml:space="preserve">: </w:t>
      </w:r>
    </w:p>
    <w:p w:rsidR="009432E4" w:rsidRPr="001C2D3C" w:rsidRDefault="00B67E55">
      <w:pPr>
        <w:tabs>
          <w:tab w:val="left" w:pos="426"/>
          <w:tab w:val="left" w:pos="567"/>
        </w:tabs>
        <w:ind w:left="567" w:right="567"/>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w:t>
      </w:r>
      <w:r w:rsidRPr="001C2D3C">
        <w:rPr>
          <w:rFonts w:ascii="Palatino Linotype" w:eastAsia="Palatino Linotype" w:hAnsi="Palatino Linotype" w:cs="Palatino Linotype"/>
          <w:i/>
          <w:iCs/>
          <w:color w:val="000000"/>
          <w:sz w:val="24"/>
          <w:szCs w:val="24"/>
        </w:rPr>
        <w:lastRenderedPageBreak/>
        <w:t>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rsidR="009432E4" w:rsidRPr="001C2D3C" w:rsidRDefault="009432E4">
      <w:pPr>
        <w:tabs>
          <w:tab w:val="left" w:pos="426"/>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La Comisionada Ponente con fundamento en lo dispuesto por el artículo 185 fracción II de la ley de la materia, a través de los acuerdos de admisión </w:t>
      </w:r>
      <w:r w:rsidRPr="001C2D3C">
        <w:rPr>
          <w:rFonts w:ascii="Palatino Linotype" w:eastAsia="Palatino Linotype" w:hAnsi="Palatino Linotype" w:cs="Palatino Linotype"/>
          <w:sz w:val="24"/>
          <w:szCs w:val="24"/>
        </w:rPr>
        <w:t>del</w:t>
      </w:r>
      <w:r w:rsidRPr="001C2D3C">
        <w:rPr>
          <w:rFonts w:ascii="Palatino Linotype" w:eastAsia="Palatino Linotype" w:hAnsi="Palatino Linotype" w:cs="Palatino Linotype"/>
          <w:color w:val="000000"/>
          <w:sz w:val="24"/>
          <w:szCs w:val="24"/>
        </w:rPr>
        <w:t xml:space="preserve"> </w:t>
      </w:r>
      <w:r w:rsidRPr="001C2D3C">
        <w:rPr>
          <w:rFonts w:ascii="Palatino Linotype" w:eastAsia="Palatino Linotype" w:hAnsi="Palatino Linotype" w:cs="Palatino Linotype"/>
          <w:b/>
          <w:bCs/>
          <w:color w:val="000000"/>
          <w:sz w:val="24"/>
          <w:szCs w:val="24"/>
        </w:rPr>
        <w:t>diecinueve y veinte de febrero de dos mil veintiséis</w:t>
      </w:r>
      <w:r w:rsidRPr="001C2D3C">
        <w:rPr>
          <w:rFonts w:ascii="Palatino Linotype" w:eastAsia="Palatino Linotype" w:hAnsi="Palatino Linotype" w:cs="Palatino Linotype"/>
          <w:color w:val="000000"/>
          <w:sz w:val="24"/>
          <w:szCs w:val="24"/>
        </w:rPr>
        <w:t xml:space="preserve">, puso a disposición de las partes el expediente electrónico vía </w:t>
      </w:r>
      <w:r w:rsidRPr="001C2D3C">
        <w:rPr>
          <w:rFonts w:ascii="Palatino Linotype" w:eastAsia="Palatino Linotype" w:hAnsi="Palatino Linotype" w:cs="Palatino Linotype"/>
          <w:b/>
          <w:bCs/>
          <w:color w:val="000000"/>
          <w:sz w:val="24"/>
          <w:szCs w:val="24"/>
        </w:rPr>
        <w:t xml:space="preserve">SAIMEX </w:t>
      </w:r>
      <w:r w:rsidRPr="001C2D3C">
        <w:rPr>
          <w:rFonts w:ascii="Palatino Linotype" w:eastAsia="Palatino Linotype" w:hAnsi="Palatino Linotype" w:cs="Palatino Linotype"/>
          <w:color w:val="000000"/>
          <w:sz w:val="24"/>
          <w:szCs w:val="24"/>
        </w:rPr>
        <w:t xml:space="preserve">a efecto de que en un plazo máximo de siete días </w:t>
      </w:r>
      <w:r w:rsidRPr="001C2D3C">
        <w:rPr>
          <w:rFonts w:ascii="Palatino Linotype" w:eastAsia="Palatino Linotype" w:hAnsi="Palatino Linotype" w:cs="Palatino Linotype"/>
          <w:sz w:val="24"/>
          <w:szCs w:val="24"/>
        </w:rPr>
        <w:t>manifestara</w:t>
      </w:r>
      <w:r w:rsidRPr="001C2D3C">
        <w:rPr>
          <w:rFonts w:ascii="Palatino Linotype" w:eastAsia="Palatino Linotype" w:hAnsi="Palatino Linotype" w:cs="Palatino Linotype"/>
          <w:color w:val="000000"/>
          <w:sz w:val="24"/>
          <w:szCs w:val="24"/>
        </w:rPr>
        <w:t xml:space="preserve"> lo que a su derecho conviniera, </w:t>
      </w:r>
      <w:r w:rsidRPr="001C2D3C">
        <w:rPr>
          <w:rFonts w:ascii="Palatino Linotype" w:eastAsia="Palatino Linotype" w:hAnsi="Palatino Linotype" w:cs="Palatino Linotype"/>
          <w:sz w:val="24"/>
          <w:szCs w:val="24"/>
        </w:rPr>
        <w:t>ofreciera</w:t>
      </w:r>
      <w:r w:rsidRPr="001C2D3C">
        <w:rPr>
          <w:rFonts w:ascii="Palatino Linotype" w:eastAsia="Palatino Linotype" w:hAnsi="Palatino Linotype" w:cs="Palatino Linotype"/>
          <w:color w:val="000000"/>
          <w:sz w:val="24"/>
          <w:szCs w:val="24"/>
        </w:rPr>
        <w:t xml:space="preserve"> pruebas y alegatos según corresponda a los casos concretos, y el </w:t>
      </w:r>
      <w:r w:rsidRPr="001C2D3C">
        <w:rPr>
          <w:rFonts w:ascii="Palatino Linotype" w:eastAsia="Palatino Linotype" w:hAnsi="Palatino Linotype" w:cs="Palatino Linotype"/>
          <w:b/>
          <w:bCs/>
          <w:color w:val="000000"/>
          <w:sz w:val="24"/>
          <w:szCs w:val="24"/>
        </w:rPr>
        <w:t>SUJETO OBLIGADO</w:t>
      </w:r>
      <w:r w:rsidRPr="001C2D3C">
        <w:rPr>
          <w:rFonts w:ascii="Palatino Linotype" w:eastAsia="Palatino Linotype" w:hAnsi="Palatino Linotype" w:cs="Palatino Linotype"/>
          <w:color w:val="000000"/>
          <w:sz w:val="24"/>
          <w:szCs w:val="24"/>
        </w:rPr>
        <w:t xml:space="preserve"> presentará el Informe Justificado procedente.</w:t>
      </w:r>
    </w:p>
    <w:p w:rsidR="009432E4" w:rsidRPr="001C2D3C" w:rsidRDefault="009432E4">
      <w:pPr>
        <w:pBdr>
          <w:top w:val="nil"/>
          <w:left w:val="nil"/>
          <w:bottom w:val="nil"/>
          <w:right w:val="nil"/>
          <w:between w:val="nil"/>
        </w:pBdr>
        <w:spacing w:line="360" w:lineRule="auto"/>
        <w:ind w:left="360"/>
        <w:jc w:val="both"/>
        <w:rPr>
          <w:rFonts w:ascii="Palatino Linotype" w:eastAsia="Palatino Linotype" w:hAnsi="Palatino Linotype" w:cs="Palatino Linotype"/>
          <w:sz w:val="24"/>
          <w:szCs w:val="24"/>
        </w:rPr>
      </w:pPr>
    </w:p>
    <w:p w:rsidR="009432E4" w:rsidRPr="001C2D3C" w:rsidRDefault="00B67E55">
      <w:pPr>
        <w:numPr>
          <w:ilvl w:val="0"/>
          <w:numId w:val="8"/>
        </w:numPr>
        <w:spacing w:line="360" w:lineRule="auto"/>
        <w:ind w:left="0" w:firstLine="0"/>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sz w:val="24"/>
          <w:szCs w:val="24"/>
        </w:rPr>
        <w:t xml:space="preserve">El </w:t>
      </w:r>
      <w:r w:rsidRPr="001C2D3C">
        <w:rPr>
          <w:rFonts w:ascii="Palatino Linotype" w:eastAsia="Palatino Linotype" w:hAnsi="Palatino Linotype" w:cs="Palatino Linotype"/>
          <w:b/>
          <w:bCs/>
          <w:sz w:val="24"/>
          <w:szCs w:val="24"/>
        </w:rPr>
        <w:t xml:space="preserve">SUJETO OBLIGADO </w:t>
      </w:r>
      <w:r w:rsidRPr="001C2D3C">
        <w:rPr>
          <w:rFonts w:ascii="Palatino Linotype" w:eastAsia="Palatino Linotype" w:hAnsi="Palatino Linotype" w:cs="Palatino Linotype"/>
          <w:sz w:val="24"/>
          <w:szCs w:val="24"/>
        </w:rPr>
        <w:t xml:space="preserve">rindió los informes justificados correspondientes en fecha </w:t>
      </w:r>
      <w:r w:rsidRPr="001C2D3C">
        <w:rPr>
          <w:rFonts w:ascii="Palatino Linotype" w:eastAsia="Palatino Linotype" w:hAnsi="Palatino Linotype" w:cs="Palatino Linotype"/>
          <w:b/>
          <w:bCs/>
          <w:sz w:val="24"/>
          <w:szCs w:val="24"/>
        </w:rPr>
        <w:t xml:space="preserve">veinticinco de febrero de dos mil veintiséis, </w:t>
      </w:r>
      <w:r w:rsidRPr="001C2D3C">
        <w:rPr>
          <w:rFonts w:ascii="Palatino Linotype" w:eastAsia="Palatino Linotype" w:hAnsi="Palatino Linotype" w:cs="Palatino Linotype"/>
          <w:sz w:val="24"/>
          <w:szCs w:val="24"/>
        </w:rPr>
        <w:t xml:space="preserve">mediante los siguientes archivos, que medularmente contienen lo siguiente: </w:t>
      </w:r>
    </w:p>
    <w:p w:rsidR="009432E4" w:rsidRPr="001C2D3C" w:rsidRDefault="00B67E55">
      <w:pPr>
        <w:pBdr>
          <w:top w:val="nil"/>
          <w:left w:val="nil"/>
          <w:bottom w:val="nil"/>
          <w:right w:val="nil"/>
          <w:between w:val="nil"/>
        </w:pBdr>
        <w:ind w:left="567"/>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color w:val="000000"/>
          <w:sz w:val="24"/>
          <w:szCs w:val="24"/>
        </w:rPr>
        <w:lastRenderedPageBreak/>
        <w:t>0</w:t>
      </w:r>
      <w:r w:rsidRPr="001C2D3C">
        <w:rPr>
          <w:rFonts w:ascii="Palatino Linotype" w:eastAsia="Palatino Linotype" w:hAnsi="Palatino Linotype" w:cs="Palatino Linotype"/>
          <w:b/>
          <w:bCs/>
          <w:color w:val="000000"/>
          <w:sz w:val="24"/>
          <w:szCs w:val="24"/>
        </w:rPr>
        <w:t xml:space="preserve">2288/INFOEM/IP/RR/2026 </w:t>
      </w:r>
    </w:p>
    <w:p w:rsidR="009432E4" w:rsidRPr="001C2D3C" w:rsidRDefault="009432E4">
      <w:pPr>
        <w:pBdr>
          <w:top w:val="nil"/>
          <w:left w:val="nil"/>
          <w:bottom w:val="nil"/>
          <w:right w:val="nil"/>
          <w:between w:val="nil"/>
        </w:pBdr>
        <w:ind w:left="567"/>
        <w:rPr>
          <w:rFonts w:ascii="Palatino Linotype" w:eastAsia="Palatino Linotype" w:hAnsi="Palatino Linotype" w:cs="Palatino Linotype"/>
          <w:b/>
          <w:bCs/>
          <w:color w:val="000000"/>
          <w:sz w:val="24"/>
          <w:szCs w:val="24"/>
        </w:rPr>
      </w:pPr>
    </w:p>
    <w:p w:rsidR="009432E4" w:rsidRPr="001C2D3C" w:rsidRDefault="00B67E55">
      <w:pPr>
        <w:numPr>
          <w:ilvl w:val="0"/>
          <w:numId w:val="1"/>
        </w:numPr>
        <w:pBdr>
          <w:top w:val="nil"/>
          <w:left w:val="nil"/>
          <w:bottom w:val="nil"/>
          <w:right w:val="nil"/>
          <w:between w:val="nil"/>
        </w:pBdr>
        <w:tabs>
          <w:tab w:val="left" w:pos="8647"/>
        </w:tabs>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 xml:space="preserve">DJM-TEP-39-2026.pdf: </w:t>
      </w:r>
      <w:r w:rsidRPr="001C2D3C">
        <w:rPr>
          <w:rFonts w:ascii="Palatino Linotype" w:eastAsia="Palatino Linotype" w:hAnsi="Palatino Linotype" w:cs="Palatino Linotype"/>
          <w:color w:val="000000"/>
          <w:sz w:val="24"/>
          <w:szCs w:val="24"/>
        </w:rPr>
        <w:t xml:space="preserve">Oficio DJM/TEP/39/2026 de fecha diez de febrero de dos mil veintiséis, suscrito por el Director Jurídico de Tepotzotlán, a través del cual informa que en esa Dirección no existe archivo de juicio o amparos interpuestos, bajo los términos mencionado en su solicitud, reiterando que se encuentra comprometido con la entrega de información pública existente; sin embargo no está obligado a generar documentos, bases de datos, o relaciones </w:t>
      </w:r>
      <w:r w:rsidRPr="001C2D3C">
        <w:rPr>
          <w:rFonts w:ascii="Palatino Linotype" w:eastAsia="Palatino Linotype" w:hAnsi="Palatino Linotype" w:cs="Palatino Linotype"/>
          <w:sz w:val="24"/>
          <w:szCs w:val="24"/>
        </w:rPr>
        <w:t>específicas</w:t>
      </w:r>
      <w:r w:rsidRPr="001C2D3C">
        <w:rPr>
          <w:rFonts w:ascii="Palatino Linotype" w:eastAsia="Palatino Linotype" w:hAnsi="Palatino Linotype" w:cs="Palatino Linotype"/>
          <w:color w:val="000000"/>
          <w:sz w:val="24"/>
          <w:szCs w:val="24"/>
        </w:rPr>
        <w:t xml:space="preserve"> que no obren en sus archivos, ni realizar interpretaciones o valoraciones jurídicas para atender la solicitud.</w:t>
      </w:r>
      <w:r w:rsidRPr="001C2D3C">
        <w:rPr>
          <w:rFonts w:ascii="Palatino Linotype" w:eastAsia="Palatino Linotype" w:hAnsi="Palatino Linotype" w:cs="Palatino Linotype"/>
          <w:b/>
          <w:bCs/>
          <w:color w:val="000000"/>
          <w:sz w:val="24"/>
          <w:szCs w:val="24"/>
        </w:rPr>
        <w:t xml:space="preserve"> </w:t>
      </w:r>
    </w:p>
    <w:p w:rsidR="009432E4" w:rsidRPr="001C2D3C" w:rsidRDefault="009432E4">
      <w:pPr>
        <w:pBdr>
          <w:top w:val="nil"/>
          <w:left w:val="nil"/>
          <w:bottom w:val="nil"/>
          <w:right w:val="nil"/>
          <w:between w:val="nil"/>
        </w:pBdr>
        <w:ind w:left="1287"/>
        <w:rPr>
          <w:rFonts w:ascii="Palatino Linotype" w:eastAsia="Palatino Linotype" w:hAnsi="Palatino Linotype" w:cs="Palatino Linotype"/>
          <w:b/>
          <w:bCs/>
          <w:color w:val="000000"/>
          <w:sz w:val="24"/>
          <w:szCs w:val="24"/>
        </w:rPr>
      </w:pPr>
    </w:p>
    <w:p w:rsidR="009432E4" w:rsidRPr="001C2D3C" w:rsidRDefault="00B67E55">
      <w:pPr>
        <w:numPr>
          <w:ilvl w:val="0"/>
          <w:numId w:val="1"/>
        </w:numPr>
        <w:pBdr>
          <w:top w:val="nil"/>
          <w:left w:val="nil"/>
          <w:bottom w:val="nil"/>
          <w:right w:val="nil"/>
          <w:between w:val="nil"/>
        </w:pBdr>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 xml:space="preserve">OICMT0-198-2026.pdf: </w:t>
      </w:r>
      <w:r w:rsidRPr="001C2D3C">
        <w:rPr>
          <w:rFonts w:ascii="Palatino Linotype" w:eastAsia="Palatino Linotype" w:hAnsi="Palatino Linotype" w:cs="Palatino Linotype"/>
          <w:color w:val="000000"/>
          <w:sz w:val="24"/>
          <w:szCs w:val="24"/>
        </w:rPr>
        <w:t>Similar OICMT0/198/2026 de fecha trece de febrero de dos mil veintiséis, suscrito por la Titular del Órgano interno de Control, mediante el cual informa que en esa Unidad Administrativa no existe información alguna respecto a lo solicitado.</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b/>
          <w:bCs/>
          <w:sz w:val="24"/>
          <w:szCs w:val="24"/>
        </w:rPr>
      </w:pPr>
    </w:p>
    <w:p w:rsidR="009432E4" w:rsidRPr="001C2D3C" w:rsidRDefault="009432E4">
      <w:pPr>
        <w:pBdr>
          <w:top w:val="nil"/>
          <w:left w:val="nil"/>
          <w:bottom w:val="nil"/>
          <w:right w:val="nil"/>
          <w:between w:val="nil"/>
        </w:pBdr>
        <w:ind w:left="720"/>
        <w:rPr>
          <w:rFonts w:ascii="Palatino Linotype" w:eastAsia="Palatino Linotype" w:hAnsi="Palatino Linotype" w:cs="Palatino Linotype"/>
          <w:b/>
          <w:bCs/>
          <w:sz w:val="24"/>
          <w:szCs w:val="24"/>
        </w:rPr>
      </w:pPr>
    </w:p>
    <w:p w:rsidR="009432E4" w:rsidRPr="001C2D3C" w:rsidRDefault="00B67E55">
      <w:pPr>
        <w:ind w:left="567"/>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02293/INFOEM/IP/RR/2026</w:t>
      </w:r>
    </w:p>
    <w:p w:rsidR="009432E4" w:rsidRPr="001C2D3C" w:rsidRDefault="009432E4">
      <w:pPr>
        <w:pBdr>
          <w:top w:val="nil"/>
          <w:left w:val="nil"/>
          <w:bottom w:val="nil"/>
          <w:right w:val="nil"/>
          <w:between w:val="nil"/>
        </w:pBdr>
        <w:ind w:left="567"/>
        <w:rPr>
          <w:rFonts w:ascii="Palatino Linotype" w:eastAsia="Palatino Linotype" w:hAnsi="Palatino Linotype" w:cs="Palatino Linotype"/>
          <w:b/>
          <w:bCs/>
          <w:color w:val="000000"/>
          <w:sz w:val="24"/>
          <w:szCs w:val="24"/>
        </w:rPr>
      </w:pPr>
    </w:p>
    <w:p w:rsidR="009432E4" w:rsidRPr="001C2D3C" w:rsidRDefault="00B67E55">
      <w:pPr>
        <w:numPr>
          <w:ilvl w:val="0"/>
          <w:numId w:val="2"/>
        </w:numPr>
        <w:pBdr>
          <w:top w:val="nil"/>
          <w:left w:val="nil"/>
          <w:bottom w:val="nil"/>
          <w:right w:val="nil"/>
          <w:between w:val="nil"/>
        </w:pBdr>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 xml:space="preserve">OICMT-197-2026.pdf: </w:t>
      </w:r>
      <w:r w:rsidRPr="001C2D3C">
        <w:rPr>
          <w:rFonts w:ascii="Palatino Linotype" w:eastAsia="Palatino Linotype" w:hAnsi="Palatino Linotype" w:cs="Palatino Linotype"/>
          <w:color w:val="000000"/>
          <w:sz w:val="24"/>
          <w:szCs w:val="24"/>
        </w:rPr>
        <w:t>Oficio OICMT/197/2026 de fecha trece de octubre de dos mil veintiséis, suscrito por la Titular del Órgano Interno de Control, a través del cual informa que en esa área no existe información alguna respecto a lo solicitado.</w:t>
      </w:r>
    </w:p>
    <w:p w:rsidR="009432E4" w:rsidRPr="001C2D3C" w:rsidRDefault="009432E4">
      <w:pPr>
        <w:tabs>
          <w:tab w:val="left" w:pos="426"/>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sz w:val="24"/>
          <w:szCs w:val="24"/>
        </w:rPr>
      </w:pPr>
      <w:bookmarkStart w:id="4" w:name="_heading=h.c4xaz9kzkbiu" w:colFirst="0" w:colLast="0"/>
      <w:bookmarkEnd w:id="4"/>
      <w:r w:rsidRPr="001C2D3C">
        <w:rPr>
          <w:rFonts w:ascii="Palatino Linotype" w:eastAsia="Palatino Linotype" w:hAnsi="Palatino Linotype" w:cs="Palatino Linotype"/>
          <w:color w:val="000000"/>
          <w:sz w:val="24"/>
          <w:szCs w:val="24"/>
        </w:rPr>
        <w:t>Por su parte, la parte</w:t>
      </w:r>
      <w:r w:rsidRPr="001C2D3C">
        <w:rPr>
          <w:rFonts w:ascii="Palatino Linotype" w:eastAsia="Palatino Linotype" w:hAnsi="Palatino Linotype" w:cs="Palatino Linotype"/>
          <w:b/>
          <w:bCs/>
          <w:color w:val="000000"/>
          <w:sz w:val="24"/>
          <w:szCs w:val="24"/>
        </w:rPr>
        <w:t xml:space="preserve"> RECURRENTE </w:t>
      </w:r>
      <w:r w:rsidRPr="001C2D3C">
        <w:rPr>
          <w:rFonts w:ascii="Palatino Linotype" w:eastAsia="Palatino Linotype" w:hAnsi="Palatino Linotype" w:cs="Palatino Linotype"/>
          <w:color w:val="000000"/>
          <w:sz w:val="24"/>
          <w:szCs w:val="24"/>
        </w:rPr>
        <w:t xml:space="preserve">dejó de realizar manifestaciones que a su derecho conviniera y asistiera. </w:t>
      </w:r>
    </w:p>
    <w:p w:rsidR="009432E4" w:rsidRPr="001C2D3C" w:rsidRDefault="009432E4">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El </w:t>
      </w:r>
      <w:r w:rsidRPr="001C2D3C">
        <w:rPr>
          <w:rFonts w:ascii="Palatino Linotype" w:eastAsia="Palatino Linotype" w:hAnsi="Palatino Linotype" w:cs="Palatino Linotype"/>
          <w:b/>
          <w:bCs/>
          <w:color w:val="000000"/>
          <w:sz w:val="24"/>
          <w:szCs w:val="24"/>
        </w:rPr>
        <w:t>veintisiete de abril de dos mil veintiséis</w:t>
      </w:r>
      <w:r w:rsidRPr="001C2D3C">
        <w:rPr>
          <w:rFonts w:ascii="Palatino Linotype" w:eastAsia="Palatino Linotype" w:hAnsi="Palatino Linotype" w:cs="Palatino Linotype"/>
          <w:color w:val="000000"/>
          <w:sz w:val="24"/>
          <w:szCs w:val="24"/>
        </w:rPr>
        <w:t xml:space="preserve">, se notificó vía SAIMEX, el acuerdo en el que, con el propósito de privilegiar la resolución expedita y evitar resoluciones contradictorias, con fundamento en el artículo 18 del Código de Procedimientos Administrativos del Estado de México, de aplicación supletoria a la Ley de Transparencia y Acceso a la Información </w:t>
      </w:r>
      <w:r w:rsidRPr="001C2D3C">
        <w:rPr>
          <w:rFonts w:ascii="Palatino Linotype" w:eastAsia="Palatino Linotype" w:hAnsi="Palatino Linotype" w:cs="Palatino Linotype"/>
          <w:color w:val="000000"/>
          <w:sz w:val="24"/>
          <w:szCs w:val="24"/>
        </w:rPr>
        <w:lastRenderedPageBreak/>
        <w:t>Pública del Estado de México y Municipios, según lo previsto en su artículo 195, se acordó la acumulación del Recurso de Revisión, 0</w:t>
      </w:r>
      <w:r w:rsidRPr="001C2D3C">
        <w:rPr>
          <w:rFonts w:ascii="Palatino Linotype" w:eastAsia="Palatino Linotype" w:hAnsi="Palatino Linotype" w:cs="Palatino Linotype"/>
          <w:b/>
          <w:bCs/>
          <w:color w:val="000000"/>
          <w:sz w:val="24"/>
          <w:szCs w:val="24"/>
        </w:rPr>
        <w:t>2293/INFOEM/IP/RR/2026</w:t>
      </w:r>
      <w:r w:rsidRPr="001C2D3C">
        <w:rPr>
          <w:rFonts w:ascii="Palatino Linotype" w:eastAsia="Palatino Linotype" w:hAnsi="Palatino Linotype" w:cs="Palatino Linotype"/>
          <w:color w:val="000000"/>
          <w:sz w:val="24"/>
          <w:szCs w:val="24"/>
        </w:rPr>
        <w:t>, al diverso 0</w:t>
      </w:r>
      <w:r w:rsidRPr="001C2D3C">
        <w:rPr>
          <w:rFonts w:ascii="Palatino Linotype" w:eastAsia="Palatino Linotype" w:hAnsi="Palatino Linotype" w:cs="Palatino Linotype"/>
          <w:b/>
          <w:bCs/>
          <w:color w:val="000000"/>
          <w:sz w:val="24"/>
          <w:szCs w:val="24"/>
        </w:rPr>
        <w:t>2288/INFOEM/IP/RR/2026</w:t>
      </w:r>
      <w:r w:rsidRPr="001C2D3C">
        <w:rPr>
          <w:rFonts w:ascii="Palatino Linotype" w:eastAsia="Palatino Linotype" w:hAnsi="Palatino Linotype" w:cs="Palatino Linotype"/>
          <w:color w:val="000000"/>
          <w:sz w:val="24"/>
          <w:szCs w:val="24"/>
        </w:rPr>
        <w:t>, por ser este último el más antiguo, sustanciado bajo el índice de esta Ponencia, al advertir conexidad entre estos, ya que fueron promovidos por la misma persona, en los que se señaló como Sujeto Obligado al Ayuntamiento de Tepotzotlán.</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0"/>
          <w:tab w:val="left" w:pos="567"/>
        </w:tabs>
        <w:spacing w:line="360" w:lineRule="auto"/>
        <w:ind w:left="0" w:firstLine="0"/>
        <w:jc w:val="both"/>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color w:val="000000"/>
          <w:sz w:val="24"/>
          <w:szCs w:val="24"/>
        </w:rPr>
        <w:t xml:space="preserve">El </w:t>
      </w:r>
      <w:r w:rsidRPr="001C2D3C">
        <w:rPr>
          <w:rFonts w:ascii="Palatino Linotype" w:eastAsia="Palatino Linotype" w:hAnsi="Palatino Linotype" w:cs="Palatino Linotype"/>
          <w:b/>
          <w:bCs/>
          <w:color w:val="000000"/>
          <w:sz w:val="24"/>
          <w:szCs w:val="24"/>
        </w:rPr>
        <w:t>veintisiete de abril de dos mil veintiséis</w:t>
      </w:r>
      <w:r w:rsidRPr="001C2D3C">
        <w:rPr>
          <w:rFonts w:ascii="Palatino Linotype" w:eastAsia="Palatino Linotype" w:hAnsi="Palatino Linotype" w:cs="Palatino Linotype"/>
          <w:color w:val="000000"/>
          <w:sz w:val="24"/>
          <w:szCs w:val="24"/>
        </w:rPr>
        <w:t>, se notificó el acuerdo mediante el cual se amplió el plazo para emitir resolución por un término de 15 días adicionales.</w:t>
      </w:r>
    </w:p>
    <w:p w:rsidR="009432E4" w:rsidRPr="001C2D3C" w:rsidRDefault="009432E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La Comisionada Ponente decretó los cierres de instrucción mediante </w:t>
      </w:r>
      <w:r w:rsidRPr="001C2D3C">
        <w:rPr>
          <w:rFonts w:ascii="Palatino Linotype" w:eastAsia="Palatino Linotype" w:hAnsi="Palatino Linotype" w:cs="Palatino Linotype"/>
          <w:b/>
          <w:bCs/>
          <w:color w:val="000000"/>
          <w:sz w:val="24"/>
          <w:szCs w:val="24"/>
        </w:rPr>
        <w:t>acuerdos del seis de mayo de dos mil veintiséis</w:t>
      </w:r>
      <w:r w:rsidRPr="001C2D3C">
        <w:rPr>
          <w:rFonts w:ascii="Palatino Linotype" w:eastAsia="Palatino Linotype" w:hAnsi="Palatino Linotype" w:cs="Palatino Linotype"/>
          <w:color w:val="000000"/>
          <w:sz w:val="24"/>
          <w:szCs w:val="24"/>
        </w:rPr>
        <w:t xml:space="preserve">; por lo que se ordenó turnar el expediente a resolución, misma que ahora se pronuncia; y </w:t>
      </w:r>
    </w:p>
    <w:p w:rsidR="009432E4" w:rsidRPr="001C2D3C" w:rsidRDefault="00B67E55">
      <w:pPr>
        <w:pStyle w:val="Ttulo1"/>
        <w:jc w:val="center"/>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C</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O</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N</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S</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I</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D</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E</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R</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A</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N</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D</w:t>
      </w:r>
      <w:r w:rsidR="001C2D3C">
        <w:rPr>
          <w:rFonts w:ascii="Palatino Linotype" w:eastAsia="Palatino Linotype" w:hAnsi="Palatino Linotype" w:cs="Palatino Linotype"/>
          <w:b/>
          <w:bCs/>
          <w:color w:val="000000"/>
          <w:sz w:val="24"/>
          <w:szCs w:val="24"/>
        </w:rPr>
        <w:t xml:space="preserve"> </w:t>
      </w:r>
      <w:r w:rsidRPr="001C2D3C">
        <w:rPr>
          <w:rFonts w:ascii="Palatino Linotype" w:eastAsia="Palatino Linotype" w:hAnsi="Palatino Linotype" w:cs="Palatino Linotype"/>
          <w:b/>
          <w:bCs/>
          <w:color w:val="000000"/>
          <w:sz w:val="24"/>
          <w:szCs w:val="24"/>
        </w:rPr>
        <w:t xml:space="preserve">O </w:t>
      </w:r>
    </w:p>
    <w:p w:rsidR="009432E4" w:rsidRPr="001C2D3C" w:rsidRDefault="009432E4">
      <w:pPr>
        <w:rPr>
          <w:rFonts w:ascii="Palatino Linotype" w:eastAsia="Palatino Linotype" w:hAnsi="Palatino Linotype" w:cs="Palatino Linotype"/>
          <w:sz w:val="24"/>
          <w:szCs w:val="24"/>
        </w:rPr>
      </w:pPr>
    </w:p>
    <w:p w:rsidR="009432E4" w:rsidRPr="001C2D3C" w:rsidRDefault="00B67E55">
      <w:pPr>
        <w:pStyle w:val="Ttulo2"/>
        <w:rPr>
          <w:rFonts w:ascii="Palatino Linotype" w:eastAsia="Palatino Linotype" w:hAnsi="Palatino Linotype" w:cs="Palatino Linotype"/>
          <w:b/>
          <w:bCs/>
          <w:color w:val="000000"/>
          <w:sz w:val="24"/>
          <w:szCs w:val="24"/>
        </w:rPr>
      </w:pPr>
      <w:bookmarkStart w:id="5" w:name="_heading=h.3znysh7" w:colFirst="0" w:colLast="0"/>
      <w:bookmarkEnd w:id="5"/>
      <w:r w:rsidRPr="001C2D3C">
        <w:rPr>
          <w:rFonts w:ascii="Palatino Linotype" w:eastAsia="Palatino Linotype" w:hAnsi="Palatino Linotype" w:cs="Palatino Linotype"/>
          <w:b/>
          <w:bCs/>
          <w:color w:val="000000"/>
          <w:sz w:val="24"/>
          <w:szCs w:val="24"/>
        </w:rPr>
        <w:t>PRIMERO. De la competencia</w:t>
      </w:r>
    </w:p>
    <w:p w:rsidR="009432E4" w:rsidRPr="001C2D3C" w:rsidRDefault="00B67E55">
      <w:pPr>
        <w:numPr>
          <w:ilvl w:val="0"/>
          <w:numId w:val="8"/>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w:t>
      </w:r>
      <w:r w:rsidRPr="001C2D3C">
        <w:rPr>
          <w:rFonts w:ascii="Palatino Linotype" w:eastAsia="Palatino Linotype" w:hAnsi="Palatino Linotype" w:cs="Palatino Linotype"/>
          <w:b/>
          <w:bCs/>
          <w:color w:val="000000"/>
          <w:sz w:val="24"/>
          <w:szCs w:val="24"/>
        </w:rPr>
        <w:t>Constitución Política de los Estados Unidos Mexicanos</w:t>
      </w:r>
      <w:r w:rsidRPr="001C2D3C">
        <w:rPr>
          <w:rFonts w:ascii="Palatino Linotype" w:eastAsia="Palatino Linotype" w:hAnsi="Palatino Linotype" w:cs="Palatino Linotype"/>
          <w:color w:val="000000"/>
          <w:sz w:val="24"/>
          <w:szCs w:val="24"/>
        </w:rPr>
        <w:t xml:space="preserve">; 5, párrafos trigésimo séptimo, trigésimo octavo y trigésimo noveno, fracciones IV y V, de la </w:t>
      </w:r>
      <w:r w:rsidRPr="001C2D3C">
        <w:rPr>
          <w:rFonts w:ascii="Palatino Linotype" w:eastAsia="Palatino Linotype" w:hAnsi="Palatino Linotype" w:cs="Palatino Linotype"/>
          <w:b/>
          <w:bCs/>
          <w:color w:val="000000"/>
          <w:sz w:val="24"/>
          <w:szCs w:val="24"/>
        </w:rPr>
        <w:t>Constitución Política del Estado Libre y Soberano de México</w:t>
      </w:r>
      <w:r w:rsidRPr="001C2D3C">
        <w:rPr>
          <w:rFonts w:ascii="Palatino Linotype" w:eastAsia="Palatino Linotype" w:hAnsi="Palatino Linotype" w:cs="Palatino Linotype"/>
          <w:color w:val="000000"/>
          <w:sz w:val="24"/>
          <w:szCs w:val="24"/>
        </w:rPr>
        <w:t xml:space="preserve">; artículos 1, 2 fracción II, 13, 29, 36 fracciones I y II, 176, 178, 179, 181 párrafo tercero y 185 de la </w:t>
      </w:r>
      <w:r w:rsidRPr="001C2D3C">
        <w:rPr>
          <w:rFonts w:ascii="Palatino Linotype" w:eastAsia="Palatino Linotype" w:hAnsi="Palatino Linotype" w:cs="Palatino Linotype"/>
          <w:b/>
          <w:bCs/>
          <w:color w:val="000000"/>
          <w:sz w:val="24"/>
          <w:szCs w:val="24"/>
        </w:rPr>
        <w:t>Ley de Transparencia y Acceso a la Información Pública del Estado de México y Municipios</w:t>
      </w:r>
      <w:r w:rsidRPr="001C2D3C">
        <w:rPr>
          <w:rFonts w:ascii="Palatino Linotype" w:eastAsia="Palatino Linotype" w:hAnsi="Palatino Linotype" w:cs="Palatino Linotype"/>
          <w:color w:val="000000"/>
          <w:sz w:val="24"/>
          <w:szCs w:val="24"/>
        </w:rPr>
        <w:t xml:space="preserve">; y 7, 9 fracciones I y XXIII, y 11 del </w:t>
      </w:r>
      <w:r w:rsidRPr="001C2D3C">
        <w:rPr>
          <w:rFonts w:ascii="Palatino Linotype" w:eastAsia="Palatino Linotype" w:hAnsi="Palatino Linotype" w:cs="Palatino Linotype"/>
          <w:b/>
          <w:bCs/>
          <w:color w:val="000000"/>
          <w:sz w:val="24"/>
          <w:szCs w:val="24"/>
        </w:rPr>
        <w:t xml:space="preserve">Reglamento Interior del Instituto de </w:t>
      </w:r>
      <w:r w:rsidRPr="001C2D3C">
        <w:rPr>
          <w:rFonts w:ascii="Palatino Linotype" w:eastAsia="Palatino Linotype" w:hAnsi="Palatino Linotype" w:cs="Palatino Linotype"/>
          <w:b/>
          <w:bCs/>
          <w:color w:val="000000"/>
          <w:sz w:val="24"/>
          <w:szCs w:val="24"/>
        </w:rPr>
        <w:lastRenderedPageBreak/>
        <w:t>Transparencia, Acceso a la Información Pública y Protección de Datos Personales del Estado de México y Municipios.</w:t>
      </w:r>
    </w:p>
    <w:p w:rsidR="009432E4" w:rsidRPr="001C2D3C" w:rsidRDefault="00B67E55">
      <w:pPr>
        <w:pStyle w:val="Ttulo2"/>
        <w:rPr>
          <w:rFonts w:ascii="Palatino Linotype" w:eastAsia="Palatino Linotype" w:hAnsi="Palatino Linotype" w:cs="Palatino Linotype"/>
          <w:b/>
          <w:bCs/>
          <w:color w:val="000000"/>
          <w:sz w:val="24"/>
          <w:szCs w:val="24"/>
        </w:rPr>
      </w:pPr>
      <w:bookmarkStart w:id="6" w:name="_heading=h.2et92p0" w:colFirst="0" w:colLast="0"/>
      <w:bookmarkEnd w:id="6"/>
      <w:r w:rsidRPr="001C2D3C">
        <w:rPr>
          <w:rFonts w:ascii="Palatino Linotype" w:eastAsia="Palatino Linotype" w:hAnsi="Palatino Linotype" w:cs="Palatino Linotype"/>
          <w:b/>
          <w:bCs/>
          <w:color w:val="000000"/>
          <w:sz w:val="24"/>
          <w:szCs w:val="24"/>
        </w:rPr>
        <w:t>SEGUNDO. De la oportunidad y procedencia.</w:t>
      </w:r>
    </w:p>
    <w:p w:rsidR="009432E4" w:rsidRPr="001C2D3C" w:rsidRDefault="00B67E55">
      <w:pPr>
        <w:numPr>
          <w:ilvl w:val="0"/>
          <w:numId w:val="8"/>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sz w:val="24"/>
          <w:szCs w:val="24"/>
        </w:rPr>
        <w:t xml:space="preserve">Es de precisar, que la Ley de Transparencia y Acceso a la Información Pública del Estado de México y Municipios, en el artículo 178 describe la procedencia del recurso de revisión, asimismo señala que el plazo del </w:t>
      </w:r>
      <w:r w:rsidRPr="001C2D3C">
        <w:rPr>
          <w:rFonts w:ascii="Palatino Linotype" w:eastAsia="Palatino Linotype" w:hAnsi="Palatino Linotype" w:cs="Palatino Linotype"/>
          <w:b/>
          <w:bCs/>
          <w:sz w:val="24"/>
          <w:szCs w:val="24"/>
        </w:rPr>
        <w:t>SUJETO OBLIGADO</w:t>
      </w:r>
      <w:r w:rsidRPr="001C2D3C">
        <w:rPr>
          <w:rFonts w:ascii="Palatino Linotype" w:eastAsia="Palatino Linotype" w:hAnsi="Palatino Linotype" w:cs="Palatino Linotype"/>
          <w:sz w:val="24"/>
          <w:szCs w:val="24"/>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9432E4" w:rsidRPr="001C2D3C" w:rsidRDefault="009432E4">
      <w:pPr>
        <w:tabs>
          <w:tab w:val="left" w:pos="284"/>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sz w:val="24"/>
          <w:szCs w:val="24"/>
        </w:rPr>
        <w:t xml:space="preserve">Por ende, se constituye la figura jurídica de la </w:t>
      </w:r>
      <w:r w:rsidRPr="001C2D3C">
        <w:rPr>
          <w:rFonts w:ascii="Palatino Linotype" w:eastAsia="Palatino Linotype" w:hAnsi="Palatino Linotype" w:cs="Palatino Linotype"/>
          <w:i/>
          <w:iCs/>
          <w:sz w:val="24"/>
          <w:szCs w:val="24"/>
        </w:rPr>
        <w:t>negativa ficta</w:t>
      </w:r>
      <w:r w:rsidRPr="001C2D3C">
        <w:rPr>
          <w:rFonts w:ascii="Palatino Linotype" w:eastAsia="Palatino Linotype" w:hAnsi="Palatino Linotype" w:cs="Palatino Linotype"/>
          <w:sz w:val="24"/>
          <w:szCs w:val="24"/>
        </w:rPr>
        <w:t xml:space="preserve">, cuya esencia es atribuir un efecto negativo al silencio de la autoridad administrativa frente a las instancias y solicitudes que hagan los particulares, lo cual encuentra sustento en lo que establece el artículo </w:t>
      </w:r>
      <w:r w:rsidRPr="001C2D3C">
        <w:rPr>
          <w:rFonts w:ascii="Palatino Linotype" w:eastAsia="Palatino Linotype" w:hAnsi="Palatino Linotype" w:cs="Palatino Linotype"/>
          <w:b/>
          <w:bCs/>
          <w:sz w:val="24"/>
          <w:szCs w:val="24"/>
        </w:rPr>
        <w:t>178</w:t>
      </w:r>
      <w:r w:rsidRPr="001C2D3C">
        <w:rPr>
          <w:rFonts w:ascii="Palatino Linotype" w:eastAsia="Palatino Linotype" w:hAnsi="Palatino Linotype" w:cs="Palatino Linotype"/>
          <w:sz w:val="24"/>
          <w:szCs w:val="24"/>
        </w:rPr>
        <w:t xml:space="preserve"> segundo párrafo de </w:t>
      </w:r>
      <w:r w:rsidRPr="001C2D3C">
        <w:rPr>
          <w:rFonts w:ascii="Palatino Linotype" w:eastAsia="Palatino Linotype" w:hAnsi="Palatino Linotype" w:cs="Palatino Linotype"/>
          <w:b/>
          <w:bCs/>
          <w:sz w:val="24"/>
          <w:szCs w:val="24"/>
        </w:rPr>
        <w:t>Ley de Transparencia y Acceso a la Información Pública del Estado de México y Municipios</w:t>
      </w:r>
      <w:r w:rsidRPr="001C2D3C">
        <w:rPr>
          <w:rFonts w:ascii="Palatino Linotype" w:eastAsia="Palatino Linotype" w:hAnsi="Palatino Linotype" w:cs="Palatino Linotype"/>
          <w:color w:val="000000"/>
          <w:sz w:val="24"/>
          <w:szCs w:val="24"/>
        </w:rPr>
        <w:t xml:space="preserve">, que dispone; ante la falta de respuesta del </w:t>
      </w:r>
      <w:r w:rsidRPr="001C2D3C">
        <w:rPr>
          <w:rFonts w:ascii="Palatino Linotype" w:eastAsia="Palatino Linotype" w:hAnsi="Palatino Linotype" w:cs="Palatino Linotype"/>
          <w:b/>
          <w:bCs/>
          <w:color w:val="000000"/>
          <w:sz w:val="24"/>
          <w:szCs w:val="24"/>
        </w:rPr>
        <w:t>SUJETO OBLIGADO,</w:t>
      </w:r>
      <w:r w:rsidRPr="001C2D3C">
        <w:rPr>
          <w:rFonts w:ascii="Palatino Linotype" w:eastAsia="Palatino Linotype" w:hAnsi="Palatino Linotype" w:cs="Palatino Linotype"/>
          <w:color w:val="000000"/>
          <w:sz w:val="24"/>
          <w:szCs w:val="24"/>
        </w:rPr>
        <w:t xml:space="preserve"> dentro de los plazos establecidos en esta Ley, a una solicitud de acceso a la información pública, el recurso </w:t>
      </w:r>
      <w:r w:rsidRPr="001C2D3C">
        <w:rPr>
          <w:rFonts w:ascii="Palatino Linotype" w:eastAsia="Palatino Linotype" w:hAnsi="Palatino Linotype" w:cs="Palatino Linotype"/>
          <w:b/>
          <w:bCs/>
          <w:color w:val="000000"/>
          <w:sz w:val="24"/>
          <w:szCs w:val="24"/>
        </w:rPr>
        <w:t xml:space="preserve">podrá ser interpuesto en cualquier momento. </w:t>
      </w:r>
    </w:p>
    <w:p w:rsidR="009432E4" w:rsidRPr="001C2D3C" w:rsidRDefault="009432E4">
      <w:pPr>
        <w:tabs>
          <w:tab w:val="left" w:pos="284"/>
        </w:tabs>
        <w:rPr>
          <w:rFonts w:ascii="Palatino Linotype" w:eastAsia="Palatino Linotype" w:hAnsi="Palatino Linotype" w:cs="Palatino Linotype"/>
          <w:color w:val="000000"/>
          <w:sz w:val="24"/>
          <w:szCs w:val="24"/>
        </w:rPr>
      </w:pPr>
    </w:p>
    <w:p w:rsidR="009432E4" w:rsidRPr="001C2D3C" w:rsidRDefault="00B67E55">
      <w:pPr>
        <w:numPr>
          <w:ilvl w:val="0"/>
          <w:numId w:val="8"/>
        </w:numPr>
        <w:tabs>
          <w:tab w:val="left" w:pos="284"/>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sz w:val="24"/>
          <w:szCs w:val="24"/>
        </w:rPr>
        <w:t xml:space="preserve">Por lo que, tratándose de la </w:t>
      </w:r>
      <w:r w:rsidRPr="001C2D3C">
        <w:rPr>
          <w:rFonts w:ascii="Palatino Linotype" w:eastAsia="Palatino Linotype" w:hAnsi="Palatino Linotype" w:cs="Palatino Linotype"/>
          <w:i/>
          <w:iCs/>
          <w:sz w:val="24"/>
          <w:szCs w:val="24"/>
        </w:rPr>
        <w:t>negativa ficta</w:t>
      </w:r>
      <w:r w:rsidRPr="001C2D3C">
        <w:rPr>
          <w:rFonts w:ascii="Palatino Linotype" w:eastAsia="Palatino Linotype" w:hAnsi="Palatino Linotype" w:cs="Palatino Linotype"/>
          <w:sz w:val="24"/>
          <w:szCs w:val="24"/>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w:t>
      </w:r>
      <w:r w:rsidRPr="001C2D3C">
        <w:rPr>
          <w:rFonts w:ascii="Palatino Linotype" w:eastAsia="Palatino Linotype" w:hAnsi="Palatino Linotype" w:cs="Palatino Linotype"/>
          <w:sz w:val="24"/>
          <w:szCs w:val="24"/>
        </w:rPr>
        <w:lastRenderedPageBreak/>
        <w:t xml:space="preserve">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1C2D3C">
        <w:rPr>
          <w:rFonts w:ascii="Palatino Linotype" w:eastAsia="Palatino Linotype" w:hAnsi="Palatino Linotype" w:cs="Palatino Linotype"/>
          <w:i/>
          <w:iCs/>
          <w:sz w:val="24"/>
          <w:szCs w:val="24"/>
        </w:rPr>
        <w:t>negativa ficta</w:t>
      </w:r>
      <w:r w:rsidRPr="001C2D3C">
        <w:rPr>
          <w:rFonts w:ascii="Palatino Linotype" w:eastAsia="Palatino Linotype" w:hAnsi="Palatino Linotype" w:cs="Palatino Linotype"/>
          <w:sz w:val="24"/>
          <w:szCs w:val="24"/>
        </w:rPr>
        <w:t>, que señala:</w:t>
      </w:r>
    </w:p>
    <w:p w:rsidR="009432E4" w:rsidRPr="001C2D3C" w:rsidRDefault="00B67E55">
      <w:pPr>
        <w:tabs>
          <w:tab w:val="left" w:pos="284"/>
          <w:tab w:val="left" w:pos="7655"/>
        </w:tabs>
        <w:spacing w:after="240" w:line="360" w:lineRule="auto"/>
        <w:ind w:left="567" w:right="822"/>
        <w:jc w:val="center"/>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Criterio 0001-15</w:t>
      </w:r>
    </w:p>
    <w:p w:rsidR="009432E4" w:rsidRPr="001C2D3C" w:rsidRDefault="00B67E55">
      <w:pPr>
        <w:tabs>
          <w:tab w:val="left" w:pos="284"/>
          <w:tab w:val="left" w:pos="7655"/>
        </w:tabs>
        <w:spacing w:before="240" w:after="240" w:line="360" w:lineRule="auto"/>
        <w:ind w:left="567" w:right="822"/>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NEGATIVA FICTA. PLAZO PARA INTERPONER EL RECURSO DE REVISIÓN TRATÁNDOSE DE.</w:t>
      </w:r>
      <w:r w:rsidRPr="001C2D3C">
        <w:rPr>
          <w:rFonts w:ascii="Palatino Linotype" w:eastAsia="Palatino Linotype" w:hAnsi="Palatino Linotype" w:cs="Palatino Linotype"/>
          <w:i/>
          <w:iCs/>
          <w:sz w:val="24"/>
          <w:szCs w:val="24"/>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9432E4" w:rsidRPr="001C2D3C" w:rsidRDefault="00B67E55">
      <w:pPr>
        <w:numPr>
          <w:ilvl w:val="0"/>
          <w:numId w:val="8"/>
        </w:numPr>
        <w:tabs>
          <w:tab w:val="left" w:pos="284"/>
        </w:tabs>
        <w:spacing w:before="240"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lastRenderedPageBreak/>
        <w:t xml:space="preserve">Lo anterior, se explica porque la </w:t>
      </w:r>
      <w:r w:rsidRPr="001C2D3C">
        <w:rPr>
          <w:rFonts w:ascii="Palatino Linotype" w:eastAsia="Palatino Linotype" w:hAnsi="Palatino Linotype" w:cs="Palatino Linotype"/>
          <w:b/>
          <w:bCs/>
          <w:color w:val="000000"/>
          <w:sz w:val="24"/>
          <w:szCs w:val="24"/>
          <w:u w:val="single"/>
        </w:rPr>
        <w:t>posible ausencia</w:t>
      </w:r>
      <w:r w:rsidRPr="001C2D3C">
        <w:rPr>
          <w:rFonts w:ascii="Palatino Linotype" w:eastAsia="Palatino Linotype" w:hAnsi="Palatino Linotype" w:cs="Palatino Linotype"/>
          <w:color w:val="000000"/>
          <w:sz w:val="24"/>
          <w:szCs w:val="24"/>
        </w:rPr>
        <w:t xml:space="preserve"> de una respuesta en la solicitud constituye un acto que vulnera el derecho de manera continua y actualizable cada día en tanto, no se emita la respuesta a la que esté impuesto el </w:t>
      </w:r>
      <w:r w:rsidRPr="001C2D3C">
        <w:rPr>
          <w:rFonts w:ascii="Palatino Linotype" w:eastAsia="Palatino Linotype" w:hAnsi="Palatino Linotype" w:cs="Palatino Linotype"/>
          <w:b/>
          <w:bCs/>
          <w:color w:val="000000"/>
          <w:sz w:val="24"/>
          <w:szCs w:val="24"/>
        </w:rPr>
        <w:t>SUJETO OBLIGADO</w:t>
      </w:r>
      <w:r w:rsidRPr="001C2D3C">
        <w:rPr>
          <w:rFonts w:ascii="Palatino Linotype" w:eastAsia="Palatino Linotype" w:hAnsi="Palatino Linotype" w:cs="Palatino Linotype"/>
          <w:color w:val="000000"/>
          <w:sz w:val="24"/>
          <w:szCs w:val="24"/>
        </w:rPr>
        <w:t>.</w:t>
      </w:r>
    </w:p>
    <w:p w:rsidR="009432E4" w:rsidRPr="001C2D3C" w:rsidRDefault="009432E4">
      <w:pPr>
        <w:tabs>
          <w:tab w:val="left" w:pos="284"/>
        </w:tabs>
        <w:rPr>
          <w:rFonts w:ascii="Palatino Linotype" w:eastAsia="Palatino Linotype" w:hAnsi="Palatino Linotype" w:cs="Palatino Linotype"/>
          <w:color w:val="000000"/>
          <w:sz w:val="24"/>
          <w:szCs w:val="24"/>
        </w:rPr>
      </w:pPr>
    </w:p>
    <w:p w:rsidR="009432E4" w:rsidRPr="001C2D3C" w:rsidRDefault="00B67E55">
      <w:pPr>
        <w:numPr>
          <w:ilvl w:val="0"/>
          <w:numId w:val="8"/>
        </w:numPr>
        <w:tabs>
          <w:tab w:val="left" w:pos="284"/>
        </w:tabs>
        <w:spacing w:after="240" w:line="360" w:lineRule="auto"/>
        <w:ind w:left="0" w:right="49" w:firstLine="0"/>
        <w:jc w:val="both"/>
        <w:rPr>
          <w:rFonts w:ascii="Palatino Linotype" w:eastAsia="Palatino Linotype" w:hAnsi="Palatino Linotype" w:cs="Palatino Linotype"/>
          <w:b/>
          <w:bCs/>
          <w:sz w:val="24"/>
          <w:szCs w:val="24"/>
        </w:rPr>
      </w:pPr>
      <w:bookmarkStart w:id="7" w:name="_heading=h.tyjcwt" w:colFirst="0" w:colLast="0"/>
      <w:bookmarkEnd w:id="7"/>
      <w:r w:rsidRPr="001C2D3C">
        <w:rPr>
          <w:rFonts w:ascii="Palatino Linotype" w:eastAsia="Palatino Linotype" w:hAnsi="Palatino Linotype" w:cs="Palatino Linotype"/>
          <w:sz w:val="24"/>
          <w:szCs w:val="24"/>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9432E4" w:rsidRPr="001C2D3C" w:rsidRDefault="00B67E55">
      <w:pPr>
        <w:pStyle w:val="Ttulo1"/>
        <w:spacing w:before="0" w:line="360" w:lineRule="auto"/>
        <w:rPr>
          <w:rFonts w:ascii="Palatino Linotype" w:eastAsia="Palatino Linotype" w:hAnsi="Palatino Linotype" w:cs="Palatino Linotype"/>
          <w:b/>
          <w:bCs/>
          <w:color w:val="000000"/>
          <w:sz w:val="24"/>
          <w:szCs w:val="24"/>
        </w:rPr>
      </w:pPr>
      <w:bookmarkStart w:id="8" w:name="_heading=h.3dy6vkm" w:colFirst="0" w:colLast="0"/>
      <w:bookmarkEnd w:id="8"/>
      <w:r w:rsidRPr="001C2D3C">
        <w:rPr>
          <w:rFonts w:ascii="Palatino Linotype" w:eastAsia="Palatino Linotype" w:hAnsi="Palatino Linotype" w:cs="Palatino Linotype"/>
          <w:b/>
          <w:bCs/>
          <w:color w:val="000000"/>
          <w:sz w:val="24"/>
          <w:szCs w:val="24"/>
        </w:rPr>
        <w:t>CUARTO. Causales de Sobreseimiento</w:t>
      </w:r>
    </w:p>
    <w:p w:rsidR="009432E4" w:rsidRPr="001C2D3C" w:rsidRDefault="009432E4">
      <w:pPr>
        <w:pBdr>
          <w:top w:val="nil"/>
          <w:left w:val="nil"/>
          <w:bottom w:val="nil"/>
          <w:right w:val="nil"/>
          <w:between w:val="nil"/>
        </w:pBdr>
        <w:spacing w:line="360" w:lineRule="auto"/>
        <w:jc w:val="both"/>
        <w:rPr>
          <w:rFonts w:ascii="Palatino Linotype" w:eastAsia="Palatino Linotype" w:hAnsi="Palatino Linotype" w:cs="Palatino Linotype"/>
          <w:b/>
          <w:bCs/>
          <w:color w:val="000000"/>
          <w:sz w:val="24"/>
          <w:szCs w:val="24"/>
        </w:rPr>
      </w:pPr>
    </w:p>
    <w:p w:rsidR="009432E4" w:rsidRPr="001C2D3C" w:rsidRDefault="00B67E55">
      <w:pPr>
        <w:numPr>
          <w:ilvl w:val="0"/>
          <w:numId w:val="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El 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1C2D3C">
        <w:rPr>
          <w:rFonts w:ascii="Palatino Linotype" w:eastAsia="Palatino Linotype" w:hAnsi="Palatino Linotype" w:cs="Palatino Linotype"/>
          <w:b/>
          <w:bCs/>
          <w:color w:val="000000"/>
          <w:sz w:val="24"/>
          <w:szCs w:val="24"/>
          <w:u w:val="single"/>
        </w:rPr>
        <w:t>sobreseimiento</w:t>
      </w:r>
      <w:r w:rsidRPr="001C2D3C">
        <w:rPr>
          <w:rFonts w:ascii="Palatino Linotype" w:eastAsia="Palatino Linotype" w:hAnsi="Palatino Linotype" w:cs="Palatino Linotype"/>
          <w:color w:val="000000"/>
          <w:sz w:val="24"/>
          <w:szCs w:val="24"/>
        </w:rPr>
        <w:t xml:space="preserve">; y en su caso ordenar la entrega de la información con respecto a la respuesta emitida por el </w:t>
      </w:r>
      <w:r w:rsidRPr="001C2D3C">
        <w:rPr>
          <w:rFonts w:ascii="Palatino Linotype" w:eastAsia="Palatino Linotype" w:hAnsi="Palatino Linotype" w:cs="Palatino Linotype"/>
          <w:b/>
          <w:bCs/>
          <w:color w:val="000000"/>
          <w:sz w:val="24"/>
          <w:szCs w:val="24"/>
        </w:rPr>
        <w:t>SUJETO</w:t>
      </w:r>
      <w:r w:rsidRPr="001C2D3C">
        <w:rPr>
          <w:rFonts w:ascii="Palatino Linotype" w:eastAsia="Palatino Linotype" w:hAnsi="Palatino Linotype" w:cs="Palatino Linotype"/>
          <w:color w:val="000000"/>
          <w:sz w:val="24"/>
          <w:szCs w:val="24"/>
        </w:rPr>
        <w:t xml:space="preserve"> </w:t>
      </w:r>
      <w:r w:rsidRPr="001C2D3C">
        <w:rPr>
          <w:rFonts w:ascii="Palatino Linotype" w:eastAsia="Palatino Linotype" w:hAnsi="Palatino Linotype" w:cs="Palatino Linotype"/>
          <w:b/>
          <w:bCs/>
          <w:color w:val="000000"/>
          <w:sz w:val="24"/>
          <w:szCs w:val="24"/>
        </w:rPr>
        <w:t>OBLIGADO</w:t>
      </w:r>
      <w:r w:rsidRPr="001C2D3C">
        <w:rPr>
          <w:rFonts w:ascii="Palatino Linotype" w:eastAsia="Palatino Linotype" w:hAnsi="Palatino Linotype" w:cs="Palatino Linotype"/>
          <w:color w:val="000000"/>
          <w:sz w:val="24"/>
          <w:szCs w:val="24"/>
        </w:rPr>
        <w:t>.</w:t>
      </w:r>
    </w:p>
    <w:p w:rsidR="009432E4" w:rsidRPr="001C2D3C" w:rsidRDefault="009432E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De acuerdo al precepto legal contenido en la fracción III del artículo 192 de la </w:t>
      </w:r>
      <w:r w:rsidRPr="001C2D3C">
        <w:rPr>
          <w:rFonts w:ascii="Palatino Linotype" w:eastAsia="Palatino Linotype" w:hAnsi="Palatino Linotype" w:cs="Palatino Linotype"/>
          <w:b/>
          <w:bCs/>
          <w:color w:val="000000"/>
          <w:sz w:val="24"/>
          <w:szCs w:val="24"/>
        </w:rPr>
        <w:t>Ley de Transparencia y Acceso a la Información Pública del Estado de México y Municipios</w:t>
      </w:r>
      <w:r w:rsidRPr="001C2D3C">
        <w:rPr>
          <w:rFonts w:ascii="Palatino Linotype" w:eastAsia="Palatino Linotype" w:hAnsi="Palatino Linotype" w:cs="Palatino Linotype"/>
          <w:color w:val="000000"/>
          <w:sz w:val="24"/>
          <w:szCs w:val="24"/>
        </w:rPr>
        <w:t xml:space="preserve">,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w:t>
      </w:r>
      <w:r w:rsidRPr="001C2D3C">
        <w:rPr>
          <w:rFonts w:ascii="Palatino Linotype" w:eastAsia="Palatino Linotype" w:hAnsi="Palatino Linotype" w:cs="Palatino Linotype"/>
          <w:color w:val="000000"/>
          <w:sz w:val="24"/>
          <w:szCs w:val="24"/>
        </w:rPr>
        <w:lastRenderedPageBreak/>
        <w:t>de impugnación se concluya sin que se analice el objeto de estudio planteado, es decir se sobresea.</w:t>
      </w:r>
    </w:p>
    <w:p w:rsidR="009432E4" w:rsidRPr="001C2D3C" w:rsidRDefault="009432E4">
      <w:pPr>
        <w:pBdr>
          <w:top w:val="nil"/>
          <w:left w:val="nil"/>
          <w:bottom w:val="nil"/>
          <w:right w:val="nil"/>
          <w:between w:val="nil"/>
        </w:pBdr>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Para los efectos de esta resolución, es oportuno precisar los alcances jurídicos de la fracción III de la disposición legal transcrita. Así, procede el sobreseimiento del recurso de revisión cuando el </w:t>
      </w:r>
      <w:r w:rsidRPr="001C2D3C">
        <w:rPr>
          <w:rFonts w:ascii="Palatino Linotype" w:eastAsia="Palatino Linotype" w:hAnsi="Palatino Linotype" w:cs="Palatino Linotype"/>
          <w:b/>
          <w:bCs/>
          <w:color w:val="000000"/>
          <w:sz w:val="24"/>
          <w:szCs w:val="24"/>
        </w:rPr>
        <w:t>SUJETO OBLIGADO</w:t>
      </w:r>
      <w:r w:rsidRPr="001C2D3C">
        <w:rPr>
          <w:rFonts w:ascii="Palatino Linotype" w:eastAsia="Palatino Linotype" w:hAnsi="Palatino Linotype" w:cs="Palatino Linotype"/>
          <w:color w:val="000000"/>
          <w:sz w:val="24"/>
          <w:szCs w:val="24"/>
        </w:rPr>
        <w:t>:</w:t>
      </w:r>
    </w:p>
    <w:p w:rsidR="009432E4" w:rsidRPr="001C2D3C" w:rsidRDefault="009432E4">
      <w:pPr>
        <w:rPr>
          <w:rFonts w:ascii="Palatino Linotype" w:eastAsia="Palatino Linotype" w:hAnsi="Palatino Linotype" w:cs="Palatino Linotype"/>
          <w:color w:val="000000"/>
          <w:sz w:val="24"/>
          <w:szCs w:val="24"/>
        </w:rPr>
      </w:pPr>
    </w:p>
    <w:p w:rsidR="009432E4" w:rsidRPr="001C2D3C" w:rsidRDefault="00B67E55">
      <w:pPr>
        <w:numPr>
          <w:ilvl w:val="0"/>
          <w:numId w:val="4"/>
        </w:numPr>
        <w:spacing w:line="360" w:lineRule="auto"/>
        <w:ind w:left="567" w:right="616" w:firstLine="0"/>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b/>
          <w:bCs/>
          <w:sz w:val="24"/>
          <w:szCs w:val="24"/>
        </w:rPr>
        <w:t>Modifique el acto impugnado:</w:t>
      </w:r>
      <w:r w:rsidRPr="001C2D3C">
        <w:rPr>
          <w:rFonts w:ascii="Palatino Linotype" w:eastAsia="Palatino Linotype" w:hAnsi="Palatino Linotype" w:cs="Palatino Linotype"/>
          <w:sz w:val="24"/>
          <w:szCs w:val="24"/>
        </w:rPr>
        <w:t xml:space="preserve"> Se actualiza cuando el </w:t>
      </w:r>
      <w:r w:rsidRPr="001C2D3C">
        <w:rPr>
          <w:rFonts w:ascii="Palatino Linotype" w:eastAsia="Palatino Linotype" w:hAnsi="Palatino Linotype" w:cs="Palatino Linotype"/>
          <w:b/>
          <w:bCs/>
          <w:sz w:val="24"/>
          <w:szCs w:val="24"/>
        </w:rPr>
        <w:t>SUJETO OBLIGADO</w:t>
      </w:r>
      <w:r w:rsidRPr="001C2D3C">
        <w:rPr>
          <w:rFonts w:ascii="Palatino Linotype" w:eastAsia="Palatino Linotype" w:hAnsi="Palatino Linotype" w:cs="Palatino Linotype"/>
          <w:sz w:val="24"/>
          <w:szCs w:val="24"/>
        </w:rPr>
        <w:t xml:space="preserve"> después de haber otorgado una respuesta y hasta antes de dictada la resolución del recurso de revisión, emite una diversa en la que subsane las deficiencias que hubiera tenido.</w:t>
      </w:r>
    </w:p>
    <w:p w:rsidR="009432E4" w:rsidRPr="001C2D3C" w:rsidRDefault="009432E4">
      <w:pPr>
        <w:spacing w:line="360" w:lineRule="auto"/>
        <w:ind w:left="567" w:right="616"/>
        <w:jc w:val="both"/>
        <w:rPr>
          <w:rFonts w:ascii="Palatino Linotype" w:eastAsia="Palatino Linotype" w:hAnsi="Palatino Linotype" w:cs="Palatino Linotype"/>
          <w:sz w:val="24"/>
          <w:szCs w:val="24"/>
        </w:rPr>
      </w:pPr>
    </w:p>
    <w:p w:rsidR="009432E4" w:rsidRPr="001C2D3C" w:rsidRDefault="00B67E55">
      <w:pPr>
        <w:numPr>
          <w:ilvl w:val="0"/>
          <w:numId w:val="4"/>
        </w:numPr>
        <w:spacing w:line="360" w:lineRule="auto"/>
        <w:ind w:left="567" w:right="616" w:firstLine="0"/>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b/>
          <w:bCs/>
          <w:sz w:val="24"/>
          <w:szCs w:val="24"/>
        </w:rPr>
        <w:t>Revoque el acto impugnado:</w:t>
      </w:r>
      <w:r w:rsidRPr="001C2D3C">
        <w:rPr>
          <w:rFonts w:ascii="Palatino Linotype" w:eastAsia="Palatino Linotype" w:hAnsi="Palatino Linotype" w:cs="Palatino Linotype"/>
          <w:sz w:val="24"/>
          <w:szCs w:val="24"/>
        </w:rPr>
        <w:t xml:space="preserve"> En este supuesto, el </w:t>
      </w:r>
      <w:r w:rsidRPr="001C2D3C">
        <w:rPr>
          <w:rFonts w:ascii="Palatino Linotype" w:eastAsia="Palatino Linotype" w:hAnsi="Palatino Linotype" w:cs="Palatino Linotype"/>
          <w:b/>
          <w:bCs/>
          <w:sz w:val="24"/>
          <w:szCs w:val="24"/>
        </w:rPr>
        <w:t>SUJETO OBLIGADO</w:t>
      </w:r>
      <w:r w:rsidRPr="001C2D3C">
        <w:rPr>
          <w:rFonts w:ascii="Palatino Linotype" w:eastAsia="Palatino Linotype" w:hAnsi="Palatino Linotype" w:cs="Palatino Linotype"/>
          <w:sz w:val="24"/>
          <w:szCs w:val="24"/>
        </w:rPr>
        <w:t xml:space="preserve"> deja sin efectos la primera respuesta y en su lugar emite otra que satisfaga lo solicitado por el Particular en un primer momento.</w:t>
      </w:r>
    </w:p>
    <w:p w:rsidR="009432E4" w:rsidRPr="001C2D3C" w:rsidRDefault="009432E4">
      <w:pPr>
        <w:spacing w:line="360" w:lineRule="auto"/>
        <w:ind w:right="616"/>
        <w:jc w:val="both"/>
        <w:rPr>
          <w:rFonts w:ascii="Palatino Linotype" w:eastAsia="Palatino Linotype" w:hAnsi="Palatino Linotype" w:cs="Palatino Linotype"/>
          <w:sz w:val="24"/>
          <w:szCs w:val="24"/>
        </w:rPr>
      </w:pPr>
    </w:p>
    <w:p w:rsidR="009432E4" w:rsidRPr="001C2D3C" w:rsidRDefault="00B67E55">
      <w:pPr>
        <w:numPr>
          <w:ilvl w:val="0"/>
          <w:numId w:val="8"/>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9432E4" w:rsidRPr="001C2D3C" w:rsidRDefault="009432E4">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color w:val="000000"/>
          <w:sz w:val="24"/>
          <w:szCs w:val="24"/>
        </w:rPr>
        <w:lastRenderedPageBreak/>
        <w:t xml:space="preserve">Recordemos que el Recurrente solicitó, se </w:t>
      </w:r>
      <w:r w:rsidRPr="001C2D3C">
        <w:rPr>
          <w:rFonts w:ascii="Palatino Linotype" w:eastAsia="Palatino Linotype" w:hAnsi="Palatino Linotype" w:cs="Palatino Linotype"/>
          <w:b/>
          <w:bCs/>
          <w:color w:val="000000"/>
          <w:sz w:val="24"/>
          <w:szCs w:val="24"/>
        </w:rPr>
        <w:t>informe si</w:t>
      </w:r>
      <w:r w:rsidRPr="001C2D3C">
        <w:rPr>
          <w:rFonts w:ascii="Palatino Linotype" w:eastAsia="Palatino Linotype" w:hAnsi="Palatino Linotype" w:cs="Palatino Linotype"/>
          <w:color w:val="000000"/>
          <w:sz w:val="24"/>
          <w:szCs w:val="24"/>
        </w:rPr>
        <w:t xml:space="preserve"> </w:t>
      </w:r>
      <w:r w:rsidRPr="001C2D3C">
        <w:rPr>
          <w:rFonts w:ascii="Palatino Linotype" w:eastAsia="Palatino Linotype" w:hAnsi="Palatino Linotype" w:cs="Palatino Linotype"/>
          <w:b/>
          <w:bCs/>
          <w:color w:val="000000"/>
          <w:sz w:val="24"/>
          <w:szCs w:val="24"/>
        </w:rPr>
        <w:t>derivado del retiro de cámaras de video vigilancia en domicilios particulares, número de expediente y estatus de:</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432E4" w:rsidRPr="001C2D3C" w:rsidRDefault="00B67E55">
      <w:pPr>
        <w:numPr>
          <w:ilvl w:val="0"/>
          <w:numId w:val="3"/>
        </w:num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Quejas ante el Órgano Interno de Control</w:t>
      </w:r>
    </w:p>
    <w:p w:rsidR="009432E4" w:rsidRPr="001C2D3C" w:rsidRDefault="00B67E55">
      <w:pPr>
        <w:numPr>
          <w:ilvl w:val="0"/>
          <w:numId w:val="3"/>
        </w:num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 xml:space="preserve">Denuncias Administrativas </w:t>
      </w:r>
    </w:p>
    <w:p w:rsidR="009432E4" w:rsidRPr="001C2D3C" w:rsidRDefault="00B67E55">
      <w:pPr>
        <w:numPr>
          <w:ilvl w:val="0"/>
          <w:numId w:val="3"/>
        </w:num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Juicios o Amparos</w:t>
      </w:r>
    </w:p>
    <w:p w:rsidR="009432E4" w:rsidRPr="001C2D3C" w:rsidRDefault="00B67E55">
      <w:pPr>
        <w:numPr>
          <w:ilvl w:val="0"/>
          <w:numId w:val="3"/>
        </w:num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Autoridad que Instruyo</w:t>
      </w:r>
    </w:p>
    <w:p w:rsidR="009432E4" w:rsidRPr="001C2D3C" w:rsidRDefault="00B67E55">
      <w:pPr>
        <w:numPr>
          <w:ilvl w:val="0"/>
          <w:numId w:val="3"/>
        </w:num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 xml:space="preserve">Notificación al Propietario </w:t>
      </w:r>
    </w:p>
    <w:p w:rsidR="009432E4" w:rsidRPr="001C2D3C" w:rsidRDefault="00B67E55">
      <w:pPr>
        <w:numPr>
          <w:ilvl w:val="0"/>
          <w:numId w:val="3"/>
        </w:num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b/>
          <w:bCs/>
          <w:color w:val="000000"/>
          <w:sz w:val="24"/>
          <w:szCs w:val="24"/>
        </w:rPr>
      </w:pPr>
      <w:r w:rsidRPr="001C2D3C">
        <w:rPr>
          <w:rFonts w:ascii="Palatino Linotype" w:eastAsia="Palatino Linotype" w:hAnsi="Palatino Linotype" w:cs="Palatino Linotype"/>
          <w:b/>
          <w:bCs/>
          <w:color w:val="000000"/>
          <w:sz w:val="24"/>
          <w:szCs w:val="24"/>
        </w:rPr>
        <w:t>Resolución Emitida</w:t>
      </w:r>
    </w:p>
    <w:p w:rsidR="009432E4" w:rsidRPr="001C2D3C" w:rsidRDefault="009432E4">
      <w:pPr>
        <w:pBdr>
          <w:top w:val="nil"/>
          <w:left w:val="nil"/>
          <w:bottom w:val="nil"/>
          <w:right w:val="nil"/>
          <w:between w:val="nil"/>
        </w:pBdr>
        <w:tabs>
          <w:tab w:val="left" w:pos="284"/>
          <w:tab w:val="left" w:pos="567"/>
        </w:tabs>
        <w:spacing w:line="360" w:lineRule="auto"/>
        <w:ind w:left="720"/>
        <w:jc w:val="both"/>
        <w:rPr>
          <w:rFonts w:ascii="Palatino Linotype" w:eastAsia="Palatino Linotype" w:hAnsi="Palatino Linotype" w:cs="Palatino Linotype"/>
          <w:b/>
          <w:bCs/>
          <w:sz w:val="24"/>
          <w:szCs w:val="24"/>
        </w:rPr>
      </w:pPr>
    </w:p>
    <w:p w:rsidR="009432E4" w:rsidRPr="001C2D3C" w:rsidRDefault="00B67E55">
      <w:pPr>
        <w:numPr>
          <w:ilvl w:val="0"/>
          <w:numId w:val="8"/>
        </w:numPr>
        <w:pBdr>
          <w:top w:val="nil"/>
          <w:left w:val="nil"/>
          <w:bottom w:val="nil"/>
          <w:right w:val="nil"/>
          <w:between w:val="nil"/>
        </w:pBdr>
        <w:tabs>
          <w:tab w:val="left" w:pos="142"/>
          <w:tab w:val="left" w:pos="284"/>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De lo anterior, es preciso señalar que el Sujeto Obligado no emitió respuesta; posteriormente, el Recurrente se inconformó por la negativa de la información; sin embargó a través de un acto posterior, como lo es el informe justificado  través del Director Jurídico, informó que no existe en los archivos de esa Dirección ningún juicio o amparo interpuesto en los términos solicitados, precisando que se encuentra comprometido con la entrega de la información pública existente, empero no está obligado a generar documentos, bases de datos o relaciones específicas que no obren en sus archivos, ni mucho menos a realizar interpretaciones o valoraciones jurídicas para atender la solicitud; así mismo, el Titular del Órgano interno de Control, informó que respecto a lo solicitado no existe información alguna.</w:t>
      </w:r>
    </w:p>
    <w:p w:rsidR="009432E4" w:rsidRPr="001C2D3C" w:rsidRDefault="009432E4">
      <w:pPr>
        <w:pBdr>
          <w:top w:val="nil"/>
          <w:left w:val="nil"/>
          <w:bottom w:val="nil"/>
          <w:right w:val="nil"/>
          <w:between w:val="nil"/>
        </w:pBdr>
        <w:tabs>
          <w:tab w:val="left" w:pos="142"/>
          <w:tab w:val="left" w:pos="284"/>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Al respecto, primeramente es menester hacer referencia a lo establecido en los artículos 50, 53 fracciones II, IV y V, 58, 59 fracciones I y II, y 162 de la Ley de Transparencia y Acceso a la Información del Estado de México y Municipios, que a la letra estipulan lo siguiente:</w:t>
      </w:r>
    </w:p>
    <w:p w:rsidR="009432E4" w:rsidRPr="001C2D3C" w:rsidRDefault="009432E4">
      <w:pPr>
        <w:spacing w:line="360" w:lineRule="auto"/>
        <w:jc w:val="both"/>
        <w:rPr>
          <w:rFonts w:ascii="Palatino Linotype" w:eastAsia="Palatino Linotype" w:hAnsi="Palatino Linotype" w:cs="Palatino Linotype"/>
          <w:sz w:val="24"/>
          <w:szCs w:val="24"/>
        </w:rPr>
      </w:pP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lastRenderedPageBreak/>
        <w:t xml:space="preserve">Artículo 50. </w:t>
      </w:r>
      <w:r w:rsidRPr="001C2D3C">
        <w:rPr>
          <w:rFonts w:ascii="Palatino Linotype" w:eastAsia="Palatino Linotype" w:hAnsi="Palatino Linotype" w:cs="Palatino Linotype"/>
          <w:i/>
          <w:iCs/>
          <w:sz w:val="24"/>
          <w:szCs w:val="24"/>
        </w:rPr>
        <w:t>Los sujetos obligados contarán con un área responsable para la atención de las solicitudes de información, a la que se le denominará Unidad de Transparencia.</w:t>
      </w:r>
    </w:p>
    <w:p w:rsidR="009432E4" w:rsidRPr="001C2D3C" w:rsidRDefault="009432E4">
      <w:pPr>
        <w:ind w:left="567" w:right="616"/>
        <w:jc w:val="both"/>
        <w:rPr>
          <w:rFonts w:ascii="Palatino Linotype" w:eastAsia="Palatino Linotype" w:hAnsi="Palatino Linotype" w:cs="Palatino Linotype"/>
          <w:i/>
          <w:iCs/>
          <w:sz w:val="24"/>
          <w:szCs w:val="24"/>
        </w:rPr>
      </w:pP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 xml:space="preserve">Artículo 53. </w:t>
      </w:r>
      <w:r w:rsidRPr="001C2D3C">
        <w:rPr>
          <w:rFonts w:ascii="Palatino Linotype" w:eastAsia="Palatino Linotype" w:hAnsi="Palatino Linotype" w:cs="Palatino Linotype"/>
          <w:i/>
          <w:iCs/>
          <w:sz w:val="24"/>
          <w:szCs w:val="24"/>
        </w:rPr>
        <w:t>Las Unidades de Transparencia tendrán las siguientes funciones:</w:t>
      </w: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w:t>
      </w: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II.</w:t>
      </w:r>
      <w:r w:rsidRPr="001C2D3C">
        <w:rPr>
          <w:rFonts w:ascii="Palatino Linotype" w:eastAsia="Palatino Linotype" w:hAnsi="Palatino Linotype" w:cs="Palatino Linotype"/>
          <w:i/>
          <w:iCs/>
          <w:sz w:val="24"/>
          <w:szCs w:val="24"/>
        </w:rPr>
        <w:t xml:space="preserve"> Recibir, tramitar y dar respuesta a las solicitudes de acceso a la información;</w:t>
      </w: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w:t>
      </w: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IV.</w:t>
      </w:r>
      <w:r w:rsidRPr="001C2D3C">
        <w:rPr>
          <w:rFonts w:ascii="Palatino Linotype" w:eastAsia="Palatino Linotype" w:hAnsi="Palatino Linotype" w:cs="Palatino Linotype"/>
          <w:i/>
          <w:iCs/>
          <w:sz w:val="24"/>
          <w:szCs w:val="24"/>
        </w:rPr>
        <w:t xml:space="preserve"> Realizar, con efectividad, los trámites internos necesarios para la atención de las solicitudes de acceso a la información;</w:t>
      </w: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V.</w:t>
      </w:r>
      <w:r w:rsidRPr="001C2D3C">
        <w:rPr>
          <w:rFonts w:ascii="Palatino Linotype" w:eastAsia="Palatino Linotype" w:hAnsi="Palatino Linotype" w:cs="Palatino Linotype"/>
          <w:i/>
          <w:iCs/>
          <w:sz w:val="24"/>
          <w:szCs w:val="24"/>
        </w:rPr>
        <w:t xml:space="preserve"> Entregar, en su caso, a los particulares la información solicitada;</w:t>
      </w: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w:t>
      </w:r>
    </w:p>
    <w:p w:rsidR="009432E4" w:rsidRPr="001C2D3C" w:rsidRDefault="009432E4">
      <w:pPr>
        <w:ind w:left="567" w:right="616"/>
        <w:jc w:val="both"/>
        <w:rPr>
          <w:rFonts w:ascii="Palatino Linotype" w:eastAsia="Palatino Linotype" w:hAnsi="Palatino Linotype" w:cs="Palatino Linotype"/>
          <w:i/>
          <w:iCs/>
          <w:sz w:val="24"/>
          <w:szCs w:val="24"/>
        </w:rPr>
      </w:pP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 xml:space="preserve">Artículo 58. </w:t>
      </w:r>
      <w:r w:rsidRPr="001C2D3C">
        <w:rPr>
          <w:rFonts w:ascii="Palatino Linotype" w:eastAsia="Palatino Linotype" w:hAnsi="Palatino Linotype" w:cs="Palatino Linotype"/>
          <w:i/>
          <w:iCs/>
          <w:sz w:val="24"/>
          <w:szCs w:val="24"/>
        </w:rPr>
        <w:t>Los servidores públicos habilitados serán designados por el titular del sujeto obligado a propuesta del responsable de la Unidad de Transparencia.</w:t>
      </w:r>
    </w:p>
    <w:p w:rsidR="009432E4" w:rsidRPr="001C2D3C" w:rsidRDefault="009432E4">
      <w:pPr>
        <w:ind w:left="567" w:right="616"/>
        <w:jc w:val="both"/>
        <w:rPr>
          <w:rFonts w:ascii="Palatino Linotype" w:eastAsia="Palatino Linotype" w:hAnsi="Palatino Linotype" w:cs="Palatino Linotype"/>
          <w:i/>
          <w:iCs/>
          <w:sz w:val="24"/>
          <w:szCs w:val="24"/>
        </w:rPr>
      </w:pP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 xml:space="preserve">Artículo 59. </w:t>
      </w:r>
      <w:r w:rsidRPr="001C2D3C">
        <w:rPr>
          <w:rFonts w:ascii="Palatino Linotype" w:eastAsia="Palatino Linotype" w:hAnsi="Palatino Linotype" w:cs="Palatino Linotype"/>
          <w:i/>
          <w:iCs/>
          <w:sz w:val="24"/>
          <w:szCs w:val="24"/>
        </w:rPr>
        <w:t>Los servidores públicos habilitados tendrán las funciones siguientes:</w:t>
      </w:r>
    </w:p>
    <w:p w:rsidR="009432E4" w:rsidRPr="001C2D3C" w:rsidRDefault="009432E4">
      <w:pPr>
        <w:ind w:left="567" w:right="616"/>
        <w:jc w:val="both"/>
        <w:rPr>
          <w:rFonts w:ascii="Palatino Linotype" w:eastAsia="Palatino Linotype" w:hAnsi="Palatino Linotype" w:cs="Palatino Linotype"/>
          <w:i/>
          <w:iCs/>
          <w:sz w:val="24"/>
          <w:szCs w:val="24"/>
        </w:rPr>
      </w:pP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I.</w:t>
      </w:r>
      <w:r w:rsidRPr="001C2D3C">
        <w:rPr>
          <w:rFonts w:ascii="Palatino Linotype" w:eastAsia="Palatino Linotype" w:hAnsi="Palatino Linotype" w:cs="Palatino Linotype"/>
          <w:i/>
          <w:iCs/>
          <w:sz w:val="24"/>
          <w:szCs w:val="24"/>
        </w:rPr>
        <w:t xml:space="preserve"> Localizar la información que le solicite la Unidad de Transparencia;</w:t>
      </w: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II.</w:t>
      </w:r>
      <w:r w:rsidRPr="001C2D3C">
        <w:rPr>
          <w:rFonts w:ascii="Palatino Linotype" w:eastAsia="Palatino Linotype" w:hAnsi="Palatino Linotype" w:cs="Palatino Linotype"/>
          <w:i/>
          <w:iCs/>
          <w:sz w:val="24"/>
          <w:szCs w:val="24"/>
        </w:rPr>
        <w:t xml:space="preserve"> Proporcionar la información que obre en los archivos y que le sea solicitada por la Unidad de Transparencia;</w:t>
      </w: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w:t>
      </w:r>
    </w:p>
    <w:p w:rsidR="009432E4" w:rsidRPr="001C2D3C" w:rsidRDefault="009432E4">
      <w:pPr>
        <w:ind w:left="567" w:right="616"/>
        <w:jc w:val="both"/>
        <w:rPr>
          <w:rFonts w:ascii="Palatino Linotype" w:eastAsia="Palatino Linotype" w:hAnsi="Palatino Linotype" w:cs="Palatino Linotype"/>
          <w:i/>
          <w:iCs/>
          <w:sz w:val="24"/>
          <w:szCs w:val="24"/>
        </w:rPr>
      </w:pPr>
    </w:p>
    <w:p w:rsidR="009432E4" w:rsidRPr="001C2D3C" w:rsidRDefault="00B67E55">
      <w:pPr>
        <w:ind w:left="567" w:right="616"/>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 xml:space="preserve">Artículo 162. </w:t>
      </w:r>
      <w:r w:rsidRPr="001C2D3C">
        <w:rPr>
          <w:rFonts w:ascii="Palatino Linotype" w:eastAsia="Palatino Linotype" w:hAnsi="Palatino Linotype" w:cs="Palatino Linotype"/>
          <w:i/>
          <w:iCs/>
          <w:sz w:val="24"/>
          <w:szCs w:val="24"/>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9432E4" w:rsidRPr="001C2D3C" w:rsidRDefault="009432E4">
      <w:pPr>
        <w:spacing w:line="360" w:lineRule="auto"/>
        <w:jc w:val="both"/>
        <w:rPr>
          <w:rFonts w:ascii="Palatino Linotype" w:eastAsia="Palatino Linotype" w:hAnsi="Palatino Linotype" w:cs="Palatino Linotype"/>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w:t>
      </w:r>
      <w:r w:rsidRPr="001C2D3C">
        <w:rPr>
          <w:rFonts w:ascii="Palatino Linotype" w:eastAsia="Palatino Linotype" w:hAnsi="Palatino Linotype" w:cs="Palatino Linotype"/>
          <w:color w:val="000000"/>
          <w:sz w:val="24"/>
          <w:szCs w:val="24"/>
        </w:rPr>
        <w:lastRenderedPageBreak/>
        <w:t>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9432E4" w:rsidRPr="001C2D3C" w:rsidRDefault="009432E4">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En el caso particular, la respuesta la emitió el Director Jurídico; así como por el Titular del Órgano Interno de Control, servidores públicos que pudieran generar, poseer y administrar la información requerida por el particular, lo que advierte que el Sujeto Obligado dio cumplimiento al proceso de búsqueda referido anteriormente, ya que turnó la solicitud a los servidores públicos habilitados correspondientes.  </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Al respecto conviene señalar que en el Manual General de Organización de la Dirección Jurídica; así como del Órgano interno de Control, se establecen las funciones y atribuciones de estas Unidades Administrativas, preceptos legales que a la letra rezan:</w:t>
      </w:r>
    </w:p>
    <w:p w:rsidR="009432E4" w:rsidRPr="001C2D3C" w:rsidRDefault="00B67E55">
      <w:pPr>
        <w:pBdr>
          <w:top w:val="nil"/>
          <w:left w:val="nil"/>
          <w:bottom w:val="nil"/>
          <w:right w:val="nil"/>
          <w:between w:val="nil"/>
        </w:pBdr>
        <w:ind w:left="567" w:right="539"/>
        <w:jc w:val="center"/>
        <w:rPr>
          <w:rFonts w:ascii="Palatino Linotype" w:eastAsia="Palatino Linotype" w:hAnsi="Palatino Linotype" w:cs="Palatino Linotype"/>
          <w:b/>
          <w:bCs/>
          <w:i/>
          <w:iCs/>
          <w:color w:val="000000"/>
          <w:sz w:val="24"/>
          <w:szCs w:val="24"/>
        </w:rPr>
      </w:pPr>
      <w:r w:rsidRPr="001C2D3C">
        <w:rPr>
          <w:rFonts w:ascii="Palatino Linotype" w:eastAsia="Palatino Linotype" w:hAnsi="Palatino Linotype" w:cs="Palatino Linotype"/>
          <w:b/>
          <w:bCs/>
          <w:i/>
          <w:iCs/>
          <w:color w:val="000000"/>
          <w:sz w:val="24"/>
          <w:szCs w:val="24"/>
        </w:rPr>
        <w:t>DIRECCIÓN JURÍDICA</w:t>
      </w:r>
    </w:p>
    <w:p w:rsidR="009432E4" w:rsidRPr="001C2D3C" w:rsidRDefault="009432E4">
      <w:pPr>
        <w:pBdr>
          <w:top w:val="nil"/>
          <w:left w:val="nil"/>
          <w:bottom w:val="nil"/>
          <w:right w:val="nil"/>
          <w:between w:val="nil"/>
        </w:pBdr>
        <w:ind w:left="567" w:right="539"/>
        <w:rPr>
          <w:rFonts w:ascii="Palatino Linotype" w:eastAsia="Palatino Linotype" w:hAnsi="Palatino Linotype" w:cs="Palatino Linotype"/>
          <w:b/>
          <w:bCs/>
          <w:i/>
          <w:iCs/>
          <w:color w:val="000000"/>
          <w:sz w:val="24"/>
          <w:szCs w:val="24"/>
        </w:rPr>
      </w:pP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lastRenderedPageBreak/>
        <w:t xml:space="preserve">3. Integrar, organizar, elaborar, programar, controlar y supervisar las actividades jurídicas a realizar en los asuntos jurídicos en los que el Ayuntamiento sea parte, Intervenir en los asuntos de carácter litigioso que involucren a la administración pública municipal, en calidad de apoderado o representante legal; </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 xml:space="preserve">6. Remitir a los departamentos jurídicos de las diversas unidades administrativas, los asuntos de su competencia para su análisis y seguimiento; </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 xml:space="preserve">7. Desahogar las consultas que se formulen en relación con la aplicación de leyes, reglamentos, decretos, acuerdos y demás ordenamientos jurídicos; </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 xml:space="preserve">8. Vigilar que todos los procedimientos y procesos se lleven a cabo con estricto apego a las leyes aplicables; </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w:t>
      </w:r>
    </w:p>
    <w:p w:rsidR="009432E4" w:rsidRPr="001C2D3C" w:rsidRDefault="00B67E55">
      <w:pPr>
        <w:tabs>
          <w:tab w:val="left" w:pos="284"/>
          <w:tab w:val="left" w:pos="567"/>
        </w:tabs>
        <w:ind w:left="567" w:right="539"/>
        <w:jc w:val="both"/>
        <w:rPr>
          <w:rFonts w:ascii="Palatino Linotype" w:eastAsia="Palatino Linotype" w:hAnsi="Palatino Linotype" w:cs="Palatino Linotype"/>
          <w:b/>
          <w:bCs/>
          <w:i/>
          <w:iCs/>
          <w:sz w:val="24"/>
          <w:szCs w:val="24"/>
          <w:u w:val="single"/>
        </w:rPr>
      </w:pPr>
      <w:r w:rsidRPr="001C2D3C">
        <w:rPr>
          <w:rFonts w:ascii="Palatino Linotype" w:eastAsia="Palatino Linotype" w:hAnsi="Palatino Linotype" w:cs="Palatino Linotype"/>
          <w:b/>
          <w:bCs/>
          <w:i/>
          <w:iCs/>
          <w:sz w:val="24"/>
          <w:szCs w:val="24"/>
          <w:u w:val="single"/>
        </w:rPr>
        <w:t xml:space="preserve">11. Representar y tramitar diligencias y procesos administrativos, laborales, penales, civiles, mercantiles, agrarios, de amparo, y en cualquier otro asunto, en el que la Presidenta o el Ayuntamiento sea parte; </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 xml:space="preserve">12. Intervenir en la conciliación de las controversias menores que se susciten entre los particulares, exhortándolos a guardar el orden y a respetarse mutuamente; </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 xml:space="preserve">13. Dirimir y planear las actividades de representación, defensa y gestión en las averiguaciones previas y juicios penales en carácter de coadyuvante del Ministerio Público o como defensor, en donde se vean involucradas las autoridades municipales o en cualquier caso que se vea afectado el patrimonio Municipal por la comisión de un ilícito; </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 xml:space="preserve">15. Proyectar las actividades administrativas y jurídicas del área; </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17. Participar en la elaboración de proyectos de instrumentos de carácter jurídico requeridos para el eficaz funcionamiento de la administración pública municipal.</w:t>
      </w:r>
    </w:p>
    <w:p w:rsidR="009432E4" w:rsidRPr="001C2D3C" w:rsidRDefault="00B67E55">
      <w:pPr>
        <w:tabs>
          <w:tab w:val="left" w:pos="284"/>
          <w:tab w:val="left" w:pos="567"/>
        </w:tabs>
        <w:ind w:left="567" w:right="539"/>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sz w:val="24"/>
          <w:szCs w:val="24"/>
        </w:rPr>
        <w:t>(…)</w:t>
      </w:r>
    </w:p>
    <w:p w:rsidR="009432E4" w:rsidRPr="001C2D3C" w:rsidRDefault="009432E4">
      <w:pPr>
        <w:tabs>
          <w:tab w:val="left" w:pos="284"/>
          <w:tab w:val="left" w:pos="567"/>
        </w:tabs>
        <w:ind w:left="567" w:right="539"/>
        <w:jc w:val="center"/>
        <w:rPr>
          <w:rFonts w:ascii="Palatino Linotype" w:eastAsia="Palatino Linotype" w:hAnsi="Palatino Linotype" w:cs="Palatino Linotype"/>
          <w:b/>
          <w:bCs/>
          <w:i/>
          <w:iCs/>
          <w:color w:val="000000"/>
          <w:sz w:val="24"/>
          <w:szCs w:val="24"/>
        </w:rPr>
      </w:pPr>
    </w:p>
    <w:p w:rsidR="009432E4" w:rsidRPr="001C2D3C" w:rsidRDefault="00B67E55">
      <w:pPr>
        <w:tabs>
          <w:tab w:val="left" w:pos="284"/>
          <w:tab w:val="left" w:pos="567"/>
        </w:tabs>
        <w:ind w:left="567" w:right="539"/>
        <w:jc w:val="center"/>
        <w:rPr>
          <w:rFonts w:ascii="Palatino Linotype" w:eastAsia="Palatino Linotype" w:hAnsi="Palatino Linotype" w:cs="Palatino Linotype"/>
          <w:b/>
          <w:bCs/>
          <w:i/>
          <w:iCs/>
          <w:color w:val="000000"/>
          <w:sz w:val="24"/>
          <w:szCs w:val="24"/>
        </w:rPr>
      </w:pPr>
      <w:r w:rsidRPr="001C2D3C">
        <w:rPr>
          <w:rFonts w:ascii="Palatino Linotype" w:eastAsia="Palatino Linotype" w:hAnsi="Palatino Linotype" w:cs="Palatino Linotype"/>
          <w:b/>
          <w:bCs/>
          <w:i/>
          <w:iCs/>
          <w:color w:val="000000"/>
          <w:sz w:val="24"/>
          <w:szCs w:val="24"/>
        </w:rPr>
        <w:t>ÓRGANO INTERNO DE CONTROL</w:t>
      </w:r>
    </w:p>
    <w:p w:rsidR="009432E4" w:rsidRPr="001C2D3C" w:rsidRDefault="009432E4">
      <w:pPr>
        <w:tabs>
          <w:tab w:val="left" w:pos="284"/>
          <w:tab w:val="left" w:pos="567"/>
        </w:tabs>
        <w:ind w:left="567" w:right="539"/>
        <w:jc w:val="both"/>
        <w:rPr>
          <w:rFonts w:ascii="Palatino Linotype" w:eastAsia="Palatino Linotype" w:hAnsi="Palatino Linotype" w:cs="Palatino Linotype"/>
          <w:b/>
          <w:bCs/>
          <w:i/>
          <w:iCs/>
          <w:color w:val="000000"/>
          <w:sz w:val="24"/>
          <w:szCs w:val="24"/>
        </w:rPr>
      </w:pP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 xml:space="preserve">3. Establecer las bases generales para la realización de auditorías, inspecciones, verificaciones y otras intervenciones a las dependencias y entidades descentralizadas de la Administración Pública Municipal. </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 xml:space="preserve">(…) </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lastRenderedPageBreak/>
        <w:t xml:space="preserve">15. Coordinar la participación de la dependencia en las inspecciones físicas para la elaboración y actualización del inventario general de los bienes muebles e inmuebles propiedad del municipio, expresando las características de identificación y destino de los mismos. </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b/>
          <w:bCs/>
          <w:i/>
          <w:iCs/>
          <w:color w:val="000000"/>
          <w:sz w:val="24"/>
          <w:szCs w:val="24"/>
        </w:rPr>
      </w:pPr>
      <w:r w:rsidRPr="001C2D3C">
        <w:rPr>
          <w:rFonts w:ascii="Palatino Linotype" w:eastAsia="Palatino Linotype" w:hAnsi="Palatino Linotype" w:cs="Palatino Linotype"/>
          <w:b/>
          <w:bCs/>
          <w:i/>
          <w:iCs/>
          <w:color w:val="000000"/>
          <w:sz w:val="24"/>
          <w:szCs w:val="24"/>
        </w:rPr>
        <w:t xml:space="preserve">16. Implementar los mecanismos internos que prevengan actos u omisiones que pudieran constituir responsabilidades administrativas, en los términos establecidos por el Sistema Estatal y Municipal Anticorrupción y la Ley de Responsabilidades Administrativas del Estado de México y Municipios. </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 xml:space="preserve">17. Participar juntamente con la Dirección de Administración y Finanzas y la Dirección de Obras en la depuración de obras en proceso. </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b/>
          <w:bCs/>
          <w:i/>
          <w:iCs/>
          <w:color w:val="000000"/>
          <w:sz w:val="24"/>
          <w:szCs w:val="24"/>
          <w:u w:val="single"/>
        </w:rPr>
      </w:pPr>
      <w:r w:rsidRPr="001C2D3C">
        <w:rPr>
          <w:rFonts w:ascii="Palatino Linotype" w:eastAsia="Palatino Linotype" w:hAnsi="Palatino Linotype" w:cs="Palatino Linotype"/>
          <w:b/>
          <w:bCs/>
          <w:i/>
          <w:iCs/>
          <w:color w:val="000000"/>
          <w:sz w:val="24"/>
          <w:szCs w:val="24"/>
          <w:u w:val="single"/>
        </w:rPr>
        <w:t xml:space="preserve">21. Recibir denuncias por hechos probablemente constitutivos de faltas administrativas de los Servidores Públicos de la Administración Pública Municipal, en términos de la Ley de Responsabilidades Administrativas del Estado de México y Municipios y turnar a la Autoridad de Investigación para el inicio del procedimiento correspondiente. </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b/>
          <w:bCs/>
          <w:i/>
          <w:iCs/>
          <w:color w:val="000000"/>
          <w:sz w:val="24"/>
          <w:szCs w:val="24"/>
        </w:rPr>
      </w:pPr>
      <w:r w:rsidRPr="001C2D3C">
        <w:rPr>
          <w:rFonts w:ascii="Palatino Linotype" w:eastAsia="Palatino Linotype" w:hAnsi="Palatino Linotype" w:cs="Palatino Linotype"/>
          <w:b/>
          <w:bCs/>
          <w:i/>
          <w:iCs/>
          <w:color w:val="000000"/>
          <w:sz w:val="24"/>
          <w:szCs w:val="24"/>
        </w:rPr>
        <w:t xml:space="preserve">24. Alimentar el Sistema Integral de Responsabilidades (SIR), el Sistema Integral de Manifestación de Bienes (SIMB, DGRSP y Declar@net), Constancia de No Inhabilitación, Sistema de Registro de Empresas y Personas Físicas Objetadas y Sancionadas, incluyendo el Boletín de Empresas Objetadas y Registro de Medios de Impugnación, o aquellos que en lo futuro se consideren sus equivalentes para el cumplimiento de sus atribuciones y en su momento una vez que se cuente con la Plataforma Digital Estatal conformada por la información que incorporen los integrantes del Sistema Estatal Anticorrupción. </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i/>
          <w:iCs/>
          <w:color w:val="000000"/>
          <w:sz w:val="24"/>
          <w:szCs w:val="24"/>
        </w:rPr>
      </w:pPr>
      <w:r w:rsidRPr="001C2D3C">
        <w:rPr>
          <w:rFonts w:ascii="Palatino Linotype" w:eastAsia="Palatino Linotype" w:hAnsi="Palatino Linotype" w:cs="Palatino Linotype"/>
          <w:i/>
          <w:iCs/>
          <w:color w:val="000000"/>
          <w:sz w:val="24"/>
          <w:szCs w:val="24"/>
        </w:rPr>
        <w:t xml:space="preserve">25. Aprobar las políticas y técnicas administrativas para su mejor organización y funcionamiento, así como, emitir disposiciones administrativas en materia de control interno, previo acuerdo con el Ejecutivo Municipal. </w:t>
      </w:r>
    </w:p>
    <w:p w:rsidR="009432E4" w:rsidRPr="001C2D3C" w:rsidRDefault="00B67E55">
      <w:pPr>
        <w:pBdr>
          <w:top w:val="nil"/>
          <w:left w:val="nil"/>
          <w:bottom w:val="nil"/>
          <w:right w:val="nil"/>
          <w:between w:val="nil"/>
        </w:pBdr>
        <w:tabs>
          <w:tab w:val="left" w:pos="284"/>
          <w:tab w:val="left" w:pos="567"/>
        </w:tabs>
        <w:ind w:left="927" w:right="539"/>
        <w:jc w:val="both"/>
        <w:rPr>
          <w:rFonts w:ascii="Palatino Linotype" w:eastAsia="Palatino Linotype" w:hAnsi="Palatino Linotype" w:cs="Palatino Linotype"/>
          <w:b/>
          <w:bCs/>
          <w:i/>
          <w:iCs/>
          <w:color w:val="000000"/>
          <w:sz w:val="24"/>
          <w:szCs w:val="24"/>
        </w:rPr>
      </w:pPr>
      <w:r w:rsidRPr="001C2D3C">
        <w:rPr>
          <w:rFonts w:ascii="Palatino Linotype" w:eastAsia="Palatino Linotype" w:hAnsi="Palatino Linotype" w:cs="Palatino Linotype"/>
          <w:i/>
          <w:iCs/>
          <w:color w:val="000000"/>
          <w:sz w:val="24"/>
          <w:szCs w:val="24"/>
        </w:rPr>
        <w:t>(…)</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color w:val="000000"/>
          <w:sz w:val="24"/>
          <w:szCs w:val="24"/>
        </w:rPr>
      </w:pPr>
      <w:bookmarkStart w:id="9" w:name="_heading=h.a3ptcy5px2np" w:colFirst="0" w:colLast="0"/>
      <w:bookmarkEnd w:id="9"/>
      <w:r w:rsidRPr="001C2D3C">
        <w:rPr>
          <w:rFonts w:ascii="Palatino Linotype" w:eastAsia="Palatino Linotype" w:hAnsi="Palatino Linotype" w:cs="Palatino Linotype"/>
          <w:color w:val="000000"/>
          <w:sz w:val="24"/>
          <w:szCs w:val="24"/>
        </w:rPr>
        <w:t xml:space="preserve">De anterior se advierte que las Unidades Administrativas que a través de un acto jurídico posterior, como lo es el informe justificado, son competentes para poseer, administrar y </w:t>
      </w:r>
      <w:r w:rsidRPr="001C2D3C">
        <w:rPr>
          <w:rFonts w:ascii="Palatino Linotype" w:eastAsia="Palatino Linotype" w:hAnsi="Palatino Linotype" w:cs="Palatino Linotype"/>
          <w:color w:val="000000"/>
          <w:sz w:val="24"/>
          <w:szCs w:val="24"/>
        </w:rPr>
        <w:lastRenderedPageBreak/>
        <w:t xml:space="preserve">generar la información requerida por el particular, por tanto se vislumbra que el </w:t>
      </w:r>
      <w:r w:rsidRPr="001C2D3C">
        <w:rPr>
          <w:rFonts w:ascii="Palatino Linotype" w:eastAsia="Palatino Linotype" w:hAnsi="Palatino Linotype" w:cs="Palatino Linotype"/>
          <w:b/>
          <w:bCs/>
          <w:color w:val="000000"/>
          <w:sz w:val="24"/>
          <w:szCs w:val="24"/>
        </w:rPr>
        <w:t xml:space="preserve">SUJETO OBLIGADO, </w:t>
      </w:r>
      <w:r w:rsidRPr="001C2D3C">
        <w:rPr>
          <w:rFonts w:ascii="Palatino Linotype" w:eastAsia="Palatino Linotype" w:hAnsi="Palatino Linotype" w:cs="Palatino Linotype"/>
          <w:sz w:val="24"/>
          <w:szCs w:val="24"/>
        </w:rPr>
        <w:t>llevó</w:t>
      </w:r>
      <w:r w:rsidRPr="001C2D3C">
        <w:rPr>
          <w:rFonts w:ascii="Palatino Linotype" w:eastAsia="Palatino Linotype" w:hAnsi="Palatino Linotype" w:cs="Palatino Linotype"/>
          <w:color w:val="000000"/>
          <w:sz w:val="24"/>
          <w:szCs w:val="24"/>
        </w:rPr>
        <w:t xml:space="preserve"> a cabo la búsqueda exhaustiva, exigida por la ley de la materia.</w:t>
      </w:r>
    </w:p>
    <w:p w:rsidR="009432E4" w:rsidRPr="001C2D3C" w:rsidRDefault="009432E4">
      <w:pPr>
        <w:pBdr>
          <w:top w:val="nil"/>
          <w:left w:val="nil"/>
          <w:bottom w:val="nil"/>
          <w:right w:val="nil"/>
          <w:between w:val="nil"/>
        </w:pBdr>
        <w:tabs>
          <w:tab w:val="left" w:pos="284"/>
          <w:tab w:val="left" w:pos="567"/>
        </w:tabs>
        <w:spacing w:line="360" w:lineRule="auto"/>
        <w:ind w:left="360"/>
        <w:jc w:val="both"/>
        <w:rPr>
          <w:rFonts w:ascii="Palatino Linotype" w:eastAsia="Palatino Linotype" w:hAnsi="Palatino Linotype" w:cs="Palatino Linotype"/>
          <w:sz w:val="24"/>
          <w:szCs w:val="24"/>
        </w:rPr>
      </w:pPr>
      <w:bookmarkStart w:id="10" w:name="_heading=h.uy1gmz6ybv04" w:colFirst="0" w:colLast="0"/>
      <w:bookmarkEnd w:id="10"/>
    </w:p>
    <w:p w:rsidR="009432E4" w:rsidRPr="001C2D3C" w:rsidRDefault="00B67E55">
      <w:pPr>
        <w:numPr>
          <w:ilvl w:val="0"/>
          <w:numId w:val="8"/>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Aunado a ello, el Sujeto Obligado señaló que no existen juicio o amparos bajo los términos establecidos por el particular; al respecto, podemos advertir que estamos </w:t>
      </w:r>
      <w:r w:rsidRPr="001C2D3C">
        <w:rPr>
          <w:rFonts w:ascii="Palatino Linotype" w:eastAsia="Palatino Linotype" w:hAnsi="Palatino Linotype" w:cs="Palatino Linotype"/>
          <w:sz w:val="24"/>
          <w:szCs w:val="24"/>
        </w:rPr>
        <w:t>ante</w:t>
      </w:r>
      <w:r w:rsidRPr="001C2D3C">
        <w:rPr>
          <w:rFonts w:ascii="Palatino Linotype" w:eastAsia="Palatino Linotype" w:hAnsi="Palatino Linotype" w:cs="Palatino Linotype"/>
          <w:color w:val="000000"/>
          <w:sz w:val="24"/>
          <w:szCs w:val="24"/>
        </w:rPr>
        <w:t xml:space="preserve"> un hecho negativo. Lo anterior encuentra sustento con la Jurisprudencia 267,287 y el Criterio 10/2004 emitidos por el Máximo Juzgador del país,   </w:t>
      </w:r>
    </w:p>
    <w:p w:rsidR="009432E4" w:rsidRPr="001C2D3C" w:rsidRDefault="009432E4">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sz w:val="24"/>
          <w:szCs w:val="24"/>
        </w:rPr>
      </w:pPr>
    </w:p>
    <w:p w:rsidR="009432E4" w:rsidRPr="001C2D3C" w:rsidRDefault="00B67E55">
      <w:pPr>
        <w:pBdr>
          <w:top w:val="nil"/>
          <w:left w:val="nil"/>
          <w:bottom w:val="nil"/>
          <w:right w:val="nil"/>
          <w:between w:val="nil"/>
        </w:pBdr>
        <w:tabs>
          <w:tab w:val="left" w:pos="567"/>
        </w:tabs>
        <w:spacing w:line="360" w:lineRule="auto"/>
        <w:ind w:left="851" w:right="822"/>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HECHOS NEGATIVOS, NO SON SUSCEPTIBLES DE DEMOSTRACION. Tratándose de un hecho negativo, el Juez no tiene por que invocar prueba alguna de la que se desprenda, ya que es bien sabido que esta clase de hechos no son susceptibles de demostración.”</w:t>
      </w:r>
    </w:p>
    <w:p w:rsidR="009432E4" w:rsidRPr="001C2D3C" w:rsidRDefault="009432E4">
      <w:pPr>
        <w:pBdr>
          <w:top w:val="nil"/>
          <w:left w:val="nil"/>
          <w:bottom w:val="nil"/>
          <w:right w:val="nil"/>
          <w:between w:val="nil"/>
        </w:pBdr>
        <w:tabs>
          <w:tab w:val="left" w:pos="567"/>
        </w:tabs>
        <w:spacing w:line="360" w:lineRule="auto"/>
        <w:ind w:left="851" w:right="822"/>
        <w:jc w:val="both"/>
        <w:rPr>
          <w:rFonts w:ascii="Palatino Linotype" w:eastAsia="Palatino Linotype" w:hAnsi="Palatino Linotype" w:cs="Palatino Linotype"/>
          <w:i/>
          <w:iCs/>
          <w:sz w:val="24"/>
          <w:szCs w:val="24"/>
        </w:rPr>
      </w:pPr>
    </w:p>
    <w:p w:rsidR="009432E4" w:rsidRPr="001C2D3C" w:rsidRDefault="00B67E55">
      <w:pPr>
        <w:pBdr>
          <w:top w:val="nil"/>
          <w:left w:val="nil"/>
          <w:bottom w:val="nil"/>
          <w:right w:val="nil"/>
          <w:between w:val="nil"/>
        </w:pBdr>
        <w:tabs>
          <w:tab w:val="left" w:pos="567"/>
        </w:tabs>
        <w:spacing w:line="360" w:lineRule="auto"/>
        <w:ind w:left="851" w:right="822"/>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 xml:space="preserve">“INEXISTENCIA DE LA INFORMACIÓN. EL COMITÉ DE ACCESO A LA INFORMACIÓN PUEDE DECLARARLA ANTE SU EVIDENCIA, SIN NECESIDAD DE DICTAR MEDIDAS PARA SU LOCALIZACIÓN. Los artículos 46 de la Ley Federal de Transparencia y Acceso a la Información Pública Gubernamental y 30, segundo párrafo, del Reglamento de la Suprema Corte de Justicia de la Nación y del Consejo de la Judicatura Federal para la aplicación de la Ley Federal  de Transparencia y Acceso a la Información Pública Gubernamental, disponen que cuando los documentos no se encuentren en los archivos de la respectiva Unidad Administrativa, se deberá remitir al Comité la solicitud de acceso y el oficio donde se manifieste tal circunstancia, para que éste analice el caso y tome las medidas </w:t>
      </w:r>
      <w:r w:rsidRPr="001C2D3C">
        <w:rPr>
          <w:rFonts w:ascii="Palatino Linotype" w:eastAsia="Palatino Linotype" w:hAnsi="Palatino Linotype" w:cs="Palatino Linotype"/>
          <w:i/>
          <w:iCs/>
          <w:sz w:val="24"/>
          <w:szCs w:val="24"/>
        </w:rPr>
        <w:lastRenderedPageBreak/>
        <w:t>pertinentes para localizar en la Unidad Administrativa correspondiente el documento solicitado y, de no encontrarlo, expida una resolución que confirme la inexistencia del mismo. Ello no obsta para concluir que cuando la referida Unidad señala, o el mencionado Comité advierte que el documento solicitado no existe en virtud de que no tuvo lugar el acto cuya realización supuestamente se reflejó en aquél, resulta innecesario dictar alguna medida para localizar la información respectiva, al evidenciarse su inexistencia.”</w:t>
      </w:r>
    </w:p>
    <w:p w:rsidR="009432E4" w:rsidRPr="001C2D3C" w:rsidRDefault="00B67E55">
      <w:pPr>
        <w:pBdr>
          <w:top w:val="nil"/>
          <w:left w:val="nil"/>
          <w:bottom w:val="nil"/>
          <w:right w:val="nil"/>
          <w:between w:val="nil"/>
        </w:pBdr>
        <w:tabs>
          <w:tab w:val="left" w:pos="567"/>
        </w:tabs>
        <w:spacing w:line="360" w:lineRule="auto"/>
        <w:ind w:left="851" w:right="822"/>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sz w:val="24"/>
          <w:szCs w:val="24"/>
        </w:rPr>
        <w:t>(Énfasis añadido)</w:t>
      </w:r>
    </w:p>
    <w:p w:rsidR="009432E4" w:rsidRPr="001C2D3C" w:rsidRDefault="009432E4">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sz w:val="24"/>
          <w:szCs w:val="24"/>
        </w:rPr>
      </w:pPr>
    </w:p>
    <w:p w:rsidR="009432E4" w:rsidRPr="001C2D3C" w:rsidRDefault="00B67E55">
      <w:pPr>
        <w:numPr>
          <w:ilvl w:val="0"/>
          <w:numId w:val="8"/>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sz w:val="24"/>
          <w:szCs w:val="24"/>
        </w:rPr>
        <w:t xml:space="preserve">En ese sentido, no es procedente ordenar un acuerdo de inexistencia, ya que como lo señaló el Sujeto Obligado, no se cuenta con la información requerida por el particular por no generarse, y no se trata de información que haya existido y por alguna razón ya no exista, o bien, de información que de manera obligatoria deba generar el Sujeto Obligado, por ello, no es procedente ordenar su entrega. </w:t>
      </w:r>
    </w:p>
    <w:p w:rsidR="009432E4" w:rsidRPr="001C2D3C" w:rsidRDefault="009432E4">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sz w:val="24"/>
          <w:szCs w:val="24"/>
        </w:rPr>
      </w:pPr>
    </w:p>
    <w:p w:rsidR="009432E4" w:rsidRPr="001C2D3C" w:rsidRDefault="00B67E55">
      <w:pPr>
        <w:numPr>
          <w:ilvl w:val="0"/>
          <w:numId w:val="8"/>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sz w:val="24"/>
          <w:szCs w:val="24"/>
        </w:rPr>
        <w:t>Así mismo, la Ley de Transparencia y Acceso a la Información Pública del Estado de México y Municipios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9432E4" w:rsidRPr="001C2D3C" w:rsidRDefault="009432E4">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sz w:val="24"/>
          <w:szCs w:val="24"/>
        </w:rPr>
      </w:pPr>
    </w:p>
    <w:p w:rsidR="009432E4" w:rsidRPr="001C2D3C" w:rsidRDefault="00B67E5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 xml:space="preserve">“Artículo 4.- </w:t>
      </w:r>
    </w:p>
    <w:p w:rsidR="009432E4" w:rsidRPr="001C2D3C" w:rsidRDefault="00B67E5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lastRenderedPageBreak/>
        <w:t>…</w:t>
      </w:r>
    </w:p>
    <w:p w:rsidR="009432E4" w:rsidRPr="001C2D3C" w:rsidRDefault="00B67E5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t>Los Sujetos Obligados deben poner en práctica, políticas y programas de acceso a la información que se apeguen a criterios de publicidad, veracidad, oportunidad, precisión y suficiencia en beneficio de los solicitantes.”</w:t>
      </w:r>
    </w:p>
    <w:p w:rsidR="009432E4" w:rsidRPr="001C2D3C" w:rsidRDefault="009432E4">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sz w:val="24"/>
          <w:szCs w:val="24"/>
        </w:rPr>
      </w:pPr>
    </w:p>
    <w:p w:rsidR="009432E4" w:rsidRPr="001C2D3C" w:rsidRDefault="00B67E55">
      <w:pPr>
        <w:numPr>
          <w:ilvl w:val="0"/>
          <w:numId w:val="8"/>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sz w:val="24"/>
          <w:szCs w:val="24"/>
        </w:rPr>
        <w:t xml:space="preserve">Numerales que compelen al SUJETO OBLIGADO a apegarse en todo momento a los criterios ya expuestos, impidiendo a este Órgano Colegiado cuestionar la veracidad de la información. </w:t>
      </w:r>
    </w:p>
    <w:p w:rsidR="009432E4" w:rsidRPr="001C2D3C" w:rsidRDefault="009432E4">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Como se advierte, la información remitida en informe justificado colma el requerimiento referente, al referir que no se generó información respecto a lo solicitado. </w:t>
      </w:r>
    </w:p>
    <w:p w:rsidR="009432E4" w:rsidRPr="001C2D3C" w:rsidRDefault="009432E4">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Así, </w:t>
      </w:r>
      <w:r w:rsidRPr="001C2D3C">
        <w:rPr>
          <w:rFonts w:ascii="Palatino Linotype" w:eastAsia="Palatino Linotype" w:hAnsi="Palatino Linotype" w:cs="Palatino Linotype"/>
          <w:sz w:val="24"/>
          <w:szCs w:val="24"/>
        </w:rPr>
        <w:t xml:space="preserve">este Pleno advierte que el </w:t>
      </w:r>
      <w:r w:rsidRPr="001C2D3C">
        <w:rPr>
          <w:rFonts w:ascii="Palatino Linotype" w:eastAsia="Palatino Linotype" w:hAnsi="Palatino Linotype" w:cs="Palatino Linotype"/>
          <w:b/>
          <w:bCs/>
          <w:sz w:val="24"/>
          <w:szCs w:val="24"/>
        </w:rPr>
        <w:t>SUJETO OBLIGADO</w:t>
      </w:r>
      <w:r w:rsidRPr="001C2D3C">
        <w:rPr>
          <w:rFonts w:ascii="Palatino Linotype" w:eastAsia="Palatino Linotype" w:hAnsi="Palatino Linotype" w:cs="Palatino Linotype"/>
          <w:sz w:val="24"/>
          <w:szCs w:val="24"/>
        </w:rPr>
        <w:t xml:space="preserve"> </w:t>
      </w:r>
      <w:r w:rsidRPr="001C2D3C">
        <w:rPr>
          <w:rFonts w:ascii="Palatino Linotype" w:eastAsia="Palatino Linotype" w:hAnsi="Palatino Linotype" w:cs="Palatino Linotype"/>
          <w:b/>
          <w:bCs/>
          <w:sz w:val="24"/>
          <w:szCs w:val="24"/>
        </w:rPr>
        <w:t xml:space="preserve">modificó </w:t>
      </w:r>
      <w:r w:rsidRPr="001C2D3C">
        <w:rPr>
          <w:rFonts w:ascii="Palatino Linotype" w:eastAsia="Palatino Linotype" w:hAnsi="Palatino Linotype" w:cs="Palatino Linotype"/>
          <w:sz w:val="24"/>
          <w:szCs w:val="24"/>
        </w:rPr>
        <w:t>el acto que le dio origen a al recurso de revisión y que, a través de informe justificado entregó respuesta a lo solicitado, lo que trae como consecuencia que el mismo quede sin materia, actualizándose de este modo, la hipótesis jurídica contenida en la fracción III del artículo 192 de la Ley de Transparencia Local.</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Ahora bien, </w:t>
      </w:r>
      <w:r w:rsidRPr="001C2D3C">
        <w:rPr>
          <w:rFonts w:ascii="Palatino Linotype" w:eastAsia="Palatino Linotype" w:hAnsi="Palatino Linotype" w:cs="Palatino Linotype"/>
          <w:sz w:val="24"/>
          <w:szCs w:val="24"/>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w:t>
      </w:r>
      <w:r w:rsidRPr="001C2D3C">
        <w:rPr>
          <w:rFonts w:ascii="Palatino Linotype" w:eastAsia="Palatino Linotype" w:hAnsi="Palatino Linotype" w:cs="Palatino Linotype"/>
          <w:b/>
          <w:bCs/>
          <w:sz w:val="24"/>
          <w:szCs w:val="24"/>
        </w:rPr>
        <w:t>SUJETOS OBLIGADOS</w:t>
      </w:r>
      <w:r w:rsidRPr="001C2D3C">
        <w:rPr>
          <w:rFonts w:ascii="Palatino Linotype" w:eastAsia="Palatino Linotype" w:hAnsi="Palatino Linotype" w:cs="Palatino Linotype"/>
          <w:sz w:val="24"/>
          <w:szCs w:val="24"/>
        </w:rPr>
        <w:t xml:space="preserve"> o la negativa de entrega de esta, derivada de la solicitud de información pública.</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lastRenderedPageBreak/>
        <w:t xml:space="preserve">De </w:t>
      </w:r>
      <w:r w:rsidRPr="001C2D3C">
        <w:rPr>
          <w:rFonts w:ascii="Palatino Linotype" w:eastAsia="Palatino Linotype" w:hAnsi="Palatino Linotype" w:cs="Palatino Linotype"/>
          <w:sz w:val="24"/>
          <w:szCs w:val="24"/>
        </w:rPr>
        <w:t xml:space="preserve">este modo, cuando el </w:t>
      </w:r>
      <w:r w:rsidRPr="001C2D3C">
        <w:rPr>
          <w:rFonts w:ascii="Palatino Linotype" w:eastAsia="Palatino Linotype" w:hAnsi="Palatino Linotype" w:cs="Palatino Linotype"/>
          <w:b/>
          <w:bCs/>
          <w:sz w:val="24"/>
          <w:szCs w:val="24"/>
        </w:rPr>
        <w:t xml:space="preserve">SUJETO OBLIGADO, </w:t>
      </w:r>
      <w:r w:rsidRPr="001C2D3C">
        <w:rPr>
          <w:rFonts w:ascii="Palatino Linotype" w:eastAsia="Palatino Linotype" w:hAnsi="Palatino Linotype" w:cs="Palatino Linotype"/>
          <w:sz w:val="24"/>
          <w:szCs w:val="24"/>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1C2D3C">
        <w:rPr>
          <w:rFonts w:ascii="Palatino Linotype" w:eastAsia="Palatino Linotype" w:hAnsi="Palatino Linotype" w:cs="Palatino Linotype"/>
          <w:i/>
          <w:iCs/>
          <w:sz w:val="24"/>
          <w:szCs w:val="24"/>
        </w:rPr>
        <w:t>litis</w:t>
      </w:r>
      <w:r w:rsidRPr="001C2D3C">
        <w:rPr>
          <w:rFonts w:ascii="Palatino Linotype" w:eastAsia="Palatino Linotype" w:hAnsi="Palatino Linotype" w:cs="Palatino Linotype"/>
          <w:sz w:val="24"/>
          <w:szCs w:val="24"/>
        </w:rPr>
        <w:t xml:space="preserve"> planteada, debido a que la afectación en su esfera de derechos fue restituida por la propia autoridad que emitió el acto motivo de impugnación.</w:t>
      </w:r>
    </w:p>
    <w:p w:rsidR="009432E4" w:rsidRPr="001C2D3C" w:rsidRDefault="009432E4">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Sirve </w:t>
      </w:r>
      <w:r w:rsidRPr="001C2D3C">
        <w:rPr>
          <w:rFonts w:ascii="Palatino Linotype" w:eastAsia="Palatino Linotype" w:hAnsi="Palatino Linotype" w:cs="Palatino Linotype"/>
          <w:sz w:val="24"/>
          <w:szCs w:val="24"/>
        </w:rPr>
        <w:t>de sustento a lo anterior la siguiente jurisprudencia por contradicción, cuyo rubro, texto y datos de identificación son los siguientes:</w:t>
      </w:r>
    </w:p>
    <w:p w:rsidR="009432E4" w:rsidRPr="001C2D3C" w:rsidRDefault="009432E4">
      <w:pPr>
        <w:rPr>
          <w:rFonts w:ascii="Palatino Linotype" w:eastAsia="Palatino Linotype" w:hAnsi="Palatino Linotype" w:cs="Palatino Linotype"/>
          <w:color w:val="000000"/>
          <w:sz w:val="24"/>
          <w:szCs w:val="24"/>
        </w:rPr>
      </w:pPr>
    </w:p>
    <w:p w:rsidR="009432E4" w:rsidRPr="001C2D3C" w:rsidRDefault="00B67E55">
      <w:pPr>
        <w:pBdr>
          <w:top w:val="nil"/>
          <w:left w:val="nil"/>
          <w:bottom w:val="nil"/>
          <w:right w:val="nil"/>
          <w:between w:val="nil"/>
        </w:pBdr>
        <w:tabs>
          <w:tab w:val="left" w:pos="709"/>
          <w:tab w:val="left" w:pos="851"/>
        </w:tabs>
        <w:spacing w:line="360" w:lineRule="auto"/>
        <w:ind w:left="851" w:right="822"/>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b/>
          <w:bCs/>
          <w:i/>
          <w:iCs/>
          <w:color w:val="000000"/>
          <w:sz w:val="24"/>
          <w:szCs w:val="24"/>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1C2D3C">
        <w:rPr>
          <w:rFonts w:ascii="Palatino Linotype" w:eastAsia="Palatino Linotype" w:hAnsi="Palatino Linotype" w:cs="Palatino Linotype"/>
          <w:i/>
          <w:iCs/>
          <w:color w:val="000000"/>
          <w:sz w:val="24"/>
          <w:szCs w:val="24"/>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w:t>
      </w:r>
      <w:r w:rsidRPr="001C2D3C">
        <w:rPr>
          <w:rFonts w:ascii="Palatino Linotype" w:eastAsia="Palatino Linotype" w:hAnsi="Palatino Linotype" w:cs="Palatino Linotype"/>
          <w:i/>
          <w:iCs/>
          <w:color w:val="000000"/>
          <w:sz w:val="24"/>
          <w:szCs w:val="24"/>
        </w:rPr>
        <w:lastRenderedPageBreak/>
        <w:t>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9432E4" w:rsidRPr="001C2D3C" w:rsidRDefault="009432E4">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284"/>
          <w:tab w:val="left" w:pos="567"/>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La anterior jurisprudencia resulta aplicable al presente asunto, en dos aspectos: </w:t>
      </w:r>
    </w:p>
    <w:p w:rsidR="009432E4" w:rsidRPr="001C2D3C" w:rsidRDefault="00B67E55">
      <w:pPr>
        <w:numPr>
          <w:ilvl w:val="0"/>
          <w:numId w:val="5"/>
        </w:numPr>
        <w:spacing w:line="360" w:lineRule="auto"/>
        <w:ind w:left="567" w:right="616" w:firstLine="0"/>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b/>
          <w:bCs/>
          <w:sz w:val="24"/>
          <w:szCs w:val="24"/>
        </w:rPr>
        <w:t>La cesación de los efectos perniciosos del acto de autoridad:</w:t>
      </w:r>
      <w:r w:rsidRPr="001C2D3C">
        <w:rPr>
          <w:rFonts w:ascii="Palatino Linotype" w:eastAsia="Palatino Linotype" w:hAnsi="Palatino Linotype" w:cs="Palatino Linotype"/>
          <w:sz w:val="24"/>
          <w:szCs w:val="24"/>
        </w:rPr>
        <w:t xml:space="preserve"> Al respecto, la Ley de Transparencia contempla la figura jurídica del sobreseimiento cuando el </w:t>
      </w:r>
      <w:r w:rsidRPr="001C2D3C">
        <w:rPr>
          <w:rFonts w:ascii="Palatino Linotype" w:eastAsia="Palatino Linotype" w:hAnsi="Palatino Linotype" w:cs="Palatino Linotype"/>
          <w:b/>
          <w:bCs/>
          <w:sz w:val="24"/>
          <w:szCs w:val="24"/>
        </w:rPr>
        <w:t>SUJETO OBLIGADO</w:t>
      </w:r>
      <w:r w:rsidRPr="001C2D3C">
        <w:rPr>
          <w:rFonts w:ascii="Palatino Linotype" w:eastAsia="Palatino Linotype" w:hAnsi="Palatino Linotype" w:cs="Palatino Linotype"/>
          <w:sz w:val="24"/>
          <w:szCs w:val="24"/>
        </w:rPr>
        <w:t xml:space="preserve"> de </w:t>
      </w:r>
      <w:r w:rsidRPr="001C2D3C">
        <w:rPr>
          <w:rFonts w:ascii="Palatino Linotype" w:eastAsia="Palatino Linotype" w:hAnsi="Palatino Linotype" w:cs="Palatino Linotype"/>
          <w:i/>
          <w:iCs/>
          <w:sz w:val="24"/>
          <w:szCs w:val="24"/>
        </w:rPr>
        <w:t>motu proprio</w:t>
      </w:r>
      <w:r w:rsidRPr="001C2D3C">
        <w:rPr>
          <w:rFonts w:ascii="Palatino Linotype" w:eastAsia="Palatino Linotype" w:hAnsi="Palatino Linotype" w:cs="Palatino Linotype"/>
          <w:sz w:val="24"/>
          <w:szCs w:val="24"/>
        </w:rPr>
        <w:t xml:space="preserve"> modifica o revoca de tal manera el acto motivo de la impugnación que lo deja sin materia; es decir, cesan los efectos de éste y el derecho de acceso a la información pública se encuentra satisfecho.</w:t>
      </w:r>
    </w:p>
    <w:p w:rsidR="009432E4" w:rsidRPr="001C2D3C" w:rsidRDefault="009432E4">
      <w:pPr>
        <w:spacing w:line="360" w:lineRule="auto"/>
        <w:ind w:left="567" w:right="616"/>
        <w:rPr>
          <w:rFonts w:ascii="Palatino Linotype" w:eastAsia="Palatino Linotype" w:hAnsi="Palatino Linotype" w:cs="Palatino Linotype"/>
          <w:sz w:val="24"/>
          <w:szCs w:val="24"/>
        </w:rPr>
      </w:pPr>
    </w:p>
    <w:p w:rsidR="009432E4" w:rsidRPr="001C2D3C" w:rsidRDefault="00B67E55">
      <w:pPr>
        <w:numPr>
          <w:ilvl w:val="0"/>
          <w:numId w:val="5"/>
        </w:numPr>
        <w:spacing w:line="360" w:lineRule="auto"/>
        <w:ind w:left="567" w:right="616" w:firstLine="0"/>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b/>
          <w:bCs/>
          <w:sz w:val="24"/>
          <w:szCs w:val="24"/>
        </w:rPr>
        <w:t>El momento procesal para modificar el acto impugnado:</w:t>
      </w:r>
      <w:r w:rsidRPr="001C2D3C">
        <w:rPr>
          <w:rFonts w:ascii="Palatino Linotype" w:eastAsia="Palatino Linotype" w:hAnsi="Palatino Linotype" w:cs="Palatino Linotype"/>
          <w:sz w:val="24"/>
          <w:szCs w:val="24"/>
        </w:rPr>
        <w:t xml:space="preserve"> Para que se actualice el sobreseimiento de un recurso de revisión, el </w:t>
      </w:r>
      <w:r w:rsidRPr="001C2D3C">
        <w:rPr>
          <w:rFonts w:ascii="Palatino Linotype" w:eastAsia="Palatino Linotype" w:hAnsi="Palatino Linotype" w:cs="Palatino Linotype"/>
          <w:b/>
          <w:bCs/>
          <w:sz w:val="24"/>
          <w:szCs w:val="24"/>
        </w:rPr>
        <w:t>SUJETO OBLIGADO</w:t>
      </w:r>
      <w:r w:rsidRPr="001C2D3C">
        <w:rPr>
          <w:rFonts w:ascii="Palatino Linotype" w:eastAsia="Palatino Linotype" w:hAnsi="Palatino Linotype" w:cs="Palatino Linotype"/>
          <w:sz w:val="24"/>
          <w:szCs w:val="24"/>
        </w:rPr>
        <w:t xml:space="preserve"> puede entregar o completar la información al momento de rendir su informe de justificación o </w:t>
      </w:r>
      <w:r w:rsidRPr="001C2D3C">
        <w:rPr>
          <w:rFonts w:ascii="Palatino Linotype" w:eastAsia="Palatino Linotype" w:hAnsi="Palatino Linotype" w:cs="Palatino Linotype"/>
          <w:b/>
          <w:bCs/>
          <w:sz w:val="24"/>
          <w:szCs w:val="24"/>
          <w:u w:val="single"/>
        </w:rPr>
        <w:t>posteriormente</w:t>
      </w:r>
      <w:r w:rsidRPr="001C2D3C">
        <w:rPr>
          <w:rFonts w:ascii="Palatino Linotype" w:eastAsia="Palatino Linotype" w:hAnsi="Palatino Linotype" w:cs="Palatino Linotype"/>
          <w:sz w:val="24"/>
          <w:szCs w:val="24"/>
        </w:rPr>
        <w:t xml:space="preserve"> a éste, siempre y cuando el Pleno del Instituto no haya dictado resolución definitiva.</w:t>
      </w:r>
    </w:p>
    <w:p w:rsidR="009432E4" w:rsidRPr="001C2D3C" w:rsidRDefault="009432E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Eduardo Pallares, en su artículo </w:t>
      </w:r>
      <w:r w:rsidRPr="001C2D3C">
        <w:rPr>
          <w:rFonts w:ascii="Palatino Linotype" w:eastAsia="Palatino Linotype" w:hAnsi="Palatino Linotype" w:cs="Palatino Linotype"/>
          <w:i/>
          <w:iCs/>
          <w:color w:val="000000"/>
          <w:sz w:val="24"/>
          <w:szCs w:val="24"/>
        </w:rPr>
        <w:t>“La caducidad y el sobreseimiento en el amparo”</w:t>
      </w:r>
      <w:r w:rsidRPr="001C2D3C">
        <w:rPr>
          <w:rFonts w:ascii="Palatino Linotype" w:eastAsia="Palatino Linotype" w:hAnsi="Palatino Linotype" w:cs="Palatino Linotype"/>
          <w:color w:val="000000"/>
          <w:sz w:val="24"/>
          <w:szCs w:val="24"/>
        </w:rPr>
        <w:t xml:space="preserve">, cita la definición de Aguilera Paz, aduciendo que se </w:t>
      </w:r>
      <w:r w:rsidRPr="001C2D3C">
        <w:rPr>
          <w:rFonts w:ascii="Palatino Linotype" w:eastAsia="Palatino Linotype" w:hAnsi="Palatino Linotype" w:cs="Palatino Linotype"/>
          <w:i/>
          <w:iCs/>
          <w:color w:val="000000"/>
          <w:sz w:val="24"/>
          <w:szCs w:val="24"/>
        </w:rPr>
        <w:t xml:space="preserve">“...entiende por sobreseimiento en el tecnicismo </w:t>
      </w:r>
      <w:r w:rsidRPr="001C2D3C">
        <w:rPr>
          <w:rFonts w:ascii="Palatino Linotype" w:eastAsia="Palatino Linotype" w:hAnsi="Palatino Linotype" w:cs="Palatino Linotype"/>
          <w:i/>
          <w:iCs/>
          <w:color w:val="000000"/>
          <w:sz w:val="24"/>
          <w:szCs w:val="24"/>
        </w:rPr>
        <w:lastRenderedPageBreak/>
        <w:t>forense, el hecho de cesar en el procedimiento o curso de la causa, por no existir méritos bastantes para entrar en un juicio o para entablar la contienda judicial que debe ser objeto del mismo...”</w:t>
      </w:r>
      <w:r w:rsidRPr="001C2D3C">
        <w:rPr>
          <w:rFonts w:ascii="Palatino Linotype" w:eastAsia="Palatino Linotype" w:hAnsi="Palatino Linotype" w:cs="Palatino Linotype"/>
          <w:color w:val="000000"/>
          <w:sz w:val="24"/>
          <w:szCs w:val="24"/>
        </w:rPr>
        <w:t>. Asimismo, señala que existe el sobreseimiento provisional y el definitivo</w:t>
      </w:r>
      <w:r w:rsidRPr="001C2D3C">
        <w:rPr>
          <w:rFonts w:ascii="Palatino Linotype" w:eastAsia="Palatino Linotype" w:hAnsi="Palatino Linotype" w:cs="Palatino Linotype"/>
          <w:i/>
          <w:iCs/>
          <w:color w:val="000000"/>
          <w:sz w:val="24"/>
          <w:szCs w:val="24"/>
        </w:rPr>
        <w:t>: “...el definitivo es una verdadera sentencia que pone fin al juicio, y que una vez dictada, produce cosa juzgada, mientras que el provisorio tiene por efectos suspender la prosecución de la causa...”</w:t>
      </w:r>
    </w:p>
    <w:p w:rsidR="009432E4" w:rsidRPr="001C2D3C" w:rsidRDefault="009432E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Así, para la doctrina el sobreseimiento provoca que un procedimiento se suspenda o se resuelva en definitiva </w:t>
      </w:r>
      <w:r w:rsidRPr="001C2D3C">
        <w:rPr>
          <w:rFonts w:ascii="Palatino Linotype" w:eastAsia="Palatino Linotype" w:hAnsi="Palatino Linotype" w:cs="Palatino Linotype"/>
          <w:b/>
          <w:bCs/>
          <w:color w:val="000000"/>
          <w:sz w:val="24"/>
          <w:szCs w:val="24"/>
          <w:u w:val="single"/>
        </w:rPr>
        <w:t xml:space="preserve">sin que se entre al estudio de los agravios o motivos de inconformidad. </w:t>
      </w:r>
      <w:r w:rsidRPr="001C2D3C">
        <w:rPr>
          <w:rFonts w:ascii="Palatino Linotype" w:eastAsia="Palatino Linotype" w:hAnsi="Palatino Linotype" w:cs="Palatino Linotype"/>
          <w:color w:val="000000"/>
          <w:sz w:val="24"/>
          <w:szCs w:val="24"/>
        </w:rPr>
        <w:t>Este mismo criterio es compartido por el más alto tribunal del país en múltiples jurisprudencias, por lo que a continuación se agrega una de ellas que sirve como orientador en esta resolución:</w:t>
      </w:r>
    </w:p>
    <w:p w:rsidR="009432E4" w:rsidRPr="001C2D3C" w:rsidRDefault="009432E4">
      <w:pPr>
        <w:rPr>
          <w:rFonts w:ascii="Palatino Linotype" w:eastAsia="Palatino Linotype" w:hAnsi="Palatino Linotype" w:cs="Palatino Linotype"/>
          <w:color w:val="000000"/>
          <w:sz w:val="24"/>
          <w:szCs w:val="24"/>
        </w:rPr>
      </w:pPr>
    </w:p>
    <w:p w:rsidR="009432E4" w:rsidRPr="001C2D3C" w:rsidRDefault="00B67E55">
      <w:pPr>
        <w:spacing w:line="360" w:lineRule="auto"/>
        <w:ind w:left="851" w:right="822"/>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b/>
          <w:bCs/>
          <w:i/>
          <w:iCs/>
          <w:sz w:val="24"/>
          <w:szCs w:val="24"/>
        </w:rPr>
        <w:t>SOBRESEIMIENTO EN EL JUICIO DE AMPARO DIRECTO. IMPIDE EL ESTUDIO DE LAS VIOLACIONES PROCESALES PLANTEADAS EN LOS CONCEPTOS DE VIOLACIÓN. El sobreseimiento</w:t>
      </w:r>
      <w:r w:rsidRPr="001C2D3C">
        <w:rPr>
          <w:rFonts w:ascii="Palatino Linotype" w:eastAsia="Palatino Linotype" w:hAnsi="Palatino Linotype" w:cs="Palatino Linotype"/>
          <w:i/>
          <w:iCs/>
          <w:sz w:val="24"/>
          <w:szCs w:val="24"/>
        </w:rPr>
        <w:t xml:space="preserve"> en el juicio de amparo directo </w:t>
      </w:r>
      <w:r w:rsidRPr="001C2D3C">
        <w:rPr>
          <w:rFonts w:ascii="Palatino Linotype" w:eastAsia="Palatino Linotype" w:hAnsi="Palatino Linotype" w:cs="Palatino Linotype"/>
          <w:b/>
          <w:bCs/>
          <w:i/>
          <w:iCs/>
          <w:sz w:val="24"/>
          <w:szCs w:val="24"/>
        </w:rPr>
        <w:t>provoca la terminación de la controversia planteada</w:t>
      </w:r>
      <w:r w:rsidRPr="001C2D3C">
        <w:rPr>
          <w:rFonts w:ascii="Palatino Linotype" w:eastAsia="Palatino Linotype" w:hAnsi="Palatino Linotype" w:cs="Palatino Linotype"/>
          <w:i/>
          <w:iCs/>
          <w:sz w:val="24"/>
          <w:szCs w:val="24"/>
        </w:rPr>
        <w:t xml:space="preserve"> por el quejoso en la demanda de amparo</w:t>
      </w:r>
      <w:r w:rsidRPr="001C2D3C">
        <w:rPr>
          <w:rFonts w:ascii="Palatino Linotype" w:eastAsia="Palatino Linotype" w:hAnsi="Palatino Linotype" w:cs="Palatino Linotype"/>
          <w:b/>
          <w:bCs/>
          <w:i/>
          <w:iCs/>
          <w:sz w:val="24"/>
          <w:szCs w:val="24"/>
        </w:rPr>
        <w:t>, sin hacer un pronunciamiento de fondo sobre la legalidad o ilegalidad de la sentencia reclamada</w:t>
      </w:r>
      <w:r w:rsidRPr="001C2D3C">
        <w:rPr>
          <w:rFonts w:ascii="Palatino Linotype" w:eastAsia="Palatino Linotype" w:hAnsi="Palatino Linotype" w:cs="Palatino Linotype"/>
          <w:i/>
          <w:iCs/>
          <w:sz w:val="24"/>
          <w:szCs w:val="24"/>
        </w:rPr>
        <w:t xml:space="preserve">. </w:t>
      </w:r>
      <w:r w:rsidRPr="001C2D3C">
        <w:rPr>
          <w:rFonts w:ascii="Palatino Linotype" w:eastAsia="Palatino Linotype" w:hAnsi="Palatino Linotype" w:cs="Palatino Linotype"/>
          <w:b/>
          <w:bCs/>
          <w:i/>
          <w:iCs/>
          <w:sz w:val="24"/>
          <w:szCs w:val="24"/>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1C2D3C">
        <w:rPr>
          <w:rFonts w:ascii="Palatino Linotype" w:eastAsia="Palatino Linotype" w:hAnsi="Palatino Linotype" w:cs="Palatino Linotype"/>
          <w:i/>
          <w:iCs/>
          <w:sz w:val="24"/>
          <w:szCs w:val="24"/>
        </w:rPr>
        <w:t>.</w:t>
      </w:r>
    </w:p>
    <w:p w:rsidR="009432E4" w:rsidRPr="001C2D3C" w:rsidRDefault="00B67E55">
      <w:pPr>
        <w:spacing w:line="360" w:lineRule="auto"/>
        <w:ind w:left="851" w:right="822"/>
        <w:jc w:val="both"/>
        <w:rPr>
          <w:rFonts w:ascii="Palatino Linotype" w:eastAsia="Palatino Linotype" w:hAnsi="Palatino Linotype" w:cs="Palatino Linotype"/>
          <w:i/>
          <w:iCs/>
          <w:sz w:val="24"/>
          <w:szCs w:val="24"/>
        </w:rPr>
      </w:pPr>
      <w:r w:rsidRPr="001C2D3C">
        <w:rPr>
          <w:rFonts w:ascii="Palatino Linotype" w:eastAsia="Palatino Linotype" w:hAnsi="Palatino Linotype" w:cs="Palatino Linotype"/>
          <w:i/>
          <w:iCs/>
          <w:sz w:val="24"/>
          <w:szCs w:val="24"/>
        </w:rPr>
        <w:lastRenderedPageBreak/>
        <w:t>SÉPTIMO TRIBUNAL COLEGIADO EN MATERIA CIVIL DEL PRIMER CIRCUITO.</w:t>
      </w:r>
    </w:p>
    <w:p w:rsidR="009432E4" w:rsidRPr="001C2D3C" w:rsidRDefault="00B67E55">
      <w:pPr>
        <w:spacing w:line="360" w:lineRule="auto"/>
        <w:ind w:left="851" w:right="822"/>
        <w:jc w:val="both"/>
        <w:rPr>
          <w:rFonts w:ascii="Palatino Linotype" w:eastAsia="Palatino Linotype" w:hAnsi="Palatino Linotype" w:cs="Palatino Linotype"/>
          <w:b/>
          <w:bCs/>
          <w:i/>
          <w:iCs/>
          <w:sz w:val="24"/>
          <w:szCs w:val="24"/>
        </w:rPr>
      </w:pPr>
      <w:r w:rsidRPr="001C2D3C">
        <w:rPr>
          <w:rFonts w:ascii="Palatino Linotype" w:eastAsia="Palatino Linotype" w:hAnsi="Palatino Linotype" w:cs="Palatino Linotype"/>
          <w:i/>
          <w:iCs/>
          <w:sz w:val="24"/>
          <w:szCs w:val="24"/>
        </w:rPr>
        <w:t>Amparo directo 699/2008. Mariana Leticia González Steele. 13 de noviembre de 2008. Unanimidad de votos. Ponente: Sara Judith Montalvo Trejo. Secretario: Arnulfo Mateos García.</w:t>
      </w:r>
    </w:p>
    <w:p w:rsidR="009432E4" w:rsidRPr="001C2D3C" w:rsidRDefault="009432E4">
      <w:pPr>
        <w:spacing w:line="360" w:lineRule="auto"/>
        <w:ind w:right="565"/>
        <w:jc w:val="both"/>
        <w:rPr>
          <w:rFonts w:ascii="Palatino Linotype" w:eastAsia="Palatino Linotype" w:hAnsi="Palatino Linotype" w:cs="Palatino Linotype"/>
          <w:b/>
          <w:bCs/>
          <w:i/>
          <w:iCs/>
          <w:sz w:val="24"/>
          <w:szCs w:val="24"/>
        </w:rPr>
      </w:pPr>
    </w:p>
    <w:p w:rsidR="009432E4" w:rsidRPr="001C2D3C" w:rsidRDefault="00B67E55">
      <w:pPr>
        <w:numPr>
          <w:ilvl w:val="0"/>
          <w:numId w:val="8"/>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Consecuentemente, por lo que hace a los motivos de inconformidad, los mismos devienen inatendibles por actualizarse la figura del sobreseimiento, misma que impide el estudio de los agravios planteados, máxime que se ha dado cumplimiento al derecho de acceso a la información.</w:t>
      </w:r>
    </w:p>
    <w:p w:rsidR="009432E4" w:rsidRPr="001C2D3C" w:rsidRDefault="009432E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Bajo ese tenor y en términos del artículo 186 fracción I este Pleno determina el </w:t>
      </w:r>
      <w:r w:rsidRPr="001C2D3C">
        <w:rPr>
          <w:rFonts w:ascii="Palatino Linotype" w:eastAsia="Palatino Linotype" w:hAnsi="Palatino Linotype" w:cs="Palatino Linotype"/>
          <w:b/>
          <w:bCs/>
          <w:color w:val="000000"/>
          <w:sz w:val="24"/>
          <w:szCs w:val="24"/>
        </w:rPr>
        <w:t xml:space="preserve">SOBRESEIMIENTO </w:t>
      </w:r>
      <w:r w:rsidRPr="001C2D3C">
        <w:rPr>
          <w:rFonts w:ascii="Palatino Linotype" w:eastAsia="Palatino Linotype" w:hAnsi="Palatino Linotype" w:cs="Palatino Linotype"/>
          <w:color w:val="000000"/>
          <w:sz w:val="24"/>
          <w:szCs w:val="24"/>
        </w:rPr>
        <w:t xml:space="preserve">de los recursos de revisión </w:t>
      </w:r>
      <w:r w:rsidR="00011930" w:rsidRPr="001C2D3C">
        <w:rPr>
          <w:rFonts w:ascii="Palatino Linotype" w:eastAsia="Palatino Linotype" w:hAnsi="Palatino Linotype" w:cs="Palatino Linotype"/>
          <w:b/>
          <w:bCs/>
          <w:color w:val="000000"/>
          <w:sz w:val="24"/>
          <w:szCs w:val="24"/>
        </w:rPr>
        <w:t xml:space="preserve">2288/INFOEM/IP/RR/2026 y </w:t>
      </w:r>
      <w:r w:rsidRPr="001C2D3C">
        <w:rPr>
          <w:rFonts w:ascii="Palatino Linotype" w:eastAsia="Palatino Linotype" w:hAnsi="Palatino Linotype" w:cs="Palatino Linotype"/>
          <w:b/>
          <w:bCs/>
          <w:color w:val="000000"/>
          <w:sz w:val="24"/>
          <w:szCs w:val="24"/>
        </w:rPr>
        <w:t>2293/INFOEM/IP/RR/2026</w:t>
      </w:r>
      <w:r w:rsidRPr="001C2D3C">
        <w:rPr>
          <w:rFonts w:ascii="Palatino Linotype" w:eastAsia="Palatino Linotype" w:hAnsi="Palatino Linotype" w:cs="Palatino Linotype"/>
          <w:color w:val="000000"/>
          <w:sz w:val="24"/>
          <w:szCs w:val="24"/>
        </w:rPr>
        <w:t>, toda vez que la afectación al derecho de acceso a la información pública establecido constitucionalmente a favor del Particular ha sido resarcida.</w:t>
      </w:r>
    </w:p>
    <w:p w:rsidR="009432E4" w:rsidRPr="001C2D3C" w:rsidRDefault="009432E4">
      <w:pPr>
        <w:pBdr>
          <w:top w:val="nil"/>
          <w:left w:val="nil"/>
          <w:bottom w:val="nil"/>
          <w:right w:val="nil"/>
          <w:between w:val="nil"/>
        </w:pBdr>
        <w:shd w:val="clear" w:color="auto" w:fill="FFFFFF"/>
        <w:tabs>
          <w:tab w:val="left" w:pos="284"/>
        </w:tabs>
        <w:spacing w:line="360" w:lineRule="auto"/>
        <w:jc w:val="both"/>
        <w:rPr>
          <w:rFonts w:ascii="Palatino Linotype" w:eastAsia="Palatino Linotype" w:hAnsi="Palatino Linotype" w:cs="Palatino Linotype"/>
          <w:color w:val="000000"/>
          <w:sz w:val="24"/>
          <w:szCs w:val="24"/>
        </w:rPr>
      </w:pPr>
    </w:p>
    <w:p w:rsidR="009432E4" w:rsidRPr="001C2D3C" w:rsidRDefault="00B67E55">
      <w:pPr>
        <w:numPr>
          <w:ilvl w:val="0"/>
          <w:numId w:val="8"/>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color w:val="000000"/>
          <w:sz w:val="24"/>
          <w:szCs w:val="24"/>
        </w:rPr>
      </w:pPr>
      <w:r w:rsidRPr="001C2D3C">
        <w:rPr>
          <w:rFonts w:ascii="Palatino Linotype" w:eastAsia="Palatino Linotype" w:hAnsi="Palatino Linotype" w:cs="Palatino Linotype"/>
          <w:color w:val="000000"/>
          <w:sz w:val="24"/>
          <w:szCs w:val="24"/>
        </w:rPr>
        <w:t xml:space="preserve">Por lo anteriormente expuesto y fundado, este </w:t>
      </w:r>
      <w:r w:rsidRPr="001C2D3C">
        <w:rPr>
          <w:rFonts w:ascii="Palatino Linotype" w:eastAsia="Palatino Linotype" w:hAnsi="Palatino Linotype" w:cs="Palatino Linotype"/>
          <w:b/>
          <w:bCs/>
          <w:color w:val="000000"/>
          <w:sz w:val="24"/>
          <w:szCs w:val="24"/>
        </w:rPr>
        <w:t>ÓRGANO GARANTE</w:t>
      </w:r>
      <w:r w:rsidRPr="001C2D3C">
        <w:rPr>
          <w:rFonts w:ascii="Palatino Linotype" w:eastAsia="Palatino Linotype" w:hAnsi="Palatino Linotype" w:cs="Palatino Linotype"/>
          <w:color w:val="000000"/>
          <w:sz w:val="24"/>
          <w:szCs w:val="24"/>
        </w:rPr>
        <w:t xml:space="preserve"> emite los siguientes:</w:t>
      </w:r>
    </w:p>
    <w:p w:rsidR="009432E4" w:rsidRPr="001C2D3C" w:rsidRDefault="009432E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sz w:val="24"/>
          <w:szCs w:val="24"/>
        </w:rPr>
      </w:pPr>
    </w:p>
    <w:p w:rsidR="009432E4" w:rsidRPr="001C2D3C" w:rsidRDefault="00B67E55">
      <w:pPr>
        <w:spacing w:line="360" w:lineRule="auto"/>
        <w:jc w:val="center"/>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R E S O L U T I V O S</w:t>
      </w:r>
    </w:p>
    <w:p w:rsidR="009432E4" w:rsidRPr="001C2D3C" w:rsidRDefault="009432E4">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432E4" w:rsidRPr="001C2D3C" w:rsidRDefault="00B67E55">
      <w:pPr>
        <w:spacing w:line="360" w:lineRule="auto"/>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b/>
          <w:bCs/>
          <w:sz w:val="24"/>
          <w:szCs w:val="24"/>
        </w:rPr>
        <w:t xml:space="preserve">PRIMERO. </w:t>
      </w:r>
      <w:r w:rsidRPr="001C2D3C">
        <w:rPr>
          <w:rFonts w:ascii="Palatino Linotype" w:eastAsia="Palatino Linotype" w:hAnsi="Palatino Linotype" w:cs="Palatino Linotype"/>
          <w:sz w:val="24"/>
          <w:szCs w:val="24"/>
        </w:rPr>
        <w:t xml:space="preserve">Se </w:t>
      </w:r>
      <w:r w:rsidRPr="001C2D3C">
        <w:rPr>
          <w:rFonts w:ascii="Palatino Linotype" w:eastAsia="Palatino Linotype" w:hAnsi="Palatino Linotype" w:cs="Palatino Linotype"/>
          <w:b/>
          <w:bCs/>
          <w:sz w:val="24"/>
          <w:szCs w:val="24"/>
        </w:rPr>
        <w:t>SOBRESEEN</w:t>
      </w:r>
      <w:r w:rsidRPr="001C2D3C">
        <w:rPr>
          <w:rFonts w:ascii="Palatino Linotype" w:eastAsia="Palatino Linotype" w:hAnsi="Palatino Linotype" w:cs="Palatino Linotype"/>
          <w:sz w:val="24"/>
          <w:szCs w:val="24"/>
        </w:rPr>
        <w:t xml:space="preserve"> los recursos de revisión número </w:t>
      </w:r>
      <w:r w:rsidRPr="001C2D3C">
        <w:rPr>
          <w:rFonts w:ascii="Palatino Linotype" w:eastAsia="Palatino Linotype" w:hAnsi="Palatino Linotype" w:cs="Palatino Linotype"/>
          <w:b/>
          <w:bCs/>
          <w:sz w:val="24"/>
          <w:szCs w:val="24"/>
        </w:rPr>
        <w:t xml:space="preserve">02288/INFOEM/IP/RR/2026 y 02293/INFOEM/IP/RR/2026 </w:t>
      </w:r>
      <w:r w:rsidRPr="001C2D3C">
        <w:rPr>
          <w:rFonts w:ascii="Palatino Linotype" w:eastAsia="Palatino Linotype" w:hAnsi="Palatino Linotype" w:cs="Palatino Linotype"/>
          <w:sz w:val="24"/>
          <w:szCs w:val="24"/>
        </w:rPr>
        <w:t>conforme al artículo 192</w:t>
      </w:r>
      <w:r w:rsidR="00011930" w:rsidRPr="001C2D3C">
        <w:rPr>
          <w:rFonts w:ascii="Palatino Linotype" w:eastAsia="Palatino Linotype" w:hAnsi="Palatino Linotype" w:cs="Palatino Linotype"/>
          <w:sz w:val="24"/>
          <w:szCs w:val="24"/>
        </w:rPr>
        <w:t>,</w:t>
      </w:r>
      <w:r w:rsidRPr="001C2D3C">
        <w:rPr>
          <w:rFonts w:ascii="Palatino Linotype" w:eastAsia="Palatino Linotype" w:hAnsi="Palatino Linotype" w:cs="Palatino Linotype"/>
          <w:sz w:val="24"/>
          <w:szCs w:val="24"/>
        </w:rPr>
        <w:t xml:space="preserve"> fracción III</w:t>
      </w:r>
      <w:r w:rsidR="00011930" w:rsidRPr="001C2D3C">
        <w:rPr>
          <w:rFonts w:ascii="Palatino Linotype" w:eastAsia="Palatino Linotype" w:hAnsi="Palatino Linotype" w:cs="Palatino Linotype"/>
          <w:sz w:val="24"/>
          <w:szCs w:val="24"/>
        </w:rPr>
        <w:t>,</w:t>
      </w:r>
      <w:r w:rsidRPr="001C2D3C">
        <w:rPr>
          <w:rFonts w:ascii="Palatino Linotype" w:eastAsia="Palatino Linotype" w:hAnsi="Palatino Linotype" w:cs="Palatino Linotype"/>
          <w:sz w:val="24"/>
          <w:szCs w:val="24"/>
        </w:rPr>
        <w:t xml:space="preserve"> de la Ley de Transparencia </w:t>
      </w:r>
      <w:r w:rsidRPr="001C2D3C">
        <w:rPr>
          <w:rFonts w:ascii="Palatino Linotype" w:eastAsia="Palatino Linotype" w:hAnsi="Palatino Linotype" w:cs="Palatino Linotype"/>
          <w:sz w:val="24"/>
          <w:szCs w:val="24"/>
        </w:rPr>
        <w:lastRenderedPageBreak/>
        <w:t xml:space="preserve">y Acceso a la Información Pública del Estado de México y Municipios, porque al </w:t>
      </w:r>
      <w:r w:rsidRPr="001C2D3C">
        <w:rPr>
          <w:rFonts w:ascii="Palatino Linotype" w:eastAsia="Palatino Linotype" w:hAnsi="Palatino Linotype" w:cs="Palatino Linotype"/>
          <w:b/>
          <w:bCs/>
          <w:sz w:val="24"/>
          <w:szCs w:val="24"/>
        </w:rPr>
        <w:t>modificar la respuesta a través del informe justificado y atender lo solicitado</w:t>
      </w:r>
      <w:r w:rsidRPr="001C2D3C">
        <w:rPr>
          <w:rFonts w:ascii="Palatino Linotype" w:eastAsia="Palatino Linotype" w:hAnsi="Palatino Linotype" w:cs="Palatino Linotype"/>
          <w:sz w:val="24"/>
          <w:szCs w:val="24"/>
        </w:rPr>
        <w:t xml:space="preserve">, el recurso de revisión quedó sin materia en términos del Considerando </w:t>
      </w:r>
      <w:r w:rsidRPr="001C2D3C">
        <w:rPr>
          <w:rFonts w:ascii="Palatino Linotype" w:eastAsia="Palatino Linotype" w:hAnsi="Palatino Linotype" w:cs="Palatino Linotype"/>
          <w:b/>
          <w:bCs/>
          <w:sz w:val="24"/>
          <w:szCs w:val="24"/>
        </w:rPr>
        <w:t>TERCERO</w:t>
      </w:r>
      <w:r w:rsidRPr="001C2D3C">
        <w:rPr>
          <w:rFonts w:ascii="Palatino Linotype" w:eastAsia="Palatino Linotype" w:hAnsi="Palatino Linotype" w:cs="Palatino Linotype"/>
          <w:sz w:val="24"/>
          <w:szCs w:val="24"/>
        </w:rPr>
        <w:t xml:space="preserve"> de la presente resolución.</w:t>
      </w:r>
    </w:p>
    <w:p w:rsidR="009432E4" w:rsidRPr="001C2D3C" w:rsidRDefault="009432E4">
      <w:pPr>
        <w:spacing w:line="360" w:lineRule="auto"/>
        <w:jc w:val="both"/>
        <w:rPr>
          <w:rFonts w:ascii="Palatino Linotype" w:eastAsia="Palatino Linotype" w:hAnsi="Palatino Linotype" w:cs="Palatino Linotype"/>
          <w:sz w:val="24"/>
          <w:szCs w:val="24"/>
        </w:rPr>
      </w:pPr>
    </w:p>
    <w:p w:rsidR="009432E4" w:rsidRPr="001C2D3C" w:rsidRDefault="00011930">
      <w:pPr>
        <w:spacing w:line="360" w:lineRule="auto"/>
        <w:jc w:val="both"/>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SEGUNDO. Notifíquese</w:t>
      </w:r>
      <w:r w:rsidR="00B67E55" w:rsidRPr="001C2D3C">
        <w:rPr>
          <w:rFonts w:ascii="Palatino Linotype" w:eastAsia="Palatino Linotype" w:hAnsi="Palatino Linotype" w:cs="Palatino Linotype"/>
          <w:b/>
          <w:bCs/>
          <w:sz w:val="24"/>
          <w:szCs w:val="24"/>
        </w:rPr>
        <w:t xml:space="preserve"> </w:t>
      </w:r>
      <w:r w:rsidR="00B67E55" w:rsidRPr="001C2D3C">
        <w:rPr>
          <w:rFonts w:ascii="Palatino Linotype" w:eastAsia="Palatino Linotype" w:hAnsi="Palatino Linotype" w:cs="Palatino Linotype"/>
          <w:sz w:val="24"/>
          <w:szCs w:val="24"/>
        </w:rPr>
        <w:t xml:space="preserve">a través del Sistema de Acceso a la Información Mexiquense </w:t>
      </w:r>
      <w:r w:rsidR="00B67E55" w:rsidRPr="001C2D3C">
        <w:rPr>
          <w:rFonts w:ascii="Palatino Linotype" w:eastAsia="Palatino Linotype" w:hAnsi="Palatino Linotype" w:cs="Palatino Linotype"/>
          <w:b/>
          <w:bCs/>
          <w:sz w:val="24"/>
          <w:szCs w:val="24"/>
        </w:rPr>
        <w:t xml:space="preserve">(SAIMEX) </w:t>
      </w:r>
      <w:r w:rsidR="00B67E55" w:rsidRPr="001C2D3C">
        <w:rPr>
          <w:rFonts w:ascii="Palatino Linotype" w:eastAsia="Palatino Linotype" w:hAnsi="Palatino Linotype" w:cs="Palatino Linotype"/>
          <w:sz w:val="24"/>
          <w:szCs w:val="24"/>
        </w:rPr>
        <w:t>la presente resolución al Titular de la Unidad de Transparencia del</w:t>
      </w:r>
      <w:r w:rsidR="00B67E55" w:rsidRPr="001C2D3C">
        <w:rPr>
          <w:rFonts w:ascii="Palatino Linotype" w:eastAsia="Palatino Linotype" w:hAnsi="Palatino Linotype" w:cs="Palatino Linotype"/>
          <w:b/>
          <w:bCs/>
          <w:sz w:val="24"/>
          <w:szCs w:val="24"/>
        </w:rPr>
        <w:t xml:space="preserve"> SUJETO OBLIGADO. </w:t>
      </w:r>
    </w:p>
    <w:p w:rsidR="009432E4" w:rsidRPr="001C2D3C" w:rsidRDefault="00B67E55">
      <w:pPr>
        <w:tabs>
          <w:tab w:val="left" w:pos="3263"/>
        </w:tabs>
        <w:spacing w:line="360" w:lineRule="auto"/>
        <w:jc w:val="both"/>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ab/>
      </w:r>
    </w:p>
    <w:p w:rsidR="009432E4" w:rsidRPr="001C2D3C" w:rsidRDefault="00B67E55">
      <w:pPr>
        <w:spacing w:line="360" w:lineRule="auto"/>
        <w:jc w:val="both"/>
        <w:rPr>
          <w:rFonts w:ascii="Palatino Linotype" w:eastAsia="Palatino Linotype" w:hAnsi="Palatino Linotype" w:cs="Palatino Linotype"/>
          <w:color w:val="222222"/>
          <w:sz w:val="24"/>
          <w:szCs w:val="24"/>
        </w:rPr>
      </w:pPr>
      <w:r w:rsidRPr="001C2D3C">
        <w:rPr>
          <w:rFonts w:ascii="Palatino Linotype" w:eastAsia="Palatino Linotype" w:hAnsi="Palatino Linotype" w:cs="Palatino Linotype"/>
          <w:b/>
          <w:bCs/>
          <w:sz w:val="24"/>
          <w:szCs w:val="24"/>
        </w:rPr>
        <w:t xml:space="preserve">TERCERO. Notifíquese </w:t>
      </w:r>
      <w:r w:rsidRPr="001C2D3C">
        <w:rPr>
          <w:rFonts w:ascii="Palatino Linotype" w:eastAsia="Palatino Linotype" w:hAnsi="Palatino Linotype" w:cs="Palatino Linotype"/>
          <w:sz w:val="24"/>
          <w:szCs w:val="24"/>
        </w:rPr>
        <w:t xml:space="preserve">al </w:t>
      </w:r>
      <w:r w:rsidRPr="001C2D3C">
        <w:rPr>
          <w:rFonts w:ascii="Palatino Linotype" w:eastAsia="Palatino Linotype" w:hAnsi="Palatino Linotype" w:cs="Palatino Linotype"/>
          <w:b/>
          <w:bCs/>
          <w:sz w:val="24"/>
          <w:szCs w:val="24"/>
        </w:rPr>
        <w:t>RECURRENTE</w:t>
      </w:r>
      <w:r w:rsidRPr="001C2D3C">
        <w:rPr>
          <w:rFonts w:ascii="Palatino Linotype" w:eastAsia="Palatino Linotype" w:hAnsi="Palatino Linotype" w:cs="Palatino Linotype"/>
          <w:sz w:val="24"/>
          <w:szCs w:val="24"/>
        </w:rPr>
        <w:t xml:space="preserve"> la presente resolución vía SAIMEX.</w:t>
      </w:r>
    </w:p>
    <w:p w:rsidR="009432E4" w:rsidRPr="001C2D3C" w:rsidRDefault="009432E4">
      <w:pPr>
        <w:spacing w:line="360" w:lineRule="auto"/>
        <w:jc w:val="both"/>
        <w:rPr>
          <w:rFonts w:ascii="Palatino Linotype" w:eastAsia="Palatino Linotype" w:hAnsi="Palatino Linotype" w:cs="Palatino Linotype"/>
          <w:color w:val="222222"/>
          <w:sz w:val="24"/>
          <w:szCs w:val="24"/>
        </w:rPr>
      </w:pPr>
    </w:p>
    <w:p w:rsidR="009432E4" w:rsidRPr="001C2D3C" w:rsidRDefault="00B67E55">
      <w:pPr>
        <w:spacing w:line="360" w:lineRule="auto"/>
        <w:jc w:val="both"/>
        <w:rPr>
          <w:rFonts w:ascii="Palatino Linotype" w:eastAsia="Palatino Linotype" w:hAnsi="Palatino Linotype" w:cs="Palatino Linotype"/>
          <w:sz w:val="24"/>
          <w:szCs w:val="24"/>
        </w:rPr>
      </w:pPr>
      <w:r w:rsidRPr="001C2D3C">
        <w:rPr>
          <w:rFonts w:ascii="Palatino Linotype" w:eastAsia="Palatino Linotype" w:hAnsi="Palatino Linotype" w:cs="Palatino Linotype"/>
          <w:b/>
          <w:bCs/>
          <w:sz w:val="24"/>
          <w:szCs w:val="24"/>
        </w:rPr>
        <w:t>CUARTO.</w:t>
      </w:r>
      <w:r w:rsidRPr="001C2D3C">
        <w:rPr>
          <w:rFonts w:ascii="Palatino Linotype" w:eastAsia="Palatino Linotype" w:hAnsi="Palatino Linotype" w:cs="Palatino Linotype"/>
          <w:sz w:val="24"/>
          <w:szCs w:val="24"/>
        </w:rPr>
        <w:t xml:space="preserve"> Se hace del conocimiento del </w:t>
      </w:r>
      <w:r w:rsidRPr="001C2D3C">
        <w:rPr>
          <w:rFonts w:ascii="Palatino Linotype" w:eastAsia="Palatino Linotype" w:hAnsi="Palatino Linotype" w:cs="Palatino Linotype"/>
          <w:b/>
          <w:bCs/>
          <w:sz w:val="24"/>
          <w:szCs w:val="24"/>
        </w:rPr>
        <w:t>RECURRENTE</w:t>
      </w:r>
      <w:r w:rsidRPr="001C2D3C">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9432E4" w:rsidRPr="001C2D3C" w:rsidRDefault="009432E4">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011930" w:rsidRPr="001C2D3C" w:rsidRDefault="00011930" w:rsidP="00011930">
      <w:pPr>
        <w:spacing w:before="240" w:after="240" w:line="360" w:lineRule="auto"/>
        <w:ind w:firstLine="1"/>
        <w:jc w:val="both"/>
        <w:rPr>
          <w:rFonts w:ascii="Palatino Linotype" w:hAnsi="Palatino Linotype"/>
          <w:sz w:val="24"/>
          <w:szCs w:val="24"/>
        </w:rPr>
      </w:pPr>
      <w:bookmarkStart w:id="11" w:name="_Hlk99014733"/>
      <w:r w:rsidRPr="001C2D3C">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1C2D3C">
        <w:rPr>
          <w:rFonts w:ascii="Palatino Linotype" w:hAnsi="Palatino Linotype" w:cs="Palatino Linotype"/>
          <w:color w:val="000000" w:themeColor="text1"/>
          <w:sz w:val="24"/>
          <w:szCs w:val="24"/>
        </w:rPr>
        <w:t>ALEXIS TAPIA RAMÍREZ.</w:t>
      </w:r>
    </w:p>
    <w:bookmarkEnd w:id="11"/>
    <w:p w:rsidR="009432E4" w:rsidRPr="001C2D3C" w:rsidRDefault="009432E4">
      <w:pPr>
        <w:spacing w:before="240" w:after="360" w:line="360" w:lineRule="auto"/>
        <w:jc w:val="both"/>
        <w:rPr>
          <w:rFonts w:ascii="Palatino Linotype" w:eastAsia="Palatino Linotype" w:hAnsi="Palatino Linotype" w:cs="Palatino Linotype"/>
          <w:color w:val="222222"/>
          <w:sz w:val="24"/>
          <w:szCs w:val="24"/>
        </w:rPr>
      </w:pPr>
    </w:p>
    <w:p w:rsidR="009432E4" w:rsidRPr="001C2D3C" w:rsidRDefault="009432E4">
      <w:pPr>
        <w:spacing w:before="240" w:after="360" w:line="360" w:lineRule="auto"/>
        <w:jc w:val="both"/>
        <w:rPr>
          <w:rFonts w:ascii="Palatino Linotype" w:eastAsia="Palatino Linotype" w:hAnsi="Palatino Linotype" w:cs="Palatino Linotype"/>
          <w:color w:val="222222"/>
          <w:sz w:val="24"/>
          <w:szCs w:val="24"/>
        </w:rPr>
      </w:pPr>
    </w:p>
    <w:p w:rsidR="009432E4" w:rsidRPr="001C2D3C" w:rsidRDefault="009432E4">
      <w:pPr>
        <w:spacing w:before="240" w:after="360" w:line="360" w:lineRule="auto"/>
        <w:jc w:val="both"/>
        <w:rPr>
          <w:rFonts w:ascii="Palatino Linotype" w:eastAsia="Palatino Linotype" w:hAnsi="Palatino Linotype" w:cs="Palatino Linotype"/>
          <w:color w:val="222222"/>
          <w:sz w:val="24"/>
          <w:szCs w:val="24"/>
        </w:rPr>
      </w:pPr>
    </w:p>
    <w:p w:rsidR="009432E4" w:rsidRPr="001C2D3C" w:rsidRDefault="009432E4">
      <w:pPr>
        <w:spacing w:before="240" w:after="360" w:line="360" w:lineRule="auto"/>
        <w:jc w:val="both"/>
        <w:rPr>
          <w:rFonts w:ascii="Palatino Linotype" w:eastAsia="Palatino Linotype" w:hAnsi="Palatino Linotype" w:cs="Palatino Linotype"/>
          <w:color w:val="222222"/>
          <w:sz w:val="24"/>
          <w:szCs w:val="24"/>
        </w:rPr>
      </w:pPr>
    </w:p>
    <w:p w:rsidR="009432E4" w:rsidRPr="001C2D3C" w:rsidRDefault="009432E4">
      <w:pPr>
        <w:spacing w:before="240" w:after="360" w:line="360" w:lineRule="auto"/>
        <w:jc w:val="both"/>
        <w:rPr>
          <w:rFonts w:ascii="Palatino Linotype" w:eastAsia="Palatino Linotype" w:hAnsi="Palatino Linotype" w:cs="Palatino Linotype"/>
          <w:color w:val="222222"/>
          <w:sz w:val="24"/>
          <w:szCs w:val="24"/>
        </w:rPr>
      </w:pPr>
    </w:p>
    <w:p w:rsidR="009432E4" w:rsidRPr="001C2D3C" w:rsidRDefault="009432E4">
      <w:pPr>
        <w:spacing w:before="240" w:after="360" w:line="360" w:lineRule="auto"/>
        <w:jc w:val="both"/>
        <w:rPr>
          <w:rFonts w:ascii="Palatino Linotype" w:eastAsia="Palatino Linotype" w:hAnsi="Palatino Linotype" w:cs="Palatino Linotype"/>
          <w:color w:val="222222"/>
          <w:sz w:val="24"/>
          <w:szCs w:val="24"/>
        </w:rPr>
      </w:pPr>
    </w:p>
    <w:p w:rsidR="009432E4" w:rsidRPr="001C2D3C" w:rsidRDefault="009432E4">
      <w:pPr>
        <w:spacing w:before="240" w:after="360" w:line="360" w:lineRule="auto"/>
        <w:jc w:val="both"/>
        <w:rPr>
          <w:rFonts w:ascii="Palatino Linotype" w:eastAsia="Palatino Linotype" w:hAnsi="Palatino Linotype" w:cs="Palatino Linotype"/>
          <w:color w:val="222222"/>
          <w:sz w:val="24"/>
          <w:szCs w:val="24"/>
        </w:rPr>
      </w:pPr>
    </w:p>
    <w:p w:rsidR="009432E4" w:rsidRPr="001C2D3C" w:rsidRDefault="009432E4">
      <w:pPr>
        <w:spacing w:before="240" w:after="360" w:line="360" w:lineRule="auto"/>
        <w:jc w:val="both"/>
        <w:rPr>
          <w:rFonts w:ascii="Palatino Linotype" w:eastAsia="Palatino Linotype" w:hAnsi="Palatino Linotype" w:cs="Palatino Linotype"/>
          <w:color w:val="222222"/>
          <w:sz w:val="24"/>
          <w:szCs w:val="24"/>
        </w:rPr>
      </w:pPr>
    </w:p>
    <w:p w:rsidR="009432E4" w:rsidRPr="001C2D3C" w:rsidRDefault="009432E4">
      <w:pPr>
        <w:rPr>
          <w:rFonts w:ascii="Palatino Linotype" w:eastAsia="Palatino Linotype" w:hAnsi="Palatino Linotype" w:cs="Palatino Linotype"/>
          <w:sz w:val="24"/>
          <w:szCs w:val="24"/>
        </w:rPr>
      </w:pPr>
    </w:p>
    <w:p w:rsidR="009432E4" w:rsidRPr="001C2D3C" w:rsidRDefault="009432E4">
      <w:pPr>
        <w:rPr>
          <w:rFonts w:ascii="Palatino Linotype" w:eastAsia="Palatino Linotype" w:hAnsi="Palatino Linotype" w:cs="Palatino Linotype"/>
          <w:sz w:val="24"/>
          <w:szCs w:val="24"/>
        </w:rPr>
      </w:pPr>
    </w:p>
    <w:p w:rsidR="009432E4" w:rsidRPr="001C2D3C" w:rsidRDefault="009432E4">
      <w:pPr>
        <w:rPr>
          <w:rFonts w:ascii="Palatino Linotype" w:eastAsia="Palatino Linotype" w:hAnsi="Palatino Linotype" w:cs="Palatino Linotype"/>
          <w:sz w:val="24"/>
          <w:szCs w:val="24"/>
        </w:rPr>
      </w:pPr>
    </w:p>
    <w:p w:rsidR="009432E4" w:rsidRPr="001C2D3C" w:rsidRDefault="009432E4">
      <w:pPr>
        <w:rPr>
          <w:rFonts w:ascii="Palatino Linotype" w:eastAsia="Palatino Linotype" w:hAnsi="Palatino Linotype" w:cs="Palatino Linotype"/>
          <w:sz w:val="24"/>
          <w:szCs w:val="24"/>
        </w:rPr>
      </w:pPr>
    </w:p>
    <w:p w:rsidR="009432E4" w:rsidRPr="001C2D3C" w:rsidRDefault="009432E4">
      <w:pPr>
        <w:rPr>
          <w:rFonts w:ascii="Palatino Linotype" w:eastAsia="Palatino Linotype" w:hAnsi="Palatino Linotype" w:cs="Palatino Linotype"/>
          <w:sz w:val="24"/>
          <w:szCs w:val="24"/>
        </w:rPr>
      </w:pPr>
    </w:p>
    <w:p w:rsidR="009432E4" w:rsidRPr="001C2D3C" w:rsidRDefault="00B67E55">
      <w:pPr>
        <w:rPr>
          <w:rFonts w:ascii="Palatino Linotype" w:eastAsia="Palatino Linotype" w:hAnsi="Palatino Linotype" w:cs="Palatino Linotype"/>
          <w:sz w:val="24"/>
          <w:szCs w:val="24"/>
        </w:rPr>
      </w:pPr>
      <w:r w:rsidRPr="001C2D3C">
        <w:rPr>
          <w:rFonts w:ascii="Palatino Linotype" w:eastAsia="Palatino Linotype" w:hAnsi="Palatino Linotype" w:cs="Palatino Linotype"/>
          <w:sz w:val="24"/>
          <w:szCs w:val="24"/>
        </w:rPr>
        <w:t xml:space="preserve"> </w:t>
      </w:r>
    </w:p>
    <w:p w:rsidR="009432E4" w:rsidRPr="001C2D3C" w:rsidRDefault="009432E4">
      <w:pPr>
        <w:rPr>
          <w:rFonts w:ascii="Palatino Linotype" w:eastAsia="Palatino Linotype" w:hAnsi="Palatino Linotype" w:cs="Palatino Linotype"/>
          <w:sz w:val="24"/>
          <w:szCs w:val="24"/>
        </w:rPr>
      </w:pPr>
    </w:p>
    <w:p w:rsidR="009432E4" w:rsidRPr="001C2D3C" w:rsidRDefault="009432E4">
      <w:pPr>
        <w:rPr>
          <w:rFonts w:ascii="Palatino Linotype" w:eastAsia="Palatino Linotype" w:hAnsi="Palatino Linotype" w:cs="Palatino Linotype"/>
          <w:sz w:val="24"/>
          <w:szCs w:val="24"/>
        </w:rPr>
      </w:pPr>
    </w:p>
    <w:p w:rsidR="009432E4" w:rsidRPr="001C2D3C" w:rsidRDefault="009432E4">
      <w:pPr>
        <w:rPr>
          <w:rFonts w:ascii="Palatino Linotype" w:eastAsia="Palatino Linotype" w:hAnsi="Palatino Linotype" w:cs="Palatino Linotype"/>
          <w:sz w:val="24"/>
          <w:szCs w:val="24"/>
        </w:rPr>
      </w:pPr>
    </w:p>
    <w:sectPr w:rsidR="009432E4" w:rsidRPr="001C2D3C" w:rsidSect="001C2D3C">
      <w:headerReference w:type="even" r:id="rId8"/>
      <w:headerReference w:type="default" r:id="rId9"/>
      <w:footerReference w:type="default" r:id="rId10"/>
      <w:headerReference w:type="first" r:id="rId11"/>
      <w:footerReference w:type="first" r:id="rId12"/>
      <w:pgSz w:w="12240" w:h="15840"/>
      <w:pgMar w:top="80" w:right="758" w:bottom="141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015" w:rsidRDefault="00B93015">
      <w:r>
        <w:separator/>
      </w:r>
    </w:p>
  </w:endnote>
  <w:endnote w:type="continuationSeparator" w:id="0">
    <w:p w:rsidR="00B93015" w:rsidRDefault="00B93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6823B8EB-32AB-48A5-8787-E5B2E0692C2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1A4D2E9-7B88-4CFE-B159-36D0B187A41B}"/>
  </w:font>
  <w:font w:name="Georgia">
    <w:panose1 w:val="02040502050405020303"/>
    <w:charset w:val="00"/>
    <w:family w:val="roman"/>
    <w:pitch w:val="variable"/>
    <w:sig w:usb0="00000287" w:usb1="00000000" w:usb2="00000000" w:usb3="00000000" w:csb0="0000009F" w:csb1="00000000"/>
    <w:embedItalic r:id="rId3" w:fontKey="{CBEADE7E-C4EF-4D09-85C0-DFF6166ADA30}"/>
  </w:font>
  <w:font w:name="Palatino Linotype">
    <w:panose1 w:val="02040502050505030304"/>
    <w:charset w:val="00"/>
    <w:family w:val="roman"/>
    <w:pitch w:val="variable"/>
    <w:sig w:usb0="E0000287" w:usb1="40000013" w:usb2="00000000" w:usb3="00000000" w:csb0="0000019F" w:csb1="00000000"/>
    <w:embedRegular r:id="rId4" w:fontKey="{B372D0E4-C771-4BCC-9ECA-310412E7F597}"/>
    <w:embedBold r:id="rId5" w:fontKey="{44AD6146-5104-485B-99DB-C29E7E21A584}"/>
    <w:embedItalic r:id="rId6" w:fontKey="{30B208A0-C89D-42A9-A31E-F2052D3074DB}"/>
    <w:embedBoldItalic r:id="rId7" w:fontKey="{B277E235-8253-423A-8172-78F23883F7BD}"/>
  </w:font>
  <w:font w:name="Garamond">
    <w:panose1 w:val="02020404030301010803"/>
    <w:charset w:val="00"/>
    <w:family w:val="roman"/>
    <w:pitch w:val="variable"/>
    <w:sig w:usb0="00000287" w:usb1="00000000" w:usb2="00000000" w:usb3="00000000" w:csb0="0000009F" w:csb1="00000000"/>
    <w:embedRegular r:id="rId8" w:fontKey="{EFCB612E-2CD3-421C-8F17-8BF55A1F933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8E74E349-B1B1-4AD0-8685-C4F04E7684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2E4" w:rsidRDefault="009432E4">
    <w:pPr>
      <w:pBdr>
        <w:top w:val="nil"/>
        <w:left w:val="nil"/>
        <w:bottom w:val="nil"/>
        <w:right w:val="nil"/>
        <w:between w:val="nil"/>
      </w:pBdr>
      <w:tabs>
        <w:tab w:val="center" w:pos="4419"/>
        <w:tab w:val="right" w:pos="8838"/>
      </w:tabs>
      <w:jc w:val="right"/>
      <w:rPr>
        <w:color w:val="000000"/>
      </w:rPr>
    </w:pPr>
  </w:p>
  <w:p w:rsidR="009432E4" w:rsidRPr="001C2D3C" w:rsidRDefault="00B67E55">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1C2D3C">
      <w:rPr>
        <w:rFonts w:ascii="Palatino Linotype" w:hAnsi="Palatino Linotype"/>
        <w:color w:val="000000"/>
        <w:sz w:val="22"/>
        <w:szCs w:val="22"/>
      </w:rPr>
      <w:t xml:space="preserve">Página </w:t>
    </w:r>
    <w:r w:rsidRPr="001C2D3C">
      <w:rPr>
        <w:rFonts w:ascii="Palatino Linotype" w:hAnsi="Palatino Linotype"/>
        <w:b/>
        <w:bCs/>
        <w:color w:val="000000"/>
        <w:sz w:val="22"/>
        <w:szCs w:val="22"/>
      </w:rPr>
      <w:fldChar w:fldCharType="begin"/>
    </w:r>
    <w:r w:rsidRPr="001C2D3C">
      <w:rPr>
        <w:rFonts w:ascii="Palatino Linotype" w:hAnsi="Palatino Linotype"/>
        <w:b/>
        <w:bCs/>
        <w:color w:val="000000"/>
        <w:sz w:val="22"/>
        <w:szCs w:val="22"/>
      </w:rPr>
      <w:instrText>PAGE</w:instrText>
    </w:r>
    <w:r w:rsidRPr="001C2D3C">
      <w:rPr>
        <w:rFonts w:ascii="Palatino Linotype" w:hAnsi="Palatino Linotype"/>
        <w:b/>
        <w:bCs/>
        <w:color w:val="000000"/>
        <w:sz w:val="22"/>
        <w:szCs w:val="22"/>
      </w:rPr>
      <w:fldChar w:fldCharType="separate"/>
    </w:r>
    <w:r w:rsidR="00357594">
      <w:rPr>
        <w:rFonts w:ascii="Palatino Linotype" w:hAnsi="Palatino Linotype"/>
        <w:b/>
        <w:bCs/>
        <w:noProof/>
        <w:color w:val="000000"/>
        <w:sz w:val="22"/>
        <w:szCs w:val="22"/>
      </w:rPr>
      <w:t>2</w:t>
    </w:r>
    <w:r w:rsidRPr="001C2D3C">
      <w:rPr>
        <w:rFonts w:ascii="Palatino Linotype" w:hAnsi="Palatino Linotype"/>
        <w:b/>
        <w:bCs/>
        <w:color w:val="000000"/>
        <w:sz w:val="22"/>
        <w:szCs w:val="22"/>
      </w:rPr>
      <w:fldChar w:fldCharType="end"/>
    </w:r>
    <w:r w:rsidRPr="001C2D3C">
      <w:rPr>
        <w:rFonts w:ascii="Palatino Linotype" w:hAnsi="Palatino Linotype"/>
        <w:color w:val="000000"/>
        <w:sz w:val="22"/>
        <w:szCs w:val="22"/>
      </w:rPr>
      <w:t xml:space="preserve"> de </w:t>
    </w:r>
    <w:r w:rsidRPr="001C2D3C">
      <w:rPr>
        <w:rFonts w:ascii="Palatino Linotype" w:hAnsi="Palatino Linotype"/>
        <w:b/>
        <w:bCs/>
        <w:color w:val="000000"/>
        <w:sz w:val="22"/>
        <w:szCs w:val="22"/>
      </w:rPr>
      <w:fldChar w:fldCharType="begin"/>
    </w:r>
    <w:r w:rsidRPr="001C2D3C">
      <w:rPr>
        <w:rFonts w:ascii="Palatino Linotype" w:hAnsi="Palatino Linotype"/>
        <w:b/>
        <w:bCs/>
        <w:color w:val="000000"/>
        <w:sz w:val="22"/>
        <w:szCs w:val="22"/>
      </w:rPr>
      <w:instrText>NUMPAGES</w:instrText>
    </w:r>
    <w:r w:rsidRPr="001C2D3C">
      <w:rPr>
        <w:rFonts w:ascii="Palatino Linotype" w:hAnsi="Palatino Linotype"/>
        <w:b/>
        <w:bCs/>
        <w:color w:val="000000"/>
        <w:sz w:val="22"/>
        <w:szCs w:val="22"/>
      </w:rPr>
      <w:fldChar w:fldCharType="separate"/>
    </w:r>
    <w:r w:rsidR="00357594">
      <w:rPr>
        <w:rFonts w:ascii="Palatino Linotype" w:hAnsi="Palatino Linotype"/>
        <w:b/>
        <w:bCs/>
        <w:noProof/>
        <w:color w:val="000000"/>
        <w:sz w:val="22"/>
        <w:szCs w:val="22"/>
      </w:rPr>
      <w:t>25</w:t>
    </w:r>
    <w:r w:rsidRPr="001C2D3C">
      <w:rPr>
        <w:rFonts w:ascii="Palatino Linotype" w:hAnsi="Palatino Linotype"/>
        <w:b/>
        <w:bCs/>
        <w:color w:val="000000"/>
        <w:sz w:val="22"/>
        <w:szCs w:val="22"/>
      </w:rPr>
      <w:fldChar w:fldCharType="end"/>
    </w:r>
  </w:p>
  <w:p w:rsidR="009432E4" w:rsidRDefault="009432E4">
    <w:pPr>
      <w:pBdr>
        <w:top w:val="nil"/>
        <w:left w:val="nil"/>
        <w:bottom w:val="nil"/>
        <w:right w:val="nil"/>
        <w:between w:val="nil"/>
      </w:pBdr>
      <w:tabs>
        <w:tab w:val="center" w:pos="4419"/>
        <w:tab w:val="right" w:pos="8838"/>
      </w:tabs>
      <w:rPr>
        <w:color w:val="000000"/>
      </w:rPr>
    </w:pPr>
  </w:p>
  <w:p w:rsidR="009432E4" w:rsidRDefault="009432E4"/>
  <w:p w:rsidR="009432E4" w:rsidRDefault="009432E4"/>
  <w:p w:rsidR="009432E4" w:rsidRDefault="009432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2E4" w:rsidRPr="005715C0" w:rsidRDefault="00B67E55">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5715C0">
      <w:rPr>
        <w:rFonts w:ascii="Palatino Linotype" w:hAnsi="Palatino Linotype"/>
        <w:color w:val="000000"/>
        <w:sz w:val="22"/>
        <w:szCs w:val="22"/>
      </w:rPr>
      <w:t xml:space="preserve">Página </w:t>
    </w:r>
    <w:r w:rsidRPr="005715C0">
      <w:rPr>
        <w:rFonts w:ascii="Palatino Linotype" w:hAnsi="Palatino Linotype"/>
        <w:b/>
        <w:bCs/>
        <w:color w:val="000000"/>
        <w:sz w:val="22"/>
        <w:szCs w:val="22"/>
      </w:rPr>
      <w:fldChar w:fldCharType="begin"/>
    </w:r>
    <w:r w:rsidRPr="005715C0">
      <w:rPr>
        <w:rFonts w:ascii="Palatino Linotype" w:hAnsi="Palatino Linotype"/>
        <w:b/>
        <w:bCs/>
        <w:color w:val="000000"/>
        <w:sz w:val="22"/>
        <w:szCs w:val="22"/>
      </w:rPr>
      <w:instrText>PAGE</w:instrText>
    </w:r>
    <w:r w:rsidRPr="005715C0">
      <w:rPr>
        <w:rFonts w:ascii="Palatino Linotype" w:hAnsi="Palatino Linotype"/>
        <w:b/>
        <w:bCs/>
        <w:color w:val="000000"/>
        <w:sz w:val="22"/>
        <w:szCs w:val="22"/>
      </w:rPr>
      <w:fldChar w:fldCharType="separate"/>
    </w:r>
    <w:r w:rsidR="00357594">
      <w:rPr>
        <w:rFonts w:ascii="Palatino Linotype" w:hAnsi="Palatino Linotype"/>
        <w:b/>
        <w:bCs/>
        <w:noProof/>
        <w:color w:val="000000"/>
        <w:sz w:val="22"/>
        <w:szCs w:val="22"/>
      </w:rPr>
      <w:t>1</w:t>
    </w:r>
    <w:r w:rsidRPr="005715C0">
      <w:rPr>
        <w:rFonts w:ascii="Palatino Linotype" w:hAnsi="Palatino Linotype"/>
        <w:b/>
        <w:bCs/>
        <w:color w:val="000000"/>
        <w:sz w:val="22"/>
        <w:szCs w:val="22"/>
      </w:rPr>
      <w:fldChar w:fldCharType="end"/>
    </w:r>
    <w:r w:rsidRPr="005715C0">
      <w:rPr>
        <w:rFonts w:ascii="Palatino Linotype" w:hAnsi="Palatino Linotype"/>
        <w:color w:val="000000"/>
        <w:sz w:val="22"/>
        <w:szCs w:val="22"/>
      </w:rPr>
      <w:t xml:space="preserve"> de </w:t>
    </w:r>
    <w:r w:rsidRPr="005715C0">
      <w:rPr>
        <w:rFonts w:ascii="Palatino Linotype" w:hAnsi="Palatino Linotype"/>
        <w:b/>
        <w:bCs/>
        <w:color w:val="000000"/>
        <w:sz w:val="22"/>
        <w:szCs w:val="22"/>
      </w:rPr>
      <w:fldChar w:fldCharType="begin"/>
    </w:r>
    <w:r w:rsidRPr="005715C0">
      <w:rPr>
        <w:rFonts w:ascii="Palatino Linotype" w:hAnsi="Palatino Linotype"/>
        <w:b/>
        <w:bCs/>
        <w:color w:val="000000"/>
        <w:sz w:val="22"/>
        <w:szCs w:val="22"/>
      </w:rPr>
      <w:instrText>NUMPAGES</w:instrText>
    </w:r>
    <w:r w:rsidRPr="005715C0">
      <w:rPr>
        <w:rFonts w:ascii="Palatino Linotype" w:hAnsi="Palatino Linotype"/>
        <w:b/>
        <w:bCs/>
        <w:color w:val="000000"/>
        <w:sz w:val="22"/>
        <w:szCs w:val="22"/>
      </w:rPr>
      <w:fldChar w:fldCharType="separate"/>
    </w:r>
    <w:r w:rsidR="00357594">
      <w:rPr>
        <w:rFonts w:ascii="Palatino Linotype" w:hAnsi="Palatino Linotype"/>
        <w:b/>
        <w:bCs/>
        <w:noProof/>
        <w:color w:val="000000"/>
        <w:sz w:val="22"/>
        <w:szCs w:val="22"/>
      </w:rPr>
      <w:t>25</w:t>
    </w:r>
    <w:r w:rsidRPr="005715C0">
      <w:rPr>
        <w:rFonts w:ascii="Palatino Linotype" w:hAnsi="Palatino Linotype"/>
        <w:b/>
        <w:bCs/>
        <w:color w:val="000000"/>
        <w:sz w:val="22"/>
        <w:szCs w:val="22"/>
      </w:rPr>
      <w:fldChar w:fldCharType="end"/>
    </w:r>
  </w:p>
  <w:p w:rsidR="009432E4" w:rsidRDefault="009432E4">
    <w:pPr>
      <w:pBdr>
        <w:top w:val="nil"/>
        <w:left w:val="nil"/>
        <w:bottom w:val="nil"/>
        <w:right w:val="nil"/>
        <w:between w:val="nil"/>
      </w:pBdr>
      <w:tabs>
        <w:tab w:val="center" w:pos="4419"/>
        <w:tab w:val="right" w:pos="8838"/>
      </w:tabs>
      <w:rPr>
        <w:color w:val="000000"/>
      </w:rPr>
    </w:pPr>
  </w:p>
  <w:p w:rsidR="009432E4" w:rsidRDefault="009432E4"/>
  <w:p w:rsidR="009432E4" w:rsidRDefault="009432E4"/>
  <w:p w:rsidR="009432E4" w:rsidRDefault="009432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015" w:rsidRDefault="00B93015">
      <w:r>
        <w:separator/>
      </w:r>
    </w:p>
  </w:footnote>
  <w:footnote w:type="continuationSeparator" w:id="0">
    <w:p w:rsidR="00B93015" w:rsidRDefault="00B93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2E4" w:rsidRDefault="00B9301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9432E4" w:rsidRDefault="009432E4"/>
  <w:p w:rsidR="009432E4" w:rsidRDefault="009432E4"/>
  <w:p w:rsidR="009432E4" w:rsidRDefault="009432E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206" w:type="dxa"/>
      <w:tblInd w:w="0" w:type="dxa"/>
      <w:tblLayout w:type="fixed"/>
      <w:tblLook w:val="0400" w:firstRow="0" w:lastRow="0" w:firstColumn="0" w:lastColumn="0" w:noHBand="0" w:noVBand="1"/>
    </w:tblPr>
    <w:tblGrid>
      <w:gridCol w:w="1843"/>
      <w:gridCol w:w="8363"/>
    </w:tblGrid>
    <w:tr w:rsidR="009432E4" w:rsidTr="001C2D3C">
      <w:trPr>
        <w:trHeight w:val="1435"/>
      </w:trPr>
      <w:tc>
        <w:tcPr>
          <w:tcW w:w="1843" w:type="dxa"/>
          <w:shd w:val="clear" w:color="auto" w:fill="auto"/>
        </w:tcPr>
        <w:p w:rsidR="009432E4" w:rsidRDefault="00B67E55">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363" w:type="dxa"/>
          <w:shd w:val="clear" w:color="auto" w:fill="auto"/>
        </w:tcPr>
        <w:tbl>
          <w:tblPr>
            <w:tblStyle w:val="a0"/>
            <w:tblW w:w="8639" w:type="dxa"/>
            <w:tblInd w:w="1594" w:type="dxa"/>
            <w:tblBorders>
              <w:top w:val="nil"/>
              <w:left w:val="nil"/>
              <w:bottom w:val="nil"/>
              <w:right w:val="nil"/>
              <w:insideH w:val="nil"/>
              <w:insideV w:val="nil"/>
            </w:tblBorders>
            <w:tblLayout w:type="fixed"/>
            <w:tblLook w:val="0400" w:firstRow="0" w:lastRow="0" w:firstColumn="0" w:lastColumn="0" w:noHBand="0" w:noVBand="1"/>
          </w:tblPr>
          <w:tblGrid>
            <w:gridCol w:w="2969"/>
            <w:gridCol w:w="5670"/>
          </w:tblGrid>
          <w:tr w:rsidR="009432E4" w:rsidTr="001C2D3C">
            <w:trPr>
              <w:trHeight w:val="338"/>
            </w:trPr>
            <w:tc>
              <w:tcPr>
                <w:tcW w:w="2969" w:type="dxa"/>
              </w:tcPr>
              <w:p w:rsidR="009432E4" w:rsidRPr="001C2D3C" w:rsidRDefault="00B67E55">
                <w:pPr>
                  <w:tabs>
                    <w:tab w:val="right" w:pos="8838"/>
                  </w:tabs>
                  <w:ind w:right="-105"/>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Recurso de Revisión:</w:t>
                </w:r>
              </w:p>
            </w:tc>
            <w:tc>
              <w:tcPr>
                <w:tcW w:w="5670" w:type="dxa"/>
              </w:tcPr>
              <w:p w:rsidR="009432E4" w:rsidRPr="001C2D3C" w:rsidRDefault="001C2D3C" w:rsidP="001C2D3C">
                <w:pPr>
                  <w:tabs>
                    <w:tab w:val="right" w:pos="8838"/>
                  </w:tabs>
                  <w:ind w:left="-115" w:right="1311"/>
                  <w:rPr>
                    <w:rFonts w:ascii="Palatino Linotype" w:eastAsia="Palatino Linotype" w:hAnsi="Palatino Linotype" w:cs="Palatino Linotype"/>
                    <w:sz w:val="24"/>
                    <w:szCs w:val="24"/>
                  </w:rPr>
                </w:pPr>
                <w:r>
                  <w:rPr>
                    <w:rFonts w:ascii="Palatino Linotype" w:eastAsia="Palatino Linotype" w:hAnsi="Palatino Linotype" w:cs="Palatino Linotype"/>
                    <w:b/>
                    <w:bCs/>
                    <w:sz w:val="24"/>
                    <w:szCs w:val="24"/>
                  </w:rPr>
                  <w:t xml:space="preserve">2288/INFOEM/IP/RR/2026 y </w:t>
                </w:r>
                <w:r w:rsidR="00B67E55" w:rsidRPr="001C2D3C">
                  <w:rPr>
                    <w:rFonts w:ascii="Palatino Linotype" w:eastAsia="Palatino Linotype" w:hAnsi="Palatino Linotype" w:cs="Palatino Linotype"/>
                    <w:b/>
                    <w:bCs/>
                    <w:sz w:val="24"/>
                    <w:szCs w:val="24"/>
                  </w:rPr>
                  <w:t>Acumulado</w:t>
                </w:r>
              </w:p>
            </w:tc>
          </w:tr>
          <w:tr w:rsidR="009432E4" w:rsidTr="001C2D3C">
            <w:trPr>
              <w:trHeight w:val="283"/>
            </w:trPr>
            <w:tc>
              <w:tcPr>
                <w:tcW w:w="2969" w:type="dxa"/>
              </w:tcPr>
              <w:p w:rsidR="009432E4" w:rsidRPr="001C2D3C" w:rsidRDefault="00B67E55">
                <w:pPr>
                  <w:tabs>
                    <w:tab w:val="right" w:pos="8838"/>
                  </w:tabs>
                  <w:ind w:right="-105"/>
                  <w:rPr>
                    <w:rFonts w:ascii="Palatino Linotype" w:eastAsia="Palatino Linotype" w:hAnsi="Palatino Linotype" w:cs="Palatino Linotype"/>
                    <w:b/>
                    <w:bCs/>
                    <w:sz w:val="24"/>
                    <w:szCs w:val="24"/>
                  </w:rPr>
                </w:pPr>
                <w:bookmarkStart w:id="12" w:name="_heading=h.3rdcrjn" w:colFirst="0" w:colLast="0"/>
                <w:bookmarkEnd w:id="12"/>
                <w:r w:rsidRPr="001C2D3C">
                  <w:rPr>
                    <w:rFonts w:ascii="Palatino Linotype" w:eastAsia="Palatino Linotype" w:hAnsi="Palatino Linotype" w:cs="Palatino Linotype"/>
                    <w:b/>
                    <w:bCs/>
                    <w:sz w:val="24"/>
                    <w:szCs w:val="24"/>
                  </w:rPr>
                  <w:t>Sujeto Obligado:</w:t>
                </w:r>
              </w:p>
            </w:tc>
            <w:tc>
              <w:tcPr>
                <w:tcW w:w="5670" w:type="dxa"/>
              </w:tcPr>
              <w:p w:rsidR="009432E4" w:rsidRPr="001C2D3C" w:rsidRDefault="00B67E55" w:rsidP="001C2D3C">
                <w:pPr>
                  <w:tabs>
                    <w:tab w:val="left" w:pos="2834"/>
                    <w:tab w:val="right" w:pos="8838"/>
                  </w:tabs>
                  <w:ind w:left="-113" w:right="1311"/>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Ayuntamiento de Tepotzotlán</w:t>
                </w:r>
              </w:p>
            </w:tc>
          </w:tr>
          <w:tr w:rsidR="009432E4" w:rsidTr="001C2D3C">
            <w:trPr>
              <w:trHeight w:val="283"/>
            </w:trPr>
            <w:tc>
              <w:tcPr>
                <w:tcW w:w="2969" w:type="dxa"/>
              </w:tcPr>
              <w:p w:rsidR="009432E4" w:rsidRPr="001C2D3C" w:rsidRDefault="00B67E55">
                <w:pPr>
                  <w:tabs>
                    <w:tab w:val="right" w:pos="8838"/>
                  </w:tabs>
                  <w:ind w:right="-105"/>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Comisionada Ponente:</w:t>
                </w:r>
              </w:p>
            </w:tc>
            <w:tc>
              <w:tcPr>
                <w:tcW w:w="5670" w:type="dxa"/>
              </w:tcPr>
              <w:p w:rsidR="009432E4" w:rsidRPr="001C2D3C" w:rsidRDefault="00B67E55" w:rsidP="001C2D3C">
                <w:pPr>
                  <w:tabs>
                    <w:tab w:val="right" w:pos="8838"/>
                  </w:tabs>
                  <w:ind w:left="-113" w:right="1311"/>
                  <w:rPr>
                    <w:rFonts w:ascii="Palatino Linotype" w:eastAsia="Palatino Linotype" w:hAnsi="Palatino Linotype" w:cs="Palatino Linotype"/>
                    <w:b/>
                    <w:bCs/>
                    <w:sz w:val="24"/>
                    <w:szCs w:val="24"/>
                  </w:rPr>
                </w:pPr>
                <w:r w:rsidRPr="001C2D3C">
                  <w:rPr>
                    <w:rFonts w:ascii="Palatino Linotype" w:eastAsia="Palatino Linotype" w:hAnsi="Palatino Linotype" w:cs="Palatino Linotype"/>
                    <w:b/>
                    <w:bCs/>
                    <w:sz w:val="24"/>
                    <w:szCs w:val="24"/>
                  </w:rPr>
                  <w:t>María del Rosario Mejía Ayala</w:t>
                </w:r>
              </w:p>
            </w:tc>
          </w:tr>
        </w:tbl>
        <w:p w:rsidR="009432E4" w:rsidRDefault="009432E4">
          <w:pPr>
            <w:tabs>
              <w:tab w:val="right" w:pos="8838"/>
            </w:tabs>
            <w:ind w:left="-28"/>
            <w:jc w:val="both"/>
            <w:rPr>
              <w:rFonts w:ascii="Arial" w:eastAsia="Arial" w:hAnsi="Arial" w:cs="Arial"/>
              <w:b/>
              <w:bCs/>
              <w:sz w:val="22"/>
              <w:szCs w:val="22"/>
            </w:rPr>
          </w:pPr>
        </w:p>
      </w:tc>
    </w:tr>
  </w:tbl>
  <w:p w:rsidR="009432E4" w:rsidRPr="001C2D3C" w:rsidRDefault="00B93015" w:rsidP="001C2D3C">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7.35pt;margin-top:-132.9pt;width:663.5pt;height:12in;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065" w:type="dxa"/>
      <w:tblInd w:w="0" w:type="dxa"/>
      <w:tblLayout w:type="fixed"/>
      <w:tblLook w:val="0400" w:firstRow="0" w:lastRow="0" w:firstColumn="0" w:lastColumn="0" w:noHBand="0" w:noVBand="1"/>
    </w:tblPr>
    <w:tblGrid>
      <w:gridCol w:w="1560"/>
      <w:gridCol w:w="8505"/>
    </w:tblGrid>
    <w:tr w:rsidR="009432E4" w:rsidTr="005715C0">
      <w:trPr>
        <w:trHeight w:val="1435"/>
      </w:trPr>
      <w:tc>
        <w:tcPr>
          <w:tcW w:w="1560" w:type="dxa"/>
          <w:shd w:val="clear" w:color="auto" w:fill="auto"/>
        </w:tcPr>
        <w:p w:rsidR="009432E4" w:rsidRDefault="009432E4">
          <w:pPr>
            <w:tabs>
              <w:tab w:val="right" w:pos="4273"/>
            </w:tabs>
            <w:rPr>
              <w:rFonts w:ascii="Garamond" w:eastAsia="Garamond" w:hAnsi="Garamond" w:cs="Garamond"/>
              <w:sz w:val="22"/>
              <w:szCs w:val="22"/>
            </w:rPr>
          </w:pPr>
        </w:p>
      </w:tc>
      <w:tc>
        <w:tcPr>
          <w:tcW w:w="8505" w:type="dxa"/>
          <w:shd w:val="clear" w:color="auto" w:fill="auto"/>
        </w:tcPr>
        <w:tbl>
          <w:tblPr>
            <w:tblStyle w:val="a2"/>
            <w:tblW w:w="13564" w:type="dxa"/>
            <w:tblInd w:w="1160" w:type="dxa"/>
            <w:tblBorders>
              <w:top w:val="nil"/>
              <w:left w:val="nil"/>
              <w:bottom w:val="nil"/>
              <w:right w:val="nil"/>
              <w:insideH w:val="nil"/>
              <w:insideV w:val="nil"/>
            </w:tblBorders>
            <w:tblLayout w:type="fixed"/>
            <w:tblLook w:val="0400" w:firstRow="0" w:lastRow="0" w:firstColumn="0" w:lastColumn="0" w:noHBand="0" w:noVBand="1"/>
          </w:tblPr>
          <w:tblGrid>
            <w:gridCol w:w="2552"/>
            <w:gridCol w:w="7610"/>
            <w:gridCol w:w="3402"/>
          </w:tblGrid>
          <w:tr w:rsidR="009432E4" w:rsidTr="005715C0">
            <w:trPr>
              <w:trHeight w:val="144"/>
            </w:trPr>
            <w:tc>
              <w:tcPr>
                <w:tcW w:w="2552" w:type="dxa"/>
              </w:tcPr>
              <w:p w:rsidR="009432E4" w:rsidRPr="005715C0" w:rsidRDefault="00B67E55">
                <w:pPr>
                  <w:tabs>
                    <w:tab w:val="right" w:pos="8838"/>
                  </w:tabs>
                  <w:ind w:left="-74" w:right="-105"/>
                  <w:rPr>
                    <w:rFonts w:ascii="Palatino Linotype" w:eastAsia="Palatino Linotype" w:hAnsi="Palatino Linotype" w:cs="Palatino Linotype"/>
                    <w:b/>
                    <w:bCs/>
                    <w:sz w:val="24"/>
                    <w:szCs w:val="24"/>
                  </w:rPr>
                </w:pPr>
                <w:bookmarkStart w:id="13" w:name="_heading=h.26in1rg" w:colFirst="0" w:colLast="0"/>
                <w:bookmarkEnd w:id="13"/>
                <w:r w:rsidRPr="005715C0">
                  <w:rPr>
                    <w:rFonts w:ascii="Palatino Linotype" w:eastAsia="Palatino Linotype" w:hAnsi="Palatino Linotype" w:cs="Palatino Linotype"/>
                    <w:b/>
                    <w:bCs/>
                    <w:sz w:val="24"/>
                    <w:szCs w:val="24"/>
                  </w:rPr>
                  <w:t>Recurso de Revisión:</w:t>
                </w:r>
              </w:p>
            </w:tc>
            <w:tc>
              <w:tcPr>
                <w:tcW w:w="7610" w:type="dxa"/>
              </w:tcPr>
              <w:p w:rsidR="009432E4" w:rsidRPr="005715C0" w:rsidRDefault="00B67E55">
                <w:pPr>
                  <w:tabs>
                    <w:tab w:val="right" w:pos="8838"/>
                  </w:tabs>
                  <w:ind w:left="-3" w:right="1457"/>
                  <w:jc w:val="both"/>
                  <w:rPr>
                    <w:rFonts w:ascii="Palatino Linotype" w:eastAsia="Palatino Linotype" w:hAnsi="Palatino Linotype" w:cs="Palatino Linotype"/>
                    <w:sz w:val="24"/>
                    <w:szCs w:val="24"/>
                  </w:rPr>
                </w:pPr>
                <w:r w:rsidRPr="005715C0">
                  <w:rPr>
                    <w:rFonts w:ascii="Palatino Linotype" w:eastAsia="Palatino Linotype" w:hAnsi="Palatino Linotype" w:cs="Palatino Linotype"/>
                    <w:b/>
                    <w:bCs/>
                    <w:sz w:val="24"/>
                    <w:szCs w:val="24"/>
                  </w:rPr>
                  <w:t xml:space="preserve">02288/INFOEM/IP/RR/2026 y Acumulado </w:t>
                </w:r>
              </w:p>
            </w:tc>
            <w:tc>
              <w:tcPr>
                <w:tcW w:w="3402" w:type="dxa"/>
              </w:tcPr>
              <w:p w:rsidR="009432E4" w:rsidRDefault="009432E4">
                <w:pPr>
                  <w:tabs>
                    <w:tab w:val="right" w:pos="8838"/>
                  </w:tabs>
                  <w:ind w:left="-74" w:right="-105"/>
                  <w:jc w:val="both"/>
                  <w:rPr>
                    <w:rFonts w:ascii="Palatino Linotype" w:eastAsia="Palatino Linotype" w:hAnsi="Palatino Linotype" w:cs="Palatino Linotype"/>
                    <w:sz w:val="22"/>
                    <w:szCs w:val="22"/>
                  </w:rPr>
                </w:pPr>
              </w:p>
            </w:tc>
          </w:tr>
          <w:tr w:rsidR="009432E4" w:rsidTr="005715C0">
            <w:trPr>
              <w:trHeight w:val="144"/>
            </w:trPr>
            <w:tc>
              <w:tcPr>
                <w:tcW w:w="2552" w:type="dxa"/>
              </w:tcPr>
              <w:p w:rsidR="009432E4" w:rsidRPr="005715C0" w:rsidRDefault="00B67E55">
                <w:pPr>
                  <w:tabs>
                    <w:tab w:val="right" w:pos="8838"/>
                  </w:tabs>
                  <w:ind w:left="-74" w:right="-105"/>
                  <w:rPr>
                    <w:rFonts w:ascii="Palatino Linotype" w:eastAsia="Palatino Linotype" w:hAnsi="Palatino Linotype" w:cs="Palatino Linotype"/>
                    <w:b/>
                    <w:bCs/>
                    <w:sz w:val="24"/>
                    <w:szCs w:val="24"/>
                  </w:rPr>
                </w:pPr>
                <w:bookmarkStart w:id="14" w:name="_heading=h.lnxbz9" w:colFirst="0" w:colLast="0"/>
                <w:bookmarkEnd w:id="14"/>
                <w:r w:rsidRPr="005715C0">
                  <w:rPr>
                    <w:rFonts w:ascii="Palatino Linotype" w:eastAsia="Palatino Linotype" w:hAnsi="Palatino Linotype" w:cs="Palatino Linotype"/>
                    <w:b/>
                    <w:bCs/>
                    <w:sz w:val="24"/>
                    <w:szCs w:val="24"/>
                  </w:rPr>
                  <w:t>Recurrente:</w:t>
                </w:r>
              </w:p>
            </w:tc>
            <w:tc>
              <w:tcPr>
                <w:tcW w:w="7610" w:type="dxa"/>
              </w:tcPr>
              <w:p w:rsidR="009432E4" w:rsidRPr="005715C0" w:rsidRDefault="00357594">
                <w:pPr>
                  <w:tabs>
                    <w:tab w:val="left" w:pos="3122"/>
                    <w:tab w:val="right" w:pos="8838"/>
                  </w:tabs>
                  <w:ind w:right="1457"/>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t>XXXX</w:t>
                </w:r>
              </w:p>
            </w:tc>
            <w:tc>
              <w:tcPr>
                <w:tcW w:w="3402" w:type="dxa"/>
              </w:tcPr>
              <w:p w:rsidR="009432E4" w:rsidRDefault="009432E4">
                <w:pPr>
                  <w:tabs>
                    <w:tab w:val="left" w:pos="3122"/>
                    <w:tab w:val="right" w:pos="8838"/>
                  </w:tabs>
                  <w:ind w:right="-105"/>
                  <w:jc w:val="both"/>
                  <w:rPr>
                    <w:rFonts w:ascii="Palatino Linotype" w:eastAsia="Palatino Linotype" w:hAnsi="Palatino Linotype" w:cs="Palatino Linotype"/>
                    <w:sz w:val="22"/>
                    <w:szCs w:val="22"/>
                  </w:rPr>
                </w:pPr>
              </w:p>
            </w:tc>
          </w:tr>
          <w:tr w:rsidR="009432E4" w:rsidTr="005715C0">
            <w:trPr>
              <w:trHeight w:val="283"/>
            </w:trPr>
            <w:tc>
              <w:tcPr>
                <w:tcW w:w="2552" w:type="dxa"/>
              </w:tcPr>
              <w:p w:rsidR="009432E4" w:rsidRPr="005715C0" w:rsidRDefault="00B67E55">
                <w:pPr>
                  <w:tabs>
                    <w:tab w:val="right" w:pos="8838"/>
                  </w:tabs>
                  <w:ind w:left="-74" w:right="-105"/>
                  <w:rPr>
                    <w:rFonts w:ascii="Palatino Linotype" w:eastAsia="Palatino Linotype" w:hAnsi="Palatino Linotype" w:cs="Palatino Linotype"/>
                    <w:b/>
                    <w:bCs/>
                    <w:sz w:val="24"/>
                    <w:szCs w:val="24"/>
                  </w:rPr>
                </w:pPr>
                <w:r w:rsidRPr="005715C0">
                  <w:rPr>
                    <w:rFonts w:ascii="Palatino Linotype" w:eastAsia="Palatino Linotype" w:hAnsi="Palatino Linotype" w:cs="Palatino Linotype"/>
                    <w:b/>
                    <w:bCs/>
                    <w:sz w:val="24"/>
                    <w:szCs w:val="24"/>
                  </w:rPr>
                  <w:t>Sujeto Obligado:</w:t>
                </w:r>
              </w:p>
            </w:tc>
            <w:tc>
              <w:tcPr>
                <w:tcW w:w="7610" w:type="dxa"/>
              </w:tcPr>
              <w:p w:rsidR="009432E4" w:rsidRPr="005715C0" w:rsidRDefault="00B67E55">
                <w:pPr>
                  <w:tabs>
                    <w:tab w:val="left" w:pos="2834"/>
                    <w:tab w:val="right" w:pos="8838"/>
                  </w:tabs>
                  <w:ind w:left="-3" w:right="1315"/>
                  <w:jc w:val="both"/>
                  <w:rPr>
                    <w:rFonts w:ascii="Palatino Linotype" w:eastAsia="Palatino Linotype" w:hAnsi="Palatino Linotype" w:cs="Palatino Linotype"/>
                    <w:b/>
                    <w:bCs/>
                    <w:sz w:val="24"/>
                    <w:szCs w:val="24"/>
                  </w:rPr>
                </w:pPr>
                <w:r w:rsidRPr="005715C0">
                  <w:rPr>
                    <w:rFonts w:ascii="Palatino Linotype" w:eastAsia="Palatino Linotype" w:hAnsi="Palatino Linotype" w:cs="Palatino Linotype"/>
                    <w:b/>
                    <w:bCs/>
                    <w:sz w:val="24"/>
                    <w:szCs w:val="24"/>
                  </w:rPr>
                  <w:t xml:space="preserve">Ayuntamiento de Tepotzotlán </w:t>
                </w:r>
              </w:p>
            </w:tc>
            <w:tc>
              <w:tcPr>
                <w:tcW w:w="3402" w:type="dxa"/>
              </w:tcPr>
              <w:p w:rsidR="009432E4" w:rsidRDefault="009432E4">
                <w:pPr>
                  <w:tabs>
                    <w:tab w:val="left" w:pos="2834"/>
                    <w:tab w:val="right" w:pos="8838"/>
                  </w:tabs>
                  <w:ind w:left="-74" w:right="-105"/>
                  <w:jc w:val="both"/>
                  <w:rPr>
                    <w:rFonts w:ascii="Palatino Linotype" w:eastAsia="Palatino Linotype" w:hAnsi="Palatino Linotype" w:cs="Palatino Linotype"/>
                    <w:sz w:val="22"/>
                    <w:szCs w:val="22"/>
                  </w:rPr>
                </w:pPr>
              </w:p>
            </w:tc>
          </w:tr>
          <w:tr w:rsidR="009432E4" w:rsidTr="005715C0">
            <w:trPr>
              <w:trHeight w:val="283"/>
            </w:trPr>
            <w:tc>
              <w:tcPr>
                <w:tcW w:w="2552" w:type="dxa"/>
              </w:tcPr>
              <w:p w:rsidR="009432E4" w:rsidRPr="005715C0" w:rsidRDefault="00B67E55">
                <w:pPr>
                  <w:tabs>
                    <w:tab w:val="right" w:pos="8838"/>
                  </w:tabs>
                  <w:ind w:left="-74" w:right="-105"/>
                  <w:rPr>
                    <w:rFonts w:ascii="Palatino Linotype" w:eastAsia="Palatino Linotype" w:hAnsi="Palatino Linotype" w:cs="Palatino Linotype"/>
                    <w:b/>
                    <w:bCs/>
                    <w:sz w:val="24"/>
                    <w:szCs w:val="24"/>
                  </w:rPr>
                </w:pPr>
                <w:r w:rsidRPr="005715C0">
                  <w:rPr>
                    <w:rFonts w:ascii="Palatino Linotype" w:eastAsia="Palatino Linotype" w:hAnsi="Palatino Linotype" w:cs="Palatino Linotype"/>
                    <w:b/>
                    <w:bCs/>
                    <w:sz w:val="24"/>
                    <w:szCs w:val="24"/>
                  </w:rPr>
                  <w:t>Comisionada Ponente:</w:t>
                </w:r>
              </w:p>
            </w:tc>
            <w:tc>
              <w:tcPr>
                <w:tcW w:w="7610" w:type="dxa"/>
              </w:tcPr>
              <w:p w:rsidR="009432E4" w:rsidRPr="005715C0" w:rsidRDefault="00B67E55">
                <w:pPr>
                  <w:tabs>
                    <w:tab w:val="right" w:pos="8838"/>
                  </w:tabs>
                  <w:ind w:left="-3" w:right="-105"/>
                  <w:jc w:val="both"/>
                  <w:rPr>
                    <w:rFonts w:ascii="Palatino Linotype" w:eastAsia="Palatino Linotype" w:hAnsi="Palatino Linotype" w:cs="Palatino Linotype"/>
                    <w:b/>
                    <w:bCs/>
                    <w:sz w:val="24"/>
                    <w:szCs w:val="24"/>
                  </w:rPr>
                </w:pPr>
                <w:r w:rsidRPr="005715C0">
                  <w:rPr>
                    <w:rFonts w:ascii="Palatino Linotype" w:eastAsia="Palatino Linotype" w:hAnsi="Palatino Linotype" w:cs="Palatino Linotype"/>
                    <w:b/>
                    <w:bCs/>
                    <w:sz w:val="24"/>
                    <w:szCs w:val="24"/>
                  </w:rPr>
                  <w:t>María del Rosario Mejía Ayala</w:t>
                </w:r>
              </w:p>
            </w:tc>
            <w:tc>
              <w:tcPr>
                <w:tcW w:w="3402" w:type="dxa"/>
              </w:tcPr>
              <w:p w:rsidR="009432E4" w:rsidRDefault="009432E4">
                <w:pPr>
                  <w:tabs>
                    <w:tab w:val="right" w:pos="8838"/>
                  </w:tabs>
                  <w:ind w:left="-74" w:right="-105"/>
                  <w:jc w:val="both"/>
                  <w:rPr>
                    <w:rFonts w:ascii="Palatino Linotype" w:eastAsia="Palatino Linotype" w:hAnsi="Palatino Linotype" w:cs="Palatino Linotype"/>
                    <w:sz w:val="22"/>
                    <w:szCs w:val="22"/>
                  </w:rPr>
                </w:pPr>
              </w:p>
            </w:tc>
          </w:tr>
        </w:tbl>
        <w:p w:rsidR="009432E4" w:rsidRDefault="009432E4">
          <w:pPr>
            <w:tabs>
              <w:tab w:val="right" w:pos="8838"/>
            </w:tabs>
            <w:ind w:left="-28"/>
            <w:jc w:val="both"/>
            <w:rPr>
              <w:rFonts w:ascii="Arial" w:eastAsia="Arial" w:hAnsi="Arial" w:cs="Arial"/>
              <w:b/>
              <w:bCs/>
              <w:sz w:val="22"/>
              <w:szCs w:val="22"/>
            </w:rPr>
          </w:pPr>
        </w:p>
      </w:tc>
    </w:tr>
  </w:tbl>
  <w:p w:rsidR="009432E4" w:rsidRPr="005715C0" w:rsidRDefault="00B93015" w:rsidP="005715C0">
    <w:pPr>
      <w:pBdr>
        <w:top w:val="nil"/>
        <w:left w:val="nil"/>
        <w:bottom w:val="nil"/>
        <w:right w:val="nil"/>
        <w:between w:val="nil"/>
      </w:pBdr>
      <w:tabs>
        <w:tab w:val="center" w:pos="4419"/>
        <w:tab w:val="right" w:pos="8838"/>
        <w:tab w:val="center" w:pos="4522"/>
      </w:tabs>
      <w:rPr>
        <w:color w:val="000000"/>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75.8pt;margin-top:-134.3pt;width:663.5pt;height:12in;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8069A"/>
    <w:multiLevelType w:val="multilevel"/>
    <w:tmpl w:val="D870ED4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1543724C"/>
    <w:multiLevelType w:val="multilevel"/>
    <w:tmpl w:val="4F189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9106DE"/>
    <w:multiLevelType w:val="multilevel"/>
    <w:tmpl w:val="513E070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1A2E0B51"/>
    <w:multiLevelType w:val="multilevel"/>
    <w:tmpl w:val="AD6EF93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39303879"/>
    <w:multiLevelType w:val="multilevel"/>
    <w:tmpl w:val="5E1A75F2"/>
    <w:lvl w:ilvl="0">
      <w:start w:val="1"/>
      <w:numFmt w:val="decimal"/>
      <w:lvlText w:val="%1."/>
      <w:lvlJc w:val="left"/>
      <w:pPr>
        <w:ind w:left="360" w:hanging="360"/>
      </w:pPr>
      <w:rPr>
        <w:b/>
        <w:i w:val="0"/>
        <w:iCs w:val="0"/>
      </w:rPr>
    </w:lvl>
    <w:lvl w:ilvl="1">
      <w:start w:val="1"/>
      <w:numFmt w:val="lowerLetter"/>
      <w:lvlText w:val="%2."/>
      <w:lvlJc w:val="left"/>
      <w:pPr>
        <w:ind w:left="1440" w:hanging="360"/>
      </w:p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C6568A"/>
    <w:multiLevelType w:val="multilevel"/>
    <w:tmpl w:val="68B2DCCC"/>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6" w15:restartNumberingAfterBreak="0">
    <w:nsid w:val="475E2DB4"/>
    <w:multiLevelType w:val="multilevel"/>
    <w:tmpl w:val="2236DE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CE7A37"/>
    <w:multiLevelType w:val="multilevel"/>
    <w:tmpl w:val="C23E4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6"/>
  </w:num>
  <w:num w:numId="4">
    <w:abstractNumId w:val="5"/>
  </w:num>
  <w:num w:numId="5">
    <w:abstractNumId w:val="2"/>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2E4"/>
    <w:rsid w:val="00011930"/>
    <w:rsid w:val="001C2D3C"/>
    <w:rsid w:val="0023185A"/>
    <w:rsid w:val="00357594"/>
    <w:rsid w:val="005715C0"/>
    <w:rsid w:val="007242A0"/>
    <w:rsid w:val="008020F0"/>
    <w:rsid w:val="009432E4"/>
    <w:rsid w:val="00B67E55"/>
    <w:rsid w:val="00B930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F9D1540-D4B4-4B9E-B449-4BA0749F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5715C0"/>
    <w:pPr>
      <w:tabs>
        <w:tab w:val="center" w:pos="4419"/>
        <w:tab w:val="right" w:pos="8838"/>
      </w:tabs>
    </w:pPr>
  </w:style>
  <w:style w:type="character" w:customStyle="1" w:styleId="PiedepginaCar">
    <w:name w:val="Pie de página Car"/>
    <w:basedOn w:val="Fuentedeprrafopredeter"/>
    <w:link w:val="Piedepgina"/>
    <w:uiPriority w:val="99"/>
    <w:rsid w:val="00571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Lx0oerEp4Hh/jUNXRJz6TKwViw==">CgMxLjAyDmguc3JlOWgwNXE0djBiMghoLmdqZGd4czIOaC54a3dsNGc0c3ZrdTQyDmguYzR4YXo5a3prYml1MgloLjN6bnlzaDcyCWguMmV0OTJwMDIIaC50eWpjd3QyCWguM2R5NnZrbTIOaC5hM3B0Y3k1cHgybnAyDmgudXkxZ216NnlidjA0MgloLjNyZGNyam4yCWguMjZpbjFyZzIIaC5sbnhiejk4AHIhMU1yY3J5eDRWcUlBb3RJc1RtWm1jWVBFVVZiS1gzTjlp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Pages>
  <Words>6142</Words>
  <Characters>33782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2026-05-08T20:50:00Z</cp:lastPrinted>
  <dcterms:created xsi:type="dcterms:W3CDTF">2026-05-07T19:48:00Z</dcterms:created>
  <dcterms:modified xsi:type="dcterms:W3CDTF">2026-05-14T00:26:00Z</dcterms:modified>
</cp:coreProperties>
</file>