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495" w:rsidRDefault="00067D63">
      <w:pPr>
        <w:tabs>
          <w:tab w:val="left" w:pos="0"/>
        </w:tabs>
        <w:spacing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Pr>
          <w:rFonts w:ascii="Palatino Linotype" w:eastAsia="Palatino Linotype" w:hAnsi="Palatino Linotype" w:cs="Palatino Linotype"/>
          <w:b/>
          <w:bCs/>
        </w:rPr>
        <w:t>ocho de abril de dos mil veintiséis.</w:t>
      </w:r>
      <w:r>
        <w:rPr>
          <w:rFonts w:ascii="Palatino Linotype" w:eastAsia="Palatino Linotype" w:hAnsi="Palatino Linotype" w:cs="Palatino Linotype"/>
        </w:rPr>
        <w:t xml:space="preserve"> </w:t>
      </w:r>
    </w:p>
    <w:p w:rsidR="006D4495" w:rsidRDefault="006D4495">
      <w:pPr>
        <w:tabs>
          <w:tab w:val="left" w:pos="0"/>
        </w:tabs>
        <w:spacing w:line="360" w:lineRule="auto"/>
        <w:jc w:val="both"/>
        <w:rPr>
          <w:rFonts w:ascii="Palatino Linotype" w:eastAsia="Palatino Linotype" w:hAnsi="Palatino Linotype" w:cs="Palatino Linotype"/>
          <w:sz w:val="22"/>
          <w:szCs w:val="22"/>
        </w:rPr>
      </w:pPr>
    </w:p>
    <w:p w:rsidR="006D4495" w:rsidRDefault="00067D6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VISTO</w:t>
      </w:r>
      <w:r>
        <w:rPr>
          <w:rFonts w:ascii="Palatino Linotype" w:eastAsia="Palatino Linotype" w:hAnsi="Palatino Linotype" w:cs="Palatino Linotype"/>
          <w:color w:val="000000"/>
        </w:rPr>
        <w:t xml:space="preserve"> el expediente electrónico formado con motivo del recurso de revisión </w:t>
      </w:r>
      <w:r>
        <w:rPr>
          <w:rFonts w:ascii="Palatino Linotype" w:eastAsia="Palatino Linotype" w:hAnsi="Palatino Linotype" w:cs="Palatino Linotype"/>
          <w:b/>
          <w:bCs/>
          <w:color w:val="000000"/>
        </w:rPr>
        <w:t xml:space="preserve">09888/INFOEM/IP/RR/2025, </w:t>
      </w:r>
      <w:r>
        <w:rPr>
          <w:rFonts w:ascii="Palatino Linotype" w:eastAsia="Palatino Linotype" w:hAnsi="Palatino Linotype" w:cs="Palatino Linotype"/>
          <w:color w:val="000000"/>
        </w:rPr>
        <w:t xml:space="preserve">promovido por </w:t>
      </w:r>
      <w:r w:rsidR="00C13FB3">
        <w:rPr>
          <w:rFonts w:ascii="Palatino Linotype" w:eastAsia="Palatino Linotype" w:hAnsi="Palatino Linotype" w:cs="Palatino Linotype"/>
          <w:b/>
          <w:bCs/>
          <w:color w:val="000000"/>
        </w:rPr>
        <w:t>XXXX</w:t>
      </w:r>
      <w:r>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Pr>
          <w:rFonts w:ascii="Palatino Linotype" w:eastAsia="Palatino Linotype" w:hAnsi="Palatino Linotype" w:cs="Palatino Linotype"/>
          <w:b/>
          <w:bCs/>
          <w:color w:val="000000"/>
        </w:rPr>
        <w:t>EL RECURRENTE</w:t>
      </w:r>
      <w:r>
        <w:rPr>
          <w:rFonts w:ascii="Palatino Linotype" w:eastAsia="Palatino Linotype" w:hAnsi="Palatino Linotype" w:cs="Palatino Linotype"/>
          <w:color w:val="000000"/>
        </w:rPr>
        <w:t xml:space="preserve">, en contra de las respuestas del </w:t>
      </w:r>
      <w:r>
        <w:rPr>
          <w:rFonts w:ascii="Palatino Linotype" w:eastAsia="Palatino Linotype" w:hAnsi="Palatino Linotype" w:cs="Palatino Linotype"/>
          <w:b/>
          <w:bCs/>
          <w:color w:val="000000"/>
        </w:rPr>
        <w:t>Ayuntamiento de Ecatepec de Morelos</w:t>
      </w:r>
      <w:r>
        <w:rPr>
          <w:rFonts w:ascii="Palatino Linotype" w:eastAsia="Palatino Linotype" w:hAnsi="Palatino Linotype" w:cs="Palatino Linotype"/>
          <w:color w:val="000000"/>
        </w:rPr>
        <w:t xml:space="preserve">, en lo sucesivo </w:t>
      </w:r>
      <w:r>
        <w:rPr>
          <w:rFonts w:ascii="Palatino Linotype" w:eastAsia="Palatino Linotype" w:hAnsi="Palatino Linotype" w:cs="Palatino Linotype"/>
          <w:b/>
          <w:bCs/>
          <w:color w:val="000000"/>
        </w:rPr>
        <w:t>EL SUJETO OBLIGADO</w:t>
      </w:r>
      <w:r>
        <w:rPr>
          <w:rFonts w:ascii="Palatino Linotype" w:eastAsia="Palatino Linotype" w:hAnsi="Palatino Linotype" w:cs="Palatino Linotype"/>
          <w:color w:val="000000"/>
        </w:rPr>
        <w:t>, se procede a dictar la presente resolución, con base en los siguientes:</w:t>
      </w:r>
    </w:p>
    <w:p w:rsidR="006D4495" w:rsidRDefault="006D4495">
      <w:pPr>
        <w:spacing w:line="360" w:lineRule="auto"/>
        <w:jc w:val="both"/>
        <w:rPr>
          <w:rFonts w:ascii="Palatino Linotype" w:eastAsia="Palatino Linotype" w:hAnsi="Palatino Linotype" w:cs="Palatino Linotype"/>
          <w:sz w:val="22"/>
          <w:szCs w:val="22"/>
        </w:rPr>
      </w:pPr>
    </w:p>
    <w:p w:rsidR="006D4495" w:rsidRDefault="00067D63">
      <w:pPr>
        <w:keepNext/>
        <w:keepLines/>
        <w:tabs>
          <w:tab w:val="left" w:pos="0"/>
        </w:tabs>
        <w:spacing w:line="360" w:lineRule="auto"/>
        <w:jc w:val="center"/>
        <w:rPr>
          <w:rFonts w:ascii="Palatino Linotype" w:eastAsia="Palatino Linotype" w:hAnsi="Palatino Linotype" w:cs="Palatino Linotype"/>
          <w:b/>
          <w:bCs/>
        </w:rPr>
      </w:pPr>
      <w:bookmarkStart w:id="1" w:name="_heading=h.l02leh2hntws" w:colFirst="0" w:colLast="0"/>
      <w:bookmarkEnd w:id="1"/>
      <w:r>
        <w:rPr>
          <w:rFonts w:ascii="Palatino Linotype" w:eastAsia="Palatino Linotype" w:hAnsi="Palatino Linotype" w:cs="Palatino Linotype"/>
          <w:b/>
          <w:bCs/>
        </w:rPr>
        <w:t>ANTECEDENTES</w:t>
      </w:r>
    </w:p>
    <w:p w:rsidR="006D4495" w:rsidRDefault="006D4495">
      <w:pPr>
        <w:keepNext/>
        <w:keepLines/>
        <w:tabs>
          <w:tab w:val="left" w:pos="0"/>
        </w:tabs>
        <w:spacing w:line="360" w:lineRule="auto"/>
        <w:jc w:val="center"/>
        <w:rPr>
          <w:rFonts w:ascii="Palatino Linotype" w:eastAsia="Palatino Linotype" w:hAnsi="Palatino Linotype" w:cs="Palatino Linotype"/>
          <w:b/>
          <w:bCs/>
          <w:sz w:val="22"/>
          <w:szCs w:val="22"/>
        </w:rPr>
      </w:pPr>
    </w:p>
    <w:p w:rsidR="006D4495" w:rsidRDefault="00067D63">
      <w:pPr>
        <w:numPr>
          <w:ilvl w:val="0"/>
          <w:numId w:val="1"/>
        </w:numPr>
        <w:tabs>
          <w:tab w:val="left" w:pos="0"/>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bCs/>
        </w:rPr>
        <w:t>veinticinco de julio de dos mil veinticinco</w:t>
      </w:r>
      <w:r>
        <w:rPr>
          <w:rFonts w:ascii="Palatino Linotype" w:eastAsia="Palatino Linotype" w:hAnsi="Palatino Linotype" w:cs="Palatino Linotype"/>
        </w:rPr>
        <w:t>, la</w:t>
      </w:r>
      <w:r>
        <w:rPr>
          <w:rFonts w:ascii="Palatino Linotype" w:eastAsia="Palatino Linotype" w:hAnsi="Palatino Linotype" w:cs="Palatino Linotype"/>
          <w:b/>
          <w:bCs/>
        </w:rPr>
        <w:t xml:space="preserve"> </w:t>
      </w:r>
      <w:r>
        <w:rPr>
          <w:rFonts w:ascii="Palatino Linotype" w:eastAsia="Palatino Linotype" w:hAnsi="Palatino Linotype" w:cs="Palatino Linotype"/>
        </w:rPr>
        <w:t>solicitante</w:t>
      </w:r>
      <w:r>
        <w:rPr>
          <w:rFonts w:ascii="Palatino Linotype" w:eastAsia="Palatino Linotype" w:hAnsi="Palatino Linotype" w:cs="Palatino Linotype"/>
          <w:b/>
          <w:bCs/>
        </w:rPr>
        <w:t xml:space="preserve"> </w:t>
      </w:r>
      <w:r>
        <w:rPr>
          <w:rFonts w:ascii="Palatino Linotype" w:eastAsia="Palatino Linotype" w:hAnsi="Palatino Linotype" w:cs="Palatino Linotype"/>
        </w:rPr>
        <w:t>presentó</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ante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a través del Sistema de Acceso a la Información Mexiquense (SAIMEX), la solicitud de información pública registrada con el número </w:t>
      </w:r>
      <w:r>
        <w:rPr>
          <w:rFonts w:ascii="Palatino Linotype" w:eastAsia="Palatino Linotype" w:hAnsi="Palatino Linotype" w:cs="Palatino Linotype"/>
          <w:b/>
          <w:bCs/>
        </w:rPr>
        <w:t>00621/ECATEPEC/IP/2025</w:t>
      </w:r>
      <w:r>
        <w:rPr>
          <w:rFonts w:ascii="Palatino Linotype" w:eastAsia="Palatino Linotype" w:hAnsi="Palatino Linotype" w:cs="Palatino Linotype"/>
        </w:rPr>
        <w:t>, mediante la cual se solicitó:</w:t>
      </w:r>
    </w:p>
    <w:p w:rsidR="006D4495" w:rsidRDefault="00067D63">
      <w:pPr>
        <w:pBdr>
          <w:top w:val="nil"/>
          <w:left w:val="nil"/>
          <w:bottom w:val="nil"/>
          <w:right w:val="nil"/>
          <w:between w:val="nil"/>
        </w:pBdr>
        <w:ind w:left="567" w:right="567"/>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Solicitud</w:t>
      </w:r>
    </w:p>
    <w:p w:rsidR="006D4495" w:rsidRDefault="006D4495">
      <w:pPr>
        <w:pBdr>
          <w:top w:val="nil"/>
          <w:left w:val="nil"/>
          <w:bottom w:val="nil"/>
          <w:right w:val="nil"/>
          <w:between w:val="nil"/>
        </w:pBdr>
        <w:tabs>
          <w:tab w:val="left" w:pos="1005"/>
        </w:tabs>
        <w:ind w:left="567" w:right="567"/>
        <w:jc w:val="both"/>
        <w:rPr>
          <w:rFonts w:ascii="Palatino Linotype" w:eastAsia="Palatino Linotype" w:hAnsi="Palatino Linotype" w:cs="Palatino Linotype"/>
          <w:b/>
          <w:bCs/>
          <w:i/>
          <w:iCs/>
          <w:color w:val="000000"/>
          <w:sz w:val="22"/>
          <w:szCs w:val="22"/>
        </w:rPr>
      </w:pPr>
    </w:p>
    <w:p w:rsidR="006D4495" w:rsidRDefault="00067D63">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“Solicitola relaciones gestiones, oficios o solicitudes de drenaje y pavimentación de la Avenida Gasoducto en San Pedro Xalostoc, desde el año 2018 a julio de 2025, en la que connste el nombre del solicitante, fecha y la respuesta emitida por la autoridad municipal; así como se adjunte copia de los oficios ingresados y de la respuesta a cada uno de ellos; en caso que no existan respuestas justificar el porqué no se solicitpo. Adempas se solicita informar sobre los proyectos contemplados de drenaje y pavimentación existentes del 1 de enero de 2025 al 25 de julio, o las gestiones o bitacoras realizadas para atender la pavimentación de la calle, las actas de las visitas y recorridos que tuvo la presidenta municipal sobre estaavena y los avances al compromiso de la instalacion de drenaje y </w:t>
      </w:r>
      <w:r>
        <w:rPr>
          <w:rFonts w:ascii="Palatino Linotype" w:eastAsia="Palatino Linotype" w:hAnsi="Palatino Linotype" w:cs="Palatino Linotype"/>
          <w:i/>
          <w:iCs/>
          <w:color w:val="000000"/>
          <w:sz w:val="22"/>
          <w:szCs w:val="22"/>
        </w:rPr>
        <w:lastRenderedPageBreak/>
        <w:t>pavimentacion en sus visitas en l que va del año a san pedro xalostoc, adjuntar copia de las gestiones u oficios en la materia emitidos a Pemex, a las areas del gobierno estatal o a las direcciones municipales que correspondan”. (Sic.)</w:t>
      </w:r>
    </w:p>
    <w:p w:rsidR="006D4495" w:rsidRDefault="006D4495">
      <w:pPr>
        <w:tabs>
          <w:tab w:val="left" w:pos="0"/>
        </w:tabs>
        <w:spacing w:line="360" w:lineRule="auto"/>
        <w:ind w:right="49"/>
        <w:jc w:val="both"/>
        <w:rPr>
          <w:rFonts w:ascii="Palatino Linotype" w:eastAsia="Palatino Linotype" w:hAnsi="Palatino Linotype" w:cs="Palatino Linotype"/>
          <w:sz w:val="22"/>
          <w:szCs w:val="22"/>
        </w:rPr>
      </w:pPr>
    </w:p>
    <w:p w:rsidR="006D4495" w:rsidRDefault="00067D6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Se hace constar que se señaló como modalidad de entrega de la información a través de SAIMEX.</w:t>
      </w:r>
    </w:p>
    <w:p w:rsidR="006D4495" w:rsidRDefault="006D4495">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6D4495" w:rsidRDefault="00067D63">
      <w:pPr>
        <w:numPr>
          <w:ilvl w:val="0"/>
          <w:numId w:val="1"/>
        </w:numPr>
        <w:tabs>
          <w:tab w:val="left" w:pos="0"/>
        </w:tabs>
        <w:spacing w:line="360" w:lineRule="auto"/>
        <w:ind w:left="0" w:right="34"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bCs/>
        </w:rPr>
        <w:t>veintiuno de agosto de dos mil veinticinco</w:t>
      </w:r>
      <w:r>
        <w:rPr>
          <w:rFonts w:ascii="Palatino Linotype" w:eastAsia="Palatino Linotype" w:hAnsi="Palatino Linotype" w:cs="Palatino Linotype"/>
        </w:rPr>
        <w:t>, el Sujeto Obligado dio respuesta a la solicitud de información en el siguiente sentido:</w:t>
      </w:r>
    </w:p>
    <w:p w:rsidR="006D4495" w:rsidRDefault="006D4495">
      <w:pPr>
        <w:tabs>
          <w:tab w:val="left" w:pos="0"/>
        </w:tabs>
        <w:ind w:right="34"/>
        <w:jc w:val="both"/>
        <w:rPr>
          <w:rFonts w:ascii="Palatino Linotype" w:eastAsia="Palatino Linotype" w:hAnsi="Palatino Linotype" w:cs="Palatino Linotype"/>
          <w:sz w:val="22"/>
          <w:szCs w:val="22"/>
        </w:rPr>
      </w:pPr>
    </w:p>
    <w:p w:rsidR="006D4495" w:rsidRDefault="00067D63">
      <w:pPr>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D4495" w:rsidRDefault="006D4495">
      <w:pPr>
        <w:ind w:left="567" w:right="567"/>
        <w:jc w:val="both"/>
        <w:rPr>
          <w:rFonts w:ascii="Palatino Linotype" w:eastAsia="Palatino Linotype" w:hAnsi="Palatino Linotype" w:cs="Palatino Linotype"/>
          <w:i/>
          <w:iCs/>
          <w:sz w:val="22"/>
          <w:szCs w:val="22"/>
        </w:rPr>
      </w:pPr>
    </w:p>
    <w:p w:rsidR="006D4495" w:rsidRDefault="00067D63">
      <w:pPr>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Se anexan oficios versión pública” (Sic)</w:t>
      </w:r>
    </w:p>
    <w:p w:rsidR="006D4495" w:rsidRDefault="006D4495">
      <w:pPr>
        <w:tabs>
          <w:tab w:val="left" w:pos="0"/>
        </w:tabs>
        <w:spacing w:line="360" w:lineRule="auto"/>
        <w:ind w:right="34"/>
        <w:jc w:val="both"/>
        <w:rPr>
          <w:rFonts w:ascii="Palatino Linotype" w:eastAsia="Palatino Linotype" w:hAnsi="Palatino Linotype" w:cs="Palatino Linotype"/>
          <w:sz w:val="22"/>
          <w:szCs w:val="22"/>
        </w:rPr>
      </w:pPr>
      <w:bookmarkStart w:id="2" w:name="_heading=h.uokf3nnmo4f" w:colFirst="0" w:colLast="0"/>
      <w:bookmarkEnd w:id="2"/>
    </w:p>
    <w:p w:rsidR="006D4495" w:rsidRDefault="00067D63">
      <w:pPr>
        <w:tabs>
          <w:tab w:val="left" w:pos="0"/>
        </w:tabs>
        <w:spacing w:line="360" w:lineRule="auto"/>
        <w:ind w:right="3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 adjuntaron los siguientes archivos electrónicos:</w:t>
      </w:r>
    </w:p>
    <w:p w:rsidR="006D4495" w:rsidRDefault="00067D63">
      <w:pPr>
        <w:numPr>
          <w:ilvl w:val="0"/>
          <w:numId w:val="5"/>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OFICIO DOP-AC-2425-2025.pdf: </w:t>
      </w:r>
      <w:r>
        <w:rPr>
          <w:rFonts w:ascii="Palatino Linotype" w:eastAsia="Palatino Linotype" w:hAnsi="Palatino Linotype" w:cs="Palatino Linotype"/>
          <w:color w:val="000000"/>
          <w:sz w:val="22"/>
          <w:szCs w:val="22"/>
        </w:rPr>
        <w:t>Documento constante de dos fojas consistente en los siguientes oficios:</w:t>
      </w:r>
    </w:p>
    <w:p w:rsidR="006D4495" w:rsidRDefault="006D4495">
      <w:pPr>
        <w:pBdr>
          <w:top w:val="nil"/>
          <w:left w:val="nil"/>
          <w:bottom w:val="nil"/>
          <w:right w:val="nil"/>
          <w:between w:val="nil"/>
        </w:pBdr>
        <w:tabs>
          <w:tab w:val="left" w:pos="0"/>
        </w:tabs>
        <w:spacing w:line="360" w:lineRule="auto"/>
        <w:ind w:left="720" w:right="34"/>
        <w:jc w:val="both"/>
        <w:rPr>
          <w:rFonts w:ascii="Palatino Linotype" w:eastAsia="Palatino Linotype" w:hAnsi="Palatino Linotype" w:cs="Palatino Linotype"/>
          <w:b/>
          <w:bCs/>
          <w:color w:val="000000"/>
          <w:sz w:val="22"/>
          <w:szCs w:val="22"/>
        </w:rPr>
      </w:pPr>
    </w:p>
    <w:p w:rsidR="006D4495" w:rsidRDefault="00067D63">
      <w:pPr>
        <w:numPr>
          <w:ilvl w:val="1"/>
          <w:numId w:val="5"/>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 xml:space="preserve">Oficio de fecha veintiuno de abril de dos mil veinticinco, signado por la Presidenta del Consejo de Participación Ciudadana del Pueblo de San Pedro Xalostoc, a través del cual solicita el apoyo para la repavimentación de las calles </w:t>
      </w:r>
      <w:r>
        <w:rPr>
          <w:rFonts w:ascii="Palatino Linotype" w:eastAsia="Palatino Linotype" w:hAnsi="Palatino Linotype" w:cs="Palatino Linotype"/>
          <w:b/>
          <w:bCs/>
          <w:color w:val="000000"/>
          <w:sz w:val="22"/>
          <w:szCs w:val="22"/>
        </w:rPr>
        <w:t xml:space="preserve">Avenida Gasoducto, </w:t>
      </w:r>
      <w:r>
        <w:rPr>
          <w:rFonts w:ascii="Palatino Linotype" w:eastAsia="Palatino Linotype" w:hAnsi="Palatino Linotype" w:cs="Palatino Linotype"/>
          <w:color w:val="000000"/>
          <w:sz w:val="22"/>
          <w:szCs w:val="22"/>
        </w:rPr>
        <w:t xml:space="preserve">Calle Tenochtitlán y Calle Molina Enríquez, toda vez que se encuentran en condiciones deplorables, cuyo estado </w:t>
      </w:r>
      <w:r>
        <w:rPr>
          <w:rFonts w:ascii="Palatino Linotype" w:eastAsia="Palatino Linotype" w:hAnsi="Palatino Linotype" w:cs="Palatino Linotype"/>
          <w:sz w:val="22"/>
          <w:szCs w:val="22"/>
        </w:rPr>
        <w:t>afectó</w:t>
      </w:r>
      <w:r>
        <w:rPr>
          <w:rFonts w:ascii="Palatino Linotype" w:eastAsia="Palatino Linotype" w:hAnsi="Palatino Linotype" w:cs="Palatino Linotype"/>
          <w:color w:val="000000"/>
          <w:sz w:val="22"/>
          <w:szCs w:val="22"/>
        </w:rPr>
        <w:t xml:space="preserve"> el tránsito vehicular </w:t>
      </w:r>
      <w:r>
        <w:rPr>
          <w:rFonts w:ascii="Palatino Linotype" w:eastAsia="Palatino Linotype" w:hAnsi="Palatino Linotype" w:cs="Palatino Linotype"/>
          <w:sz w:val="22"/>
          <w:szCs w:val="22"/>
        </w:rPr>
        <w:t>y peatonal</w:t>
      </w:r>
      <w:r>
        <w:rPr>
          <w:rFonts w:ascii="Palatino Linotype" w:eastAsia="Palatino Linotype" w:hAnsi="Palatino Linotype" w:cs="Palatino Linotype"/>
          <w:color w:val="000000"/>
          <w:sz w:val="22"/>
          <w:szCs w:val="22"/>
        </w:rPr>
        <w:t>.</w:t>
      </w:r>
    </w:p>
    <w:p w:rsidR="006D4495" w:rsidRDefault="00067D63">
      <w:pPr>
        <w:numPr>
          <w:ilvl w:val="1"/>
          <w:numId w:val="5"/>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 xml:space="preserve">Oficio DOP/AC/002425/2025 de fecha ocho de mayo de dos mil veinticinco, suscrito por el Director de Obras Públicas, en donde señala que la unidad </w:t>
      </w:r>
      <w:r>
        <w:rPr>
          <w:rFonts w:ascii="Palatino Linotype" w:eastAsia="Palatino Linotype" w:hAnsi="Palatino Linotype" w:cs="Palatino Linotype"/>
          <w:color w:val="000000"/>
          <w:sz w:val="22"/>
          <w:szCs w:val="22"/>
        </w:rPr>
        <w:lastRenderedPageBreak/>
        <w:t>Administrativa competente para brindar respuesta a la presente solicitud es la Dirección de Obras Públicas; además agregó que la petición del particular sería analizada para la viabilidad de integrarla al Programa Anual de Obras lo cual estará en función del presupuesto asignado a la Dirección de Obras Públicas, determinación que será notificado al particular, cabe precisar que dicho oficio brinda respuesta a la solicitud de fecha veintiuno de abril de dos mil veinticinco, suscrito por la Presidenta del Consejo de Participación Ciudadana del Pueblo de San Pedro Xalostoc.</w:t>
      </w:r>
    </w:p>
    <w:p w:rsidR="006D4495" w:rsidRDefault="006D4495">
      <w:pPr>
        <w:pBdr>
          <w:top w:val="nil"/>
          <w:left w:val="nil"/>
          <w:bottom w:val="nil"/>
          <w:right w:val="nil"/>
          <w:between w:val="nil"/>
        </w:pBdr>
        <w:tabs>
          <w:tab w:val="left" w:pos="0"/>
        </w:tabs>
        <w:spacing w:line="360" w:lineRule="auto"/>
        <w:ind w:left="1440" w:right="34"/>
        <w:jc w:val="both"/>
        <w:rPr>
          <w:rFonts w:ascii="Palatino Linotype" w:eastAsia="Palatino Linotype" w:hAnsi="Palatino Linotype" w:cs="Palatino Linotype"/>
          <w:b/>
          <w:bCs/>
          <w:color w:val="000000"/>
          <w:sz w:val="22"/>
          <w:szCs w:val="22"/>
        </w:rPr>
      </w:pPr>
    </w:p>
    <w:p w:rsidR="006D4495" w:rsidRDefault="00067D63">
      <w:pPr>
        <w:numPr>
          <w:ilvl w:val="0"/>
          <w:numId w:val="5"/>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OFICIO DOP-AC-ECA-236-2025.pdf: </w:t>
      </w:r>
      <w:r>
        <w:rPr>
          <w:rFonts w:ascii="Palatino Linotype" w:eastAsia="Palatino Linotype" w:hAnsi="Palatino Linotype" w:cs="Palatino Linotype"/>
          <w:color w:val="000000"/>
          <w:sz w:val="22"/>
          <w:szCs w:val="22"/>
        </w:rPr>
        <w:t>Documento constante de dos fojas de los que se advierten los siguientes similares.</w:t>
      </w:r>
    </w:p>
    <w:p w:rsidR="006D4495" w:rsidRDefault="00067D63">
      <w:pPr>
        <w:numPr>
          <w:ilvl w:val="1"/>
          <w:numId w:val="5"/>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 xml:space="preserve">Oficio de fecha nueve de enero de dos mil veinticinco, suscrito por la Presidenta COPACI del Pueblo de San Pedro Xalostoc, mediante el cual solicitan la atención inmediata de  desazolve, limpieza de drenaje y repavimentación; así como se informe la ubicación de los ductos de gas que se encuentran en la calle, puesto que dichas problemáticas complican hacer cualquier tipo de reparación agravando la situación de las calles, poniendo en riesgo la integridad de las personas </w:t>
      </w:r>
    </w:p>
    <w:p w:rsidR="006D4495" w:rsidRDefault="00067D63">
      <w:pPr>
        <w:numPr>
          <w:ilvl w:val="1"/>
          <w:numId w:val="5"/>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 xml:space="preserve">Oficio DOP/AC/ECA/000236/2025 de fecha veinte de enero de dos mil veinticinco, signado por el Director de Obras Públicas ,a través del cual informa a la Presidenta del Consejo de Participación Ciudadana del Pueblo de San Pedro Xalostoc, que en relación a su petición de repavimentación de la calle del Pueblo de San Pedro Xalostoc, que su petición será analizada para la cual </w:t>
      </w:r>
      <w:r>
        <w:rPr>
          <w:rFonts w:ascii="Palatino Linotype" w:eastAsia="Palatino Linotype" w:hAnsi="Palatino Linotype" w:cs="Palatino Linotype"/>
          <w:sz w:val="22"/>
          <w:szCs w:val="22"/>
        </w:rPr>
        <w:t>se verifican</w:t>
      </w:r>
      <w:r>
        <w:rPr>
          <w:rFonts w:ascii="Palatino Linotype" w:eastAsia="Palatino Linotype" w:hAnsi="Palatino Linotype" w:cs="Palatino Linotype"/>
          <w:color w:val="000000"/>
          <w:sz w:val="22"/>
          <w:szCs w:val="22"/>
        </w:rPr>
        <w:t xml:space="preserve"> los presupuestos y recursos económicos, que se tengan destinados para los programas de obra pública, que tengan como finalidad beneficiar a la población.</w:t>
      </w:r>
    </w:p>
    <w:p w:rsidR="006D4495" w:rsidRDefault="00067D63">
      <w:pPr>
        <w:numPr>
          <w:ilvl w:val="0"/>
          <w:numId w:val="1"/>
        </w:numPr>
        <w:pBdr>
          <w:top w:val="nil"/>
          <w:left w:val="nil"/>
          <w:bottom w:val="nil"/>
          <w:right w:val="nil"/>
          <w:between w:val="nil"/>
        </w:pBdr>
        <w:spacing w:line="360" w:lineRule="auto"/>
        <w:ind w:hanging="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El </w:t>
      </w:r>
      <w:r>
        <w:rPr>
          <w:rFonts w:ascii="Palatino Linotype" w:eastAsia="Palatino Linotype" w:hAnsi="Palatino Linotype" w:cs="Palatino Linotype"/>
          <w:b/>
          <w:bCs/>
          <w:color w:val="000000"/>
        </w:rPr>
        <w:t>veintiuno de agosto de dos mil veinticinco</w:t>
      </w:r>
      <w:r>
        <w:rPr>
          <w:rFonts w:ascii="Palatino Linotype" w:eastAsia="Palatino Linotype" w:hAnsi="Palatino Linotype" w:cs="Palatino Linotype"/>
          <w:color w:val="000000"/>
        </w:rPr>
        <w:t xml:space="preserve">, el solicitante interpuso recurso de revisión en la solicitud de información </w:t>
      </w:r>
      <w:r>
        <w:rPr>
          <w:rFonts w:ascii="Palatino Linotype" w:eastAsia="Palatino Linotype" w:hAnsi="Palatino Linotype" w:cs="Palatino Linotype"/>
          <w:b/>
          <w:bCs/>
          <w:color w:val="000000"/>
        </w:rPr>
        <w:t xml:space="preserve">00621/ECATEPEC/IP/2025, </w:t>
      </w:r>
      <w:r>
        <w:rPr>
          <w:rFonts w:ascii="Palatino Linotype" w:eastAsia="Palatino Linotype" w:hAnsi="Palatino Linotype" w:cs="Palatino Linotype"/>
          <w:color w:val="000000"/>
        </w:rPr>
        <w:t xml:space="preserve">en contra de la respuesta emitida por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señalando las siguientes razones o motivos de inconformidad:</w:t>
      </w:r>
    </w:p>
    <w:p w:rsidR="006D4495" w:rsidRDefault="006D4495">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sz w:val="22"/>
          <w:szCs w:val="22"/>
        </w:rPr>
      </w:pPr>
    </w:p>
    <w:p w:rsidR="006D4495" w:rsidRDefault="00067D63">
      <w:pPr>
        <w:pBdr>
          <w:top w:val="nil"/>
          <w:left w:val="nil"/>
          <w:bottom w:val="nil"/>
          <w:right w:val="nil"/>
          <w:between w:val="nil"/>
        </w:pBdr>
        <w:spacing w:line="360" w:lineRule="auto"/>
        <w:ind w:lef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Acto Impugnado</w:t>
      </w:r>
    </w:p>
    <w:p w:rsidR="006D4495" w:rsidRDefault="00067D63">
      <w:pPr>
        <w:pBdr>
          <w:top w:val="nil"/>
          <w:left w:val="nil"/>
          <w:bottom w:val="nil"/>
          <w:right w:val="nil"/>
          <w:between w:val="nil"/>
        </w:pBdr>
        <w:spacing w:line="360" w:lineRule="auto"/>
        <w:ind w:lef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“Respuesta inclompleta a mi solicitud de información:” (Sic.)</w:t>
      </w:r>
    </w:p>
    <w:p w:rsidR="006D4495" w:rsidRDefault="00067D63">
      <w:pPr>
        <w:pBdr>
          <w:top w:val="nil"/>
          <w:left w:val="nil"/>
          <w:bottom w:val="nil"/>
          <w:right w:val="nil"/>
          <w:between w:val="nil"/>
        </w:pBdr>
        <w:spacing w:line="360" w:lineRule="auto"/>
        <w:ind w:lef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Razones o Motivos de la Inconformidad</w:t>
      </w:r>
    </w:p>
    <w:p w:rsidR="006D4495" w:rsidRDefault="00067D63">
      <w:pPr>
        <w:pBdr>
          <w:top w:val="nil"/>
          <w:left w:val="nil"/>
          <w:bottom w:val="nil"/>
          <w:right w:val="nil"/>
          <w:between w:val="nil"/>
        </w:pBdr>
        <w:ind w:left="567" w:right="539"/>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“De acuerdo a la respuesta de la autoridad responsable, únicamente me remite copia de dos oficios de petición al respecto del periodo 1 de enero de 2025 al 21 de agosto del actual; sin embargo mi solicitud fue: " Solicitola relaciones gestiones, oficios o solicitudes de drenaje y pavimentación de la Avenida Gasoducto en San Pedro Xalostoc, desde el año 2018 a julio de 2025, en la que connste el nombre del solicitante, fecha y la respuesta emitida por la autoridad municipal; así como se adjunte copia de los oficios ingresados y de la respuesta a cada uno de ellos; en caso que no existan respuestas justificar el porqué no se solicitpo. Adempas se solicita informar sobre los proyectos contemplados de drenaje y pavimentación existentes del 1 de enero de 2025 al 25 de julio, o las gestiones o bitacoras realizadas para atender la pavimentación de la calle, las actas de las visitas y recorridos que tuvo la presidenta municipal sobre estaavena y los avances al compromiso de la instalacion de drenaje y pavimentacion en sus visitas en l que va del año a san pedro xalostoc, adjuntar copia de las gestiones u oficios en la materia emitidos a Pemex, a las areas del gobierno estatal o a las direcciones municipales que correspondan.", por lo que no me responde del periodo 1 de enero de 2018 al 31 de diciembre de 2024; pues aunque son administraciones distintas, obra un archivo municipal y como ente del Estado debe obrar en los resguardos. Asimismo, no informa sobre esta parte de mi solicitud: "oyectos contemplados de drenaje y pavimentación existentes del 1 de enero de 2025 al 25 de julio, o las gestiones o bitacoras realizadas para atender la pavimentación de la calle, las actas de las visitas y recorridos que tuvo la presidenta municipal sobre estaavena y los avances al compromiso de la instalacion de drenaje y pavimentacion en sus visitas en l que va del año a san pedro xalostoc"; cabe señalar que en el mes de enero la presidenta hizo una caminata sobre av. Gasoducto en San Pedro Xalostoc y se comprometió a la revamientación de la calle, por lo que a mi solicitud original se requiere saber si existe o no proyecto de repavimentacion o drenaje y la minuta sobre dicho recorrido.” (Sic.)</w:t>
      </w:r>
    </w:p>
    <w:p w:rsidR="006D4495" w:rsidRDefault="006D4495">
      <w:pPr>
        <w:pBdr>
          <w:top w:val="nil"/>
          <w:left w:val="nil"/>
          <w:bottom w:val="nil"/>
          <w:right w:val="nil"/>
          <w:between w:val="nil"/>
        </w:pBdr>
        <w:tabs>
          <w:tab w:val="left" w:pos="851"/>
        </w:tabs>
        <w:spacing w:line="360" w:lineRule="auto"/>
        <w:ind w:left="720" w:right="567"/>
        <w:jc w:val="both"/>
        <w:rPr>
          <w:rFonts w:ascii="Palatino Linotype" w:eastAsia="Palatino Linotype" w:hAnsi="Palatino Linotype" w:cs="Palatino Linotype"/>
          <w:color w:val="000000"/>
          <w:sz w:val="22"/>
          <w:szCs w:val="22"/>
        </w:rPr>
      </w:pPr>
    </w:p>
    <w:p w:rsidR="006D4495" w:rsidRDefault="00067D63">
      <w:pPr>
        <w:numPr>
          <w:ilvl w:val="0"/>
          <w:numId w:val="1"/>
        </w:numP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rPr>
        <w:lastRenderedPageBreak/>
        <w:t xml:space="preserve">Se registró el recurso de revisión bajo el número de expediente al rubro indicado, asimismo con fundamento en lo dispuesto por el artículo 185 fracción I de la Ley de Transparencia y Acceso a la Información Pública del Estado de México y Municipios se turnó a la </w:t>
      </w:r>
      <w:r>
        <w:rPr>
          <w:rFonts w:ascii="Palatino Linotype" w:eastAsia="Palatino Linotype" w:hAnsi="Palatino Linotype" w:cs="Palatino Linotype"/>
          <w:b/>
          <w:bCs/>
        </w:rPr>
        <w:t>Comisionada María del Rosario Mejía Ayala</w:t>
      </w:r>
      <w:r>
        <w:rPr>
          <w:rFonts w:ascii="Palatino Linotype" w:eastAsia="Palatino Linotype" w:hAnsi="Palatino Linotype" w:cs="Palatino Linotype"/>
        </w:rPr>
        <w:t xml:space="preserve"> con el objeto de su análisis.</w:t>
      </w:r>
    </w:p>
    <w:p w:rsidR="006D4495" w:rsidRDefault="006D4495">
      <w:pPr>
        <w:spacing w:line="360" w:lineRule="auto"/>
        <w:jc w:val="both"/>
        <w:rPr>
          <w:rFonts w:ascii="Palatino Linotype" w:eastAsia="Palatino Linotype" w:hAnsi="Palatino Linotype" w:cs="Palatino Linotype"/>
          <w:i/>
          <w:iCs/>
          <w:color w:val="000000"/>
          <w:sz w:val="22"/>
          <w:szCs w:val="22"/>
        </w:rPr>
      </w:pPr>
    </w:p>
    <w:p w:rsidR="006D4495" w:rsidRDefault="00067D63">
      <w:pPr>
        <w:numPr>
          <w:ilvl w:val="0"/>
          <w:numId w:val="1"/>
        </w:numP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 xml:space="preserve">La Comisionada Ponente con fundamento en lo dispuesto por el artículo 185 </w:t>
      </w:r>
      <w:r>
        <w:rPr>
          <w:rFonts w:ascii="Palatino Linotype" w:eastAsia="Palatino Linotype" w:hAnsi="Palatino Linotype" w:cs="Palatino Linotype"/>
        </w:rPr>
        <w:t>fracción</w:t>
      </w:r>
      <w:r>
        <w:rPr>
          <w:rFonts w:ascii="Palatino Linotype" w:eastAsia="Palatino Linotype" w:hAnsi="Palatino Linotype" w:cs="Palatino Linotype"/>
          <w:color w:val="000000"/>
        </w:rPr>
        <w:t xml:space="preserve"> II de la ley de la materia, a través del </w:t>
      </w:r>
      <w:r>
        <w:rPr>
          <w:rFonts w:ascii="Palatino Linotype" w:eastAsia="Palatino Linotype" w:hAnsi="Palatino Linotype" w:cs="Palatino Linotype"/>
          <w:b/>
          <w:bCs/>
          <w:color w:val="000000"/>
        </w:rPr>
        <w:t xml:space="preserve">acuerdo de admisión </w:t>
      </w:r>
      <w:r>
        <w:rPr>
          <w:rFonts w:ascii="Palatino Linotype" w:eastAsia="Palatino Linotype" w:hAnsi="Palatino Linotype" w:cs="Palatino Linotype"/>
          <w:color w:val="000000"/>
        </w:rPr>
        <w:t xml:space="preserve">de fecha </w:t>
      </w:r>
      <w:r>
        <w:rPr>
          <w:rFonts w:ascii="Palatino Linotype" w:eastAsia="Palatino Linotype" w:hAnsi="Palatino Linotype" w:cs="Palatino Linotype"/>
          <w:b/>
          <w:bCs/>
          <w:color w:val="000000"/>
        </w:rPr>
        <w:t>veintiocho de agosto de dos mil veinticinco</w:t>
      </w:r>
      <w:r>
        <w:rPr>
          <w:rFonts w:ascii="Palatino Linotype" w:eastAsia="Palatino Linotype" w:hAnsi="Palatino Linotype" w:cs="Palatino Linotype"/>
          <w:color w:val="000000"/>
        </w:rPr>
        <w:t xml:space="preserve">, puso a disposición de las partes el expediente electrónico vía SAIMEX a efecto de que en un plazo máximo de siete días manifestaran lo que a su derecho conviniera, ofrecieran pruebas y alegatos según corresponda al caso concreto, de esta forma para que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presentara el Informe Justificado procedente.</w:t>
      </w:r>
    </w:p>
    <w:p w:rsidR="006D4495" w:rsidRDefault="006D4495">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6D4495" w:rsidRDefault="00067D63">
      <w:pPr>
        <w:numPr>
          <w:ilvl w:val="0"/>
          <w:numId w:val="1"/>
        </w:numP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en fecha </w:t>
      </w:r>
      <w:r>
        <w:rPr>
          <w:rFonts w:ascii="Palatino Linotype" w:eastAsia="Palatino Linotype" w:hAnsi="Palatino Linotype" w:cs="Palatino Linotype"/>
          <w:b/>
          <w:bCs/>
          <w:color w:val="000000"/>
          <w:sz w:val="22"/>
          <w:szCs w:val="22"/>
        </w:rPr>
        <w:t>ocho de septiembre de dos mil veinticinco</w:t>
      </w:r>
      <w:r>
        <w:rPr>
          <w:rFonts w:ascii="Palatino Linotype" w:eastAsia="Palatino Linotype" w:hAnsi="Palatino Linotype" w:cs="Palatino Linotype"/>
          <w:color w:val="000000"/>
          <w:sz w:val="22"/>
          <w:szCs w:val="22"/>
        </w:rPr>
        <w:t>, rindió el informe justificado correspondiente, por medio de tres archivos electrónicos en formato pdf, cuyo contenido es el siguiente:</w:t>
      </w:r>
    </w:p>
    <w:p w:rsidR="006D4495" w:rsidRDefault="006D4495">
      <w:pPr>
        <w:pBdr>
          <w:top w:val="nil"/>
          <w:left w:val="nil"/>
          <w:bottom w:val="nil"/>
          <w:right w:val="nil"/>
          <w:between w:val="nil"/>
        </w:pBdr>
        <w:ind w:left="720"/>
        <w:rPr>
          <w:rFonts w:ascii="Palatino Linotype" w:eastAsia="Palatino Linotype" w:hAnsi="Palatino Linotype" w:cs="Palatino Linotype"/>
          <w:i/>
          <w:iCs/>
          <w:color w:val="000000"/>
          <w:sz w:val="22"/>
          <w:szCs w:val="22"/>
        </w:rPr>
      </w:pPr>
    </w:p>
    <w:p w:rsidR="006D4495" w:rsidRDefault="00067D6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ALEGATOS 9888.pdf: </w:t>
      </w:r>
      <w:r>
        <w:rPr>
          <w:rFonts w:ascii="Palatino Linotype" w:eastAsia="Palatino Linotype" w:hAnsi="Palatino Linotype" w:cs="Palatino Linotype"/>
          <w:color w:val="000000"/>
          <w:sz w:val="22"/>
          <w:szCs w:val="22"/>
        </w:rPr>
        <w:t>Oficio CT/UT/ECA/1069/2025, suscrito por el Titular de la Unidad de Transparencia  y Acceso a la Información Pública, por medio del cual hace referencia al oficio DOP/ECA0004708/2025, remitido por el Director de Obras Públicas.</w:t>
      </w:r>
    </w:p>
    <w:p w:rsidR="006D4495" w:rsidRDefault="00067D63">
      <w:pPr>
        <w:pBdr>
          <w:top w:val="nil"/>
          <w:left w:val="nil"/>
          <w:bottom w:val="nil"/>
          <w:right w:val="nil"/>
          <w:between w:val="nil"/>
        </w:pBdr>
        <w:spacing w:line="360" w:lineRule="auto"/>
        <w:ind w:left="72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color w:val="000000"/>
          <w:sz w:val="22"/>
          <w:szCs w:val="22"/>
        </w:rPr>
        <w:t xml:space="preserve">No omite mencionar que por un error involuntario, no se </w:t>
      </w:r>
      <w:r>
        <w:rPr>
          <w:rFonts w:ascii="Palatino Linotype" w:eastAsia="Palatino Linotype" w:hAnsi="Palatino Linotype" w:cs="Palatino Linotype"/>
          <w:sz w:val="22"/>
          <w:szCs w:val="22"/>
        </w:rPr>
        <w:t>anexó</w:t>
      </w:r>
      <w:r>
        <w:rPr>
          <w:rFonts w:ascii="Palatino Linotype" w:eastAsia="Palatino Linotype" w:hAnsi="Palatino Linotype" w:cs="Palatino Linotype"/>
          <w:color w:val="000000"/>
          <w:sz w:val="22"/>
          <w:szCs w:val="22"/>
        </w:rPr>
        <w:t xml:space="preserve"> el Acta de la Vigésima Quinta Sesión extraordinaria, mediante el cual se aprueba la Versión Pública, de los oficios con los que pretende brindan respuesta a la solicitud.</w:t>
      </w:r>
    </w:p>
    <w:p w:rsidR="006D4495" w:rsidRDefault="006D4495">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rsidR="006D4495" w:rsidRDefault="00067D6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lastRenderedPageBreak/>
        <w:t xml:space="preserve">RESPUESTA.pdf: </w:t>
      </w:r>
      <w:r>
        <w:rPr>
          <w:rFonts w:ascii="Palatino Linotype" w:eastAsia="Palatino Linotype" w:hAnsi="Palatino Linotype" w:cs="Palatino Linotype"/>
          <w:color w:val="000000"/>
          <w:sz w:val="22"/>
          <w:szCs w:val="22"/>
        </w:rPr>
        <w:t xml:space="preserve">Oficio DOP/ECA/0004708/2025 de fecha veinticinco de agosto de dos mil veinticinco, suscrito por el Director de Obras Públicas, mediante el cual brinda respuesta a la solicitud del particular, indicando que después de realizar una búsqueda exhaustiva en el archivo de esa Dirección, se localizaron dos oficios relacionados la solicitud de información, los cuales fueron proporcionados, indicando que son las únicas documentales con las que se cuenta, no obstante a fin de atender el requerimiento, solicitó a la Secretaría del Ayuntamiento, realice la búsqueda en los archivos históricos municipales respecto al periodo de los años 2018 al 2022; no omite mencionar que la prestación de servicios públicos en materia de agua potable, alcantarillado y saneamiento es una atribución exclusiva del Sistema de Agua Potable, alcantarillado y Saneamiento de Ecatepec, por lo cual esa Dirección no cuenta con información relativa a la instalación de drenajes, por lo que sugiere dirigir la solicitud al sujeto obligado correspondiente; así mismo, refiere que el estatus de la repavimentación de la Avenida Gaseoducto, esa Dirección se encuentra realizando un proyecto viable, sin que cuente con afectaciones técnicas que permita a esa administración desarrollar la política de vialidades de calidad y duraderas en beneficio de la ciudadanía, por lo que se están valorando diversos aspectos técnicos y logísticos. </w:t>
      </w:r>
    </w:p>
    <w:p w:rsidR="006D4495" w:rsidRDefault="00067D6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VIGÉSIMA QUINTA SESION EXTRAORDINARIA.pdf: </w:t>
      </w:r>
      <w:r>
        <w:rPr>
          <w:rFonts w:ascii="Palatino Linotype" w:eastAsia="Palatino Linotype" w:hAnsi="Palatino Linotype" w:cs="Palatino Linotype"/>
          <w:color w:val="000000"/>
          <w:sz w:val="22"/>
          <w:szCs w:val="22"/>
        </w:rPr>
        <w:t>Acta de Sesión Extraordinaria del Comité de Transparencia del Ayuntamiento de Ecatepec de Morelos, de fecha veinte de Agosto de dos mil veinticinco, al que le recayó el Acta ACT/ECA/CT/EXT/25°/2025, mediante el cual se aprueba la clasificación de la información como confidencial y autorización de la elaboración de la versión pública de los documentos testando datos personales como domicilio y firma de particulares.</w:t>
      </w:r>
    </w:p>
    <w:p w:rsidR="006D4495" w:rsidRDefault="006D4495">
      <w:pPr>
        <w:spacing w:line="360" w:lineRule="auto"/>
        <w:jc w:val="both"/>
        <w:rPr>
          <w:rFonts w:ascii="Palatino Linotype" w:eastAsia="Palatino Linotype" w:hAnsi="Palatino Linotype" w:cs="Palatino Linotype"/>
          <w:i/>
          <w:iCs/>
          <w:color w:val="000000"/>
        </w:rPr>
      </w:pPr>
    </w:p>
    <w:p w:rsidR="006D4495" w:rsidRDefault="00067D63">
      <w:pPr>
        <w:numPr>
          <w:ilvl w:val="0"/>
          <w:numId w:val="1"/>
        </w:numP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rPr>
        <w:lastRenderedPageBreak/>
        <w:t xml:space="preserve">De lo anterior el </w:t>
      </w:r>
      <w:r>
        <w:rPr>
          <w:rFonts w:ascii="Palatino Linotype" w:eastAsia="Palatino Linotype" w:hAnsi="Palatino Linotype" w:cs="Palatino Linotype"/>
          <w:b/>
          <w:bCs/>
        </w:rPr>
        <w:t xml:space="preserve">RECURRENTE </w:t>
      </w:r>
      <w:r>
        <w:rPr>
          <w:rFonts w:ascii="Palatino Linotype" w:eastAsia="Palatino Linotype" w:hAnsi="Palatino Linotype" w:cs="Palatino Linotype"/>
        </w:rPr>
        <w:t xml:space="preserve">dejó de realizar manifestaciones que a su derecho conviniera y asistiera, respectivamente en el recurso de revisión. </w:t>
      </w:r>
    </w:p>
    <w:p w:rsidR="006D4495" w:rsidRDefault="006D4495">
      <w:pPr>
        <w:spacing w:line="360" w:lineRule="auto"/>
        <w:jc w:val="both"/>
        <w:rPr>
          <w:rFonts w:ascii="Palatino Linotype" w:eastAsia="Palatino Linotype" w:hAnsi="Palatino Linotype" w:cs="Palatino Linotype"/>
          <w:i/>
          <w:iCs/>
          <w:color w:val="000000"/>
          <w:sz w:val="22"/>
          <w:szCs w:val="22"/>
        </w:rPr>
      </w:pPr>
    </w:p>
    <w:p w:rsidR="006D4495" w:rsidRDefault="00067D63">
      <w:pPr>
        <w:numPr>
          <w:ilvl w:val="0"/>
          <w:numId w:val="1"/>
        </w:numP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rPr>
        <w:t xml:space="preserve">El </w:t>
      </w:r>
      <w:r>
        <w:rPr>
          <w:rFonts w:ascii="Palatino Linotype" w:eastAsia="Palatino Linotype" w:hAnsi="Palatino Linotype" w:cs="Palatino Linotype"/>
          <w:b/>
          <w:bCs/>
        </w:rPr>
        <w:t>veintiséis de enero de dos mil veintiséis</w:t>
      </w:r>
      <w:r>
        <w:rPr>
          <w:rFonts w:ascii="Palatino Linotype" w:eastAsia="Palatino Linotype" w:hAnsi="Palatino Linotype" w:cs="Palatino Linotype"/>
        </w:rPr>
        <w:t>, se notificó el acuerdo mediante el cual se amplió el plazo para emitir resolución por un término de 15 días adicionales.</w:t>
      </w:r>
    </w:p>
    <w:p w:rsidR="006D4495" w:rsidRDefault="006D4495">
      <w:pPr>
        <w:spacing w:line="360" w:lineRule="auto"/>
        <w:jc w:val="both"/>
        <w:rPr>
          <w:rFonts w:ascii="Palatino Linotype" w:eastAsia="Palatino Linotype" w:hAnsi="Palatino Linotype" w:cs="Palatino Linotype"/>
          <w:sz w:val="22"/>
          <w:szCs w:val="22"/>
        </w:rPr>
      </w:pPr>
    </w:p>
    <w:p w:rsidR="006D4495" w:rsidRDefault="00067D63">
      <w:pPr>
        <w:numPr>
          <w:ilvl w:val="0"/>
          <w:numId w:val="1"/>
        </w:numP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rPr>
        <w:t xml:space="preserve">Finalmente, la Comisionada Ponente mediante acuerdo del </w:t>
      </w:r>
      <w:r>
        <w:rPr>
          <w:rFonts w:ascii="Palatino Linotype" w:eastAsia="Palatino Linotype" w:hAnsi="Palatino Linotype" w:cs="Palatino Linotype"/>
          <w:b/>
          <w:bCs/>
        </w:rPr>
        <w:t>veintisiete de marzo de dos mil veintiséis</w:t>
      </w:r>
      <w:r>
        <w:rPr>
          <w:rFonts w:ascii="Palatino Linotype" w:eastAsia="Palatino Linotype" w:hAnsi="Palatino Linotype" w:cs="Palatino Linotype"/>
        </w:rPr>
        <w:t>, decretó el cierre de instrucción del expediente, por lo que no habiendo más que hacer constar, y</w:t>
      </w:r>
      <w:r>
        <w:rPr>
          <w:rFonts w:ascii="Palatino Linotype" w:eastAsia="Palatino Linotype" w:hAnsi="Palatino Linotype" w:cs="Palatino Linotype"/>
          <w:color w:val="000000"/>
        </w:rPr>
        <w:t xml:space="preserve">. </w:t>
      </w:r>
    </w:p>
    <w:p w:rsidR="006D4495" w:rsidRDefault="006D4495">
      <w:pPr>
        <w:spacing w:line="360" w:lineRule="auto"/>
        <w:jc w:val="both"/>
        <w:rPr>
          <w:rFonts w:ascii="Palatino Linotype" w:eastAsia="Palatino Linotype" w:hAnsi="Palatino Linotype" w:cs="Palatino Linotype"/>
          <w:b/>
          <w:bCs/>
        </w:rPr>
      </w:pPr>
    </w:p>
    <w:p w:rsidR="006D4495" w:rsidRDefault="00067D63">
      <w:pPr>
        <w:keepNext/>
        <w:keepLines/>
        <w:spacing w:line="360" w:lineRule="auto"/>
        <w:jc w:val="center"/>
        <w:rPr>
          <w:rFonts w:ascii="Palatino Linotype" w:eastAsia="Palatino Linotype" w:hAnsi="Palatino Linotype" w:cs="Palatino Linotype"/>
          <w:b/>
          <w:bCs/>
          <w:sz w:val="22"/>
          <w:szCs w:val="22"/>
        </w:rPr>
      </w:pPr>
      <w:bookmarkStart w:id="3" w:name="_heading=h.nycjt733ex46" w:colFirst="0" w:colLast="0"/>
      <w:bookmarkEnd w:id="3"/>
      <w:r>
        <w:rPr>
          <w:rFonts w:ascii="Palatino Linotype" w:eastAsia="Palatino Linotype" w:hAnsi="Palatino Linotype" w:cs="Palatino Linotype"/>
          <w:b/>
          <w:bCs/>
          <w:sz w:val="22"/>
          <w:szCs w:val="22"/>
        </w:rPr>
        <w:t>CONSIDERANDO</w:t>
      </w:r>
    </w:p>
    <w:p w:rsidR="006D4495" w:rsidRDefault="006D4495">
      <w:pPr>
        <w:keepNext/>
        <w:keepLines/>
        <w:spacing w:line="360" w:lineRule="auto"/>
        <w:jc w:val="center"/>
        <w:rPr>
          <w:rFonts w:ascii="Palatino Linotype" w:eastAsia="Palatino Linotype" w:hAnsi="Palatino Linotype" w:cs="Palatino Linotype"/>
          <w:b/>
          <w:bCs/>
          <w:sz w:val="22"/>
          <w:szCs w:val="22"/>
        </w:rPr>
      </w:pPr>
    </w:p>
    <w:p w:rsidR="006D4495" w:rsidRDefault="00067D63">
      <w:pPr>
        <w:keepNext/>
        <w:keepLines/>
        <w:spacing w:line="360" w:lineRule="auto"/>
        <w:rPr>
          <w:rFonts w:ascii="Palatino Linotype" w:eastAsia="Palatino Linotype" w:hAnsi="Palatino Linotype" w:cs="Palatino Linotype"/>
          <w:b/>
          <w:bCs/>
          <w:sz w:val="22"/>
          <w:szCs w:val="22"/>
        </w:rPr>
      </w:pPr>
      <w:bookmarkStart w:id="4" w:name="_heading=h.vvdyk6mpgkhy" w:colFirst="0" w:colLast="0"/>
      <w:bookmarkEnd w:id="4"/>
      <w:r>
        <w:rPr>
          <w:rFonts w:ascii="Palatino Linotype" w:eastAsia="Palatino Linotype" w:hAnsi="Palatino Linotype" w:cs="Palatino Linotype"/>
          <w:b/>
          <w:bCs/>
          <w:sz w:val="22"/>
          <w:szCs w:val="22"/>
        </w:rPr>
        <w:t>PRIMERO. De la competencia.</w:t>
      </w:r>
    </w:p>
    <w:p w:rsidR="006D4495" w:rsidRDefault="00067D63">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Este Instituto de Transparencia, Acceso a la Información Pública y Protección de Datos Personales del Estado de México y Municipios, es competente para conocer y resolver del presente recurso de conformidad con el artículo: 6, apartado A, fracción IV de la </w:t>
      </w:r>
      <w:r>
        <w:rPr>
          <w:rFonts w:ascii="Palatino Linotype" w:eastAsia="Palatino Linotype" w:hAnsi="Palatino Linotype" w:cs="Palatino Linotype"/>
          <w:b/>
          <w:bCs/>
          <w:color w:val="000000"/>
          <w:sz w:val="22"/>
          <w:szCs w:val="22"/>
        </w:rPr>
        <w:t>Constitución Política de los Estados Unidos Mexicanos</w:t>
      </w:r>
      <w:r>
        <w:rPr>
          <w:rFonts w:ascii="Palatino Linotype" w:eastAsia="Palatino Linotype" w:hAnsi="Palatino Linotype" w:cs="Palatino Linotype"/>
          <w:color w:val="000000"/>
          <w:sz w:val="22"/>
          <w:szCs w:val="22"/>
        </w:rPr>
        <w:t>; 5, párrafos trigésimo segundo, trigésimo tercero y trigésimo cuarto fracciones IV y V de la </w:t>
      </w:r>
      <w:r>
        <w:rPr>
          <w:rFonts w:ascii="Palatino Linotype" w:eastAsia="Palatino Linotype" w:hAnsi="Palatino Linotype" w:cs="Palatino Linotype"/>
          <w:b/>
          <w:bCs/>
          <w:color w:val="000000"/>
          <w:sz w:val="22"/>
          <w:szCs w:val="22"/>
        </w:rPr>
        <w:t>Constitución Política del Estado Libre y Soberano de México</w:t>
      </w:r>
      <w:r>
        <w:rPr>
          <w:rFonts w:ascii="Palatino Linotype" w:eastAsia="Palatino Linotype" w:hAnsi="Palatino Linotype" w:cs="Palatino Linotype"/>
          <w:color w:val="000000"/>
          <w:sz w:val="22"/>
          <w:szCs w:val="22"/>
        </w:rPr>
        <w:t>; artículos 1, 2 fracción II, 13, 29, 36 fracciones I y II, 176, 178, 179, 181 párrafo tercero y 185 de la </w:t>
      </w:r>
      <w:r>
        <w:rPr>
          <w:rFonts w:ascii="Palatino Linotype" w:eastAsia="Palatino Linotype" w:hAnsi="Palatino Linotype" w:cs="Palatino Linotype"/>
          <w:b/>
          <w:bCs/>
          <w:color w:val="000000"/>
          <w:sz w:val="22"/>
          <w:szCs w:val="22"/>
        </w:rPr>
        <w:t>Ley de Transparencia y Acceso a la Información Pública del Estado de México y Municipios</w:t>
      </w:r>
      <w:r>
        <w:rPr>
          <w:rFonts w:ascii="Palatino Linotype" w:eastAsia="Palatino Linotype" w:hAnsi="Palatino Linotype" w:cs="Palatino Linotype"/>
          <w:color w:val="000000"/>
          <w:sz w:val="22"/>
          <w:szCs w:val="22"/>
        </w:rPr>
        <w:t>; y 7, 9 fracciones I y XXIII, y 11 del </w:t>
      </w:r>
      <w:r>
        <w:rPr>
          <w:rFonts w:ascii="Palatino Linotype" w:eastAsia="Palatino Linotype" w:hAnsi="Palatino Linotype" w:cs="Palatino Linotype"/>
          <w:b/>
          <w:bCs/>
          <w:color w:val="000000"/>
          <w:sz w:val="22"/>
          <w:szCs w:val="22"/>
        </w:rPr>
        <w:t>Reglamento Interior del Instituto de Transparencia, Acceso a la Información Pública y Protección de Datos Personales del Estado de México y Municipios</w:t>
      </w:r>
      <w:r>
        <w:rPr>
          <w:rFonts w:ascii="Palatino Linotype" w:eastAsia="Palatino Linotype" w:hAnsi="Palatino Linotype" w:cs="Palatino Linotype"/>
          <w:color w:val="000000"/>
          <w:sz w:val="22"/>
          <w:szCs w:val="22"/>
        </w:rPr>
        <w:t>.</w:t>
      </w:r>
    </w:p>
    <w:p w:rsidR="006D4495" w:rsidRDefault="00067D63">
      <w:pPr>
        <w:keepNext/>
        <w:keepLines/>
        <w:spacing w:line="360" w:lineRule="auto"/>
        <w:rPr>
          <w:rFonts w:ascii="Palatino Linotype" w:eastAsia="Palatino Linotype" w:hAnsi="Palatino Linotype" w:cs="Palatino Linotype"/>
          <w:b/>
          <w:bCs/>
          <w:sz w:val="22"/>
          <w:szCs w:val="22"/>
        </w:rPr>
      </w:pPr>
      <w:bookmarkStart w:id="5" w:name="_heading=h.etnyxwv71yh3" w:colFirst="0" w:colLast="0"/>
      <w:bookmarkEnd w:id="5"/>
      <w:r>
        <w:rPr>
          <w:rFonts w:ascii="Palatino Linotype" w:eastAsia="Palatino Linotype" w:hAnsi="Palatino Linotype" w:cs="Palatino Linotype"/>
          <w:b/>
          <w:bCs/>
          <w:sz w:val="22"/>
          <w:szCs w:val="22"/>
        </w:rPr>
        <w:lastRenderedPageBreak/>
        <w:t>SEGUNDO. De la oportunidad y procedencia.</w:t>
      </w:r>
    </w:p>
    <w:p w:rsidR="006D4495" w:rsidRDefault="00067D63">
      <w:pPr>
        <w:numPr>
          <w:ilvl w:val="0"/>
          <w:numId w:val="1"/>
        </w:numPr>
        <w:spacing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medio de impugnación fue presentado a través del </w:t>
      </w:r>
      <w:r>
        <w:rPr>
          <w:rFonts w:ascii="Palatino Linotype" w:eastAsia="Palatino Linotype" w:hAnsi="Palatino Linotype" w:cs="Palatino Linotype"/>
          <w:b/>
          <w:bCs/>
        </w:rPr>
        <w:t>SAIMEX,</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entregó respuesta el día </w:t>
      </w:r>
      <w:r>
        <w:rPr>
          <w:rFonts w:ascii="Palatino Linotype" w:eastAsia="Palatino Linotype" w:hAnsi="Palatino Linotype" w:cs="Palatino Linotype"/>
          <w:b/>
          <w:bCs/>
        </w:rPr>
        <w:t>veintiuno de agosto de dos mil veinticinco</w:t>
      </w:r>
      <w:r>
        <w:rPr>
          <w:rFonts w:ascii="Palatino Linotype" w:eastAsia="Palatino Linotype" w:hAnsi="Palatino Linotype" w:cs="Palatino Linotype"/>
        </w:rPr>
        <w:t xml:space="preserve">, de tal forma que el plazo para interponer el recurso transcurrió del </w:t>
      </w:r>
      <w:r>
        <w:rPr>
          <w:rFonts w:ascii="Palatino Linotype" w:eastAsia="Palatino Linotype" w:hAnsi="Palatino Linotype" w:cs="Palatino Linotype"/>
          <w:b/>
          <w:bCs/>
        </w:rPr>
        <w:t>veintiuno de agosto al once de septiembre de dos mil veinticinco</w:t>
      </w:r>
      <w:r>
        <w:rPr>
          <w:rFonts w:ascii="Palatino Linotype" w:eastAsia="Palatino Linotype" w:hAnsi="Palatino Linotype" w:cs="Palatino Linotype"/>
        </w:rPr>
        <w:t xml:space="preserve">, de acuerdo al calendario oficial del Instituto de Transparencia del Estado de México y Municipios; en consecuencia, si el particular presentó su inconformidad el día </w:t>
      </w:r>
      <w:r>
        <w:rPr>
          <w:rFonts w:ascii="Palatino Linotype" w:eastAsia="Palatino Linotype" w:hAnsi="Palatino Linotype" w:cs="Palatino Linotype"/>
          <w:b/>
          <w:bCs/>
        </w:rPr>
        <w:t>veintiuno de agosto de dos mil veinticinco</w:t>
      </w:r>
      <w:r>
        <w:rPr>
          <w:rFonts w:ascii="Palatino Linotype" w:eastAsia="Palatino Linotype" w:hAnsi="Palatino Linotype" w:cs="Palatino Linotype"/>
        </w:rPr>
        <w:t xml:space="preserve">, se encuentra dentro de los márgenes temporales previstos en el artículo 178 de la </w:t>
      </w:r>
      <w:r>
        <w:rPr>
          <w:rFonts w:ascii="Palatino Linotype" w:eastAsia="Palatino Linotype" w:hAnsi="Palatino Linotype" w:cs="Palatino Linotype"/>
          <w:b/>
          <w:bCs/>
        </w:rPr>
        <w:t xml:space="preserve">Ley de Transparencia y Acceso a la Información Pública del Estado de México y Municipios </w:t>
      </w:r>
      <w:r>
        <w:rPr>
          <w:rFonts w:ascii="Palatino Linotype" w:eastAsia="Palatino Linotype" w:hAnsi="Palatino Linotype" w:cs="Palatino Linotype"/>
        </w:rPr>
        <w:t xml:space="preserve">vigente. </w:t>
      </w:r>
    </w:p>
    <w:p w:rsidR="006D4495" w:rsidRDefault="006D4495">
      <w:pPr>
        <w:spacing w:line="360" w:lineRule="auto"/>
        <w:ind w:right="48"/>
        <w:jc w:val="both"/>
        <w:rPr>
          <w:rFonts w:ascii="Palatino Linotype" w:eastAsia="Palatino Linotype" w:hAnsi="Palatino Linotype" w:cs="Palatino Linotype"/>
          <w:sz w:val="22"/>
          <w:szCs w:val="22"/>
        </w:rPr>
      </w:pPr>
    </w:p>
    <w:p w:rsidR="006D4495" w:rsidRDefault="00067D63">
      <w:pPr>
        <w:numPr>
          <w:ilvl w:val="0"/>
          <w:numId w:val="1"/>
        </w:numPr>
        <w:spacing w:line="360" w:lineRule="auto"/>
        <w:ind w:left="0" w:right="49" w:firstLine="0"/>
        <w:jc w:val="both"/>
        <w:rPr>
          <w:rFonts w:ascii="Palatino Linotype" w:eastAsia="Palatino Linotype" w:hAnsi="Palatino Linotype" w:cs="Palatino Linotype"/>
          <w:b/>
          <w:bCs/>
        </w:rPr>
      </w:pPr>
      <w:r>
        <w:rPr>
          <w:rFonts w:ascii="Palatino Linotype" w:eastAsia="Palatino Linotype" w:hAnsi="Palatino Linotype" w:cs="Palatino Linotype"/>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D4495" w:rsidRDefault="006D4495">
      <w:pPr>
        <w:pBdr>
          <w:top w:val="nil"/>
          <w:left w:val="nil"/>
          <w:bottom w:val="nil"/>
          <w:right w:val="nil"/>
          <w:between w:val="nil"/>
        </w:pBdr>
        <w:ind w:left="720"/>
        <w:rPr>
          <w:rFonts w:ascii="Palatino Linotype" w:eastAsia="Palatino Linotype" w:hAnsi="Palatino Linotype" w:cs="Palatino Linotype"/>
          <w:b/>
          <w:bCs/>
          <w:color w:val="000000"/>
          <w:sz w:val="22"/>
          <w:szCs w:val="22"/>
        </w:rPr>
      </w:pPr>
    </w:p>
    <w:p w:rsidR="006D4495" w:rsidRDefault="00067D63">
      <w:pPr>
        <w:keepNext/>
        <w:keepLines/>
        <w:spacing w:line="360" w:lineRule="auto"/>
        <w:ind w:right="48"/>
        <w:rPr>
          <w:rFonts w:ascii="Palatino Linotype" w:eastAsia="Palatino Linotype" w:hAnsi="Palatino Linotype" w:cs="Palatino Linotype"/>
          <w:b/>
          <w:bCs/>
          <w:sz w:val="22"/>
          <w:szCs w:val="22"/>
        </w:rPr>
      </w:pPr>
      <w:bookmarkStart w:id="6" w:name="_heading=h.khldgl3s9huc" w:colFirst="0" w:colLast="0"/>
      <w:bookmarkEnd w:id="6"/>
      <w:r>
        <w:rPr>
          <w:rFonts w:ascii="Palatino Linotype" w:eastAsia="Palatino Linotype" w:hAnsi="Palatino Linotype" w:cs="Palatino Linotype"/>
          <w:b/>
          <w:bCs/>
          <w:sz w:val="22"/>
          <w:szCs w:val="22"/>
        </w:rPr>
        <w:t>TERCERO. Planteamiento de la Litis.</w:t>
      </w:r>
    </w:p>
    <w:p w:rsidR="006D4495" w:rsidRDefault="00067D63">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 xml:space="preserve">El particular </w:t>
      </w:r>
      <w:r>
        <w:rPr>
          <w:rFonts w:ascii="Palatino Linotype" w:eastAsia="Palatino Linotype" w:hAnsi="Palatino Linotype" w:cs="Palatino Linotype"/>
        </w:rPr>
        <w:t>solicitó</w:t>
      </w:r>
      <w:r>
        <w:rPr>
          <w:rFonts w:ascii="Palatino Linotype" w:eastAsia="Palatino Linotype" w:hAnsi="Palatino Linotype" w:cs="Palatino Linotype"/>
          <w:b/>
          <w:bCs/>
          <w:color w:val="000000"/>
        </w:rPr>
        <w:t>:</w:t>
      </w:r>
    </w:p>
    <w:p w:rsidR="006D4495" w:rsidRDefault="006D4495">
      <w:pPr>
        <w:pBdr>
          <w:top w:val="nil"/>
          <w:left w:val="nil"/>
          <w:bottom w:val="nil"/>
          <w:right w:val="nil"/>
          <w:between w:val="nil"/>
        </w:pBdr>
        <w:spacing w:line="360" w:lineRule="auto"/>
        <w:ind w:right="48"/>
        <w:jc w:val="both"/>
        <w:rPr>
          <w:rFonts w:ascii="Palatino Linotype" w:eastAsia="Palatino Linotype" w:hAnsi="Palatino Linotype" w:cs="Palatino Linotype"/>
          <w:i/>
          <w:iCs/>
          <w:color w:val="000000"/>
          <w:sz w:val="14"/>
          <w:szCs w:val="14"/>
        </w:rPr>
      </w:pPr>
    </w:p>
    <w:p w:rsidR="006D4495" w:rsidRDefault="00067D63">
      <w:pPr>
        <w:numPr>
          <w:ilvl w:val="0"/>
          <w:numId w:val="10"/>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Pr>
          <w:rFonts w:ascii="Palatino Linotype" w:eastAsia="Palatino Linotype" w:hAnsi="Palatino Linotype" w:cs="Palatino Linotype"/>
          <w:b/>
          <w:bCs/>
          <w:sz w:val="22"/>
          <w:szCs w:val="22"/>
        </w:rPr>
        <w:t>Relaciones gestiones, oficios o solicitudes de drenaje y pavimentación de la Avenida Gasoducto en San Pedro Xalostoc, desde el año 2018 a julio de 2025</w:t>
      </w:r>
      <w:r>
        <w:rPr>
          <w:rFonts w:ascii="Palatino Linotype" w:eastAsia="Palatino Linotype" w:hAnsi="Palatino Linotype" w:cs="Palatino Linotype"/>
          <w:b/>
          <w:bCs/>
          <w:color w:val="000000"/>
        </w:rPr>
        <w:t xml:space="preserve"> en donde se especifique:</w:t>
      </w:r>
    </w:p>
    <w:p w:rsidR="006D4495" w:rsidRDefault="00067D63">
      <w:pPr>
        <w:numPr>
          <w:ilvl w:val="1"/>
          <w:numId w:val="10"/>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Nombre del solicitante </w:t>
      </w:r>
    </w:p>
    <w:p w:rsidR="006D4495" w:rsidRDefault="00067D63">
      <w:pPr>
        <w:numPr>
          <w:ilvl w:val="1"/>
          <w:numId w:val="10"/>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Fecha</w:t>
      </w:r>
    </w:p>
    <w:p w:rsidR="006D4495" w:rsidRDefault="00067D63">
      <w:pPr>
        <w:numPr>
          <w:ilvl w:val="1"/>
          <w:numId w:val="10"/>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Respuesta emitida por la autoridad municipal</w:t>
      </w:r>
    </w:p>
    <w:p w:rsidR="006D4495" w:rsidRDefault="00067D63">
      <w:pPr>
        <w:numPr>
          <w:ilvl w:val="1"/>
          <w:numId w:val="10"/>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Copia de los oficios ingresados y de la respuesta a cada uno de ellos</w:t>
      </w:r>
    </w:p>
    <w:p w:rsidR="006D4495" w:rsidRDefault="00067D63">
      <w:pPr>
        <w:pBdr>
          <w:top w:val="nil"/>
          <w:left w:val="nil"/>
          <w:bottom w:val="nil"/>
          <w:right w:val="nil"/>
          <w:between w:val="nil"/>
        </w:pBdr>
        <w:spacing w:line="360" w:lineRule="auto"/>
        <w:ind w:left="1080"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caso de no existir respuesta, justificar por qué no se solicitó</w:t>
      </w:r>
    </w:p>
    <w:p w:rsidR="006D4495" w:rsidRDefault="00067D63">
      <w:pPr>
        <w:numPr>
          <w:ilvl w:val="0"/>
          <w:numId w:val="10"/>
        </w:numPr>
        <w:pBdr>
          <w:top w:val="nil"/>
          <w:left w:val="nil"/>
          <w:bottom w:val="nil"/>
          <w:right w:val="nil"/>
          <w:between w:val="nil"/>
        </w:pBdr>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Proyectos contemplados de drenaje y pavimentación existentes del 1 de enero al 25 de julio de 2025</w:t>
      </w:r>
    </w:p>
    <w:p w:rsidR="006D4495" w:rsidRDefault="006D4495">
      <w:pPr>
        <w:pBdr>
          <w:top w:val="nil"/>
          <w:left w:val="nil"/>
          <w:bottom w:val="nil"/>
          <w:right w:val="nil"/>
          <w:between w:val="nil"/>
        </w:pBdr>
        <w:ind w:left="720"/>
        <w:rPr>
          <w:rFonts w:ascii="Palatino Linotype" w:eastAsia="Palatino Linotype" w:hAnsi="Palatino Linotype" w:cs="Palatino Linotype"/>
          <w:b/>
          <w:bCs/>
          <w:color w:val="000000"/>
          <w:sz w:val="22"/>
          <w:szCs w:val="22"/>
        </w:rPr>
      </w:pPr>
    </w:p>
    <w:p w:rsidR="006D4495" w:rsidRDefault="00067D63">
      <w:pPr>
        <w:pBdr>
          <w:top w:val="nil"/>
          <w:left w:val="nil"/>
          <w:bottom w:val="nil"/>
          <w:right w:val="nil"/>
          <w:between w:val="nil"/>
        </w:pBdr>
        <w:spacing w:line="360" w:lineRule="auto"/>
        <w:ind w:left="1440" w:right="4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a). </w:t>
      </w:r>
      <w:r>
        <w:rPr>
          <w:rFonts w:ascii="Palatino Linotype" w:eastAsia="Palatino Linotype" w:hAnsi="Palatino Linotype" w:cs="Palatino Linotype"/>
          <w:color w:val="000000"/>
          <w:sz w:val="22"/>
          <w:szCs w:val="22"/>
        </w:rPr>
        <w:t>Gestiones o bitácoras realizadas para atender la pavimentación de la calle</w:t>
      </w:r>
    </w:p>
    <w:p w:rsidR="006D4495" w:rsidRDefault="00067D63">
      <w:pPr>
        <w:pBdr>
          <w:top w:val="nil"/>
          <w:left w:val="nil"/>
          <w:bottom w:val="nil"/>
          <w:right w:val="nil"/>
          <w:between w:val="nil"/>
        </w:pBdr>
        <w:spacing w:line="360" w:lineRule="auto"/>
        <w:ind w:left="1440" w:right="4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b). </w:t>
      </w:r>
      <w:r>
        <w:rPr>
          <w:rFonts w:ascii="Palatino Linotype" w:eastAsia="Palatino Linotype" w:hAnsi="Palatino Linotype" w:cs="Palatino Linotype"/>
          <w:color w:val="000000"/>
          <w:sz w:val="22"/>
          <w:szCs w:val="22"/>
        </w:rPr>
        <w:t>Actas de las visitas y recorridos que tuvo la presidenta municipal sobre esta avenida</w:t>
      </w:r>
      <w:r>
        <w:rPr>
          <w:rFonts w:ascii="Palatino Linotype" w:eastAsia="Palatino Linotype" w:hAnsi="Palatino Linotype" w:cs="Palatino Linotype"/>
          <w:b/>
          <w:bCs/>
          <w:color w:val="000000"/>
          <w:sz w:val="22"/>
          <w:szCs w:val="22"/>
        </w:rPr>
        <w:t xml:space="preserve"> </w:t>
      </w:r>
    </w:p>
    <w:p w:rsidR="006D4495" w:rsidRDefault="00067D63">
      <w:pPr>
        <w:pBdr>
          <w:top w:val="nil"/>
          <w:left w:val="nil"/>
          <w:bottom w:val="nil"/>
          <w:right w:val="nil"/>
          <w:between w:val="nil"/>
        </w:pBdr>
        <w:spacing w:line="360" w:lineRule="auto"/>
        <w:ind w:left="1440" w:right="4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c). </w:t>
      </w:r>
      <w:r>
        <w:rPr>
          <w:rFonts w:ascii="Palatino Linotype" w:eastAsia="Palatino Linotype" w:hAnsi="Palatino Linotype" w:cs="Palatino Linotype"/>
          <w:color w:val="000000"/>
          <w:sz w:val="22"/>
          <w:szCs w:val="22"/>
        </w:rPr>
        <w:t>Avances al compromiso de la instalación de drenaje y pavimentación en sus visitas en lo que va del año a San Pedro Xalostoc,</w:t>
      </w:r>
    </w:p>
    <w:p w:rsidR="006D4495" w:rsidRDefault="00067D63">
      <w:pPr>
        <w:pBdr>
          <w:top w:val="nil"/>
          <w:left w:val="nil"/>
          <w:bottom w:val="nil"/>
          <w:right w:val="nil"/>
          <w:between w:val="nil"/>
        </w:pBdr>
        <w:spacing w:line="360" w:lineRule="auto"/>
        <w:ind w:left="1440" w:right="4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d). </w:t>
      </w:r>
      <w:r>
        <w:rPr>
          <w:rFonts w:ascii="Palatino Linotype" w:eastAsia="Palatino Linotype" w:hAnsi="Palatino Linotype" w:cs="Palatino Linotype"/>
          <w:color w:val="000000"/>
          <w:sz w:val="22"/>
          <w:szCs w:val="22"/>
        </w:rPr>
        <w:t>Copia de las gestiones u oficios en la materia emitidos a Pemex, a las áreas del gobierno estatal o a las Direcciones Municipales que correspondan</w:t>
      </w:r>
    </w:p>
    <w:p w:rsidR="006D4495" w:rsidRDefault="006D449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D4495" w:rsidRDefault="00067D6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respuesta,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brindó respuesta en términos del numeral 3 de esta resolución. </w:t>
      </w:r>
    </w:p>
    <w:p w:rsidR="006D4495" w:rsidRDefault="00067D63">
      <w:pPr>
        <w:pBdr>
          <w:top w:val="nil"/>
          <w:left w:val="nil"/>
          <w:bottom w:val="nil"/>
          <w:right w:val="nil"/>
          <w:between w:val="nil"/>
        </w:pBdr>
        <w:tabs>
          <w:tab w:val="left" w:pos="2355"/>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b/>
      </w:r>
    </w:p>
    <w:p w:rsidR="006D4495" w:rsidRDefault="00067D63">
      <w:pPr>
        <w:numPr>
          <w:ilvl w:val="0"/>
          <w:numId w:val="1"/>
        </w:numPr>
        <w:pBdr>
          <w:top w:val="nil"/>
          <w:left w:val="nil"/>
          <w:bottom w:val="nil"/>
          <w:right w:val="nil"/>
          <w:between w:val="nil"/>
        </w:pBdr>
        <w:ind w:left="0" w:firstLine="0"/>
        <w:jc w:val="both"/>
        <w:rPr>
          <w:rFonts w:ascii="Palatino Linotype" w:eastAsia="Palatino Linotype" w:hAnsi="Palatino Linotype" w:cs="Palatino Linotype"/>
          <w:color w:val="FF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se inconformó por la entrega de información incompleta, en los siguientes términos: </w:t>
      </w:r>
      <w:r>
        <w:rPr>
          <w:rFonts w:ascii="Palatino Linotype" w:eastAsia="Palatino Linotype" w:hAnsi="Palatino Linotype" w:cs="Palatino Linotype"/>
          <w:i/>
          <w:iCs/>
          <w:color w:val="000000"/>
        </w:rPr>
        <w:t xml:space="preserve">“De acuerdo a la respuesta de la autoridad responsable, únicamente me remite copia de dos oficios de petición al respecto del periodo 1 de enero de 2025 al 21 de agosto del actual; sin embargo mi solicitud fue: " Solicitola relaciones gestiones, oficios o solicitudes de drenaje y pavimentación de la Avenida Gasoducto en San Pedro Xalostoc, desde el año 2018 a julio de 2025, en la que connste el nombre del solicitante, fecha y la respuesta emitida por la autoridad municipal; así como se adjunte copia de los oficios ingresados y de la respuesta a cada uno de ellos; en caso que no existan respuestas justificar el porqué no se solicitpo. Adempas se solicita informar sobre los proyectos contemplados de drenaje y pavimentación existentes del 1 de enero de 2025 al 25 de julio, o las gestiones o bitacoras </w:t>
      </w:r>
      <w:r>
        <w:rPr>
          <w:rFonts w:ascii="Palatino Linotype" w:eastAsia="Palatino Linotype" w:hAnsi="Palatino Linotype" w:cs="Palatino Linotype"/>
          <w:i/>
          <w:iCs/>
          <w:color w:val="000000"/>
        </w:rPr>
        <w:lastRenderedPageBreak/>
        <w:t>realizadas para atender la pavimentación de la calle, las actas de las visitas y recorridos que tuvo la presidenta municipal sobre estaavena y los avances al compromiso de la instalacion de drenaje y pavimentacion en sus visitas en l que va del año a san pedro xalostoc, adjuntar copia de las gestiones u oficios en la materia emitidos a Pemex, a las areas del gobierno estatal o a las direcciones municipales que correspondan.", por lo que no me responde del periodo 1 de enero de 2018 al 31 de diciembre de 2024; pues aunque son administraciones distintas, obra un archivo municipal y como ente del Estado debe obrar en los resguardos. Asimismo, no informa sobre esta parte de mi solicitud: "oyectos contemplados de drenaje y pavimentación existentes del 1 de enero de 2025 al 25 de julio, o las gestiones o bitacoras realizadas para atender la pavimentación de la calle, las actas de las visitas y recorridos que tuvo la presidenta municipal sobre estaavena y los avances al compromiso de la instalacion de drenaje y pavimentacion en sus visitas en l que va del año a san pedro xalostoc"; cabe señalar que en el mes de enero la presidenta hizo una caminata sobre av. Gasoducto en San Pedro Xalostoc y se comprometió a la revamientación de la calle, por lo que a mi solicitud original se requiere saber si existe o no proyecto de repavimentacion o drenaje y la minuta sobre dicho recorrido. (Sic)</w:t>
      </w:r>
    </w:p>
    <w:p w:rsidR="006D4495" w:rsidRDefault="006D4495">
      <w:pPr>
        <w:pBdr>
          <w:top w:val="nil"/>
          <w:left w:val="nil"/>
          <w:bottom w:val="nil"/>
          <w:right w:val="nil"/>
          <w:between w:val="nil"/>
        </w:pBdr>
        <w:spacing w:line="360" w:lineRule="auto"/>
        <w:jc w:val="both"/>
        <w:rPr>
          <w:rFonts w:ascii="Palatino Linotype" w:eastAsia="Palatino Linotype" w:hAnsi="Palatino Linotype" w:cs="Palatino Linotype"/>
          <w:color w:val="FF0000"/>
          <w:sz w:val="22"/>
          <w:szCs w:val="22"/>
        </w:rPr>
      </w:pPr>
    </w:p>
    <w:p w:rsidR="006D4495" w:rsidRDefault="00067D63">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 xml:space="preserve">En dichas condiciones, la </w:t>
      </w:r>
      <w:r>
        <w:rPr>
          <w:rFonts w:ascii="Palatino Linotype" w:eastAsia="Palatino Linotype" w:hAnsi="Palatino Linotype" w:cs="Palatino Linotype"/>
          <w:i/>
          <w:iCs/>
          <w:color w:val="000000"/>
        </w:rPr>
        <w:t>Litis</w:t>
      </w:r>
      <w:r>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Pr>
          <w:rFonts w:ascii="Palatino Linotype" w:eastAsia="Palatino Linotype" w:hAnsi="Palatino Linotype" w:cs="Palatino Linotype"/>
          <w:b/>
          <w:bCs/>
          <w:color w:val="000000"/>
        </w:rPr>
        <w:t xml:space="preserve">fracción V </w:t>
      </w:r>
      <w:r>
        <w:rPr>
          <w:rFonts w:ascii="Palatino Linotype" w:eastAsia="Palatino Linotype" w:hAnsi="Palatino Linotype" w:cs="Palatino Linotype"/>
          <w:color w:val="000000"/>
        </w:rPr>
        <w:t>de la Ley</w:t>
      </w:r>
      <w:r>
        <w:rPr>
          <w:rFonts w:ascii="Palatino Linotype" w:eastAsia="Palatino Linotype" w:hAnsi="Palatino Linotype" w:cs="Palatino Linotype"/>
          <w:b/>
          <w:bCs/>
          <w:color w:val="000000"/>
        </w:rPr>
        <w:t xml:space="preserve"> de Transparencia y Acceso a la Información Pública del Estado de </w:t>
      </w:r>
      <w:r>
        <w:rPr>
          <w:rFonts w:ascii="Palatino Linotype" w:eastAsia="Palatino Linotype" w:hAnsi="Palatino Linotype" w:cs="Palatino Linotype"/>
          <w:color w:val="000000"/>
        </w:rPr>
        <w:t>México</w:t>
      </w:r>
      <w:r>
        <w:rPr>
          <w:rFonts w:ascii="Palatino Linotype" w:eastAsia="Palatino Linotype" w:hAnsi="Palatino Linotype" w:cs="Palatino Linotype"/>
          <w:b/>
          <w:bCs/>
          <w:color w:val="000000"/>
        </w:rPr>
        <w:t xml:space="preserve"> y Municipios</w:t>
      </w:r>
      <w:r>
        <w:rPr>
          <w:rFonts w:ascii="Palatino Linotype" w:eastAsia="Palatino Linotype" w:hAnsi="Palatino Linotype" w:cs="Palatino Linotype"/>
          <w:color w:val="000000"/>
        </w:rPr>
        <w:t xml:space="preserve">; fracción que determina la hipótesis jurídica relativa a </w:t>
      </w:r>
      <w:r>
        <w:rPr>
          <w:rFonts w:ascii="Palatino Linotype" w:eastAsia="Palatino Linotype" w:hAnsi="Palatino Linotype" w:cs="Palatino Linotype"/>
          <w:b/>
          <w:bCs/>
          <w:color w:val="000000"/>
        </w:rPr>
        <w:t xml:space="preserve">la entrega de información incompleta </w:t>
      </w:r>
      <w:r>
        <w:rPr>
          <w:rFonts w:ascii="Palatino Linotype" w:eastAsia="Palatino Linotype" w:hAnsi="Palatino Linotype" w:cs="Palatino Linotype"/>
          <w:color w:val="000000"/>
        </w:rPr>
        <w:t xml:space="preserve">por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contexto del cual se dolió </w:t>
      </w:r>
      <w:r>
        <w:rPr>
          <w:rFonts w:ascii="Palatino Linotype" w:eastAsia="Palatino Linotype" w:hAnsi="Palatino Linotype" w:cs="Palatino Linotype"/>
          <w:b/>
          <w:bCs/>
          <w:color w:val="000000"/>
        </w:rPr>
        <w:t xml:space="preserve">EL RECURRENTE </w:t>
      </w:r>
      <w:r>
        <w:rPr>
          <w:rFonts w:ascii="Palatino Linotype" w:eastAsia="Palatino Linotype" w:hAnsi="Palatino Linotype" w:cs="Palatino Linotype"/>
          <w:color w:val="000000"/>
        </w:rPr>
        <w:t>al momento de interponer su inconformidad.</w:t>
      </w:r>
    </w:p>
    <w:p w:rsidR="006D4495" w:rsidRDefault="006D4495">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sz w:val="22"/>
          <w:szCs w:val="22"/>
        </w:rPr>
      </w:pPr>
    </w:p>
    <w:p w:rsidR="006D4495" w:rsidRDefault="00067D63">
      <w:pPr>
        <w:pStyle w:val="Ttulo1"/>
        <w:spacing w:before="0" w:line="360" w:lineRule="auto"/>
        <w:rPr>
          <w:rFonts w:ascii="Palatino Linotype" w:eastAsia="Palatino Linotype" w:hAnsi="Palatino Linotype" w:cs="Palatino Linotype"/>
          <w:b/>
          <w:bCs/>
          <w:color w:val="000000"/>
          <w:sz w:val="24"/>
          <w:szCs w:val="24"/>
        </w:rPr>
      </w:pPr>
      <w:bookmarkStart w:id="7" w:name="_heading=h.exp1f2h0sjn9" w:colFirst="0" w:colLast="0"/>
      <w:bookmarkEnd w:id="7"/>
      <w:r>
        <w:rPr>
          <w:rFonts w:ascii="Palatino Linotype" w:eastAsia="Palatino Linotype" w:hAnsi="Palatino Linotype" w:cs="Palatino Linotype"/>
          <w:b/>
          <w:bCs/>
          <w:color w:val="000000"/>
          <w:sz w:val="24"/>
          <w:szCs w:val="24"/>
        </w:rPr>
        <w:t>CUARTO. Del estudio y resolución del recurso de revisión.</w:t>
      </w:r>
    </w:p>
    <w:p w:rsidR="006D4495" w:rsidRDefault="00067D63">
      <w:pPr>
        <w:keepNext/>
        <w:keepLines/>
        <w:numPr>
          <w:ilvl w:val="0"/>
          <w:numId w:val="3"/>
        </w:numPr>
        <w:spacing w:after="240" w:line="360" w:lineRule="auto"/>
        <w:ind w:left="786"/>
        <w:rPr>
          <w:rFonts w:ascii="Palatino Linotype" w:eastAsia="Palatino Linotype" w:hAnsi="Palatino Linotype" w:cs="Palatino Linotype"/>
          <w:b/>
          <w:bCs/>
        </w:rPr>
      </w:pPr>
      <w:r>
        <w:rPr>
          <w:rFonts w:ascii="Palatino Linotype" w:eastAsia="Palatino Linotype" w:hAnsi="Palatino Linotype" w:cs="Palatino Linotype"/>
          <w:b/>
          <w:bCs/>
        </w:rPr>
        <w:t>Del derecho de acceso a la información.</w:t>
      </w:r>
    </w:p>
    <w:p w:rsidR="006D4495" w:rsidRDefault="00067D6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w:t>
      </w:r>
      <w:r>
        <w:rPr>
          <w:rFonts w:ascii="Palatino Linotype" w:eastAsia="Palatino Linotype" w:hAnsi="Palatino Linotype" w:cs="Palatino Linotype"/>
          <w:color w:val="000000"/>
        </w:rPr>
        <w:lastRenderedPageBreak/>
        <w:t xml:space="preserve">sexto de la Constitución Política de los Estados Unidos Mexicanos y en el artículo quinto de la Particular del Estado de México. </w:t>
      </w:r>
    </w:p>
    <w:p w:rsidR="006D4495" w:rsidRDefault="006D4495">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Definiendo el Derecho de Acceso a la Información Pública como: </w:t>
      </w:r>
      <w:r>
        <w:rPr>
          <w:rFonts w:ascii="Palatino Linotype" w:eastAsia="Palatino Linotype" w:hAnsi="Palatino Linotype" w:cs="Palatino Linotype"/>
          <w:i/>
          <w:iCs/>
          <w:color w:val="000000"/>
        </w:rPr>
        <w:t>La igualdad de oportunidades para recibir, buscar e impartir información</w:t>
      </w:r>
      <w:r>
        <w:rPr>
          <w:rFonts w:ascii="Century Gothic" w:eastAsia="Century Gothic" w:hAnsi="Century Gothic" w:cs="Century Gothic"/>
          <w:i/>
          <w:iCs/>
          <w:color w:val="000000"/>
          <w:vertAlign w:val="superscript"/>
        </w:rPr>
        <w:footnoteReference w:id="1"/>
      </w:r>
      <w:r>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Century Gothic" w:eastAsia="Century Gothic" w:hAnsi="Century Gothic" w:cs="Century Gothic"/>
          <w:i/>
          <w:iCs/>
          <w:color w:val="000000"/>
          <w:vertAlign w:val="superscript"/>
        </w:rPr>
        <w:footnoteReference w:id="2"/>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Pr>
          <w:rFonts w:ascii="Century Gothic" w:eastAsia="Century Gothic" w:hAnsi="Century Gothic" w:cs="Century Gothic"/>
          <w:i/>
          <w:iCs/>
          <w:color w:val="000000"/>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iCs/>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iCs/>
          <w:color w:val="000000"/>
        </w:rPr>
        <w:t xml:space="preserve"> la responsabilidad de los funcionarios sobre su gestión pública,</w:t>
      </w:r>
      <w:r>
        <w:rPr>
          <w:rFonts w:ascii="Century Gothic" w:eastAsia="Century Gothic" w:hAnsi="Century Gothic" w:cs="Century Gothic"/>
          <w:i/>
          <w:iCs/>
          <w:color w:val="000000"/>
          <w:vertAlign w:val="superscript"/>
        </w:rPr>
        <w:footnoteReference w:id="4"/>
      </w:r>
      <w:r>
        <w:rPr>
          <w:rFonts w:ascii="Palatino Linotype" w:eastAsia="Palatino Linotype" w:hAnsi="Palatino Linotype" w:cs="Palatino Linotype"/>
          <w:color w:val="000000"/>
        </w:rPr>
        <w:t>que permite</w:t>
      </w:r>
      <w:r>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6D4495" w:rsidRDefault="006D4495">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6D4495" w:rsidRDefault="00067D63">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6D4495" w:rsidRDefault="006D4495">
      <w:pPr>
        <w:spacing w:line="360" w:lineRule="auto"/>
        <w:ind w:right="49"/>
        <w:jc w:val="both"/>
        <w:rPr>
          <w:rFonts w:ascii="Palatino Linotype" w:eastAsia="Palatino Linotype" w:hAnsi="Palatino Linotype" w:cs="Palatino Linotype"/>
          <w:sz w:val="22"/>
          <w:szCs w:val="22"/>
        </w:rPr>
      </w:pPr>
    </w:p>
    <w:p w:rsidR="006D4495" w:rsidRDefault="00067D63">
      <w:pPr>
        <w:tabs>
          <w:tab w:val="left" w:pos="7655"/>
        </w:tabs>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w:t>
      </w:r>
      <w:r>
        <w:rPr>
          <w:rFonts w:ascii="Palatino Linotype" w:eastAsia="Palatino Linotype" w:hAnsi="Palatino Linotype" w:cs="Palatino Linotype"/>
          <w:i/>
          <w:iCs/>
          <w:sz w:val="22"/>
          <w:szCs w:val="22"/>
        </w:rPr>
        <w:t xml:space="preserve"> </w:t>
      </w:r>
    </w:p>
    <w:p w:rsidR="006D4495" w:rsidRDefault="00067D63">
      <w:pPr>
        <w:tabs>
          <w:tab w:val="left" w:pos="7655"/>
        </w:tabs>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w:t>
      </w:r>
    </w:p>
    <w:p w:rsidR="006D4495" w:rsidRDefault="00067D63">
      <w:pPr>
        <w:tabs>
          <w:tab w:val="left" w:pos="7655"/>
        </w:tabs>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iCs/>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6D4495" w:rsidRDefault="00067D63">
      <w:pPr>
        <w:tabs>
          <w:tab w:val="left" w:pos="7655"/>
        </w:tabs>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sz w:val="22"/>
          <w:szCs w:val="22"/>
        </w:rPr>
        <w:t>”.</w:t>
      </w:r>
    </w:p>
    <w:p w:rsidR="006D4495" w:rsidRDefault="006D4495">
      <w:pPr>
        <w:spacing w:line="360" w:lineRule="auto"/>
        <w:jc w:val="both"/>
        <w:rPr>
          <w:rFonts w:ascii="Palatino Linotype" w:eastAsia="Palatino Linotype" w:hAnsi="Palatino Linotype" w:cs="Palatino Linotype"/>
        </w:rPr>
      </w:pPr>
    </w:p>
    <w:p w:rsidR="006D4495" w:rsidRDefault="00067D63">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6D4495" w:rsidRDefault="006D4495">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6D4495" w:rsidRDefault="00067D63">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6D4495" w:rsidRDefault="006D4495">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6D4495" w:rsidRDefault="00067D63">
      <w:pPr>
        <w:spacing w:after="240"/>
        <w:ind w:left="567" w:right="56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Constitución Política de los Estados Unidos Mexicanos</w:t>
      </w:r>
    </w:p>
    <w:p w:rsidR="006D4495" w:rsidRDefault="00067D63">
      <w:pPr>
        <w:spacing w:before="240" w:after="240"/>
        <w:ind w:left="567" w:right="56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“Artículo 6.</w:t>
      </w:r>
    </w:p>
    <w:p w:rsidR="006D4495" w:rsidRDefault="00067D63">
      <w:pPr>
        <w:spacing w:before="240" w:after="240"/>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6D4495" w:rsidRDefault="00067D63">
      <w:pPr>
        <w:spacing w:before="240" w:after="240"/>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efectos de lo dispuesto en el presente artículo se observará lo siguiente:</w:t>
      </w:r>
    </w:p>
    <w:p w:rsidR="006D4495" w:rsidRDefault="00067D63">
      <w:pPr>
        <w:spacing w:before="240" w:after="240"/>
        <w:ind w:left="567" w:right="56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Para el ejercicio del derecho de acceso a la información</w:t>
      </w:r>
      <w:r>
        <w:rPr>
          <w:rFonts w:ascii="Palatino Linotype" w:eastAsia="Palatino Linotype" w:hAnsi="Palatino Linotype" w:cs="Palatino Linotype"/>
          <w:i/>
          <w:iCs/>
          <w:sz w:val="22"/>
          <w:szCs w:val="22"/>
        </w:rPr>
        <w:t xml:space="preserve">, la Federación y </w:t>
      </w:r>
      <w:r>
        <w:rPr>
          <w:rFonts w:ascii="Palatino Linotype" w:eastAsia="Palatino Linotype" w:hAnsi="Palatino Linotype" w:cs="Palatino Linotype"/>
          <w:b/>
          <w:bCs/>
          <w:i/>
          <w:iCs/>
          <w:sz w:val="22"/>
          <w:szCs w:val="22"/>
        </w:rPr>
        <w:t>las entidades federativas, en el ámbito de sus respectivas competencias, se regirán por los siguientes principios y bases:</w:t>
      </w:r>
    </w:p>
    <w:p w:rsidR="006D4495" w:rsidRDefault="00067D63">
      <w:pPr>
        <w:spacing w:before="240" w:after="240"/>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I. Toda la información en posesión de cualquier</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autoridad</w:t>
      </w:r>
      <w:r>
        <w:rPr>
          <w:rFonts w:ascii="Palatino Linotype" w:eastAsia="Palatino Linotype" w:hAnsi="Palatino Linotype" w:cs="Palatino Linotype"/>
          <w:i/>
          <w:iCs/>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bCs/>
          <w:i/>
          <w:iCs/>
          <w:sz w:val="22"/>
          <w:szCs w:val="22"/>
        </w:rPr>
        <w:t>municipal</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es pública</w:t>
      </w:r>
      <w:r>
        <w:rPr>
          <w:rFonts w:ascii="Palatino Linotype" w:eastAsia="Palatino Linotype" w:hAnsi="Palatino Linotype" w:cs="Palatino Linotype"/>
          <w:i/>
          <w:iCs/>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bCs/>
          <w:i/>
          <w:iCs/>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rsidR="006D4495" w:rsidRDefault="006D4495">
      <w:pPr>
        <w:tabs>
          <w:tab w:val="left" w:pos="567"/>
        </w:tabs>
        <w:spacing w:before="240"/>
        <w:ind w:left="567" w:right="567"/>
        <w:jc w:val="both"/>
        <w:rPr>
          <w:rFonts w:ascii="Palatino Linotype" w:eastAsia="Palatino Linotype" w:hAnsi="Palatino Linotype" w:cs="Palatino Linotype"/>
          <w:b/>
          <w:bCs/>
          <w:i/>
          <w:iCs/>
          <w:sz w:val="22"/>
          <w:szCs w:val="22"/>
        </w:rPr>
      </w:pPr>
    </w:p>
    <w:p w:rsidR="006D4495" w:rsidRDefault="00067D63">
      <w:pPr>
        <w:spacing w:after="240"/>
        <w:ind w:left="567" w:right="56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Constitución Política del Estado Libre y Soberano de México</w:t>
      </w:r>
    </w:p>
    <w:p w:rsidR="006D4495" w:rsidRDefault="00067D63">
      <w:pPr>
        <w:spacing w:before="240" w:after="240"/>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5</w:t>
      </w:r>
      <w:r>
        <w:rPr>
          <w:rFonts w:ascii="Palatino Linotype" w:eastAsia="Palatino Linotype" w:hAnsi="Palatino Linotype" w:cs="Palatino Linotype"/>
          <w:i/>
          <w:iCs/>
          <w:sz w:val="22"/>
          <w:szCs w:val="22"/>
        </w:rPr>
        <w:t xml:space="preserve">.- </w:t>
      </w:r>
    </w:p>
    <w:p w:rsidR="006D4495" w:rsidRDefault="00067D63">
      <w:pPr>
        <w:spacing w:before="240" w:after="240"/>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6D4495" w:rsidRDefault="00067D63">
      <w:pPr>
        <w:spacing w:before="240" w:after="240"/>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iCs/>
          <w:sz w:val="22"/>
          <w:szCs w:val="22"/>
        </w:rPr>
        <w:t>.</w:t>
      </w:r>
    </w:p>
    <w:p w:rsidR="006D4495" w:rsidRDefault="00067D63">
      <w:pPr>
        <w:spacing w:before="240" w:after="240"/>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D4495" w:rsidRDefault="00067D63">
      <w:pPr>
        <w:spacing w:before="240" w:after="240"/>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Este derecho se regirá por los principios y bases siguientes</w:t>
      </w:r>
      <w:r>
        <w:rPr>
          <w:rFonts w:ascii="Palatino Linotype" w:eastAsia="Palatino Linotype" w:hAnsi="Palatino Linotype" w:cs="Palatino Linotype"/>
          <w:i/>
          <w:iCs/>
          <w:sz w:val="22"/>
          <w:szCs w:val="22"/>
        </w:rPr>
        <w:t>:</w:t>
      </w:r>
    </w:p>
    <w:p w:rsidR="006D4495" w:rsidRDefault="00067D63">
      <w:pPr>
        <w:spacing w:before="240" w:after="240"/>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 Toda la información en posesión de cualquier autoridad, entidad, órgano y organismos de los</w:t>
      </w:r>
      <w:r>
        <w:rPr>
          <w:rFonts w:ascii="Palatino Linotype" w:eastAsia="Palatino Linotype" w:hAnsi="Palatino Linotype" w:cs="Palatino Linotype"/>
          <w:i/>
          <w:iCs/>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bCs/>
          <w:i/>
          <w:iCs/>
          <w:sz w:val="22"/>
          <w:szCs w:val="22"/>
        </w:rPr>
        <w:t>municipales</w:t>
      </w:r>
      <w:r>
        <w:rPr>
          <w:rFonts w:ascii="Palatino Linotype" w:eastAsia="Palatino Linotype" w:hAnsi="Palatino Linotype" w:cs="Palatino Linotype"/>
          <w:i/>
          <w:iCs/>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bCs/>
          <w:i/>
          <w:iCs/>
          <w:sz w:val="22"/>
          <w:szCs w:val="22"/>
        </w:rPr>
        <w:t>es pública</w:t>
      </w:r>
      <w:r>
        <w:rPr>
          <w:rFonts w:ascii="Palatino Linotype" w:eastAsia="Palatino Linotype" w:hAnsi="Palatino Linotype" w:cs="Palatino Linotype"/>
          <w:i/>
          <w:iCs/>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bCs/>
          <w:i/>
          <w:iCs/>
          <w:sz w:val="22"/>
          <w:szCs w:val="22"/>
        </w:rPr>
        <w:t>En la interpretación de este derecho deberá prevalecer el principio de máxima publicidad</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 xml:space="preserve">Los sujetos obligados deberán documentar todo acto que derive del </w:t>
      </w:r>
      <w:r>
        <w:rPr>
          <w:rFonts w:ascii="Palatino Linotype" w:eastAsia="Palatino Linotype" w:hAnsi="Palatino Linotype" w:cs="Palatino Linotype"/>
          <w:b/>
          <w:bCs/>
          <w:i/>
          <w:iCs/>
          <w:sz w:val="22"/>
          <w:szCs w:val="22"/>
        </w:rPr>
        <w:lastRenderedPageBreak/>
        <w:t>ejercicio de sus facultades, competencias o funciones</w:t>
      </w:r>
      <w:r>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rsidR="006D4495" w:rsidRDefault="00067D63">
      <w:pPr>
        <w:numPr>
          <w:ilvl w:val="0"/>
          <w:numId w:val="1"/>
        </w:numPr>
        <w:spacing w:before="240"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iCs/>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rsidR="006D4495" w:rsidRDefault="006D4495">
      <w:pPr>
        <w:spacing w:before="240" w:line="360" w:lineRule="auto"/>
        <w:ind w:right="49"/>
        <w:jc w:val="both"/>
        <w:rPr>
          <w:rFonts w:ascii="Palatino Linotype" w:eastAsia="Palatino Linotype" w:hAnsi="Palatino Linotype" w:cs="Palatino Linotype"/>
          <w:sz w:val="22"/>
          <w:szCs w:val="22"/>
        </w:rPr>
      </w:pPr>
    </w:p>
    <w:p w:rsidR="006D4495" w:rsidRDefault="00067D63">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se garantiza y respeta oportunamente, y según lo que dispone la Ley, las </w:t>
      </w:r>
      <w:r>
        <w:rPr>
          <w:rFonts w:ascii="Palatino Linotype" w:eastAsia="Palatino Linotype" w:hAnsi="Palatino Linotype" w:cs="Palatino Linotype"/>
          <w:i/>
          <w:iCs/>
        </w:rPr>
        <w:t>solicitudes de acceso a la información</w:t>
      </w:r>
      <w:r>
        <w:rPr>
          <w:rFonts w:ascii="Palatino Linotype" w:eastAsia="Palatino Linotype" w:hAnsi="Palatino Linotype" w:cs="Palatino Linotype"/>
        </w:rPr>
        <w:t>.</w:t>
      </w:r>
    </w:p>
    <w:p w:rsidR="006D4495" w:rsidRDefault="006D4495">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6D4495" w:rsidRDefault="00067D63">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entonces, se procede analizar, en primer lugar, si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6D4495" w:rsidRDefault="006D4495">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6D4495" w:rsidRDefault="00067D63">
      <w:pPr>
        <w:keepNext/>
        <w:keepLines/>
        <w:spacing w:after="240" w:line="360" w:lineRule="auto"/>
        <w:rPr>
          <w:rFonts w:ascii="Palatino Linotype" w:eastAsia="Palatino Linotype" w:hAnsi="Palatino Linotype" w:cs="Palatino Linotype"/>
          <w:b/>
          <w:bCs/>
        </w:rPr>
      </w:pPr>
      <w:r>
        <w:rPr>
          <w:rFonts w:ascii="Palatino Linotype" w:eastAsia="Palatino Linotype" w:hAnsi="Palatino Linotype" w:cs="Palatino Linotype"/>
          <w:b/>
          <w:bCs/>
        </w:rPr>
        <w:t>II. De la información solicitada y la respuesta del SUJETO OBLIGADO</w:t>
      </w:r>
    </w:p>
    <w:p w:rsidR="006D4495" w:rsidRDefault="00067D6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w:t>
      </w:r>
      <w:r>
        <w:rPr>
          <w:rFonts w:ascii="Palatino Linotype" w:eastAsia="Palatino Linotype" w:hAnsi="Palatino Linotype" w:cs="Palatino Linotype"/>
          <w:color w:val="000000"/>
        </w:rPr>
        <w:lastRenderedPageBreak/>
        <w:t>máxima publicidad, de acuerdo con lo establecido en el artículo 8 de la Ley de Transparencia y Acceso a la Información Pública del Estado de México y Municipios.</w:t>
      </w:r>
    </w:p>
    <w:p w:rsidR="006D4495" w:rsidRDefault="006D4495">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Para efectos de estudio es conveniente reiterar que el solicitante requirió:</w:t>
      </w:r>
    </w:p>
    <w:p w:rsidR="006D4495" w:rsidRDefault="006D4495">
      <w:pPr>
        <w:pBdr>
          <w:top w:val="nil"/>
          <w:left w:val="nil"/>
          <w:bottom w:val="nil"/>
          <w:right w:val="nil"/>
          <w:between w:val="nil"/>
        </w:pBdr>
        <w:spacing w:line="360" w:lineRule="auto"/>
        <w:ind w:left="1080" w:right="48"/>
        <w:jc w:val="both"/>
        <w:rPr>
          <w:rFonts w:ascii="Palatino Linotype" w:eastAsia="Palatino Linotype" w:hAnsi="Palatino Linotype" w:cs="Palatino Linotype"/>
          <w:color w:val="000000"/>
          <w:sz w:val="22"/>
          <w:szCs w:val="22"/>
        </w:rPr>
      </w:pPr>
    </w:p>
    <w:p w:rsidR="006D4495" w:rsidRDefault="00067D63">
      <w:pPr>
        <w:numPr>
          <w:ilvl w:val="0"/>
          <w:numId w:val="6"/>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Relaciones gestiones, oficios o solicitudes de drenaje y pavimentación de la Avenida Gasoducto en San Pedro Xalostoc, desde el año 2018 a julio de 2025 en donde se especifique:</w:t>
      </w:r>
    </w:p>
    <w:p w:rsidR="006D4495" w:rsidRDefault="00067D63">
      <w:pPr>
        <w:numPr>
          <w:ilvl w:val="1"/>
          <w:numId w:val="1"/>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Nombre del solicitante </w:t>
      </w:r>
    </w:p>
    <w:p w:rsidR="006D4495" w:rsidRDefault="00067D63">
      <w:pPr>
        <w:numPr>
          <w:ilvl w:val="1"/>
          <w:numId w:val="1"/>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Fecha</w:t>
      </w:r>
    </w:p>
    <w:p w:rsidR="006D4495" w:rsidRDefault="00067D63">
      <w:pPr>
        <w:numPr>
          <w:ilvl w:val="1"/>
          <w:numId w:val="1"/>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Respuesta emitida por la autoridad municipal</w:t>
      </w:r>
    </w:p>
    <w:p w:rsidR="006D4495" w:rsidRDefault="00067D63">
      <w:pPr>
        <w:numPr>
          <w:ilvl w:val="1"/>
          <w:numId w:val="1"/>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Copia de los oficios ingresados y de la respuesta a cada uno de ellos</w:t>
      </w:r>
    </w:p>
    <w:p w:rsidR="006D4495" w:rsidRDefault="00067D63">
      <w:pPr>
        <w:pBdr>
          <w:top w:val="nil"/>
          <w:left w:val="nil"/>
          <w:bottom w:val="nil"/>
          <w:right w:val="nil"/>
          <w:between w:val="nil"/>
        </w:pBdr>
        <w:spacing w:line="360" w:lineRule="auto"/>
        <w:ind w:left="1080"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caso de no existir respuesta, justificar por qué no se solicitó</w:t>
      </w:r>
    </w:p>
    <w:p w:rsidR="006D4495" w:rsidRDefault="00067D63">
      <w:pPr>
        <w:numPr>
          <w:ilvl w:val="0"/>
          <w:numId w:val="6"/>
        </w:numPr>
        <w:pBdr>
          <w:top w:val="nil"/>
          <w:left w:val="nil"/>
          <w:bottom w:val="nil"/>
          <w:right w:val="nil"/>
          <w:between w:val="nil"/>
        </w:pBdr>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Proyectos contemplados de drenaje y pavimentación existentes del 1 de enero al 25 de julio de 2025</w:t>
      </w:r>
    </w:p>
    <w:p w:rsidR="006D4495" w:rsidRDefault="006D4495">
      <w:pPr>
        <w:pBdr>
          <w:top w:val="nil"/>
          <w:left w:val="nil"/>
          <w:bottom w:val="nil"/>
          <w:right w:val="nil"/>
          <w:between w:val="nil"/>
        </w:pBdr>
        <w:ind w:left="720"/>
        <w:rPr>
          <w:rFonts w:ascii="Palatino Linotype" w:eastAsia="Palatino Linotype" w:hAnsi="Palatino Linotype" w:cs="Palatino Linotype"/>
          <w:b/>
          <w:bCs/>
          <w:color w:val="000000"/>
          <w:sz w:val="22"/>
          <w:szCs w:val="22"/>
        </w:rPr>
      </w:pPr>
    </w:p>
    <w:p w:rsidR="006D4495" w:rsidRDefault="00067D63">
      <w:pPr>
        <w:pBdr>
          <w:top w:val="nil"/>
          <w:left w:val="nil"/>
          <w:bottom w:val="nil"/>
          <w:right w:val="nil"/>
          <w:between w:val="nil"/>
        </w:pBdr>
        <w:spacing w:line="360" w:lineRule="auto"/>
        <w:ind w:left="1440" w:right="4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a). </w:t>
      </w:r>
      <w:r>
        <w:rPr>
          <w:rFonts w:ascii="Palatino Linotype" w:eastAsia="Palatino Linotype" w:hAnsi="Palatino Linotype" w:cs="Palatino Linotype"/>
          <w:color w:val="000000"/>
          <w:sz w:val="22"/>
          <w:szCs w:val="22"/>
        </w:rPr>
        <w:t>Gestiones o bitácoras realizadas para atender la pavimentación de la calle</w:t>
      </w:r>
    </w:p>
    <w:p w:rsidR="006D4495" w:rsidRDefault="00067D63">
      <w:pPr>
        <w:pBdr>
          <w:top w:val="nil"/>
          <w:left w:val="nil"/>
          <w:bottom w:val="nil"/>
          <w:right w:val="nil"/>
          <w:between w:val="nil"/>
        </w:pBdr>
        <w:spacing w:line="360" w:lineRule="auto"/>
        <w:ind w:left="1440" w:right="4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b). </w:t>
      </w:r>
      <w:r>
        <w:rPr>
          <w:rFonts w:ascii="Palatino Linotype" w:eastAsia="Palatino Linotype" w:hAnsi="Palatino Linotype" w:cs="Palatino Linotype"/>
          <w:color w:val="000000"/>
          <w:sz w:val="22"/>
          <w:szCs w:val="22"/>
        </w:rPr>
        <w:t>Actas de las visitas y recorridos que tuvo la presidenta municipal sobre esta avenida</w:t>
      </w:r>
      <w:r>
        <w:rPr>
          <w:rFonts w:ascii="Palatino Linotype" w:eastAsia="Palatino Linotype" w:hAnsi="Palatino Linotype" w:cs="Palatino Linotype"/>
          <w:b/>
          <w:bCs/>
          <w:color w:val="000000"/>
          <w:sz w:val="22"/>
          <w:szCs w:val="22"/>
        </w:rPr>
        <w:t xml:space="preserve"> </w:t>
      </w:r>
    </w:p>
    <w:p w:rsidR="006D4495" w:rsidRDefault="00067D63">
      <w:pPr>
        <w:pBdr>
          <w:top w:val="nil"/>
          <w:left w:val="nil"/>
          <w:bottom w:val="nil"/>
          <w:right w:val="nil"/>
          <w:between w:val="nil"/>
        </w:pBdr>
        <w:spacing w:line="360" w:lineRule="auto"/>
        <w:ind w:left="1440" w:right="4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c). </w:t>
      </w:r>
      <w:r>
        <w:rPr>
          <w:rFonts w:ascii="Palatino Linotype" w:eastAsia="Palatino Linotype" w:hAnsi="Palatino Linotype" w:cs="Palatino Linotype"/>
          <w:color w:val="000000"/>
          <w:sz w:val="22"/>
          <w:szCs w:val="22"/>
        </w:rPr>
        <w:t>Avances al compromiso de la instalación de drenaje y pavimentación en sus visitas en lo que va del año a San Pedro Xalostoc,</w:t>
      </w:r>
    </w:p>
    <w:p w:rsidR="006D4495" w:rsidRDefault="00067D63">
      <w:pPr>
        <w:pBdr>
          <w:top w:val="nil"/>
          <w:left w:val="nil"/>
          <w:bottom w:val="nil"/>
          <w:right w:val="nil"/>
          <w:between w:val="nil"/>
        </w:pBdr>
        <w:spacing w:line="360" w:lineRule="auto"/>
        <w:ind w:left="1440" w:right="4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d). </w:t>
      </w:r>
      <w:r>
        <w:rPr>
          <w:rFonts w:ascii="Palatino Linotype" w:eastAsia="Palatino Linotype" w:hAnsi="Palatino Linotype" w:cs="Palatino Linotype"/>
          <w:color w:val="000000"/>
          <w:sz w:val="22"/>
          <w:szCs w:val="22"/>
        </w:rPr>
        <w:t>Copia de las gestiones u oficios en la materia emitidos a Pemex, a las áreas del Gobierno Estatal o a las Direcciones Municipales que correspondan</w:t>
      </w:r>
    </w:p>
    <w:p w:rsidR="006D4495" w:rsidRDefault="006D4495">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a través de los servidores públicos habilitados,</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remitió dos oficios suscritos por la Presidenta del Consejo de Participación Ciudadana del Pueblo de San Pedro Xalostoc, en versión pública con sus respectivas </w:t>
      </w:r>
      <w:r>
        <w:rPr>
          <w:rFonts w:ascii="Palatino Linotype" w:eastAsia="Palatino Linotype" w:hAnsi="Palatino Linotype" w:cs="Palatino Linotype"/>
          <w:color w:val="000000"/>
        </w:rPr>
        <w:lastRenderedPageBreak/>
        <w:t>respuestas, por medio de los cuales le requieren al Ayuntamiento el apoyo para la repavimentación de la calle de referencia; así como la limpieza de drenaje, cabe precisar que dichas documentales corresponden al ejercicio fiscal 2025; así mismo, informa a través del Director de Obras Públicas mediante el cual informa que requirió al Secretario del Ayuntamiento la búsqueda de las documentales que brinden respuesta a la solicitud de información de la temporalidad faltante, es decir de los ejercicios fiscales 2018 al 2024</w:t>
      </w:r>
    </w:p>
    <w:p w:rsidR="006D4495" w:rsidRDefault="006D4495">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6D4495" w:rsidRDefault="006D4495">
      <w:pPr>
        <w:pBdr>
          <w:top w:val="nil"/>
          <w:left w:val="nil"/>
          <w:bottom w:val="nil"/>
          <w:right w:val="nil"/>
          <w:between w:val="nil"/>
        </w:pBdr>
        <w:ind w:left="720"/>
        <w:rPr>
          <w:rFonts w:ascii="Palatino Linotype" w:eastAsia="Palatino Linotype" w:hAnsi="Palatino Linotype" w:cs="Palatino Linotype"/>
          <w:color w:val="000000"/>
        </w:rPr>
      </w:pPr>
    </w:p>
    <w:p w:rsidR="006D4495" w:rsidRDefault="00067D63">
      <w:pPr>
        <w:numPr>
          <w:ilvl w:val="0"/>
          <w:numId w:val="1"/>
        </w:numPr>
        <w:pBdr>
          <w:top w:val="nil"/>
          <w:left w:val="nil"/>
          <w:bottom w:val="nil"/>
          <w:right w:val="nil"/>
          <w:between w:val="nil"/>
        </w:pBdr>
        <w:tabs>
          <w:tab w:val="left" w:pos="0"/>
          <w:tab w:val="left" w:pos="567"/>
        </w:tabs>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se procede al análisis del requerimiento planteado por la persona solicitante y la respuesta proporcionada por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a efecto de determinar si el derecho de acceso se satisfizo con las mismas, o en su defecto, señalar los documentos que en el ejercicio de sus atribuciones pudo haber generado, y que, de manera enunciativa más no limitativa, pudieran colmar dicho derecho. </w:t>
      </w:r>
    </w:p>
    <w:p w:rsidR="006D4495" w:rsidRDefault="006D4495">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sentido se inserta el siguiente cuadro de análisis:</w:t>
      </w:r>
    </w:p>
    <w:p w:rsidR="006D4495" w:rsidRDefault="006D4495">
      <w:pPr>
        <w:pBdr>
          <w:top w:val="nil"/>
          <w:left w:val="nil"/>
          <w:bottom w:val="nil"/>
          <w:right w:val="nil"/>
          <w:between w:val="nil"/>
        </w:pBdr>
        <w:ind w:left="720"/>
        <w:rPr>
          <w:rFonts w:ascii="Palatino Linotype" w:eastAsia="Palatino Linotype" w:hAnsi="Palatino Linotype" w:cs="Palatino Linotype"/>
          <w:color w:val="000000"/>
        </w:rPr>
      </w:pPr>
    </w:p>
    <w:tbl>
      <w:tblPr>
        <w:tblStyle w:val="a5"/>
        <w:tblpPr w:leftFromText="141" w:rightFromText="141" w:vertAnchor="text" w:tblpX="137" w:tblpY="1"/>
        <w:tblW w:w="86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692"/>
        <w:gridCol w:w="1559"/>
        <w:gridCol w:w="2133"/>
      </w:tblGrid>
      <w:tr w:rsidR="006D4495">
        <w:tc>
          <w:tcPr>
            <w:tcW w:w="2263" w:type="dxa"/>
            <w:shd w:val="clear" w:color="auto" w:fill="D9D9D9"/>
          </w:tcPr>
          <w:p w:rsidR="006D4495" w:rsidRDefault="00067D63">
            <w:pPr>
              <w:pBdr>
                <w:top w:val="nil"/>
                <w:left w:val="nil"/>
                <w:bottom w:val="nil"/>
                <w:right w:val="nil"/>
                <w:between w:val="nil"/>
              </w:pBdr>
              <w:ind w:right="-4"/>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Información Solicitada </w:t>
            </w:r>
          </w:p>
        </w:tc>
        <w:tc>
          <w:tcPr>
            <w:tcW w:w="2692" w:type="dxa"/>
            <w:shd w:val="clear" w:color="auto" w:fill="D9D9D9"/>
          </w:tcPr>
          <w:p w:rsidR="006D4495" w:rsidRDefault="00067D63">
            <w:pPr>
              <w:pBdr>
                <w:top w:val="nil"/>
                <w:left w:val="nil"/>
                <w:bottom w:val="nil"/>
                <w:right w:val="nil"/>
                <w:between w:val="nil"/>
              </w:pBdr>
              <w:ind w:right="-4"/>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Respuesta </w:t>
            </w:r>
          </w:p>
        </w:tc>
        <w:tc>
          <w:tcPr>
            <w:tcW w:w="1559" w:type="dxa"/>
            <w:shd w:val="clear" w:color="auto" w:fill="D9D9D9"/>
          </w:tcPr>
          <w:p w:rsidR="006D4495" w:rsidRDefault="00067D63">
            <w:pPr>
              <w:pBdr>
                <w:top w:val="nil"/>
                <w:left w:val="nil"/>
                <w:bottom w:val="nil"/>
                <w:right w:val="nil"/>
                <w:between w:val="nil"/>
              </w:pBdr>
              <w:ind w:right="-4"/>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Informe Justificado </w:t>
            </w:r>
          </w:p>
        </w:tc>
        <w:tc>
          <w:tcPr>
            <w:tcW w:w="2133" w:type="dxa"/>
            <w:shd w:val="clear" w:color="auto" w:fill="D9D9D9"/>
          </w:tcPr>
          <w:p w:rsidR="006D4495" w:rsidRDefault="00067D63">
            <w:pPr>
              <w:pBdr>
                <w:top w:val="nil"/>
                <w:left w:val="nil"/>
                <w:bottom w:val="nil"/>
                <w:right w:val="nil"/>
                <w:between w:val="nil"/>
              </w:pBdr>
              <w:ind w:right="-4"/>
              <w:jc w:val="both"/>
              <w:rPr>
                <w:rFonts w:ascii="Palatino Linotype" w:eastAsia="Palatino Linotype" w:hAnsi="Palatino Linotype" w:cs="Palatino Linotype"/>
                <w:b/>
                <w:bCs/>
              </w:rPr>
            </w:pPr>
            <w:r>
              <w:rPr>
                <w:rFonts w:ascii="Palatino Linotype" w:eastAsia="Palatino Linotype" w:hAnsi="Palatino Linotype" w:cs="Palatino Linotype"/>
                <w:b/>
                <w:bCs/>
              </w:rPr>
              <w:t>Comentario</w:t>
            </w:r>
          </w:p>
        </w:tc>
      </w:tr>
      <w:tr w:rsidR="006D4495">
        <w:tc>
          <w:tcPr>
            <w:tcW w:w="8647" w:type="dxa"/>
            <w:gridSpan w:val="4"/>
            <w:shd w:val="clear" w:color="auto" w:fill="auto"/>
          </w:tcPr>
          <w:p w:rsidR="006D4495" w:rsidRDefault="00067D63">
            <w:pPr>
              <w:pBdr>
                <w:top w:val="nil"/>
                <w:left w:val="nil"/>
                <w:bottom w:val="nil"/>
                <w:right w:val="nil"/>
                <w:between w:val="nil"/>
              </w:pBdr>
              <w:ind w:right="-4"/>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Relaciones gestiones, oficios o solicitudes de drenaje y pavimentación de la Avenida Gasoducto en San Pedro Xalostoc, desde el año 2018 a julio de 2025</w:t>
            </w:r>
          </w:p>
        </w:tc>
      </w:tr>
      <w:tr w:rsidR="006D4495">
        <w:tc>
          <w:tcPr>
            <w:tcW w:w="2263" w:type="dxa"/>
          </w:tcPr>
          <w:p w:rsidR="006D4495" w:rsidRDefault="00067D63">
            <w:pPr>
              <w:numPr>
                <w:ilvl w:val="0"/>
                <w:numId w:val="13"/>
              </w:numPr>
              <w:ind w:left="283" w:right="-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2025</w:t>
            </w:r>
          </w:p>
          <w:p w:rsidR="006D4495" w:rsidRDefault="006D4495">
            <w:pPr>
              <w:ind w:left="283" w:right="-4"/>
              <w:jc w:val="both"/>
              <w:rPr>
                <w:rFonts w:ascii="Palatino Linotype" w:eastAsia="Palatino Linotype" w:hAnsi="Palatino Linotype" w:cs="Palatino Linotype"/>
                <w:sz w:val="22"/>
                <w:szCs w:val="22"/>
              </w:rPr>
            </w:pPr>
          </w:p>
        </w:tc>
        <w:tc>
          <w:tcPr>
            <w:tcW w:w="2692" w:type="dxa"/>
          </w:tcPr>
          <w:p w:rsidR="006D4495" w:rsidRDefault="00067D63">
            <w:pPr>
              <w:pBdr>
                <w:top w:val="nil"/>
                <w:left w:val="nil"/>
                <w:bottom w:val="nil"/>
                <w:right w:val="nil"/>
                <w:between w:val="nil"/>
              </w:pBdr>
              <w:ind w:right="-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Servidor Público Habilitado de la Dirección de Obras Públicas remitió dos solicitudes en el que se requiere apoyo para la repavimentación y limpieza de drenaje, de los que se advierte la </w:t>
            </w:r>
            <w:r>
              <w:rPr>
                <w:rFonts w:ascii="Palatino Linotype" w:eastAsia="Palatino Linotype" w:hAnsi="Palatino Linotype" w:cs="Palatino Linotype"/>
                <w:sz w:val="22"/>
                <w:szCs w:val="22"/>
              </w:rPr>
              <w:lastRenderedPageBreak/>
              <w:t>fecha, nombre del solicitante, la respuesta emitida por la autoridad</w:t>
            </w:r>
          </w:p>
          <w:p w:rsidR="006D4495" w:rsidRDefault="006D4495">
            <w:pPr>
              <w:pBdr>
                <w:top w:val="nil"/>
                <w:left w:val="nil"/>
                <w:bottom w:val="nil"/>
                <w:right w:val="nil"/>
                <w:between w:val="nil"/>
              </w:pBdr>
              <w:ind w:right="-4"/>
              <w:jc w:val="both"/>
              <w:rPr>
                <w:rFonts w:ascii="Palatino Linotype" w:eastAsia="Palatino Linotype" w:hAnsi="Palatino Linotype" w:cs="Palatino Linotype"/>
                <w:sz w:val="22"/>
                <w:szCs w:val="22"/>
              </w:rPr>
            </w:pPr>
          </w:p>
        </w:tc>
        <w:tc>
          <w:tcPr>
            <w:tcW w:w="1559" w:type="dxa"/>
          </w:tcPr>
          <w:p w:rsidR="006D4495" w:rsidRDefault="00067D63">
            <w:pPr>
              <w:pBdr>
                <w:top w:val="nil"/>
                <w:left w:val="nil"/>
                <w:bottom w:val="nil"/>
                <w:right w:val="nil"/>
                <w:between w:val="nil"/>
              </w:pBdr>
              <w:ind w:right="-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Ratifica Respuesta </w:t>
            </w:r>
          </w:p>
        </w:tc>
        <w:tc>
          <w:tcPr>
            <w:tcW w:w="2133" w:type="dxa"/>
          </w:tcPr>
          <w:p w:rsidR="006D4495" w:rsidRDefault="00067D63">
            <w:pPr>
              <w:pBdr>
                <w:top w:val="nil"/>
                <w:left w:val="nil"/>
                <w:bottom w:val="nil"/>
                <w:right w:val="nil"/>
                <w:between w:val="nil"/>
              </w:pBdr>
              <w:ind w:right="-4"/>
              <w:jc w:val="both"/>
              <w:rPr>
                <w:rFonts w:ascii="Palatino Linotype" w:eastAsia="Palatino Linotype" w:hAnsi="Palatino Linotype" w:cs="Palatino Linotype"/>
                <w:b/>
                <w:bCs/>
              </w:rPr>
            </w:pPr>
            <w:r>
              <w:rPr>
                <w:rFonts w:ascii="Palatino Linotype" w:eastAsia="Palatino Linotype" w:hAnsi="Palatino Linotype" w:cs="Palatino Linotype"/>
                <w:b/>
                <w:bCs/>
              </w:rPr>
              <w:t>Si colma</w:t>
            </w:r>
          </w:p>
        </w:tc>
      </w:tr>
      <w:tr w:rsidR="006D4495">
        <w:tc>
          <w:tcPr>
            <w:tcW w:w="2263" w:type="dxa"/>
          </w:tcPr>
          <w:p w:rsidR="006D4495" w:rsidRDefault="00067D63">
            <w:pPr>
              <w:numPr>
                <w:ilvl w:val="0"/>
                <w:numId w:val="13"/>
              </w:numPr>
              <w:ind w:left="283" w:right="-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2018 al 2024</w:t>
            </w:r>
          </w:p>
        </w:tc>
        <w:tc>
          <w:tcPr>
            <w:tcW w:w="6384" w:type="dxa"/>
            <w:gridSpan w:val="3"/>
          </w:tcPr>
          <w:p w:rsidR="006D4495" w:rsidRDefault="00067D63">
            <w:pPr>
              <w:pBdr>
                <w:top w:val="nil"/>
                <w:left w:val="nil"/>
                <w:bottom w:val="nil"/>
                <w:right w:val="nil"/>
                <w:between w:val="nil"/>
              </w:pBdr>
              <w:ind w:right="-4"/>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Omitió Pronunciarse</w:t>
            </w:r>
          </w:p>
        </w:tc>
      </w:tr>
      <w:tr w:rsidR="006D4495">
        <w:tc>
          <w:tcPr>
            <w:tcW w:w="8647" w:type="dxa"/>
            <w:gridSpan w:val="4"/>
          </w:tcPr>
          <w:p w:rsidR="006D4495" w:rsidRDefault="00067D63">
            <w:pPr>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Proyectos contemplados de drenaje y pavimentación existentes del 1 de enero al 25 de julio de 2025</w:t>
            </w:r>
          </w:p>
        </w:tc>
      </w:tr>
      <w:tr w:rsidR="006D4495">
        <w:tc>
          <w:tcPr>
            <w:tcW w:w="2263" w:type="dxa"/>
          </w:tcPr>
          <w:p w:rsidR="006D4495" w:rsidRDefault="00067D63">
            <w:pPr>
              <w:numPr>
                <w:ilvl w:val="0"/>
                <w:numId w:val="13"/>
              </w:numPr>
              <w:pBdr>
                <w:top w:val="nil"/>
                <w:left w:val="nil"/>
                <w:bottom w:val="nil"/>
                <w:right w:val="nil"/>
                <w:between w:val="nil"/>
              </w:pBdr>
              <w:ind w:left="29" w:right="-4" w:hanging="2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Gestiones o bitácoras realizadas para atender la pavimentación de la calle</w:t>
            </w:r>
          </w:p>
        </w:tc>
        <w:tc>
          <w:tcPr>
            <w:tcW w:w="6384" w:type="dxa"/>
            <w:gridSpan w:val="3"/>
          </w:tcPr>
          <w:p w:rsidR="006D4495" w:rsidRDefault="00067D63">
            <w:pPr>
              <w:pBdr>
                <w:top w:val="nil"/>
                <w:left w:val="nil"/>
                <w:bottom w:val="nil"/>
                <w:right w:val="nil"/>
                <w:between w:val="nil"/>
              </w:pBdr>
              <w:ind w:right="-4"/>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Omitió Pronunciarse</w:t>
            </w:r>
          </w:p>
          <w:p w:rsidR="006D4495" w:rsidRDefault="006D4495">
            <w:pPr>
              <w:pBdr>
                <w:top w:val="nil"/>
                <w:left w:val="nil"/>
                <w:bottom w:val="nil"/>
                <w:right w:val="nil"/>
                <w:between w:val="nil"/>
              </w:pBdr>
              <w:ind w:right="-4"/>
              <w:jc w:val="both"/>
              <w:rPr>
                <w:rFonts w:ascii="Palatino Linotype" w:eastAsia="Palatino Linotype" w:hAnsi="Palatino Linotype" w:cs="Palatino Linotype"/>
              </w:rPr>
            </w:pPr>
          </w:p>
        </w:tc>
      </w:tr>
      <w:tr w:rsidR="006D4495">
        <w:tc>
          <w:tcPr>
            <w:tcW w:w="2263" w:type="dxa"/>
          </w:tcPr>
          <w:p w:rsidR="006D4495" w:rsidRDefault="00067D63">
            <w:pPr>
              <w:numPr>
                <w:ilvl w:val="0"/>
                <w:numId w:val="13"/>
              </w:numPr>
              <w:pBdr>
                <w:top w:val="nil"/>
                <w:left w:val="nil"/>
                <w:bottom w:val="nil"/>
                <w:right w:val="nil"/>
                <w:between w:val="nil"/>
              </w:pBdr>
              <w:spacing w:after="160" w:line="259" w:lineRule="auto"/>
              <w:ind w:left="22"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Actas de las visitas y recorridos que tuvo la presidenta municipal sobre esta avenida </w:t>
            </w:r>
          </w:p>
          <w:p w:rsidR="006D4495" w:rsidRDefault="006D4495">
            <w:pPr>
              <w:pBdr>
                <w:top w:val="nil"/>
                <w:left w:val="nil"/>
                <w:bottom w:val="nil"/>
                <w:right w:val="nil"/>
                <w:between w:val="nil"/>
              </w:pBdr>
              <w:ind w:right="-4"/>
              <w:jc w:val="both"/>
              <w:rPr>
                <w:rFonts w:ascii="Palatino Linotype" w:eastAsia="Palatino Linotype" w:hAnsi="Palatino Linotype" w:cs="Palatino Linotype"/>
                <w:color w:val="000000"/>
                <w:sz w:val="22"/>
                <w:szCs w:val="22"/>
              </w:rPr>
            </w:pPr>
          </w:p>
        </w:tc>
        <w:tc>
          <w:tcPr>
            <w:tcW w:w="6384" w:type="dxa"/>
            <w:gridSpan w:val="3"/>
          </w:tcPr>
          <w:p w:rsidR="006D4495" w:rsidRDefault="00067D63">
            <w:pPr>
              <w:pBdr>
                <w:top w:val="nil"/>
                <w:left w:val="nil"/>
                <w:bottom w:val="nil"/>
                <w:right w:val="nil"/>
                <w:between w:val="nil"/>
              </w:pBdr>
              <w:ind w:right="-4"/>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Omitió Pronunciarse</w:t>
            </w:r>
          </w:p>
          <w:p w:rsidR="006D4495" w:rsidRDefault="006D4495">
            <w:pPr>
              <w:pBdr>
                <w:top w:val="nil"/>
                <w:left w:val="nil"/>
                <w:bottom w:val="nil"/>
                <w:right w:val="nil"/>
                <w:between w:val="nil"/>
              </w:pBdr>
              <w:ind w:right="-4"/>
              <w:jc w:val="both"/>
              <w:rPr>
                <w:rFonts w:ascii="Palatino Linotype" w:eastAsia="Palatino Linotype" w:hAnsi="Palatino Linotype" w:cs="Palatino Linotype"/>
              </w:rPr>
            </w:pPr>
          </w:p>
        </w:tc>
      </w:tr>
      <w:tr w:rsidR="006D4495">
        <w:tc>
          <w:tcPr>
            <w:tcW w:w="2263" w:type="dxa"/>
          </w:tcPr>
          <w:p w:rsidR="006D4495" w:rsidRDefault="00067D63">
            <w:pPr>
              <w:numPr>
                <w:ilvl w:val="0"/>
                <w:numId w:val="13"/>
              </w:numPr>
              <w:pBdr>
                <w:top w:val="nil"/>
                <w:left w:val="nil"/>
                <w:bottom w:val="nil"/>
                <w:right w:val="nil"/>
                <w:between w:val="nil"/>
              </w:pBdr>
              <w:spacing w:after="160"/>
              <w:ind w:left="0" w:firstLine="2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Avances al compromiso de la instalación de drenaje y pavimentación en sus visitas en lo que va del año a san pedro Xalostoc, </w:t>
            </w:r>
          </w:p>
        </w:tc>
        <w:tc>
          <w:tcPr>
            <w:tcW w:w="6384" w:type="dxa"/>
            <w:gridSpan w:val="3"/>
          </w:tcPr>
          <w:p w:rsidR="006D4495" w:rsidRDefault="00067D63">
            <w:pPr>
              <w:pBdr>
                <w:top w:val="nil"/>
                <w:left w:val="nil"/>
                <w:bottom w:val="nil"/>
                <w:right w:val="nil"/>
                <w:between w:val="nil"/>
              </w:pBdr>
              <w:ind w:right="-4"/>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Omitió Pronunciarse</w:t>
            </w:r>
          </w:p>
          <w:p w:rsidR="006D4495" w:rsidRDefault="006D4495">
            <w:pPr>
              <w:pBdr>
                <w:top w:val="nil"/>
                <w:left w:val="nil"/>
                <w:bottom w:val="nil"/>
                <w:right w:val="nil"/>
                <w:between w:val="nil"/>
              </w:pBdr>
              <w:ind w:right="-4"/>
              <w:jc w:val="both"/>
              <w:rPr>
                <w:rFonts w:ascii="Palatino Linotype" w:eastAsia="Palatino Linotype" w:hAnsi="Palatino Linotype" w:cs="Palatino Linotype"/>
              </w:rPr>
            </w:pPr>
          </w:p>
        </w:tc>
      </w:tr>
      <w:tr w:rsidR="006D4495">
        <w:tc>
          <w:tcPr>
            <w:tcW w:w="2263" w:type="dxa"/>
          </w:tcPr>
          <w:p w:rsidR="006D4495" w:rsidRDefault="00067D63">
            <w:pPr>
              <w:numPr>
                <w:ilvl w:val="0"/>
                <w:numId w:val="13"/>
              </w:numPr>
              <w:pBdr>
                <w:top w:val="nil"/>
                <w:left w:val="nil"/>
                <w:bottom w:val="nil"/>
                <w:right w:val="nil"/>
                <w:between w:val="nil"/>
              </w:pBdr>
              <w:spacing w:after="160"/>
              <w:ind w:left="0" w:firstLine="2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Copia de las gestiones u oficios en la materia emitidos a Pemex, a las áreas del gobierno estatal o a las direcciones municipales que correspondan</w:t>
            </w:r>
          </w:p>
        </w:tc>
        <w:tc>
          <w:tcPr>
            <w:tcW w:w="6384" w:type="dxa"/>
            <w:gridSpan w:val="3"/>
          </w:tcPr>
          <w:p w:rsidR="006D4495" w:rsidRDefault="00067D63">
            <w:pPr>
              <w:pBdr>
                <w:top w:val="nil"/>
                <w:left w:val="nil"/>
                <w:bottom w:val="nil"/>
                <w:right w:val="nil"/>
                <w:between w:val="nil"/>
              </w:pBdr>
              <w:ind w:right="-4"/>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Omitió Pronunciarse</w:t>
            </w:r>
          </w:p>
        </w:tc>
      </w:tr>
    </w:tbl>
    <w:p w:rsidR="006D4495" w:rsidRDefault="006D4495">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De lo expuesto en el cuadro descriptivo, se advierte que se atendió el punto marcado con el número 1 toda vez que el </w:t>
      </w:r>
      <w:r>
        <w:rPr>
          <w:rFonts w:ascii="Palatino Linotype" w:eastAsia="Palatino Linotype" w:hAnsi="Palatino Linotype" w:cs="Palatino Linotype"/>
          <w:b/>
          <w:bCs/>
          <w:color w:val="000000"/>
          <w:sz w:val="22"/>
          <w:szCs w:val="22"/>
        </w:rPr>
        <w:t>SUJETO OBLIGADO</w:t>
      </w:r>
      <w:r>
        <w:rPr>
          <w:rFonts w:ascii="Palatino Linotype" w:eastAsia="Palatino Linotype" w:hAnsi="Palatino Linotype" w:cs="Palatino Linotype"/>
          <w:color w:val="000000"/>
          <w:sz w:val="22"/>
          <w:szCs w:val="22"/>
        </w:rPr>
        <w:t>, remitió dos solitudes de pavimentación y drenaje en la calle Gaseducto del Pueblo de San Pedro Xalostoc, correspondientes al ejercicios fiscal 2025, del que se advierte la fecha, nombre y respuesta emitido por el Ayuntamiento a su petición.</w:t>
      </w:r>
    </w:p>
    <w:p w:rsidR="006D4495" w:rsidRDefault="006D4495">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highlight w:val="white"/>
        </w:rPr>
        <w:t xml:space="preserve">En este sentido, resulta necesario señalar que, el </w:t>
      </w:r>
      <w:r>
        <w:rPr>
          <w:rFonts w:ascii="Palatino Linotype" w:eastAsia="Palatino Linotype" w:hAnsi="Palatino Linotype" w:cs="Palatino Linotype"/>
          <w:b/>
          <w:bCs/>
          <w:color w:val="000000"/>
          <w:sz w:val="22"/>
          <w:szCs w:val="22"/>
          <w:highlight w:val="white"/>
        </w:rPr>
        <w:t xml:space="preserve">RECURRENTE </w:t>
      </w:r>
      <w:r>
        <w:rPr>
          <w:rFonts w:ascii="Palatino Linotype" w:eastAsia="Palatino Linotype" w:hAnsi="Palatino Linotype" w:cs="Palatino Linotype"/>
          <w:color w:val="000000"/>
          <w:sz w:val="22"/>
          <w:szCs w:val="22"/>
          <w:highlight w:val="white"/>
        </w:rPr>
        <w:t xml:space="preserve">no se inconformó por la totalidad de la respuesta. Bajo ese tenor, se tiene que la parte de la respuesta que no fue impugnada debe declararse como consentida, toda vez que, al no haber realizado manifestaciones de inconformidad al respecto, se infiere que la información proporcionada por el </w:t>
      </w:r>
      <w:r>
        <w:rPr>
          <w:rFonts w:ascii="Palatino Linotype" w:eastAsia="Palatino Linotype" w:hAnsi="Palatino Linotype" w:cs="Palatino Linotype"/>
          <w:b/>
          <w:bCs/>
          <w:color w:val="000000"/>
          <w:sz w:val="22"/>
          <w:szCs w:val="22"/>
          <w:highlight w:val="white"/>
        </w:rPr>
        <w:t>SUJETO OBLIGADO</w:t>
      </w:r>
      <w:r>
        <w:rPr>
          <w:rFonts w:ascii="Palatino Linotype" w:eastAsia="Palatino Linotype" w:hAnsi="Palatino Linotype" w:cs="Palatino Linotype"/>
          <w:color w:val="000000"/>
          <w:sz w:val="22"/>
          <w:szCs w:val="22"/>
          <w:highlight w:val="white"/>
        </w:rPr>
        <w:t xml:space="preserve"> satisface este punto de la solicitud presentada.</w:t>
      </w:r>
    </w:p>
    <w:p w:rsidR="006D4495" w:rsidRDefault="006D4495">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highlight w:val="white"/>
        </w:rPr>
        <w:t xml:space="preserve">Lo anterior es así, debido a que cuando un Recurrente impugna la respuesta del </w:t>
      </w:r>
      <w:r>
        <w:rPr>
          <w:rFonts w:ascii="Palatino Linotype" w:eastAsia="Palatino Linotype" w:hAnsi="Palatino Linotype" w:cs="Palatino Linotype"/>
          <w:b/>
          <w:bCs/>
          <w:color w:val="000000"/>
          <w:sz w:val="22"/>
          <w:szCs w:val="22"/>
          <w:highlight w:val="white"/>
        </w:rPr>
        <w:t>SUJETO OBLIGADO</w:t>
      </w:r>
      <w:r>
        <w:rPr>
          <w:rFonts w:ascii="Palatino Linotype" w:eastAsia="Palatino Linotype" w:hAnsi="Palatino Linotype" w:cs="Palatino Linotype"/>
          <w:color w:val="000000"/>
          <w:sz w:val="22"/>
          <w:szCs w:val="22"/>
          <w:highlight w:val="white"/>
        </w:rPr>
        <w:t>,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 </w:t>
      </w:r>
    </w:p>
    <w:p w:rsidR="006D4495" w:rsidRDefault="006D4495">
      <w:pPr>
        <w:pBdr>
          <w:top w:val="nil"/>
          <w:left w:val="nil"/>
          <w:bottom w:val="nil"/>
          <w:right w:val="nil"/>
          <w:between w:val="nil"/>
        </w:pBdr>
        <w:tabs>
          <w:tab w:val="left" w:pos="5040"/>
        </w:tabs>
        <w:spacing w:line="360" w:lineRule="auto"/>
        <w:jc w:val="both"/>
        <w:rPr>
          <w:rFonts w:ascii="Palatino Linotype" w:eastAsia="Palatino Linotype" w:hAnsi="Palatino Linotype" w:cs="Palatino Linotype"/>
          <w:sz w:val="22"/>
          <w:szCs w:val="22"/>
        </w:rPr>
      </w:pPr>
    </w:p>
    <w:p w:rsidR="006D4495" w:rsidRDefault="00067D63">
      <w:pPr>
        <w:pBdr>
          <w:top w:val="nil"/>
          <w:left w:val="nil"/>
          <w:bottom w:val="nil"/>
          <w:right w:val="nil"/>
          <w:between w:val="nil"/>
        </w:pBdr>
        <w:ind w:left="720" w:right="567"/>
        <w:jc w:val="both"/>
        <w:rPr>
          <w:rFonts w:ascii="Palatino Linotype" w:eastAsia="Palatino Linotype" w:hAnsi="Palatino Linotype" w:cs="Palatino Linotype"/>
          <w:color w:val="000000"/>
          <w:sz w:val="22"/>
          <w:szCs w:val="22"/>
          <w:highlight w:val="white"/>
        </w:rPr>
      </w:pPr>
      <w:r>
        <w:rPr>
          <w:rFonts w:ascii="Palatino Linotype" w:eastAsia="Palatino Linotype" w:hAnsi="Palatino Linotype" w:cs="Palatino Linotype"/>
          <w:b/>
          <w:bCs/>
          <w:i/>
          <w:iCs/>
          <w:color w:val="000000"/>
          <w:sz w:val="22"/>
          <w:szCs w:val="22"/>
          <w:highlight w:val="white"/>
        </w:rPr>
        <w:t xml:space="preserve">“REVISIÓN EN AMPARO. LOS RESOLUTIVOS NO COMBATIDOS DEBEN DECLARARSE FIRMES. </w:t>
      </w:r>
      <w:r>
        <w:rPr>
          <w:rFonts w:ascii="Palatino Linotype" w:eastAsia="Palatino Linotype" w:hAnsi="Palatino Linotype" w:cs="Palatino Linotype"/>
          <w:i/>
          <w:iCs/>
          <w:color w:val="000000"/>
          <w:sz w:val="22"/>
          <w:szCs w:val="22"/>
          <w:highlight w:val="white"/>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r>
        <w:rPr>
          <w:rFonts w:ascii="Palatino Linotype" w:eastAsia="Palatino Linotype" w:hAnsi="Palatino Linotype" w:cs="Palatino Linotype"/>
          <w:color w:val="000000"/>
          <w:sz w:val="22"/>
          <w:szCs w:val="22"/>
          <w:highlight w:val="white"/>
        </w:rPr>
        <w:t> </w:t>
      </w:r>
    </w:p>
    <w:p w:rsidR="006D4495" w:rsidRDefault="006D4495">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 </w:t>
      </w:r>
      <w:r>
        <w:rPr>
          <w:rFonts w:ascii="Palatino Linotype" w:eastAsia="Palatino Linotype" w:hAnsi="Palatino Linotype" w:cs="Palatino Linotype"/>
          <w:color w:val="000000"/>
          <w:sz w:val="22"/>
          <w:szCs w:val="22"/>
          <w:highlight w:val="white"/>
        </w:rPr>
        <w:t xml:space="preserve">Consecuentemente, se reitera que la parte de la solicitud que no fue impugnada debe declararse consentida por el </w:t>
      </w:r>
      <w:r>
        <w:rPr>
          <w:rFonts w:ascii="Palatino Linotype" w:eastAsia="Palatino Linotype" w:hAnsi="Palatino Linotype" w:cs="Palatino Linotype"/>
          <w:b/>
          <w:bCs/>
          <w:color w:val="000000"/>
          <w:sz w:val="22"/>
          <w:szCs w:val="22"/>
          <w:highlight w:val="white"/>
        </w:rPr>
        <w:t>RECURRENTE</w:t>
      </w:r>
      <w:r>
        <w:rPr>
          <w:rFonts w:ascii="Palatino Linotype" w:eastAsia="Palatino Linotype" w:hAnsi="Palatino Linotype" w:cs="Palatino Linotype"/>
          <w:color w:val="000000"/>
          <w:sz w:val="22"/>
          <w:szCs w:val="22"/>
          <w:highlight w:val="white"/>
        </w:rPr>
        <w:t>, debido a que no se realizaron manifestaciones de inconformidad, por lo que no pueden producirse efectos jurídicos tendentes a revocar, confirmar o modificar el acto reclamado ya que se infiere un consentimiento del Recurrente</w:t>
      </w:r>
      <w:r>
        <w:rPr>
          <w:rFonts w:ascii="Palatino Linotype" w:eastAsia="Palatino Linotype" w:hAnsi="Palatino Linotype" w:cs="Palatino Linotype"/>
          <w:b/>
          <w:bCs/>
          <w:color w:val="000000"/>
          <w:sz w:val="22"/>
          <w:szCs w:val="22"/>
          <w:highlight w:val="white"/>
        </w:rPr>
        <w:t xml:space="preserve"> </w:t>
      </w:r>
      <w:r>
        <w:rPr>
          <w:rFonts w:ascii="Palatino Linotype" w:eastAsia="Palatino Linotype" w:hAnsi="Palatino Linotype" w:cs="Palatino Linotype"/>
          <w:color w:val="000000"/>
          <w:sz w:val="22"/>
          <w:szCs w:val="22"/>
          <w:highlight w:val="white"/>
        </w:rPr>
        <w:t>ante la falta de impugnación eficaz.</w:t>
      </w:r>
    </w:p>
    <w:p w:rsidR="006D4495" w:rsidRDefault="006D449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sz w:val="22"/>
          <w:szCs w:val="22"/>
        </w:rPr>
      </w:pPr>
    </w:p>
    <w:p w:rsidR="006D4495" w:rsidRDefault="00067D63">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highlight w:val="white"/>
        </w:rPr>
        <w:t>Sirve de sustento a lo anterior por analogía la tesis jurisprudencial número VI.3o.C. J/60, publicada en el Semanario Judicial de la Federación y su Gaceta bajo el número de registro 176,608 que a la letra dice:</w:t>
      </w:r>
    </w:p>
    <w:p w:rsidR="006D4495" w:rsidRDefault="006D4495">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6D4495" w:rsidRDefault="00067D63">
      <w:pPr>
        <w:pBdr>
          <w:top w:val="nil"/>
          <w:left w:val="nil"/>
          <w:bottom w:val="nil"/>
          <w:right w:val="nil"/>
          <w:between w:val="nil"/>
        </w:pBdr>
        <w:ind w:left="720"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smallCaps/>
          <w:color w:val="000000"/>
          <w:sz w:val="22"/>
          <w:szCs w:val="22"/>
          <w:highlight w:val="white"/>
        </w:rPr>
        <w:t xml:space="preserve">ACTOS CONSENTIDOS. SON LOS QUE NO SE IMPUGNAN MEDIANTE EL RECURSO IDÓNEO. </w:t>
      </w:r>
      <w:r>
        <w:rPr>
          <w:rFonts w:ascii="Palatino Linotype" w:eastAsia="Palatino Linotype" w:hAnsi="Palatino Linotype" w:cs="Palatino Linotype"/>
          <w:i/>
          <w:iCs/>
          <w:color w:val="000000"/>
          <w:sz w:val="22"/>
          <w:szCs w:val="22"/>
          <w:highlight w:val="white"/>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Pr>
          <w:rFonts w:ascii="Palatino Linotype" w:eastAsia="Palatino Linotype" w:hAnsi="Palatino Linotype" w:cs="Palatino Linotype"/>
          <w:color w:val="000000"/>
          <w:sz w:val="22"/>
          <w:szCs w:val="22"/>
          <w:highlight w:val="white"/>
        </w:rPr>
        <w:t> </w:t>
      </w:r>
    </w:p>
    <w:p w:rsidR="006D4495" w:rsidRDefault="006D449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sz w:val="22"/>
          <w:szCs w:val="22"/>
        </w:rPr>
      </w:pPr>
    </w:p>
    <w:p w:rsidR="006D4495" w:rsidRDefault="00067D63">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highlight w:val="white"/>
        </w:rPr>
        <w:t>Para mayor abundamiento, también resulta aplicable el criterio 01/20 emitido por el Instituto Nacional de Transparencia, Acceso a la Información Pública y Protección de Datos Personales, que a la letra estipula lo siguiente: </w:t>
      </w:r>
    </w:p>
    <w:p w:rsidR="006D4495" w:rsidRDefault="006D449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sz w:val="22"/>
          <w:szCs w:val="22"/>
          <w:highlight w:val="white"/>
        </w:rPr>
      </w:pPr>
    </w:p>
    <w:p w:rsidR="006D4495" w:rsidRDefault="00067D63">
      <w:pPr>
        <w:pBdr>
          <w:top w:val="nil"/>
          <w:left w:val="nil"/>
          <w:bottom w:val="nil"/>
          <w:right w:val="nil"/>
          <w:between w:val="nil"/>
        </w:pBdr>
        <w:tabs>
          <w:tab w:val="left" w:pos="142"/>
          <w:tab w:val="left" w:pos="426"/>
          <w:tab w:val="left" w:pos="567"/>
        </w:tabs>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color w:val="000000"/>
          <w:sz w:val="22"/>
          <w:szCs w:val="22"/>
          <w:highlight w:val="white"/>
        </w:rPr>
        <w:t>Actos consentidos tácitamente. Improcedencia de su análisis.</w:t>
      </w:r>
      <w:r>
        <w:rPr>
          <w:rFonts w:ascii="Palatino Linotype" w:eastAsia="Palatino Linotype" w:hAnsi="Palatino Linotype" w:cs="Palatino Linotype"/>
          <w:i/>
          <w:iCs/>
          <w:color w:val="000000"/>
          <w:sz w:val="22"/>
          <w:szCs w:val="22"/>
          <w:highlight w:val="white"/>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r>
        <w:rPr>
          <w:rFonts w:ascii="Palatino Linotype" w:eastAsia="Palatino Linotype" w:hAnsi="Palatino Linotype" w:cs="Palatino Linotype"/>
          <w:color w:val="000000"/>
          <w:sz w:val="22"/>
          <w:szCs w:val="22"/>
          <w:highlight w:val="white"/>
        </w:rPr>
        <w:t> </w:t>
      </w:r>
    </w:p>
    <w:p w:rsidR="006D4495" w:rsidRDefault="006D449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sz w:val="22"/>
          <w:szCs w:val="22"/>
        </w:rPr>
      </w:pPr>
    </w:p>
    <w:p w:rsidR="006D4495" w:rsidRDefault="00067D63">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Descrito lo anterior, se precisa que el presente estudio versara únicamente respecto a los numerales 2, 3, 4, 5 y 6 del cuadro descriptivo.</w:t>
      </w:r>
    </w:p>
    <w:p w:rsidR="006D4495" w:rsidRDefault="006D4495">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6D4495" w:rsidRDefault="00067D63">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lastRenderedPageBreak/>
        <w:t>Punto 2, del cuadro descriptivo</w:t>
      </w:r>
    </w:p>
    <w:p w:rsidR="006D4495" w:rsidRDefault="00067D6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Al respecto 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entrego información respecto al ejercicio fiscal 2025, haciendo mención que son los documentos con los que cuenta la Unidad Administrativa, no obstante solicitó a la Secretaría del Ayuntamiento realice una búsqueda en el archivo histórico municipal a efecto de localizar documentos donde se adviertan las gestiones o solicitudes de drenaje y pavimentación de la Avenida Gasodusco en San Pedro Xalostoc, Ecatepec de Morelos, del año 2018 al 2024; sin embargo no se pronunció al respecto. </w:t>
      </w:r>
    </w:p>
    <w:p w:rsidR="006D4495" w:rsidRDefault="006D449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D4495" w:rsidRDefault="00067D63">
      <w:pPr>
        <w:numPr>
          <w:ilvl w:val="0"/>
          <w:numId w:val="1"/>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Ahora bien, se debe recalcar que el periodo de la información solicitada faltante corresponde del año 2018 al 2024, por ende resulta necesario manifestar lo establecido en los lineamientos para la valoración, selección y baja de los documentos, expedientes y series de tramite concluido en los archivos del Estado de México, que a la letra refiere:</w:t>
      </w:r>
    </w:p>
    <w:p w:rsidR="006D4495" w:rsidRDefault="006D4495">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6D4495" w:rsidRDefault="00067D63">
      <w:pPr>
        <w:spacing w:before="120" w:after="120"/>
        <w:ind w:left="567" w:right="539"/>
        <w:jc w:val="both"/>
        <w:rPr>
          <w:i/>
          <w:iCs/>
        </w:rPr>
      </w:pPr>
      <w:r>
        <w:rPr>
          <w:i/>
          <w:iCs/>
        </w:rPr>
        <w:t xml:space="preserve">Artículo 27.- Las Unidades Administrativas al realizar la transferencia de los expedientes de trámite concluido, señalarán en el Inventario correspondiente los plazos de conservación precaucional de éstos en el Archivo de Concentración. Para determinar el plazo de conservación precaucional deberán considerar el marco legal o administrativo bajo el cual se produjeron o recibieron los documentos y los siguientes períodos: </w:t>
      </w:r>
    </w:p>
    <w:p w:rsidR="006D4495" w:rsidRDefault="00067D63">
      <w:pPr>
        <w:spacing w:before="120" w:after="120"/>
        <w:ind w:left="567" w:right="539"/>
        <w:jc w:val="both"/>
        <w:rPr>
          <w:b/>
          <w:bCs/>
          <w:i/>
          <w:iCs/>
          <w:u w:val="single"/>
        </w:rPr>
      </w:pPr>
      <w:r>
        <w:rPr>
          <w:b/>
          <w:bCs/>
          <w:i/>
          <w:iCs/>
          <w:u w:val="single"/>
        </w:rPr>
        <w:t xml:space="preserve">I. 6 años para expedientes con información administrativa; </w:t>
      </w:r>
    </w:p>
    <w:p w:rsidR="006D4495" w:rsidRDefault="00067D63">
      <w:pPr>
        <w:spacing w:before="120" w:after="120"/>
        <w:ind w:left="567" w:right="539"/>
        <w:jc w:val="both"/>
        <w:rPr>
          <w:i/>
          <w:iCs/>
        </w:rPr>
      </w:pPr>
      <w:r>
        <w:rPr>
          <w:i/>
          <w:iCs/>
        </w:rPr>
        <w:t xml:space="preserve">II. 6 años como mínimo para expedientes con información fiscal y presupuestal contable; </w:t>
      </w:r>
    </w:p>
    <w:p w:rsidR="006D4495" w:rsidRDefault="00067D63">
      <w:pPr>
        <w:spacing w:before="120" w:after="120"/>
        <w:ind w:left="567" w:right="539"/>
        <w:jc w:val="both"/>
        <w:rPr>
          <w:rFonts w:ascii="Palatino Linotype" w:eastAsia="Palatino Linotype" w:hAnsi="Palatino Linotype" w:cs="Palatino Linotype"/>
          <w:i/>
          <w:iCs/>
        </w:rPr>
      </w:pPr>
      <w:r>
        <w:rPr>
          <w:i/>
          <w:iCs/>
        </w:rPr>
        <w:t>III. 12 años como mínimo para expedientes con información jurídico-legal, obra pública y activo fijo; y</w:t>
      </w:r>
    </w:p>
    <w:p w:rsidR="006D4495" w:rsidRDefault="006D4495">
      <w:pPr>
        <w:spacing w:before="120" w:after="120" w:line="360" w:lineRule="auto"/>
        <w:jc w:val="both"/>
        <w:rPr>
          <w:rFonts w:ascii="Palatino Linotype" w:eastAsia="Palatino Linotype" w:hAnsi="Palatino Linotype" w:cs="Palatino Linotype"/>
        </w:rPr>
      </w:pPr>
    </w:p>
    <w:p w:rsidR="006D4495" w:rsidRDefault="00067D63">
      <w:pPr>
        <w:numPr>
          <w:ilvl w:val="0"/>
          <w:numId w:val="1"/>
        </w:numPr>
        <w:pBdr>
          <w:top w:val="nil"/>
          <w:left w:val="nil"/>
          <w:bottom w:val="nil"/>
          <w:right w:val="nil"/>
          <w:between w:val="nil"/>
        </w:pBdr>
        <w:spacing w:before="120" w:after="120"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 lo descrito en el numeral que </w:t>
      </w:r>
      <w:r w:rsidR="007B138C">
        <w:rPr>
          <w:rFonts w:ascii="Palatino Linotype" w:eastAsia="Palatino Linotype" w:hAnsi="Palatino Linotype" w:cs="Palatino Linotype"/>
          <w:color w:val="000000"/>
          <w:sz w:val="22"/>
          <w:szCs w:val="22"/>
        </w:rPr>
        <w:t>antecede</w:t>
      </w:r>
      <w:r>
        <w:rPr>
          <w:rFonts w:ascii="Palatino Linotype" w:eastAsia="Palatino Linotype" w:hAnsi="Palatino Linotype" w:cs="Palatino Linotype"/>
          <w:color w:val="000000"/>
          <w:sz w:val="22"/>
          <w:szCs w:val="22"/>
        </w:rPr>
        <w:t xml:space="preserve"> se advierte que la Unidad Administrativa, que genera los documentos, deberá conservar en su Archivo de Concentración, los expedientes por un periodo de seis años y una vez concluido el ciclo del uso y vigencia, se </w:t>
      </w:r>
      <w:r>
        <w:rPr>
          <w:rFonts w:ascii="Palatino Linotype" w:eastAsia="Palatino Linotype" w:hAnsi="Palatino Linotype" w:cs="Palatino Linotype"/>
          <w:color w:val="000000"/>
          <w:sz w:val="22"/>
          <w:szCs w:val="22"/>
        </w:rPr>
        <w:lastRenderedPageBreak/>
        <w:t>deberá valorar, si se dan de baja o se transfieren al archivo histórico, ello debido a la importancia del documento, por lo que la Dirección de Obras Públicas debe contar con la información requerida de los ejercicios fiscales 2020 al 25 de julio de 2025,  empero se limitó a realizar la entrega de los oficios correspondientes al 2025, por lo que no garantiza el derecho humano de acceso a la información, ni mucho menos da cumplimiento a la búsqueda exhaustiva exigida por la ley de la materia.</w:t>
      </w:r>
    </w:p>
    <w:p w:rsidR="006D4495" w:rsidRDefault="006D4495">
      <w:pPr>
        <w:spacing w:before="120" w:after="120" w:line="360" w:lineRule="auto"/>
        <w:jc w:val="both"/>
        <w:rPr>
          <w:rFonts w:ascii="Palatino Linotype" w:eastAsia="Palatino Linotype" w:hAnsi="Palatino Linotype" w:cs="Palatino Linotype"/>
        </w:rPr>
      </w:pPr>
    </w:p>
    <w:p w:rsidR="006D4495" w:rsidRDefault="00067D63">
      <w:pPr>
        <w:numPr>
          <w:ilvl w:val="0"/>
          <w:numId w:val="1"/>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lo anterior resulta procedente ordenar una nueva búsqueda exhaustiva de la información requerida por el particular en los archivos de la Dirección de Obras Públicas correspondiente al periodo del 1 de enero de 2020 al 31 de diciembre de dos mil veinticuatro.</w:t>
      </w:r>
    </w:p>
    <w:p w:rsidR="006D4495" w:rsidRDefault="006D4495">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base a lo anterior, no pasa desapercibido para éste Órgano Garante la temporalidad de la información, la cual corresponde del año 2018 y 2019, por lo que resulta indispensable traer a contexto la </w:t>
      </w:r>
      <w:r>
        <w:rPr>
          <w:rFonts w:ascii="Palatino Linotype" w:eastAsia="Palatino Linotype" w:hAnsi="Palatino Linotype" w:cs="Palatino Linotype"/>
          <w:b/>
          <w:bCs/>
          <w:color w:val="000000"/>
          <w:sz w:val="22"/>
          <w:szCs w:val="22"/>
        </w:rPr>
        <w:t>Ley de Archivos y Administración de Documentos del Estado de México y Municipios</w:t>
      </w:r>
      <w:r>
        <w:rPr>
          <w:rFonts w:ascii="Palatino Linotype" w:eastAsia="Palatino Linotype" w:hAnsi="Palatino Linotype" w:cs="Palatino Linotype"/>
          <w:color w:val="000000"/>
          <w:sz w:val="22"/>
          <w:szCs w:val="22"/>
        </w:rPr>
        <w:t xml:space="preserve">, publicada en el Periódico Oficial </w:t>
      </w:r>
      <w:r>
        <w:rPr>
          <w:rFonts w:ascii="Palatino Linotype" w:eastAsia="Palatino Linotype" w:hAnsi="Palatino Linotype" w:cs="Palatino Linotype"/>
          <w:i/>
          <w:iCs/>
          <w:color w:val="000000"/>
          <w:sz w:val="22"/>
          <w:szCs w:val="22"/>
        </w:rPr>
        <w:t>Gaceta del Gobierno</w:t>
      </w:r>
      <w:r>
        <w:rPr>
          <w:rFonts w:ascii="Palatino Linotype" w:eastAsia="Palatino Linotype" w:hAnsi="Palatino Linotype" w:cs="Palatino Linotype"/>
          <w:color w:val="000000"/>
          <w:sz w:val="22"/>
          <w:szCs w:val="22"/>
        </w:rPr>
        <w:t xml:space="preserve">, el veintiséis (26) de noviembre de dos mil veinte, tiene por objeto establecer la organización, conservación, administración y preservación homogénea de los Archivos en posesión de cualquier autoridad, entidad, órgano y organismo de los poderes Legislativo, Ejecutivo y Judicial, órganos autónomos, partidos políticos, fideicomisos y fondos públicos, así como de cualquier persona física, jurídica colectiva o sindicato que reciba y ejerza recursos públicos o realice actos de autoridad del Estado de México y municipios. </w:t>
      </w:r>
    </w:p>
    <w:p w:rsidR="006D4495" w:rsidRDefault="006D449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Anterior a la publicación de la norma antes mencionada, la </w:t>
      </w:r>
      <w:r>
        <w:rPr>
          <w:rFonts w:ascii="Palatino Linotype" w:eastAsia="Palatino Linotype" w:hAnsi="Palatino Linotype" w:cs="Palatino Linotype"/>
          <w:b/>
          <w:bCs/>
          <w:color w:val="000000"/>
          <w:sz w:val="22"/>
          <w:szCs w:val="22"/>
        </w:rPr>
        <w:t>Ley de Documentos Administrativos e Históricos del Estado de México</w:t>
      </w:r>
      <w:r>
        <w:rPr>
          <w:rFonts w:ascii="Palatino Linotype" w:eastAsia="Palatino Linotype" w:hAnsi="Palatino Linotype" w:cs="Palatino Linotype"/>
          <w:color w:val="000000"/>
          <w:sz w:val="22"/>
          <w:szCs w:val="22"/>
        </w:rPr>
        <w:t xml:space="preserve">, se encargaba de normar y regular la </w:t>
      </w:r>
      <w:r>
        <w:rPr>
          <w:rFonts w:ascii="Palatino Linotype" w:eastAsia="Palatino Linotype" w:hAnsi="Palatino Linotype" w:cs="Palatino Linotype"/>
          <w:color w:val="000000"/>
          <w:sz w:val="22"/>
          <w:szCs w:val="22"/>
        </w:rPr>
        <w:lastRenderedPageBreak/>
        <w:t>administración de documentos administrativos e históricos de las autoridades del Estado y los municipios en el ámbito de su competencia</w:t>
      </w:r>
      <w:r>
        <w:rPr>
          <w:rFonts w:ascii="Palatino Linotype" w:eastAsia="Palatino Linotype" w:hAnsi="Palatino Linotype" w:cs="Palatino Linotype"/>
          <w:color w:val="000000"/>
          <w:sz w:val="22"/>
          <w:szCs w:val="22"/>
          <w:vertAlign w:val="superscript"/>
        </w:rPr>
        <w:footnoteReference w:id="5"/>
      </w:r>
      <w:r>
        <w:rPr>
          <w:rFonts w:ascii="Palatino Linotype" w:eastAsia="Palatino Linotype" w:hAnsi="Palatino Linotype" w:cs="Palatino Linotype"/>
          <w:color w:val="000000"/>
          <w:sz w:val="22"/>
          <w:szCs w:val="22"/>
        </w:rPr>
        <w:t xml:space="preserve">. </w:t>
      </w:r>
    </w:p>
    <w:p w:rsidR="006D4495" w:rsidRDefault="006D4495">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Correlativo a esto, se creó la a </w:t>
      </w:r>
      <w:r>
        <w:rPr>
          <w:rFonts w:ascii="Palatino Linotype" w:eastAsia="Palatino Linotype" w:hAnsi="Palatino Linotype" w:cs="Palatino Linotype"/>
          <w:b/>
          <w:bCs/>
          <w:color w:val="000000"/>
          <w:sz w:val="22"/>
          <w:szCs w:val="22"/>
        </w:rPr>
        <w:t>Comisión Dictaminadora de Depuración de Documentos</w:t>
      </w:r>
      <w:r>
        <w:rPr>
          <w:rFonts w:ascii="Palatino Linotype" w:eastAsia="Palatino Linotype" w:hAnsi="Palatino Linotype" w:cs="Palatino Linotype"/>
          <w:color w:val="000000"/>
          <w:sz w:val="22"/>
          <w:szCs w:val="22"/>
        </w:rPr>
        <w:t>, integrada por personas expertas o especialistas en la materia, misma que se tendría las siguientes facultades y atribuciones</w:t>
      </w:r>
      <w:r>
        <w:rPr>
          <w:rFonts w:ascii="Palatino Linotype" w:eastAsia="Palatino Linotype" w:hAnsi="Palatino Linotype" w:cs="Palatino Linotype"/>
          <w:color w:val="000000"/>
          <w:sz w:val="22"/>
          <w:szCs w:val="22"/>
          <w:vertAlign w:val="superscript"/>
        </w:rPr>
        <w:footnoteReference w:id="6"/>
      </w:r>
      <w:r>
        <w:rPr>
          <w:rFonts w:ascii="Palatino Linotype" w:eastAsia="Palatino Linotype" w:hAnsi="Palatino Linotype" w:cs="Palatino Linotype"/>
          <w:color w:val="000000"/>
          <w:sz w:val="22"/>
          <w:szCs w:val="22"/>
        </w:rPr>
        <w:t>:</w:t>
      </w:r>
    </w:p>
    <w:p w:rsidR="006D4495" w:rsidRDefault="006D449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rsidR="006D4495" w:rsidRDefault="00067D63">
      <w:pPr>
        <w:numPr>
          <w:ilvl w:val="1"/>
          <w:numId w:val="1"/>
        </w:numPr>
        <w:pBdr>
          <w:top w:val="nil"/>
          <w:left w:val="nil"/>
          <w:bottom w:val="nil"/>
          <w:right w:val="nil"/>
          <w:between w:val="nil"/>
        </w:pBdr>
        <w:tabs>
          <w:tab w:val="left" w:pos="426"/>
        </w:tabs>
        <w:spacing w:line="360" w:lineRule="auto"/>
        <w:ind w:right="53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Llevar un registro que contenga la evaluación de los documentos que reporten valor histórico, administrativo, jurídico o económico. </w:t>
      </w:r>
    </w:p>
    <w:p w:rsidR="006D4495" w:rsidRDefault="00067D63">
      <w:pPr>
        <w:numPr>
          <w:ilvl w:val="1"/>
          <w:numId w:val="1"/>
        </w:numPr>
        <w:pBdr>
          <w:top w:val="nil"/>
          <w:left w:val="nil"/>
          <w:bottom w:val="nil"/>
          <w:right w:val="nil"/>
          <w:between w:val="nil"/>
        </w:pBdr>
        <w:tabs>
          <w:tab w:val="left" w:pos="426"/>
        </w:tabs>
        <w:spacing w:line="360" w:lineRule="auto"/>
        <w:ind w:right="53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Realizar estudios y emitir opiniones a los responsables de la conservación y restauración de documentos de los archivos de la entidad. </w:t>
      </w:r>
    </w:p>
    <w:p w:rsidR="006D4495" w:rsidRDefault="00067D63">
      <w:pPr>
        <w:numPr>
          <w:ilvl w:val="1"/>
          <w:numId w:val="1"/>
        </w:numPr>
        <w:pBdr>
          <w:top w:val="nil"/>
          <w:left w:val="nil"/>
          <w:bottom w:val="nil"/>
          <w:right w:val="nil"/>
          <w:between w:val="nil"/>
        </w:pBdr>
        <w:tabs>
          <w:tab w:val="left" w:pos="426"/>
        </w:tabs>
        <w:spacing w:line="360" w:lineRule="auto"/>
        <w:ind w:right="53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Coadyuvar con los responsables de cada archivo, en la depuración de documentos</w:t>
      </w:r>
      <w:r>
        <w:rPr>
          <w:rFonts w:ascii="Palatino Linotype" w:eastAsia="Palatino Linotype" w:hAnsi="Palatino Linotype" w:cs="Palatino Linotype"/>
          <w:color w:val="000000"/>
          <w:sz w:val="22"/>
          <w:szCs w:val="22"/>
        </w:rPr>
        <w:t xml:space="preserve">, determinando cuáles deben conservarse por el término de Ley, trasladarse al Archivo Histórico o destruirse. </w:t>
      </w:r>
    </w:p>
    <w:p w:rsidR="006D4495" w:rsidRDefault="00067D63">
      <w:pPr>
        <w:numPr>
          <w:ilvl w:val="1"/>
          <w:numId w:val="1"/>
        </w:numPr>
        <w:pBdr>
          <w:top w:val="nil"/>
          <w:left w:val="nil"/>
          <w:bottom w:val="nil"/>
          <w:right w:val="nil"/>
          <w:between w:val="nil"/>
        </w:pBdr>
        <w:tabs>
          <w:tab w:val="left" w:pos="426"/>
        </w:tabs>
        <w:spacing w:line="360" w:lineRule="auto"/>
        <w:ind w:right="53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Cuando se trate de documentos de contenido meramente administrativo, para considerar su </w:t>
      </w:r>
      <w:r>
        <w:rPr>
          <w:rFonts w:ascii="Palatino Linotype" w:eastAsia="Palatino Linotype" w:hAnsi="Palatino Linotype" w:cs="Palatino Linotype"/>
          <w:b/>
          <w:bCs/>
          <w:color w:val="000000"/>
          <w:sz w:val="22"/>
          <w:szCs w:val="22"/>
          <w:u w:val="single"/>
        </w:rPr>
        <w:t>baja</w:t>
      </w:r>
      <w:r>
        <w:rPr>
          <w:rFonts w:ascii="Palatino Linotype" w:eastAsia="Palatino Linotype" w:hAnsi="Palatino Linotype" w:cs="Palatino Linotype"/>
          <w:color w:val="000000"/>
          <w:sz w:val="22"/>
          <w:szCs w:val="22"/>
        </w:rPr>
        <w:t>, se tomará parecer de la Dependencia o ayuntamiento de procedencia.</w:t>
      </w:r>
    </w:p>
    <w:p w:rsidR="006D4495" w:rsidRDefault="006D449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las cosas, la abrogada Ley de Documentos Administrativos e Históricos del Estado de México, publicada el veinticuatro (24) de marzo de mil novecientos ochenta y seis, ya consideraba un sistema de conservación de archivos, mismo que debía ser implementado </w:t>
      </w:r>
      <w:r>
        <w:rPr>
          <w:rFonts w:ascii="Palatino Linotype" w:eastAsia="Palatino Linotype" w:hAnsi="Palatino Linotype" w:cs="Palatino Linotype"/>
          <w:b/>
          <w:bCs/>
          <w:color w:val="000000"/>
          <w:sz w:val="22"/>
          <w:szCs w:val="22"/>
        </w:rPr>
        <w:t>a nivel estatal</w:t>
      </w:r>
      <w:r>
        <w:rPr>
          <w:rFonts w:ascii="Palatino Linotype" w:eastAsia="Palatino Linotype" w:hAnsi="Palatino Linotype" w:cs="Palatino Linotype"/>
          <w:color w:val="000000"/>
          <w:sz w:val="22"/>
          <w:szCs w:val="22"/>
        </w:rPr>
        <w:t xml:space="preserve"> y municipal por todas las dependencias públicas. Aunado a lo anterior, existía una dependencia especial denominada </w:t>
      </w:r>
      <w:r>
        <w:rPr>
          <w:rFonts w:ascii="Palatino Linotype" w:eastAsia="Palatino Linotype" w:hAnsi="Palatino Linotype" w:cs="Palatino Linotype"/>
          <w:b/>
          <w:bCs/>
          <w:color w:val="000000"/>
          <w:sz w:val="22"/>
          <w:szCs w:val="22"/>
        </w:rPr>
        <w:t xml:space="preserve">Comisión Dictaminadora de Depuración de </w:t>
      </w:r>
      <w:r>
        <w:rPr>
          <w:rFonts w:ascii="Palatino Linotype" w:eastAsia="Palatino Linotype" w:hAnsi="Palatino Linotype" w:cs="Palatino Linotype"/>
          <w:b/>
          <w:bCs/>
          <w:color w:val="000000"/>
          <w:sz w:val="22"/>
          <w:szCs w:val="22"/>
        </w:rPr>
        <w:lastRenderedPageBreak/>
        <w:t>Documentos</w:t>
      </w:r>
      <w:r>
        <w:rPr>
          <w:rFonts w:ascii="Palatino Linotype" w:eastAsia="Palatino Linotype" w:hAnsi="Palatino Linotype" w:cs="Palatino Linotype"/>
          <w:color w:val="000000"/>
          <w:sz w:val="22"/>
          <w:szCs w:val="22"/>
        </w:rPr>
        <w:t>, la cual se encargaría de auxiliar a las dependencias para tramitar la depuración y/o baja de sus documentos administrativos.</w:t>
      </w:r>
    </w:p>
    <w:p w:rsidR="006D4495" w:rsidRDefault="006D449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No es ocioso mencionar que los </w:t>
      </w:r>
      <w:r>
        <w:rPr>
          <w:rFonts w:ascii="Palatino Linotype" w:eastAsia="Palatino Linotype" w:hAnsi="Palatino Linotype" w:cs="Palatino Linotype"/>
          <w:i/>
          <w:iCs/>
          <w:color w:val="000000"/>
          <w:sz w:val="22"/>
          <w:szCs w:val="22"/>
        </w:rPr>
        <w:t>Lineamientos para la Organización y Conservación de los Archivos</w:t>
      </w:r>
      <w:r>
        <w:rPr>
          <w:rFonts w:ascii="Palatino Linotype" w:eastAsia="Palatino Linotype" w:hAnsi="Palatino Linotype" w:cs="Palatino Linotype"/>
          <w:color w:val="000000"/>
          <w:sz w:val="22"/>
          <w:szCs w:val="22"/>
        </w:rPr>
        <w:t>, publicados por el Sistema Nacional de Transparencia,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Pr>
          <w:rFonts w:ascii="Palatino Linotype" w:eastAsia="Palatino Linotype" w:hAnsi="Palatino Linotype" w:cs="Palatino Linotype"/>
          <w:color w:val="000000"/>
          <w:sz w:val="22"/>
          <w:szCs w:val="22"/>
          <w:vertAlign w:val="superscript"/>
        </w:rPr>
        <w:footnoteReference w:id="7"/>
      </w:r>
      <w:r>
        <w:rPr>
          <w:rFonts w:ascii="Palatino Linotype" w:eastAsia="Palatino Linotype" w:hAnsi="Palatino Linotype" w:cs="Palatino Linotype"/>
          <w:color w:val="000000"/>
          <w:sz w:val="22"/>
          <w:szCs w:val="22"/>
        </w:rPr>
        <w:t>.</w:t>
      </w:r>
    </w:p>
    <w:p w:rsidR="006D4495" w:rsidRDefault="006D449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Dentro del Lineamiento Cuarto, se establecen diversas definiciones, entre las que destacan las siguientes:</w:t>
      </w:r>
    </w:p>
    <w:p w:rsidR="006D4495" w:rsidRDefault="006D449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rsidR="006D4495" w:rsidRDefault="00067D6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r>
        <w:rPr>
          <w:rFonts w:ascii="Palatino Linotype" w:eastAsia="Palatino Linotype" w:hAnsi="Palatino Linotype" w:cs="Palatino Linotype"/>
          <w:b/>
          <w:bCs/>
          <w:i/>
          <w:iCs/>
          <w:color w:val="000000"/>
          <w:sz w:val="22"/>
          <w:szCs w:val="22"/>
        </w:rPr>
        <w:t>Cuarto.</w:t>
      </w:r>
      <w:r>
        <w:rPr>
          <w:rFonts w:ascii="Palatino Linotype" w:eastAsia="Palatino Linotype" w:hAnsi="Palatino Linotype" w:cs="Palatino Linotype"/>
          <w:i/>
          <w:iCs/>
          <w:color w:val="000000"/>
          <w:sz w:val="22"/>
          <w:szCs w:val="22"/>
        </w:rPr>
        <w:t xml:space="preserve"> Además de las definiciones contenidas en el artículo 3 de la Ley General de Transparencia y Acceso a la Información Pública, para efectos de los presentes lineamientos se entenderá por:</w:t>
      </w:r>
    </w:p>
    <w:p w:rsidR="006D4495" w:rsidRDefault="00067D6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rsidR="006D4495" w:rsidRDefault="00067D6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VIII. Baja documental:</w:t>
      </w:r>
      <w:r>
        <w:rPr>
          <w:rFonts w:ascii="Palatino Linotype" w:eastAsia="Palatino Linotype" w:hAnsi="Palatino Linotype" w:cs="Palatino Linotype"/>
          <w:i/>
          <w:iCs/>
          <w:color w:val="000000"/>
          <w:sz w:val="22"/>
          <w:szCs w:val="22"/>
        </w:rPr>
        <w:t xml:space="preserve"> La eliminación de aquella documentación que haya prescrito en sus valores administrativos, legales, fiscales o contables, y que no contenga valores históricos;</w:t>
      </w:r>
    </w:p>
    <w:p w:rsidR="006D4495" w:rsidRDefault="00067D6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rsidR="006D4495" w:rsidRDefault="00067D6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X. Ciclo vital del documento:</w:t>
      </w:r>
      <w:r>
        <w:rPr>
          <w:rFonts w:ascii="Palatino Linotype" w:eastAsia="Palatino Linotype" w:hAnsi="Palatino Linotype" w:cs="Palatino Linotype"/>
          <w:i/>
          <w:iCs/>
          <w:color w:val="000000"/>
          <w:sz w:val="22"/>
          <w:szCs w:val="22"/>
        </w:rPr>
        <w:t xml:space="preserve"> Las etapas de los documentos desde su producción o recepción hasta su baja o transferencia a un archivo histórico;</w:t>
      </w:r>
    </w:p>
    <w:p w:rsidR="006D4495" w:rsidRDefault="00067D6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rsidR="006D4495" w:rsidRDefault="00067D6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XVIII. Disposición documental: </w:t>
      </w:r>
      <w:r>
        <w:rPr>
          <w:rFonts w:ascii="Palatino Linotype" w:eastAsia="Palatino Linotype" w:hAnsi="Palatino Linotype" w:cs="Palatino Linotype"/>
          <w:i/>
          <w:iCs/>
          <w:color w:val="000000"/>
          <w:sz w:val="22"/>
          <w:szCs w:val="22"/>
        </w:rPr>
        <w:t>La selección sistemática de los expedientes de los archivos de trámite o concentración cuya vigencia documental o uso ha prescrito, con el fin de realizar la baja documental o transferirlos;</w:t>
      </w:r>
    </w:p>
    <w:p w:rsidR="006D4495" w:rsidRDefault="00067D6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rsidR="006D4495" w:rsidRDefault="00067D6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lastRenderedPageBreak/>
        <w:t>XXIX. Inventarios documentales:</w:t>
      </w:r>
      <w:r>
        <w:rPr>
          <w:rFonts w:ascii="Palatino Linotype" w:eastAsia="Palatino Linotype" w:hAnsi="Palatino Linotype" w:cs="Palatino Linotype"/>
          <w:i/>
          <w:iCs/>
          <w:color w:val="000000"/>
          <w:sz w:val="22"/>
          <w:szCs w:val="22"/>
        </w:rPr>
        <w:t xml:space="preserve"> Los instrumentos de consulta que describen las series y expedientes de un archivo y que permiten su localización (inventario general), transferencia (inventario de transferencia) o baja documental (inventario de baja documental);</w:t>
      </w:r>
    </w:p>
    <w:p w:rsidR="006D4495" w:rsidRDefault="00067D6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rsidR="006D4495" w:rsidRDefault="006D449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las líneas transcritas, podemos entender al </w:t>
      </w:r>
      <w:r>
        <w:rPr>
          <w:rFonts w:ascii="Palatino Linotype" w:eastAsia="Palatino Linotype" w:hAnsi="Palatino Linotype" w:cs="Palatino Linotype"/>
          <w:b/>
          <w:bCs/>
          <w:color w:val="000000"/>
          <w:sz w:val="22"/>
          <w:szCs w:val="22"/>
        </w:rPr>
        <w:t>ciclo vital de un documento</w:t>
      </w:r>
      <w:r>
        <w:rPr>
          <w:rFonts w:ascii="Palatino Linotype" w:eastAsia="Palatino Linotype" w:hAnsi="Palatino Linotype" w:cs="Palatino Linotype"/>
          <w:color w:val="000000"/>
          <w:sz w:val="22"/>
          <w:szCs w:val="22"/>
        </w:rPr>
        <w:t xml:space="preserve"> como todas las etapas consideradas desde su producción o recepción, hasta su </w:t>
      </w:r>
      <w:r>
        <w:rPr>
          <w:rFonts w:ascii="Palatino Linotype" w:eastAsia="Palatino Linotype" w:hAnsi="Palatino Linotype" w:cs="Palatino Linotype"/>
          <w:b/>
          <w:bCs/>
          <w:color w:val="000000"/>
          <w:sz w:val="22"/>
          <w:szCs w:val="22"/>
        </w:rPr>
        <w:t>baja</w:t>
      </w:r>
      <w:r>
        <w:rPr>
          <w:rFonts w:ascii="Palatino Linotype" w:eastAsia="Palatino Linotype" w:hAnsi="Palatino Linotype" w:cs="Palatino Linotype"/>
          <w:color w:val="000000"/>
          <w:sz w:val="22"/>
          <w:szCs w:val="22"/>
        </w:rPr>
        <w:t xml:space="preserve"> o transferencia a un Archivo Histórico; por su parte, la </w:t>
      </w:r>
      <w:r>
        <w:rPr>
          <w:rFonts w:ascii="Palatino Linotype" w:eastAsia="Palatino Linotype" w:hAnsi="Palatino Linotype" w:cs="Palatino Linotype"/>
          <w:b/>
          <w:bCs/>
          <w:color w:val="000000"/>
          <w:sz w:val="22"/>
          <w:szCs w:val="22"/>
        </w:rPr>
        <w:t>disposición documental</w:t>
      </w:r>
      <w:r>
        <w:rPr>
          <w:rFonts w:ascii="Palatino Linotype" w:eastAsia="Palatino Linotype" w:hAnsi="Palatino Linotype" w:cs="Palatino Linotype"/>
          <w:color w:val="000000"/>
          <w:sz w:val="22"/>
          <w:szCs w:val="22"/>
        </w:rPr>
        <w:t xml:space="preserve"> es la determinación que se otorga a un documento, una vez concluido su ciclo de vigencia, a fin de establecer su baja o transferencia a un archivo histórico; mientras que la </w:t>
      </w:r>
      <w:r>
        <w:rPr>
          <w:rFonts w:ascii="Palatino Linotype" w:eastAsia="Palatino Linotype" w:hAnsi="Palatino Linotype" w:cs="Palatino Linotype"/>
          <w:b/>
          <w:bCs/>
          <w:color w:val="000000"/>
          <w:sz w:val="22"/>
          <w:szCs w:val="22"/>
        </w:rPr>
        <w:t>baja documental</w:t>
      </w:r>
      <w:r>
        <w:rPr>
          <w:rFonts w:ascii="Palatino Linotype" w:eastAsia="Palatino Linotype" w:hAnsi="Palatino Linotype" w:cs="Palatino Linotype"/>
          <w:color w:val="000000"/>
          <w:sz w:val="22"/>
          <w:szCs w:val="22"/>
        </w:rPr>
        <w:t xml:space="preserve"> consiste en la eliminación del documento cuyos valores administrativos, legales, fiscales o contables hayan prescrito y, que no contenga valores históricos.</w:t>
      </w:r>
    </w:p>
    <w:p w:rsidR="006D4495" w:rsidRDefault="006D449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el mismo sentido, a fin de contar con un control </w:t>
      </w:r>
      <w:r>
        <w:rPr>
          <w:rFonts w:ascii="Palatino Linotype" w:eastAsia="Palatino Linotype" w:hAnsi="Palatino Linotype" w:cs="Palatino Linotype"/>
          <w:b/>
          <w:bCs/>
          <w:color w:val="000000"/>
          <w:sz w:val="22"/>
          <w:szCs w:val="22"/>
        </w:rPr>
        <w:t>preciso</w:t>
      </w:r>
      <w:r>
        <w:rPr>
          <w:rFonts w:ascii="Palatino Linotype" w:eastAsia="Palatino Linotype" w:hAnsi="Palatino Linotype" w:cs="Palatino Linotype"/>
          <w:color w:val="000000"/>
          <w:sz w:val="22"/>
          <w:szCs w:val="22"/>
        </w:rPr>
        <w:t xml:space="preserve"> sobre las transferencias y bajas documentales, las dependencias públicas deberán contar con </w:t>
      </w:r>
      <w:r>
        <w:rPr>
          <w:rFonts w:ascii="Palatino Linotype" w:eastAsia="Palatino Linotype" w:hAnsi="Palatino Linotype" w:cs="Palatino Linotype"/>
          <w:b/>
          <w:bCs/>
          <w:color w:val="000000"/>
          <w:sz w:val="22"/>
          <w:szCs w:val="22"/>
        </w:rPr>
        <w:t>inventarios de baja</w:t>
      </w:r>
      <w:r>
        <w:rPr>
          <w:rFonts w:ascii="Palatino Linotype" w:eastAsia="Palatino Linotype" w:hAnsi="Palatino Linotype" w:cs="Palatino Linotype"/>
          <w:color w:val="000000"/>
          <w:sz w:val="22"/>
          <w:szCs w:val="22"/>
        </w:rPr>
        <w:t xml:space="preserve"> y de </w:t>
      </w:r>
      <w:r>
        <w:rPr>
          <w:rFonts w:ascii="Palatino Linotype" w:eastAsia="Palatino Linotype" w:hAnsi="Palatino Linotype" w:cs="Palatino Linotype"/>
          <w:b/>
          <w:bCs/>
          <w:color w:val="000000"/>
          <w:sz w:val="22"/>
          <w:szCs w:val="22"/>
        </w:rPr>
        <w:t>transferencia</w:t>
      </w:r>
      <w:r>
        <w:rPr>
          <w:rFonts w:ascii="Palatino Linotype" w:eastAsia="Palatino Linotype" w:hAnsi="Palatino Linotype" w:cs="Palatino Linotype"/>
          <w:color w:val="000000"/>
          <w:sz w:val="22"/>
          <w:szCs w:val="22"/>
        </w:rPr>
        <w:t xml:space="preserve">, dentro de los cuales, se registrarán todos los archivos cuyo valor administrativo haya concluido y se hubieren </w:t>
      </w:r>
      <w:r>
        <w:rPr>
          <w:rFonts w:ascii="Palatino Linotype" w:eastAsia="Palatino Linotype" w:hAnsi="Palatino Linotype" w:cs="Palatino Linotype"/>
          <w:b/>
          <w:bCs/>
          <w:color w:val="000000"/>
          <w:sz w:val="22"/>
          <w:szCs w:val="22"/>
        </w:rPr>
        <w:t>eliminado,</w:t>
      </w:r>
      <w:r>
        <w:rPr>
          <w:rFonts w:ascii="Palatino Linotype" w:eastAsia="Palatino Linotype" w:hAnsi="Palatino Linotype" w:cs="Palatino Linotype"/>
          <w:color w:val="000000"/>
          <w:sz w:val="22"/>
          <w:szCs w:val="22"/>
        </w:rPr>
        <w:t xml:space="preserve"> o bien, </w:t>
      </w:r>
      <w:r>
        <w:rPr>
          <w:rFonts w:ascii="Palatino Linotype" w:eastAsia="Palatino Linotype" w:hAnsi="Palatino Linotype" w:cs="Palatino Linotype"/>
          <w:b/>
          <w:bCs/>
          <w:color w:val="000000"/>
          <w:sz w:val="22"/>
          <w:szCs w:val="22"/>
        </w:rPr>
        <w:t>transferido a un Archivo Histórico</w:t>
      </w:r>
      <w:r>
        <w:rPr>
          <w:rFonts w:ascii="Palatino Linotype" w:eastAsia="Palatino Linotype" w:hAnsi="Palatino Linotype" w:cs="Palatino Linotype"/>
          <w:color w:val="000000"/>
          <w:sz w:val="22"/>
          <w:szCs w:val="22"/>
        </w:rPr>
        <w:t>.</w:t>
      </w:r>
    </w:p>
    <w:p w:rsidR="006D4495" w:rsidRDefault="006D449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lo antes expuesto, no es posible tener por colmado el derecho de acceso a la información ejercido por el </w:t>
      </w:r>
      <w:r>
        <w:rPr>
          <w:rFonts w:ascii="Palatino Linotype" w:eastAsia="Palatino Linotype" w:hAnsi="Palatino Linotype" w:cs="Palatino Linotype"/>
          <w:b/>
          <w:bCs/>
          <w:color w:val="000000"/>
          <w:sz w:val="22"/>
          <w:szCs w:val="22"/>
        </w:rPr>
        <w:t>RECURRENTE</w:t>
      </w:r>
      <w:r>
        <w:rPr>
          <w:rFonts w:ascii="Palatino Linotype" w:eastAsia="Palatino Linotype" w:hAnsi="Palatino Linotype" w:cs="Palatino Linotype"/>
          <w:color w:val="000000"/>
          <w:sz w:val="22"/>
          <w:szCs w:val="22"/>
        </w:rPr>
        <w:t xml:space="preserve"> a través de la solicitud de información, pues si bien es cierto que la legislación en materia establece que las áreas poseedoras de la información deberán conservar los documentos en sus archivos por un periodo máximo de cinco años, también lo es que, una vez concluido el ciclo de uso y vigencia de éstos, se deberá valorar si se dan de </w:t>
      </w:r>
      <w:r>
        <w:rPr>
          <w:rFonts w:ascii="Palatino Linotype" w:eastAsia="Palatino Linotype" w:hAnsi="Palatino Linotype" w:cs="Palatino Linotype"/>
          <w:b/>
          <w:bCs/>
          <w:color w:val="000000"/>
          <w:sz w:val="22"/>
          <w:szCs w:val="22"/>
        </w:rPr>
        <w:t>baja</w:t>
      </w:r>
      <w:r>
        <w:rPr>
          <w:rFonts w:ascii="Palatino Linotype" w:eastAsia="Palatino Linotype" w:hAnsi="Palatino Linotype" w:cs="Palatino Linotype"/>
          <w:color w:val="000000"/>
          <w:sz w:val="22"/>
          <w:szCs w:val="22"/>
        </w:rPr>
        <w:t xml:space="preserve"> o, se transfieren al </w:t>
      </w:r>
      <w:r>
        <w:rPr>
          <w:rFonts w:ascii="Palatino Linotype" w:eastAsia="Palatino Linotype" w:hAnsi="Palatino Linotype" w:cs="Palatino Linotype"/>
          <w:b/>
          <w:bCs/>
          <w:color w:val="000000"/>
          <w:sz w:val="22"/>
          <w:szCs w:val="22"/>
        </w:rPr>
        <w:t>archivo histórico</w:t>
      </w:r>
      <w:r>
        <w:rPr>
          <w:rFonts w:ascii="Palatino Linotype" w:eastAsia="Palatino Linotype" w:hAnsi="Palatino Linotype" w:cs="Palatino Linotype"/>
          <w:color w:val="000000"/>
          <w:sz w:val="22"/>
          <w:szCs w:val="22"/>
        </w:rPr>
        <w:t>.</w:t>
      </w:r>
    </w:p>
    <w:p w:rsidR="006D4495" w:rsidRDefault="006D4495">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Lo anterior corresponde al procedimiento en materia de archivo para la conservación documental, teniendo como fin último la baja o la transferencia al archivo histórico, dependiendo caso por caso de la importancia del contenido del documento. </w:t>
      </w:r>
    </w:p>
    <w:p w:rsidR="006D4495" w:rsidRDefault="006D4495">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b/>
          <w:bCs/>
          <w:color w:val="222222"/>
          <w:sz w:val="22"/>
          <w:szCs w:val="22"/>
        </w:rPr>
      </w:pPr>
      <w:r>
        <w:rPr>
          <w:rFonts w:ascii="Palatino Linotype" w:eastAsia="Palatino Linotype" w:hAnsi="Palatino Linotype" w:cs="Palatino Linotype"/>
          <w:color w:val="222222"/>
          <w:sz w:val="22"/>
          <w:szCs w:val="22"/>
        </w:rPr>
        <w:t>Por lo que, de ser el caso de que la información no se localice derivado de la temporalidad, el Sujeto Obligado deberá elaborar y poner a disposición del particular un nuevo acuerdo mediante el cual se declare la inexistencia de la información con su baja documental. Por lo que es necesario traer a contexto lo que dispone la</w:t>
      </w:r>
      <w:r>
        <w:rPr>
          <w:rFonts w:ascii="Palatino Linotype" w:eastAsia="Palatino Linotype" w:hAnsi="Palatino Linotype" w:cs="Palatino Linotype"/>
          <w:b/>
          <w:bCs/>
          <w:color w:val="222222"/>
          <w:sz w:val="22"/>
          <w:szCs w:val="22"/>
        </w:rPr>
        <w:t xml:space="preserve"> Ley de Transparencia y Acceso a la Información Pública del Estado de México y Municipios</w:t>
      </w:r>
      <w:r>
        <w:rPr>
          <w:rFonts w:ascii="Palatino Linotype" w:eastAsia="Palatino Linotype" w:hAnsi="Palatino Linotype" w:cs="Palatino Linotype"/>
          <w:color w:val="222222"/>
          <w:sz w:val="22"/>
          <w:szCs w:val="22"/>
        </w:rPr>
        <w:t> en su 169, fracción III, señala:</w:t>
      </w:r>
    </w:p>
    <w:p w:rsidR="006D4495" w:rsidRDefault="00067D63">
      <w:pPr>
        <w:shd w:val="clear" w:color="auto" w:fill="FFFFFF"/>
        <w:spacing w:before="240" w:after="240" w:line="360" w:lineRule="auto"/>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color w:val="222222"/>
          <w:sz w:val="22"/>
          <w:szCs w:val="22"/>
        </w:rPr>
        <w:t> “</w:t>
      </w:r>
      <w:r>
        <w:rPr>
          <w:rFonts w:ascii="Palatino Linotype" w:eastAsia="Palatino Linotype" w:hAnsi="Palatino Linotype" w:cs="Palatino Linotype"/>
          <w:b/>
          <w:bCs/>
          <w:i/>
          <w:iCs/>
          <w:sz w:val="22"/>
          <w:szCs w:val="22"/>
        </w:rPr>
        <w:t xml:space="preserve">Artículo 169. </w:t>
      </w:r>
      <w:r>
        <w:rPr>
          <w:rFonts w:ascii="Palatino Linotype" w:eastAsia="Palatino Linotype" w:hAnsi="Palatino Linotype" w:cs="Palatino Linotype"/>
          <w:i/>
          <w:iCs/>
          <w:sz w:val="22"/>
          <w:szCs w:val="22"/>
        </w:rPr>
        <w:t>Cuando la información no se encuentre en los archivos del sujeto obligado, el Comité de Transparencia:</w:t>
      </w:r>
    </w:p>
    <w:p w:rsidR="006D4495" w:rsidRDefault="00067D63">
      <w:pPr>
        <w:spacing w:line="360" w:lineRule="auto"/>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 </w:t>
      </w:r>
      <w:r>
        <w:rPr>
          <w:rFonts w:ascii="Palatino Linotype" w:eastAsia="Palatino Linotype" w:hAnsi="Palatino Linotype" w:cs="Palatino Linotype"/>
          <w:i/>
          <w:iCs/>
          <w:sz w:val="22"/>
          <w:szCs w:val="22"/>
        </w:rPr>
        <w:t>Analizará el caso y tomará las medidas necesarias para localizar la información;</w:t>
      </w:r>
    </w:p>
    <w:p w:rsidR="006D4495" w:rsidRDefault="00067D63">
      <w:pPr>
        <w:spacing w:line="360" w:lineRule="auto"/>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II. </w:t>
      </w:r>
      <w:r>
        <w:rPr>
          <w:rFonts w:ascii="Palatino Linotype" w:eastAsia="Palatino Linotype" w:hAnsi="Palatino Linotype" w:cs="Palatino Linotype"/>
          <w:i/>
          <w:iCs/>
          <w:sz w:val="22"/>
          <w:szCs w:val="22"/>
        </w:rPr>
        <w:t>Expedirá una resolución que confirme la inexistencia del documento;</w:t>
      </w:r>
    </w:p>
    <w:p w:rsidR="006D4495" w:rsidRDefault="00067D63">
      <w:pPr>
        <w:spacing w:line="360" w:lineRule="auto"/>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III. </w:t>
      </w:r>
      <w:r>
        <w:rPr>
          <w:rFonts w:ascii="Palatino Linotype" w:eastAsia="Palatino Linotype" w:hAnsi="Palatino Linotype" w:cs="Palatino Linotype"/>
          <w:i/>
          <w:iCs/>
          <w:sz w:val="22"/>
          <w:szCs w:val="22"/>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6D4495" w:rsidRDefault="00067D63">
      <w:pPr>
        <w:spacing w:line="360" w:lineRule="auto"/>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IV. </w:t>
      </w:r>
      <w:r>
        <w:rPr>
          <w:rFonts w:ascii="Palatino Linotype" w:eastAsia="Palatino Linotype" w:hAnsi="Palatino Linotype" w:cs="Palatino Linotype"/>
          <w:i/>
          <w:iCs/>
          <w:sz w:val="22"/>
          <w:szCs w:val="22"/>
        </w:rPr>
        <w:t>Notificará al órgano interno de control o equivalente del sujeto obligado quien, en su caso, deberá iniciar el procedimiento de responsabilidad administrativa que corresponda.</w:t>
      </w:r>
    </w:p>
    <w:p w:rsidR="006D4495" w:rsidRDefault="006D4495">
      <w:pPr>
        <w:spacing w:line="360" w:lineRule="auto"/>
        <w:ind w:left="567" w:right="567"/>
        <w:jc w:val="both"/>
        <w:rPr>
          <w:rFonts w:ascii="Palatino Linotype" w:eastAsia="Palatino Linotype" w:hAnsi="Palatino Linotype" w:cs="Palatino Linotype"/>
          <w:i/>
          <w:iCs/>
        </w:rPr>
      </w:pPr>
    </w:p>
    <w:p w:rsidR="006D4495" w:rsidRDefault="00067D63">
      <w:pPr>
        <w:spacing w:line="360" w:lineRule="auto"/>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La Unidad de Transparencia deberá notificarlo al solicitante por escrito, en un plazo que no exceda de quince días hábiles contados a partir del día siguiente a la presentación de la solicitud.</w:t>
      </w:r>
    </w:p>
    <w:p w:rsidR="006D4495" w:rsidRDefault="006D4495">
      <w:pPr>
        <w:spacing w:line="360" w:lineRule="auto"/>
        <w:ind w:left="567" w:right="567"/>
        <w:jc w:val="both"/>
        <w:rPr>
          <w:rFonts w:ascii="Palatino Linotype" w:eastAsia="Palatino Linotype" w:hAnsi="Palatino Linotype" w:cs="Palatino Linotype"/>
          <w:i/>
          <w:iCs/>
          <w:sz w:val="22"/>
          <w:szCs w:val="22"/>
        </w:rPr>
      </w:pPr>
    </w:p>
    <w:p w:rsidR="006D4495" w:rsidRDefault="00067D63">
      <w:pPr>
        <w:spacing w:line="360" w:lineRule="auto"/>
        <w:ind w:left="567" w:right="567"/>
        <w:jc w:val="both"/>
        <w:rPr>
          <w:rFonts w:ascii="Palatino Linotype" w:eastAsia="Palatino Linotype" w:hAnsi="Palatino Linotype" w:cs="Palatino Linotype"/>
          <w:i/>
          <w:iCs/>
          <w:color w:val="222222"/>
          <w:sz w:val="22"/>
          <w:szCs w:val="22"/>
        </w:rPr>
      </w:pPr>
      <w:r>
        <w:rPr>
          <w:rFonts w:ascii="Palatino Linotype" w:eastAsia="Palatino Linotype" w:hAnsi="Palatino Linotype" w:cs="Palatino Linotype"/>
          <w:i/>
          <w:iCs/>
          <w:sz w:val="22"/>
          <w:szCs w:val="22"/>
        </w:rPr>
        <w:t>Este plazo podrá ampliarse hasta por otros siete días hábiles, siempre que existan razones para ello, debiendo notificarse por escrito al solicitante.” (Sic)</w:t>
      </w:r>
    </w:p>
    <w:p w:rsidR="006D4495" w:rsidRDefault="00067D63">
      <w:pPr>
        <w:numPr>
          <w:ilvl w:val="0"/>
          <w:numId w:val="1"/>
        </w:numPr>
        <w:shd w:val="clear" w:color="auto" w:fill="FFFFFF"/>
        <w:spacing w:before="240" w:after="240" w:line="360" w:lineRule="auto"/>
        <w:ind w:left="0" w:right="51"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Del precepto antes transcrito se advierte claramente que 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rsidR="006D4495" w:rsidRDefault="00067D63">
      <w:pPr>
        <w:numPr>
          <w:ilvl w:val="0"/>
          <w:numId w:val="1"/>
        </w:numPr>
        <w:shd w:val="clear" w:color="auto" w:fill="FFFFFF"/>
        <w:spacing w:before="240" w:after="240" w:line="360" w:lineRule="auto"/>
        <w:ind w:left="0" w:right="51"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Ahora bien, es importante señalar que en el caso de que no se pueda generar la información, </w:t>
      </w:r>
      <w:r>
        <w:rPr>
          <w:rFonts w:ascii="Palatino Linotype" w:eastAsia="Palatino Linotype" w:hAnsi="Palatino Linotype" w:cs="Palatino Linotype"/>
          <w:b/>
          <w:bCs/>
          <w:color w:val="222222"/>
        </w:rPr>
        <w:t>SE ORDENA AL SUJETO OBLIGADO </w:t>
      </w:r>
      <w:r>
        <w:rPr>
          <w:rFonts w:ascii="Palatino Linotype" w:eastAsia="Palatino Linotype" w:hAnsi="Palatino Linotype" w:cs="Palatino Linotype"/>
          <w:color w:val="222222"/>
        </w:rPr>
        <w:t>hacer entrega de un Acuerdo de su Comité de Transparencia en donde conste la declaratoria de inexistencia de la información.</w:t>
      </w:r>
    </w:p>
    <w:p w:rsidR="006D4495" w:rsidRDefault="00067D63">
      <w:pPr>
        <w:numPr>
          <w:ilvl w:val="0"/>
          <w:numId w:val="1"/>
        </w:numPr>
        <w:shd w:val="clear" w:color="auto" w:fill="FFFFFF"/>
        <w:spacing w:before="240" w:after="240" w:line="360" w:lineRule="auto"/>
        <w:ind w:left="0" w:right="51"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Previo a observar las formalidades que han de observarse en dicho acuerdo y para mayor entendimiento sobre el concepto de inexistencia en materia de acceso a la información pública, es necesario señalar que el </w:t>
      </w:r>
      <w:r>
        <w:rPr>
          <w:rFonts w:ascii="Palatino Linotype" w:eastAsia="Palatino Linotype" w:hAnsi="Palatino Linotype" w:cs="Palatino Linotype"/>
          <w:color w:val="222222"/>
          <w:highlight w:val="white"/>
        </w:rPr>
        <w:t>Instituto Nacional de Transparencia, Acceso a la Información y Protección de Datos Personales </w:t>
      </w:r>
      <w:r>
        <w:rPr>
          <w:rFonts w:ascii="Palatino Linotype" w:eastAsia="Palatino Linotype" w:hAnsi="Palatino Linotype" w:cs="Palatino Linotype"/>
          <w:color w:val="222222"/>
        </w:rPr>
        <w:t>emitió el criterio número 14-17, que es de la literalidad siguiente:</w:t>
      </w:r>
    </w:p>
    <w:p w:rsidR="006D4495" w:rsidRDefault="00067D63">
      <w:pPr>
        <w:shd w:val="clear" w:color="auto" w:fill="FFFFFF"/>
        <w:spacing w:line="360" w:lineRule="auto"/>
        <w:ind w:left="567" w:right="900"/>
        <w:jc w:val="center"/>
        <w:rPr>
          <w:rFonts w:ascii="Palatino Linotype" w:eastAsia="Palatino Linotype" w:hAnsi="Palatino Linotype" w:cs="Palatino Linotype"/>
          <w:b/>
          <w:bCs/>
          <w:i/>
          <w:iCs/>
          <w:color w:val="222222"/>
          <w:sz w:val="22"/>
          <w:szCs w:val="22"/>
        </w:rPr>
      </w:pPr>
      <w:r>
        <w:rPr>
          <w:rFonts w:ascii="Palatino Linotype" w:eastAsia="Palatino Linotype" w:hAnsi="Palatino Linotype" w:cs="Palatino Linotype"/>
          <w:b/>
          <w:bCs/>
          <w:i/>
          <w:iCs/>
          <w:color w:val="222222"/>
          <w:sz w:val="22"/>
          <w:szCs w:val="22"/>
        </w:rPr>
        <w:t>“Criterio 14/17</w:t>
      </w:r>
    </w:p>
    <w:p w:rsidR="006D4495" w:rsidRDefault="006D4495">
      <w:pPr>
        <w:shd w:val="clear" w:color="auto" w:fill="FFFFFF"/>
        <w:spacing w:line="360" w:lineRule="auto"/>
        <w:ind w:left="567" w:right="900"/>
        <w:jc w:val="center"/>
        <w:rPr>
          <w:rFonts w:ascii="Palatino Linotype" w:eastAsia="Palatino Linotype" w:hAnsi="Palatino Linotype" w:cs="Palatino Linotype"/>
          <w:color w:val="222222"/>
          <w:sz w:val="22"/>
          <w:szCs w:val="22"/>
        </w:rPr>
      </w:pPr>
    </w:p>
    <w:p w:rsidR="006D4495" w:rsidRDefault="00067D63">
      <w:pPr>
        <w:shd w:val="clear" w:color="auto" w:fill="FFFFFF"/>
        <w:spacing w:line="360" w:lineRule="auto"/>
        <w:ind w:left="567" w:right="900"/>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lastRenderedPageBreak/>
        <w:t>Inexistencia. La inexistencia es una cuestión de hecho que se atribuye a la información solicitada e implica que ésta </w:t>
      </w:r>
      <w:r>
        <w:rPr>
          <w:rFonts w:ascii="Palatino Linotype" w:eastAsia="Palatino Linotype" w:hAnsi="Palatino Linotype" w:cs="Palatino Linotype"/>
          <w:b/>
          <w:bCs/>
          <w:i/>
          <w:iCs/>
          <w:color w:val="222222"/>
          <w:sz w:val="22"/>
          <w:szCs w:val="22"/>
        </w:rPr>
        <w:t>no se encuentra en los archivos del sujeto obligado, no obstante que cuenta con facultades para poseerla</w:t>
      </w:r>
      <w:r>
        <w:rPr>
          <w:rFonts w:ascii="Palatino Linotype" w:eastAsia="Palatino Linotype" w:hAnsi="Palatino Linotype" w:cs="Palatino Linotype"/>
          <w:i/>
          <w:iCs/>
          <w:color w:val="222222"/>
          <w:sz w:val="22"/>
          <w:szCs w:val="22"/>
        </w:rPr>
        <w:t>.</w:t>
      </w:r>
    </w:p>
    <w:p w:rsidR="006D4495" w:rsidRDefault="00067D63">
      <w:pPr>
        <w:shd w:val="clear" w:color="auto" w:fill="FFFFFF"/>
        <w:spacing w:line="360" w:lineRule="auto"/>
        <w:ind w:left="567" w:right="900"/>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 </w:t>
      </w:r>
    </w:p>
    <w:p w:rsidR="006D4495" w:rsidRDefault="00067D63">
      <w:pPr>
        <w:shd w:val="clear" w:color="auto" w:fill="FFFFFF"/>
        <w:spacing w:line="360" w:lineRule="auto"/>
        <w:ind w:left="567" w:right="900"/>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Resoluciones: </w:t>
      </w:r>
      <w:r>
        <w:rPr>
          <w:rFonts w:ascii="Palatino Linotype" w:eastAsia="Palatino Linotype" w:hAnsi="Palatino Linotype" w:cs="Palatino Linotype"/>
          <w:color w:val="222222"/>
          <w:sz w:val="22"/>
          <w:szCs w:val="22"/>
        </w:rPr>
        <w:t>·</w:t>
      </w:r>
      <w:r>
        <w:rPr>
          <w:rFonts w:ascii="Palatino Linotype" w:eastAsia="Palatino Linotype" w:hAnsi="Palatino Linotype" w:cs="Palatino Linotype"/>
          <w:i/>
          <w:iCs/>
          <w:color w:val="222222"/>
          <w:sz w:val="22"/>
          <w:szCs w:val="22"/>
        </w:rPr>
        <w:t> RRA 4669/16. Instituto Nacional Electoral. 18 de enero de 2017. Por unanimidad. Comisionado Ponente Joel Salas Suárez. </w:t>
      </w:r>
      <w:r>
        <w:rPr>
          <w:rFonts w:ascii="Palatino Linotype" w:eastAsia="Palatino Linotype" w:hAnsi="Palatino Linotype" w:cs="Palatino Linotype"/>
          <w:color w:val="222222"/>
          <w:sz w:val="22"/>
          <w:szCs w:val="22"/>
        </w:rPr>
        <w:t>·</w:t>
      </w:r>
      <w:r>
        <w:rPr>
          <w:rFonts w:ascii="Palatino Linotype" w:eastAsia="Palatino Linotype" w:hAnsi="Palatino Linotype" w:cs="Palatino Linotype"/>
          <w:i/>
          <w:iCs/>
          <w:color w:val="222222"/>
          <w:sz w:val="22"/>
          <w:szCs w:val="22"/>
        </w:rPr>
        <w:t> RRA 0183/17. Nueva Alianza. 01 de febrero de 2017. Por unanimidad. Comisionado Ponente Francisco Javier Acuña Llamas. </w:t>
      </w:r>
      <w:r>
        <w:rPr>
          <w:rFonts w:ascii="Palatino Linotype" w:eastAsia="Palatino Linotype" w:hAnsi="Palatino Linotype" w:cs="Palatino Linotype"/>
          <w:color w:val="222222"/>
          <w:sz w:val="22"/>
          <w:szCs w:val="22"/>
        </w:rPr>
        <w:t>·</w:t>
      </w:r>
      <w:r>
        <w:rPr>
          <w:rFonts w:ascii="Palatino Linotype" w:eastAsia="Palatino Linotype" w:hAnsi="Palatino Linotype" w:cs="Palatino Linotype"/>
          <w:i/>
          <w:iCs/>
          <w:color w:val="222222"/>
          <w:sz w:val="22"/>
          <w:szCs w:val="22"/>
        </w:rPr>
        <w:t> RRA 4484/16. Instituto Nacional de Migración. 16 de febrero de 2017. Por mayoría de seis votos a favor y uno en contra de la Comisionada Areli Cano Guadiana. Comisionada Ponente María Patricia Kurczyn Villalobos.”</w:t>
      </w:r>
    </w:p>
    <w:p w:rsidR="006D4495" w:rsidRDefault="00067D63">
      <w:pPr>
        <w:shd w:val="clear" w:color="auto" w:fill="FFFFFF"/>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000000"/>
        </w:rPr>
        <w:t> </w:t>
      </w:r>
    </w:p>
    <w:p w:rsidR="006D4495" w:rsidRDefault="00067D63">
      <w:pPr>
        <w:numPr>
          <w:ilvl w:val="0"/>
          <w:numId w:val="1"/>
        </w:numPr>
        <w:shd w:val="clear" w:color="auto" w:fill="FFFFFF"/>
        <w:spacing w:after="160"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000000"/>
        </w:rPr>
        <w:t>Además como consecuencia de las disposiciones legales contenidas en la </w:t>
      </w:r>
      <w:r>
        <w:rPr>
          <w:rFonts w:ascii="Palatino Linotype" w:eastAsia="Palatino Linotype" w:hAnsi="Palatino Linotype" w:cs="Palatino Linotype"/>
          <w:b/>
          <w:bCs/>
          <w:color w:val="000000"/>
        </w:rPr>
        <w:t>Ley General de Transparencia y Acceso a la Información Pública</w:t>
      </w:r>
      <w:r>
        <w:rPr>
          <w:rFonts w:ascii="Palatino Linotype" w:eastAsia="Palatino Linotype" w:hAnsi="Palatino Linotype" w:cs="Palatino Linotype"/>
          <w:color w:val="000000"/>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Pr>
          <w:rFonts w:ascii="Palatino Linotype" w:eastAsia="Palatino Linotype" w:hAnsi="Palatino Linotype" w:cs="Palatino Linotype"/>
          <w:color w:val="000000"/>
          <w:vertAlign w:val="superscript"/>
        </w:rPr>
        <w:footnoteReference w:id="8"/>
      </w:r>
      <w:r>
        <w:rPr>
          <w:rFonts w:ascii="Palatino Linotype" w:eastAsia="Palatino Linotype" w:hAnsi="Palatino Linotype" w:cs="Palatino Linotype"/>
          <w:color w:val="000000"/>
        </w:rPr>
        <w:t>según puede apreciarse a continuación:</w:t>
      </w:r>
    </w:p>
    <w:p w:rsidR="006D4495" w:rsidRDefault="00067D63">
      <w:pPr>
        <w:shd w:val="clear" w:color="auto" w:fill="FFFFFF"/>
        <w:spacing w:before="240" w:after="360" w:line="360" w:lineRule="auto"/>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bCs/>
          <w:i/>
          <w:iCs/>
          <w:color w:val="000000"/>
          <w:sz w:val="22"/>
          <w:szCs w:val="22"/>
        </w:rPr>
        <w:t>“Artículo 19.</w:t>
      </w:r>
      <w:r>
        <w:rPr>
          <w:rFonts w:ascii="Palatino Linotype" w:eastAsia="Palatino Linotype" w:hAnsi="Palatino Linotype" w:cs="Palatino Linotype"/>
          <w:i/>
          <w:iCs/>
          <w:color w:val="000000"/>
          <w:sz w:val="22"/>
          <w:szCs w:val="22"/>
        </w:rPr>
        <w:t> Se presume que la información debe existir si se refiere a las facultades, competencias y funciones que los ordenamientos jurídicos aplicables otorgan a los sujetos obligados.</w:t>
      </w:r>
    </w:p>
    <w:p w:rsidR="006D4495" w:rsidRDefault="00067D63">
      <w:pPr>
        <w:shd w:val="clear" w:color="auto" w:fill="FFFFFF"/>
        <w:spacing w:before="240" w:after="240"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En los casos en que ciertas facultades, competencias o funciones no se hayan ejercido, se debe motivar la respuesta en función de las causas que motiven la inexistencia.</w:t>
      </w:r>
    </w:p>
    <w:p w:rsidR="006D4495" w:rsidRDefault="00067D63">
      <w:pPr>
        <w:shd w:val="clear" w:color="auto" w:fill="FFFFFF"/>
        <w:spacing w:before="240" w:after="240" w:line="360" w:lineRule="auto"/>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000000"/>
          <w:sz w:val="22"/>
          <w:szCs w:val="22"/>
        </w:rPr>
        <w:lastRenderedPageBreak/>
        <w:t>(…)</w:t>
      </w:r>
    </w:p>
    <w:p w:rsidR="006D4495" w:rsidRDefault="00067D63">
      <w:pPr>
        <w:numPr>
          <w:ilvl w:val="0"/>
          <w:numId w:val="1"/>
        </w:numPr>
        <w:shd w:val="clear" w:color="auto" w:fill="FFFFFF"/>
        <w:spacing w:after="160"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000000"/>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el criterio 0004-11 aprobado por el Pleno de este Órgano Garante, en la sesión ordinaria de fecha 25 de agosto del año 2011, que demuestran claramente el concepto de inexistencia, y en qué circunstancias debe emitirse la declaratoria respectiva:</w:t>
      </w:r>
    </w:p>
    <w:p w:rsidR="006D4495" w:rsidRDefault="00067D63">
      <w:pPr>
        <w:shd w:val="clear" w:color="auto" w:fill="FFFFFF"/>
        <w:spacing w:line="360" w:lineRule="auto"/>
        <w:ind w:left="567" w:right="567"/>
        <w:jc w:val="center"/>
        <w:rPr>
          <w:rFonts w:ascii="Palatino Linotype" w:eastAsia="Palatino Linotype" w:hAnsi="Palatino Linotype" w:cs="Palatino Linotype"/>
          <w:color w:val="222222"/>
          <w:sz w:val="22"/>
          <w:szCs w:val="22"/>
        </w:rPr>
      </w:pPr>
      <w:r>
        <w:rPr>
          <w:rFonts w:ascii="Palatino Linotype" w:eastAsia="Palatino Linotype" w:hAnsi="Palatino Linotype" w:cs="Palatino Linotype"/>
          <w:b/>
          <w:bCs/>
          <w:i/>
          <w:iCs/>
          <w:color w:val="000000"/>
          <w:sz w:val="22"/>
          <w:szCs w:val="22"/>
        </w:rPr>
        <w:t>“CRITERIO 0004-11</w:t>
      </w:r>
    </w:p>
    <w:p w:rsidR="006D4495" w:rsidRDefault="00067D63">
      <w:pPr>
        <w:shd w:val="clear" w:color="auto" w:fill="FFFFFF"/>
        <w:spacing w:line="360" w:lineRule="auto"/>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bCs/>
          <w:i/>
          <w:iCs/>
          <w:color w:val="000000"/>
          <w:sz w:val="22"/>
          <w:szCs w:val="22"/>
        </w:rPr>
        <w:t>INEXISTENCIA. DECLARATORIA DE LA. ALCANCES Y PROCEDIMIENTOS</w:t>
      </w:r>
      <w:r>
        <w:rPr>
          <w:rFonts w:ascii="Palatino Linotype" w:eastAsia="Palatino Linotype" w:hAnsi="Palatino Linotype" w:cs="Palatino Linotype"/>
          <w:i/>
          <w:iCs/>
          <w:color w:val="000000"/>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w:t>
      </w:r>
      <w:r>
        <w:rPr>
          <w:rFonts w:ascii="Palatino Linotype" w:eastAsia="Palatino Linotype" w:hAnsi="Palatino Linotype" w:cs="Palatino Linotype"/>
          <w:i/>
          <w:iCs/>
          <w:color w:val="000000"/>
          <w:sz w:val="22"/>
          <w:szCs w:val="22"/>
        </w:rPr>
        <w:lastRenderedPageBreak/>
        <w:t>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6D4495" w:rsidRDefault="00067D63">
      <w:pPr>
        <w:shd w:val="clear" w:color="auto" w:fill="FFFFFF"/>
        <w:spacing w:line="360" w:lineRule="auto"/>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000000"/>
          <w:sz w:val="22"/>
          <w:szCs w:val="22"/>
        </w:rPr>
        <w:t>Bajo el entendido de que dicha búsqueda exhaustiva permitirá dos determinaciones:</w:t>
      </w:r>
    </w:p>
    <w:p w:rsidR="006D4495" w:rsidRDefault="00067D63">
      <w:pPr>
        <w:shd w:val="clear" w:color="auto" w:fill="FFFFFF"/>
        <w:spacing w:line="360" w:lineRule="auto"/>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000000"/>
          <w:sz w:val="22"/>
          <w:szCs w:val="22"/>
        </w:rPr>
        <w:t>1ª) Que se localice la documentación que contenga la información solicitada y de ser así la información pueda entregarse al solicitante en la forma en que se encuentra disponible, o</w:t>
      </w:r>
    </w:p>
    <w:p w:rsidR="006D4495" w:rsidRDefault="00067D63">
      <w:pPr>
        <w:shd w:val="clear" w:color="auto" w:fill="FFFFFF"/>
        <w:spacing w:line="360" w:lineRule="auto"/>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000000"/>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6D4495" w:rsidRDefault="00067D63">
      <w:pPr>
        <w:shd w:val="clear" w:color="auto" w:fill="FFFFFF"/>
        <w:spacing w:line="360" w:lineRule="auto"/>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000000"/>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 (Sic)</w:t>
      </w:r>
    </w:p>
    <w:p w:rsidR="006D4495" w:rsidRDefault="00067D63">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000000"/>
        </w:rPr>
        <w:t>Bajo éste tenor se debe destacar que para que se declare la inexistencia de la información, debió haber existencia previa de la documentación y la falta posterior de la misma en los archivos del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esto es que la información se generó, poseyó o administró en el marco de las atribuciones conferidas a al Sujeto </w:t>
      </w:r>
      <w:r>
        <w:rPr>
          <w:rFonts w:ascii="Palatino Linotype" w:eastAsia="Palatino Linotype" w:hAnsi="Palatino Linotype" w:cs="Palatino Linotype"/>
          <w:color w:val="000000"/>
        </w:rPr>
        <w:lastRenderedPageBreak/>
        <w:t>Obligado, pero no la conserva por diversas razones (destrucción física, desaparición física, sustracción ilícita, baja documental, etcétera).</w:t>
      </w:r>
    </w:p>
    <w:p w:rsidR="006D4495" w:rsidRDefault="00067D63">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000000"/>
        </w:rPr>
        <w:t>En consecuencia, </w:t>
      </w:r>
      <w:r>
        <w:rPr>
          <w:rFonts w:ascii="Palatino Linotype" w:eastAsia="Palatino Linotype" w:hAnsi="Palatino Linotype" w:cs="Palatino Linotype"/>
          <w:b/>
          <w:bCs/>
          <w:color w:val="000000"/>
        </w:rPr>
        <w:t>el SUJETO OBLIGADO </w:t>
      </w:r>
      <w:r>
        <w:rPr>
          <w:rFonts w:ascii="Palatino Linotype" w:eastAsia="Palatino Linotype" w:hAnsi="Palatino Linotype" w:cs="Palatino Linotype"/>
          <w:color w:val="000000"/>
        </w:rPr>
        <w:t>en todo tiempo debió cumplir con las formalidades exigidas por el marco jurídico implicando fundar y motivar su respuesta, por lo que deberá emitir un nuevo Acuerdo del Comité de Transparencia, que se hará del conocimiento del particular, pero, en los siguientes términos:</w:t>
      </w:r>
    </w:p>
    <w:p w:rsidR="006D4495" w:rsidRDefault="00067D63">
      <w:pPr>
        <w:shd w:val="clear" w:color="auto" w:fill="FFFFFF"/>
        <w:spacing w:line="360" w:lineRule="auto"/>
        <w:ind w:right="567"/>
        <w:jc w:val="both"/>
        <w:rPr>
          <w:rFonts w:ascii="Palatino Linotype" w:eastAsia="Palatino Linotype" w:hAnsi="Palatino Linotype" w:cs="Palatino Linotype"/>
          <w:color w:val="222222"/>
        </w:rPr>
      </w:pPr>
      <w:r>
        <w:rPr>
          <w:rFonts w:ascii="Palatino Linotype" w:eastAsia="Palatino Linotype" w:hAnsi="Palatino Linotype" w:cs="Palatino Linotype"/>
          <w:color w:val="000000"/>
        </w:rPr>
        <w:t>· Deberá emitir el acuerdo de inexistencia respectivo, en el entendido, que el acto de autoridad debe estar </w:t>
      </w:r>
      <w:r>
        <w:rPr>
          <w:rFonts w:ascii="Palatino Linotype" w:eastAsia="Palatino Linotype" w:hAnsi="Palatino Linotype" w:cs="Palatino Linotype"/>
          <w:b/>
          <w:bCs/>
          <w:color w:val="000000"/>
        </w:rPr>
        <w:t>debidamente fundado y motivado.</w:t>
      </w:r>
    </w:p>
    <w:p w:rsidR="006D4495" w:rsidRDefault="00067D63">
      <w:pPr>
        <w:shd w:val="clear" w:color="auto" w:fill="FFFFFF"/>
        <w:spacing w:line="360" w:lineRule="auto"/>
        <w:ind w:left="567" w:right="567"/>
        <w:jc w:val="both"/>
        <w:rPr>
          <w:rFonts w:ascii="Palatino Linotype" w:eastAsia="Palatino Linotype" w:hAnsi="Palatino Linotype" w:cs="Palatino Linotype"/>
          <w:color w:val="222222"/>
        </w:rPr>
      </w:pPr>
      <w:r>
        <w:rPr>
          <w:rFonts w:ascii="Palatino Linotype" w:eastAsia="Palatino Linotype" w:hAnsi="Palatino Linotype" w:cs="Palatino Linotype"/>
          <w:color w:val="000000"/>
        </w:rPr>
        <w:t> </w:t>
      </w:r>
    </w:p>
    <w:p w:rsidR="006D4495" w:rsidRDefault="00067D63">
      <w:pPr>
        <w:shd w:val="clear" w:color="auto" w:fill="FFFFFF"/>
        <w:spacing w:line="360" w:lineRule="auto"/>
        <w:ind w:left="567" w:right="567"/>
        <w:jc w:val="both"/>
        <w:rPr>
          <w:rFonts w:ascii="Palatino Linotype" w:eastAsia="Palatino Linotype" w:hAnsi="Palatino Linotype" w:cs="Palatino Linotype"/>
          <w:color w:val="222222"/>
        </w:rPr>
      </w:pPr>
      <w:r>
        <w:rPr>
          <w:rFonts w:ascii="Palatino Linotype" w:eastAsia="Palatino Linotype" w:hAnsi="Palatino Linotype" w:cs="Palatino Linotype"/>
          <w:color w:val="000000"/>
        </w:rPr>
        <w:t>· Señalando el lugar y fecha de la resolución, el nombre del solicitante, la información solicitada, </w:t>
      </w:r>
      <w:r>
        <w:rPr>
          <w:rFonts w:ascii="Palatino Linotype" w:eastAsia="Palatino Linotype" w:hAnsi="Palatino Linotype" w:cs="Palatino Linotype"/>
          <w:b/>
          <w:bCs/>
          <w:color w:val="000000"/>
        </w:rPr>
        <w:t>el fundamento y motivo por el cual se determina que la información solicitada no obra en sus archivos</w:t>
      </w:r>
      <w:r>
        <w:rPr>
          <w:rFonts w:ascii="Palatino Linotype" w:eastAsia="Palatino Linotype" w:hAnsi="Palatino Linotype" w:cs="Palatino Linotype"/>
          <w:color w:val="000000"/>
        </w:rPr>
        <w:t>, los nombres y firmas autógrafas de los integrantes del Comité de Información.</w:t>
      </w:r>
    </w:p>
    <w:p w:rsidR="006D4495" w:rsidRDefault="00067D63">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000000"/>
        </w:rPr>
        <w:t>Lo anterior es así, toda vez que </w:t>
      </w:r>
      <w:r>
        <w:rPr>
          <w:rFonts w:ascii="Palatino Linotype" w:eastAsia="Palatino Linotype" w:hAnsi="Palatino Linotype" w:cs="Palatino Linotype"/>
          <w:b/>
          <w:bCs/>
          <w:color w:val="000000"/>
        </w:rPr>
        <w:t>es necesaria</w:t>
      </w:r>
      <w:r>
        <w:rPr>
          <w:rFonts w:ascii="Palatino Linotype" w:eastAsia="Palatino Linotype" w:hAnsi="Palatino Linotype" w:cs="Palatino Linotype"/>
          <w:color w:val="000000"/>
        </w:rPr>
        <w:t> la emisión del acuerdo de inexistencia en aquellos casos en que el </w:t>
      </w:r>
      <w:r>
        <w:rPr>
          <w:rFonts w:ascii="Palatino Linotype" w:eastAsia="Palatino Linotype" w:hAnsi="Palatino Linotype" w:cs="Palatino Linotype"/>
          <w:b/>
          <w:bCs/>
          <w:color w:val="000000"/>
        </w:rPr>
        <w:t>SUJETO OBLIGADO generó, administró o poseyó </w:t>
      </w:r>
      <w:r>
        <w:rPr>
          <w:rFonts w:ascii="Palatino Linotype" w:eastAsia="Palatino Linotype" w:hAnsi="Palatino Linotype" w:cs="Palatino Linotype"/>
          <w:color w:val="000000"/>
        </w:rPr>
        <w:t>la información solicitada empero previa búsqueda exhaustiva y minuciosa de la misma, no localiza la información requerida.</w:t>
      </w:r>
    </w:p>
    <w:p w:rsidR="006D4495" w:rsidRDefault="00067D63">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b/>
          <w:bCs/>
          <w:color w:val="000000"/>
        </w:rPr>
        <w:t>En ese caso</w:t>
      </w:r>
      <w:r>
        <w:rPr>
          <w:rFonts w:ascii="Palatino Linotype" w:eastAsia="Palatino Linotype" w:hAnsi="Palatino Linotype" w:cs="Palatino Linotype"/>
          <w:color w:val="000000"/>
        </w:rPr>
        <w:t> su Comité de Transparencia tiene el deber de emitir un acuerdo de inexistencia, el cual -se insiste-, se dicta en aquellos supuestos en los que si bien la información solicitada la genera, posee o administra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en el marco de las funciones de derecho público; sin embargo, éste no lo posee por la razones que se deben expresar </w:t>
      </w:r>
      <w:r>
        <w:rPr>
          <w:rFonts w:ascii="Palatino Linotype" w:eastAsia="Palatino Linotype" w:hAnsi="Palatino Linotype" w:cs="Palatino Linotype"/>
          <w:b/>
          <w:bCs/>
          <w:color w:val="000000"/>
        </w:rPr>
        <w:t xml:space="preserve">a través de un acuerdo debidamente fundado y </w:t>
      </w:r>
      <w:r>
        <w:rPr>
          <w:rFonts w:ascii="Palatino Linotype" w:eastAsia="Palatino Linotype" w:hAnsi="Palatino Linotype" w:cs="Palatino Linotype"/>
          <w:b/>
          <w:bCs/>
          <w:color w:val="000000"/>
        </w:rPr>
        <w:lastRenderedPageBreak/>
        <w:t>motivado </w:t>
      </w:r>
      <w:r>
        <w:rPr>
          <w:rFonts w:ascii="Palatino Linotype" w:eastAsia="Palatino Linotype" w:hAnsi="Palatino Linotype" w:cs="Palatino Linotype"/>
          <w:color w:val="000000"/>
        </w:rPr>
        <w:t>esto en estricto apego a lo establecido en los artículos 169 y 170 de la Ley Estatal de Transparencia, por lo que, de ser el caso de que no se cuente con la información derivado de la temporalidad, el Sujeto Obligado deberá elaborar el acuerdo de inexistencia por la baja documental.</w:t>
      </w:r>
    </w:p>
    <w:p w:rsidR="006D4495" w:rsidRDefault="00067D63">
      <w:pPr>
        <w:numPr>
          <w:ilvl w:val="0"/>
          <w:numId w:val="11"/>
        </w:numPr>
        <w:pBdr>
          <w:top w:val="nil"/>
          <w:left w:val="nil"/>
          <w:bottom w:val="nil"/>
          <w:right w:val="nil"/>
          <w:between w:val="nil"/>
        </w:pBdr>
        <w:spacing w:line="360" w:lineRule="auto"/>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Nombre particulares</w:t>
      </w:r>
    </w:p>
    <w:p w:rsidR="006D4495" w:rsidRDefault="00067D63">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000000"/>
        </w:rPr>
        <w:t xml:space="preserve">En continuidad, no pasa </w:t>
      </w:r>
      <w:r w:rsidR="007B138C">
        <w:rPr>
          <w:rFonts w:ascii="Palatino Linotype" w:eastAsia="Palatino Linotype" w:hAnsi="Palatino Linotype" w:cs="Palatino Linotype"/>
          <w:color w:val="000000"/>
        </w:rPr>
        <w:t>desapercibida</w:t>
      </w:r>
      <w:r>
        <w:rPr>
          <w:rFonts w:ascii="Palatino Linotype" w:eastAsia="Palatino Linotype" w:hAnsi="Palatino Linotype" w:cs="Palatino Linotype"/>
          <w:color w:val="000000"/>
        </w:rPr>
        <w:t xml:space="preserve">, que de las especificaciones requeridas por el particular, requiere el nombre de la persona que realiza la solicitud al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se procede a realizar el análisis de la publicidad de dicho dato personal.</w:t>
      </w:r>
    </w:p>
    <w:p w:rsidR="006D4495" w:rsidRDefault="00067D63">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 xml:space="preserve">Al respecto, se considera que el nombre de una persona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Pr>
          <w:rFonts w:ascii="Palatino Linotype" w:eastAsia="Palatino Linotype" w:hAnsi="Palatino Linotype" w:cs="Palatino Linotype"/>
          <w:i/>
          <w:iCs/>
          <w:color w:val="000000"/>
          <w:sz w:val="22"/>
          <w:szCs w:val="22"/>
        </w:rPr>
        <w:t>per se</w:t>
      </w:r>
      <w:r>
        <w:rPr>
          <w:rFonts w:ascii="Palatino Linotype" w:eastAsia="Palatino Linotype" w:hAnsi="Palatino Linotype" w:cs="Palatino Linotype"/>
          <w:color w:val="000000"/>
          <w:sz w:val="22"/>
          <w:szCs w:val="22"/>
        </w:rPr>
        <w:t xml:space="preserve"> es un elemento que hace a una persona física identificada o identificable, por lo que, </w:t>
      </w:r>
      <w:r>
        <w:rPr>
          <w:rFonts w:ascii="Palatino Linotype" w:eastAsia="Palatino Linotype" w:hAnsi="Palatino Linotype" w:cs="Palatino Linotype"/>
          <w:b/>
          <w:bCs/>
          <w:color w:val="000000"/>
          <w:sz w:val="22"/>
          <w:szCs w:val="22"/>
        </w:rPr>
        <w:t>se considera un dato personal.</w:t>
      </w:r>
    </w:p>
    <w:p w:rsidR="006D4495" w:rsidRDefault="006D4495">
      <w:pPr>
        <w:pBdr>
          <w:top w:val="nil"/>
          <w:left w:val="nil"/>
          <w:bottom w:val="nil"/>
          <w:right w:val="nil"/>
          <w:between w:val="nil"/>
        </w:pBdr>
        <w:spacing w:line="360" w:lineRule="auto"/>
        <w:ind w:right="-28"/>
        <w:jc w:val="both"/>
        <w:rPr>
          <w:rFonts w:ascii="Palatino Linotype" w:eastAsia="Palatino Linotype" w:hAnsi="Palatino Linotype" w:cs="Palatino Linotype"/>
          <w:b/>
          <w:bCs/>
          <w:color w:val="000000"/>
          <w:sz w:val="22"/>
          <w:szCs w:val="22"/>
        </w:rPr>
      </w:pPr>
    </w:p>
    <w:p w:rsidR="006D4495" w:rsidRDefault="00067D63">
      <w:pPr>
        <w:numPr>
          <w:ilvl w:val="0"/>
          <w:numId w:val="1"/>
        </w:numPr>
        <w:pBdr>
          <w:top w:val="nil"/>
          <w:left w:val="nil"/>
          <w:bottom w:val="nil"/>
          <w:right w:val="nil"/>
          <w:between w:val="nil"/>
        </w:pBdr>
        <w:spacing w:line="360" w:lineRule="auto"/>
        <w:ind w:left="0" w:right="-28" w:firstLine="0"/>
        <w:jc w:val="both"/>
        <w:rPr>
          <w:rFonts w:ascii="Century Gothic" w:eastAsia="Century Gothic" w:hAnsi="Century Gothic" w:cs="Century Gothic"/>
          <w:color w:val="000000"/>
          <w:sz w:val="22"/>
          <w:szCs w:val="22"/>
        </w:rPr>
      </w:pPr>
      <w:r>
        <w:rPr>
          <w:rFonts w:ascii="Palatino Linotype" w:eastAsia="Palatino Linotype" w:hAnsi="Palatino Linotype" w:cs="Palatino Linotype"/>
          <w:color w:val="000000"/>
          <w:sz w:val="22"/>
          <w:szCs w:val="22"/>
        </w:rPr>
        <w:t>En el presente caso, es de referir que el nombre corresponde a una persona particular que ingreso solitud de apoyo para drenajes y calles, y que no tiene relación alguna con el Ayuntamiento, por lo que, se considera que el dato actualiza la causal de clasificación, establecida en el artículo 143, fracción I, de la Ley de la materia.</w:t>
      </w:r>
    </w:p>
    <w:p w:rsidR="006D4495" w:rsidRDefault="006D4495">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6D4495" w:rsidRDefault="00067D63">
      <w:pPr>
        <w:numPr>
          <w:ilvl w:val="0"/>
          <w:numId w:val="7"/>
        </w:numPr>
        <w:pBdr>
          <w:top w:val="nil"/>
          <w:left w:val="nil"/>
          <w:bottom w:val="nil"/>
          <w:right w:val="nil"/>
          <w:between w:val="nil"/>
        </w:pBdr>
        <w:spacing w:line="360" w:lineRule="auto"/>
        <w:ind w:right="-2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Punto 3, 4 y 5 del cuadro descriptivo</w:t>
      </w:r>
    </w:p>
    <w:p w:rsidR="006D4495" w:rsidRDefault="00067D6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respecto, resulta necesario traer al estudio lo señalado en el artículo 44 del Bando Municipal de Ecatepec de Morelos, en el que refiere lo siguiente:</w:t>
      </w:r>
    </w:p>
    <w:p w:rsidR="006D4495" w:rsidRDefault="006D4495">
      <w:pPr>
        <w:ind w:left="567" w:right="539"/>
        <w:jc w:val="both"/>
        <w:rPr>
          <w:i/>
          <w:iCs/>
        </w:rPr>
      </w:pPr>
    </w:p>
    <w:p w:rsidR="006D4495" w:rsidRDefault="00067D63">
      <w:pPr>
        <w:ind w:left="567" w:right="539"/>
        <w:jc w:val="both"/>
        <w:rPr>
          <w:i/>
          <w:iCs/>
        </w:rPr>
      </w:pPr>
      <w:r>
        <w:rPr>
          <w:rFonts w:ascii="Palatino Linotype" w:eastAsia="Palatino Linotype" w:hAnsi="Palatino Linotype" w:cs="Palatino Linotype"/>
          <w:i/>
          <w:iCs/>
        </w:rPr>
        <w:t>Artículo 44. Para el ejercicio de sus atribuciones, tanto el H. Ayuntamiento como la Presidenta Municipal, se auxiliarán de las siguientes dependencias que estarán subordinadas a esta última:</w:t>
      </w:r>
    </w:p>
    <w:p w:rsidR="006D4495" w:rsidRDefault="006D4495">
      <w:pPr>
        <w:jc w:val="both"/>
        <w:rPr>
          <w:rFonts w:ascii="Palatino Linotype" w:eastAsia="Palatino Linotype" w:hAnsi="Palatino Linotype" w:cs="Palatino Linotype"/>
        </w:rPr>
      </w:pPr>
    </w:p>
    <w:p w:rsidR="006D4495" w:rsidRDefault="00067D63">
      <w:pPr>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 Secretaría del Ayuntamiento; </w:t>
      </w:r>
    </w:p>
    <w:p w:rsidR="006D4495" w:rsidRDefault="00067D63">
      <w:pPr>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 Tesorería Municipal; </w:t>
      </w:r>
    </w:p>
    <w:p w:rsidR="006D4495" w:rsidRDefault="00067D63">
      <w:pPr>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III. Contraloría Municipal; </w:t>
      </w:r>
    </w:p>
    <w:p w:rsidR="006D4495" w:rsidRDefault="00067D63">
      <w:pPr>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IV. Las Direcciones de:</w:t>
      </w:r>
    </w:p>
    <w:p w:rsidR="006D4495" w:rsidRDefault="00067D63">
      <w:pPr>
        <w:ind w:left="567" w:right="539" w:firstLine="152"/>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 Administración; </w:t>
      </w:r>
    </w:p>
    <w:p w:rsidR="006D4495" w:rsidRDefault="00067D63">
      <w:pPr>
        <w:ind w:left="567" w:right="539" w:firstLine="152"/>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b. Bienestar; </w:t>
      </w:r>
    </w:p>
    <w:p w:rsidR="006D4495" w:rsidRDefault="00067D63">
      <w:pPr>
        <w:ind w:left="567" w:right="539" w:firstLine="152"/>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c. Comunicación Social; </w:t>
      </w:r>
    </w:p>
    <w:p w:rsidR="006D4495" w:rsidRDefault="00067D63">
      <w:pPr>
        <w:ind w:left="567" w:right="539" w:firstLine="152"/>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d. Desarrollo Económico; </w:t>
      </w:r>
    </w:p>
    <w:p w:rsidR="006D4495" w:rsidRDefault="00067D63">
      <w:pPr>
        <w:ind w:left="567" w:right="539" w:firstLine="152"/>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e. Desarrollo Urbano; </w:t>
      </w:r>
    </w:p>
    <w:p w:rsidR="006D4495" w:rsidRDefault="00067D63">
      <w:pPr>
        <w:ind w:left="567" w:right="539" w:firstLine="152"/>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f. Medio Ambiente y Ecología; </w:t>
      </w:r>
    </w:p>
    <w:p w:rsidR="006D4495" w:rsidRDefault="00067D63">
      <w:pPr>
        <w:ind w:left="567" w:right="539" w:firstLine="152"/>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g. Obras Públicas; </w:t>
      </w:r>
    </w:p>
    <w:p w:rsidR="006D4495" w:rsidRDefault="00067D63">
      <w:pPr>
        <w:ind w:left="567" w:right="539" w:firstLine="152"/>
        <w:jc w:val="both"/>
        <w:rPr>
          <w:rFonts w:ascii="Palatino Linotype" w:eastAsia="Palatino Linotype" w:hAnsi="Palatino Linotype" w:cs="Palatino Linotype"/>
          <w:i/>
          <w:iCs/>
        </w:rPr>
      </w:pPr>
      <w:r>
        <w:rPr>
          <w:rFonts w:ascii="Palatino Linotype" w:eastAsia="Palatino Linotype" w:hAnsi="Palatino Linotype" w:cs="Palatino Linotype"/>
          <w:i/>
          <w:iCs/>
        </w:rPr>
        <w:t>h. Diversidad Sexual;</w:t>
      </w:r>
    </w:p>
    <w:p w:rsidR="006D4495" w:rsidRDefault="00067D63">
      <w:pPr>
        <w:ind w:left="567" w:right="539" w:firstLine="152"/>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 i. Educación; </w:t>
      </w:r>
    </w:p>
    <w:p w:rsidR="006D4495" w:rsidRDefault="00067D63">
      <w:pPr>
        <w:ind w:left="567" w:right="539" w:firstLine="152"/>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j. Gobierno; </w:t>
      </w:r>
    </w:p>
    <w:p w:rsidR="006D4495" w:rsidRDefault="00067D63">
      <w:pPr>
        <w:ind w:left="567" w:right="539" w:firstLine="152"/>
        <w:jc w:val="both"/>
        <w:rPr>
          <w:rFonts w:ascii="Palatino Linotype" w:eastAsia="Palatino Linotype" w:hAnsi="Palatino Linotype" w:cs="Palatino Linotype"/>
          <w:i/>
          <w:iCs/>
        </w:rPr>
      </w:pPr>
      <w:r>
        <w:rPr>
          <w:rFonts w:ascii="Palatino Linotype" w:eastAsia="Palatino Linotype" w:hAnsi="Palatino Linotype" w:cs="Palatino Linotype"/>
          <w:i/>
          <w:iCs/>
        </w:rPr>
        <w:t>k. Instituto Municipal de las Mujeres e Igualdad de Género;</w:t>
      </w:r>
    </w:p>
    <w:p w:rsidR="006D4495" w:rsidRDefault="00067D63">
      <w:pPr>
        <w:ind w:left="567" w:right="539" w:firstLine="152"/>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6D4495" w:rsidRDefault="006D4495">
      <w:pPr>
        <w:ind w:left="567" w:right="539" w:firstLine="152"/>
        <w:jc w:val="both"/>
        <w:rPr>
          <w:rFonts w:ascii="Palatino Linotype" w:eastAsia="Palatino Linotype" w:hAnsi="Palatino Linotype" w:cs="Palatino Linotype"/>
          <w:i/>
          <w:iCs/>
        </w:rPr>
      </w:pPr>
    </w:p>
    <w:p w:rsidR="006D4495" w:rsidRDefault="00067D6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lo anterior se colige, que el sujeto Obligado cuenta con las Dirección de Obras Públicas, área que generar, poseer y administra la información que requiere el particular, por lo que resulta necesario traer a colación sus atribuciones de acuerdo al ordenamiento legal referido en el numeral que antecede, estableciendo lo siguiente:</w:t>
      </w:r>
    </w:p>
    <w:p w:rsidR="006D4495" w:rsidRDefault="006D4495">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6D4495" w:rsidRDefault="00067D63">
      <w:pPr>
        <w:spacing w:line="360" w:lineRule="auto"/>
        <w:jc w:val="center"/>
        <w:rPr>
          <w:rFonts w:ascii="Palatino Linotype" w:eastAsia="Palatino Linotype" w:hAnsi="Palatino Linotype" w:cs="Palatino Linotype"/>
          <w:b/>
          <w:bCs/>
          <w:i/>
          <w:iCs/>
        </w:rPr>
      </w:pPr>
      <w:r>
        <w:rPr>
          <w:rFonts w:ascii="Palatino Linotype" w:eastAsia="Palatino Linotype" w:hAnsi="Palatino Linotype" w:cs="Palatino Linotype"/>
          <w:b/>
          <w:bCs/>
          <w:i/>
          <w:iCs/>
        </w:rPr>
        <w:t>De la Dirección de Obras Públicas</w:t>
      </w:r>
    </w:p>
    <w:p w:rsidR="006D4495" w:rsidRDefault="006D4495">
      <w:pPr>
        <w:spacing w:line="360" w:lineRule="auto"/>
        <w:jc w:val="both"/>
        <w:rPr>
          <w:rFonts w:ascii="Palatino Linotype" w:eastAsia="Palatino Linotype" w:hAnsi="Palatino Linotype" w:cs="Palatino Linotype"/>
        </w:rPr>
      </w:pPr>
    </w:p>
    <w:p w:rsidR="006D4495" w:rsidRDefault="00067D63">
      <w:pPr>
        <w:ind w:left="567" w:right="539"/>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61. La Dirección de Obras Públicas</w:t>
      </w:r>
      <w:r>
        <w:rPr>
          <w:rFonts w:ascii="Palatino Linotype" w:eastAsia="Palatino Linotype" w:hAnsi="Palatino Linotype" w:cs="Palatino Linotype"/>
          <w:i/>
          <w:iCs/>
          <w:sz w:val="22"/>
          <w:szCs w:val="22"/>
        </w:rPr>
        <w:t xml:space="preserve"> tendrá las funciones de planeación, programación, presupuestación, ejecución, supervisión y conservación de las obras públicas municipales y los servicios relacionados con las mismas, llevando el control y vigilancia de estas conforme a lo establecido en la Ley Orgánica Municipal del Estado de México, el Libro </w:t>
      </w:r>
      <w:r>
        <w:rPr>
          <w:rFonts w:ascii="Palatino Linotype" w:eastAsia="Palatino Linotype" w:hAnsi="Palatino Linotype" w:cs="Palatino Linotype"/>
          <w:i/>
          <w:iCs/>
          <w:sz w:val="22"/>
          <w:szCs w:val="22"/>
        </w:rPr>
        <w:lastRenderedPageBreak/>
        <w:t>Décimo Segundo del Código Administrativo del Estado de México y su Reglamento, el presente Bando Municipal y demás ordenamientos legales aplicables vigentes. Asimismo, en todo momento buscará las mejores condiciones en: costos, contratación y control de obra para construcciones, instalaciones, ampliaciones, adecuaciones, remodelaciones y demás acciones de obra pública municipal. Tratándose de recursos federales, cuando la normatividad así lo indique, se aplicará la Ley de Obras Públicas y Servicios Relacionados con las mismas.</w:t>
      </w:r>
    </w:p>
    <w:p w:rsidR="006D4495" w:rsidRDefault="006D4495">
      <w:pPr>
        <w:spacing w:line="360" w:lineRule="auto"/>
        <w:jc w:val="both"/>
        <w:rPr>
          <w:rFonts w:ascii="Palatino Linotype" w:eastAsia="Palatino Linotype" w:hAnsi="Palatino Linotype" w:cs="Palatino Linotype"/>
        </w:rPr>
      </w:pPr>
    </w:p>
    <w:p w:rsidR="006D4495" w:rsidRDefault="00067D63">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Con lo anterior se advierte que 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cuenta con atribuciones para administrar la información requerida por el particular, no obstante omitió pronunciarse al respecto</w:t>
      </w:r>
      <w:r>
        <w:rPr>
          <w:rFonts w:ascii="Palatino Linotype" w:eastAsia="Palatino Linotype" w:hAnsi="Palatino Linotype" w:cs="Palatino Linotype"/>
          <w:sz w:val="22"/>
          <w:szCs w:val="22"/>
        </w:rPr>
        <w:t>, situación de la que se duele el impetrante; de ahí que, la respuesta careció de los principios de congruencia y exhaustividad, como refuerzo de lo anterior, resulta crucial el Criterio orientador 02/17, emitido por el entonces Instituto Nacional de Transparencia y Acceso a la Información y Protección de Datos Personales, de título y texto siguientes:</w:t>
      </w:r>
    </w:p>
    <w:p w:rsidR="006D4495" w:rsidRDefault="00067D63">
      <w:pPr>
        <w:spacing w:before="80" w:after="240"/>
        <w:ind w:left="567"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“Congruencia y exhaustividad. Sus alcances para garantizar el derecho de acceso a la información. </w:t>
      </w:r>
      <w:r>
        <w:rPr>
          <w:rFonts w:ascii="Palatino Linotype" w:eastAsia="Palatino Linotype" w:hAnsi="Palatino Linotype" w:cs="Palatino Linotype"/>
          <w:i/>
          <w:iCs/>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bCs/>
          <w:i/>
          <w:iCs/>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iCs/>
          <w:sz w:val="22"/>
          <w:szCs w:val="22"/>
        </w:rPr>
        <w:t xml:space="preserve">; mientras que </w:t>
      </w:r>
      <w:r>
        <w:rPr>
          <w:rFonts w:ascii="Palatino Linotype" w:eastAsia="Palatino Linotype" w:hAnsi="Palatino Linotype" w:cs="Palatino Linotype"/>
          <w:b/>
          <w:bCs/>
          <w:i/>
          <w:iCs/>
          <w:sz w:val="22"/>
          <w:szCs w:val="22"/>
        </w:rPr>
        <w:t>la exhaustividad significa que dicha respuesta se refiera expresamente a cada uno de los puntos solicitados</w:t>
      </w:r>
      <w:r>
        <w:rPr>
          <w:rFonts w:ascii="Palatino Linotype" w:eastAsia="Palatino Linotype" w:hAnsi="Palatino Linotype" w:cs="Palatino Linotype"/>
          <w:i/>
          <w:iCs/>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6D4495" w:rsidRDefault="00067D6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Razones por las cuales lo procedente es ordenar, previa búsqueda exhaustiva y razonable, el o los documentos que den cuenta de las gestiones o bitácoras realizadas para atender la pavimentación, Actas de Visitas y Recorridos de la Presidenta Municipal, avances a la instalación del drenaje y pavimentación de la calle Gasoducto, ubicado en el poblado de San Pedro Xalostoc.</w:t>
      </w:r>
    </w:p>
    <w:p w:rsidR="006D4495" w:rsidRDefault="00067D63">
      <w:pPr>
        <w:numPr>
          <w:ilvl w:val="0"/>
          <w:numId w:val="14"/>
        </w:numPr>
        <w:pBdr>
          <w:top w:val="nil"/>
          <w:left w:val="nil"/>
          <w:bottom w:val="nil"/>
          <w:right w:val="nil"/>
          <w:between w:val="nil"/>
        </w:pBdr>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lastRenderedPageBreak/>
        <w:t>Punto 6 del cuadro descriptivo</w:t>
      </w:r>
    </w:p>
    <w:p w:rsidR="006D4495" w:rsidRDefault="006D4495">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6D4495" w:rsidRPr="007B138C" w:rsidRDefault="00067D63" w:rsidP="007B138C">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Cs w:val="22"/>
        </w:rPr>
      </w:pPr>
      <w:r w:rsidRPr="007B138C">
        <w:rPr>
          <w:rFonts w:ascii="Palatino Linotype" w:eastAsia="Palatino Linotype" w:hAnsi="Palatino Linotype" w:cs="Palatino Linotype"/>
          <w:color w:val="000000"/>
          <w:szCs w:val="22"/>
        </w:rPr>
        <w:t xml:space="preserve">En este tenor, por lo que se refiere a la manifestación del particular respecto a la </w:t>
      </w:r>
      <w:r w:rsidRPr="007B138C">
        <w:rPr>
          <w:rFonts w:ascii="Palatino Linotype" w:eastAsia="Palatino Linotype" w:hAnsi="Palatino Linotype" w:cs="Palatino Linotype"/>
          <w:b/>
          <w:bCs/>
          <w:color w:val="000000"/>
          <w:szCs w:val="22"/>
        </w:rPr>
        <w:t>copia de las gestiones u oficios en la materia emitidos a PEMEX, a las áreas de gobierno estatal o a las direcciones municipales que correspondan,</w:t>
      </w:r>
      <w:r w:rsidRPr="007B138C">
        <w:rPr>
          <w:rFonts w:ascii="Palatino Linotype" w:eastAsia="Palatino Linotype" w:hAnsi="Palatino Linotype" w:cs="Palatino Linotype"/>
          <w:color w:val="000000"/>
          <w:szCs w:val="22"/>
        </w:rPr>
        <w:t xml:space="preserve"> resulta necesario traer a colación, el artículo 115, fracción III, inciso a) y g), de la Constitución Política de los Estados Unidos Mexicanos, establece que los Municipios tendrán a su cargo, diversas funciones y servicios públicos, entre los que se encuentra el drenaje, alcantarillado y calles.</w:t>
      </w:r>
    </w:p>
    <w:p w:rsidR="006D4495" w:rsidRDefault="006D4495">
      <w:p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sz w:val="22"/>
          <w:szCs w:val="22"/>
        </w:rPr>
      </w:pPr>
    </w:p>
    <w:p w:rsidR="006D4495" w:rsidRDefault="00067D6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la misma manera, el segundo párrafo, del artículo 122 de la Constitución Política del Estado Libre y Soberano de México, establece que los Ayuntamientos de los municipios, tendrán a su cargo las funciones y servicios públicos que señale la fracción III, del artículo 115 de la Carta Magna.</w:t>
      </w:r>
    </w:p>
    <w:p w:rsidR="006D4495" w:rsidRDefault="006D4495">
      <w:p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sz w:val="22"/>
          <w:szCs w:val="22"/>
        </w:rPr>
      </w:pPr>
    </w:p>
    <w:p w:rsidR="006D4495" w:rsidRDefault="00067D6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los artículos 125, fracción I y VII y 126 de la Ley Orgánica Municipal del Estado de México, establecen que los municipios tendrán a su cargo la prestación, explotación, administración y conservación de los servicios públicos municipales, entre los que se encuentran las calles y el alcantarillado; además, que dicho servicio deberá realizarse por los ayuntamientos, a través de sus unidades administrativas u organismos auxiliares, quienes podrán coordinarse con el Estado y otros municipios para mejorar la eficacia del mismo; por lo cual, podrá concesionarse a terceros, la prestación de esta.</w:t>
      </w:r>
    </w:p>
    <w:p w:rsidR="006D4495" w:rsidRDefault="006D4495">
      <w:p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sz w:val="22"/>
          <w:szCs w:val="22"/>
        </w:rPr>
      </w:pPr>
    </w:p>
    <w:p w:rsidR="006D4495" w:rsidRDefault="00067D6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En continuidad conviene señalar que el Bando Municipal de Ecatepec de Morelos, nos refiere las atribuciones con las que cuenta la Dirección de Protección Civil y Bomberos, estableciendo lo siguiente:</w:t>
      </w:r>
    </w:p>
    <w:p w:rsidR="006D4495" w:rsidRDefault="00067D63">
      <w:pPr>
        <w:pBdr>
          <w:top w:val="nil"/>
          <w:left w:val="nil"/>
          <w:bottom w:val="nil"/>
          <w:right w:val="nil"/>
          <w:between w:val="nil"/>
        </w:pBdr>
        <w:ind w:left="567" w:right="539"/>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Artículo 70. La Dirección de Protección Civil y Bomberos</w:t>
      </w:r>
      <w:r>
        <w:rPr>
          <w:rFonts w:ascii="Palatino Linotype" w:eastAsia="Palatino Linotype" w:hAnsi="Palatino Linotype" w:cs="Palatino Linotype"/>
          <w:i/>
          <w:iCs/>
          <w:color w:val="000000"/>
          <w:sz w:val="22"/>
          <w:szCs w:val="22"/>
        </w:rPr>
        <w:t xml:space="preserve">, en aras del orden público e interés social, establecerá las bases de coordinación entre los distintos órdenes de gobierno </w:t>
      </w:r>
      <w:r>
        <w:rPr>
          <w:rFonts w:ascii="Palatino Linotype" w:eastAsia="Palatino Linotype" w:hAnsi="Palatino Linotype" w:cs="Palatino Linotype"/>
          <w:i/>
          <w:iCs/>
          <w:color w:val="000000"/>
          <w:sz w:val="22"/>
          <w:szCs w:val="22"/>
        </w:rPr>
        <w:lastRenderedPageBreak/>
        <w:t>en materia de gestión integral de riesgos y protección civil, así como con los sectores privado y social para participar en la consecución de los objetivos de este capítulo, en los términos y condiciones que el mismo establece, a saber:</w:t>
      </w:r>
    </w:p>
    <w:p w:rsidR="006D4495" w:rsidRDefault="00067D63">
      <w:pPr>
        <w:pBdr>
          <w:top w:val="nil"/>
          <w:left w:val="nil"/>
          <w:bottom w:val="nil"/>
          <w:right w:val="nil"/>
          <w:between w:val="nil"/>
        </w:pBdr>
        <w:ind w:left="567" w:right="539"/>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rsidR="006D4495" w:rsidRDefault="00067D63">
      <w:pPr>
        <w:pBdr>
          <w:top w:val="nil"/>
          <w:left w:val="nil"/>
          <w:bottom w:val="nil"/>
          <w:right w:val="nil"/>
          <w:between w:val="nil"/>
        </w:pBdr>
        <w:ind w:left="567" w:right="539"/>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III. Establecer un enfoque de coordinación metropolitana y desarrollo sustentable para la prevención y mitigación de los distintos tipos de riesgos que se presentan en el territorio municipal. Asimismo, establecer un enfoque transversal con otras áreas a efecto de dar cumplimiento a los objetivos superiores en materia de Gestión Integral de Riesgos y Protección Civil;</w:t>
      </w:r>
    </w:p>
    <w:p w:rsidR="006D4495" w:rsidRDefault="006D4495">
      <w:pPr>
        <w:pBdr>
          <w:top w:val="nil"/>
          <w:left w:val="nil"/>
          <w:bottom w:val="nil"/>
          <w:right w:val="nil"/>
          <w:between w:val="nil"/>
        </w:pBdr>
        <w:ind w:left="567" w:right="539"/>
        <w:jc w:val="both"/>
        <w:rPr>
          <w:rFonts w:ascii="Palatino Linotype" w:eastAsia="Palatino Linotype" w:hAnsi="Palatino Linotype" w:cs="Palatino Linotype"/>
          <w:b/>
          <w:bCs/>
          <w:i/>
          <w:iCs/>
          <w:color w:val="000000"/>
          <w:sz w:val="22"/>
          <w:szCs w:val="22"/>
        </w:rPr>
      </w:pPr>
    </w:p>
    <w:p w:rsidR="006D4495" w:rsidRDefault="00067D63">
      <w:pPr>
        <w:pBdr>
          <w:top w:val="nil"/>
          <w:left w:val="nil"/>
          <w:bottom w:val="nil"/>
          <w:right w:val="nil"/>
          <w:between w:val="nil"/>
        </w:pBdr>
        <w:ind w:left="567" w:right="539"/>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IV. Mitigar y/o eliminar el riesgo, bajo los ordenamientos legales vigentes en la materia, anteponiendo el interés jurídico de la vida de todo ser humano a fin de reducir los efectos ocasionados por el fenómeno perturbador;</w:t>
      </w:r>
    </w:p>
    <w:p w:rsidR="006D4495" w:rsidRDefault="00067D63">
      <w:pPr>
        <w:pBdr>
          <w:top w:val="nil"/>
          <w:left w:val="nil"/>
          <w:bottom w:val="nil"/>
          <w:right w:val="nil"/>
          <w:between w:val="nil"/>
        </w:pBdr>
        <w:ind w:left="567" w:right="539"/>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rsidR="006D4495" w:rsidRDefault="00067D63">
      <w:pPr>
        <w:pBdr>
          <w:top w:val="nil"/>
          <w:left w:val="nil"/>
          <w:bottom w:val="nil"/>
          <w:right w:val="nil"/>
          <w:between w:val="nil"/>
        </w:pBdr>
        <w:ind w:left="567" w:right="539"/>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i/>
          <w:iCs/>
          <w:color w:val="000000"/>
          <w:sz w:val="22"/>
          <w:szCs w:val="22"/>
        </w:rPr>
        <w:t>Artículo 72. Es responsabilidad de la Dirección de Protección Civil y Bomberos mantener actualizado el Atlas Municipal de Riesgos, así como de priorizar su atención en las zonas que este señala, previniendo y atendiendo los eventos causados por siniestros o desastres, protegiendo y auxiliando a la población ante la eventualidad de dichos fenómenos, y será la encargada de fomentar y conducir la prevención en materia de Gestión Integral de Riesgos y Protección Civil.</w:t>
      </w:r>
    </w:p>
    <w:p w:rsidR="006D4495" w:rsidRDefault="006D4495">
      <w:p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sz w:val="22"/>
          <w:szCs w:val="22"/>
        </w:rPr>
      </w:pPr>
    </w:p>
    <w:p w:rsidR="006D4495" w:rsidRDefault="00067D6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 lo antes descrito se puede advertir que la Dirección de Protección Civil, mantiene actualizado el Atlas Municipal de Riesgos, priorizando atención en las zonas señaladas, por tanto podría ser el área que gestioné a PEMEX, información para la actualización del Atlas Municipal de Riesgos, información que podría estar relacionada con la pavimentación de la calle de referencia, ello haciendo alusión a los ductos de  gas que pudieran obrar; sin embargo del expediente electrónico en el que se actúa, no se advierte que se haya pronunciado al respecto, ni mucho menos que se haya realizado el requerimiento de información a dicha Unidad Administrativa, por tanto no se da cumplimiento a la búsqueda exhaustiva exigida por la ley de la materia. </w:t>
      </w:r>
    </w:p>
    <w:p w:rsidR="006D4495" w:rsidRDefault="006D4495">
      <w:p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sz w:val="22"/>
          <w:szCs w:val="22"/>
        </w:rPr>
      </w:pPr>
    </w:p>
    <w:p w:rsidR="006D4495" w:rsidRDefault="00067D6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respecto es de suma importancia precisar que cualquier persona tiene el derecho al acceso de la información pública, información que consiste en aquella que </w:t>
      </w:r>
      <w:r>
        <w:rPr>
          <w:rFonts w:ascii="Palatino Linotype" w:eastAsia="Palatino Linotype" w:hAnsi="Palatino Linotype" w:cs="Palatino Linotype"/>
          <w:color w:val="000000"/>
        </w:rPr>
        <w:lastRenderedPageBreak/>
        <w:t>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6D4495" w:rsidRDefault="00067D63">
      <w:pPr>
        <w:spacing w:before="240" w:after="240"/>
        <w:ind w:left="567" w:right="53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4</w:t>
      </w:r>
      <w:r>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6D4495" w:rsidRDefault="00067D63">
      <w:pPr>
        <w:spacing w:before="240" w:after="240"/>
        <w:ind w:left="708" w:right="539" w:hanging="141"/>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vigente a la fecha de la solicitud,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6D4495" w:rsidRDefault="00067D63">
      <w:pPr>
        <w:spacing w:before="240" w:after="240"/>
        <w:ind w:left="567" w:right="53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Los sujetos obligados deben poner en práctica, políticas y programas de acceso a la información que se apeguen a criterios de publicidad, veracidad, oportunidad, precisión y suficiencia en beneficio de los solicitantes.”(Sic)</w:t>
      </w:r>
    </w:p>
    <w:p w:rsidR="006D4495" w:rsidRDefault="00067D63">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6D4495" w:rsidRDefault="00067D63">
      <w:pPr>
        <w:spacing w:before="240" w:after="240"/>
        <w:ind w:left="567" w:right="53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w:t>
      </w:r>
      <w:r>
        <w:rPr>
          <w:rFonts w:ascii="Palatino Linotype" w:eastAsia="Palatino Linotype" w:hAnsi="Palatino Linotype" w:cs="Palatino Linotype"/>
          <w:b/>
          <w:bCs/>
          <w:i/>
          <w:iCs/>
          <w:sz w:val="22"/>
          <w:szCs w:val="22"/>
        </w:rPr>
        <w:t>Artículo 12</w:t>
      </w:r>
      <w:r>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rsidR="006D4495" w:rsidRDefault="00067D63">
      <w:pPr>
        <w:spacing w:before="240" w:after="240"/>
        <w:ind w:left="567" w:right="53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6D4495" w:rsidRDefault="00067D63">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iCs/>
          <w:color w:val="000000"/>
          <w:sz w:val="22"/>
          <w:szCs w:val="22"/>
        </w:rPr>
        <w:t>ad hoc</w:t>
      </w:r>
      <w:r>
        <w:rPr>
          <w:rFonts w:ascii="Palatino Linotype" w:eastAsia="Palatino Linotype" w:hAnsi="Palatino Linotype" w:cs="Palatino Linotype"/>
          <w:color w:val="000000"/>
          <w:sz w:val="22"/>
          <w:szCs w:val="22"/>
        </w:rPr>
        <w:t>, para satisfacer el derecho de acceso a la información pública, como así lo establece</w:t>
      </w:r>
      <w:r>
        <w:rPr>
          <w:rFonts w:ascii="Palatino Linotype" w:eastAsia="Palatino Linotype" w:hAnsi="Palatino Linotype" w:cs="Palatino Linotype"/>
          <w:strike/>
          <w:color w:val="FF0000"/>
          <w:sz w:val="22"/>
          <w:szCs w:val="22"/>
        </w:rPr>
        <w:t xml:space="preserve"> </w:t>
      </w:r>
      <w:r>
        <w:rPr>
          <w:rFonts w:ascii="Palatino Linotype" w:eastAsia="Palatino Linotype" w:hAnsi="Palatino Linotype" w:cs="Palatino Linotype"/>
          <w:color w:val="000000"/>
          <w:sz w:val="22"/>
          <w:szCs w:val="22"/>
        </w:rPr>
        <w:t>el criterio 03/17 emitido por el Instituto Nacional de Transparencia, Acceso a la Información Pública y Protección de Datos Personales, los cuales señalan lo siguiente:</w:t>
      </w:r>
    </w:p>
    <w:p w:rsidR="006D4495" w:rsidRDefault="00067D63">
      <w:pPr>
        <w:spacing w:before="240" w:after="240"/>
        <w:ind w:left="567" w:right="539"/>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03/17</w:t>
      </w:r>
    </w:p>
    <w:p w:rsidR="006D4495" w:rsidRDefault="00067D63">
      <w:pPr>
        <w:spacing w:before="240" w:after="240"/>
        <w:ind w:left="567" w:right="539"/>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“NO EXISTE OBLIGACIÓN DE ELABORAR DOCUMENTOS AD HOC PARA ATENDER LAS SOLICITUDES DE ACCESO A LA INFORMACIÓN.</w:t>
      </w:r>
    </w:p>
    <w:p w:rsidR="006D4495" w:rsidRDefault="00067D63">
      <w:pPr>
        <w:spacing w:before="240" w:after="240"/>
        <w:ind w:left="567" w:right="53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Los artículos 129 de la Ley General de Transparencia y Acceso a la Información Pública y 130, párrafo cuarto, vigente a la fecha de la solicitud,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6D4495" w:rsidRDefault="00067D63">
      <w:pPr>
        <w:numPr>
          <w:ilvl w:val="0"/>
          <w:numId w:val="1"/>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otra parte, y aunado a lo antepuesto, el último párrafo del artículo 24 de la Ley de la materia, dispone que los Sujetos Obligados sólo proporcionarán la </w:t>
      </w:r>
      <w:r>
        <w:rPr>
          <w:rFonts w:ascii="Palatino Linotype" w:eastAsia="Palatino Linotype" w:hAnsi="Palatino Linotype" w:cs="Palatino Linotype"/>
          <w:color w:val="000000"/>
        </w:rPr>
        <w:lastRenderedPageBreak/>
        <w:t>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6D4495" w:rsidRDefault="006D449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D4495" w:rsidRDefault="00067D6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6D4495" w:rsidRDefault="006D4495">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6D4495" w:rsidRDefault="00067D63">
      <w:pPr>
        <w:numPr>
          <w:ilvl w:val="0"/>
          <w:numId w:val="1"/>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w:t>
      </w:r>
      <w:r>
        <w:rPr>
          <w:rFonts w:ascii="Palatino Linotype" w:eastAsia="Palatino Linotype" w:hAnsi="Palatino Linotype" w:cs="Palatino Linotype"/>
          <w:b/>
          <w:bCs/>
          <w:color w:val="000000"/>
          <w:u w:val="single"/>
        </w:rPr>
        <w:t>oficios</w:t>
      </w:r>
      <w:r>
        <w:rPr>
          <w:rFonts w:ascii="Palatino Linotype" w:eastAsia="Palatino Linotype" w:hAnsi="Palatino Linotype" w:cs="Palatino Linotype"/>
          <w:color w:val="000000"/>
        </w:rPr>
        <w:t xml:space="preserve">,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6D4495" w:rsidRDefault="00067D63">
      <w:pPr>
        <w:spacing w:before="240" w:after="240"/>
        <w:ind w:left="567" w:right="53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 xml:space="preserve">Artículo 3. </w:t>
      </w:r>
      <w:r>
        <w:rPr>
          <w:rFonts w:ascii="Palatino Linotype" w:eastAsia="Palatino Linotype" w:hAnsi="Palatino Linotype" w:cs="Palatino Linotype"/>
          <w:i/>
          <w:iCs/>
          <w:sz w:val="22"/>
          <w:szCs w:val="22"/>
        </w:rPr>
        <w:t>Para los efectos de la presente Ley se entenderá por:</w:t>
      </w:r>
    </w:p>
    <w:p w:rsidR="006D4495" w:rsidRDefault="00067D63">
      <w:pPr>
        <w:spacing w:before="240" w:after="240"/>
        <w:ind w:left="567" w:right="53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w:t>
      </w:r>
    </w:p>
    <w:p w:rsidR="006D4495" w:rsidRDefault="00067D63">
      <w:pPr>
        <w:spacing w:before="240" w:after="240"/>
        <w:ind w:left="567" w:right="539"/>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XI. Documento:</w:t>
      </w:r>
      <w:r>
        <w:rPr>
          <w:rFonts w:ascii="Palatino Linotype" w:eastAsia="Palatino Linotype" w:hAnsi="Palatino Linotype" w:cs="Palatino Linotype"/>
          <w:i/>
          <w:iCs/>
          <w:sz w:val="22"/>
          <w:szCs w:val="22"/>
        </w:rPr>
        <w:t xml:space="preserve"> Los expedientes, reportes, estudios, </w:t>
      </w:r>
      <w:r>
        <w:rPr>
          <w:rFonts w:ascii="Palatino Linotype" w:eastAsia="Palatino Linotype" w:hAnsi="Palatino Linotype" w:cs="Palatino Linotype"/>
          <w:b/>
          <w:bCs/>
          <w:i/>
          <w:iCs/>
          <w:sz w:val="22"/>
          <w:szCs w:val="22"/>
        </w:rPr>
        <w:t>actas,</w:t>
      </w:r>
      <w:r>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bCs/>
          <w:i/>
          <w:iCs/>
          <w:sz w:val="22"/>
          <w:szCs w:val="22"/>
        </w:rPr>
        <w:t>…</w:t>
      </w:r>
      <w:r>
        <w:rPr>
          <w:rFonts w:ascii="Palatino Linotype" w:eastAsia="Palatino Linotype" w:hAnsi="Palatino Linotype" w:cs="Palatino Linotype"/>
          <w:i/>
          <w:iCs/>
          <w:sz w:val="22"/>
          <w:szCs w:val="22"/>
        </w:rPr>
        <w:t>” (Sic)</w:t>
      </w:r>
    </w:p>
    <w:p w:rsidR="006D4495" w:rsidRDefault="00067D63">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6D4495" w:rsidRDefault="00067D63">
      <w:pPr>
        <w:spacing w:before="240" w:after="240"/>
        <w:ind w:left="567" w:right="539"/>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sz w:val="22"/>
          <w:szCs w:val="22"/>
        </w:rPr>
        <w:t>“</w:t>
      </w:r>
      <w:r>
        <w:rPr>
          <w:rFonts w:ascii="Palatino Linotype" w:eastAsia="Palatino Linotype" w:hAnsi="Palatino Linotype" w:cs="Palatino Linotype"/>
          <w:b/>
          <w:bCs/>
          <w:i/>
          <w:iCs/>
          <w:sz w:val="22"/>
          <w:szCs w:val="22"/>
        </w:rPr>
        <w:t>CRITERIO 0002-11</w:t>
      </w:r>
    </w:p>
    <w:p w:rsidR="006D4495" w:rsidRDefault="00067D63">
      <w:pPr>
        <w:spacing w:before="240" w:after="240"/>
        <w:ind w:left="567" w:right="539"/>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D4495" w:rsidRDefault="00067D63">
      <w:pPr>
        <w:spacing w:before="240" w:after="240"/>
        <w:ind w:left="567" w:right="53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consecuencia el acceso a la información se refiere a que se cumplan cualquiera de los siguientes tres supuestos:</w:t>
      </w:r>
    </w:p>
    <w:p w:rsidR="006D4495" w:rsidRDefault="00067D63">
      <w:pPr>
        <w:numPr>
          <w:ilvl w:val="0"/>
          <w:numId w:val="8"/>
        </w:numPr>
        <w:spacing w:before="240" w:after="240"/>
        <w:ind w:left="567" w:right="539"/>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Que se trate de información registrada en cualquier soporte documental, que en ejercicio de las atribuciones conferidas, sea generada por los Sujetos Obligados;</w:t>
      </w:r>
    </w:p>
    <w:p w:rsidR="006D4495" w:rsidRDefault="00067D63">
      <w:pPr>
        <w:numPr>
          <w:ilvl w:val="0"/>
          <w:numId w:val="8"/>
        </w:numPr>
        <w:spacing w:before="240" w:after="240"/>
        <w:ind w:left="567" w:right="53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Que se trate de información registrada en cualquier soporte documental, que en ejercicio de las atribuciones conferidas, sea administrada por los Sujetos Obligados, y</w:t>
      </w:r>
    </w:p>
    <w:p w:rsidR="006D4495" w:rsidRDefault="00067D63" w:rsidP="00C13FB3">
      <w:pPr>
        <w:pStyle w:val="Prrafodelista"/>
        <w:numPr>
          <w:ilvl w:val="0"/>
          <w:numId w:val="8"/>
        </w:numPr>
        <w:spacing w:before="240" w:after="240"/>
        <w:ind w:right="539"/>
        <w:jc w:val="both"/>
        <w:rPr>
          <w:rFonts w:ascii="Palatino Linotype" w:eastAsia="Palatino Linotype" w:hAnsi="Palatino Linotype" w:cs="Palatino Linotype"/>
          <w:i/>
          <w:iCs/>
          <w:szCs w:val="22"/>
        </w:rPr>
      </w:pPr>
      <w:r w:rsidRPr="00C13FB3">
        <w:rPr>
          <w:rFonts w:ascii="Palatino Linotype" w:eastAsia="Palatino Linotype" w:hAnsi="Palatino Linotype" w:cs="Palatino Linotype"/>
          <w:i/>
          <w:iCs/>
          <w:szCs w:val="22"/>
        </w:rPr>
        <w:lastRenderedPageBreak/>
        <w:t>Que se trate de información registrada en cualquier soporte documental, que en ejercicio de las atribuciones conferidas, se encuentre en posesión de los Sujetos Obligados.” (Sic)</w:t>
      </w:r>
    </w:p>
    <w:p w:rsidR="00C13FB3" w:rsidRPr="00C13FB3" w:rsidRDefault="00C13FB3" w:rsidP="00C13FB3">
      <w:pPr>
        <w:pStyle w:val="Prrafodelista"/>
        <w:spacing w:before="240" w:after="240"/>
        <w:ind w:left="1494" w:right="539"/>
        <w:jc w:val="both"/>
        <w:rPr>
          <w:rFonts w:ascii="Palatino Linotype" w:eastAsia="Palatino Linotype" w:hAnsi="Palatino Linotype" w:cs="Palatino Linotype"/>
          <w:i/>
          <w:iCs/>
          <w:szCs w:val="22"/>
        </w:rPr>
      </w:pPr>
    </w:p>
    <w:p w:rsidR="006D4495" w:rsidRDefault="00067D6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ahí que </w:t>
      </w:r>
      <w:r>
        <w:rPr>
          <w:rFonts w:ascii="Palatino Linotype" w:eastAsia="Palatino Linotype" w:hAnsi="Palatino Linotype" w:cs="Palatino Linotype"/>
          <w:b/>
          <w:bCs/>
          <w:color w:val="000000"/>
        </w:rPr>
        <w:t>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color w:val="000000"/>
          <w:vertAlign w:val="superscript"/>
        </w:rPr>
        <w:footnoteReference w:id="9"/>
      </w:r>
      <w:r>
        <w:rPr>
          <w:rFonts w:ascii="Palatino Linotype" w:eastAsia="Palatino Linotype" w:hAnsi="Palatino Linotype" w:cs="Palatino Linotype"/>
          <w:color w:val="000000"/>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color w:val="000000"/>
          <w:vertAlign w:val="superscript"/>
        </w:rPr>
        <w:footnoteReference w:id="10"/>
      </w:r>
      <w:r>
        <w:rPr>
          <w:rFonts w:ascii="Palatino Linotype" w:eastAsia="Palatino Linotype" w:hAnsi="Palatino Linotype" w:cs="Palatino Linotype"/>
          <w:color w:val="000000"/>
        </w:rPr>
        <w:t>.</w:t>
      </w:r>
    </w:p>
    <w:p w:rsidR="00C13FB3" w:rsidRDefault="00C13FB3" w:rsidP="00C13FB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D4495" w:rsidRDefault="00067D6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anteriormente señalado, se advierte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tiene competencia para conocer de lo solicitado por el particular, en consecuencia, una vez analizadas las constancias que integran el expediente electrónico, y en mérito de lo expuesto en líneas anteriores, resultan  fundadas las razones o motivos de inconformidad hechos valer por el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dentro del recurso de revisión </w:t>
      </w:r>
      <w:r>
        <w:rPr>
          <w:rFonts w:ascii="Palatino Linotype" w:eastAsia="Palatino Linotype" w:hAnsi="Palatino Linotype" w:cs="Palatino Linotype"/>
          <w:b/>
          <w:bCs/>
          <w:color w:val="000000"/>
        </w:rPr>
        <w:t>9888/INFOEM/IP/RR/2025</w:t>
      </w:r>
      <w:r>
        <w:rPr>
          <w:rFonts w:ascii="Palatino Linotype" w:eastAsia="Palatino Linotype" w:hAnsi="Palatino Linotype" w:cs="Palatino Linotype"/>
          <w:color w:val="000000"/>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bCs/>
          <w:color w:val="000000"/>
        </w:rPr>
        <w:t>MODIFICA</w:t>
      </w:r>
      <w:r>
        <w:rPr>
          <w:rFonts w:ascii="Palatino Linotype" w:eastAsia="Palatino Linotype" w:hAnsi="Palatino Linotype" w:cs="Palatino Linotype"/>
          <w:color w:val="000000"/>
        </w:rPr>
        <w:t xml:space="preserve"> la respuesta del Sujeto Obligado. </w:t>
      </w:r>
    </w:p>
    <w:p w:rsidR="006D4495" w:rsidRDefault="00067D6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lastRenderedPageBreak/>
        <w:t>QUINTO. De la versión pública.</w:t>
      </w:r>
    </w:p>
    <w:p w:rsidR="006D4495" w:rsidRDefault="00067D6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Debe destacarse que, debido a la naturaleza de la información solicitada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6D4495" w:rsidRDefault="006D449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clasificación total o parcial de la información requerida, mediante solicitud de acceso a la información pública, constituye una restricción al derecho humano de acceso a la información, por lo que es menester reiterar los mismos:</w:t>
      </w:r>
    </w:p>
    <w:p w:rsidR="006D4495" w:rsidRDefault="006D449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tbl>
      <w:tblPr>
        <w:tblStyle w:val="a6"/>
        <w:tblW w:w="9493"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415"/>
        <w:gridCol w:w="7078"/>
      </w:tblGrid>
      <w:tr w:rsidR="006D4495" w:rsidTr="00C13FB3">
        <w:tc>
          <w:tcPr>
            <w:tcW w:w="2415" w:type="dxa"/>
          </w:tcPr>
          <w:p w:rsidR="006D4495" w:rsidRDefault="00067D63">
            <w:pPr>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 Requisitos previos.</w:t>
            </w:r>
          </w:p>
        </w:tc>
        <w:tc>
          <w:tcPr>
            <w:tcW w:w="7078" w:type="dxa"/>
          </w:tcPr>
          <w:p w:rsidR="006D4495" w:rsidRDefault="00067D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6D4495" w:rsidRDefault="00067D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hacerlo tienen que precisar de qué información se trata, señalando el supuesto de clasificación (confidencialidad o reserva).</w:t>
            </w:r>
          </w:p>
          <w:p w:rsidR="006D4495" w:rsidRDefault="00067D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se debe señalar el procedimiento, de los tres que establecen los artículos 132 y 106 de la Ley Estatal y General, respectivamente.</w:t>
            </w:r>
          </w:p>
          <w:p w:rsidR="006D4495" w:rsidRDefault="00067D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último de estos requisitos previos consiste en que no se pueden emitir acuerdos de carácter general ni particular, esto es, </w:t>
            </w:r>
            <w:r>
              <w:rPr>
                <w:rFonts w:ascii="Palatino Linotype" w:eastAsia="Palatino Linotype" w:hAnsi="Palatino Linotype" w:cs="Palatino Linotype"/>
                <w:sz w:val="22"/>
                <w:szCs w:val="22"/>
                <w:u w:val="single"/>
              </w:rPr>
              <w:t xml:space="preserve">no se puede hacer un acuerdo para clasificar de manera general todos los documentos de un expediente o área,  </w:t>
            </w:r>
            <w:r>
              <w:rPr>
                <w:rFonts w:ascii="Palatino Linotype" w:eastAsia="Palatino Linotype" w:hAnsi="Palatino Linotype" w:cs="Palatino Linotype"/>
                <w:sz w:val="22"/>
                <w:szCs w:val="22"/>
              </w:rPr>
              <w:t xml:space="preserve">sin individualizar su análisis y </w:t>
            </w:r>
            <w:r>
              <w:rPr>
                <w:rFonts w:ascii="Palatino Linotype" w:eastAsia="Palatino Linotype" w:hAnsi="Palatino Linotype" w:cs="Palatino Linotype"/>
                <w:sz w:val="22"/>
                <w:szCs w:val="22"/>
              </w:rPr>
              <w:lastRenderedPageBreak/>
              <w:t>tampoco se puede hacer un acuerdo por cada dato que se vaya a clasificar dentro de un documento con diez datos, por ejemplo, susceptibles de ser clasificados.</w:t>
            </w:r>
          </w:p>
        </w:tc>
      </w:tr>
      <w:tr w:rsidR="006D4495" w:rsidTr="00C13FB3">
        <w:tc>
          <w:tcPr>
            <w:tcW w:w="2415" w:type="dxa"/>
          </w:tcPr>
          <w:p w:rsidR="006D4495" w:rsidRDefault="00067D63">
            <w:pPr>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b) Supuestos de clasificación.</w:t>
            </w:r>
          </w:p>
        </w:tc>
        <w:tc>
          <w:tcPr>
            <w:tcW w:w="7078" w:type="dxa"/>
          </w:tcPr>
          <w:p w:rsidR="006D4495" w:rsidRDefault="00067D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disposiciones constitucionales y legales en la materia establecen los dos supuestos generales para clasificar la información: por reserva y por confidencialidad.</w:t>
            </w:r>
          </w:p>
          <w:p w:rsidR="006D4495" w:rsidRDefault="00067D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6D4495" w:rsidRDefault="00067D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D4495" w:rsidTr="00C13FB3">
        <w:tc>
          <w:tcPr>
            <w:tcW w:w="2415" w:type="dxa"/>
          </w:tcPr>
          <w:p w:rsidR="006D4495" w:rsidRDefault="00067D63">
            <w:pPr>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 Formalidades para emitir el acuerdo de clasificación.</w:t>
            </w:r>
          </w:p>
        </w:tc>
        <w:tc>
          <w:tcPr>
            <w:tcW w:w="7078" w:type="dxa"/>
          </w:tcPr>
          <w:p w:rsidR="006D4495" w:rsidRDefault="00067D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Comité de Transparencia, según lo dispuesto en los artículos cuenta con las facultades para aprobar, modificar o revocar la clasificación de la información que haya propuesto. </w:t>
            </w:r>
          </w:p>
          <w:p w:rsidR="006D4495" w:rsidRDefault="00067D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 necesario que </w:t>
            </w:r>
            <w:r>
              <w:rPr>
                <w:rFonts w:ascii="Palatino Linotype" w:eastAsia="Palatino Linotype" w:hAnsi="Palatino Linotype" w:cs="Palatino Linotype"/>
                <w:b/>
                <w:bCs/>
                <w:sz w:val="22"/>
                <w:szCs w:val="22"/>
                <w:u w:val="single"/>
              </w:rPr>
              <w:t>el acto reúna con los requisitos elementales</w:t>
            </w:r>
            <w:r>
              <w:rPr>
                <w:rFonts w:ascii="Palatino Linotype" w:eastAsia="Palatino Linotype" w:hAnsi="Palatino Linotype" w:cs="Palatino Linotype"/>
                <w:sz w:val="22"/>
                <w:szCs w:val="22"/>
              </w:rPr>
              <w:t>, entre ellos, que la autoridad que va a emitir el acto de autoridad sea la legalmente facultada para ello.</w:t>
            </w:r>
          </w:p>
          <w:p w:rsidR="006D4495" w:rsidRDefault="00067D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D4495" w:rsidTr="00C13FB3">
        <w:tc>
          <w:tcPr>
            <w:tcW w:w="2415" w:type="dxa"/>
          </w:tcPr>
          <w:p w:rsidR="006D4495" w:rsidRDefault="006D4495">
            <w:pPr>
              <w:spacing w:line="360" w:lineRule="auto"/>
              <w:rPr>
                <w:rFonts w:ascii="Palatino Linotype" w:eastAsia="Palatino Linotype" w:hAnsi="Palatino Linotype" w:cs="Palatino Linotype"/>
                <w:sz w:val="22"/>
                <w:szCs w:val="22"/>
              </w:rPr>
            </w:pPr>
          </w:p>
          <w:p w:rsidR="006D4495" w:rsidRDefault="00067D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 Requisitos de fondo del acuerdo de clasificación. </w:t>
            </w:r>
          </w:p>
        </w:tc>
        <w:tc>
          <w:tcPr>
            <w:tcW w:w="7078" w:type="dxa"/>
          </w:tcPr>
          <w:p w:rsidR="006D4495" w:rsidRDefault="00067D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bCs/>
                <w:sz w:val="22"/>
                <w:szCs w:val="22"/>
              </w:rPr>
              <w:t>Sujetos Obligados</w:t>
            </w:r>
            <w:r>
              <w:rPr>
                <w:rFonts w:ascii="Palatino Linotype" w:eastAsia="Palatino Linotype" w:hAnsi="Palatino Linotype" w:cs="Palatino Linotype"/>
                <w:sz w:val="22"/>
                <w:szCs w:val="22"/>
              </w:rPr>
              <w:t xml:space="preserve">, por lo que deberán fundar y motivar debidamente la clasificación. </w:t>
            </w:r>
          </w:p>
          <w:p w:rsidR="006D4495" w:rsidRDefault="00067D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lo anterior, se desprende que para una correcta </w:t>
            </w:r>
            <w:r>
              <w:rPr>
                <w:rFonts w:ascii="Palatino Linotype" w:eastAsia="Palatino Linotype" w:hAnsi="Palatino Linotype" w:cs="Palatino Linotype"/>
                <w:b/>
                <w:bCs/>
                <w:sz w:val="22"/>
                <w:szCs w:val="22"/>
              </w:rPr>
              <w:t>clasificación total o parcial</w:t>
            </w:r>
            <w:r>
              <w:rPr>
                <w:rFonts w:ascii="Palatino Linotype" w:eastAsia="Palatino Linotype" w:hAnsi="Palatino Linotype" w:cs="Palatino Linotype"/>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D4495" w:rsidRDefault="00067D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w:t>
            </w:r>
            <w:r>
              <w:rPr>
                <w:rFonts w:ascii="Palatino Linotype" w:eastAsia="Palatino Linotype" w:hAnsi="Palatino Linotype" w:cs="Palatino Linotype"/>
                <w:sz w:val="22"/>
                <w:szCs w:val="22"/>
              </w:rPr>
              <w:lastRenderedPageBreak/>
              <w:t>fundamentos de derecho. De este modo, la persona que se sienta afectada pueda impugnar la decisión, permitiéndole una real y auténtica defensa.</w:t>
            </w:r>
          </w:p>
          <w:p w:rsidR="006D4495" w:rsidRDefault="00067D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mismo sentido, el numeral trigésimo tercero fracción V de los Lineamientos Generales, precisa que para motivar la clasificación se deben acreditar las circunstancias de tiempo, modo y lugar.</w:t>
            </w:r>
          </w:p>
          <w:p w:rsidR="006D4495" w:rsidRDefault="00067D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w:t>
            </w:r>
            <w:r>
              <w:rPr>
                <w:rFonts w:ascii="Palatino Linotype" w:eastAsia="Palatino Linotype" w:hAnsi="Palatino Linotype" w:cs="Palatino Linotype"/>
                <w:b/>
                <w:bCs/>
                <w:sz w:val="22"/>
                <w:szCs w:val="22"/>
                <w:u w:val="single"/>
              </w:rPr>
              <w:t>para cada caso además de fundar y motivar</w:t>
            </w:r>
            <w:r>
              <w:rPr>
                <w:rFonts w:ascii="Palatino Linotype" w:eastAsia="Palatino Linotype" w:hAnsi="Palatino Linotype" w:cs="Palatino Linotype"/>
                <w:sz w:val="22"/>
                <w:szCs w:val="22"/>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D4495" w:rsidTr="00C13FB3">
        <w:tc>
          <w:tcPr>
            <w:tcW w:w="2415" w:type="dxa"/>
          </w:tcPr>
          <w:p w:rsidR="006D4495" w:rsidRDefault="00067D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e) Condiciones especiales de la clasificación de la información como confidencial. </w:t>
            </w:r>
          </w:p>
          <w:p w:rsidR="006D4495" w:rsidRDefault="006D4495">
            <w:pPr>
              <w:spacing w:line="360" w:lineRule="auto"/>
              <w:rPr>
                <w:rFonts w:ascii="Palatino Linotype" w:eastAsia="Palatino Linotype" w:hAnsi="Palatino Linotype" w:cs="Palatino Linotype"/>
                <w:sz w:val="22"/>
                <w:szCs w:val="22"/>
              </w:rPr>
            </w:pPr>
          </w:p>
        </w:tc>
        <w:tc>
          <w:tcPr>
            <w:tcW w:w="7078" w:type="dxa"/>
          </w:tcPr>
          <w:p w:rsidR="006D4495" w:rsidRDefault="00067D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Los artículos 148 y 120 de la Ley Estatal y de la Ley General, respectivamente, establecen que aun tratándose de datos personales, se podrán proporcionar, incluso sin solicitar el consentimiento de su titular. </w:t>
            </w:r>
          </w:p>
          <w:p w:rsidR="006D4495" w:rsidRDefault="00067D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6D4495" w:rsidRDefault="00067D63">
            <w:pPr>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Pero si la información que se pretende clasificar como confidencial no se encuentra en los supuestos de los artículos señalados y es posible, se deberá consultar al titular de los datos si permite o no el acceso. De </w:t>
            </w:r>
            <w:r>
              <w:rPr>
                <w:rFonts w:ascii="Palatino Linotype" w:eastAsia="Palatino Linotype" w:hAnsi="Palatino Linotype" w:cs="Palatino Linotype"/>
                <w:sz w:val="22"/>
                <w:szCs w:val="22"/>
              </w:rPr>
              <w:lastRenderedPageBreak/>
              <w:t>no ser posible, la realización de la consulta, procede, fundando y motivando, la clasificación.</w:t>
            </w:r>
          </w:p>
        </w:tc>
      </w:tr>
    </w:tbl>
    <w:p w:rsidR="006D4495" w:rsidRDefault="006D449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rsidR="006D4495" w:rsidRDefault="00067D6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C13FB3" w:rsidRDefault="00C13FB3" w:rsidP="00C13FB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D4495" w:rsidRDefault="00067D6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anteriormente expuesto y fundado, este </w:t>
      </w:r>
      <w:r>
        <w:rPr>
          <w:rFonts w:ascii="Palatino Linotype" w:eastAsia="Palatino Linotype" w:hAnsi="Palatino Linotype" w:cs="Palatino Linotype"/>
          <w:b/>
          <w:bCs/>
          <w:color w:val="000000"/>
        </w:rPr>
        <w:t>ÓRGANO GARANTE</w:t>
      </w:r>
      <w:r>
        <w:rPr>
          <w:rFonts w:ascii="Palatino Linotype" w:eastAsia="Palatino Linotype" w:hAnsi="Palatino Linotype" w:cs="Palatino Linotype"/>
          <w:color w:val="000000"/>
        </w:rPr>
        <w:t xml:space="preserve"> emite los siguientes:</w:t>
      </w:r>
    </w:p>
    <w:p w:rsidR="006D4495" w:rsidRDefault="00067D63">
      <w:pPr>
        <w:keepNext/>
        <w:keepLines/>
        <w:spacing w:line="360" w:lineRule="auto"/>
        <w:jc w:val="center"/>
        <w:rPr>
          <w:rFonts w:ascii="Palatino Linotype" w:eastAsia="Palatino Linotype" w:hAnsi="Palatino Linotype" w:cs="Palatino Linotype"/>
          <w:b/>
          <w:bCs/>
          <w:color w:val="000000"/>
        </w:rPr>
      </w:pPr>
      <w:bookmarkStart w:id="8" w:name="_heading=h.yn3xjrzfdnf" w:colFirst="0" w:colLast="0"/>
      <w:bookmarkEnd w:id="8"/>
      <w:r>
        <w:rPr>
          <w:rFonts w:ascii="Palatino Linotype" w:eastAsia="Palatino Linotype" w:hAnsi="Palatino Linotype" w:cs="Palatino Linotype"/>
          <w:b/>
          <w:bCs/>
          <w:color w:val="000000"/>
        </w:rPr>
        <w:t>R E S O L U T I V O S</w:t>
      </w:r>
    </w:p>
    <w:p w:rsidR="006D4495" w:rsidRDefault="006D4495">
      <w:pPr>
        <w:keepNext/>
        <w:keepLines/>
        <w:spacing w:line="360" w:lineRule="auto"/>
        <w:jc w:val="center"/>
        <w:rPr>
          <w:rFonts w:ascii="Palatino Linotype" w:eastAsia="Palatino Linotype" w:hAnsi="Palatino Linotype" w:cs="Palatino Linotype"/>
          <w:b/>
          <w:bCs/>
          <w:color w:val="000000"/>
          <w:sz w:val="22"/>
          <w:szCs w:val="22"/>
        </w:rPr>
      </w:pPr>
    </w:p>
    <w:p w:rsidR="006D4495" w:rsidRDefault="00067D63">
      <w:p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rPr>
        <w:t>Resultan fundadas las</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razones o motivos de inconformidad hechos valer en el recurso de revisión </w:t>
      </w:r>
      <w:r>
        <w:rPr>
          <w:rFonts w:ascii="Palatino Linotype" w:eastAsia="Palatino Linotype" w:hAnsi="Palatino Linotype" w:cs="Palatino Linotype"/>
          <w:b/>
          <w:bCs/>
        </w:rPr>
        <w:t xml:space="preserve">09888/INFOEM/IP/RR/2025, </w:t>
      </w:r>
      <w:r>
        <w:rPr>
          <w:rFonts w:ascii="Palatino Linotype" w:eastAsia="Palatino Linotype" w:hAnsi="Palatino Linotype" w:cs="Palatino Linotype"/>
        </w:rPr>
        <w:t xml:space="preserve">en términos del </w:t>
      </w:r>
      <w:r>
        <w:rPr>
          <w:rFonts w:ascii="Palatino Linotype" w:eastAsia="Palatino Linotype" w:hAnsi="Palatino Linotype" w:cs="Palatino Linotype"/>
          <w:b/>
          <w:bCs/>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CUARTO y QUINTO  </w:t>
      </w:r>
      <w:r>
        <w:rPr>
          <w:rFonts w:ascii="Palatino Linotype" w:eastAsia="Palatino Linotype" w:hAnsi="Palatino Linotype" w:cs="Palatino Linotype"/>
        </w:rPr>
        <w:t>de la presente resolución.</w:t>
      </w:r>
    </w:p>
    <w:p w:rsidR="006D4495" w:rsidRDefault="006D4495">
      <w:pPr>
        <w:spacing w:line="360" w:lineRule="auto"/>
        <w:ind w:right="48"/>
        <w:jc w:val="both"/>
        <w:rPr>
          <w:rFonts w:ascii="Palatino Linotype" w:eastAsia="Palatino Linotype" w:hAnsi="Palatino Linotype" w:cs="Palatino Linotype"/>
          <w:sz w:val="22"/>
          <w:szCs w:val="22"/>
        </w:rPr>
      </w:pPr>
    </w:p>
    <w:p w:rsidR="006D4495" w:rsidRDefault="00067D63">
      <w:pPr>
        <w:spacing w:line="360" w:lineRule="auto"/>
        <w:ind w:right="48"/>
        <w:jc w:val="both"/>
        <w:rPr>
          <w:rFonts w:ascii="Palatino Linotype" w:eastAsia="Palatino Linotype" w:hAnsi="Palatino Linotype" w:cs="Palatino Linotype"/>
        </w:rPr>
      </w:pPr>
      <w:bookmarkStart w:id="9" w:name="_heading=h.42qsc61fiudi" w:colFirst="0" w:colLast="0"/>
      <w:bookmarkEnd w:id="9"/>
      <w:r>
        <w:rPr>
          <w:rFonts w:ascii="Palatino Linotype" w:eastAsia="Palatino Linotype" w:hAnsi="Palatino Linotype" w:cs="Palatino Linotype"/>
          <w:b/>
          <w:bCs/>
        </w:rPr>
        <w:t>SEGUNDO.</w:t>
      </w:r>
      <w:r>
        <w:rPr>
          <w:rFonts w:ascii="Palatino Linotype" w:eastAsia="Palatino Linotype" w:hAnsi="Palatino Linotype" w:cs="Palatino Linotype"/>
          <w:color w:val="2F5496"/>
        </w:rPr>
        <w:t xml:space="preserve"> </w:t>
      </w:r>
      <w:r>
        <w:rPr>
          <w:rFonts w:ascii="Palatino Linotype" w:eastAsia="Palatino Linotype" w:hAnsi="Palatino Linotype" w:cs="Palatino Linotype"/>
        </w:rPr>
        <w:t>Se</w:t>
      </w:r>
      <w:r>
        <w:rPr>
          <w:rFonts w:ascii="Palatino Linotype" w:eastAsia="Palatino Linotype" w:hAnsi="Palatino Linotype" w:cs="Palatino Linotype"/>
          <w:b/>
          <w:bCs/>
        </w:rPr>
        <w:t xml:space="preserve"> MODIFICA </w:t>
      </w:r>
      <w:r>
        <w:rPr>
          <w:rFonts w:ascii="Palatino Linotype" w:eastAsia="Palatino Linotype" w:hAnsi="Palatino Linotype" w:cs="Palatino Linotype"/>
        </w:rPr>
        <w:t xml:space="preserve">la respuesta emitida por </w:t>
      </w:r>
      <w:r>
        <w:rPr>
          <w:rFonts w:ascii="Palatino Linotype" w:eastAsia="Palatino Linotype" w:hAnsi="Palatino Linotype" w:cs="Palatino Linotype"/>
          <w:b/>
          <w:bCs/>
        </w:rPr>
        <w:t xml:space="preserve">el Ayuntamiento de Ecatepec de Morelos </w:t>
      </w:r>
      <w:r>
        <w:rPr>
          <w:rFonts w:ascii="Palatino Linotype" w:eastAsia="Palatino Linotype" w:hAnsi="Palatino Linotype" w:cs="Palatino Linotype"/>
        </w:rPr>
        <w:t>y se</w:t>
      </w:r>
      <w:r>
        <w:rPr>
          <w:rFonts w:ascii="Palatino Linotype" w:eastAsia="Palatino Linotype" w:hAnsi="Palatino Linotype" w:cs="Palatino Linotype"/>
          <w:b/>
          <w:bCs/>
        </w:rPr>
        <w:t xml:space="preserve"> ORDENA </w:t>
      </w:r>
      <w:r>
        <w:rPr>
          <w:rFonts w:ascii="Palatino Linotype" w:eastAsia="Palatino Linotype" w:hAnsi="Palatino Linotype" w:cs="Palatino Linotype"/>
        </w:rPr>
        <w:t>entregar vía Sistema de Accesos a la Información Mexiquense (SAIMEX), previa búsqueda exhaustiva, en versión pública, la siguiente información:</w:t>
      </w:r>
    </w:p>
    <w:p w:rsidR="006D4495" w:rsidRDefault="006D4495">
      <w:pPr>
        <w:spacing w:line="360" w:lineRule="auto"/>
        <w:ind w:right="48"/>
        <w:jc w:val="both"/>
        <w:rPr>
          <w:rFonts w:ascii="Palatino Linotype" w:eastAsia="Palatino Linotype" w:hAnsi="Palatino Linotype" w:cs="Palatino Linotype"/>
        </w:rPr>
      </w:pPr>
    </w:p>
    <w:p w:rsidR="006D4495" w:rsidRDefault="00067D63">
      <w:pPr>
        <w:numPr>
          <w:ilvl w:val="0"/>
          <w:numId w:val="1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Pr>
          <w:rFonts w:ascii="Palatino Linotype" w:eastAsia="Palatino Linotype" w:hAnsi="Palatino Linotype" w:cs="Palatino Linotype"/>
          <w:b/>
          <w:bCs/>
          <w:sz w:val="22"/>
          <w:szCs w:val="22"/>
        </w:rPr>
        <w:t xml:space="preserve">El o los documentos donde obren las gestiones, oficios o solicitudes de drenaje y pavimentación de la Avenida Gasoducto en San Pedro Xalostoc, del 1 de enero de 2018 al 31 de diciembre de 2024 </w:t>
      </w:r>
      <w:r>
        <w:rPr>
          <w:rFonts w:ascii="Palatino Linotype" w:eastAsia="Palatino Linotype" w:hAnsi="Palatino Linotype" w:cs="Palatino Linotype"/>
          <w:b/>
          <w:bCs/>
          <w:color w:val="000000"/>
        </w:rPr>
        <w:t>en donde se especifique:</w:t>
      </w:r>
    </w:p>
    <w:p w:rsidR="006D4495" w:rsidRDefault="00067D63">
      <w:pPr>
        <w:numPr>
          <w:ilvl w:val="1"/>
          <w:numId w:val="1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Nombre del solicitante </w:t>
      </w:r>
    </w:p>
    <w:p w:rsidR="006D4495" w:rsidRDefault="00067D63">
      <w:pPr>
        <w:numPr>
          <w:ilvl w:val="1"/>
          <w:numId w:val="1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Fecha</w:t>
      </w:r>
    </w:p>
    <w:p w:rsidR="006D4495" w:rsidRDefault="00067D63">
      <w:pPr>
        <w:numPr>
          <w:ilvl w:val="1"/>
          <w:numId w:val="1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Respuesta emitida por la autoridad municipal</w:t>
      </w:r>
    </w:p>
    <w:p w:rsidR="006D4495" w:rsidRDefault="006D4495">
      <w:pPr>
        <w:pBdr>
          <w:top w:val="nil"/>
          <w:left w:val="nil"/>
          <w:bottom w:val="nil"/>
          <w:right w:val="nil"/>
          <w:between w:val="nil"/>
        </w:pBdr>
        <w:spacing w:line="360" w:lineRule="auto"/>
        <w:ind w:left="1440" w:right="48"/>
        <w:jc w:val="both"/>
        <w:rPr>
          <w:rFonts w:ascii="Palatino Linotype" w:eastAsia="Palatino Linotype" w:hAnsi="Palatino Linotype" w:cs="Palatino Linotype"/>
        </w:rPr>
      </w:pPr>
    </w:p>
    <w:p w:rsidR="006D4495" w:rsidRDefault="00067D63">
      <w:pPr>
        <w:numPr>
          <w:ilvl w:val="0"/>
          <w:numId w:val="12"/>
        </w:numPr>
        <w:pBdr>
          <w:top w:val="nil"/>
          <w:left w:val="nil"/>
          <w:bottom w:val="nil"/>
          <w:right w:val="nil"/>
          <w:between w:val="nil"/>
        </w:pBdr>
        <w:spacing w:line="360" w:lineRule="auto"/>
        <w:ind w:left="567" w:firstLine="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De los proyectos contemplados de drenaje y pavimentación existentes del 1 de enero al 25 de julio de 2025 de la calle Gasoducto del Poblado de San Pedro Xalostoc, el o los documentos donde obre lo siguiente:</w:t>
      </w:r>
    </w:p>
    <w:p w:rsidR="006D4495" w:rsidRDefault="006D4495">
      <w:pPr>
        <w:pBdr>
          <w:top w:val="nil"/>
          <w:left w:val="nil"/>
          <w:bottom w:val="nil"/>
          <w:right w:val="nil"/>
          <w:between w:val="nil"/>
        </w:pBdr>
        <w:spacing w:line="360" w:lineRule="auto"/>
        <w:ind w:left="720"/>
        <w:rPr>
          <w:rFonts w:ascii="Palatino Linotype" w:eastAsia="Palatino Linotype" w:hAnsi="Palatino Linotype" w:cs="Palatino Linotype"/>
          <w:b/>
          <w:bCs/>
          <w:color w:val="000000"/>
          <w:sz w:val="22"/>
          <w:szCs w:val="22"/>
        </w:rPr>
      </w:pPr>
    </w:p>
    <w:p w:rsidR="006D4495" w:rsidRDefault="007B138C">
      <w:pPr>
        <w:pBdr>
          <w:top w:val="nil"/>
          <w:left w:val="nil"/>
          <w:bottom w:val="nil"/>
          <w:right w:val="nil"/>
          <w:between w:val="nil"/>
        </w:pBdr>
        <w:spacing w:line="360" w:lineRule="auto"/>
        <w:ind w:left="1440" w:right="53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w:t>
      </w:r>
      <w:r w:rsidR="00067D63">
        <w:rPr>
          <w:rFonts w:ascii="Palatino Linotype" w:eastAsia="Palatino Linotype" w:hAnsi="Palatino Linotype" w:cs="Palatino Linotype"/>
          <w:color w:val="000000"/>
          <w:sz w:val="22"/>
          <w:szCs w:val="22"/>
        </w:rPr>
        <w:t xml:space="preserve"> Gestiones o bitácoras realizadas para atender la pavimentación </w:t>
      </w:r>
    </w:p>
    <w:p w:rsidR="006D4495" w:rsidRDefault="007B138C">
      <w:pPr>
        <w:pBdr>
          <w:top w:val="nil"/>
          <w:left w:val="nil"/>
          <w:bottom w:val="nil"/>
          <w:right w:val="nil"/>
          <w:between w:val="nil"/>
        </w:pBdr>
        <w:spacing w:line="360" w:lineRule="auto"/>
        <w:ind w:left="1440" w:right="53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b)</w:t>
      </w:r>
      <w:r w:rsidR="00067D63">
        <w:rPr>
          <w:rFonts w:ascii="Palatino Linotype" w:eastAsia="Palatino Linotype" w:hAnsi="Palatino Linotype" w:cs="Palatino Linotype"/>
          <w:b/>
          <w:bCs/>
          <w:color w:val="000000"/>
          <w:sz w:val="22"/>
          <w:szCs w:val="22"/>
        </w:rPr>
        <w:t xml:space="preserve"> </w:t>
      </w:r>
      <w:r w:rsidR="00067D63">
        <w:rPr>
          <w:rFonts w:ascii="Palatino Linotype" w:eastAsia="Palatino Linotype" w:hAnsi="Palatino Linotype" w:cs="Palatino Linotype"/>
          <w:color w:val="000000"/>
          <w:sz w:val="22"/>
          <w:szCs w:val="22"/>
        </w:rPr>
        <w:t xml:space="preserve">Actas de las visitas y recorridos que tuvo la presidenta municipal </w:t>
      </w:r>
    </w:p>
    <w:p w:rsidR="006D4495" w:rsidRDefault="007B138C">
      <w:pPr>
        <w:pBdr>
          <w:top w:val="nil"/>
          <w:left w:val="nil"/>
          <w:bottom w:val="nil"/>
          <w:right w:val="nil"/>
          <w:between w:val="nil"/>
        </w:pBdr>
        <w:spacing w:line="360" w:lineRule="auto"/>
        <w:ind w:left="1440" w:right="539"/>
        <w:jc w:val="both"/>
        <w:rPr>
          <w:rFonts w:ascii="Palatino Linotype" w:eastAsia="Palatino Linotype" w:hAnsi="Palatino Linotype" w:cs="Palatino Linotype"/>
          <w:b/>
          <w:bCs/>
          <w:color w:val="000000"/>
          <w:sz w:val="22"/>
          <w:szCs w:val="22"/>
        </w:rPr>
      </w:pPr>
      <w:bookmarkStart w:id="10" w:name="_heading=h.m8ypg86gvtjn" w:colFirst="0" w:colLast="0"/>
      <w:bookmarkEnd w:id="10"/>
      <w:r>
        <w:rPr>
          <w:rFonts w:ascii="Palatino Linotype" w:eastAsia="Palatino Linotype" w:hAnsi="Palatino Linotype" w:cs="Palatino Linotype"/>
          <w:b/>
          <w:bCs/>
          <w:color w:val="000000"/>
          <w:sz w:val="22"/>
          <w:szCs w:val="22"/>
        </w:rPr>
        <w:t>c)</w:t>
      </w:r>
      <w:r w:rsidR="00067D63">
        <w:rPr>
          <w:rFonts w:ascii="Palatino Linotype" w:eastAsia="Palatino Linotype" w:hAnsi="Palatino Linotype" w:cs="Palatino Linotype"/>
          <w:b/>
          <w:bCs/>
          <w:color w:val="000000"/>
          <w:sz w:val="22"/>
          <w:szCs w:val="22"/>
        </w:rPr>
        <w:t xml:space="preserve"> </w:t>
      </w:r>
      <w:r w:rsidR="00067D63">
        <w:rPr>
          <w:rFonts w:ascii="Palatino Linotype" w:eastAsia="Palatino Linotype" w:hAnsi="Palatino Linotype" w:cs="Palatino Linotype"/>
          <w:color w:val="000000"/>
          <w:sz w:val="22"/>
          <w:szCs w:val="22"/>
        </w:rPr>
        <w:t xml:space="preserve">Avances al compromiso de la instalación de drenaje y pavimentación en sus visitas </w:t>
      </w:r>
    </w:p>
    <w:p w:rsidR="006D4495" w:rsidRDefault="00067D63">
      <w:pPr>
        <w:pBdr>
          <w:top w:val="nil"/>
          <w:left w:val="nil"/>
          <w:bottom w:val="nil"/>
          <w:right w:val="nil"/>
          <w:between w:val="nil"/>
        </w:pBdr>
        <w:spacing w:line="360" w:lineRule="auto"/>
        <w:ind w:left="1440" w:right="53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Copia de las gestiones u oficios en la materia emitidos a Pemex, a las áreas de Gobierno Estatal o a las Direcciones Municipales que correspondan</w:t>
      </w:r>
    </w:p>
    <w:p w:rsidR="006D4495" w:rsidRDefault="006D4495">
      <w:pPr>
        <w:spacing w:line="360" w:lineRule="auto"/>
        <w:jc w:val="both"/>
        <w:rPr>
          <w:rFonts w:ascii="Palatino Linotype" w:eastAsia="Palatino Linotype" w:hAnsi="Palatino Linotype" w:cs="Palatino Linotype"/>
        </w:rPr>
      </w:pPr>
    </w:p>
    <w:p w:rsidR="006D4495" w:rsidRDefault="00067D6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6D4495" w:rsidRDefault="006D4495">
      <w:pPr>
        <w:spacing w:line="360" w:lineRule="auto"/>
        <w:jc w:val="both"/>
        <w:rPr>
          <w:rFonts w:ascii="Palatino Linotype" w:eastAsia="Palatino Linotype" w:hAnsi="Palatino Linotype" w:cs="Palatino Linotype"/>
        </w:rPr>
      </w:pPr>
    </w:p>
    <w:p w:rsidR="006D4495" w:rsidRDefault="00067D63">
      <w:pPr>
        <w:tabs>
          <w:tab w:val="left" w:pos="7797"/>
        </w:tabs>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Para el caso de que no se cuente con la información que se ordena en el numeral 1) derivado de la temporalidad por haberse procedido a la baja documental, </w:t>
      </w:r>
      <w:r>
        <w:rPr>
          <w:rFonts w:ascii="Palatino Linotype" w:eastAsia="Palatino Linotype" w:hAnsi="Palatino Linotype" w:cs="Palatino Linotype"/>
          <w:b/>
          <w:bCs/>
          <w:color w:val="000000"/>
        </w:rPr>
        <w:t xml:space="preserve">EL SUJETO </w:t>
      </w:r>
      <w:r>
        <w:rPr>
          <w:rFonts w:ascii="Palatino Linotype" w:eastAsia="Palatino Linotype" w:hAnsi="Palatino Linotype" w:cs="Palatino Linotype"/>
          <w:b/>
          <w:bCs/>
          <w:color w:val="000000"/>
        </w:rPr>
        <w:lastRenderedPageBreak/>
        <w:t>OBLIGADO</w:t>
      </w:r>
      <w:r>
        <w:rPr>
          <w:rFonts w:ascii="Palatino Linotype" w:eastAsia="Palatino Linotype" w:hAnsi="Palatino Linotype" w:cs="Palatino Linotype"/>
          <w:color w:val="000000"/>
        </w:rPr>
        <w:t xml:space="preserve"> deberá emitir el Acuerdo de Inexistencia en términos de los artículos 49, fracciones II y XIII, 169 y 170 de la Ley de Transparencia y Acceso a la Información Pública del Estado de México y Municipios.</w:t>
      </w:r>
    </w:p>
    <w:p w:rsidR="006D4495" w:rsidRDefault="006D4495">
      <w:pPr>
        <w:spacing w:line="360" w:lineRule="auto"/>
        <w:jc w:val="both"/>
        <w:rPr>
          <w:rFonts w:ascii="Palatino Linotype" w:eastAsia="Palatino Linotype" w:hAnsi="Palatino Linotype" w:cs="Palatino Linotype"/>
        </w:rPr>
      </w:pPr>
    </w:p>
    <w:p w:rsidR="006D4495" w:rsidRDefault="00067D6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el caso de que la información que se ordena entregar respecto a los incisos b), c) y d)  que se ordena, no obre en los archivos del Sujeto Obligado, bastará con que así se haga del conocimiento del Particular en términos del artículo 19, párrafo segundo, de la Ley de Transparencia y Acceso a la Información Pública del Estado de México y Municipios, para tenerse por colmado dicho requerimiento.</w:t>
      </w:r>
    </w:p>
    <w:p w:rsidR="006D4495" w:rsidRDefault="006D4495">
      <w:pPr>
        <w:spacing w:line="360" w:lineRule="auto"/>
        <w:jc w:val="both"/>
        <w:rPr>
          <w:rFonts w:ascii="Palatino Linotype" w:eastAsia="Palatino Linotype" w:hAnsi="Palatino Linotype" w:cs="Palatino Linotype"/>
        </w:rPr>
      </w:pPr>
    </w:p>
    <w:p w:rsidR="006D4495" w:rsidRDefault="00067D63">
      <w:pPr>
        <w:tabs>
          <w:tab w:val="left" w:pos="8080"/>
        </w:tabs>
        <w:spacing w:line="360" w:lineRule="auto"/>
        <w:ind w:right="48"/>
        <w:jc w:val="both"/>
        <w:rPr>
          <w:rFonts w:ascii="Palatino Linotype" w:eastAsia="Palatino Linotype" w:hAnsi="Palatino Linotype" w:cs="Palatino Linotype"/>
          <w:color w:val="222222"/>
        </w:rPr>
      </w:pPr>
      <w:r>
        <w:rPr>
          <w:rFonts w:ascii="Palatino Linotype" w:eastAsia="Palatino Linotype" w:hAnsi="Palatino Linotype" w:cs="Palatino Linotype"/>
          <w:b/>
          <w:bCs/>
        </w:rPr>
        <w:t xml:space="preserve">TERCERO. Notifíquese </w:t>
      </w:r>
      <w:r>
        <w:rPr>
          <w:rFonts w:ascii="Palatino Linotype" w:eastAsia="Palatino Linotype" w:hAnsi="Palatino Linotype" w:cs="Palatino Linotype"/>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6C4B6E">
        <w:rPr>
          <w:rFonts w:ascii="Palatino Linotype" w:eastAsia="Palatino Linotype" w:hAnsi="Palatino Linotype" w:cs="Palatino Linotype"/>
          <w:b/>
        </w:rPr>
        <w:t>dé cumplimiento a lo ordenado dentro del plazo de diez días hábiles</w:t>
      </w:r>
      <w:r>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6D4495" w:rsidRDefault="006D4495">
      <w:pPr>
        <w:tabs>
          <w:tab w:val="left" w:pos="8080"/>
        </w:tabs>
        <w:spacing w:line="360" w:lineRule="auto"/>
        <w:ind w:right="48"/>
        <w:jc w:val="both"/>
        <w:rPr>
          <w:rFonts w:ascii="Palatino Linotype" w:eastAsia="Palatino Linotype" w:hAnsi="Palatino Linotype" w:cs="Palatino Linotype"/>
          <w:color w:val="222222"/>
          <w:sz w:val="22"/>
          <w:szCs w:val="22"/>
        </w:rPr>
      </w:pPr>
    </w:p>
    <w:p w:rsidR="006D4495" w:rsidRDefault="00067D63">
      <w:pPr>
        <w:shd w:val="clear" w:color="auto" w:fill="FFFFFF"/>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b/>
          <w:bCs/>
        </w:rPr>
        <w:t>CUARTO. Notifíquese al RECURRENTE</w:t>
      </w:r>
      <w:r>
        <w:rPr>
          <w:rFonts w:ascii="Palatino Linotype" w:eastAsia="Palatino Linotype" w:hAnsi="Palatino Linotype" w:cs="Palatino Linotype"/>
        </w:rPr>
        <w:t xml:space="preserve"> la presente resolución vía SAIMEX.</w:t>
      </w:r>
    </w:p>
    <w:p w:rsidR="006D4495" w:rsidRDefault="006D4495">
      <w:pPr>
        <w:shd w:val="clear" w:color="auto" w:fill="FFFFFF"/>
        <w:spacing w:line="360" w:lineRule="auto"/>
        <w:ind w:right="48"/>
        <w:jc w:val="both"/>
        <w:rPr>
          <w:rFonts w:ascii="Palatino Linotype" w:eastAsia="Palatino Linotype" w:hAnsi="Palatino Linotype" w:cs="Palatino Linotype"/>
          <w:b/>
          <w:bCs/>
          <w:color w:val="FF0000"/>
          <w:sz w:val="22"/>
          <w:szCs w:val="22"/>
        </w:rPr>
      </w:pPr>
    </w:p>
    <w:p w:rsidR="006D4495" w:rsidRDefault="00067D63">
      <w:p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b/>
          <w:bCs/>
        </w:rPr>
        <w:lastRenderedPageBreak/>
        <w:t>QUINTO.</w:t>
      </w:r>
      <w:r>
        <w:rPr>
          <w:rFonts w:ascii="Palatino Linotype" w:eastAsia="Palatino Linotype" w:hAnsi="Palatino Linotype" w:cs="Palatino Linotype"/>
        </w:rPr>
        <w:t xml:space="preserve"> Se hace del conocimiento del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6D4495" w:rsidRDefault="006D4495">
      <w:pPr>
        <w:spacing w:line="360" w:lineRule="auto"/>
        <w:ind w:right="48"/>
        <w:jc w:val="both"/>
        <w:rPr>
          <w:rFonts w:ascii="Palatino Linotype" w:eastAsia="Palatino Linotype" w:hAnsi="Palatino Linotype" w:cs="Palatino Linotype"/>
          <w:color w:val="000000"/>
          <w:sz w:val="22"/>
          <w:szCs w:val="22"/>
        </w:rPr>
      </w:pPr>
    </w:p>
    <w:p w:rsidR="006D4495" w:rsidRDefault="00067D63">
      <w:p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b/>
          <w:bCs/>
          <w:color w:val="000000"/>
        </w:rPr>
        <w:t xml:space="preserve">SEXTO.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6D4495" w:rsidRDefault="006D4495">
      <w:pPr>
        <w:shd w:val="clear" w:color="auto" w:fill="FFFFFF"/>
        <w:spacing w:line="360" w:lineRule="auto"/>
        <w:jc w:val="both"/>
        <w:rPr>
          <w:rFonts w:ascii="Palatino Linotype" w:eastAsia="Palatino Linotype" w:hAnsi="Palatino Linotype" w:cs="Palatino Linotype"/>
          <w:sz w:val="22"/>
          <w:szCs w:val="22"/>
        </w:rPr>
      </w:pPr>
    </w:p>
    <w:p w:rsidR="006C4B6E" w:rsidRPr="003E2295" w:rsidRDefault="006C4B6E" w:rsidP="006C4B6E">
      <w:pPr>
        <w:spacing w:before="240" w:after="240" w:line="360" w:lineRule="auto"/>
        <w:ind w:firstLine="1"/>
        <w:jc w:val="both"/>
        <w:rPr>
          <w:rFonts w:ascii="Palatino Linotype" w:hAnsi="Palatino Linotype"/>
        </w:rPr>
      </w:pPr>
      <w:bookmarkStart w:id="11" w:name="_heading=h.tmhhji9ocihn" w:colFirst="0" w:colLast="0"/>
      <w:bookmarkStart w:id="12" w:name="_Hlk99014733"/>
      <w:bookmarkEnd w:id="11"/>
      <w:r w:rsidRPr="003E229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DÉCIMA</w:t>
      </w:r>
      <w:r w:rsidRPr="003E2295">
        <w:rPr>
          <w:rFonts w:ascii="Palatino Linotype" w:hAnsi="Palatino Linotype" w:cs="Palatino Linotype"/>
        </w:rPr>
        <w:t xml:space="preserve"> </w:t>
      </w:r>
      <w:r>
        <w:rPr>
          <w:rFonts w:ascii="Palatino Linotype" w:hAnsi="Palatino Linotype" w:cs="Palatino Linotype"/>
        </w:rPr>
        <w:t xml:space="preserve">SEGUNDA </w:t>
      </w:r>
      <w:r w:rsidRPr="003E2295">
        <w:rPr>
          <w:rFonts w:ascii="Palatino Linotype" w:hAnsi="Palatino Linotype" w:cs="Palatino Linotype"/>
        </w:rPr>
        <w:t>SESIÓN O</w:t>
      </w:r>
      <w:r>
        <w:rPr>
          <w:rFonts w:ascii="Palatino Linotype" w:hAnsi="Palatino Linotype" w:cs="Palatino Linotype"/>
        </w:rPr>
        <w:t>RDINARIA, CELEBRADA EL OCHO (08</w:t>
      </w:r>
      <w:r w:rsidRPr="003E2295">
        <w:rPr>
          <w:rFonts w:ascii="Palatino Linotype" w:hAnsi="Palatino Linotype" w:cs="Palatino Linotype"/>
        </w:rPr>
        <w:t xml:space="preserve">) DE </w:t>
      </w:r>
      <w:r>
        <w:rPr>
          <w:rFonts w:ascii="Palatino Linotype" w:hAnsi="Palatino Linotype" w:cs="Palatino Linotype"/>
        </w:rPr>
        <w:t>ABRIL</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12"/>
    <w:p w:rsidR="006D4495" w:rsidRDefault="006D4495">
      <w:pPr>
        <w:spacing w:line="360" w:lineRule="auto"/>
        <w:rPr>
          <w:rFonts w:ascii="Palatino Linotype" w:eastAsia="Palatino Linotype" w:hAnsi="Palatino Linotype" w:cs="Palatino Linotype"/>
          <w:sz w:val="22"/>
          <w:szCs w:val="22"/>
        </w:rPr>
      </w:pPr>
    </w:p>
    <w:p w:rsidR="006D4495" w:rsidRDefault="006D4495">
      <w:pPr>
        <w:spacing w:line="360" w:lineRule="auto"/>
        <w:rPr>
          <w:rFonts w:ascii="Palatino Linotype" w:eastAsia="Palatino Linotype" w:hAnsi="Palatino Linotype" w:cs="Palatino Linotype"/>
          <w:sz w:val="22"/>
          <w:szCs w:val="22"/>
        </w:rPr>
      </w:pPr>
    </w:p>
    <w:p w:rsidR="006D4495" w:rsidRDefault="006D4495">
      <w:pPr>
        <w:spacing w:line="360" w:lineRule="auto"/>
        <w:rPr>
          <w:rFonts w:ascii="Palatino Linotype" w:eastAsia="Palatino Linotype" w:hAnsi="Palatino Linotype" w:cs="Palatino Linotype"/>
          <w:sz w:val="22"/>
          <w:szCs w:val="22"/>
        </w:rPr>
      </w:pPr>
    </w:p>
    <w:p w:rsidR="007B138C" w:rsidRDefault="007B138C">
      <w:pPr>
        <w:spacing w:line="360" w:lineRule="auto"/>
        <w:rPr>
          <w:rFonts w:ascii="Palatino Linotype" w:eastAsia="Palatino Linotype" w:hAnsi="Palatino Linotype" w:cs="Palatino Linotype"/>
          <w:sz w:val="22"/>
          <w:szCs w:val="22"/>
        </w:rPr>
      </w:pPr>
    </w:p>
    <w:p w:rsidR="007B138C" w:rsidRDefault="007B138C">
      <w:pPr>
        <w:spacing w:line="360" w:lineRule="auto"/>
        <w:rPr>
          <w:rFonts w:ascii="Palatino Linotype" w:eastAsia="Palatino Linotype" w:hAnsi="Palatino Linotype" w:cs="Palatino Linotype"/>
          <w:sz w:val="22"/>
          <w:szCs w:val="22"/>
        </w:rPr>
      </w:pPr>
    </w:p>
    <w:p w:rsidR="007B138C" w:rsidRDefault="007B138C">
      <w:pPr>
        <w:spacing w:line="360" w:lineRule="auto"/>
        <w:rPr>
          <w:rFonts w:ascii="Palatino Linotype" w:eastAsia="Palatino Linotype" w:hAnsi="Palatino Linotype" w:cs="Palatino Linotype"/>
          <w:sz w:val="22"/>
          <w:szCs w:val="22"/>
        </w:rPr>
      </w:pPr>
    </w:p>
    <w:p w:rsidR="006D4495" w:rsidRDefault="006D4495">
      <w:pPr>
        <w:spacing w:line="360" w:lineRule="auto"/>
        <w:rPr>
          <w:rFonts w:ascii="Palatino Linotype" w:eastAsia="Palatino Linotype" w:hAnsi="Palatino Linotype" w:cs="Palatino Linotype"/>
          <w:sz w:val="22"/>
          <w:szCs w:val="22"/>
        </w:rPr>
      </w:pPr>
    </w:p>
    <w:p w:rsidR="006D4495" w:rsidRDefault="006D4495">
      <w:pPr>
        <w:spacing w:line="360" w:lineRule="auto"/>
        <w:rPr>
          <w:rFonts w:ascii="Palatino Linotype" w:eastAsia="Palatino Linotype" w:hAnsi="Palatino Linotype" w:cs="Palatino Linotype"/>
          <w:sz w:val="22"/>
          <w:szCs w:val="22"/>
        </w:rPr>
      </w:pPr>
    </w:p>
    <w:p w:rsidR="006D4495" w:rsidRDefault="006D4495">
      <w:pPr>
        <w:spacing w:line="360" w:lineRule="auto"/>
        <w:rPr>
          <w:rFonts w:ascii="Palatino Linotype" w:eastAsia="Palatino Linotype" w:hAnsi="Palatino Linotype" w:cs="Palatino Linotype"/>
          <w:sz w:val="22"/>
          <w:szCs w:val="22"/>
        </w:rPr>
      </w:pPr>
    </w:p>
    <w:p w:rsidR="006D4495" w:rsidRDefault="006D4495">
      <w:pPr>
        <w:spacing w:line="360" w:lineRule="auto"/>
        <w:rPr>
          <w:rFonts w:ascii="Palatino Linotype" w:eastAsia="Palatino Linotype" w:hAnsi="Palatino Linotype" w:cs="Palatino Linotype"/>
          <w:sz w:val="22"/>
          <w:szCs w:val="22"/>
        </w:rPr>
      </w:pPr>
    </w:p>
    <w:p w:rsidR="006D4495" w:rsidRDefault="006D4495">
      <w:pPr>
        <w:rPr>
          <w:rFonts w:ascii="Palatino Linotype" w:eastAsia="Palatino Linotype" w:hAnsi="Palatino Linotype" w:cs="Palatino Linotype"/>
          <w:sz w:val="22"/>
          <w:szCs w:val="22"/>
        </w:rPr>
      </w:pPr>
    </w:p>
    <w:p w:rsidR="006D4495" w:rsidRDefault="006D4495">
      <w:pPr>
        <w:rPr>
          <w:rFonts w:ascii="Palatino Linotype" w:eastAsia="Palatino Linotype" w:hAnsi="Palatino Linotype" w:cs="Palatino Linotype"/>
          <w:sz w:val="22"/>
          <w:szCs w:val="22"/>
        </w:rPr>
      </w:pPr>
    </w:p>
    <w:p w:rsidR="006D4495" w:rsidRDefault="006D4495">
      <w:pPr>
        <w:rPr>
          <w:rFonts w:ascii="Palatino Linotype" w:eastAsia="Palatino Linotype" w:hAnsi="Palatino Linotype" w:cs="Palatino Linotype"/>
          <w:sz w:val="22"/>
          <w:szCs w:val="22"/>
        </w:rPr>
      </w:pPr>
    </w:p>
    <w:p w:rsidR="006D4495" w:rsidRDefault="006D4495">
      <w:pPr>
        <w:rPr>
          <w:rFonts w:ascii="Palatino Linotype" w:eastAsia="Palatino Linotype" w:hAnsi="Palatino Linotype" w:cs="Palatino Linotype"/>
          <w:sz w:val="22"/>
          <w:szCs w:val="22"/>
        </w:rPr>
      </w:pPr>
    </w:p>
    <w:p w:rsidR="006D4495" w:rsidRDefault="006D4495">
      <w:pPr>
        <w:rPr>
          <w:rFonts w:ascii="Palatino Linotype" w:eastAsia="Palatino Linotype" w:hAnsi="Palatino Linotype" w:cs="Palatino Linotype"/>
          <w:sz w:val="22"/>
          <w:szCs w:val="22"/>
        </w:rPr>
      </w:pPr>
    </w:p>
    <w:p w:rsidR="006D4495" w:rsidRDefault="006D4495">
      <w:pPr>
        <w:rPr>
          <w:rFonts w:ascii="Palatino Linotype" w:eastAsia="Palatino Linotype" w:hAnsi="Palatino Linotype" w:cs="Palatino Linotype"/>
          <w:sz w:val="22"/>
          <w:szCs w:val="22"/>
        </w:rPr>
      </w:pPr>
    </w:p>
    <w:p w:rsidR="006D4495" w:rsidRDefault="006D4495">
      <w:pPr>
        <w:rPr>
          <w:rFonts w:ascii="Palatino Linotype" w:eastAsia="Palatino Linotype" w:hAnsi="Palatino Linotype" w:cs="Palatino Linotype"/>
          <w:sz w:val="22"/>
          <w:szCs w:val="22"/>
        </w:rPr>
      </w:pPr>
    </w:p>
    <w:sectPr w:rsidR="006D4495">
      <w:headerReference w:type="even" r:id="rId8"/>
      <w:headerReference w:type="default" r:id="rId9"/>
      <w:footerReference w:type="default" r:id="rId10"/>
      <w:headerReference w:type="first" r:id="rId11"/>
      <w:footerReference w:type="first" r:id="rId12"/>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66E" w:rsidRDefault="00D7366E">
      <w:r>
        <w:separator/>
      </w:r>
    </w:p>
  </w:endnote>
  <w:endnote w:type="continuationSeparator" w:id="0">
    <w:p w:rsidR="00D7366E" w:rsidRDefault="00D73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6F3DD950-0B86-47E5-AADD-28E9C0828397}"/>
  </w:font>
  <w:font w:name="Courier New">
    <w:panose1 w:val="02070309020205020404"/>
    <w:charset w:val="00"/>
    <w:family w:val="modern"/>
    <w:pitch w:val="fixed"/>
    <w:sig w:usb0="E0002E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embedRegular r:id="rId2" w:fontKey="{E92438F4-C38E-4474-A703-A425F699EA8A}"/>
    <w:embedBold r:id="rId3" w:fontKey="{94BC575B-62A4-4F10-8F94-7DF01677E5A8}"/>
    <w:embedItalic r:id="rId4" w:fontKey="{7C6C0717-C215-4721-9D35-950E3306EC62}"/>
    <w:embedBoldItalic r:id="rId5" w:fontKey="{5F625BB4-0238-4067-B48A-F4AA54C2A3F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EB13F276-948C-4D52-8C9E-16471B32179E}"/>
    <w:embedItalic r:id="rId7" w:fontKey="{AF5F32B5-B62D-4CA7-A464-0E6522229FB3}"/>
  </w:font>
  <w:font w:name="Calibri Light">
    <w:panose1 w:val="020F0302020204030204"/>
    <w:charset w:val="00"/>
    <w:family w:val="swiss"/>
    <w:pitch w:val="variable"/>
    <w:sig w:usb0="E4002EFF" w:usb1="C200247B" w:usb2="00000009" w:usb3="00000000" w:csb0="000001FF" w:csb1="00000000"/>
    <w:embedRegular r:id="rId8" w:fontKey="{CB20CD7E-380A-4E6B-852E-D38013A34B8C}"/>
  </w:font>
  <w:font w:name="Century Gothic">
    <w:panose1 w:val="020B0502020202020204"/>
    <w:charset w:val="00"/>
    <w:family w:val="swiss"/>
    <w:pitch w:val="variable"/>
    <w:sig w:usb0="00000287" w:usb1="00000000" w:usb2="00000000" w:usb3="00000000" w:csb0="0000009F" w:csb1="00000000"/>
    <w:embedRegular r:id="rId9" w:fontKey="{97015AE8-68FF-4719-997F-F67F758013B1}"/>
    <w:embedBold r:id="rId10" w:fontKey="{32B6897F-DA33-4FF1-80F4-CD74B506DD06}"/>
    <w:embedItalic r:id="rId11" w:fontKey="{B85B5238-371C-4769-9148-1DEA3068E27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2" w:fontKey="{9A7C0951-8277-435A-A967-9E9DFC86DB57}"/>
  </w:font>
  <w:font w:name="Cambria">
    <w:panose1 w:val="02040503050406030204"/>
    <w:charset w:val="00"/>
    <w:family w:val="roman"/>
    <w:pitch w:val="variable"/>
    <w:sig w:usb0="E00006FF" w:usb1="420024FF" w:usb2="02000000" w:usb3="00000000" w:csb0="0000019F" w:csb1="00000000"/>
    <w:embedRegular r:id="rId13" w:fontKey="{635B9391-1499-45C1-9A54-7DFE8121D496}"/>
  </w:font>
  <w:font w:name="Garamond">
    <w:panose1 w:val="02020404030301010803"/>
    <w:charset w:val="00"/>
    <w:family w:val="roman"/>
    <w:pitch w:val="variable"/>
    <w:sig w:usb0="00000287" w:usb1="00000000" w:usb2="00000000" w:usb3="00000000" w:csb0="0000009F" w:csb1="00000000"/>
    <w:embedRegular r:id="rId14" w:fontKey="{5A01E966-092D-4E15-B019-C9CB0BA00D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495" w:rsidRDefault="00067D63">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C13FB3">
      <w:rPr>
        <w:b/>
        <w:bCs/>
        <w:noProof/>
        <w:color w:val="000000"/>
      </w:rPr>
      <w:t>21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C13FB3">
      <w:rPr>
        <w:b/>
        <w:bCs/>
        <w:noProof/>
        <w:color w:val="000000"/>
      </w:rPr>
      <w:t>49</w:t>
    </w:r>
    <w:r>
      <w:rPr>
        <w:b/>
        <w:bCs/>
        <w:color w:val="000000"/>
      </w:rPr>
      <w:fldChar w:fldCharType="end"/>
    </w:r>
  </w:p>
  <w:p w:rsidR="006D4495" w:rsidRDefault="006D449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495" w:rsidRDefault="00067D63">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C13FB3">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C13FB3">
      <w:rPr>
        <w:b/>
        <w:bCs/>
        <w:noProof/>
        <w:color w:val="000000"/>
      </w:rPr>
      <w:t>49</w:t>
    </w:r>
    <w:r>
      <w:rPr>
        <w:b/>
        <w:bCs/>
        <w:color w:val="000000"/>
      </w:rPr>
      <w:fldChar w:fldCharType="end"/>
    </w:r>
  </w:p>
  <w:p w:rsidR="006D4495" w:rsidRDefault="006D449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66E" w:rsidRDefault="00D7366E">
      <w:r>
        <w:separator/>
      </w:r>
    </w:p>
  </w:footnote>
  <w:footnote w:type="continuationSeparator" w:id="0">
    <w:p w:rsidR="00D7366E" w:rsidRDefault="00D7366E">
      <w:r>
        <w:continuationSeparator/>
      </w:r>
    </w:p>
  </w:footnote>
  <w:footnote w:id="1">
    <w:p w:rsidR="006D4495" w:rsidRDefault="00067D6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6D4495" w:rsidRDefault="00067D6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6D4495" w:rsidRDefault="00067D6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6D4495" w:rsidRDefault="00067D6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rsidR="006D4495" w:rsidRDefault="00067D6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 Ley de Documentos Administrativos e Históricos del Estado de México</w:t>
      </w:r>
    </w:p>
  </w:footnote>
  <w:footnote w:id="6">
    <w:p w:rsidR="006D4495" w:rsidRDefault="00067D6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31, Ley de Documentos Administrativos e Históricos del Estado de México</w:t>
      </w:r>
    </w:p>
  </w:footnote>
  <w:footnote w:id="7">
    <w:p w:rsidR="006D4495" w:rsidRDefault="00067D6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Lineamiento Primero, Lineamientos para la Organización y  Conservación de los Archivos</w:t>
      </w:r>
    </w:p>
  </w:footnote>
  <w:footnote w:id="8">
    <w:p w:rsidR="006D4495" w:rsidRDefault="00067D6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222222"/>
          <w:sz w:val="20"/>
          <w:szCs w:val="20"/>
        </w:rPr>
        <w:t>Lo anterior es incluso un requerimiento del sistema interamericano de protección a los derechos humanos. </w:t>
      </w:r>
      <w:r>
        <w:rPr>
          <w:rFonts w:ascii="Calibri" w:eastAsia="Calibri" w:hAnsi="Calibri" w:cs="Calibri"/>
          <w:i/>
          <w:iCs/>
          <w:color w:val="222222"/>
          <w:sz w:val="20"/>
          <w:szCs w:val="20"/>
        </w:rPr>
        <w:t>Ibídem</w:t>
      </w:r>
      <w:r>
        <w:rPr>
          <w:rFonts w:ascii="Calibri" w:eastAsia="Calibri" w:hAnsi="Calibri" w:cs="Calibri"/>
          <w:color w:val="222222"/>
          <w:sz w:val="20"/>
          <w:szCs w:val="20"/>
        </w:rPr>
        <w:t>. Párr. 113.</w:t>
      </w:r>
    </w:p>
  </w:footnote>
  <w:footnote w:id="9">
    <w:p w:rsidR="006D4495" w:rsidRDefault="00067D63">
      <w:pPr>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10">
    <w:p w:rsidR="006D4495" w:rsidRDefault="00067D63">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495" w:rsidRDefault="00D7366E">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495" w:rsidRDefault="006D4495">
    <w:pPr>
      <w:widowControl w:val="0"/>
      <w:pBdr>
        <w:top w:val="nil"/>
        <w:left w:val="nil"/>
        <w:bottom w:val="nil"/>
        <w:right w:val="nil"/>
        <w:between w:val="nil"/>
      </w:pBdr>
      <w:spacing w:line="276" w:lineRule="auto"/>
      <w:rPr>
        <w:color w:val="000000"/>
      </w:rPr>
    </w:pPr>
  </w:p>
  <w:tbl>
    <w:tblPr>
      <w:tblStyle w:val="a7"/>
      <w:tblW w:w="9214" w:type="dxa"/>
      <w:tblInd w:w="0" w:type="dxa"/>
      <w:tblLayout w:type="fixed"/>
      <w:tblLook w:val="0400" w:firstRow="0" w:lastRow="0" w:firstColumn="0" w:lastColumn="0" w:noHBand="0" w:noVBand="1"/>
    </w:tblPr>
    <w:tblGrid>
      <w:gridCol w:w="2268"/>
      <w:gridCol w:w="6946"/>
    </w:tblGrid>
    <w:tr w:rsidR="006D4495">
      <w:trPr>
        <w:trHeight w:val="1435"/>
      </w:trPr>
      <w:tc>
        <w:tcPr>
          <w:tcW w:w="2268" w:type="dxa"/>
          <w:shd w:val="clear" w:color="auto" w:fill="auto"/>
        </w:tcPr>
        <w:p w:rsidR="006D4495" w:rsidRDefault="006D4495">
          <w:pPr>
            <w:tabs>
              <w:tab w:val="right" w:pos="4273"/>
            </w:tabs>
            <w:rPr>
              <w:rFonts w:ascii="Garamond" w:eastAsia="Garamond" w:hAnsi="Garamond" w:cs="Garamond"/>
              <w:sz w:val="16"/>
              <w:szCs w:val="16"/>
            </w:rPr>
          </w:pPr>
        </w:p>
      </w:tc>
      <w:tc>
        <w:tcPr>
          <w:tcW w:w="6946" w:type="dxa"/>
          <w:shd w:val="clear" w:color="auto" w:fill="auto"/>
        </w:tcPr>
        <w:p w:rsidR="006D4495" w:rsidRDefault="006D4495"/>
        <w:tbl>
          <w:tblPr>
            <w:tblStyle w:val="a8"/>
            <w:tblW w:w="6662" w:type="dxa"/>
            <w:tblInd w:w="40" w:type="dxa"/>
            <w:tblLayout w:type="fixed"/>
            <w:tblLook w:val="0400" w:firstRow="0" w:lastRow="0" w:firstColumn="0" w:lastColumn="0" w:noHBand="0" w:noVBand="1"/>
          </w:tblPr>
          <w:tblGrid>
            <w:gridCol w:w="2551"/>
            <w:gridCol w:w="4111"/>
          </w:tblGrid>
          <w:tr w:rsidR="006D4495">
            <w:trPr>
              <w:trHeight w:val="150"/>
            </w:trPr>
            <w:tc>
              <w:tcPr>
                <w:tcW w:w="2551" w:type="dxa"/>
                <w:shd w:val="clear" w:color="auto" w:fill="auto"/>
              </w:tcPr>
              <w:p w:rsidR="006D4495" w:rsidRDefault="00067D63">
                <w:pPr>
                  <w:tabs>
                    <w:tab w:val="right" w:pos="8838"/>
                  </w:tabs>
                  <w:ind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111" w:type="dxa"/>
                <w:shd w:val="clear" w:color="auto" w:fill="auto"/>
              </w:tcPr>
              <w:p w:rsidR="006D4495" w:rsidRDefault="00067D63">
                <w:pPr>
                  <w:tabs>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09888/INFOEM/IP/RR/2025</w:t>
                </w:r>
              </w:p>
            </w:tc>
          </w:tr>
          <w:tr w:rsidR="006D4495">
            <w:trPr>
              <w:trHeight w:val="295"/>
            </w:trPr>
            <w:tc>
              <w:tcPr>
                <w:tcW w:w="2551" w:type="dxa"/>
                <w:shd w:val="clear" w:color="auto" w:fill="auto"/>
              </w:tcPr>
              <w:p w:rsidR="006D4495" w:rsidRDefault="00067D63">
                <w:pPr>
                  <w:tabs>
                    <w:tab w:val="right" w:pos="8838"/>
                  </w:tabs>
                  <w:ind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111" w:type="dxa"/>
                <w:shd w:val="clear" w:color="auto" w:fill="auto"/>
              </w:tcPr>
              <w:p w:rsidR="006D4495" w:rsidRDefault="00067D63">
                <w:pPr>
                  <w:tabs>
                    <w:tab w:val="left" w:pos="2834"/>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Ecatepec de Morelos</w:t>
                </w:r>
              </w:p>
            </w:tc>
          </w:tr>
          <w:tr w:rsidR="006D4495">
            <w:trPr>
              <w:trHeight w:val="295"/>
            </w:trPr>
            <w:tc>
              <w:tcPr>
                <w:tcW w:w="2551" w:type="dxa"/>
                <w:shd w:val="clear" w:color="auto" w:fill="auto"/>
              </w:tcPr>
              <w:p w:rsidR="006D4495" w:rsidRDefault="00067D63">
                <w:pPr>
                  <w:tabs>
                    <w:tab w:val="right" w:pos="8838"/>
                  </w:tabs>
                  <w:ind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111" w:type="dxa"/>
                <w:shd w:val="clear" w:color="auto" w:fill="auto"/>
              </w:tcPr>
              <w:p w:rsidR="006D4495" w:rsidRDefault="00067D63">
                <w:pPr>
                  <w:tabs>
                    <w:tab w:val="right" w:pos="8838"/>
                  </w:tabs>
                  <w:ind w:left="-108"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rsidR="006D4495" w:rsidRDefault="006D4495">
                <w:pPr>
                  <w:tabs>
                    <w:tab w:val="right" w:pos="8838"/>
                  </w:tabs>
                  <w:ind w:left="-108" w:right="171"/>
                  <w:jc w:val="both"/>
                  <w:rPr>
                    <w:rFonts w:ascii="Palatino Linotype" w:eastAsia="Palatino Linotype" w:hAnsi="Palatino Linotype" w:cs="Palatino Linotype"/>
                    <w:b/>
                    <w:bCs/>
                    <w:sz w:val="22"/>
                    <w:szCs w:val="22"/>
                  </w:rPr>
                </w:pPr>
              </w:p>
            </w:tc>
          </w:tr>
        </w:tbl>
        <w:p w:rsidR="006D4495" w:rsidRDefault="006D4495">
          <w:pPr>
            <w:tabs>
              <w:tab w:val="right" w:pos="8838"/>
            </w:tabs>
            <w:ind w:left="-28"/>
            <w:jc w:val="both"/>
            <w:rPr>
              <w:rFonts w:ascii="Arial" w:eastAsia="Arial" w:hAnsi="Arial" w:cs="Arial"/>
              <w:b/>
              <w:bCs/>
              <w:sz w:val="22"/>
              <w:szCs w:val="22"/>
            </w:rPr>
          </w:pPr>
        </w:p>
      </w:tc>
    </w:tr>
  </w:tbl>
  <w:p w:rsidR="006D4495" w:rsidRDefault="00D7366E">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495" w:rsidRDefault="006D4495">
    <w:pPr>
      <w:widowControl w:val="0"/>
      <w:pBdr>
        <w:top w:val="nil"/>
        <w:left w:val="nil"/>
        <w:bottom w:val="nil"/>
        <w:right w:val="nil"/>
        <w:between w:val="nil"/>
      </w:pBdr>
      <w:spacing w:line="276" w:lineRule="auto"/>
      <w:rPr>
        <w:color w:val="000000"/>
        <w:sz w:val="14"/>
        <w:szCs w:val="14"/>
      </w:rPr>
    </w:pPr>
  </w:p>
  <w:tbl>
    <w:tblPr>
      <w:tblStyle w:val="a9"/>
      <w:tblW w:w="9072" w:type="dxa"/>
      <w:tblInd w:w="0" w:type="dxa"/>
      <w:tblLayout w:type="fixed"/>
      <w:tblLook w:val="0400" w:firstRow="0" w:lastRow="0" w:firstColumn="0" w:lastColumn="0" w:noHBand="0" w:noVBand="1"/>
    </w:tblPr>
    <w:tblGrid>
      <w:gridCol w:w="2268"/>
      <w:gridCol w:w="6804"/>
    </w:tblGrid>
    <w:tr w:rsidR="006D4495">
      <w:trPr>
        <w:trHeight w:val="1435"/>
      </w:trPr>
      <w:tc>
        <w:tcPr>
          <w:tcW w:w="2268" w:type="dxa"/>
          <w:shd w:val="clear" w:color="auto" w:fill="auto"/>
        </w:tcPr>
        <w:p w:rsidR="006D4495" w:rsidRDefault="006D4495">
          <w:pPr>
            <w:tabs>
              <w:tab w:val="right" w:pos="4273"/>
            </w:tabs>
            <w:rPr>
              <w:rFonts w:ascii="Garamond" w:eastAsia="Garamond" w:hAnsi="Garamond" w:cs="Garamond"/>
              <w:sz w:val="22"/>
              <w:szCs w:val="22"/>
            </w:rPr>
          </w:pPr>
        </w:p>
      </w:tc>
      <w:tc>
        <w:tcPr>
          <w:tcW w:w="6804" w:type="dxa"/>
          <w:shd w:val="clear" w:color="auto" w:fill="auto"/>
        </w:tcPr>
        <w:p w:rsidR="006D4495" w:rsidRDefault="006D4495">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a"/>
            <w:tblW w:w="6662" w:type="dxa"/>
            <w:tblInd w:w="40" w:type="dxa"/>
            <w:tblLayout w:type="fixed"/>
            <w:tblLook w:val="0400" w:firstRow="0" w:lastRow="0" w:firstColumn="0" w:lastColumn="0" w:noHBand="0" w:noVBand="1"/>
          </w:tblPr>
          <w:tblGrid>
            <w:gridCol w:w="2444"/>
            <w:gridCol w:w="4218"/>
          </w:tblGrid>
          <w:tr w:rsidR="006D4495">
            <w:trPr>
              <w:trHeight w:val="144"/>
            </w:trPr>
            <w:tc>
              <w:tcPr>
                <w:tcW w:w="2444" w:type="dxa"/>
                <w:shd w:val="clear" w:color="auto" w:fill="auto"/>
              </w:tcPr>
              <w:p w:rsidR="006D4495" w:rsidRDefault="00067D63">
                <w:pPr>
                  <w:tabs>
                    <w:tab w:val="right" w:pos="8838"/>
                  </w:tabs>
                  <w:ind w:left="-264" w:right="-105" w:firstLine="19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18" w:type="dxa"/>
                <w:shd w:val="clear" w:color="auto" w:fill="auto"/>
              </w:tcPr>
              <w:p w:rsidR="006D4495" w:rsidRDefault="00067D63">
                <w:pPr>
                  <w:tabs>
                    <w:tab w:val="right" w:pos="8838"/>
                  </w:tabs>
                  <w:ind w:left="-74" w:right="-10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09888/INFOEM/IP/RR/2025</w:t>
                </w:r>
              </w:p>
            </w:tc>
          </w:tr>
          <w:tr w:rsidR="006D4495">
            <w:trPr>
              <w:trHeight w:val="144"/>
            </w:trPr>
            <w:tc>
              <w:tcPr>
                <w:tcW w:w="2444" w:type="dxa"/>
                <w:shd w:val="clear" w:color="auto" w:fill="auto"/>
              </w:tcPr>
              <w:p w:rsidR="006D4495" w:rsidRDefault="00067D63">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218" w:type="dxa"/>
                <w:shd w:val="clear" w:color="auto" w:fill="auto"/>
              </w:tcPr>
              <w:p w:rsidR="006D4495" w:rsidRDefault="00C13FB3">
                <w:pPr>
                  <w:tabs>
                    <w:tab w:val="left" w:pos="3122"/>
                    <w:tab w:val="right" w:pos="8838"/>
                  </w:tabs>
                  <w:ind w:left="-74" w:right="-10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XXXX</w:t>
                </w:r>
              </w:p>
            </w:tc>
          </w:tr>
          <w:tr w:rsidR="006D4495">
            <w:trPr>
              <w:trHeight w:val="283"/>
            </w:trPr>
            <w:tc>
              <w:tcPr>
                <w:tcW w:w="2444" w:type="dxa"/>
                <w:shd w:val="clear" w:color="auto" w:fill="auto"/>
              </w:tcPr>
              <w:p w:rsidR="006D4495" w:rsidRDefault="00067D63">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18" w:type="dxa"/>
                <w:shd w:val="clear" w:color="auto" w:fill="auto"/>
              </w:tcPr>
              <w:p w:rsidR="006D4495" w:rsidRDefault="00067D63">
                <w:pPr>
                  <w:tabs>
                    <w:tab w:val="left" w:pos="2834"/>
                    <w:tab w:val="right" w:pos="8838"/>
                  </w:tabs>
                  <w:ind w:right="-10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Ecatepec de Morelos</w:t>
                </w:r>
              </w:p>
            </w:tc>
          </w:tr>
          <w:tr w:rsidR="006D4495">
            <w:trPr>
              <w:trHeight w:val="283"/>
            </w:trPr>
            <w:tc>
              <w:tcPr>
                <w:tcW w:w="2444" w:type="dxa"/>
                <w:shd w:val="clear" w:color="auto" w:fill="auto"/>
              </w:tcPr>
              <w:p w:rsidR="006D4495" w:rsidRDefault="00067D63">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218" w:type="dxa"/>
                <w:shd w:val="clear" w:color="auto" w:fill="auto"/>
              </w:tcPr>
              <w:p w:rsidR="006D4495" w:rsidRDefault="00067D63">
                <w:pPr>
                  <w:tabs>
                    <w:tab w:val="right" w:pos="8838"/>
                  </w:tabs>
                  <w:ind w:left="-74" w:right="-10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María del Rosario Mejía Ayala</w:t>
                </w:r>
              </w:p>
              <w:p w:rsidR="006D4495" w:rsidRDefault="006D4495">
                <w:pPr>
                  <w:tabs>
                    <w:tab w:val="right" w:pos="8838"/>
                  </w:tabs>
                  <w:ind w:left="-74" w:right="-105"/>
                  <w:jc w:val="both"/>
                  <w:rPr>
                    <w:rFonts w:ascii="Palatino Linotype" w:eastAsia="Palatino Linotype" w:hAnsi="Palatino Linotype" w:cs="Palatino Linotype"/>
                    <w:b/>
                    <w:bCs/>
                    <w:sz w:val="22"/>
                    <w:szCs w:val="22"/>
                  </w:rPr>
                </w:pPr>
              </w:p>
            </w:tc>
          </w:tr>
        </w:tbl>
        <w:p w:rsidR="006D4495" w:rsidRDefault="006D4495">
          <w:pPr>
            <w:tabs>
              <w:tab w:val="right" w:pos="8838"/>
            </w:tabs>
            <w:ind w:left="-28"/>
            <w:jc w:val="both"/>
            <w:rPr>
              <w:rFonts w:ascii="Arial" w:eastAsia="Arial" w:hAnsi="Arial" w:cs="Arial"/>
              <w:b/>
              <w:bCs/>
              <w:sz w:val="22"/>
              <w:szCs w:val="22"/>
            </w:rPr>
          </w:pPr>
        </w:p>
      </w:tc>
    </w:tr>
  </w:tbl>
  <w:p w:rsidR="006D4495" w:rsidRDefault="00D7366E">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E4944"/>
    <w:multiLevelType w:val="multilevel"/>
    <w:tmpl w:val="E28C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A0019B"/>
    <w:multiLevelType w:val="multilevel"/>
    <w:tmpl w:val="72CC92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55B0B81"/>
    <w:multiLevelType w:val="multilevel"/>
    <w:tmpl w:val="2876B976"/>
    <w:lvl w:ilvl="0">
      <w:start w:val="1"/>
      <w:numFmt w:val="bullet"/>
      <w:lvlText w:val="●"/>
      <w:lvlJc w:val="left"/>
      <w:pPr>
        <w:ind w:left="1364" w:hanging="360"/>
      </w:pPr>
      <w:rPr>
        <w:rFonts w:ascii="Noto Sans Symbols" w:eastAsia="Noto Sans Symbols" w:hAnsi="Noto Sans Symbols" w:cs="Noto Sans Symbols"/>
      </w:rPr>
    </w:lvl>
    <w:lvl w:ilvl="1">
      <w:start w:val="1"/>
      <w:numFmt w:val="bullet"/>
      <w:lvlText w:val="o"/>
      <w:lvlJc w:val="left"/>
      <w:pPr>
        <w:ind w:left="2084" w:hanging="360"/>
      </w:pPr>
      <w:rPr>
        <w:rFonts w:ascii="Courier New" w:eastAsia="Courier New" w:hAnsi="Courier New" w:cs="Courier New"/>
      </w:rPr>
    </w:lvl>
    <w:lvl w:ilvl="2">
      <w:start w:val="1"/>
      <w:numFmt w:val="bullet"/>
      <w:lvlText w:val="▪"/>
      <w:lvlJc w:val="left"/>
      <w:pPr>
        <w:ind w:left="2804" w:hanging="360"/>
      </w:pPr>
      <w:rPr>
        <w:rFonts w:ascii="Noto Sans Symbols" w:eastAsia="Noto Sans Symbols" w:hAnsi="Noto Sans Symbols" w:cs="Noto Sans Symbols"/>
      </w:rPr>
    </w:lvl>
    <w:lvl w:ilvl="3">
      <w:start w:val="1"/>
      <w:numFmt w:val="bullet"/>
      <w:lvlText w:val="●"/>
      <w:lvlJc w:val="left"/>
      <w:pPr>
        <w:ind w:left="3524" w:hanging="360"/>
      </w:pPr>
      <w:rPr>
        <w:rFonts w:ascii="Noto Sans Symbols" w:eastAsia="Noto Sans Symbols" w:hAnsi="Noto Sans Symbols" w:cs="Noto Sans Symbols"/>
      </w:rPr>
    </w:lvl>
    <w:lvl w:ilvl="4">
      <w:start w:val="1"/>
      <w:numFmt w:val="bullet"/>
      <w:lvlText w:val="o"/>
      <w:lvlJc w:val="left"/>
      <w:pPr>
        <w:ind w:left="4244" w:hanging="360"/>
      </w:pPr>
      <w:rPr>
        <w:rFonts w:ascii="Courier New" w:eastAsia="Courier New" w:hAnsi="Courier New" w:cs="Courier New"/>
      </w:rPr>
    </w:lvl>
    <w:lvl w:ilvl="5">
      <w:start w:val="1"/>
      <w:numFmt w:val="bullet"/>
      <w:lvlText w:val="▪"/>
      <w:lvlJc w:val="left"/>
      <w:pPr>
        <w:ind w:left="4964" w:hanging="360"/>
      </w:pPr>
      <w:rPr>
        <w:rFonts w:ascii="Noto Sans Symbols" w:eastAsia="Noto Sans Symbols" w:hAnsi="Noto Sans Symbols" w:cs="Noto Sans Symbols"/>
      </w:rPr>
    </w:lvl>
    <w:lvl w:ilvl="6">
      <w:start w:val="1"/>
      <w:numFmt w:val="bullet"/>
      <w:lvlText w:val="●"/>
      <w:lvlJc w:val="left"/>
      <w:pPr>
        <w:ind w:left="5684" w:hanging="360"/>
      </w:pPr>
      <w:rPr>
        <w:rFonts w:ascii="Noto Sans Symbols" w:eastAsia="Noto Sans Symbols" w:hAnsi="Noto Sans Symbols" w:cs="Noto Sans Symbols"/>
      </w:rPr>
    </w:lvl>
    <w:lvl w:ilvl="7">
      <w:start w:val="1"/>
      <w:numFmt w:val="bullet"/>
      <w:lvlText w:val="o"/>
      <w:lvlJc w:val="left"/>
      <w:pPr>
        <w:ind w:left="6404" w:hanging="360"/>
      </w:pPr>
      <w:rPr>
        <w:rFonts w:ascii="Courier New" w:eastAsia="Courier New" w:hAnsi="Courier New" w:cs="Courier New"/>
      </w:rPr>
    </w:lvl>
    <w:lvl w:ilvl="8">
      <w:start w:val="1"/>
      <w:numFmt w:val="bullet"/>
      <w:lvlText w:val="▪"/>
      <w:lvlJc w:val="left"/>
      <w:pPr>
        <w:ind w:left="7124" w:hanging="360"/>
      </w:pPr>
      <w:rPr>
        <w:rFonts w:ascii="Noto Sans Symbols" w:eastAsia="Noto Sans Symbols" w:hAnsi="Noto Sans Symbols" w:cs="Noto Sans Symbols"/>
      </w:rPr>
    </w:lvl>
  </w:abstractNum>
  <w:abstractNum w:abstractNumId="3" w15:restartNumberingAfterBreak="0">
    <w:nsid w:val="16033108"/>
    <w:multiLevelType w:val="multilevel"/>
    <w:tmpl w:val="5C604DB0"/>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4" w15:restartNumberingAfterBreak="0">
    <w:nsid w:val="23397C13"/>
    <w:multiLevelType w:val="multilevel"/>
    <w:tmpl w:val="52B0C562"/>
    <w:lvl w:ilvl="0">
      <w:start w:val="28"/>
      <w:numFmt w:val="decimal"/>
      <w:lvlText w:val="%1."/>
      <w:lvlJc w:val="left"/>
      <w:pPr>
        <w:ind w:left="786"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594F03"/>
    <w:multiLevelType w:val="multilevel"/>
    <w:tmpl w:val="BA60A87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368E3171"/>
    <w:multiLevelType w:val="multilevel"/>
    <w:tmpl w:val="E7BA5F48"/>
    <w:lvl w:ilvl="0">
      <w:start w:val="1"/>
      <w:numFmt w:val="decimal"/>
      <w:lvlText w:val="%1)"/>
      <w:lvlJc w:val="left"/>
      <w:pPr>
        <w:ind w:left="720" w:hanging="360"/>
      </w:pPr>
    </w:lvl>
    <w:lvl w:ilvl="1">
      <w:start w:val="1"/>
      <w:numFmt w:val="upperLetter"/>
      <w:lvlText w:val="%2)"/>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7C2512E"/>
    <w:multiLevelType w:val="multilevel"/>
    <w:tmpl w:val="2CCE6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3643CC"/>
    <w:multiLevelType w:val="multilevel"/>
    <w:tmpl w:val="62442C68"/>
    <w:lvl w:ilvl="0">
      <w:start w:val="1"/>
      <w:numFmt w:val="bullet"/>
      <w:lvlText w:val="●"/>
      <w:lvlJc w:val="left"/>
      <w:pPr>
        <w:ind w:left="1440" w:hanging="360"/>
      </w:pPr>
      <w:rPr>
        <w:rFonts w:ascii="Noto Sans Symbols" w:eastAsia="Noto Sans Symbols" w:hAnsi="Noto Sans Symbols" w:cs="Noto Sans Symbols"/>
      </w:rPr>
    </w:lvl>
    <w:lvl w:ilvl="1">
      <w:start w:val="1"/>
      <w:numFmt w:val="decimal"/>
      <w:lvlText w:val="%2."/>
      <w:lvlJc w:val="left"/>
      <w:pPr>
        <w:ind w:left="2160" w:hanging="360"/>
      </w:p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62D96584"/>
    <w:multiLevelType w:val="multilevel"/>
    <w:tmpl w:val="9072CD0C"/>
    <w:lvl w:ilvl="0">
      <w:start w:val="1"/>
      <w:numFmt w:val="decimal"/>
      <w:lvlText w:val="%1."/>
      <w:lvlJc w:val="left"/>
      <w:pPr>
        <w:ind w:left="644" w:hanging="359"/>
      </w:pPr>
      <w:rPr>
        <w:rFonts w:ascii="Palatino Linotype" w:eastAsia="Palatino Linotype" w:hAnsi="Palatino Linotype" w:cs="Palatino Linotype"/>
        <w:b/>
        <w:bCs/>
        <w:i w:val="0"/>
        <w:iCs w:val="0"/>
        <w:color w:val="000000"/>
        <w:sz w:val="24"/>
        <w:szCs w:val="24"/>
      </w:rPr>
    </w:lvl>
    <w:lvl w:ilvl="1">
      <w:start w:val="1"/>
      <w:numFmt w:val="upp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C0D75EE"/>
    <w:multiLevelType w:val="multilevel"/>
    <w:tmpl w:val="DEE0E0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EEB786F"/>
    <w:multiLevelType w:val="multilevel"/>
    <w:tmpl w:val="3F7E4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5230D1E"/>
    <w:multiLevelType w:val="multilevel"/>
    <w:tmpl w:val="D1CC0F1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3" w15:restartNumberingAfterBreak="0">
    <w:nsid w:val="7C0E7D24"/>
    <w:multiLevelType w:val="multilevel"/>
    <w:tmpl w:val="4D8454C2"/>
    <w:lvl w:ilvl="0">
      <w:start w:val="1"/>
      <w:numFmt w:val="decimal"/>
      <w:lvlText w:val="%1)"/>
      <w:lvlJc w:val="left"/>
      <w:pPr>
        <w:ind w:left="720" w:hanging="360"/>
      </w:pPr>
    </w:lvl>
    <w:lvl w:ilvl="1">
      <w:start w:val="1"/>
      <w:numFmt w:val="upperLetter"/>
      <w:lvlText w:val="%2)"/>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0"/>
  </w:num>
  <w:num w:numId="3">
    <w:abstractNumId w:val="3"/>
  </w:num>
  <w:num w:numId="4">
    <w:abstractNumId w:val="11"/>
  </w:num>
  <w:num w:numId="5">
    <w:abstractNumId w:val="7"/>
  </w:num>
  <w:num w:numId="6">
    <w:abstractNumId w:val="5"/>
  </w:num>
  <w:num w:numId="7">
    <w:abstractNumId w:val="1"/>
  </w:num>
  <w:num w:numId="8">
    <w:abstractNumId w:val="12"/>
  </w:num>
  <w:num w:numId="9">
    <w:abstractNumId w:val="4"/>
  </w:num>
  <w:num w:numId="10">
    <w:abstractNumId w:val="13"/>
  </w:num>
  <w:num w:numId="11">
    <w:abstractNumId w:val="2"/>
  </w:num>
  <w:num w:numId="12">
    <w:abstractNumId w:val="6"/>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495"/>
    <w:rsid w:val="00067D63"/>
    <w:rsid w:val="00361ED2"/>
    <w:rsid w:val="006C3BF3"/>
    <w:rsid w:val="006C4B6E"/>
    <w:rsid w:val="006D4495"/>
    <w:rsid w:val="007B138C"/>
    <w:rsid w:val="009C19C0"/>
    <w:rsid w:val="00C13FB3"/>
    <w:rsid w:val="00D736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DD919A9-B6A5-4D29-93BF-C0127025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40"/>
      <w:outlineLvl w:val="2"/>
    </w:pPr>
    <w:rPr>
      <w:rFonts w:ascii="Calibri" w:eastAsia="Calibri" w:hAnsi="Calibri" w:cs="Calibri"/>
      <w:color w:val="1E4D7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pBdr>
        <w:top w:val="nil"/>
        <w:left w:val="nil"/>
        <w:bottom w:val="nil"/>
        <w:right w:val="nil"/>
        <w:between w:val="nil"/>
      </w:pBdr>
      <w:ind w:left="567" w:right="567" w:hanging="567"/>
      <w:jc w:val="both"/>
    </w:pPr>
    <w:rPr>
      <w:rFonts w:ascii="Palatino Linotype" w:eastAsia="Palatino Linotype" w:hAnsi="Palatino Linotype" w:cs="Palatino Linotype"/>
      <w:i/>
      <w:iCs/>
      <w:color w:val="000000"/>
      <w:sz w:val="22"/>
      <w:szCs w:val="22"/>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841865"/>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841865"/>
    <w:pPr>
      <w:tabs>
        <w:tab w:val="center" w:pos="4419"/>
        <w:tab w:val="right" w:pos="8838"/>
      </w:tabs>
    </w:pPr>
  </w:style>
  <w:style w:type="character" w:customStyle="1" w:styleId="EncabezadoCar">
    <w:name w:val="Encabezado Car"/>
    <w:basedOn w:val="Fuentedeprrafopredeter"/>
    <w:link w:val="Encabezado"/>
    <w:uiPriority w:val="99"/>
    <w:rsid w:val="0084186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841865"/>
    <w:pPr>
      <w:tabs>
        <w:tab w:val="center" w:pos="4419"/>
        <w:tab w:val="right" w:pos="8838"/>
      </w:tabs>
    </w:pPr>
  </w:style>
  <w:style w:type="character" w:customStyle="1" w:styleId="PiedepginaCar">
    <w:name w:val="Pie de página Car"/>
    <w:basedOn w:val="Fuentedeprrafopredeter"/>
    <w:link w:val="Piedepgina"/>
    <w:uiPriority w:val="99"/>
    <w:rsid w:val="0084186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186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4186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41865"/>
    <w:rPr>
      <w:color w:val="0563C1"/>
      <w:u w:val="single"/>
    </w:rPr>
  </w:style>
  <w:style w:type="table" w:styleId="Tablaconcuadrcula">
    <w:name w:val="Table Grid"/>
    <w:basedOn w:val="Tablanormal"/>
    <w:uiPriority w:val="39"/>
    <w:rsid w:val="002E7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2E74E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672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6672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D66728"/>
    <w:rPr>
      <w:vertAlign w:val="superscript"/>
    </w:rPr>
  </w:style>
  <w:style w:type="paragraph" w:styleId="Sinespaciado">
    <w:name w:val="No Spacing"/>
    <w:aliases w:val="Francesa,INAI"/>
    <w:link w:val="SinespaciadoCar"/>
    <w:uiPriority w:val="1"/>
    <w:qFormat/>
    <w:rsid w:val="004124AA"/>
    <w:rPr>
      <w:lang w:eastAsia="es-ES"/>
    </w:rPr>
  </w:style>
  <w:style w:type="character" w:customStyle="1" w:styleId="SinespaciadoCar">
    <w:name w:val="Sin espaciado Car"/>
    <w:aliases w:val="Francesa Car,INAI Car"/>
    <w:link w:val="Sinespaciado"/>
    <w:uiPriority w:val="1"/>
    <w:locked/>
    <w:rsid w:val="004124AA"/>
    <w:rPr>
      <w:rFonts w:ascii="Times New Roman" w:eastAsia="Times New Roman" w:hAnsi="Times New Roman" w:cs="Times New Roman"/>
      <w:sz w:val="24"/>
      <w:szCs w:val="24"/>
      <w:lang w:eastAsia="es-ES"/>
    </w:rPr>
  </w:style>
  <w:style w:type="character" w:customStyle="1" w:styleId="Ttulo3Car">
    <w:name w:val="Título 3 Car"/>
    <w:basedOn w:val="Fuentedeprrafopredeter"/>
    <w:uiPriority w:val="9"/>
    <w:rsid w:val="00370EF2"/>
    <w:rPr>
      <w:rFonts w:asciiTheme="majorHAnsi" w:eastAsiaTheme="majorEastAsia" w:hAnsiTheme="majorHAnsi" w:cstheme="majorBidi"/>
      <w:color w:val="1F4D78" w:themeColor="accent1" w:themeShade="7F"/>
      <w:sz w:val="24"/>
      <w:szCs w:val="24"/>
      <w:lang w:val="es-ES_tradnl" w:eastAsia="es-ES"/>
    </w:rPr>
  </w:style>
  <w:style w:type="character" w:customStyle="1" w:styleId="PuestoCar">
    <w:name w:val="Puesto Car"/>
    <w:aliases w:val="Cita textual Car"/>
    <w:basedOn w:val="Fuentedeprrafopredeter"/>
    <w:uiPriority w:val="10"/>
    <w:rsid w:val="00A74FD9"/>
    <w:rPr>
      <w:rFonts w:ascii="Palatino Linotype" w:eastAsiaTheme="majorEastAsia" w:hAnsi="Palatino Linotype" w:cstheme="majorBidi"/>
      <w:i/>
      <w:kern w:val="28"/>
      <w:szCs w:val="56"/>
      <w:lang w:eastAsia="es-ES"/>
    </w:rPr>
  </w:style>
  <w:style w:type="paragraph" w:customStyle="1" w:styleId="Citas">
    <w:name w:val="Citas"/>
    <w:basedOn w:val="Normal"/>
    <w:qFormat/>
    <w:rsid w:val="00E863F2"/>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Default">
    <w:name w:val="Default"/>
    <w:rsid w:val="001E23BA"/>
    <w:pPr>
      <w:autoSpaceDE w:val="0"/>
      <w:autoSpaceDN w:val="0"/>
      <w:adjustRightInd w:val="0"/>
    </w:pPr>
    <w:rPr>
      <w:rFonts w:ascii="Calibri" w:hAnsi="Calibri" w:cs="Calibri"/>
      <w:color w:val="00000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character" w:customStyle="1" w:styleId="normaltextrun">
    <w:name w:val="normaltextrun"/>
    <w:basedOn w:val="Fuentedeprrafopredeter"/>
    <w:rsid w:val="003810D4"/>
  </w:style>
  <w:style w:type="character" w:customStyle="1" w:styleId="eop">
    <w:name w:val="eop"/>
    <w:basedOn w:val="Fuentedeprrafopredeter"/>
    <w:rsid w:val="003810D4"/>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AlBvGvaKeUwL4/Xfu2qKCMOxpw==">CgMxLjAyDmgubDAybGVoMmhudHdzMg1oLnVva2Yzbm5tbzRmMg5oLm55Y2p0NzMzZXg0NjIOaC52dmR5azZtcGdraHkyDmguZXRueXh3djcxeWgzMg5oLmtobGRnbDNzOWh1YzIOaC5leHAxZjJoMHNqbjkyDWgueW4zeGpyemZkbmYyDmguNDJxc2M2MWZpdWRpMg5oLm04eXBnODZndnRqbjIOaC50bWhoamk5b2NpaG44AHIhMWVZdXpWbzk3ZW5FaHh2em52Szg4NTBGejVfeThtcU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49</Pages>
  <Words>12369</Words>
  <Characters>68033</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80242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6</cp:revision>
  <cp:lastPrinted>2026-04-10T16:17:00Z</cp:lastPrinted>
  <dcterms:created xsi:type="dcterms:W3CDTF">2026-03-23T17:37:00Z</dcterms:created>
  <dcterms:modified xsi:type="dcterms:W3CDTF">2026-04-17T19:53:00Z</dcterms:modified>
</cp:coreProperties>
</file>