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b w:val="1"/>
          <w:bCs w:val="1"/>
          <w:sz w:val="22"/>
          <w:szCs w:val="22"/>
        </w:rPr>
      </w:pPr>
      <w:bookmarkStart w:colFirst="0" w:colLast="0" w:name="_heading=h.1fob9te"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w:t>
      </w:r>
      <w:r w:rsidDel="00000000" w:rsidR="00000000" w:rsidRPr="00000000">
        <w:rPr>
          <w:rFonts w:ascii="Palatino Linotype" w:cs="Palatino Linotype" w:eastAsia="Palatino Linotype" w:hAnsi="Palatino Linotype"/>
          <w:b w:val="1"/>
          <w:bCs w:val="1"/>
          <w:sz w:val="22"/>
          <w:szCs w:val="22"/>
          <w:rtl w:val="0"/>
        </w:rPr>
        <w:t xml:space="preserve">a catorce de enero de dos mil veintiséis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tl w:val="0"/>
        </w:rPr>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sz w:val="22"/>
          <w:szCs w:val="22"/>
        </w:rPr>
      </w:pPr>
      <w:bookmarkStart w:colFirst="0" w:colLast="0" w:name="_heading=h.4d34og8" w:id="1"/>
      <w:bookmarkEnd w:id="1"/>
      <w:r w:rsidDel="00000000" w:rsidR="00000000" w:rsidRPr="00000000">
        <w:rPr>
          <w:rFonts w:ascii="Palatino Linotype" w:cs="Palatino Linotype" w:eastAsia="Palatino Linotype" w:hAnsi="Palatino Linotype"/>
          <w:b w:val="1"/>
          <w:bCs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recurso de revisión </w:t>
      </w:r>
      <w:r w:rsidDel="00000000" w:rsidR="00000000" w:rsidRPr="00000000">
        <w:rPr>
          <w:rFonts w:ascii="Palatino Linotype" w:cs="Palatino Linotype" w:eastAsia="Palatino Linotype" w:hAnsi="Palatino Linotype"/>
          <w:b w:val="1"/>
          <w:bCs w:val="1"/>
          <w:sz w:val="22"/>
          <w:szCs w:val="22"/>
          <w:rtl w:val="0"/>
        </w:rPr>
        <w:t xml:space="preserve">13134/INFOEM/IP/RR/2025</w:t>
      </w:r>
      <w:r w:rsidDel="00000000" w:rsidR="00000000" w:rsidRPr="00000000">
        <w:rPr>
          <w:rFonts w:ascii="Palatino Linotype" w:cs="Palatino Linotype" w:eastAsia="Palatino Linotype" w:hAnsi="Palatino Linotype"/>
          <w:sz w:val="22"/>
          <w:szCs w:val="22"/>
          <w:rtl w:val="0"/>
        </w:rPr>
        <w:t xml:space="preserve">, interpuesto por</w:t>
      </w:r>
      <w:r w:rsidDel="00000000" w:rsidR="00000000" w:rsidRPr="00000000">
        <w:rPr>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XXXXXXX XXXXXX XXX,</w:t>
      </w:r>
      <w:r w:rsidDel="00000000" w:rsidR="00000000" w:rsidRPr="00000000">
        <w:rPr>
          <w:rFonts w:ascii="Palatino Linotype" w:cs="Palatino Linotype" w:eastAsia="Palatino Linotype" w:hAnsi="Palatino Linotype"/>
          <w:sz w:val="22"/>
          <w:szCs w:val="22"/>
          <w:rtl w:val="0"/>
        </w:rPr>
        <w:t xml:space="preserve"> en lo sucesivo</w:t>
      </w:r>
      <w:r w:rsidDel="00000000" w:rsidR="00000000" w:rsidRPr="00000000">
        <w:rPr>
          <w:rFonts w:ascii="Palatino Linotype" w:cs="Palatino Linotype" w:eastAsia="Palatino Linotype" w:hAnsi="Palatino Linotype"/>
          <w:b w:val="1"/>
          <w:bCs w:val="1"/>
          <w:sz w:val="22"/>
          <w:szCs w:val="22"/>
          <w:rtl w:val="0"/>
        </w:rPr>
        <w:t xml:space="preserve"> 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su solicitud por parte del </w:t>
      </w:r>
      <w:r w:rsidDel="00000000" w:rsidR="00000000" w:rsidRPr="00000000">
        <w:rPr>
          <w:rFonts w:ascii="Palatino Linotype" w:cs="Palatino Linotype" w:eastAsia="Palatino Linotype" w:hAnsi="Palatino Linotype"/>
          <w:b w:val="1"/>
          <w:bCs w:val="1"/>
          <w:sz w:val="22"/>
          <w:szCs w:val="22"/>
          <w:rtl w:val="0"/>
        </w:rPr>
        <w:t xml:space="preserve">Ayuntamiento de Rayón,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1. Solicitud de acceso a la información.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veintiocho de octubre de dos mil veinticinco,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a través del Sistema de Acceso a la Información Mexiquense, en lo subsecuente el SAIMEX, formuló ante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solicitud de acceso a la información pública a la que se le asignó el número</w:t>
      </w:r>
      <w:r w:rsidDel="00000000" w:rsidR="00000000" w:rsidRPr="00000000">
        <w:rPr>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00079/RAYON/IP/2025;</w:t>
      </w:r>
      <w:r w:rsidDel="00000000" w:rsidR="00000000" w:rsidRPr="00000000">
        <w:rPr>
          <w:rFonts w:ascii="Palatino Linotype" w:cs="Palatino Linotype" w:eastAsia="Palatino Linotype" w:hAnsi="Palatino Linotype"/>
          <w:sz w:val="22"/>
          <w:szCs w:val="22"/>
          <w:rtl w:val="0"/>
        </w:rPr>
        <w:t xml:space="preserve"> mediante la cual requirió la información siguiente: </w:t>
      </w:r>
    </w:p>
    <w:p w:rsidR="00000000" w:rsidDel="00000000" w:rsidP="00000000" w:rsidRDefault="00000000" w:rsidRPr="00000000" w14:paraId="00000005">
      <w:pPr>
        <w:spacing w:after="240" w:before="240" w:lineRule="auto"/>
        <w:ind w:left="567" w:right="474" w:firstLine="0"/>
        <w:jc w:val="both"/>
        <w:rPr>
          <w:rFonts w:ascii="Palatino Linotype" w:cs="Palatino Linotype" w:eastAsia="Palatino Linotype" w:hAnsi="Palatino Linotype"/>
          <w:i w:val="1"/>
          <w:iCs w:val="1"/>
          <w:sz w:val="22"/>
          <w:szCs w:val="22"/>
        </w:rPr>
      </w:pPr>
      <w:bookmarkStart w:colFirst="0" w:colLast="0" w:name="_heading=h.gjdgxs" w:id="2"/>
      <w:bookmarkEnd w:id="2"/>
      <w:r w:rsidDel="00000000" w:rsidR="00000000" w:rsidRPr="00000000">
        <w:rPr>
          <w:rFonts w:ascii="Palatino Linotype" w:cs="Palatino Linotype" w:eastAsia="Palatino Linotype" w:hAnsi="Palatino Linotype"/>
          <w:i w:val="1"/>
          <w:iCs w:val="1"/>
          <w:sz w:val="22"/>
          <w:szCs w:val="22"/>
          <w:rtl w:val="0"/>
        </w:rPr>
        <w:t xml:space="preserve">“certificado de competencia laboral de: Secretario del ayuntamiento, Director de Obras, Contralora, Director de IMCUFIDER, Tesorero” (Sic) </w:t>
      </w:r>
    </w:p>
    <w:p w:rsidR="00000000" w:rsidDel="00000000" w:rsidP="00000000" w:rsidRDefault="00000000" w:rsidRPr="00000000" w14:paraId="00000006">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Modalidad de Entrega:</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(SAIMEX).</w:t>
      </w:r>
    </w:p>
    <w:p w:rsidR="00000000" w:rsidDel="00000000" w:rsidP="00000000" w:rsidRDefault="00000000" w:rsidRPr="00000000" w14:paraId="00000007">
      <w:pPr>
        <w:spacing w:line="360" w:lineRule="auto"/>
        <w:jc w:val="both"/>
        <w:rPr>
          <w:rFonts w:ascii="Palatino Linotype" w:cs="Palatino Linotype" w:eastAsia="Palatino Linotype" w:hAnsi="Palatino Linotype"/>
          <w:b w:val="1"/>
          <w:bCs w:val="1"/>
          <w:sz w:val="22"/>
          <w:szCs w:val="22"/>
        </w:rPr>
      </w:pPr>
      <w:bookmarkStart w:colFirst="0" w:colLast="0" w:name="_heading=h.3dy6vkm" w:id="3"/>
      <w:bookmarkEnd w:id="3"/>
      <w:r w:rsidDel="00000000" w:rsidR="00000000" w:rsidRPr="00000000">
        <w:rPr>
          <w:rFonts w:ascii="Palatino Linotype" w:cs="Palatino Linotype" w:eastAsia="Palatino Linotype" w:hAnsi="Palatino Linotype"/>
          <w:b w:val="1"/>
          <w:bCs w:val="1"/>
          <w:sz w:val="22"/>
          <w:szCs w:val="22"/>
          <w:rtl w:val="0"/>
        </w:rPr>
        <w:t xml:space="preserve">2.</w:t>
      </w:r>
      <w:r w:rsidDel="00000000" w:rsidR="00000000" w:rsidRPr="00000000">
        <w:rPr>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Respuesta.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diecinueve de noviembre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envió su respuesta a la solicitud de acceso a la información a través de SAIMEX, sustancialmente en los términos siguientes:</w:t>
      </w:r>
      <w:r w:rsidDel="00000000" w:rsidR="00000000" w:rsidRPr="00000000">
        <w:rPr>
          <w:rtl w:val="0"/>
        </w:rPr>
      </w:r>
    </w:p>
    <w:p w:rsidR="00000000" w:rsidDel="00000000" w:rsidP="00000000" w:rsidRDefault="00000000" w:rsidRPr="00000000" w14:paraId="00000008">
      <w:pPr>
        <w:spacing w:after="240" w:before="240" w:lineRule="auto"/>
        <w:ind w:left="567"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“Sírvase en encontrar en archivo adjunto la documentación consistente en la respuesta del servidor público habilitado, Subdirección de Administración, bajo el número de oficio PMR/SUBAD/305/2025 y anexos, remitidos a esta Unidad de Transparencia. Asimismo, se agrega la resolución RES/02/AR/EXT/COMT/19ª/2025, emitida por el Comité de Transparencia, respecto a la clasificación de datos confidenciales contenidos en los documentos que dan respuesta a su solicitud. Finalmente, se hace de su conocimiento que cuenta con el término de quince (15) días hábiles para interponer el recurso de revisión que se señala en los artículos 176, 177 y 178 de la Ley de Transparencia y Acceso a la Información Pública del Estado de México y Municipios.” (Sic)</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Adjunto a la respuesta,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hizo entrega de la siguiente información:</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B">
      <w:pPr>
        <w:numPr>
          <w:ilvl w:val="0"/>
          <w:numId w:val="3"/>
        </w:numPr>
        <w:pBdr>
          <w:top w:space="0" w:sz="0" w:val="nil"/>
          <w:left w:space="0" w:sz="0" w:val="nil"/>
          <w:bottom w:space="0" w:sz="0" w:val="nil"/>
          <w:right w:space="0" w:sz="0" w:val="nil"/>
          <w:between w:space="0" w:sz="0" w:val="nil"/>
        </w:pBdr>
        <w:spacing w:line="276" w:lineRule="auto"/>
        <w:ind w:left="36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Archivo en carpeta zip, que contiene lo siguiente:</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76" w:lineRule="auto"/>
        <w:ind w:left="36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del 13 de noviembre de 2025, a través del cual el Subdirector de Administración indicó que se procedió a realizar una búsqueda exhaustiva y razonable en los archivos de esa Subdirección y que en tal virtud se remite en formato .pdf la certificación de competencia laboral de la Contralora Municipal, del Director del Instituto Municipal de Cultura Física y Deporte de Rayón, Tesorero Municipal, y las constancias que obran de acreditación del Director de Obras Públicas e Infraestructura.</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76" w:lineRule="auto"/>
        <w:ind w:left="36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-Cuatro Certificados de Competencia Laboral (tres de ellos en versión pública) expedidos a favor de la Titular del Órgano Interno de Control Municipal, el Director del IMCUFIDE y del Titular de la Tesorería Municipal.</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76" w:lineRule="auto"/>
        <w:ind w:left="36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versión pública, la constancia del 20 de marzo de 2025, expedida por el Director de Grupo Carom avalada por el CONOCER, que señala que el Director de Obras Públicas resultó competente en el proceso de evaluación para obtener la certificación con base en el estándar “EC0625 Administración de la Obra Pública Municipal” y que actualmente su proceso se encuentra en trámite.</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76" w:lineRule="auto"/>
        <w:ind w:left="360"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0">
      <w:pPr>
        <w:numPr>
          <w:ilvl w:val="0"/>
          <w:numId w:val="3"/>
        </w:numPr>
        <w:pBdr>
          <w:top w:space="0" w:sz="0" w:val="nil"/>
          <w:left w:space="0" w:sz="0" w:val="nil"/>
          <w:bottom w:space="0" w:sz="0" w:val="nil"/>
          <w:right w:space="0" w:sz="0" w:val="nil"/>
          <w:between w:space="0" w:sz="0" w:val="nil"/>
        </w:pBdr>
        <w:spacing w:line="276" w:lineRule="auto"/>
        <w:ind w:left="36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del 18 de noviembre de 2025, a través del cual el Titular de la Unidad de Transparencia remite la respuesta del servidor público habilitado competente de la Subdirección de Administración.</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76" w:lineRule="auto"/>
        <w:ind w:left="360"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2">
      <w:pPr>
        <w:numPr>
          <w:ilvl w:val="0"/>
          <w:numId w:val="3"/>
        </w:numPr>
        <w:pBdr>
          <w:top w:space="0" w:sz="0" w:val="nil"/>
          <w:left w:space="0" w:sz="0" w:val="nil"/>
          <w:bottom w:space="0" w:sz="0" w:val="nil"/>
          <w:right w:space="0" w:sz="0" w:val="nil"/>
          <w:between w:space="0" w:sz="0" w:val="nil"/>
        </w:pBdr>
        <w:spacing w:line="276" w:lineRule="auto"/>
        <w:ind w:left="36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Acta de la Décima Novena Sesión Extraordinaria del Comité de Transparencia del 18 de noviembre de 2025, relativa a la versión pública de la información remitida en respuesta para dar atención a la solicitud de información que nos ocupa.</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76" w:lineRule="auto"/>
        <w:ind w:left="360"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el</w:t>
      </w:r>
      <w:r w:rsidDel="00000000" w:rsidR="00000000" w:rsidRPr="00000000">
        <w:rPr>
          <w:rFonts w:ascii="Palatino Linotype" w:cs="Palatino Linotype" w:eastAsia="Palatino Linotype" w:hAnsi="Palatino Linotype"/>
          <w:b w:val="1"/>
          <w:bCs w:val="1"/>
          <w:sz w:val="22"/>
          <w:szCs w:val="22"/>
          <w:rtl w:val="0"/>
        </w:rPr>
        <w:t xml:space="preserve"> diecinueve de noviembre de dos mil veinticinco,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el recurso de revisión a través de </w:t>
      </w:r>
      <w:r w:rsidDel="00000000" w:rsidR="00000000" w:rsidRPr="00000000">
        <w:rPr>
          <w:rFonts w:ascii="Palatino Linotype" w:cs="Palatino Linotype" w:eastAsia="Palatino Linotype" w:hAnsi="Palatino Linotype"/>
          <w:b w:val="1"/>
          <w:bCs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en donde se manifestó de la siguiente manera:</w:t>
      </w:r>
      <w:r w:rsidDel="00000000" w:rsidR="00000000" w:rsidRPr="00000000">
        <w:rPr>
          <w:rtl w:val="0"/>
        </w:rPr>
      </w:r>
    </w:p>
    <w:p w:rsidR="00000000" w:rsidDel="00000000" w:rsidP="00000000" w:rsidRDefault="00000000" w:rsidRPr="00000000" w14:paraId="00000015">
      <w:pPr>
        <w:tabs>
          <w:tab w:val="left" w:leader="none" w:pos="2745"/>
        </w:tabs>
        <w:spacing w:after="240" w:before="240" w:line="276" w:lineRule="auto"/>
        <w:ind w:left="567" w:right="900"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 Acto impugnado: </w:t>
      </w:r>
      <w:r w:rsidDel="00000000" w:rsidR="00000000" w:rsidRPr="00000000">
        <w:rPr>
          <w:rFonts w:ascii="Palatino Linotype" w:cs="Palatino Linotype" w:eastAsia="Palatino Linotype" w:hAnsi="Palatino Linotype"/>
          <w:i w:val="1"/>
          <w:iCs w:val="1"/>
          <w:sz w:val="22"/>
          <w:szCs w:val="22"/>
          <w:rtl w:val="0"/>
        </w:rPr>
        <w:t xml:space="preserve">“INFORMACIÓN INCOMPLETA” (Sic)</w:t>
      </w:r>
      <w:r w:rsidDel="00000000" w:rsidR="00000000" w:rsidRPr="00000000">
        <w:rPr>
          <w:rtl w:val="0"/>
        </w:rPr>
      </w:r>
    </w:p>
    <w:p w:rsidR="00000000" w:rsidDel="00000000" w:rsidP="00000000" w:rsidRDefault="00000000" w:rsidRPr="00000000" w14:paraId="00000016">
      <w:pPr>
        <w:spacing w:line="276" w:lineRule="auto"/>
        <w:ind w:left="567" w:right="900" w:firstLine="0"/>
        <w:jc w:val="both"/>
        <w:rPr>
          <w:rFonts w:ascii="Palatino Linotype" w:cs="Palatino Linotype" w:eastAsia="Palatino Linotype" w:hAnsi="Palatino Linotype"/>
          <w:i w:val="1"/>
          <w:iCs w:val="1"/>
          <w:sz w:val="22"/>
          <w:szCs w:val="22"/>
        </w:rPr>
      </w:pPr>
      <w:bookmarkStart w:colFirst="0" w:colLast="0" w:name="_heading=h.30j0zll" w:id="4"/>
      <w:bookmarkEnd w:id="4"/>
      <w:r w:rsidDel="00000000" w:rsidR="00000000" w:rsidRPr="00000000">
        <w:rPr>
          <w:rFonts w:ascii="Palatino Linotype" w:cs="Palatino Linotype" w:eastAsia="Palatino Linotype" w:hAnsi="Palatino Linotype"/>
          <w:b w:val="1"/>
          <w:bCs w:val="1"/>
          <w:sz w:val="22"/>
          <w:szCs w:val="22"/>
          <w:rtl w:val="0"/>
        </w:rPr>
        <w:t xml:space="preserve">b) Razones o motivos de inconformidad</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FALTA LA CERTIFICACIÓN DEL SECRETARIO DEL AYUNTAMIENTO O CONSTANCIA O MANIFESTACIÓN DE QUE NO ESTA CERTIFICADO</w:t>
      </w:r>
      <w:r w:rsidDel="00000000" w:rsidR="00000000" w:rsidRPr="00000000">
        <w:rPr>
          <w:rFonts w:ascii="Palatino Linotype" w:cs="Palatino Linotype" w:eastAsia="Palatino Linotype" w:hAnsi="Palatino Linotype"/>
          <w:i w:val="1"/>
          <w:iCs w:val="1"/>
          <w:sz w:val="22"/>
          <w:szCs w:val="22"/>
          <w:rtl w:val="0"/>
        </w:rPr>
        <w:t xml:space="preserve">” (Sic)</w:t>
      </w:r>
    </w:p>
    <w:p w:rsidR="00000000" w:rsidDel="00000000" w:rsidP="00000000" w:rsidRDefault="00000000" w:rsidRPr="00000000" w14:paraId="00000017">
      <w:pPr>
        <w:spacing w:line="276" w:lineRule="auto"/>
        <w:ind w:left="567" w:right="900"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18">
      <w:pPr>
        <w:spacing w:line="276" w:lineRule="auto"/>
        <w:ind w:left="567" w:right="900"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19">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5.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bCs w:val="1"/>
          <w:sz w:val="22"/>
          <w:szCs w:val="22"/>
          <w:rtl w:val="0"/>
        </w:rPr>
        <w:t xml:space="preserve">Guadalupe Ramírez Peña, </w:t>
      </w:r>
      <w:r w:rsidDel="00000000" w:rsidR="00000000" w:rsidRPr="00000000">
        <w:rPr>
          <w:rFonts w:ascii="Palatino Linotype" w:cs="Palatino Linotype" w:eastAsia="Palatino Linotype" w:hAnsi="Palatino Linotype"/>
          <w:sz w:val="22"/>
          <w:szCs w:val="22"/>
          <w:rtl w:val="0"/>
        </w:rPr>
        <w:t xml:space="preserve">a efecto de que analizara sobre su admisión o su desechamiento.</w:t>
      </w:r>
    </w:p>
    <w:p w:rsidR="00000000" w:rsidDel="00000000" w:rsidP="00000000" w:rsidRDefault="00000000" w:rsidRPr="00000000" w14:paraId="0000001A">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6. Admisión del Recurso de revisión.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veintiséis de noviembre de dos mil veinticinco, </w:t>
      </w:r>
      <w:r w:rsidDel="00000000" w:rsidR="00000000" w:rsidRPr="00000000">
        <w:rPr>
          <w:rFonts w:ascii="Palatino Linotype" w:cs="Palatino Linotype" w:eastAsia="Palatino Linotype" w:hAnsi="Palatino Linotype"/>
          <w:sz w:val="22"/>
          <w:szCs w:val="22"/>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presentara su informe justificado.</w:t>
      </w:r>
    </w:p>
    <w:p w:rsidR="00000000" w:rsidDel="00000000" w:rsidP="00000000" w:rsidRDefault="00000000" w:rsidRPr="00000000" w14:paraId="0000001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bookmarkStart w:colFirst="0" w:colLast="0" w:name="_heading=h.2s8eyo1" w:id="5"/>
      <w:bookmarkEnd w:id="5"/>
      <w:r w:rsidDel="00000000" w:rsidR="00000000" w:rsidRPr="00000000">
        <w:rPr>
          <w:rFonts w:ascii="Palatino Linotype" w:cs="Palatino Linotype" w:eastAsia="Palatino Linotype" w:hAnsi="Palatino Linotype"/>
          <w:b w:val="1"/>
          <w:bCs w:val="1"/>
          <w:sz w:val="22"/>
          <w:szCs w:val="22"/>
          <w:rtl w:val="0"/>
        </w:rPr>
        <w:t xml:space="preserve">7. Manifestaciones</w:t>
      </w:r>
      <w:r w:rsidDel="00000000" w:rsidR="00000000" w:rsidRPr="00000000">
        <w:rPr>
          <w:rFonts w:ascii="Palatino Linotype" w:cs="Palatino Linotype" w:eastAsia="Palatino Linotype" w:hAnsi="Palatino Linotype"/>
          <w:sz w:val="22"/>
          <w:szCs w:val="22"/>
          <w:rtl w:val="0"/>
        </w:rPr>
        <w:t xml:space="preserve">. De las constancias que integran el expediente en que se actúa se advierte que las partes fueron omisas en hacer valer manifestaciones, como se muestra:</w:t>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541145"/>
            <wp:effectExtent b="0" l="0" r="0" t="0"/>
            <wp:docPr id="4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612130" cy="154114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8.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bCs w:val="1"/>
          <w:sz w:val="22"/>
          <w:szCs w:val="22"/>
          <w:rtl w:val="0"/>
        </w:rPr>
        <w:t xml:space="preserve">nueve de diciembre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4">
      <w:pPr>
        <w:widowControl w:val="0"/>
        <w:spacing w:after="240" w:before="240"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II. C O N S I D E R A N D O S</w:t>
      </w:r>
    </w:p>
    <w:p w:rsidR="00000000" w:rsidDel="00000000" w:rsidP="00000000" w:rsidRDefault="00000000" w:rsidRPr="00000000" w14:paraId="0000002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7">
      <w:pPr>
        <w:spacing w:line="360" w:lineRule="auto"/>
        <w:jc w:val="both"/>
        <w:rPr>
          <w:rFonts w:ascii="Palatino Linotype" w:cs="Palatino Linotype" w:eastAsia="Palatino Linotype" w:hAnsi="Palatino Linotype"/>
          <w:sz w:val="22"/>
          <w:szCs w:val="22"/>
        </w:rPr>
      </w:pPr>
      <w:bookmarkStart w:colFirst="0" w:colLast="0" w:name="_heading=h.tyjcwt" w:id="6"/>
      <w:bookmarkEnd w:id="6"/>
      <w:r w:rsidDel="00000000" w:rsidR="00000000" w:rsidRPr="00000000">
        <w:rPr>
          <w:rFonts w:ascii="Palatino Linotype" w:cs="Palatino Linotype" w:eastAsia="Palatino Linotype" w:hAnsi="Palatino Linotype"/>
          <w:b w:val="1"/>
          <w:bCs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remitió la respuesta a la solicitud de información el</w:t>
      </w:r>
      <w:r w:rsidDel="00000000" w:rsidR="00000000" w:rsidRPr="00000000">
        <w:rPr>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diecinueve de noviembre de dos mil veinticinco, </w:t>
      </w:r>
      <w:r w:rsidDel="00000000" w:rsidR="00000000" w:rsidRPr="00000000">
        <w:rPr>
          <w:rFonts w:ascii="Palatino Linotype" w:cs="Palatino Linotype" w:eastAsia="Palatino Linotype" w:hAnsi="Palatino Linotype"/>
          <w:sz w:val="22"/>
          <w:szCs w:val="22"/>
          <w:rtl w:val="0"/>
        </w:rPr>
        <w:t xml:space="preserve">mientras que el recurso de revisión interpuesto por </w:t>
      </w:r>
      <w:r w:rsidDel="00000000" w:rsidR="00000000" w:rsidRPr="00000000">
        <w:rPr>
          <w:rFonts w:ascii="Palatino Linotype" w:cs="Palatino Linotype" w:eastAsia="Palatino Linotype" w:hAnsi="Palatino Linotype"/>
          <w:b w:val="1"/>
          <w:bCs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tuvo por presentado el </w:t>
      </w:r>
      <w:r w:rsidDel="00000000" w:rsidR="00000000" w:rsidRPr="00000000">
        <w:rPr>
          <w:rFonts w:ascii="Palatino Linotype" w:cs="Palatino Linotype" w:eastAsia="Palatino Linotype" w:hAnsi="Palatino Linotype"/>
          <w:b w:val="1"/>
          <w:bCs w:val="1"/>
          <w:sz w:val="22"/>
          <w:szCs w:val="22"/>
          <w:rtl w:val="0"/>
        </w:rPr>
        <w:t xml:space="preserve">diecinueve de noviembre de dos mil veinticinco</w:t>
      </w:r>
      <w:r w:rsidDel="00000000" w:rsidR="00000000" w:rsidRPr="00000000">
        <w:rPr>
          <w:rFonts w:ascii="Palatino Linotype" w:cs="Palatino Linotype" w:eastAsia="Palatino Linotype" w:hAnsi="Palatino Linotype"/>
          <w:sz w:val="22"/>
          <w:szCs w:val="22"/>
          <w:rtl w:val="0"/>
        </w:rPr>
        <w:t xml:space="preserve"> esto es, el mismo día </w:t>
      </w:r>
      <w:r w:rsidDel="00000000" w:rsidR="00000000" w:rsidRPr="00000000">
        <w:rPr>
          <w:rFonts w:ascii="Palatino Linotype" w:cs="Palatino Linotype" w:eastAsia="Palatino Linotype" w:hAnsi="Palatino Linotype"/>
          <w:b w:val="1"/>
          <w:bCs w:val="1"/>
          <w:sz w:val="22"/>
          <w:szCs w:val="22"/>
          <w:rtl w:val="0"/>
        </w:rPr>
        <w:t xml:space="preserve">en que se tuvo conocimiento de la respuesta impugnada</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2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se concluye que el presente recurso de revisión se encuentra dentro de los márgenes temporales previstos en las disposiciones legales referidas.</w:t>
      </w:r>
    </w:p>
    <w:p w:rsidR="00000000" w:rsidDel="00000000" w:rsidP="00000000" w:rsidRDefault="00000000" w:rsidRPr="00000000" w14:paraId="0000002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000000" w:rsidDel="00000000" w:rsidP="00000000" w:rsidRDefault="00000000" w:rsidRPr="00000000" w14:paraId="0000002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F">
      <w:pPr>
        <w:spacing w:line="276" w:lineRule="auto"/>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“RECURSO DE RECLAMACIÓN. SU INTERPOSICIÓN NO ES EXTEMPORÁNEA SI SE REALIZA ANTES DE QUE INICIE EL PLAZO PARA HACERLO</w:t>
      </w: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tl w:val="0"/>
        </w:rPr>
      </w:r>
    </w:p>
    <w:p w:rsidR="00000000" w:rsidDel="00000000" w:rsidP="00000000" w:rsidRDefault="00000000" w:rsidRPr="00000000" w14:paraId="00000030">
      <w:pPr>
        <w:spacing w:line="276" w:lineRule="auto"/>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r w:rsidDel="00000000" w:rsidR="00000000" w:rsidRPr="00000000">
        <w:rPr>
          <w:rtl w:val="0"/>
        </w:rPr>
      </w:r>
    </w:p>
    <w:p w:rsidR="00000000" w:rsidDel="00000000" w:rsidP="00000000" w:rsidRDefault="00000000" w:rsidRPr="00000000" w14:paraId="0000003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se concluye que el presente recurso de revisión se encuentra dentro de los márgenes temporales previstos en las disposiciones legales referidas.</w:t>
      </w:r>
    </w:p>
    <w:p w:rsidR="00000000" w:rsidDel="00000000" w:rsidP="00000000" w:rsidRDefault="00000000" w:rsidRPr="00000000" w14:paraId="0000003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4">
      <w:pPr>
        <w:spacing w:line="360" w:lineRule="auto"/>
        <w:jc w:val="both"/>
        <w:rPr>
          <w:rFonts w:ascii="Palatino Linotype" w:cs="Palatino Linotype" w:eastAsia="Palatino Linotype" w:hAnsi="Palatino Linotype"/>
          <w:sz w:val="22"/>
          <w:szCs w:val="22"/>
        </w:rPr>
      </w:pPr>
      <w:bookmarkStart w:colFirst="0" w:colLast="0" w:name="_heading=h.3znysh7" w:id="7"/>
      <w:bookmarkEnd w:id="7"/>
      <w:r w:rsidDel="00000000" w:rsidR="00000000" w:rsidRPr="00000000">
        <w:rPr>
          <w:rFonts w:ascii="Palatino Linotype" w:cs="Palatino Linotype" w:eastAsia="Palatino Linotype" w:hAnsi="Palatino Linotype"/>
          <w:sz w:val="22"/>
          <w:szCs w:val="22"/>
          <w:rtl w:val="0"/>
        </w:rPr>
        <w:t xml:space="preserve">Por otro lado, es de suma importancia mencionar que, si bien la parte</w:t>
      </w:r>
      <w:r w:rsidDel="00000000" w:rsidR="00000000" w:rsidRPr="00000000">
        <w:rPr>
          <w:rFonts w:ascii="Palatino Linotype" w:cs="Palatino Linotype" w:eastAsia="Palatino Linotype" w:hAnsi="Palatino Linotype"/>
          <w:b w:val="1"/>
          <w:bCs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no </w:t>
      </w:r>
      <w:r w:rsidDel="00000000" w:rsidR="00000000" w:rsidRPr="00000000">
        <w:rPr>
          <w:rFonts w:ascii="Palatino Linotype" w:cs="Palatino Linotype" w:eastAsia="Palatino Linotype" w:hAnsi="Palatino Linotype"/>
          <w:b w:val="1"/>
          <w:bCs w:val="1"/>
          <w:sz w:val="22"/>
          <w:szCs w:val="22"/>
          <w:rtl w:val="0"/>
        </w:rPr>
        <w:t xml:space="preserve">proporcionó nombre completo,</w:t>
      </w:r>
      <w:r w:rsidDel="00000000" w:rsidR="00000000" w:rsidRPr="00000000">
        <w:rPr>
          <w:rFonts w:ascii="Palatino Linotype" w:cs="Palatino Linotype" w:eastAsia="Palatino Linotype" w:hAnsi="Palatino Linotype"/>
          <w:sz w:val="22"/>
          <w:szCs w:val="22"/>
          <w:rtl w:val="0"/>
        </w:rPr>
        <w:t xml:space="preserve"> 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3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6">
      <w:pPr>
        <w:spacing w:line="276"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Las solicitudes </w:t>
      </w:r>
      <w:r w:rsidDel="00000000" w:rsidR="00000000" w:rsidRPr="00000000">
        <w:rPr>
          <w:rFonts w:ascii="Palatino Linotype" w:cs="Palatino Linotype" w:eastAsia="Palatino Linotype" w:hAnsi="Palatino Linotype"/>
          <w:i w:val="1"/>
          <w:iCs w:val="1"/>
          <w:sz w:val="22"/>
          <w:szCs w:val="22"/>
          <w:rtl w:val="0"/>
        </w:rPr>
        <w:t xml:space="preserve">anónimas,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con nombre incompleto</w:t>
      </w:r>
      <w:r w:rsidDel="00000000" w:rsidR="00000000" w:rsidRPr="00000000">
        <w:rPr>
          <w:rFonts w:ascii="Palatino Linotype" w:cs="Palatino Linotype" w:eastAsia="Palatino Linotype" w:hAnsi="Palatino Linotype"/>
          <w:i w:val="1"/>
          <w:iCs w:val="1"/>
          <w:sz w:val="22"/>
          <w:szCs w:val="22"/>
          <w:rtl w:val="0"/>
        </w:rPr>
        <w:t xml:space="preserve"> o seudónimo</w:t>
      </w:r>
      <w:r w:rsidDel="00000000" w:rsidR="00000000" w:rsidRPr="00000000">
        <w:rPr>
          <w:rFonts w:ascii="Palatino Linotype" w:cs="Palatino Linotype" w:eastAsia="Palatino Linotype" w:hAnsi="Palatino Linotype"/>
          <w:b w:val="1"/>
          <w:bCs w:val="1"/>
          <w:i w:val="1"/>
          <w:iCs w:val="1"/>
          <w:sz w:val="22"/>
          <w:szCs w:val="22"/>
          <w:rtl w:val="0"/>
        </w:rPr>
        <w:t xml:space="preserve"> serán procedentes para su trámite por parte del sujeto obligado ante quien se presente</w:t>
      </w:r>
      <w:r w:rsidDel="00000000" w:rsidR="00000000" w:rsidRPr="00000000">
        <w:rPr>
          <w:rFonts w:ascii="Palatino Linotype" w:cs="Palatino Linotype" w:eastAsia="Palatino Linotype" w:hAnsi="Palatino Linotype"/>
          <w:i w:val="1"/>
          <w:iCs w:val="1"/>
          <w:sz w:val="22"/>
          <w:szCs w:val="22"/>
          <w:rtl w:val="0"/>
        </w:rPr>
        <w:t xml:space="preserve">. No podrá requerirse información adicional con motivo del nombre proporcionado por el solicitante."</w:t>
      </w:r>
      <w:r w:rsidDel="00000000" w:rsidR="00000000" w:rsidRPr="00000000">
        <w:rPr>
          <w:rtl w:val="0"/>
        </w:rPr>
      </w:r>
    </w:p>
    <w:p w:rsidR="00000000" w:rsidDel="00000000" w:rsidP="00000000" w:rsidRDefault="00000000" w:rsidRPr="00000000" w14:paraId="00000037">
      <w:pPr>
        <w:tabs>
          <w:tab w:val="left" w:leader="none" w:pos="7938"/>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8">
      <w:pPr>
        <w:tabs>
          <w:tab w:val="left" w:leader="none" w:pos="7938"/>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39">
      <w:pPr>
        <w:tabs>
          <w:tab w:val="left" w:leader="none" w:pos="7938"/>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se advierte que resulta procedente la interposición del recurso, según lo manifestado por </w:t>
      </w:r>
      <w:r w:rsidDel="00000000" w:rsidR="00000000" w:rsidRPr="00000000">
        <w:rPr>
          <w:rFonts w:ascii="Palatino Linotype" w:cs="Palatino Linotype" w:eastAsia="Palatino Linotype" w:hAnsi="Palatino Linotype"/>
          <w:b w:val="1"/>
          <w:bCs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sus motivos de inconformidad, de acuerdo al artículo 179, fracción V del ordenamiento legal citado, que a la letra dice: </w:t>
      </w:r>
    </w:p>
    <w:p w:rsidR="00000000" w:rsidDel="00000000" w:rsidP="00000000" w:rsidRDefault="00000000" w:rsidRPr="00000000" w14:paraId="0000003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C">
      <w:pPr>
        <w:ind w:left="567"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179.</w:t>
      </w:r>
      <w:r w:rsidDel="00000000" w:rsidR="00000000" w:rsidRPr="00000000">
        <w:rPr>
          <w:rFonts w:ascii="Palatino Linotype" w:cs="Palatino Linotype" w:eastAsia="Palatino Linotype" w:hAnsi="Palatino Linotype"/>
          <w:i w:val="1"/>
          <w:iCs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D">
      <w:pPr>
        <w:ind w:left="567" w:right="902"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w:t>
      </w:r>
    </w:p>
    <w:p w:rsidR="00000000" w:rsidDel="00000000" w:rsidP="00000000" w:rsidRDefault="00000000" w:rsidRPr="00000000" w14:paraId="0000003E">
      <w:pPr>
        <w:ind w:left="567" w:right="902"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 La entrega de información incompleta;</w:t>
      </w:r>
    </w:p>
    <w:p w:rsidR="00000000" w:rsidDel="00000000" w:rsidP="00000000" w:rsidRDefault="00000000" w:rsidRPr="00000000" w14:paraId="0000003F">
      <w:pPr>
        <w:ind w:left="567"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40">
      <w:pPr>
        <w:ind w:left="567" w:firstLine="0"/>
        <w:rPr>
          <w:rFonts w:ascii="Palatino Linotype" w:cs="Palatino Linotype" w:eastAsia="Palatino Linotype" w:hAnsi="Palatino Linotype"/>
          <w:b w:val="1"/>
          <w:bCs w:val="1"/>
          <w:i w:val="1"/>
          <w:iCs w:val="1"/>
          <w:sz w:val="22"/>
          <w:szCs w:val="22"/>
        </w:rPr>
      </w:pPr>
      <w:r w:rsidDel="00000000" w:rsidR="00000000" w:rsidRPr="00000000">
        <w:rPr>
          <w:rtl w:val="0"/>
        </w:rPr>
      </w:r>
    </w:p>
    <w:p w:rsidR="00000000" w:rsidDel="00000000" w:rsidP="00000000" w:rsidRDefault="00000000" w:rsidRPr="00000000" w14:paraId="00000041">
      <w:pPr>
        <w:ind w:left="567" w:right="900" w:firstLine="0"/>
        <w:jc w:val="right"/>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(Énfasis añadido)</w:t>
      </w:r>
    </w:p>
    <w:p w:rsidR="00000000" w:rsidDel="00000000" w:rsidP="00000000" w:rsidRDefault="00000000" w:rsidRPr="00000000" w14:paraId="00000042">
      <w:pPr>
        <w:ind w:left="567" w:right="900" w:firstLine="0"/>
        <w:jc w:val="right"/>
        <w:rPr>
          <w:rFonts w:ascii="Palatino Linotype" w:cs="Palatino Linotype" w:eastAsia="Palatino Linotype" w:hAnsi="Palatino Linotype"/>
          <w:b w:val="1"/>
          <w:bCs w:val="1"/>
          <w:i w:val="1"/>
          <w:iCs w:val="1"/>
          <w:sz w:val="22"/>
          <w:szCs w:val="22"/>
        </w:rPr>
      </w:pPr>
      <w:r w:rsidDel="00000000" w:rsidR="00000000" w:rsidRPr="00000000">
        <w:rPr>
          <w:rtl w:val="0"/>
        </w:rPr>
      </w:r>
    </w:p>
    <w:p w:rsidR="00000000" w:rsidDel="00000000" w:rsidP="00000000" w:rsidRDefault="00000000" w:rsidRPr="00000000" w14:paraId="00000043">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bCs w:val="1"/>
          <w:sz w:val="22"/>
          <w:szCs w:val="22"/>
          <w:rtl w:val="0"/>
        </w:rPr>
        <w:t xml:space="preserve">verificar si la información otorgada por el Sujeto Obligado es adecuada y suficiente para satisfacer el derecho de acceso a la información pública de la parte Recurrente,</w:t>
      </w:r>
      <w:r w:rsidDel="00000000" w:rsidR="00000000" w:rsidRPr="00000000">
        <w:rPr>
          <w:rFonts w:ascii="Palatino Linotype" w:cs="Palatino Linotype" w:eastAsia="Palatino Linotype" w:hAnsi="Palatino Linotype"/>
          <w:sz w:val="22"/>
          <w:szCs w:val="22"/>
          <w:rtl w:val="0"/>
        </w:rPr>
        <w:t xml:space="preserve"> o en su defecto, en caso de ser procedente, ordenar la entrega de la información oportuna.</w:t>
      </w:r>
      <w:r w:rsidDel="00000000" w:rsidR="00000000" w:rsidRPr="00000000">
        <w:rPr>
          <w:rtl w:val="0"/>
        </w:rPr>
      </w:r>
    </w:p>
    <w:p w:rsidR="00000000" w:rsidDel="00000000" w:rsidP="00000000" w:rsidRDefault="00000000" w:rsidRPr="00000000" w14:paraId="0000004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Antes de entrar al análisis de los pronunciamientos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4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7">
      <w:pP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iCs w:val="1"/>
          <w:sz w:val="22"/>
          <w:szCs w:val="22"/>
          <w:rtl w:val="0"/>
        </w:rPr>
        <w:t xml:space="preserve">, así como de las garantías para su protección, cuyo ejercicio no podrá restringirse ni suspenderse, salvo en los casos y bajo las condiciones que esta Constitución establece.</w:t>
      </w:r>
      <w:r w:rsidDel="00000000" w:rsidR="00000000" w:rsidRPr="00000000">
        <w:rPr>
          <w:rtl w:val="0"/>
        </w:rPr>
      </w:r>
    </w:p>
    <w:p w:rsidR="00000000" w:rsidDel="00000000" w:rsidP="00000000" w:rsidRDefault="00000000" w:rsidRPr="00000000" w14:paraId="00000048">
      <w:pP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r w:rsidDel="00000000" w:rsidR="00000000" w:rsidRPr="00000000">
        <w:rPr>
          <w:rtl w:val="0"/>
        </w:rPr>
      </w:r>
    </w:p>
    <w:p w:rsidR="00000000" w:rsidDel="00000000" w:rsidP="00000000" w:rsidRDefault="00000000" w:rsidRPr="00000000" w14:paraId="00000049">
      <w:pP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iCs w:val="1"/>
          <w:sz w:val="22"/>
          <w:szCs w:val="22"/>
          <w:rtl w:val="0"/>
        </w:rPr>
        <w:t xml:space="preserve"> En consecuencia, el Estado deberá prevenir, investigar, sancionar y reparar las violaciones a los derechos humanos, en los términos que establezca la ley</w:t>
      </w:r>
      <w:r w:rsidDel="00000000" w:rsidR="00000000" w:rsidRPr="00000000">
        <w:rPr>
          <w:rtl w:val="0"/>
        </w:rPr>
      </w:r>
    </w:p>
    <w:p w:rsidR="00000000" w:rsidDel="00000000" w:rsidP="00000000" w:rsidRDefault="00000000" w:rsidRPr="00000000" w14:paraId="0000004A">
      <w:pP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tl w:val="0"/>
        </w:rPr>
      </w:r>
    </w:p>
    <w:p w:rsidR="00000000" w:rsidDel="00000000" w:rsidP="00000000" w:rsidRDefault="00000000" w:rsidRPr="00000000" w14:paraId="0000004B">
      <w:pPr>
        <w:spacing w:line="276" w:lineRule="auto"/>
        <w:ind w:left="851" w:right="90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6o.</w:t>
      </w:r>
      <w:r w:rsidDel="00000000" w:rsidR="00000000" w:rsidRPr="00000000">
        <w:rPr>
          <w:rtl w:val="0"/>
        </w:rPr>
      </w:r>
    </w:p>
    <w:p w:rsidR="00000000" w:rsidDel="00000000" w:rsidP="00000000" w:rsidRDefault="00000000" w:rsidRPr="00000000" w14:paraId="0000004C">
      <w:pPr>
        <w:spacing w:line="276" w:lineRule="auto"/>
        <w:ind w:left="851" w:right="90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240" w:before="240" w:lineRule="auto"/>
        <w:ind w:left="851"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Fonts w:ascii="Palatino Linotype" w:cs="Palatino Linotype" w:eastAsia="Palatino Linotype" w:hAnsi="Palatino Linotype"/>
          <w:i w:val="1"/>
          <w:iCs w:val="1"/>
          <w:sz w:val="22"/>
          <w:szCs w:val="22"/>
          <w:rtl w:val="0"/>
        </w:rPr>
        <w:t xml:space="preserve"> en el ámbito de sus respectivas competencias, se regirán por los siguientes principios y bases:</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240" w:before="240" w:lineRule="auto"/>
        <w:ind w:left="851"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I.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iCs w:val="1"/>
          <w:sz w:val="22"/>
          <w:szCs w:val="22"/>
          <w:rtl w:val="0"/>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bCs w:val="1"/>
          <w:i w:val="1"/>
          <w:iCs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iCs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240" w:before="240" w:lineRule="auto"/>
        <w:ind w:left="851" w:right="851"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 La información que se refiere a la vida privada y los datos personales será protegida en los términos y con las excepciones que fijen las leyes. Para tal efecto, los sujetos obligados contarán con las facultades suficientes para su atención.</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240" w:before="240" w:lineRule="auto"/>
        <w:ind w:left="851"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III.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iCs w:val="1"/>
          <w:sz w:val="22"/>
          <w:szCs w:val="22"/>
          <w:rtl w:val="0"/>
        </w:rPr>
        <w:t xml:space="preserve"> a sus datos personales o a la rectificación de éstos.</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240" w:before="240" w:lineRule="auto"/>
        <w:ind w:left="851" w:right="851" w:firstLine="0"/>
        <w:jc w:val="both"/>
        <w:rPr/>
      </w:pP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240" w:before="240" w:lineRule="auto"/>
        <w:ind w:left="851"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w:t>
      </w:r>
      <w:r w:rsidDel="00000000" w:rsidR="00000000" w:rsidRPr="00000000">
        <w:rPr>
          <w:rFonts w:ascii="Palatino Linotype" w:cs="Palatino Linotype" w:eastAsia="Palatino Linotype" w:hAnsi="Palatino Linotype"/>
          <w:i w:val="1"/>
          <w:iCs w:val="1"/>
          <w:sz w:val="22"/>
          <w:szCs w:val="22"/>
          <w:rtl w:val="0"/>
        </w:rPr>
        <w:t xml:space="preserve"> Se establecerán mecanismos de acceso a la información pública y procedimientos de revisión expeditos que se sustanciarán ante las instancias competentes en los términos que fija esta Constitución y las leyes.</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240" w:before="240" w:lineRule="auto"/>
        <w:ind w:left="851" w:right="851" w:firstLine="0"/>
        <w:jc w:val="both"/>
        <w:rPr/>
      </w:pPr>
      <w:r w:rsidDel="00000000" w:rsidR="00000000" w:rsidRPr="00000000">
        <w:rPr>
          <w:rFonts w:ascii="Palatino Linotype" w:cs="Palatino Linotype" w:eastAsia="Palatino Linotype" w:hAnsi="Palatino Linotype"/>
          <w:b w:val="1"/>
          <w:bCs w:val="1"/>
          <w:i w:val="1"/>
          <w:iCs w:val="1"/>
          <w:sz w:val="22"/>
          <w:szCs w:val="22"/>
          <w:rtl w:val="0"/>
        </w:rPr>
        <w:t xml:space="preserve">V. </w:t>
      </w:r>
      <w:r w:rsidDel="00000000" w:rsidR="00000000" w:rsidRPr="00000000">
        <w:rPr>
          <w:rFonts w:ascii="Palatino Linotype" w:cs="Palatino Linotype" w:eastAsia="Palatino Linotype" w:hAnsi="Palatino Linotype"/>
          <w:i w:val="1"/>
          <w:iCs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240" w:before="240" w:lineRule="auto"/>
        <w:ind w:left="851" w:right="851" w:firstLine="0"/>
        <w:jc w:val="both"/>
        <w:rPr/>
      </w:pP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VI. </w:t>
      </w:r>
      <w:r w:rsidDel="00000000" w:rsidR="00000000" w:rsidRPr="00000000">
        <w:rPr>
          <w:rFonts w:ascii="Palatino Linotype" w:cs="Palatino Linotype" w:eastAsia="Palatino Linotype" w:hAnsi="Palatino Linotype"/>
          <w:i w:val="1"/>
          <w:iCs w:val="1"/>
          <w:sz w:val="22"/>
          <w:szCs w:val="22"/>
          <w:rtl w:val="0"/>
        </w:rPr>
        <w:t xml:space="preserve">Las leyes determinarán la manera en que los sujetos obligados deberán hacer pública la información relativa a los recursos públicos que entreguen a personas físicas o morales.</w:t>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240" w:before="240" w:lineRule="auto"/>
        <w:ind w:left="851" w:right="851" w:firstLine="0"/>
        <w:jc w:val="both"/>
        <w:rPr/>
      </w:pP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VII. </w:t>
      </w:r>
      <w:r w:rsidDel="00000000" w:rsidR="00000000" w:rsidRPr="00000000">
        <w:rPr>
          <w:rFonts w:ascii="Palatino Linotype" w:cs="Palatino Linotype" w:eastAsia="Palatino Linotype" w:hAnsi="Palatino Linotype"/>
          <w:i w:val="1"/>
          <w:iCs w:val="1"/>
          <w:sz w:val="22"/>
          <w:szCs w:val="22"/>
          <w:rtl w:val="0"/>
        </w:rPr>
        <w:t xml:space="preserve">La inobservancia a las disposiciones en materia de acceso a la información pública será sancionada en los términos que dispongan las leyes. [...]”</w:t>
      </w:r>
      <w:r w:rsidDel="00000000" w:rsidR="00000000" w:rsidRPr="00000000">
        <w:rPr>
          <w:rtl w:val="0"/>
        </w:rPr>
      </w:r>
    </w:p>
    <w:p w:rsidR="00000000" w:rsidDel="00000000" w:rsidP="00000000" w:rsidRDefault="00000000" w:rsidRPr="00000000" w14:paraId="00000056">
      <w:pPr>
        <w:spacing w:line="276" w:lineRule="auto"/>
        <w:ind w:left="851" w:right="851"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5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9">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4</w:t>
      </w:r>
      <w:r w:rsidDel="00000000" w:rsidR="00000000" w:rsidRPr="00000000">
        <w:rPr>
          <w:rFonts w:ascii="Palatino Linotype" w:cs="Palatino Linotype" w:eastAsia="Palatino Linotype" w:hAnsi="Palatino Linotype"/>
          <w:i w:val="1"/>
          <w:iCs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5A">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5B">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iCs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5C">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5D">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5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6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1">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12.-</w:t>
      </w:r>
      <w:r w:rsidDel="00000000" w:rsidR="00000000" w:rsidRPr="00000000">
        <w:rPr>
          <w:rFonts w:ascii="Palatino Linotype" w:cs="Palatino Linotype" w:eastAsia="Palatino Linotype" w:hAnsi="Palatino Linotype"/>
          <w:i w:val="1"/>
          <w:iCs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62">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63">
      <w:pPr>
        <w:spacing w:line="276" w:lineRule="auto"/>
        <w:ind w:left="567"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064">
      <w:pPr>
        <w:spacing w:line="360"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65">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66">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7">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orientador 03-17, expuesto por el entonces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bCs w:val="1"/>
          <w:sz w:val="22"/>
          <w:szCs w:val="22"/>
          <w:rtl w:val="0"/>
        </w:rPr>
        <w:t xml:space="preserve"> </w:t>
      </w:r>
    </w:p>
    <w:p w:rsidR="00000000" w:rsidDel="00000000" w:rsidP="00000000" w:rsidRDefault="00000000" w:rsidRPr="00000000" w14:paraId="00000068">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iCs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69">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6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6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6F">
      <w:pPr>
        <w:spacing w:line="360" w:lineRule="auto"/>
        <w:ind w:left="851" w:right="899"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70">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3. </w:t>
      </w:r>
      <w:r w:rsidDel="00000000" w:rsidR="00000000" w:rsidRPr="00000000">
        <w:rPr>
          <w:rFonts w:ascii="Palatino Linotype" w:cs="Palatino Linotype" w:eastAsia="Palatino Linotype" w:hAnsi="Palatino Linotype"/>
          <w:i w:val="1"/>
          <w:iCs w:val="1"/>
          <w:sz w:val="22"/>
          <w:szCs w:val="22"/>
          <w:rtl w:val="0"/>
        </w:rPr>
        <w:t xml:space="preserve">Para los efectos de la presente Ley se entenderá por:</w:t>
      </w:r>
    </w:p>
    <w:p w:rsidR="00000000" w:rsidDel="00000000" w:rsidP="00000000" w:rsidRDefault="00000000" w:rsidRPr="00000000" w14:paraId="00000071">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72">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XI. Documento:</w:t>
      </w:r>
      <w:r w:rsidDel="00000000" w:rsidR="00000000" w:rsidRPr="00000000">
        <w:rPr>
          <w:rFonts w:ascii="Palatino Linotype" w:cs="Palatino Linotype" w:eastAsia="Palatino Linotype" w:hAnsi="Palatino Linotype"/>
          <w:i w:val="1"/>
          <w:iCs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Fonts w:ascii="Palatino Linotype" w:cs="Palatino Linotype" w:eastAsia="Palatino Linotype" w:hAnsi="Palatino Linotype"/>
          <w:i w:val="1"/>
          <w:iCs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73">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7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6">
      <w:pPr>
        <w:spacing w:line="276" w:lineRule="auto"/>
        <w:ind w:left="567"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iCs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77">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78">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79">
      <w:pPr>
        <w:spacing w:line="276" w:lineRule="auto"/>
        <w:ind w:left="567"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7A">
      <w:pPr>
        <w:spacing w:line="276" w:lineRule="auto"/>
        <w:ind w:left="567"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7B">
      <w:pPr>
        <w:spacing w:line="276" w:lineRule="auto"/>
        <w:ind w:left="567" w:right="616" w:firstLine="0"/>
        <w:jc w:val="both"/>
        <w:rPr>
          <w:rFonts w:ascii="Palatino Linotype" w:cs="Palatino Linotype" w:eastAsia="Palatino Linotype" w:hAnsi="Palatino Linotype"/>
          <w:b w:val="1"/>
          <w:bCs w:val="1"/>
          <w:i w:val="1"/>
          <w:iCs w:val="1"/>
          <w:sz w:val="22"/>
          <w:szCs w:val="22"/>
        </w:rPr>
      </w:pPr>
      <w:r w:rsidDel="00000000" w:rsidR="00000000" w:rsidRPr="00000000">
        <w:rPr>
          <w:rtl w:val="0"/>
        </w:rPr>
      </w:r>
    </w:p>
    <w:p w:rsidR="00000000" w:rsidDel="00000000" w:rsidP="00000000" w:rsidRDefault="00000000" w:rsidRPr="00000000" w14:paraId="0000007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ahí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sz w:val="22"/>
          <w:szCs w:val="22"/>
          <w:vertAlign w:val="superscript"/>
        </w:rPr>
        <w:footnoteReference w:customMarkFollows="0" w:id="1"/>
      </w:r>
      <w:r w:rsidDel="00000000" w:rsidR="00000000" w:rsidRPr="00000000">
        <w:rPr>
          <w:rFonts w:ascii="Palatino Linotype" w:cs="Palatino Linotype" w:eastAsia="Palatino Linotype" w:hAnsi="Palatino Linotype"/>
          <w:sz w:val="22"/>
          <w:szCs w:val="22"/>
          <w:rtl w:val="0"/>
        </w:rPr>
        <w:t xml:space="preserve">, como pudiera tratarse de aquella relacionada con las obligaciones de transparencia señaladas en los artículos 92 y 100 de la Ley de la Materia.</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bookmarkStart w:colFirst="0" w:colLast="0" w:name="_heading=h.1y810tw" w:id="8"/>
      <w:bookmarkEnd w:id="8"/>
      <w:r w:rsidDel="00000000" w:rsidR="00000000" w:rsidRPr="00000000">
        <w:rPr>
          <w:rFonts w:ascii="Palatino Linotype" w:cs="Palatino Linotype" w:eastAsia="Palatino Linotype" w:hAnsi="Palatino Linotype"/>
          <w:sz w:val="22"/>
          <w:szCs w:val="22"/>
          <w:rtl w:val="0"/>
        </w:rPr>
        <w:t xml:space="preserve">Conviene iniciar el presente estudio señalando que, del análisis a la solicitud de información se advierte que la persona solicitante requirió del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medularmente, lo siguiente:</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Los certificados de competencia laboral del Secretario del Ayuntamiento, Director de Obras, Titular del Órgano Interno de Control Municipal, Director del IMCUFIDER, así como del Tesorero Municipal, en funciones al 28 de octubre de 2025.</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276"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Sujeto Obligado por conducto del Subdirector de Administración proporcionó la siguiente información:</w:t>
      </w:r>
    </w:p>
    <w:p w:rsidR="00000000" w:rsidDel="00000000" w:rsidP="00000000" w:rsidRDefault="00000000" w:rsidRPr="00000000" w14:paraId="0000008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-Cuatro Certificados de Competencia Laboral (tres de ellos en versión pública) expedidos a favor de la Titular del Órgano Interno de Control Municipal, el Director del IMCUFIDE y del Titular de la Tesorería Municipal.</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versión pública, la constancia del 20 de marzo de 2025, expedida por el Director de Grupo Carom avalada por el CONOCER, que señala que el Director de Obras Públicas resultó competente en el proceso de evaluación para obtener la certificación con base en el estándar “EC0625 Administración de la Obra Pública Municipal” y que actualmente su proceso se encuentra en trámite.</w:t>
      </w:r>
    </w:p>
    <w:p w:rsidR="00000000" w:rsidDel="00000000" w:rsidP="00000000" w:rsidRDefault="00000000" w:rsidRPr="00000000" w14:paraId="0000008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8">
      <w:pPr>
        <w:spacing w:line="360" w:lineRule="auto"/>
        <w:ind w:right="49"/>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Inconforme con la respuesta,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promovió el presente recurso de revisión en el que a manera de motivos de inconformidad </w:t>
      </w:r>
      <w:r w:rsidDel="00000000" w:rsidR="00000000" w:rsidRPr="00000000">
        <w:rPr>
          <w:rFonts w:ascii="Palatino Linotype" w:cs="Palatino Linotype" w:eastAsia="Palatino Linotype" w:hAnsi="Palatino Linotype"/>
          <w:b w:val="1"/>
          <w:bCs w:val="1"/>
          <w:sz w:val="22"/>
          <w:szCs w:val="22"/>
          <w:rtl w:val="0"/>
        </w:rPr>
        <w:t xml:space="preserve">se adolece medularmente de la entrega de información incompleta, ya que no se proporcionó la certificación de competencia laboral del Secretario del Ayuntamiento, constancia o manifestación de que no está certificado dicho servidor público.</w:t>
      </w:r>
    </w:p>
    <w:p w:rsidR="00000000" w:rsidDel="00000000" w:rsidP="00000000" w:rsidRDefault="00000000" w:rsidRPr="00000000" w14:paraId="00000089">
      <w:pPr>
        <w:spacing w:line="360" w:lineRule="auto"/>
        <w:ind w:right="49"/>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8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Admitido el presente recurso de revisión, en términos del artículo 185 fracción II</w:t>
      </w:r>
      <w:r w:rsidDel="00000000" w:rsidR="00000000" w:rsidRPr="00000000">
        <w:rPr>
          <w:rFonts w:ascii="Palatino Linotype" w:cs="Palatino Linotype" w:eastAsia="Palatino Linotype" w:hAnsi="Palatino Linotype"/>
          <w:sz w:val="22"/>
          <w:szCs w:val="22"/>
          <w:vertAlign w:val="superscript"/>
        </w:rPr>
        <w:footnoteReference w:customMarkFollows="0" w:id="2"/>
      </w:r>
      <w:r w:rsidDel="00000000" w:rsidR="00000000" w:rsidRPr="00000000">
        <w:rPr>
          <w:rFonts w:ascii="Palatino Linotype" w:cs="Palatino Linotype" w:eastAsia="Palatino Linotype" w:hAnsi="Palatino Linotype"/>
          <w:sz w:val="22"/>
          <w:szCs w:val="22"/>
          <w:rtl w:val="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000000" w:rsidDel="00000000" w:rsidP="00000000" w:rsidRDefault="00000000" w:rsidRPr="00000000" w14:paraId="0000008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Cabe resaltar que, de las constancias que obran en el expediente electrónico en que se actúa, se advierte que las partes fueron omisas en rendir manifestaciones.</w:t>
      </w:r>
    </w:p>
    <w:p w:rsidR="00000000" w:rsidDel="00000000" w:rsidP="00000000" w:rsidRDefault="00000000" w:rsidRPr="00000000" w14:paraId="0000008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Acotado lo anterior, en el caso no pasa por desapercibido que </w:t>
      </w:r>
      <w:r w:rsidDel="00000000" w:rsidR="00000000" w:rsidRPr="00000000">
        <w:rPr>
          <w:rFonts w:ascii="Palatino Linotype" w:cs="Palatino Linotype" w:eastAsia="Palatino Linotype" w:hAnsi="Palatino Linotype"/>
          <w:b w:val="1"/>
          <w:bCs w:val="1"/>
          <w:sz w:val="22"/>
          <w:szCs w:val="22"/>
          <w:rtl w:val="0"/>
        </w:rPr>
        <w:t xml:space="preserve">los motivos de inconformidad no versan sobre la totalidad de la información requerida</w:t>
      </w:r>
      <w:r w:rsidDel="00000000" w:rsidR="00000000" w:rsidRPr="00000000">
        <w:rPr>
          <w:rFonts w:ascii="Palatino Linotype" w:cs="Palatino Linotype" w:eastAsia="Palatino Linotype" w:hAnsi="Palatino Linotype"/>
          <w:sz w:val="22"/>
          <w:szCs w:val="22"/>
          <w:rtl w:val="0"/>
        </w:rPr>
        <w:t xml:space="preserve">, sino de que </w:t>
      </w:r>
      <w:r w:rsidDel="00000000" w:rsidR="00000000" w:rsidRPr="00000000">
        <w:rPr>
          <w:rFonts w:ascii="Palatino Linotype" w:cs="Palatino Linotype" w:eastAsia="Palatino Linotype" w:hAnsi="Palatino Linotype"/>
          <w:b w:val="1"/>
          <w:bCs w:val="1"/>
          <w:sz w:val="22"/>
          <w:szCs w:val="22"/>
          <w:rtl w:val="0"/>
        </w:rPr>
        <w:t xml:space="preserve">no se proporcionó la certificación de competencia laboral del Secretario del Ayuntamiento, constancia o manifestación de que no está certificado dicho servidor público.</w: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consecuencia, en el caso se considera que el particular en primer lugar consintió que la que le fue entregada respecto de la Titular del Órgano Interno de Control Municipal, el Director del IMCUFIDE y del Titular de la Tesorería Municipal, ya que el particular no expresó inconformidad al respecto.</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es así, debido a que cuando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impugna la respuesta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y este no expresa Razón o Motivo de Inconformidad en contra de todos los rubros solicitados, los rubros no impugnados deben declararse atendidos, pues se entiende que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09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4">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“REVISIÓN EN AMPARO. LOS RESOLUTIVOS NO COMBATIDOS DEBEN DECLARARSE FIRMES. </w:t>
      </w:r>
      <w:r w:rsidDel="00000000" w:rsidR="00000000" w:rsidRPr="00000000">
        <w:rPr>
          <w:rFonts w:ascii="Palatino Linotype" w:cs="Palatino Linotype" w:eastAsia="Palatino Linotype" w:hAnsi="Palatino Linotype"/>
          <w:i w:val="1"/>
          <w:iCs w:val="1"/>
          <w:sz w:val="22"/>
          <w:szCs w:val="22"/>
          <w:rtl w:val="0"/>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00000" w:rsidDel="00000000" w:rsidP="00000000" w:rsidRDefault="00000000" w:rsidRPr="00000000" w14:paraId="00000095">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9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Consecuentemente, se insiste, ante la falta de impugnación eficaz de todos los rubros solicitados, </w:t>
      </w:r>
      <w:r w:rsidDel="00000000" w:rsidR="00000000" w:rsidRPr="00000000">
        <w:rPr>
          <w:rFonts w:ascii="Palatino Linotype" w:cs="Palatino Linotype" w:eastAsia="Palatino Linotype" w:hAnsi="Palatino Linotype"/>
          <w:b w:val="1"/>
          <w:bCs w:val="1"/>
          <w:sz w:val="22"/>
          <w:szCs w:val="22"/>
          <w:rtl w:val="0"/>
        </w:rPr>
        <w:t xml:space="preserve">los no impugnados deben declararse consentidos.</w:t>
      </w:r>
      <w:r w:rsidDel="00000000" w:rsidR="00000000" w:rsidRPr="00000000">
        <w:rPr>
          <w:rtl w:val="0"/>
        </w:rPr>
      </w:r>
    </w:p>
    <w:p w:rsidR="00000000" w:rsidDel="00000000" w:rsidP="00000000" w:rsidRDefault="00000000" w:rsidRPr="00000000" w14:paraId="0000009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se sustenta con lo plasmado en el criterio orientador 01/20 emitido por el entonces Instituto Nacional de Transparencia, Acceso a la Información, y Protección de Datos Personales, INAI, que lleva por rubro y texto los siguientes: </w:t>
      </w:r>
    </w:p>
    <w:p w:rsidR="00000000" w:rsidDel="00000000" w:rsidP="00000000" w:rsidRDefault="00000000" w:rsidRPr="00000000" w14:paraId="0000009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276" w:lineRule="auto"/>
        <w:ind w:left="567"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Actos consentidos tácitamente. Improcedencia de su análisis. </w:t>
      </w:r>
      <w:r w:rsidDel="00000000" w:rsidR="00000000" w:rsidRPr="00000000">
        <w:rPr>
          <w:rFonts w:ascii="Palatino Linotype" w:cs="Palatino Linotype" w:eastAsia="Palatino Linotype" w:hAnsi="Palatino Linotype"/>
          <w:i w:val="1"/>
          <w:iCs w:val="1"/>
          <w:sz w:val="22"/>
          <w:szCs w:val="22"/>
          <w:rtl w:val="0"/>
        </w:rPr>
        <w:t xml:space="preserve">Si en su recurso de revisión, la persona recurrente no expresó inconformidad alguna con ciertas partes de la respuesta otorgada, se entienden tácitamente consentidas, por ende, no deben formar parte del estudio de fondo de la resolución que emite el Instituto.”</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360" w:lineRule="auto"/>
        <w:ind w:left="567" w:right="902"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9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aplicable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09D">
      <w:pPr>
        <w:spacing w:line="360" w:lineRule="auto"/>
        <w:ind w:left="851" w:right="900" w:firstLine="0"/>
        <w:jc w:val="both"/>
        <w:rPr>
          <w:rFonts w:ascii="Palatino Linotype" w:cs="Palatino Linotype" w:eastAsia="Palatino Linotype" w:hAnsi="Palatino Linotype"/>
          <w:b w:val="1"/>
          <w:bCs w:val="1"/>
          <w:i w:val="1"/>
          <w:iCs w:val="1"/>
          <w:smallCaps w:val="1"/>
          <w:sz w:val="22"/>
          <w:szCs w:val="22"/>
        </w:rPr>
      </w:pPr>
      <w:r w:rsidDel="00000000" w:rsidR="00000000" w:rsidRPr="00000000">
        <w:rPr>
          <w:rtl w:val="0"/>
        </w:rPr>
      </w:r>
    </w:p>
    <w:p w:rsidR="00000000" w:rsidDel="00000000" w:rsidP="00000000" w:rsidRDefault="00000000" w:rsidRPr="00000000" w14:paraId="0000009E">
      <w:pPr>
        <w:tabs>
          <w:tab w:val="left" w:leader="none" w:pos="851"/>
          <w:tab w:val="left" w:leader="none" w:pos="1276"/>
        </w:tabs>
        <w:spacing w:line="276" w:lineRule="auto"/>
        <w:ind w:left="567"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mallCaps w:val="1"/>
          <w:sz w:val="22"/>
          <w:szCs w:val="22"/>
          <w:rtl w:val="0"/>
        </w:rPr>
        <w:t xml:space="preserve">“ACTOS CONSENTIDOS. SON LOS QUE NO SE IMPUGNAN MEDIANTE EL RECURSO IDÓNEO. </w:t>
      </w:r>
      <w:r w:rsidDel="00000000" w:rsidR="00000000" w:rsidRPr="00000000">
        <w:rPr>
          <w:rFonts w:ascii="Palatino Linotype" w:cs="Palatino Linotype" w:eastAsia="Palatino Linotype" w:hAnsi="Palatino Linotype"/>
          <w:i w:val="1"/>
          <w:iCs w:val="1"/>
          <w:sz w:val="22"/>
          <w:szCs w:val="22"/>
          <w:rtl w:val="0"/>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no pasa por desapercibido que en sus motivos de inconformidad el </w:t>
      </w:r>
      <w:r w:rsidDel="00000000" w:rsidR="00000000" w:rsidRPr="00000000">
        <w:rPr>
          <w:rFonts w:ascii="Palatino Linotype" w:cs="Palatino Linotype" w:eastAsia="Palatino Linotype" w:hAnsi="Palatino Linotype"/>
          <w:b w:val="1"/>
          <w:bCs w:val="1"/>
          <w:sz w:val="22"/>
          <w:szCs w:val="22"/>
          <w:rtl w:val="0"/>
        </w:rPr>
        <w:t xml:space="preserve">particular </w:t>
      </w:r>
      <w:r w:rsidDel="00000000" w:rsidR="00000000" w:rsidRPr="00000000">
        <w:rPr>
          <w:rFonts w:ascii="Palatino Linotype" w:cs="Palatino Linotype" w:eastAsia="Palatino Linotype" w:hAnsi="Palatino Linotype"/>
          <w:sz w:val="22"/>
          <w:szCs w:val="22"/>
          <w:rtl w:val="0"/>
        </w:rPr>
        <w:t xml:space="preserve">requirió información que no fue solicitada inicialmente, como lo es: </w:t>
      </w:r>
      <w:r w:rsidDel="00000000" w:rsidR="00000000" w:rsidRPr="00000000">
        <w:rPr>
          <w:rFonts w:ascii="Palatino Linotype" w:cs="Palatino Linotype" w:eastAsia="Palatino Linotype" w:hAnsi="Palatino Linotype"/>
          <w:b w:val="1"/>
          <w:bCs w:val="1"/>
          <w:sz w:val="22"/>
          <w:szCs w:val="22"/>
          <w:rtl w:val="0"/>
        </w:rPr>
        <w:t xml:space="preserve">constancia o manifestación de que no está certificado el Secretario del Ayuntamiento.</w:t>
      </w:r>
      <w:r w:rsidDel="00000000" w:rsidR="00000000" w:rsidRPr="00000000">
        <w:rPr>
          <w:rtl w:val="0"/>
        </w:rPr>
      </w:r>
    </w:p>
    <w:p w:rsidR="00000000" w:rsidDel="00000000" w:rsidP="00000000" w:rsidRDefault="00000000" w:rsidRPr="00000000" w14:paraId="000000A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360" w:lineRule="auto"/>
        <w:ind w:right="51"/>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De esta manera, atendiendo que </w:t>
      </w:r>
      <w:r w:rsidDel="00000000" w:rsidR="00000000" w:rsidRPr="00000000">
        <w:rPr>
          <w:rFonts w:ascii="Palatino Linotype" w:cs="Palatino Linotype" w:eastAsia="Palatino Linotype" w:hAnsi="Palatino Linotype"/>
          <w:b w:val="1"/>
          <w:bCs w:val="1"/>
          <w:sz w:val="22"/>
          <w:szCs w:val="22"/>
          <w:rtl w:val="0"/>
        </w:rPr>
        <w:t xml:space="preserve">dicho requerimiento de información</w:t>
      </w:r>
      <w:r w:rsidDel="00000000" w:rsidR="00000000" w:rsidRPr="00000000">
        <w:rPr>
          <w:rFonts w:ascii="Palatino Linotype" w:cs="Palatino Linotype" w:eastAsia="Palatino Linotype" w:hAnsi="Palatino Linotype"/>
          <w:sz w:val="22"/>
          <w:szCs w:val="22"/>
          <w:rtl w:val="0"/>
        </w:rPr>
        <w:t xml:space="preserve"> no fue solicitado inicialmente,</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 que se actualiza el supuesto de improcedencia previsto en el artículo 191 fracción VII de la Ley de Transparencia y Acceso a la Información Pública del Estado de México y Municipios; que prevé que son improcedentes los Recursos de Revisión en los que se plantean ampliaciones a las solicitudes iniciales.</w:t>
      </w:r>
      <w:r w:rsidDel="00000000" w:rsidR="00000000" w:rsidRPr="00000000">
        <w:rPr>
          <w:rtl w:val="0"/>
        </w:rPr>
      </w:r>
    </w:p>
    <w:p w:rsidR="00000000" w:rsidDel="00000000" w:rsidP="00000000" w:rsidRDefault="00000000" w:rsidRPr="00000000" w14:paraId="000000A3">
      <w:pPr>
        <w:spacing w:line="360" w:lineRule="auto"/>
        <w:rPr>
          <w:sz w:val="22"/>
          <w:szCs w:val="22"/>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240" w:line="360" w:lineRule="auto"/>
        <w:jc w:val="both"/>
        <w:rPr>
          <w:sz w:val="22"/>
          <w:szCs w:val="22"/>
        </w:rPr>
      </w:pPr>
      <w:r w:rsidDel="00000000" w:rsidR="00000000" w:rsidRPr="00000000">
        <w:rPr>
          <w:rFonts w:ascii="Palatino Linotype" w:cs="Palatino Linotype" w:eastAsia="Palatino Linotype" w:hAnsi="Palatino Linotype"/>
          <w:sz w:val="22"/>
          <w:szCs w:val="22"/>
          <w:rtl w:val="0"/>
        </w:rPr>
        <w:t xml:space="preserve">En este orden de ideas, una vez formulada su solicitud inicial,</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240" w:before="240" w:line="360" w:lineRule="auto"/>
        <w:jc w:val="both"/>
        <w:rPr>
          <w:sz w:val="22"/>
          <w:szCs w:val="22"/>
        </w:rPr>
      </w:pPr>
      <w:r w:rsidDel="00000000" w:rsidR="00000000" w:rsidRPr="00000000">
        <w:rPr>
          <w:rFonts w:ascii="Palatino Linotype" w:cs="Palatino Linotype" w:eastAsia="Palatino Linotype" w:hAnsi="Palatino Linotype"/>
          <w:sz w:val="22"/>
          <w:szCs w:val="22"/>
          <w:rtl w:val="0"/>
        </w:rPr>
        <w:t xml:space="preserve">Robustece lo anterior lo plasmado en el criterio orientador número 01/17 emitido por el entonces Instituto Nacional de Transparencia, Acceso a la Información y Protección de Datos Personales, INAI, que lleva por rubro y texto lo que a continuación se transcribe:</w:t>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240" w:before="240" w:lineRule="auto"/>
        <w:ind w:left="851" w:right="900" w:firstLine="0"/>
        <w:jc w:val="both"/>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Es improcedente ampliar las solicitudes de acceso a información, a través de la interposición del recurso de revisión. </w:t>
      </w:r>
      <w:r w:rsidDel="00000000" w:rsidR="00000000" w:rsidRPr="00000000">
        <w:rPr>
          <w:rFonts w:ascii="Palatino Linotype" w:cs="Palatino Linotype" w:eastAsia="Palatino Linotype" w:hAnsi="Palatino Linotype"/>
          <w:i w:val="1"/>
          <w:iCs w:val="1"/>
          <w:sz w:val="22"/>
          <w:szCs w:val="22"/>
          <w:rtl w:val="0"/>
        </w:rPr>
        <w:t xml:space="preserve">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tl w:val="0"/>
        </w:rPr>
      </w:r>
    </w:p>
    <w:p w:rsidR="00000000" w:rsidDel="00000000" w:rsidP="00000000" w:rsidRDefault="00000000" w:rsidRPr="00000000" w14:paraId="000000A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se dejan a salvo los derechos del particular, para que mediante una nueva solicitud de información requiera la información que es de su interés.</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b w:val="1"/>
          <w:bCs w:val="1"/>
          <w:sz w:val="22"/>
          <w:szCs w:val="22"/>
          <w:u w:val="single"/>
        </w:rPr>
      </w:pPr>
      <w:r w:rsidDel="00000000" w:rsidR="00000000" w:rsidRPr="00000000">
        <w:rPr>
          <w:rFonts w:ascii="Palatino Linotype" w:cs="Palatino Linotype" w:eastAsia="Palatino Linotype" w:hAnsi="Palatino Linotype"/>
          <w:sz w:val="22"/>
          <w:szCs w:val="22"/>
          <w:rtl w:val="0"/>
        </w:rPr>
        <w:t xml:space="preserve">Dicho lo anterior, en el presente asunto únicamente procederá el estudio de la falta de entrega </w:t>
      </w:r>
      <w:r w:rsidDel="00000000" w:rsidR="00000000" w:rsidRPr="00000000">
        <w:rPr>
          <w:rFonts w:ascii="Palatino Linotype" w:cs="Palatino Linotype" w:eastAsia="Palatino Linotype" w:hAnsi="Palatino Linotype"/>
          <w:b w:val="1"/>
          <w:bCs w:val="1"/>
          <w:sz w:val="22"/>
          <w:szCs w:val="22"/>
          <w:u w:val="single"/>
          <w:rtl w:val="0"/>
        </w:rPr>
        <w:t xml:space="preserve">de la certificación de competencia laboral del Secretario del Ayuntamiento en funciones al veintiocho de octubre de dos mil veinticinco.</w:t>
      </w:r>
    </w:p>
    <w:p w:rsidR="00000000" w:rsidDel="00000000" w:rsidP="00000000" w:rsidRDefault="00000000" w:rsidRPr="00000000" w14:paraId="000000A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atendiendo la naturaleza de la información requerida, conviene citar el contenido del artículo </w:t>
      </w:r>
    </w:p>
    <w:p w:rsidR="00000000" w:rsidDel="00000000" w:rsidP="00000000" w:rsidRDefault="00000000" w:rsidRPr="00000000" w14:paraId="000000A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D">
      <w:pPr>
        <w:spacing w:line="360"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Artículo 92.- Para ser secretario del ayuntamiento se requiere, además de los requisitos establecidos en el artículo 32 de esta Ley, los siguientes: </w:t>
      </w:r>
    </w:p>
    <w:p w:rsidR="00000000" w:rsidDel="00000000" w:rsidP="00000000" w:rsidRDefault="00000000" w:rsidRPr="00000000" w14:paraId="000000AE">
      <w:pPr>
        <w:spacing w:line="360"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AF">
      <w:pPr>
        <w:spacing w:line="360"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 Contar con la certificación de competencia laboral en la materia,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dentro de los seis meses siguientes a la fecha en que inicie funciones</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B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numeral anterior, se advierte que el Secretario del Ayuntamiento se encuentra constreñido en acreditar dentro de los seis meses siguientes a la fecha en que inicie funciones, contar con la certificación de competencia laboral en la materia, expedida por el Instituto Hacendario del Estado de México o por alguna otra institución con reconocimiento de validez oficial, que asegure los conocimientos y habilidades para desempeñar el cargo.</w:t>
      </w:r>
    </w:p>
    <w:p w:rsidR="00000000" w:rsidDel="00000000" w:rsidP="00000000" w:rsidRDefault="00000000" w:rsidRPr="00000000" w14:paraId="000000B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Consecuentemente, de información obtenida del portal del Ipomex del Ayuntamiento de Rayón, en la fracción VIII “Remuneraciones” del artículo 92 de la Ley de Transparencia Local, se advirtió que el Secretario del Ayuntamiento en funciones al 28 de octubre de 2025 (fecha de la solicitud), ingresó al ente obligado el 01 de enero de 2025, como se muestra:</w:t>
      </w:r>
    </w:p>
    <w:p w:rsidR="00000000" w:rsidDel="00000000" w:rsidP="00000000" w:rsidRDefault="00000000" w:rsidRPr="00000000" w14:paraId="000000B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000125"/>
            <wp:effectExtent b="0" l="0" r="0" t="0"/>
            <wp:docPr id="4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612130" cy="1000125"/>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6">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Consecuentemente, se presume que a la fecha de la solicitud, el actual Secretario del Ayuntamiento debe contar con la certificación de competencia laboral peticionada, por haber transcurrido el plazo para su obtención.</w:t>
      </w:r>
    </w:p>
    <w:p w:rsidR="00000000" w:rsidDel="00000000" w:rsidP="00000000" w:rsidRDefault="00000000" w:rsidRPr="00000000" w14:paraId="000000B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8">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del análisis a la respuesta es de indicar que quien se pronunció fue la Subdirección de Administración, misma que se presume es la unidad administrativa competente, en razón de que la misma tiene dentro de sus atribuciones la administración del capital humano, así como llevar la debida actualización e integración de los expedientes del personal. </w:t>
      </w:r>
    </w:p>
    <w:p w:rsidR="00000000" w:rsidDel="00000000" w:rsidP="00000000" w:rsidRDefault="00000000" w:rsidRPr="00000000" w14:paraId="000000B9">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A">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se tiene que no se pronunció la unidad administrativa competente, incumpliéndose con el procedimiento establecido por el artículo 162 de la Ley de Transparencia y Acceso a la Información Pública del Estado de México y Municipios, ya que no se turnó la solicitud al área que puede conocer de la información requerida de conformidad con la fracción XXXIX del artículo tercero de la legislación local vigente en materia de transparencia: </w:t>
      </w:r>
    </w:p>
    <w:p w:rsidR="00000000" w:rsidDel="00000000" w:rsidP="00000000" w:rsidRDefault="00000000" w:rsidRPr="00000000" w14:paraId="000000BB">
      <w:pPr>
        <w:rPr>
          <w:sz w:val="22"/>
          <w:szCs w:val="22"/>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ind w:left="864" w:right="864" w:firstLine="0"/>
        <w:jc w:val="both"/>
        <w:rPr>
          <w:sz w:val="22"/>
          <w:szCs w:val="22"/>
        </w:rPr>
      </w:pPr>
      <w:r w:rsidDel="00000000" w:rsidR="00000000" w:rsidRPr="00000000">
        <w:rPr>
          <w:rFonts w:ascii="Palatino Linotype" w:cs="Palatino Linotype" w:eastAsia="Palatino Linotype" w:hAnsi="Palatino Linotype"/>
          <w:i w:val="1"/>
          <w:iCs w:val="1"/>
          <w:sz w:val="22"/>
          <w:szCs w:val="22"/>
          <w:rtl w:val="0"/>
        </w:rPr>
        <w:t xml:space="preserve">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r w:rsidDel="00000000" w:rsidR="00000000" w:rsidRPr="00000000">
        <w:rPr>
          <w:rtl w:val="0"/>
        </w:rPr>
      </w:r>
    </w:p>
    <w:p w:rsidR="00000000" w:rsidDel="00000000" w:rsidP="00000000" w:rsidRDefault="00000000" w:rsidRPr="00000000" w14:paraId="000000BD">
      <w:pPr>
        <w:rPr>
          <w:sz w:val="22"/>
          <w:szCs w:val="22"/>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ffffff" w:val="clear"/>
        <w:spacing w:line="360" w:lineRule="auto"/>
        <w:jc w:val="both"/>
        <w:rPr>
          <w:sz w:val="22"/>
          <w:szCs w:val="22"/>
        </w:rPr>
      </w:pPr>
      <w:r w:rsidDel="00000000" w:rsidR="00000000" w:rsidRPr="00000000">
        <w:rPr>
          <w:rFonts w:ascii="Palatino Linotype" w:cs="Palatino Linotype" w:eastAsia="Palatino Linotype" w:hAnsi="Palatino Linotype"/>
          <w:sz w:val="22"/>
          <w:szCs w:val="22"/>
          <w:rtl w:val="0"/>
        </w:rPr>
        <w:t xml:space="preserve">En este orden de ideas, se advierte que la Unidad de Transparencia no cumplió con lo expresado en el artículo 162 de la Ley de Transparencia y Acceso a la Información Pública del Estado de México y Municipios, el cual menciona lo siguiente:</w:t>
      </w:r>
      <w:r w:rsidDel="00000000" w:rsidR="00000000" w:rsidRPr="00000000">
        <w:rPr>
          <w:rtl w:val="0"/>
        </w:rPr>
      </w:r>
    </w:p>
    <w:p w:rsidR="00000000" w:rsidDel="00000000" w:rsidP="00000000" w:rsidRDefault="00000000" w:rsidRPr="00000000" w14:paraId="000000BF">
      <w:pPr>
        <w:rPr>
          <w:sz w:val="22"/>
          <w:szCs w:val="22"/>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ind w:left="864" w:right="864" w:firstLine="0"/>
        <w:jc w:val="both"/>
        <w:rPr>
          <w:sz w:val="22"/>
          <w:szCs w:val="22"/>
        </w:rPr>
      </w:pPr>
      <w:r w:rsidDel="00000000" w:rsidR="00000000" w:rsidRPr="00000000">
        <w:rPr>
          <w:rFonts w:ascii="Palatino Linotype" w:cs="Palatino Linotype" w:eastAsia="Palatino Linotype" w:hAnsi="Palatino Linotype"/>
          <w:i w:val="1"/>
          <w:iCs w:val="1"/>
          <w:sz w:val="22"/>
          <w:szCs w:val="22"/>
          <w:rtl w:val="0"/>
        </w:rPr>
        <w:t xml:space="preserve">“Artículo 162. Las unidades de transparencia deberán garantizar que las solicitudes </w:t>
      </w:r>
      <w:r w:rsidDel="00000000" w:rsidR="00000000" w:rsidRPr="00000000">
        <w:rPr>
          <w:rFonts w:ascii="Palatino Linotype" w:cs="Palatino Linotype" w:eastAsia="Palatino Linotype" w:hAnsi="Palatino Linotype"/>
          <w:b w:val="1"/>
          <w:bCs w:val="1"/>
          <w:i w:val="1"/>
          <w:iCs w:val="1"/>
          <w:sz w:val="22"/>
          <w:szCs w:val="22"/>
          <w:rtl w:val="0"/>
        </w:rPr>
        <w:t xml:space="preserve">se turnen a todas las Áreas competentes </w:t>
      </w:r>
      <w:r w:rsidDel="00000000" w:rsidR="00000000" w:rsidRPr="00000000">
        <w:rPr>
          <w:rFonts w:ascii="Palatino Linotype" w:cs="Palatino Linotype" w:eastAsia="Palatino Linotype" w:hAnsi="Palatino Linotype"/>
          <w:i w:val="1"/>
          <w:iCs w:val="1"/>
          <w:sz w:val="22"/>
          <w:szCs w:val="22"/>
          <w:rtl w:val="0"/>
        </w:rPr>
        <w:t xml:space="preserve">que cuenten con la información o deban tenerla de acuerdo a sus facultades, competencias y funciones, con el objeto de que realicen una búsqueda exhaustiva y razonable de la información solicitada.”</w:t>
      </w:r>
      <w:r w:rsidDel="00000000" w:rsidR="00000000" w:rsidRPr="00000000">
        <w:rPr>
          <w:rtl w:val="0"/>
        </w:rPr>
      </w:r>
    </w:p>
    <w:p w:rsidR="00000000" w:rsidDel="00000000" w:rsidP="00000000" w:rsidRDefault="00000000" w:rsidRPr="00000000" w14:paraId="000000C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si bien en el caso se pronunció el servidor público habilitado competente, también lo es que de su respuesta se advierte que no hubo pronunciamiento alguno respecto del certificado de competencia laboral del Secretario del Ayuntamiento.</w:t>
      </w:r>
    </w:p>
    <w:p w:rsidR="00000000" w:rsidDel="00000000" w:rsidP="00000000" w:rsidRDefault="00000000" w:rsidRPr="00000000" w14:paraId="000000C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ahí que la respuesta del servidor público habilitado competente carezca de los principios de congruencia y exhaustividad.</w:t>
      </w:r>
    </w:p>
    <w:p w:rsidR="00000000" w:rsidDel="00000000" w:rsidP="00000000" w:rsidRDefault="00000000" w:rsidRPr="00000000" w14:paraId="000000C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sentido, resulta aplicable el Criterio orientador 02/17 emitido por el Pleno del entonces Instituto Nacional de Transparencia y Acceso a la Información y Protección de Datos Personales, de título y texto siguientes:</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“Congruencia y exhaustividad. Sus alcances para garantizar el derecho de acceso a la información. </w:t>
      </w:r>
      <w:r w:rsidDel="00000000" w:rsidR="00000000" w:rsidRPr="00000000">
        <w:rPr>
          <w:rFonts w:ascii="Palatino Linotype" w:cs="Palatino Linotype" w:eastAsia="Palatino Linotype" w:hAnsi="Palatino Linotype"/>
          <w:i w:val="1"/>
          <w:iCs w:val="1"/>
          <w:sz w:val="22"/>
          <w:szCs w:val="22"/>
          <w:rtl w:val="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Del="00000000" w:rsidR="00000000" w:rsidRPr="00000000">
        <w:rPr>
          <w:rFonts w:ascii="Palatino Linotype" w:cs="Palatino Linotype" w:eastAsia="Palatino Linotype" w:hAnsi="Palatino Linotype"/>
          <w:b w:val="1"/>
          <w:bCs w:val="1"/>
          <w:i w:val="1"/>
          <w:iCs w:val="1"/>
          <w:sz w:val="22"/>
          <w:szCs w:val="22"/>
          <w:rtl w:val="0"/>
        </w:rPr>
        <w:t xml:space="preserve">la congruencia implica que exista concordancia entre el requerimiento formulado por el particular y la respuesta proporcionada por el sujeto obligado</w:t>
      </w:r>
      <w:r w:rsidDel="00000000" w:rsidR="00000000" w:rsidRPr="00000000">
        <w:rPr>
          <w:rFonts w:ascii="Palatino Linotype" w:cs="Palatino Linotype" w:eastAsia="Palatino Linotype" w:hAnsi="Palatino Linotype"/>
          <w:i w:val="1"/>
          <w:iCs w:val="1"/>
          <w:sz w:val="22"/>
          <w:szCs w:val="22"/>
          <w:rtl w:val="0"/>
        </w:rPr>
        <w:t xml:space="preserve">; mientras que </w:t>
      </w:r>
      <w:r w:rsidDel="00000000" w:rsidR="00000000" w:rsidRPr="00000000">
        <w:rPr>
          <w:rFonts w:ascii="Palatino Linotype" w:cs="Palatino Linotype" w:eastAsia="Palatino Linotype" w:hAnsi="Palatino Linotype"/>
          <w:b w:val="1"/>
          <w:bCs w:val="1"/>
          <w:i w:val="1"/>
          <w:iCs w:val="1"/>
          <w:sz w:val="22"/>
          <w:szCs w:val="22"/>
          <w:rtl w:val="0"/>
        </w:rPr>
        <w:t xml:space="preserve">la exhaustividad significa que dicha respuesta se refiera expresamente a cada uno de los puntos solicitados</w:t>
      </w:r>
      <w:r w:rsidDel="00000000" w:rsidR="00000000" w:rsidRPr="00000000">
        <w:rPr>
          <w:rFonts w:ascii="Palatino Linotype" w:cs="Palatino Linotype" w:eastAsia="Palatino Linotype" w:hAnsi="Palatino Linotype"/>
          <w:i w:val="1"/>
          <w:iCs w:val="1"/>
          <w:sz w:val="22"/>
          <w:szCs w:val="22"/>
          <w:rtl w:val="0"/>
        </w:rPr>
        <w:t xml:space="preserve">.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000000" w:rsidDel="00000000" w:rsidP="00000000" w:rsidRDefault="00000000" w:rsidRPr="00000000" w14:paraId="000000C9">
      <w:pPr>
        <w:spacing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las consideraciones expuestas, se determina que los motivos de inconformidad del particular resultan parcialmente fundados, siendo procedente Modificar la respuesta del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y ordenar, previa búsqueda exhaustiva y razonable, de ser procedente en versión pública,</w:t>
      </w:r>
      <w:r w:rsidDel="00000000" w:rsidR="00000000" w:rsidRPr="00000000">
        <w:rPr>
          <w:rFonts w:ascii="Palatino Linotype" w:cs="Palatino Linotype" w:eastAsia="Palatino Linotype" w:hAnsi="Palatino Linotype"/>
          <w:b w:val="1"/>
          <w:bCs w:val="1"/>
          <w:sz w:val="22"/>
          <w:szCs w:val="22"/>
          <w:u w:val="single"/>
          <w:rtl w:val="0"/>
        </w:rPr>
        <w:t xml:space="preserve"> la certificación de competencia laboral del Secretario del Ayuntamiento en funciones al veintiocho de octubre de dos mil veinticinco.</w:t>
      </w:r>
      <w:r w:rsidDel="00000000" w:rsidR="00000000" w:rsidRPr="00000000">
        <w:rPr>
          <w:rtl w:val="0"/>
        </w:rPr>
      </w:r>
    </w:p>
    <w:p w:rsidR="00000000" w:rsidDel="00000000" w:rsidP="00000000" w:rsidRDefault="00000000" w:rsidRPr="00000000" w14:paraId="000000C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no pasa por desapercibido que en el archivo electrónico denominado “</w:t>
      </w:r>
      <w:r w:rsidDel="00000000" w:rsidR="00000000" w:rsidRPr="00000000">
        <w:rPr>
          <w:rFonts w:ascii="Palatino Linotype" w:cs="Palatino Linotype" w:eastAsia="Palatino Linotype" w:hAnsi="Palatino Linotype"/>
          <w:b w:val="1"/>
          <w:bCs w:val="1"/>
          <w:i w:val="1"/>
          <w:iCs w:val="1"/>
          <w:sz w:val="22"/>
          <w:szCs w:val="22"/>
          <w:rtl w:val="0"/>
        </w:rPr>
        <w:t xml:space="preserve">Certificación_IMCUFIDER.pdf</w:t>
      </w:r>
      <w:r w:rsidDel="00000000" w:rsidR="00000000" w:rsidRPr="00000000">
        <w:rPr>
          <w:rFonts w:ascii="Palatino Linotype" w:cs="Palatino Linotype" w:eastAsia="Palatino Linotype" w:hAnsi="Palatino Linotype"/>
          <w:sz w:val="22"/>
          <w:szCs w:val="22"/>
          <w:rtl w:val="0"/>
        </w:rPr>
        <w:t xml:space="preserve">” entregado en respuesta, no fueron testados de manera permanente datos de índole confidencial de los cuales se logra advertir su contenido, como lo es, de manera enunciativa más no limitativa la CURP de un servidor público, el cual actualiza el supuesto de clasificación previsto en el artículo 143, fracción I de la Ley de Transparencia y Acceso a la Información Pública del Estado de México y Municipios.</w:t>
      </w:r>
    </w:p>
    <w:p w:rsidR="00000000" w:rsidDel="00000000" w:rsidP="00000000" w:rsidRDefault="00000000" w:rsidRPr="00000000" w14:paraId="000000C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E">
      <w:pPr>
        <w:tabs>
          <w:tab w:val="left" w:leader="none" w:pos="426"/>
        </w:tabs>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Situación la anterior, por la que, de tratarse de datos personales de índole confidencial; resulta procedente girar oficio al Titular de la Dirección General de Protección de Datos Personales, en atención al artículo 82, fracción XXVII de la Ley de Protección de Datos Personales del Estado de México y Municipios, para efectos de que en ejercicio de sus atribuciones determine lo conducente.</w:t>
      </w:r>
    </w:p>
    <w:p w:rsidR="00000000" w:rsidDel="00000000" w:rsidP="00000000" w:rsidRDefault="00000000" w:rsidRPr="00000000" w14:paraId="000000CF">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Como fue debidamente apuntado,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rsidR="00000000" w:rsidDel="00000000" w:rsidP="00000000" w:rsidRDefault="00000000" w:rsidRPr="00000000" w14:paraId="000000D0">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000000" w:rsidDel="00000000" w:rsidP="00000000" w:rsidRDefault="00000000" w:rsidRPr="00000000" w14:paraId="000000D1">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000000" w:rsidDel="00000000" w:rsidP="00000000" w:rsidRDefault="00000000" w:rsidRPr="00000000" w14:paraId="000000D2">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los artículos 3, fracciones IX, XX, XXI, XXXII, XLV; 6, 91, 132, 137, 143, fracción I, de la Ley de Transparencia y Acceso a la Información Pública del Estado de México y Municipios vigente establecen:</w:t>
      </w:r>
    </w:p>
    <w:p w:rsidR="00000000" w:rsidDel="00000000" w:rsidP="00000000" w:rsidRDefault="00000000" w:rsidRPr="00000000" w14:paraId="000000D3">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3.</w:t>
      </w:r>
      <w:r w:rsidDel="00000000" w:rsidR="00000000" w:rsidRPr="00000000">
        <w:rPr>
          <w:rFonts w:ascii="Palatino Linotype" w:cs="Palatino Linotype" w:eastAsia="Palatino Linotype" w:hAnsi="Palatino Linotype"/>
          <w:i w:val="1"/>
          <w:iCs w:val="1"/>
          <w:sz w:val="22"/>
          <w:szCs w:val="22"/>
          <w:rtl w:val="0"/>
        </w:rPr>
        <w:t xml:space="preserve"> Para los efectos de la presente Ley se entenderá por:</w:t>
      </w:r>
    </w:p>
    <w:p w:rsidR="00000000" w:rsidDel="00000000" w:rsidP="00000000" w:rsidRDefault="00000000" w:rsidRPr="00000000" w14:paraId="000000D4">
      <w:pPr>
        <w:tabs>
          <w:tab w:val="left" w:leader="none" w:pos="1276"/>
        </w:tabs>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D5">
      <w:pPr>
        <w:tabs>
          <w:tab w:val="left" w:leader="none" w:pos="1276"/>
        </w:tabs>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IX. Datos personales</w:t>
      </w:r>
      <w:r w:rsidDel="00000000" w:rsidR="00000000" w:rsidRPr="00000000">
        <w:rPr>
          <w:rFonts w:ascii="Palatino Linotype" w:cs="Palatino Linotype" w:eastAsia="Palatino Linotype" w:hAnsi="Palatino Linotype"/>
          <w:i w:val="1"/>
          <w:iCs w:val="1"/>
          <w:sz w:val="22"/>
          <w:szCs w:val="22"/>
          <w:rtl w:val="0"/>
        </w:rPr>
        <w:t xml:space="preserve">: La información concerniente a una persona, identificada o identificable según lo dispuesto por la Ley de Protección de Datos Personales del Estado de México;</w:t>
      </w:r>
    </w:p>
    <w:p w:rsidR="00000000" w:rsidDel="00000000" w:rsidP="00000000" w:rsidRDefault="00000000" w:rsidRPr="00000000" w14:paraId="000000D6">
      <w:pPr>
        <w:tabs>
          <w:tab w:val="left" w:leader="none" w:pos="1276"/>
        </w:tabs>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D7">
      <w:pPr>
        <w:tabs>
          <w:tab w:val="left" w:leader="none" w:pos="1276"/>
        </w:tabs>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XX. Información clasificada</w:t>
      </w:r>
      <w:r w:rsidDel="00000000" w:rsidR="00000000" w:rsidRPr="00000000">
        <w:rPr>
          <w:rFonts w:ascii="Palatino Linotype" w:cs="Palatino Linotype" w:eastAsia="Palatino Linotype" w:hAnsi="Palatino Linotype"/>
          <w:i w:val="1"/>
          <w:iCs w:val="1"/>
          <w:sz w:val="22"/>
          <w:szCs w:val="22"/>
          <w:rtl w:val="0"/>
        </w:rPr>
        <w:t xml:space="preserve">: Aquella considerada por la presente Ley como reservada o confidencial;</w:t>
      </w:r>
    </w:p>
    <w:p w:rsidR="00000000" w:rsidDel="00000000" w:rsidP="00000000" w:rsidRDefault="00000000" w:rsidRPr="00000000" w14:paraId="000000D8">
      <w:pPr>
        <w:tabs>
          <w:tab w:val="left" w:leader="none" w:pos="1276"/>
        </w:tabs>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XXI. Información confidencial</w:t>
      </w:r>
      <w:r w:rsidDel="00000000" w:rsidR="00000000" w:rsidRPr="00000000">
        <w:rPr>
          <w:rFonts w:ascii="Palatino Linotype" w:cs="Palatino Linotype" w:eastAsia="Palatino Linotype" w:hAnsi="Palatino Linotype"/>
          <w:i w:val="1"/>
          <w:iCs w:val="1"/>
          <w:sz w:val="22"/>
          <w:szCs w:val="22"/>
          <w:rtl w:val="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0D9">
      <w:pPr>
        <w:tabs>
          <w:tab w:val="left" w:leader="none" w:pos="1276"/>
        </w:tabs>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DA">
      <w:pPr>
        <w:tabs>
          <w:tab w:val="left" w:leader="none" w:pos="1276"/>
        </w:tabs>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XXXII. Protección de Datos Personales</w:t>
      </w:r>
      <w:r w:rsidDel="00000000" w:rsidR="00000000" w:rsidRPr="00000000">
        <w:rPr>
          <w:rFonts w:ascii="Palatino Linotype" w:cs="Palatino Linotype" w:eastAsia="Palatino Linotype" w:hAnsi="Palatino Linotype"/>
          <w:i w:val="1"/>
          <w:iCs w:val="1"/>
          <w:sz w:val="22"/>
          <w:szCs w:val="22"/>
          <w:rtl w:val="0"/>
        </w:rPr>
        <w:t xml:space="preserve">: Derecho humano que tutela la privacidad de datos personales en poder de los sujetos obligados y sujetos particulares;</w:t>
      </w:r>
    </w:p>
    <w:p w:rsidR="00000000" w:rsidDel="00000000" w:rsidP="00000000" w:rsidRDefault="00000000" w:rsidRPr="00000000" w14:paraId="000000DB">
      <w:pPr>
        <w:tabs>
          <w:tab w:val="left" w:leader="none" w:pos="1276"/>
        </w:tabs>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DC">
      <w:pPr>
        <w:tabs>
          <w:tab w:val="left" w:leader="none" w:pos="1276"/>
        </w:tabs>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XLV. Versión pública</w:t>
      </w:r>
      <w:r w:rsidDel="00000000" w:rsidR="00000000" w:rsidRPr="00000000">
        <w:rPr>
          <w:rFonts w:ascii="Palatino Linotype" w:cs="Palatino Linotype" w:eastAsia="Palatino Linotype" w:hAnsi="Palatino Linotype"/>
          <w:i w:val="1"/>
          <w:iCs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0DD">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 Artículo 6</w:t>
      </w:r>
      <w:r w:rsidDel="00000000" w:rsidR="00000000" w:rsidRPr="00000000">
        <w:rPr>
          <w:rFonts w:ascii="Palatino Linotype" w:cs="Palatino Linotype" w:eastAsia="Palatino Linotype" w:hAnsi="Palatino Linotype"/>
          <w:i w:val="1"/>
          <w:iCs w:val="1"/>
          <w:sz w:val="22"/>
          <w:szCs w:val="22"/>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00000" w:rsidDel="00000000" w:rsidP="00000000" w:rsidRDefault="00000000" w:rsidRPr="00000000" w14:paraId="000000DE">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DF">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91.</w:t>
      </w:r>
      <w:r w:rsidDel="00000000" w:rsidR="00000000" w:rsidRPr="00000000">
        <w:rPr>
          <w:rFonts w:ascii="Palatino Linotype" w:cs="Palatino Linotype" w:eastAsia="Palatino Linotype" w:hAnsi="Palatino Linotype"/>
          <w:i w:val="1"/>
          <w:iCs w:val="1"/>
          <w:sz w:val="22"/>
          <w:szCs w:val="22"/>
          <w:rtl w:val="0"/>
        </w:rPr>
        <w:t xml:space="preserve"> El acceso a la información pública será restringido excepcionalmente, cuando ésta sea clasificada como reservada o confidencial.</w:t>
        <w:br w:type="textWrapping"/>
        <w:t xml:space="preserve">…</w:t>
      </w:r>
    </w:p>
    <w:p w:rsidR="00000000" w:rsidDel="00000000" w:rsidP="00000000" w:rsidRDefault="00000000" w:rsidRPr="00000000" w14:paraId="000000E0">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132.</w:t>
      </w:r>
      <w:r w:rsidDel="00000000" w:rsidR="00000000" w:rsidRPr="00000000">
        <w:rPr>
          <w:rFonts w:ascii="Palatino Linotype" w:cs="Palatino Linotype" w:eastAsia="Palatino Linotype" w:hAnsi="Palatino Linotype"/>
          <w:i w:val="1"/>
          <w:iCs w:val="1"/>
          <w:sz w:val="22"/>
          <w:szCs w:val="22"/>
          <w:rtl w:val="0"/>
        </w:rPr>
        <w:t xml:space="preserve"> La clasificación de la información se llevará a cabo en el momento en que:</w:t>
      </w:r>
    </w:p>
    <w:p w:rsidR="00000000" w:rsidDel="00000000" w:rsidP="00000000" w:rsidRDefault="00000000" w:rsidRPr="00000000" w14:paraId="000000E1">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Se reciba una solicitud de acceso a la información;</w:t>
      </w:r>
    </w:p>
    <w:p w:rsidR="00000000" w:rsidDel="00000000" w:rsidP="00000000" w:rsidRDefault="00000000" w:rsidRPr="00000000" w14:paraId="000000E2">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Se determine mediante resolución de autoridad competente; o</w:t>
      </w:r>
    </w:p>
    <w:p w:rsidR="00000000" w:rsidDel="00000000" w:rsidP="00000000" w:rsidRDefault="00000000" w:rsidRPr="00000000" w14:paraId="000000E3">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0E4">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tl w:val="0"/>
        </w:rPr>
      </w:r>
    </w:p>
    <w:p w:rsidR="00000000" w:rsidDel="00000000" w:rsidP="00000000" w:rsidRDefault="00000000" w:rsidRPr="00000000" w14:paraId="000000E5">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137.</w:t>
      </w:r>
      <w:r w:rsidDel="00000000" w:rsidR="00000000" w:rsidRPr="00000000">
        <w:rPr>
          <w:rFonts w:ascii="Palatino Linotype" w:cs="Palatino Linotype" w:eastAsia="Palatino Linotype" w:hAnsi="Palatino Linotype"/>
          <w:i w:val="1"/>
          <w:iCs w:val="1"/>
          <w:sz w:val="22"/>
          <w:szCs w:val="22"/>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00000" w:rsidDel="00000000" w:rsidP="00000000" w:rsidRDefault="00000000" w:rsidRPr="00000000" w14:paraId="000000E6">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 Artículo 143.</w:t>
      </w:r>
      <w:r w:rsidDel="00000000" w:rsidR="00000000" w:rsidRPr="00000000">
        <w:rPr>
          <w:rFonts w:ascii="Palatino Linotype" w:cs="Palatino Linotype" w:eastAsia="Palatino Linotype" w:hAnsi="Palatino Linotype"/>
          <w:i w:val="1"/>
          <w:iCs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0E7">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0E8">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000000" w:rsidDel="00000000" w:rsidP="00000000" w:rsidRDefault="00000000" w:rsidRPr="00000000" w14:paraId="000000E9">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0E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caso específico, la información que se ordena si bien tiene el carácter información pública en razón de que se trata de documentos que se encuentran en posesión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w:t>
      </w:r>
    </w:p>
    <w:p w:rsidR="00000000" w:rsidDel="00000000" w:rsidP="00000000" w:rsidRDefault="00000000" w:rsidRPr="00000000" w14:paraId="000000EB">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0E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Con relación a la firma de servidores públicos, </w:t>
      </w:r>
      <w:r w:rsidDel="00000000" w:rsidR="00000000" w:rsidRPr="00000000">
        <w:rPr>
          <w:rFonts w:ascii="Palatino Linotype" w:cs="Palatino Linotype" w:eastAsia="Palatino Linotype" w:hAnsi="Palatino Linotype"/>
          <w:sz w:val="22"/>
          <w:szCs w:val="22"/>
          <w:rtl w:val="0"/>
        </w:rPr>
        <w:t xml:space="preserve">se debe precisar que, se trata de servidores públicos en su calidad de particular, por lo que, es de señalar que la firma es un dato personal confidencial y únicamente será público dicho dato cuando sirva para la emisión de un acto de autoridad, en ejercicio de sus funciones.</w:t>
      </w:r>
    </w:p>
    <w:p w:rsidR="00000000" w:rsidDel="00000000" w:rsidP="00000000" w:rsidRDefault="00000000" w:rsidRPr="00000000" w14:paraId="000000E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es así, toda vez que la firma de servidores públicos, vinculada al ejercicio de la función pública es información de naturaleza pública, pues documenta y rinde cuentas sobre el debido ejercicio de sus atribuciones, lo cual no acontece en el caso de los documentos que acreditan la formación académica.</w:t>
      </w:r>
    </w:p>
    <w:p w:rsidR="00000000" w:rsidDel="00000000" w:rsidP="00000000" w:rsidRDefault="00000000" w:rsidRPr="00000000" w14:paraId="000000E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publicidad de dicho dato, se robustece con el criterio orientador 02/19, emitido por el entonces Instituto Nacional de Transparencia, Acceso a la Información y Protección de Datos Personales, que establece lo siguiente:</w:t>
      </w:r>
    </w:p>
    <w:p w:rsidR="00000000" w:rsidDel="00000000" w:rsidP="00000000" w:rsidRDefault="00000000" w:rsidRPr="00000000" w14:paraId="000000F1">
      <w:pPr>
        <w:spacing w:after="120" w:before="120" w:lineRule="auto"/>
        <w:ind w:left="851" w:right="902"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“Firma</w:t>
      </w:r>
    </w:p>
    <w:p w:rsidR="00000000" w:rsidDel="00000000" w:rsidP="00000000" w:rsidRDefault="00000000" w:rsidRPr="00000000" w14:paraId="000000F2">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 y rúbrica de servidores públicos.</w:t>
      </w:r>
      <w:r w:rsidDel="00000000" w:rsidR="00000000" w:rsidRPr="00000000">
        <w:rPr>
          <w:rFonts w:ascii="Palatino Linotype" w:cs="Palatino Linotype" w:eastAsia="Palatino Linotype" w:hAnsi="Palatino Linotype"/>
          <w:i w:val="1"/>
          <w:iCs w:val="1"/>
          <w:sz w:val="22"/>
          <w:szCs w:val="22"/>
          <w:rtl w:val="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000000" w:rsidDel="00000000" w:rsidP="00000000" w:rsidRDefault="00000000" w:rsidRPr="00000000" w14:paraId="000000F3">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F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lo expuesto, de obrar la firma del servidor público en documentos que acrediten su grado académico o de estudios, procede la clasificación, en términos del artículo 143, fracción I de la Ley de Transparencia y Acceso a la Información Pública del Estado de México y Municipios, pues da cuenta de la aceptación de un grado ante la Secretaría de Educación Pública.</w:t>
      </w:r>
    </w:p>
    <w:p w:rsidR="00000000" w:rsidDel="00000000" w:rsidP="00000000" w:rsidRDefault="00000000" w:rsidRPr="00000000" w14:paraId="000000F5">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F6">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Fotografía de servidores públicos</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F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000000" w:rsidDel="00000000" w:rsidP="00000000" w:rsidRDefault="00000000" w:rsidRPr="00000000" w14:paraId="000000F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rsidR="00000000" w:rsidDel="00000000" w:rsidP="00000000" w:rsidRDefault="00000000" w:rsidRPr="00000000" w14:paraId="000000F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w:t>
      </w:r>
      <w:r w:rsidDel="00000000" w:rsidR="00000000" w:rsidRPr="00000000">
        <w:rPr>
          <w:rFonts w:ascii="Palatino Linotype" w:cs="Palatino Linotype" w:eastAsia="Palatino Linotype" w:hAnsi="Palatino Linotype"/>
          <w:b w:val="1"/>
          <w:bCs w:val="1"/>
          <w:sz w:val="22"/>
          <w:szCs w:val="22"/>
          <w:rtl w:val="0"/>
        </w:rPr>
        <w:t xml:space="preserve">con excepción del personal operativo en materia de seguridad, respecto del cual el Pleno de este Instituto ya se ha pronunciado en el sentido de que la información que los haga identificados o identificables debe clasificarse como reservada</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F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resultan aplicables por analogía, los Criterios orientadores SO/015/2017 y SO/001/2013 del entonces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rsidR="00000000" w:rsidDel="00000000" w:rsidP="00000000" w:rsidRDefault="00000000" w:rsidRPr="00000000" w14:paraId="000000F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rsidR="00000000" w:rsidDel="00000000" w:rsidP="00000000" w:rsidRDefault="00000000" w:rsidRPr="00000000" w14:paraId="0000010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rsidR="00000000" w:rsidDel="00000000" w:rsidP="00000000" w:rsidRDefault="00000000" w:rsidRPr="00000000" w14:paraId="000001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rsidR="00000000" w:rsidDel="00000000" w:rsidP="00000000" w:rsidRDefault="00000000" w:rsidRPr="00000000" w14:paraId="0000010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lo anterior, las fotografías de servidores públicos sin importar el nivel o rango guardan la naturaleza de públicas (</w:t>
      </w:r>
      <w:r w:rsidDel="00000000" w:rsidR="00000000" w:rsidRPr="00000000">
        <w:rPr>
          <w:rFonts w:ascii="Palatino Linotype" w:cs="Palatino Linotype" w:eastAsia="Palatino Linotype" w:hAnsi="Palatino Linotype"/>
          <w:b w:val="1"/>
          <w:bCs w:val="1"/>
          <w:sz w:val="22"/>
          <w:szCs w:val="22"/>
          <w:rtl w:val="0"/>
        </w:rPr>
        <w:t xml:space="preserve">con excepción del personal operativo en materia de seguridad</w:t>
      </w:r>
      <w:r w:rsidDel="00000000" w:rsidR="00000000" w:rsidRPr="00000000">
        <w:rPr>
          <w:rFonts w:ascii="Palatino Linotype" w:cs="Palatino Linotype" w:eastAsia="Palatino Linotype" w:hAnsi="Palatino Linotype"/>
          <w:sz w:val="22"/>
          <w:szCs w:val="22"/>
          <w:rtl w:val="0"/>
        </w:rPr>
        <w:t xml:space="preserve">) y no procede su clasificación, en términos del artículo 143, fracción I, de la Ley de Transparencia y Acceso a la Información Pública del Estado de México y Municipios, por lo que en las versiones públicas que se ordenen, no podrá clasificarse esa información.</w:t>
      </w:r>
    </w:p>
    <w:p w:rsidR="00000000" w:rsidDel="00000000" w:rsidP="00000000" w:rsidRDefault="00000000" w:rsidRPr="00000000" w14:paraId="00000106">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107">
      <w:pPr>
        <w:spacing w:after="200"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49.</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Los Comités de Transparencia</w:t>
      </w:r>
      <w:r w:rsidDel="00000000" w:rsidR="00000000" w:rsidRPr="00000000">
        <w:rPr>
          <w:rFonts w:ascii="Palatino Linotype" w:cs="Palatino Linotype" w:eastAsia="Palatino Linotype" w:hAnsi="Palatino Linotype"/>
          <w:i w:val="1"/>
          <w:iCs w:val="1"/>
          <w:sz w:val="22"/>
          <w:szCs w:val="22"/>
          <w:rtl w:val="0"/>
        </w:rPr>
        <w:t xml:space="preserve"> tendrán las siguientes atribuciones:</w:t>
      </w:r>
    </w:p>
    <w:p w:rsidR="00000000" w:rsidDel="00000000" w:rsidP="00000000" w:rsidRDefault="00000000" w:rsidRPr="00000000" w14:paraId="00000108">
      <w:pPr>
        <w:spacing w:after="200"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09">
      <w:pPr>
        <w:spacing w:after="200"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53.</w:t>
      </w:r>
      <w:r w:rsidDel="00000000" w:rsidR="00000000" w:rsidRPr="00000000">
        <w:rPr>
          <w:rFonts w:ascii="Palatino Linotype" w:cs="Palatino Linotype" w:eastAsia="Palatino Linotype" w:hAnsi="Palatino Linotype"/>
          <w:i w:val="1"/>
          <w:iCs w:val="1"/>
          <w:sz w:val="22"/>
          <w:szCs w:val="22"/>
          <w:rtl w:val="0"/>
        </w:rPr>
        <w:t xml:space="preserve"> Las </w:t>
      </w:r>
      <w:r w:rsidDel="00000000" w:rsidR="00000000" w:rsidRPr="00000000">
        <w:rPr>
          <w:rFonts w:ascii="Palatino Linotype" w:cs="Palatino Linotype" w:eastAsia="Palatino Linotype" w:hAnsi="Palatino Linotype"/>
          <w:b w:val="1"/>
          <w:bCs w:val="1"/>
          <w:i w:val="1"/>
          <w:iCs w:val="1"/>
          <w:sz w:val="22"/>
          <w:szCs w:val="22"/>
          <w:rtl w:val="0"/>
        </w:rPr>
        <w:t xml:space="preserve">Unidades de Transparencia</w:t>
      </w:r>
      <w:r w:rsidDel="00000000" w:rsidR="00000000" w:rsidRPr="00000000">
        <w:rPr>
          <w:rFonts w:ascii="Palatino Linotype" w:cs="Palatino Linotype" w:eastAsia="Palatino Linotype" w:hAnsi="Palatino Linotype"/>
          <w:i w:val="1"/>
          <w:iCs w:val="1"/>
          <w:sz w:val="22"/>
          <w:szCs w:val="22"/>
          <w:rtl w:val="0"/>
        </w:rPr>
        <w:t xml:space="preserve"> tendrán las siguientes </w:t>
      </w:r>
      <w:r w:rsidDel="00000000" w:rsidR="00000000" w:rsidRPr="00000000">
        <w:rPr>
          <w:rFonts w:ascii="Palatino Linotype" w:cs="Palatino Linotype" w:eastAsia="Palatino Linotype" w:hAnsi="Palatino Linotype"/>
          <w:b w:val="1"/>
          <w:bCs w:val="1"/>
          <w:i w:val="1"/>
          <w:iCs w:val="1"/>
          <w:sz w:val="22"/>
          <w:szCs w:val="22"/>
          <w:rtl w:val="0"/>
        </w:rPr>
        <w:t xml:space="preserve">funciones</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0A">
      <w:pPr>
        <w:spacing w:after="200"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iCs w:val="1"/>
          <w:sz w:val="22"/>
          <w:szCs w:val="22"/>
          <w:rtl w:val="0"/>
        </w:rPr>
        <w:t xml:space="preserve">…” </w:t>
      </w:r>
    </w:p>
    <w:p w:rsidR="00000000" w:rsidDel="00000000" w:rsidP="00000000" w:rsidRDefault="00000000" w:rsidRPr="00000000" w14:paraId="0000010B">
      <w:pPr>
        <w:spacing w:after="200"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59.</w:t>
      </w:r>
      <w:r w:rsidDel="00000000" w:rsidR="00000000" w:rsidRPr="00000000">
        <w:rPr>
          <w:rFonts w:ascii="Palatino Linotype" w:cs="Palatino Linotype" w:eastAsia="Palatino Linotype" w:hAnsi="Palatino Linotype"/>
          <w:i w:val="1"/>
          <w:iCs w:val="1"/>
          <w:sz w:val="22"/>
          <w:szCs w:val="22"/>
          <w:rtl w:val="0"/>
        </w:rPr>
        <w:t xml:space="preserve"> Los </w:t>
      </w:r>
      <w:r w:rsidDel="00000000" w:rsidR="00000000" w:rsidRPr="00000000">
        <w:rPr>
          <w:rFonts w:ascii="Palatino Linotype" w:cs="Palatino Linotype" w:eastAsia="Palatino Linotype" w:hAnsi="Palatino Linotype"/>
          <w:b w:val="1"/>
          <w:bCs w:val="1"/>
          <w:i w:val="1"/>
          <w:iCs w:val="1"/>
          <w:sz w:val="22"/>
          <w:szCs w:val="22"/>
          <w:rtl w:val="0"/>
        </w:rPr>
        <w:t xml:space="preserve">servidores públicos habilitados</w:t>
      </w:r>
      <w:r w:rsidDel="00000000" w:rsidR="00000000" w:rsidRPr="00000000">
        <w:rPr>
          <w:rFonts w:ascii="Palatino Linotype" w:cs="Palatino Linotype" w:eastAsia="Palatino Linotype" w:hAnsi="Palatino Linotype"/>
          <w:i w:val="1"/>
          <w:iCs w:val="1"/>
          <w:sz w:val="22"/>
          <w:szCs w:val="22"/>
          <w:rtl w:val="0"/>
        </w:rPr>
        <w:t xml:space="preserve"> tendrán las </w:t>
      </w:r>
      <w:r w:rsidDel="00000000" w:rsidR="00000000" w:rsidRPr="00000000">
        <w:rPr>
          <w:rFonts w:ascii="Palatino Linotype" w:cs="Palatino Linotype" w:eastAsia="Palatino Linotype" w:hAnsi="Palatino Linotype"/>
          <w:b w:val="1"/>
          <w:bCs w:val="1"/>
          <w:i w:val="1"/>
          <w:iCs w:val="1"/>
          <w:sz w:val="22"/>
          <w:szCs w:val="22"/>
          <w:rtl w:val="0"/>
        </w:rPr>
        <w:t xml:space="preserve">funciones</w:t>
      </w:r>
      <w:r w:rsidDel="00000000" w:rsidR="00000000" w:rsidRPr="00000000">
        <w:rPr>
          <w:rFonts w:ascii="Palatino Linotype" w:cs="Palatino Linotype" w:eastAsia="Palatino Linotype" w:hAnsi="Palatino Linotype"/>
          <w:i w:val="1"/>
          <w:iCs w:val="1"/>
          <w:sz w:val="22"/>
          <w:szCs w:val="22"/>
          <w:rtl w:val="0"/>
        </w:rPr>
        <w:t xml:space="preserve"> siguientes:</w:t>
      </w:r>
    </w:p>
    <w:p w:rsidR="00000000" w:rsidDel="00000000" w:rsidP="00000000" w:rsidRDefault="00000000" w:rsidRPr="00000000" w14:paraId="0000010C">
      <w:pPr>
        <w:spacing w:after="200"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iCs w:val="1"/>
          <w:sz w:val="22"/>
          <w:szCs w:val="22"/>
          <w:rtl w:val="0"/>
        </w:rPr>
        <w:t xml:space="preserve">, la cual tendrá los fundamentos y argumentos en que se basa dicha propuesta…”</w:t>
      </w:r>
    </w:p>
    <w:p w:rsidR="00000000" w:rsidDel="00000000" w:rsidP="00000000" w:rsidRDefault="00000000" w:rsidRPr="00000000" w14:paraId="0000010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10E">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10F">
      <w:pPr>
        <w:spacing w:after="200"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149.</w:t>
      </w:r>
      <w:r w:rsidDel="00000000" w:rsidR="00000000" w:rsidRPr="00000000">
        <w:rPr>
          <w:rFonts w:ascii="Palatino Linotype" w:cs="Palatino Linotype" w:eastAsia="Palatino Linotype" w:hAnsi="Palatino Linotype"/>
          <w:i w:val="1"/>
          <w:iCs w:val="1"/>
          <w:sz w:val="22"/>
          <w:szCs w:val="22"/>
          <w:rtl w:val="0"/>
        </w:rPr>
        <w:t xml:space="preserve"> El </w:t>
      </w:r>
      <w:r w:rsidDel="00000000" w:rsidR="00000000" w:rsidRPr="00000000">
        <w:rPr>
          <w:rFonts w:ascii="Palatino Linotype" w:cs="Palatino Linotype" w:eastAsia="Palatino Linotype" w:hAnsi="Palatino Linotype"/>
          <w:b w:val="1"/>
          <w:bCs w:val="1"/>
          <w:i w:val="1"/>
          <w:iCs w:val="1"/>
          <w:sz w:val="22"/>
          <w:szCs w:val="22"/>
          <w:rtl w:val="0"/>
        </w:rPr>
        <w:t xml:space="preserve">acuerdo que clasifique la información como confidencial</w:t>
      </w:r>
      <w:r w:rsidDel="00000000" w:rsidR="00000000" w:rsidRPr="00000000">
        <w:rPr>
          <w:rFonts w:ascii="Palatino Linotype" w:cs="Palatino Linotype" w:eastAsia="Palatino Linotype" w:hAnsi="Palatino Linotype"/>
          <w:i w:val="1"/>
          <w:iCs w:val="1"/>
          <w:sz w:val="22"/>
          <w:szCs w:val="22"/>
          <w:rtl w:val="0"/>
        </w:rPr>
        <w:t xml:space="preserve"> deberá contener un razonamiento lógico en el que demuestre que la información se encuentra en alguna o algunas de las hipótesis previstas en la presente Ley.” </w:t>
      </w:r>
    </w:p>
    <w:p w:rsidR="00000000" w:rsidDel="00000000" w:rsidP="00000000" w:rsidRDefault="00000000" w:rsidRPr="00000000" w14:paraId="00000110">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rsidR="00000000" w:rsidDel="00000000" w:rsidP="00000000" w:rsidRDefault="00000000" w:rsidRPr="00000000" w14:paraId="00000111">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Atento a lo anterior, cabe señalar que el Comité de Transparencia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emitir el acuerdo de clasificación de información debidamente fundado y motivado, en términos de los Lineamientos Segundo, fracción XVIII, y del Cuarto al Décimo Primero de los “Lineamientos Generales en materia de Clasificación y Desclasificación de la Información, así como para la elaboración de Versiones Públicas”, vigentes a la fecha de la solicitud que literalmente expresan:</w:t>
      </w:r>
    </w:p>
    <w:p w:rsidR="00000000" w:rsidDel="00000000" w:rsidP="00000000" w:rsidRDefault="00000000" w:rsidRPr="00000000" w14:paraId="00000112">
      <w:pPr>
        <w:tabs>
          <w:tab w:val="left" w:leader="none" w:pos="8222"/>
        </w:tabs>
        <w:spacing w:after="200"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Segundo.-</w:t>
      </w:r>
      <w:r w:rsidDel="00000000" w:rsidR="00000000" w:rsidRPr="00000000">
        <w:rPr>
          <w:rFonts w:ascii="Palatino Linotype" w:cs="Palatino Linotype" w:eastAsia="Palatino Linotype" w:hAnsi="Palatino Linotype"/>
          <w:i w:val="1"/>
          <w:iCs w:val="1"/>
          <w:sz w:val="22"/>
          <w:szCs w:val="22"/>
          <w:rtl w:val="0"/>
        </w:rPr>
        <w:t xml:space="preserve"> Para efectos de los presentes Lineamientos Generales, se entenderá por:</w:t>
      </w:r>
    </w:p>
    <w:p w:rsidR="00000000" w:rsidDel="00000000" w:rsidP="00000000" w:rsidRDefault="00000000" w:rsidRPr="00000000" w14:paraId="00000113">
      <w:pPr>
        <w:tabs>
          <w:tab w:val="left" w:leader="none" w:pos="8222"/>
        </w:tabs>
        <w:spacing w:after="200"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XVIII.</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Versión pública:</w:t>
      </w:r>
      <w:r w:rsidDel="00000000" w:rsidR="00000000" w:rsidRPr="00000000">
        <w:rPr>
          <w:rFonts w:ascii="Palatino Linotype" w:cs="Palatino Linotype" w:eastAsia="Palatino Linotype" w:hAnsi="Palatino Linotype"/>
          <w:i w:val="1"/>
          <w:iCs w:val="1"/>
          <w:sz w:val="22"/>
          <w:szCs w:val="22"/>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bCs w:val="1"/>
          <w:i w:val="1"/>
          <w:iCs w:val="1"/>
          <w:sz w:val="22"/>
          <w:szCs w:val="22"/>
          <w:rtl w:val="0"/>
        </w:rPr>
        <w:t xml:space="preserve">fundando y motivando la</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reserva o confidencialidad</w:t>
      </w:r>
      <w:r w:rsidDel="00000000" w:rsidR="00000000" w:rsidRPr="00000000">
        <w:rPr>
          <w:rFonts w:ascii="Palatino Linotype" w:cs="Palatino Linotype" w:eastAsia="Palatino Linotype" w:hAnsi="Palatino Linotype"/>
          <w:i w:val="1"/>
          <w:iCs w:val="1"/>
          <w:sz w:val="22"/>
          <w:szCs w:val="22"/>
          <w:rtl w:val="0"/>
        </w:rPr>
        <w:t xml:space="preserve">, a través de la resolución que para tal efecto emita el Comité de Transparencia.</w:t>
      </w:r>
    </w:p>
    <w:p w:rsidR="00000000" w:rsidDel="00000000" w:rsidP="00000000" w:rsidRDefault="00000000" w:rsidRPr="00000000" w14:paraId="00000114">
      <w:pPr>
        <w:tabs>
          <w:tab w:val="left" w:leader="none" w:pos="8222"/>
        </w:tabs>
        <w:spacing w:after="200"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w:t>
      </w:r>
    </w:p>
    <w:p w:rsidR="00000000" w:rsidDel="00000000" w:rsidP="00000000" w:rsidRDefault="00000000" w:rsidRPr="00000000" w14:paraId="00000115">
      <w:pPr>
        <w:tabs>
          <w:tab w:val="left" w:leader="none" w:pos="8222"/>
        </w:tabs>
        <w:spacing w:after="200"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Cuarto.</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Para clasificar la información como</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reservada o</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confidencial, de manera total o parcial, el titular del área del sujeto obligado deberá atender lo dispuesto por el Título Sexto de la Ley General</w:t>
      </w:r>
      <w:r w:rsidDel="00000000" w:rsidR="00000000" w:rsidRPr="00000000">
        <w:rPr>
          <w:rFonts w:ascii="Palatino Linotype" w:cs="Palatino Linotype" w:eastAsia="Palatino Linotype" w:hAnsi="Palatino Linotype"/>
          <w:i w:val="1"/>
          <w:iCs w:val="1"/>
          <w:sz w:val="22"/>
          <w:szCs w:val="22"/>
          <w:rtl w:val="0"/>
        </w:rPr>
        <w:t xml:space="preserve">,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00000" w:rsidDel="00000000" w:rsidP="00000000" w:rsidRDefault="00000000" w:rsidRPr="00000000" w14:paraId="00000116">
      <w:pPr>
        <w:tabs>
          <w:tab w:val="left" w:leader="none" w:pos="8222"/>
        </w:tabs>
        <w:spacing w:after="200"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Los sujetos obligados deberán aplicar, de manera estricta, las excepciones al derecho de acceso a la información y sólo podrán invocarlas cuando acrediten su procedencia.</w:t>
      </w:r>
    </w:p>
    <w:p w:rsidR="00000000" w:rsidDel="00000000" w:rsidP="00000000" w:rsidRDefault="00000000" w:rsidRPr="00000000" w14:paraId="00000117">
      <w:pPr>
        <w:tabs>
          <w:tab w:val="left" w:leader="none" w:pos="8222"/>
        </w:tabs>
        <w:spacing w:after="200"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Quinto.</w:t>
      </w:r>
      <w:r w:rsidDel="00000000" w:rsidR="00000000" w:rsidRPr="00000000">
        <w:rPr>
          <w:rFonts w:ascii="Palatino Linotype" w:cs="Palatino Linotype" w:eastAsia="Palatino Linotype" w:hAnsi="Palatino Linotype"/>
          <w:i w:val="1"/>
          <w:iCs w:val="1"/>
          <w:sz w:val="22"/>
          <w:szCs w:val="22"/>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00000" w:rsidDel="00000000" w:rsidP="00000000" w:rsidRDefault="00000000" w:rsidRPr="00000000" w14:paraId="00000118">
      <w:pPr>
        <w:tabs>
          <w:tab w:val="left" w:leader="none" w:pos="8222"/>
        </w:tabs>
        <w:spacing w:after="200"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Sexto.</w:t>
      </w:r>
      <w:r w:rsidDel="00000000" w:rsidR="00000000" w:rsidRPr="00000000">
        <w:rPr>
          <w:rFonts w:ascii="Palatino Linotype" w:cs="Palatino Linotype" w:eastAsia="Palatino Linotype" w:hAnsi="Palatino Linotype"/>
          <w:i w:val="1"/>
          <w:iCs w:val="1"/>
          <w:sz w:val="22"/>
          <w:szCs w:val="22"/>
          <w:rtl w:val="0"/>
        </w:rPr>
        <w:t xml:space="preserve"> Se deroga.</w:t>
      </w:r>
    </w:p>
    <w:p w:rsidR="00000000" w:rsidDel="00000000" w:rsidP="00000000" w:rsidRDefault="00000000" w:rsidRPr="00000000" w14:paraId="00000119">
      <w:pPr>
        <w:tabs>
          <w:tab w:val="left" w:leader="none" w:pos="8222"/>
        </w:tabs>
        <w:spacing w:after="200"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Séptimo.</w:t>
      </w:r>
      <w:r w:rsidDel="00000000" w:rsidR="00000000" w:rsidRPr="00000000">
        <w:rPr>
          <w:rFonts w:ascii="Palatino Linotype" w:cs="Palatino Linotype" w:eastAsia="Palatino Linotype" w:hAnsi="Palatino Linotype"/>
          <w:i w:val="1"/>
          <w:iCs w:val="1"/>
          <w:sz w:val="22"/>
          <w:szCs w:val="22"/>
          <w:rtl w:val="0"/>
        </w:rPr>
        <w:t xml:space="preserve"> La clasificación de la información se llevará a cabo en el momento en que:</w:t>
      </w:r>
    </w:p>
    <w:p w:rsidR="00000000" w:rsidDel="00000000" w:rsidP="00000000" w:rsidRDefault="00000000" w:rsidRPr="00000000" w14:paraId="0000011A">
      <w:pPr>
        <w:tabs>
          <w:tab w:val="left" w:leader="none" w:pos="8222"/>
        </w:tabs>
        <w:spacing w:after="200"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Se reciba una solicitud de acceso a la información;</w:t>
      </w:r>
    </w:p>
    <w:p w:rsidR="00000000" w:rsidDel="00000000" w:rsidP="00000000" w:rsidRDefault="00000000" w:rsidRPr="00000000" w14:paraId="0000011B">
      <w:pPr>
        <w:tabs>
          <w:tab w:val="left" w:leader="none" w:pos="8222"/>
        </w:tabs>
        <w:spacing w:after="200"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Se determine mediante resolución del Comité de Transparencia, el órgano garante competente, o en cumplimiento a una sentencia del Poder Judicial; o</w:t>
      </w:r>
    </w:p>
    <w:p w:rsidR="00000000" w:rsidDel="00000000" w:rsidP="00000000" w:rsidRDefault="00000000" w:rsidRPr="00000000" w14:paraId="0000011C">
      <w:pPr>
        <w:tabs>
          <w:tab w:val="left" w:leader="none" w:pos="8222"/>
        </w:tabs>
        <w:spacing w:after="200"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Se generen versiones públicas para dar cumplimiento a las obligaciones de transparencia previstas en la Ley General, la Ley Federal y las correspondientes de las entidades federativas.</w:t>
      </w:r>
    </w:p>
    <w:p w:rsidR="00000000" w:rsidDel="00000000" w:rsidP="00000000" w:rsidRDefault="00000000" w:rsidRPr="00000000" w14:paraId="0000011D">
      <w:pPr>
        <w:tabs>
          <w:tab w:val="left" w:leader="none" w:pos="8222"/>
        </w:tabs>
        <w:spacing w:after="200"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Los titulares de las áreas deberán revisar la clasificación al momento de la recepción de una solicitud de acceso, para verificar</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conforme a su naturaleza, si encuadra en una causal de reserva o de confidencialidad.</w:t>
      </w:r>
    </w:p>
    <w:p w:rsidR="00000000" w:rsidDel="00000000" w:rsidP="00000000" w:rsidRDefault="00000000" w:rsidRPr="00000000" w14:paraId="0000011E">
      <w:pPr>
        <w:tabs>
          <w:tab w:val="left" w:leader="none" w:pos="8222"/>
        </w:tabs>
        <w:spacing w:after="200"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Octavo.</w:t>
      </w:r>
      <w:r w:rsidDel="00000000" w:rsidR="00000000" w:rsidRPr="00000000">
        <w:rPr>
          <w:rFonts w:ascii="Palatino Linotype" w:cs="Palatino Linotype" w:eastAsia="Palatino Linotype" w:hAnsi="Palatino Linotype"/>
          <w:i w:val="1"/>
          <w:iCs w:val="1"/>
          <w:sz w:val="22"/>
          <w:szCs w:val="22"/>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00000" w:rsidDel="00000000" w:rsidP="00000000" w:rsidRDefault="00000000" w:rsidRPr="00000000" w14:paraId="0000011F">
      <w:pPr>
        <w:tabs>
          <w:tab w:val="left" w:leader="none" w:pos="8222"/>
        </w:tabs>
        <w:spacing w:after="200"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Para motivar la clasificación se deberán señalar las razones o circunstancias especiales que lo llevaron a concluir que el caso particular se ajusta al supuesto previsto por la norma legal invocada como fundamento.</w:t>
      </w:r>
    </w:p>
    <w:p w:rsidR="00000000" w:rsidDel="00000000" w:rsidP="00000000" w:rsidRDefault="00000000" w:rsidRPr="00000000" w14:paraId="00000120">
      <w:pPr>
        <w:tabs>
          <w:tab w:val="left" w:leader="none" w:pos="8222"/>
        </w:tabs>
        <w:spacing w:after="200"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rsidR="00000000" w:rsidDel="00000000" w:rsidP="00000000" w:rsidRDefault="00000000" w:rsidRPr="00000000" w14:paraId="00000121">
      <w:pPr>
        <w:tabs>
          <w:tab w:val="left" w:leader="none" w:pos="8222"/>
        </w:tabs>
        <w:spacing w:after="200"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Noveno.</w:t>
      </w:r>
      <w:r w:rsidDel="00000000" w:rsidR="00000000" w:rsidRPr="00000000">
        <w:rPr>
          <w:rFonts w:ascii="Palatino Linotype" w:cs="Palatino Linotype" w:eastAsia="Palatino Linotype" w:hAnsi="Palatino Linotype"/>
          <w:i w:val="1"/>
          <w:iCs w:val="1"/>
          <w:sz w:val="22"/>
          <w:szCs w:val="22"/>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00000" w:rsidDel="00000000" w:rsidP="00000000" w:rsidRDefault="00000000" w:rsidRPr="00000000" w14:paraId="00000122">
      <w:pPr>
        <w:tabs>
          <w:tab w:val="left" w:leader="none" w:pos="8222"/>
        </w:tabs>
        <w:spacing w:after="200"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Décimo.</w:t>
      </w:r>
      <w:r w:rsidDel="00000000" w:rsidR="00000000" w:rsidRPr="00000000">
        <w:rPr>
          <w:rFonts w:ascii="Palatino Linotype" w:cs="Palatino Linotype" w:eastAsia="Palatino Linotype" w:hAnsi="Palatino Linotype"/>
          <w:i w:val="1"/>
          <w:iCs w:val="1"/>
          <w:sz w:val="22"/>
          <w:szCs w:val="22"/>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rsidR="00000000" w:rsidDel="00000000" w:rsidP="00000000" w:rsidRDefault="00000000" w:rsidRPr="00000000" w14:paraId="00000123">
      <w:pPr>
        <w:tabs>
          <w:tab w:val="left" w:leader="none" w:pos="8222"/>
        </w:tabs>
        <w:spacing w:after="200"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ausencia de los titulares de las áreas, la información será clasificada o desclasificada por la persona que lo supla, en términos de la normativa que rija la actuación del sujeto obligado.</w:t>
      </w:r>
    </w:p>
    <w:p w:rsidR="00000000" w:rsidDel="00000000" w:rsidP="00000000" w:rsidRDefault="00000000" w:rsidRPr="00000000" w14:paraId="00000124">
      <w:pPr>
        <w:tabs>
          <w:tab w:val="left" w:leader="none" w:pos="8222"/>
        </w:tabs>
        <w:spacing w:after="200"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Décimo primero.</w:t>
      </w:r>
      <w:r w:rsidDel="00000000" w:rsidR="00000000" w:rsidRPr="00000000">
        <w:rPr>
          <w:rFonts w:ascii="Palatino Linotype" w:cs="Palatino Linotype" w:eastAsia="Palatino Linotype" w:hAnsi="Palatino Linotype"/>
          <w:i w:val="1"/>
          <w:iCs w:val="1"/>
          <w:sz w:val="22"/>
          <w:szCs w:val="22"/>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respecto a las formalidades que deberá llevar el acuerdo de clasificación que deberá emitir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la solicitud, señalan lo siguiente:</w:t>
      </w:r>
    </w:p>
    <w:p w:rsidR="00000000" w:rsidDel="00000000" w:rsidP="00000000" w:rsidRDefault="00000000" w:rsidRPr="00000000" w14:paraId="00000126">
      <w:pPr>
        <w:spacing w:after="200"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w:t>
      </w:r>
      <w:r w:rsidDel="00000000" w:rsidR="00000000" w:rsidRPr="00000000">
        <w:rPr>
          <w:rFonts w:ascii="Palatino Linotype" w:cs="Palatino Linotype" w:eastAsia="Palatino Linotype" w:hAnsi="Palatino Linotype"/>
          <w:i w:val="1"/>
          <w:iCs w:val="1"/>
          <w:sz w:val="22"/>
          <w:szCs w:val="22"/>
          <w:rtl w:val="0"/>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200"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primero. </w:t>
      </w:r>
      <w:r w:rsidDel="00000000" w:rsidR="00000000" w:rsidRPr="00000000">
        <w:rPr>
          <w:rFonts w:ascii="Palatino Linotype" w:cs="Palatino Linotype" w:eastAsia="Palatino Linotype" w:hAnsi="Palatino Linotype"/>
          <w:i w:val="1"/>
          <w:iCs w:val="1"/>
          <w:sz w:val="22"/>
          <w:szCs w:val="22"/>
          <w:rtl w:val="0"/>
        </w:rPr>
        <w:t xml:space="preserve">Toda acta del Comité de Transparencia deberá contener: </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200" w:line="276"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El número de sesión y fecha; </w:t>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after="200" w:line="276"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El nombre del área que solicitó la clasificación de información; </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200" w:line="276"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La fundamentación legal y motivación correspondiente; </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200" w:line="276"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w:t>
      </w:r>
      <w:r w:rsidDel="00000000" w:rsidR="00000000" w:rsidRPr="00000000">
        <w:rPr>
          <w:rFonts w:ascii="Palatino Linotype" w:cs="Palatino Linotype" w:eastAsia="Palatino Linotype" w:hAnsi="Palatino Linotype"/>
          <w:i w:val="1"/>
          <w:iCs w:val="1"/>
          <w:sz w:val="22"/>
          <w:szCs w:val="22"/>
          <w:rtl w:val="0"/>
        </w:rPr>
        <w:t xml:space="preserve">. La resolución o resoluciones aprobadas; y </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200" w:line="276"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w:t>
      </w:r>
      <w:r w:rsidDel="00000000" w:rsidR="00000000" w:rsidRPr="00000000">
        <w:rPr>
          <w:rFonts w:ascii="Palatino Linotype" w:cs="Palatino Linotype" w:eastAsia="Palatino Linotype" w:hAnsi="Palatino Linotype"/>
          <w:i w:val="1"/>
          <w:iCs w:val="1"/>
          <w:sz w:val="22"/>
          <w:szCs w:val="22"/>
          <w:rtl w:val="0"/>
        </w:rPr>
        <w:t xml:space="preserve">. La rúbrica o firma digital de cada integrante del Comité de Transparencia. </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200"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200" w:line="276"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Los motivos y razonamientos que sustenten la confirmación o modificación de la prueba de daño;</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200" w:line="276" w:lineRule="auto"/>
        <w:ind w:left="1134" w:right="902"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Descripción de las partes o secciones reservadas, en caso de clasificación parcial</w:t>
      </w:r>
      <w:r w:rsidDel="00000000" w:rsidR="00000000" w:rsidRPr="00000000">
        <w:rPr>
          <w:rFonts w:ascii="Palatino Linotype" w:cs="Palatino Linotype" w:eastAsia="Palatino Linotype" w:hAnsi="Palatino Linotype"/>
          <w:b w:val="1"/>
          <w:bCs w:val="1"/>
          <w:i w:val="1"/>
          <w:iCs w:val="1"/>
          <w:sz w:val="22"/>
          <w:szCs w:val="22"/>
          <w:rtl w:val="0"/>
        </w:rPr>
        <w:t xml:space="preserve">; </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200" w:line="276"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El periodo por el que mantendrá su clasificación y fecha de expiración; y </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200" w:line="276"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w:t>
      </w:r>
      <w:r w:rsidDel="00000000" w:rsidR="00000000" w:rsidRPr="00000000">
        <w:rPr>
          <w:rFonts w:ascii="Palatino Linotype" w:cs="Palatino Linotype" w:eastAsia="Palatino Linotype" w:hAnsi="Palatino Linotype"/>
          <w:i w:val="1"/>
          <w:iCs w:val="1"/>
          <w:sz w:val="22"/>
          <w:szCs w:val="22"/>
          <w:rtl w:val="0"/>
        </w:rPr>
        <w:t xml:space="preserve"> El nombre del titular y área encargada de realizar la versión pública del documento, en su caso. </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200"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200"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3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la elaboración de las versiones públicas, además, se deberán observar las formalidades establecidas en los Lineamientos Quincuagésimo segundo, Quincuagésimo cuarto, Quincuagésimo quinto, Quincuagésimo séptimo y Quincuagésimo octavo, vigentes a la fecha de la solicitud, que establecen lo siguiente:</w:t>
      </w:r>
    </w:p>
    <w:p w:rsidR="00000000" w:rsidDel="00000000" w:rsidP="00000000" w:rsidRDefault="00000000" w:rsidRPr="00000000" w14:paraId="00000135">
      <w:pPr>
        <w:spacing w:after="200"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Quincuagésimo segundo</w:t>
      </w:r>
      <w:r w:rsidDel="00000000" w:rsidR="00000000" w:rsidRPr="00000000">
        <w:rPr>
          <w:rFonts w:ascii="Palatino Linotype" w:cs="Palatino Linotype" w:eastAsia="Palatino Linotype" w:hAnsi="Palatino Linotype"/>
          <w:i w:val="1"/>
          <w:iCs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36">
      <w:pPr>
        <w:spacing w:after="200"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137">
      <w:pPr>
        <w:spacing w:after="200" w:line="276" w:lineRule="auto"/>
        <w:ind w:left="1134"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Fijar la fecha en que se elaboró la versión pública y la fecha en la cual el Comité de Transparencia confirmó dicha versión;</w:t>
      </w:r>
    </w:p>
    <w:p w:rsidR="00000000" w:rsidDel="00000000" w:rsidP="00000000" w:rsidRDefault="00000000" w:rsidRPr="00000000" w14:paraId="00000138">
      <w:pPr>
        <w:spacing w:after="200" w:line="276" w:lineRule="auto"/>
        <w:ind w:left="1134"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Señalar dentro del documento el tipo de información confidencial que fue testada en cada caso específico, de conformidad con el lineamiento trigésimo octavo; y</w:t>
      </w:r>
    </w:p>
    <w:p w:rsidR="00000000" w:rsidDel="00000000" w:rsidP="00000000" w:rsidRDefault="00000000" w:rsidRPr="00000000" w14:paraId="00000139">
      <w:pPr>
        <w:spacing w:after="200" w:line="276" w:lineRule="auto"/>
        <w:ind w:left="1134"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Señalar las personas o instancias autorizadas a acceder a la información clasificada.</w:t>
      </w:r>
    </w:p>
    <w:p w:rsidR="00000000" w:rsidDel="00000000" w:rsidP="00000000" w:rsidRDefault="00000000" w:rsidRPr="00000000" w14:paraId="0000013A">
      <w:pPr>
        <w:spacing w:after="200"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200"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200"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cuarto. </w:t>
      </w:r>
      <w:r w:rsidDel="00000000" w:rsidR="00000000" w:rsidRPr="00000000">
        <w:rPr>
          <w:rFonts w:ascii="Palatino Linotype" w:cs="Palatino Linotype" w:eastAsia="Palatino Linotype" w:hAnsi="Palatino Linotype"/>
          <w:i w:val="1"/>
          <w:iCs w:val="1"/>
          <w:sz w:val="22"/>
          <w:szCs w:val="22"/>
          <w:rtl w:val="0"/>
        </w:rPr>
        <w:t xml:space="preserve">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Del="00000000" w:rsidR="00000000" w:rsidRPr="00000000">
        <w:rPr>
          <w:rFonts w:ascii="Palatino Linotype" w:cs="Palatino Linotype" w:eastAsia="Palatino Linotype" w:hAnsi="Palatino Linotype"/>
          <w:b w:val="1"/>
          <w:bCs w:val="1"/>
          <w:i w:val="1"/>
          <w:iCs w:val="1"/>
          <w:sz w:val="22"/>
          <w:szCs w:val="22"/>
          <w:rtl w:val="0"/>
        </w:rPr>
        <w:t xml:space="preserve"> </w:t>
      </w:r>
    </w:p>
    <w:p w:rsidR="00000000" w:rsidDel="00000000" w:rsidP="00000000" w:rsidRDefault="00000000" w:rsidRPr="00000000" w14:paraId="0000013D">
      <w:pPr>
        <w:spacing w:after="200"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quinto. </w:t>
      </w:r>
      <w:r w:rsidDel="00000000" w:rsidR="00000000" w:rsidRPr="00000000">
        <w:rPr>
          <w:rFonts w:ascii="Palatino Linotype" w:cs="Palatino Linotype" w:eastAsia="Palatino Linotype" w:hAnsi="Palatino Linotype"/>
          <w:i w:val="1"/>
          <w:iCs w:val="1"/>
          <w:sz w:val="22"/>
          <w:szCs w:val="22"/>
          <w:rtl w:val="0"/>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3E">
      <w:pPr>
        <w:spacing w:after="200"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w:t>
      </w:r>
    </w:p>
    <w:p w:rsidR="00000000" w:rsidDel="00000000" w:rsidP="00000000" w:rsidRDefault="00000000" w:rsidRPr="00000000" w14:paraId="0000013F">
      <w:pPr>
        <w:spacing w:after="200"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séptimo</w:t>
      </w:r>
      <w:r w:rsidDel="00000000" w:rsidR="00000000" w:rsidRPr="00000000">
        <w:rPr>
          <w:rFonts w:ascii="Palatino Linotype" w:cs="Palatino Linotype" w:eastAsia="Palatino Linotype" w:hAnsi="Palatino Linotype"/>
          <w:i w:val="1"/>
          <w:iCs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140">
      <w:pPr>
        <w:spacing w:after="200" w:line="276" w:lineRule="auto"/>
        <w:ind w:left="1134"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141">
      <w:pPr>
        <w:spacing w:after="200" w:line="276" w:lineRule="auto"/>
        <w:ind w:left="1134"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42">
      <w:pPr>
        <w:spacing w:after="200" w:line="276" w:lineRule="auto"/>
        <w:ind w:left="1134"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43">
      <w:pPr>
        <w:spacing w:after="200"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44">
      <w:pPr>
        <w:spacing w:after="200"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octavo</w:t>
      </w:r>
      <w:r w:rsidDel="00000000" w:rsidR="00000000" w:rsidRPr="00000000">
        <w:rPr>
          <w:rFonts w:ascii="Palatino Linotype" w:cs="Palatino Linotype" w:eastAsia="Palatino Linotype" w:hAnsi="Palatino Linotype"/>
          <w:i w:val="1"/>
          <w:iCs w:val="1"/>
          <w:sz w:val="22"/>
          <w:szCs w:val="22"/>
          <w:rtl w:val="0"/>
        </w:rPr>
        <w:t xml:space="preserve">.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45">
      <w:pPr>
        <w:shd w:fill="ffffff" w:val="clea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la entrega de documentos en su versión pública debe acompañarse necesariamente del Acuerdo del Comité de Transparencia que la sustente, en el que se expongan los fundamentos y razonamientos que llevaron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fracción III, así como 188 de la Ley de Transparencia y Acceso a la Información Pública del Estado de México y Municipios, este Pleno:</w:t>
      </w:r>
    </w:p>
    <w:p w:rsidR="00000000" w:rsidDel="00000000" w:rsidP="00000000" w:rsidRDefault="00000000" w:rsidRPr="00000000" w14:paraId="00000148">
      <w:pPr>
        <w:pBdr>
          <w:top w:space="0" w:sz="0" w:val="nil"/>
          <w:left w:space="0" w:sz="0" w:val="nil"/>
          <w:bottom w:space="0" w:sz="0" w:val="nil"/>
          <w:right w:space="0" w:sz="0" w:val="nil"/>
          <w:between w:space="0" w:sz="0" w:val="nil"/>
        </w:pBdr>
        <w:tabs>
          <w:tab w:val="center" w:leader="none" w:pos="4252"/>
          <w:tab w:val="right" w:leader="none" w:pos="8504"/>
          <w:tab w:val="left" w:leader="none" w:pos="7770"/>
          <w:tab w:val="right" w:leader="none" w:pos="8838"/>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sz w:val="22"/>
          <w:szCs w:val="22"/>
        </w:rPr>
      </w:pPr>
      <w:bookmarkStart w:colFirst="0" w:colLast="0" w:name="_heading=h.ijv98pntcd5s" w:id="9"/>
      <w:bookmarkEnd w:id="9"/>
      <w:r w:rsidDel="00000000" w:rsidR="00000000" w:rsidRPr="00000000">
        <w:rPr>
          <w:rFonts w:ascii="Palatino Linotype" w:cs="Palatino Linotype" w:eastAsia="Palatino Linotype" w:hAnsi="Palatino Linotype"/>
          <w:b w:val="1"/>
          <w:bCs w:val="1"/>
          <w:sz w:val="22"/>
          <w:szCs w:val="22"/>
          <w:rtl w:val="0"/>
        </w:rPr>
        <w:t xml:space="preserve">III. R E S U E L V E</w:t>
      </w:r>
    </w:p>
    <w:p w:rsidR="00000000" w:rsidDel="00000000" w:rsidP="00000000" w:rsidRDefault="00000000" w:rsidRPr="00000000" w14:paraId="0000014A">
      <w:pPr>
        <w:spacing w:line="360" w:lineRule="auto"/>
        <w:jc w:val="both"/>
        <w:rPr>
          <w:rFonts w:ascii="Palatino Linotype" w:cs="Palatino Linotype" w:eastAsia="Palatino Linotype" w:hAnsi="Palatino Linotype"/>
          <w:b w:val="1"/>
          <w:bCs w:val="1"/>
          <w:sz w:val="22"/>
          <w:szCs w:val="22"/>
        </w:rPr>
      </w:pPr>
      <w:bookmarkStart w:colFirst="0" w:colLast="0" w:name="_heading=h.26in1rg" w:id="10"/>
      <w:bookmarkEnd w:id="10"/>
      <w:r w:rsidDel="00000000" w:rsidR="00000000" w:rsidRPr="00000000">
        <w:rPr>
          <w:rtl w:val="0"/>
        </w:rPr>
      </w:r>
    </w:p>
    <w:p w:rsidR="00000000" w:rsidDel="00000000" w:rsidP="00000000" w:rsidRDefault="00000000" w:rsidRPr="00000000" w14:paraId="0000014B">
      <w:pPr>
        <w:spacing w:line="360" w:lineRule="auto"/>
        <w:jc w:val="both"/>
        <w:rPr>
          <w:rFonts w:ascii="Palatino Linotype" w:cs="Palatino Linotype" w:eastAsia="Palatino Linotype" w:hAnsi="Palatino Linotype"/>
          <w:b w:val="1"/>
          <w:bCs w:val="1"/>
          <w:sz w:val="22"/>
          <w:szCs w:val="22"/>
        </w:rPr>
      </w:pPr>
      <w:bookmarkStart w:colFirst="0" w:colLast="0" w:name="_heading=h.h7nzb79wlra" w:id="11"/>
      <w:bookmarkEnd w:id="11"/>
      <w:r w:rsidDel="00000000" w:rsidR="00000000" w:rsidRPr="00000000">
        <w:rPr>
          <w:rFonts w:ascii="Palatino Linotype" w:cs="Palatino Linotype" w:eastAsia="Palatino Linotype" w:hAnsi="Palatino Linotype"/>
          <w:b w:val="1"/>
          <w:bCs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 </w:t>
      </w:r>
      <w:r w:rsidDel="00000000" w:rsidR="00000000" w:rsidRPr="00000000">
        <w:rPr>
          <w:rFonts w:ascii="Palatino Linotype" w:cs="Palatino Linotype" w:eastAsia="Palatino Linotype" w:hAnsi="Palatino Linotype"/>
          <w:b w:val="1"/>
          <w:bCs w:val="1"/>
          <w:sz w:val="22"/>
          <w:szCs w:val="22"/>
          <w:rtl w:val="0"/>
        </w:rPr>
        <w:t xml:space="preserve">parcialmente fundadas</w:t>
      </w:r>
      <w:r w:rsidDel="00000000" w:rsidR="00000000" w:rsidRPr="00000000">
        <w:rPr>
          <w:rFonts w:ascii="Palatino Linotype" w:cs="Palatino Linotype" w:eastAsia="Palatino Linotype" w:hAnsi="Palatino Linotype"/>
          <w:sz w:val="22"/>
          <w:szCs w:val="22"/>
          <w:rtl w:val="0"/>
        </w:rPr>
        <w:t xml:space="preserve"> las razones o motivos de inconformidad hechos valer por la parte</w:t>
      </w:r>
      <w:r w:rsidDel="00000000" w:rsidR="00000000" w:rsidRPr="00000000">
        <w:rPr>
          <w:rFonts w:ascii="Palatino Linotype" w:cs="Palatino Linotype" w:eastAsia="Palatino Linotype" w:hAnsi="Palatino Linotype"/>
          <w:b w:val="1"/>
          <w:bCs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bCs w:val="1"/>
          <w:sz w:val="22"/>
          <w:szCs w:val="22"/>
          <w:rtl w:val="0"/>
        </w:rPr>
        <w:t xml:space="preserve">13134/INFOEM/IP/RR/2025</w:t>
      </w:r>
      <w:r w:rsidDel="00000000" w:rsidR="00000000" w:rsidRPr="00000000">
        <w:rPr>
          <w:rFonts w:ascii="Palatino Linotype" w:cs="Palatino Linotype" w:eastAsia="Palatino Linotype" w:hAnsi="Palatino Linotype"/>
          <w:sz w:val="22"/>
          <w:szCs w:val="22"/>
          <w:rtl w:val="0"/>
        </w:rPr>
        <w:t xml:space="preserve">; por lo que, en términos del </w:t>
      </w:r>
      <w:r w:rsidDel="00000000" w:rsidR="00000000" w:rsidRPr="00000000">
        <w:rPr>
          <w:rFonts w:ascii="Palatino Linotype" w:cs="Palatino Linotype" w:eastAsia="Palatino Linotype" w:hAnsi="Palatino Linotype"/>
          <w:b w:val="1"/>
          <w:bCs w:val="1"/>
          <w:sz w:val="22"/>
          <w:szCs w:val="22"/>
          <w:rtl w:val="0"/>
        </w:rPr>
        <w:t xml:space="preserve">Considerando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bCs w:val="1"/>
          <w:sz w:val="22"/>
          <w:szCs w:val="22"/>
          <w:rtl w:val="0"/>
        </w:rPr>
        <w:t xml:space="preserve">Modifica </w:t>
      </w:r>
      <w:r w:rsidDel="00000000" w:rsidR="00000000" w:rsidRPr="00000000">
        <w:rPr>
          <w:rFonts w:ascii="Palatino Linotype" w:cs="Palatino Linotype" w:eastAsia="Palatino Linotype" w:hAnsi="Palatino Linotype"/>
          <w:sz w:val="22"/>
          <w:szCs w:val="22"/>
          <w:rtl w:val="0"/>
        </w:rPr>
        <w:t xml:space="preserve">la respuesta emitida por el </w:t>
      </w:r>
      <w:r w:rsidDel="00000000" w:rsidR="00000000" w:rsidRPr="00000000">
        <w:rPr>
          <w:rFonts w:ascii="Palatino Linotype" w:cs="Palatino Linotype" w:eastAsia="Palatino Linotype" w:hAnsi="Palatino Linotype"/>
          <w:b w:val="1"/>
          <w:bCs w:val="1"/>
          <w:sz w:val="22"/>
          <w:szCs w:val="22"/>
          <w:rtl w:val="0"/>
        </w:rPr>
        <w:t xml:space="preserve">Sujeto Obligado.</w:t>
      </w:r>
    </w:p>
    <w:p w:rsidR="00000000" w:rsidDel="00000000" w:rsidP="00000000" w:rsidRDefault="00000000" w:rsidRPr="00000000" w14:paraId="0000014C">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14D">
      <w:pPr>
        <w:spacing w:line="360" w:lineRule="auto"/>
        <w:jc w:val="both"/>
        <w:rPr>
          <w:rFonts w:ascii="Palatino Linotype" w:cs="Palatino Linotype" w:eastAsia="Palatino Linotype" w:hAnsi="Palatino Linotype"/>
          <w:sz w:val="22"/>
          <w:szCs w:val="22"/>
        </w:rPr>
      </w:pPr>
      <w:bookmarkStart w:colFirst="0" w:colLast="0" w:name="_heading=h.2et92p0" w:id="12"/>
      <w:bookmarkEnd w:id="12"/>
      <w:r w:rsidDel="00000000" w:rsidR="00000000" w:rsidRPr="00000000">
        <w:rPr>
          <w:rFonts w:ascii="Palatino Linotype" w:cs="Palatino Linotype" w:eastAsia="Palatino Linotype" w:hAnsi="Palatino Linotype"/>
          <w:b w:val="1"/>
          <w:bCs w:val="1"/>
          <w:sz w:val="22"/>
          <w:szCs w:val="22"/>
          <w:rtl w:val="0"/>
        </w:rPr>
        <w:t xml:space="preserve">Segundo.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bCs w:val="1"/>
          <w:sz w:val="22"/>
          <w:szCs w:val="22"/>
          <w:rtl w:val="0"/>
        </w:rPr>
        <w:t xml:space="preserve">Ordena</w:t>
      </w:r>
      <w:r w:rsidDel="00000000" w:rsidR="00000000" w:rsidRPr="00000000">
        <w:rPr>
          <w:rFonts w:ascii="Palatino Linotype" w:cs="Palatino Linotype" w:eastAsia="Palatino Linotype" w:hAnsi="Palatino Linotype"/>
          <w:sz w:val="22"/>
          <w:szCs w:val="22"/>
          <w:rtl w:val="0"/>
        </w:rPr>
        <w:t xml:space="preserve">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términos de los considerandos </w:t>
      </w:r>
      <w:r w:rsidDel="00000000" w:rsidR="00000000" w:rsidRPr="00000000">
        <w:rPr>
          <w:rFonts w:ascii="Palatino Linotype" w:cs="Palatino Linotype" w:eastAsia="Palatino Linotype" w:hAnsi="Palatino Linotype"/>
          <w:b w:val="1"/>
          <w:bCs w:val="1"/>
          <w:sz w:val="22"/>
          <w:szCs w:val="22"/>
          <w:rtl w:val="0"/>
        </w:rPr>
        <w:t xml:space="preserve">Cuarto y Quinto </w:t>
      </w:r>
      <w:r w:rsidDel="00000000" w:rsidR="00000000" w:rsidRPr="00000000">
        <w:rPr>
          <w:rFonts w:ascii="Palatino Linotype" w:cs="Palatino Linotype" w:eastAsia="Palatino Linotype" w:hAnsi="Palatino Linotype"/>
          <w:sz w:val="22"/>
          <w:szCs w:val="22"/>
          <w:rtl w:val="0"/>
        </w:rPr>
        <w:t xml:space="preserve">de esta resolución, </w:t>
      </w:r>
      <w:r w:rsidDel="00000000" w:rsidR="00000000" w:rsidRPr="00000000">
        <w:rPr>
          <w:rFonts w:ascii="Palatino Linotype" w:cs="Palatino Linotype" w:eastAsia="Palatino Linotype" w:hAnsi="Palatino Linotype"/>
          <w:b w:val="1"/>
          <w:bCs w:val="1"/>
          <w:sz w:val="22"/>
          <w:szCs w:val="22"/>
          <w:rtl w:val="0"/>
        </w:rPr>
        <w:t xml:space="preserve">haga entrega vía Sistema de Acceso a la Información Mexiquense (SAIMEX)</w:t>
      </w:r>
      <w:r w:rsidDel="00000000" w:rsidR="00000000" w:rsidRPr="00000000">
        <w:rPr>
          <w:rFonts w:ascii="Palatino Linotype" w:cs="Palatino Linotype" w:eastAsia="Palatino Linotype" w:hAnsi="Palatino Linotype"/>
          <w:b w:val="1"/>
          <w:bCs w:val="1"/>
          <w:sz w:val="22"/>
          <w:szCs w:val="22"/>
          <w:u w:val="single"/>
          <w:rtl w:val="0"/>
        </w:rPr>
        <w:t xml:space="preserve">, previa búsqueda exhaustiva y razonable, de ser procedente en versión pública, lo siguiente</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4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Palatino Linotype" w:cs="Palatino Linotype" w:eastAsia="Palatino Linotype" w:hAnsi="Palatino Linotype"/>
          <w:b w:val="1"/>
          <w:bCs w:val="1"/>
          <w:i w:val="0"/>
          <w:iCs w:val="0"/>
          <w:smallCaps w:val="0"/>
          <w:strike w:val="0"/>
          <w:color w:val="000000"/>
          <w:sz w:val="22"/>
          <w:szCs w:val="22"/>
          <w:u w:val="single"/>
          <w:shd w:fill="auto" w:val="clear"/>
          <w:vertAlign w:val="baseline"/>
        </w:rPr>
      </w:pPr>
      <w:bookmarkStart w:colFirst="0" w:colLast="0" w:name="_heading=h.59npxyxpomjd" w:id="13"/>
      <w:bookmarkEnd w:id="13"/>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single"/>
          <w:shd w:fill="auto" w:val="clear"/>
          <w:vertAlign w:val="baseline"/>
          <w:rtl w:val="0"/>
        </w:rPr>
        <w:t xml:space="preserve">La certificación de competencia laboral del Secretario del Ayuntamiento en funciones al veintiocho de octubre de dos mil veinticinco.</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Palatino Linotype" w:cs="Palatino Linotype" w:eastAsia="Palatino Linotype" w:hAnsi="Palatino Linotype"/>
          <w:b w:val="1"/>
          <w:bCs w:val="1"/>
          <w:i w:val="0"/>
          <w:iCs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la parte </w:t>
      </w: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 mismo que igualmente hará de su conocimiento.</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Notifíquese,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al Titular de la Unidad de Transparencia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5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5">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Cuarto.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Notifíquese,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al Titular de la Unidad de Transparencia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rsidR="00000000" w:rsidDel="00000000" w:rsidP="00000000" w:rsidRDefault="00000000" w:rsidRPr="00000000" w14:paraId="00000156">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Quinto. Notifíquese vía SAIMEX, </w:t>
      </w:r>
      <w:r w:rsidDel="00000000" w:rsidR="00000000" w:rsidRPr="00000000">
        <w:rPr>
          <w:rFonts w:ascii="Palatino Linotype" w:cs="Palatino Linotype" w:eastAsia="Palatino Linotype" w:hAnsi="Palatino Linotype"/>
          <w:sz w:val="22"/>
          <w:szCs w:val="22"/>
          <w:rtl w:val="0"/>
        </w:rPr>
        <w:t xml:space="preserve">la presente resolución a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rsidR="00000000" w:rsidDel="00000000" w:rsidP="00000000" w:rsidRDefault="00000000" w:rsidRPr="00000000" w14:paraId="00000158">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9">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Sexto.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Gírese </w:t>
      </w:r>
      <w:r w:rsidDel="00000000" w:rsidR="00000000" w:rsidRPr="00000000">
        <w:rPr>
          <w:rFonts w:ascii="Palatino Linotype" w:cs="Palatino Linotype" w:eastAsia="Palatino Linotype" w:hAnsi="Palatino Linotype"/>
          <w:sz w:val="22"/>
          <w:szCs w:val="22"/>
          <w:rtl w:val="0"/>
        </w:rPr>
        <w:t xml:space="preserve">oficio a la Dirección de Protección de Datos Personales de este Instituto para hacer de su conocimiento la presente resolución, a fin de que en ejercicio de sus atribuciones y de conformidad con el artículo 82 de la Ley de Protección de Datos Personales en Posesión de Sujetos Obligados del Estado de México y Municipios, determine lo conducente, en términos de lo señalado en el Considerando </w:t>
      </w:r>
      <w:r w:rsidDel="00000000" w:rsidR="00000000" w:rsidRPr="00000000">
        <w:rPr>
          <w:rFonts w:ascii="Palatino Linotype" w:cs="Palatino Linotype" w:eastAsia="Palatino Linotype" w:hAnsi="Palatino Linotype"/>
          <w:b w:val="1"/>
          <w:bCs w:val="1"/>
          <w:sz w:val="22"/>
          <w:szCs w:val="22"/>
          <w:rtl w:val="0"/>
        </w:rPr>
        <w:t xml:space="preserve">Cuarto</w:t>
      </w:r>
      <w:r w:rsidDel="00000000" w:rsidR="00000000" w:rsidRPr="00000000">
        <w:rPr>
          <w:rFonts w:ascii="Palatino Linotype" w:cs="Palatino Linotype" w:eastAsia="Palatino Linotype" w:hAnsi="Palatino Linotype"/>
          <w:sz w:val="22"/>
          <w:szCs w:val="22"/>
          <w:rtl w:val="0"/>
        </w:rPr>
        <w:t xml:space="preserve"> de la presente resolución.</w:t>
      </w:r>
    </w:p>
    <w:p w:rsidR="00000000" w:rsidDel="00000000" w:rsidP="00000000" w:rsidRDefault="00000000" w:rsidRPr="00000000" w14:paraId="0000015A">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CATORCE DE ENERO DE DOS MIL VEINTISÉIS, ANTE EL SECRETARIO TÉCNICO DEL PLENO ALEXIS TAPIA RAMÍREZ. </w:t>
      </w:r>
    </w:p>
    <w:p w:rsidR="00000000" w:rsidDel="00000000" w:rsidP="00000000" w:rsidRDefault="00000000" w:rsidRPr="00000000" w14:paraId="0000015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D">
      <w:pPr>
        <w:rPr>
          <w:rFonts w:ascii="Palatino Linotype" w:cs="Palatino Linotype" w:eastAsia="Palatino Linotype" w:hAnsi="Palatino Linotype"/>
          <w:sz w:val="22"/>
          <w:szCs w:val="22"/>
        </w:rPr>
      </w:pPr>
      <w:bookmarkStart w:colFirst="0" w:colLast="0" w:name="_heading=h.17dp8vu" w:id="14"/>
      <w:bookmarkEnd w:id="14"/>
      <w:r w:rsidDel="00000000" w:rsidR="00000000" w:rsidRPr="00000000">
        <w:rPr>
          <w:rtl w:val="0"/>
        </w:rPr>
      </w:r>
    </w:p>
    <w:p w:rsidR="00000000" w:rsidDel="00000000" w:rsidP="00000000" w:rsidRDefault="00000000" w:rsidRPr="00000000" w14:paraId="0000015E">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F">
      <w:pPr>
        <w:spacing w:line="360" w:lineRule="auto"/>
        <w:jc w:val="both"/>
        <w:rPr>
          <w:rFonts w:ascii="Palatino Linotype" w:cs="Palatino Linotype" w:eastAsia="Palatino Linotype" w:hAnsi="Palatino Linotype"/>
          <w:sz w:val="22"/>
          <w:szCs w:val="22"/>
        </w:rPr>
      </w:pPr>
      <w:bookmarkStart w:colFirst="0" w:colLast="0" w:name="_heading=h.3rdcrjn" w:id="15"/>
      <w:bookmarkEnd w:id="15"/>
      <w:r w:rsidDel="00000000" w:rsidR="00000000" w:rsidRPr="00000000">
        <w:rPr>
          <w:rtl w:val="0"/>
        </w:rPr>
      </w:r>
    </w:p>
    <w:p w:rsidR="00000000" w:rsidDel="00000000" w:rsidP="00000000" w:rsidRDefault="00000000" w:rsidRPr="00000000" w14:paraId="0000016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2">
      <w:pPr>
        <w:spacing w:line="360" w:lineRule="auto"/>
        <w:jc w:val="both"/>
        <w:rPr>
          <w:rFonts w:ascii="Palatino Linotype" w:cs="Palatino Linotype" w:eastAsia="Palatino Linotype" w:hAnsi="Palatino Linotype"/>
          <w:sz w:val="22"/>
          <w:szCs w:val="22"/>
        </w:rPr>
      </w:pPr>
      <w:bookmarkStart w:colFirst="0" w:colLast="0" w:name="_heading=h.1t3h5sf" w:id="16"/>
      <w:bookmarkEnd w:id="16"/>
      <w:r w:rsidDel="00000000" w:rsidR="00000000" w:rsidRPr="00000000">
        <w:rPr>
          <w:rtl w:val="0"/>
        </w:rPr>
      </w:r>
    </w:p>
    <w:p w:rsidR="00000000" w:rsidDel="00000000" w:rsidP="00000000" w:rsidRDefault="00000000" w:rsidRPr="00000000" w14:paraId="0000016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6">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E">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Página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0">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Página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77">
      <w:pPr>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Fonts w:ascii="Cambria" w:cs="Cambria" w:eastAsia="Cambria" w:hAnsi="Cambria"/>
          <w:color w:val="000000"/>
          <w:sz w:val="20"/>
          <w:szCs w:val="20"/>
          <w:rtl w:val="0"/>
        </w:rPr>
        <w:t xml:space="preserve"> (…)</w:t>
      </w:r>
    </w:p>
  </w:footnote>
  <w:footnote w:id="1">
    <w:p w:rsidR="00000000" w:rsidDel="00000000" w:rsidP="00000000" w:rsidRDefault="00000000" w:rsidRPr="00000000" w14:paraId="00000178">
      <w:pP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9"/>
          <w:szCs w:val="19"/>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2">
    <w:p w:rsidR="00000000" w:rsidDel="00000000" w:rsidP="00000000" w:rsidRDefault="00000000" w:rsidRPr="00000000" w14:paraId="00000179">
      <w:pPr>
        <w:ind w:left="720" w:hanging="720"/>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bCs w:val="1"/>
          <w:color w:val="000000"/>
          <w:sz w:val="16"/>
          <w:szCs w:val="16"/>
          <w:rtl w:val="0"/>
        </w:rPr>
        <w:t xml:space="preserve">Artículo 185.</w:t>
      </w:r>
      <w:r w:rsidDel="00000000" w:rsidR="00000000" w:rsidRPr="00000000">
        <w:rPr>
          <w:rFonts w:ascii="Palatino Linotype" w:cs="Palatino Linotype" w:eastAsia="Palatino Linotype" w:hAnsi="Palatino Linotype"/>
          <w:color w:val="000000"/>
          <w:sz w:val="16"/>
          <w:szCs w:val="16"/>
          <w:rtl w:val="0"/>
        </w:rPr>
        <w:t xml:space="preserve"> El Instituto resolverá el recurso de revisión conforme a lo siguiente: (…)</w:t>
      </w:r>
    </w:p>
    <w:p w:rsidR="00000000" w:rsidDel="00000000" w:rsidP="00000000" w:rsidRDefault="00000000" w:rsidRPr="00000000" w14:paraId="0000017A">
      <w:pP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B">
    <w:pPr>
      <w:rPr>
        <w:rFonts w:ascii="Cambria" w:cs="Cambria" w:eastAsia="Cambria" w:hAnsi="Cambria"/>
        <w:color w:val="000000"/>
      </w:rPr>
    </w:pPr>
    <w:r w:rsidDel="00000000" w:rsidR="00000000" w:rsidRPr="00000000">
      <w:rPr>
        <w:rtl w:val="0"/>
      </w:rPr>
    </w:r>
  </w:p>
  <w:tbl>
    <w:tblPr>
      <w:tblStyle w:val="Table1"/>
      <w:tblW w:w="7087.0" w:type="dxa"/>
      <w:jc w:val="left"/>
      <w:tblInd w:w="3261.0" w:type="dxa"/>
      <w:tblLayout w:type="fixed"/>
      <w:tblLook w:val="0400"/>
    </w:tblPr>
    <w:tblGrid>
      <w:gridCol w:w="2489"/>
      <w:gridCol w:w="4598"/>
      <w:tblGridChange w:id="0">
        <w:tblGrid>
          <w:gridCol w:w="2489"/>
          <w:gridCol w:w="4598"/>
        </w:tblGrid>
      </w:tblGridChange>
    </w:tblGrid>
    <w:tr>
      <w:trPr>
        <w:cantSplit w:val="0"/>
        <w:tblHeader w:val="0"/>
      </w:trPr>
      <w:tc>
        <w:tcPr>
          <w:shd w:fill="auto" w:val="clear"/>
        </w:tcPr>
        <w:p w:rsidR="00000000" w:rsidDel="00000000" w:rsidP="00000000" w:rsidRDefault="00000000" w:rsidRPr="00000000" w14:paraId="0000017C">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Recurso de Revisión:</w:t>
          </w:r>
        </w:p>
      </w:tc>
      <w:tc>
        <w:tcPr>
          <w:shd w:fill="auto" w:val="clear"/>
          <w:vAlign w:val="center"/>
        </w:tcPr>
        <w:p w:rsidR="00000000" w:rsidDel="00000000" w:rsidP="00000000" w:rsidRDefault="00000000" w:rsidRPr="00000000" w14:paraId="0000017D">
          <w:pPr>
            <w:ind w:right="175"/>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13134/INFOEM/IP/RR/2025</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-4305298</wp:posOffset>
                </wp:positionH>
                <wp:positionV relativeFrom="paragraph">
                  <wp:posOffset>-666113</wp:posOffset>
                </wp:positionV>
                <wp:extent cx="7809865" cy="10165715"/>
                <wp:effectExtent b="0" l="0" r="0" t="0"/>
                <wp:wrapNone/>
                <wp:docPr id="4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c>
    </w:tr>
    <w:tr>
      <w:trPr>
        <w:cantSplit w:val="0"/>
        <w:trHeight w:val="228" w:hRule="atLeast"/>
        <w:tblHeader w:val="0"/>
      </w:trPr>
      <w:tc>
        <w:tcPr>
          <w:shd w:fill="auto" w:val="clear"/>
          <w:vAlign w:val="center"/>
        </w:tcPr>
        <w:p w:rsidR="00000000" w:rsidDel="00000000" w:rsidP="00000000" w:rsidRDefault="00000000" w:rsidRPr="00000000" w14:paraId="0000017E">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Sujeto Obligado:</w:t>
          </w:r>
        </w:p>
      </w:tc>
      <w:tc>
        <w:tcPr>
          <w:shd w:fill="auto" w:val="clear"/>
          <w:vAlign w:val="center"/>
        </w:tcPr>
        <w:p w:rsidR="00000000" w:rsidDel="00000000" w:rsidP="00000000" w:rsidRDefault="00000000" w:rsidRPr="00000000" w14:paraId="0000017F">
          <w:pPr>
            <w:ind w:left="-45" w:right="158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Ayuntamiento de Rayón</w:t>
          </w:r>
        </w:p>
      </w:tc>
    </w:tr>
    <w:tr>
      <w:trPr>
        <w:cantSplit w:val="0"/>
        <w:tblHeader w:val="0"/>
      </w:trPr>
      <w:tc>
        <w:tcPr>
          <w:shd w:fill="auto" w:val="clear"/>
          <w:vAlign w:val="center"/>
        </w:tcPr>
        <w:p w:rsidR="00000000" w:rsidDel="00000000" w:rsidP="00000000" w:rsidRDefault="00000000" w:rsidRPr="00000000" w14:paraId="00000180">
          <w:pPr>
            <w:ind w:right="-108"/>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Comisionada Ponente:</w:t>
          </w:r>
        </w:p>
      </w:tc>
      <w:tc>
        <w:tcPr>
          <w:shd w:fill="auto" w:val="clear"/>
          <w:vAlign w:val="center"/>
        </w:tcPr>
        <w:p w:rsidR="00000000" w:rsidDel="00000000" w:rsidP="00000000" w:rsidRDefault="00000000" w:rsidRPr="00000000" w14:paraId="00000181">
          <w:pPr>
            <w:ind w:right="175"/>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Guadalupe Ramírez Peña</w:t>
          </w:r>
        </w:p>
      </w:tc>
    </w:tr>
  </w:tbl>
  <w:p w:rsidR="00000000" w:rsidDel="00000000" w:rsidP="00000000" w:rsidRDefault="00000000" w:rsidRPr="00000000" w14:paraId="00000182">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-1080134</wp:posOffset>
          </wp:positionH>
          <wp:positionV relativeFrom="paragraph">
            <wp:posOffset>-328910</wp:posOffset>
          </wp:positionV>
          <wp:extent cx="7809865" cy="10165715"/>
          <wp:effectExtent b="0" l="0" r="0" t="0"/>
          <wp:wrapNone/>
          <wp:docPr id="40"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6945.0" w:type="dxa"/>
      <w:jc w:val="left"/>
      <w:tblInd w:w="3261.0" w:type="dxa"/>
      <w:tblLayout w:type="fixed"/>
      <w:tblLook w:val="0400"/>
    </w:tblPr>
    <w:tblGrid>
      <w:gridCol w:w="2551"/>
      <w:gridCol w:w="4394"/>
      <w:tblGridChange w:id="0">
        <w:tblGrid>
          <w:gridCol w:w="2551"/>
          <w:gridCol w:w="4394"/>
        </w:tblGrid>
      </w:tblGridChange>
    </w:tblGrid>
    <w:tr>
      <w:trPr>
        <w:cantSplit w:val="0"/>
        <w:tblHeader w:val="0"/>
      </w:trPr>
      <w:tc>
        <w:tcPr>
          <w:shd w:fill="auto" w:val="clear"/>
          <w:vAlign w:val="center"/>
        </w:tcPr>
        <w:p w:rsidR="00000000" w:rsidDel="00000000" w:rsidP="00000000" w:rsidRDefault="00000000" w:rsidRPr="00000000" w14:paraId="00000184">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Recurso de Revisión:</w:t>
          </w:r>
        </w:p>
      </w:tc>
      <w:tc>
        <w:tcPr>
          <w:shd w:fill="auto" w:val="clear"/>
          <w:vAlign w:val="center"/>
        </w:tcPr>
        <w:p w:rsidR="00000000" w:rsidDel="00000000" w:rsidP="00000000" w:rsidRDefault="00000000" w:rsidRPr="00000000" w14:paraId="00000185">
          <w:pPr>
            <w:tabs>
              <w:tab w:val="left" w:leader="none" w:pos="3153"/>
            </w:tabs>
            <w:ind w:left="-45"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13134/INFOEM/IP/RR/2025</w:t>
          </w:r>
        </w:p>
      </w:tc>
    </w:tr>
    <w:tr>
      <w:trPr>
        <w:cantSplit w:val="0"/>
        <w:trHeight w:val="130" w:hRule="atLeast"/>
        <w:tblHeader w:val="0"/>
      </w:trPr>
      <w:tc>
        <w:tcPr>
          <w:shd w:fill="auto" w:val="clear"/>
          <w:vAlign w:val="center"/>
        </w:tcPr>
        <w:p w:rsidR="00000000" w:rsidDel="00000000" w:rsidP="00000000" w:rsidRDefault="00000000" w:rsidRPr="00000000" w14:paraId="00000186">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Recurrente:</w:t>
          </w:r>
        </w:p>
      </w:tc>
      <w:tc>
        <w:tcPr>
          <w:shd w:fill="auto" w:val="clear"/>
          <w:vAlign w:val="center"/>
        </w:tcPr>
        <w:p w:rsidR="00000000" w:rsidDel="00000000" w:rsidP="00000000" w:rsidRDefault="00000000" w:rsidRPr="00000000" w14:paraId="00000187">
          <w:pPr>
            <w:ind w:left="-45" w:right="1444"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XXXXXXX XXXXXX XXX </w:t>
          </w:r>
        </w:p>
      </w:tc>
    </w:tr>
    <w:tr>
      <w:trPr>
        <w:cantSplit w:val="0"/>
        <w:trHeight w:val="228" w:hRule="atLeast"/>
        <w:tblHeader w:val="0"/>
      </w:trPr>
      <w:tc>
        <w:tcPr>
          <w:shd w:fill="auto" w:val="clear"/>
          <w:vAlign w:val="center"/>
        </w:tcPr>
        <w:p w:rsidR="00000000" w:rsidDel="00000000" w:rsidP="00000000" w:rsidRDefault="00000000" w:rsidRPr="00000000" w14:paraId="00000188">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Sujeto Obligado:</w:t>
          </w:r>
        </w:p>
      </w:tc>
      <w:tc>
        <w:tcPr>
          <w:shd w:fill="auto" w:val="clear"/>
          <w:vAlign w:val="center"/>
        </w:tcPr>
        <w:p w:rsidR="00000000" w:rsidDel="00000000" w:rsidP="00000000" w:rsidRDefault="00000000" w:rsidRPr="00000000" w14:paraId="00000189">
          <w:pPr>
            <w:ind w:left="-45" w:right="158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Ayuntamiento de Rayón</w:t>
          </w:r>
        </w:p>
      </w:tc>
    </w:tr>
    <w:tr>
      <w:trPr>
        <w:cantSplit w:val="0"/>
        <w:tblHeader w:val="0"/>
      </w:trPr>
      <w:tc>
        <w:tcPr>
          <w:shd w:fill="auto" w:val="clear"/>
          <w:vAlign w:val="center"/>
        </w:tcPr>
        <w:p w:rsidR="00000000" w:rsidDel="00000000" w:rsidP="00000000" w:rsidRDefault="00000000" w:rsidRPr="00000000" w14:paraId="0000018A">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Comisionada Ponente:</w:t>
          </w:r>
        </w:p>
      </w:tc>
      <w:tc>
        <w:tcPr>
          <w:shd w:fill="auto" w:val="clear"/>
          <w:vAlign w:val="center"/>
        </w:tcPr>
        <w:p w:rsidR="00000000" w:rsidDel="00000000" w:rsidP="00000000" w:rsidRDefault="00000000" w:rsidRPr="00000000" w14:paraId="0000018B">
          <w:pPr>
            <w:ind w:left="-45" w:right="-533"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Guadalupe Ramírez Peña</w:t>
          </w:r>
        </w:p>
      </w:tc>
    </w:tr>
  </w:tbl>
  <w:p w:rsidR="00000000" w:rsidDel="00000000" w:rsidP="00000000" w:rsidRDefault="00000000" w:rsidRPr="00000000" w14:paraId="0000018C">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8"/>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2"/>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bCs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bCs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bCs w:val="1"/>
      <w:i w:val="1"/>
      <w:iCs w:val="1"/>
      <w:sz w:val="26"/>
      <w:szCs w:val="26"/>
    </w:rPr>
  </w:style>
  <w:style w:type="paragraph" w:styleId="Heading6">
    <w:name w:val="heading 6"/>
    <w:basedOn w:val="Normal"/>
    <w:next w:val="Normal"/>
    <w:pPr>
      <w:spacing w:after="60" w:before="240" w:lineRule="auto"/>
      <w:ind w:left="4320" w:hanging="720"/>
    </w:pPr>
    <w:rPr>
      <w:b w:val="1"/>
      <w:bCs w:val="1"/>
      <w:sz w:val="22"/>
      <w:szCs w:val="22"/>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 Normal"/>
    <w:tblPr>
      <w:tblCellMar>
        <w:top w:w="0.0" w:type="dxa"/>
        <w:left w:w="0.0" w:type="dxa"/>
        <w:bottom w:w="0.0" w:type="dxa"/>
        <w:right w:w="0.0" w:type="dxa"/>
      </w:tblCellMar>
    </w:tblPr>
  </w:style>
  <w:style w:type="table" w:styleId="TableNormal11" w:customStyle="1">
    <w:name w:val="Table Normal11"/>
    <w:tblPr>
      <w:tblCellMar>
        <w:top w:w="0.0" w:type="dxa"/>
        <w:left w:w="0.0" w:type="dxa"/>
        <w:bottom w:w="0.0" w:type="dxa"/>
        <w:right w:w="0.0" w:type="dxa"/>
      </w:tblCellMar>
    </w:tblPr>
  </w:style>
  <w:style w:type="table" w:styleId="TableNormal10" w:customStyle="1">
    <w:name w:val="Table Normal10"/>
    <w:tblPr>
      <w:tblCellMar>
        <w:top w:w="0.0" w:type="dxa"/>
        <w:left w:w="0.0" w:type="dxa"/>
        <w:bottom w:w="0.0" w:type="dxa"/>
        <w:right w:w="0.0" w:type="dxa"/>
      </w:tblCellMar>
    </w:tblPr>
  </w:style>
  <w:style w:type="table" w:styleId="TableNormal9" w:customStyle="1">
    <w:name w:val="Table Normal9"/>
    <w:tblPr>
      <w:tblCellMar>
        <w:top w:w="0.0" w:type="dxa"/>
        <w:left w:w="0.0" w:type="dxa"/>
        <w:bottom w:w="0.0" w:type="dxa"/>
        <w:right w:w="0.0" w:type="dxa"/>
      </w:tblCellMar>
    </w:tblPr>
  </w:style>
  <w:style w:type="table" w:styleId="TableNormal8" w:customStyle="1">
    <w:name w:val="Table Normal8"/>
    <w:tblPr>
      <w:tblCellMar>
        <w:top w:w="0.0" w:type="dxa"/>
        <w:left w:w="0.0" w:type="dxa"/>
        <w:bottom w:w="0.0" w:type="dxa"/>
        <w:right w:w="0.0" w:type="dxa"/>
      </w:tblCellMar>
    </w:tblPr>
  </w:style>
  <w:style w:type="table" w:styleId="TableNormal7" w:customStyle="1">
    <w:name w:val="Table Normal7"/>
    <w:tblPr>
      <w:tblCellMar>
        <w:top w:w="0.0" w:type="dxa"/>
        <w:left w:w="0.0" w:type="dxa"/>
        <w:bottom w:w="0.0" w:type="dxa"/>
        <w:right w:w="0.0" w:type="dxa"/>
      </w:tblCellMar>
    </w:tblPr>
  </w:style>
  <w:style w:type="table" w:styleId="TableNormal6" w:customStyle="1">
    <w:name w:val="Table Normal6"/>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table" w:styleId="16" w:customStyle="1">
    <w:name w:val="16"/>
    <w:basedOn w:val="TableNormal1"/>
    <w:tblPr>
      <w:tblStyleRowBandSize w:val="1"/>
      <w:tblStyleColBandSize w:val="1"/>
      <w:tblCellMar>
        <w:left w:w="115.0" w:type="dxa"/>
        <w:right w:w="115.0" w:type="dxa"/>
      </w:tblCellMar>
    </w:tblPr>
  </w:style>
  <w:style w:type="table" w:styleId="15" w:customStyle="1">
    <w:name w:val="15"/>
    <w:basedOn w:val="TableNormal1"/>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FE2A5A"/>
    <w:pPr>
      <w:tabs>
        <w:tab w:val="center" w:pos="4419"/>
        <w:tab w:val="right" w:pos="8838"/>
      </w:tabs>
    </w:pPr>
    <w:rPr>
      <w:lang w:val="es-ES"/>
    </w:rPr>
  </w:style>
  <w:style w:type="character" w:styleId="EncabezadoCar" w:customStyle="1">
    <w:name w:val="Encabezado Car"/>
    <w:basedOn w:val="Fuentedeprrafopredeter"/>
    <w:link w:val="Encabezado"/>
    <w:uiPriority w:val="99"/>
    <w:rsid w:val="00FE2A5A"/>
  </w:style>
  <w:style w:type="paragraph" w:styleId="Piedepgina">
    <w:name w:val="footer"/>
    <w:basedOn w:val="Normal"/>
    <w:link w:val="PiedepginaCar"/>
    <w:uiPriority w:val="99"/>
    <w:unhideWhenUsed w:val="1"/>
    <w:rsid w:val="00FE2A5A"/>
    <w:pPr>
      <w:tabs>
        <w:tab w:val="center" w:pos="4419"/>
        <w:tab w:val="right" w:pos="8838"/>
      </w:tabs>
    </w:pPr>
    <w:rPr>
      <w:lang w:val="es-ES"/>
    </w:rPr>
  </w:style>
  <w:style w:type="character" w:styleId="PiedepginaCar" w:customStyle="1">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FE2A5A"/>
    <w:pPr>
      <w:ind w:left="720"/>
      <w:contextualSpacing w:val="1"/>
    </w:pPr>
    <w:rPr>
      <w:lang w:val="es-ES"/>
    </w:rPr>
  </w:style>
  <w:style w:type="table" w:styleId="Tablaconcuadrcula">
    <w:name w:val="Table Grid"/>
    <w:basedOn w:val="Tablanormal"/>
    <w:uiPriority w:val="39"/>
    <w:rsid w:val="0051350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9012F5"/>
    <w:pPr>
      <w:spacing w:after="100" w:afterAutospacing="1" w:before="100" w:beforeAutospacing="1"/>
    </w:pPr>
    <w:rPr>
      <w:lang w:val="es-ES"/>
    </w:rPr>
  </w:style>
  <w:style w:type="table" w:styleId="14" w:customStyle="1">
    <w:name w:val="14"/>
    <w:basedOn w:val="TableNormal1"/>
    <w:tblPr>
      <w:tblStyleRowBandSize w:val="1"/>
      <w:tblStyleColBandSize w:val="1"/>
      <w:tblCellMar>
        <w:left w:w="115.0" w:type="dxa"/>
        <w:right w:w="115.0" w:type="dxa"/>
      </w:tblCellMar>
    </w:tblPr>
  </w:style>
  <w:style w:type="table" w:styleId="13" w:customStyle="1">
    <w:name w:val="13"/>
    <w:basedOn w:val="TableNormal1"/>
    <w:tblPr>
      <w:tblStyleRowBandSize w:val="1"/>
      <w:tblStyleColBandSize w:val="1"/>
      <w:tblCellMar>
        <w:left w:w="115.0" w:type="dxa"/>
        <w:right w:w="115.0" w:type="dxa"/>
      </w:tblCellMar>
    </w:tblPr>
  </w:style>
  <w:style w:type="character" w:styleId="apple-tab-span" w:customStyle="1">
    <w:name w:val="apple-tab-span"/>
    <w:basedOn w:val="Fuentedeprrafopredeter"/>
    <w:rsid w:val="00355FC9"/>
  </w:style>
  <w:style w:type="table" w:styleId="12" w:customStyle="1">
    <w:name w:val="12"/>
    <w:basedOn w:val="TableNormal2"/>
    <w:tblPr>
      <w:tblStyleRowBandSize w:val="1"/>
      <w:tblStyleColBandSize w:val="1"/>
      <w:tblCellMar>
        <w:left w:w="115.0" w:type="dxa"/>
        <w:right w:w="115.0" w:type="dxa"/>
      </w:tblCellMar>
    </w:tblPr>
  </w:style>
  <w:style w:type="table" w:styleId="11" w:customStyle="1">
    <w:name w:val="11"/>
    <w:basedOn w:val="TableNormal2"/>
    <w:tblPr>
      <w:tblStyleRowBandSize w:val="1"/>
      <w:tblStyleColBandSize w:val="1"/>
      <w:tblCellMar>
        <w:left w:w="115.0" w:type="dxa"/>
        <w:right w:w="115.0" w:type="dxa"/>
      </w:tblCellMar>
    </w:tblPr>
  </w:style>
  <w:style w:type="character" w:styleId="Hipervnculo">
    <w:name w:val="Hyperlink"/>
    <w:basedOn w:val="Fuentedeprrafopredeter"/>
    <w:uiPriority w:val="99"/>
    <w:unhideWhenUsed w:val="1"/>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F759CF"/>
    <w:rPr>
      <w:sz w:val="20"/>
      <w:szCs w:val="20"/>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val="1"/>
    <w:qFormat w:val="1"/>
    <w:rsid w:val="00F759CF"/>
    <w:rPr>
      <w:vertAlign w:val="superscript"/>
    </w:rPr>
  </w:style>
  <w:style w:type="table" w:styleId="10" w:customStyle="1">
    <w:name w:val="10"/>
    <w:basedOn w:val="TableNormal3"/>
    <w:tblPr>
      <w:tblStyleRowBandSize w:val="1"/>
      <w:tblStyleColBandSize w:val="1"/>
      <w:tblCellMar>
        <w:left w:w="115.0" w:type="dxa"/>
        <w:right w:w="115.0" w:type="dxa"/>
      </w:tblCellMar>
    </w:tblPr>
  </w:style>
  <w:style w:type="table" w:styleId="9" w:customStyle="1">
    <w:name w:val="9"/>
    <w:basedOn w:val="TableNormal3"/>
    <w:tblPr>
      <w:tblStyleRowBandSize w:val="1"/>
      <w:tblStyleColBandSize w:val="1"/>
      <w:tblCellMar>
        <w:left w:w="115.0" w:type="dxa"/>
        <w:right w:w="115.0" w:type="dxa"/>
      </w:tblCellMar>
    </w:tbl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283BF5"/>
    <w:rPr>
      <w:lang w:val="es-ES"/>
    </w:rPr>
  </w:style>
  <w:style w:type="table" w:styleId="8" w:customStyle="1">
    <w:name w:val="8"/>
    <w:basedOn w:val="TableNormal4"/>
    <w:tblPr>
      <w:tblStyleRowBandSize w:val="1"/>
      <w:tblStyleColBandSize w:val="1"/>
      <w:tblCellMar>
        <w:left w:w="115.0" w:type="dxa"/>
        <w:right w:w="115.0" w:type="dxa"/>
      </w:tblCellMar>
    </w:tblPr>
  </w:style>
  <w:style w:type="table" w:styleId="7" w:customStyle="1">
    <w:name w:val="7"/>
    <w:basedOn w:val="TableNormal4"/>
    <w:tblPr>
      <w:tblStyleRowBandSize w:val="1"/>
      <w:tblStyleColBandSize w:val="1"/>
      <w:tblCellMar>
        <w:left w:w="115.0" w:type="dxa"/>
        <w:right w:w="115.0" w:type="dxa"/>
      </w:tblCellMar>
    </w:tblPr>
  </w:style>
  <w:style w:type="table" w:styleId="6" w:customStyle="1">
    <w:name w:val="6"/>
    <w:basedOn w:val="TableNormal5"/>
    <w:tblPr>
      <w:tblStyleRowBandSize w:val="1"/>
      <w:tblStyleColBandSize w:val="1"/>
      <w:tblCellMar>
        <w:left w:w="115.0" w:type="dxa"/>
        <w:right w:w="115.0" w:type="dxa"/>
      </w:tblCellMar>
    </w:tblPr>
  </w:style>
  <w:style w:type="table" w:styleId="5" w:customStyle="1">
    <w:name w:val="5"/>
    <w:basedOn w:val="TableNormal5"/>
    <w:tblPr>
      <w:tblStyleRowBandSize w:val="1"/>
      <w:tblStyleColBandSize w:val="1"/>
      <w:tblCellMar>
        <w:left w:w="115.0" w:type="dxa"/>
        <w:right w:w="115.0" w:type="dxa"/>
      </w:tblCellMar>
    </w:tblPr>
  </w:style>
  <w:style w:type="paragraph" w:styleId="Listaconvietas3">
    <w:name w:val="List Bullet 3"/>
    <w:basedOn w:val="Normal"/>
    <w:uiPriority w:val="99"/>
    <w:unhideWhenUsed w:val="1"/>
    <w:rsid w:val="0077142E"/>
    <w:pPr>
      <w:numPr>
        <w:numId w:val="1"/>
      </w:numPr>
      <w:contextualSpacing w:val="1"/>
    </w:pPr>
  </w:style>
  <w:style w:type="table" w:styleId="4" w:customStyle="1">
    <w:name w:val="4"/>
    <w:basedOn w:val="TableNormal6"/>
    <w:tblPr>
      <w:tblStyleRowBandSize w:val="1"/>
      <w:tblStyleColBandSize w:val="1"/>
      <w:tblCellMar>
        <w:left w:w="115.0" w:type="dxa"/>
        <w:right w:w="115.0" w:type="dxa"/>
      </w:tblCellMar>
    </w:tblPr>
  </w:style>
  <w:style w:type="table" w:styleId="3" w:customStyle="1">
    <w:name w:val="3"/>
    <w:basedOn w:val="TableNormal6"/>
    <w:tblPr>
      <w:tblStyleRowBandSize w:val="1"/>
      <w:tblStyleColBandSize w:val="1"/>
      <w:tblCellMar>
        <w:left w:w="115.0" w:type="dxa"/>
        <w:right w:w="115.0" w:type="dxa"/>
      </w:tblCellMar>
    </w:tblPr>
  </w:style>
  <w:style w:type="table" w:styleId="2" w:customStyle="1">
    <w:name w:val="2"/>
    <w:basedOn w:val="TableNormal7"/>
    <w:tblPr>
      <w:tblStyleRowBandSize w:val="1"/>
      <w:tblStyleColBandSize w:val="1"/>
      <w:tblCellMar>
        <w:left w:w="115.0" w:type="dxa"/>
        <w:right w:w="115.0" w:type="dxa"/>
      </w:tblCellMar>
    </w:tblPr>
  </w:style>
  <w:style w:type="table" w:styleId="1" w:customStyle="1">
    <w:name w:val="1"/>
    <w:basedOn w:val="TableNormal7"/>
    <w:tblPr>
      <w:tblStyleRowBandSize w:val="1"/>
      <w:tblStyleColBandSize w:val="1"/>
      <w:tblCellMar>
        <w:left w:w="115.0" w:type="dxa"/>
        <w:right w:w="115.0" w:type="dxa"/>
      </w:tblCellMar>
    </w:tblPr>
  </w:style>
  <w:style w:type="paragraph" w:styleId="Listaconvietas2">
    <w:name w:val="List Bullet 2"/>
    <w:basedOn w:val="Normal"/>
    <w:uiPriority w:val="99"/>
    <w:unhideWhenUsed w:val="1"/>
    <w:rsid w:val="00B910CA"/>
    <w:pPr>
      <w:tabs>
        <w:tab w:val="num" w:pos="720"/>
      </w:tabs>
      <w:ind w:left="720" w:hanging="720"/>
      <w:contextualSpacing w:val="1"/>
    </w:pPr>
  </w:style>
  <w:style w:type="paragraph" w:styleId="Textodeglobo">
    <w:name w:val="Balloon Text"/>
    <w:basedOn w:val="Normal"/>
    <w:link w:val="TextodegloboCar"/>
    <w:uiPriority w:val="99"/>
    <w:semiHidden w:val="1"/>
    <w:unhideWhenUsed w:val="1"/>
    <w:rsid w:val="003B3B2A"/>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3B3B2A"/>
    <w:rPr>
      <w:rFonts w:ascii="Segoe UI" w:cs="Segoe UI" w:hAnsi="Segoe UI"/>
      <w:sz w:val="18"/>
      <w:szCs w:val="18"/>
    </w:rPr>
  </w:style>
  <w:style w:type="character" w:styleId="Hipervnculovisitado">
    <w:name w:val="FollowedHyperlink"/>
    <w:basedOn w:val="Fuentedeprrafopredeter"/>
    <w:uiPriority w:val="99"/>
    <w:semiHidden w:val="1"/>
    <w:unhideWhenUsed w:val="1"/>
    <w:rsid w:val="00E9311B"/>
    <w:rPr>
      <w:color w:val="800080" w:themeColor="followedHyperlink"/>
      <w:u w:val="single"/>
    </w:rPr>
  </w:style>
  <w:style w:type="table" w:styleId="26" w:customStyle="1">
    <w:name w:val="26"/>
    <w:basedOn w:val="TableNormal8"/>
    <w:tblPr>
      <w:tblStyleRowBandSize w:val="1"/>
      <w:tblStyleColBandSize w:val="1"/>
      <w:tblCellMar>
        <w:left w:w="115.0" w:type="dxa"/>
        <w:right w:w="115.0" w:type="dxa"/>
      </w:tblCellMar>
    </w:tblPr>
  </w:style>
  <w:style w:type="table" w:styleId="25" w:customStyle="1">
    <w:name w:val="25"/>
    <w:basedOn w:val="TableNormal8"/>
    <w:tblPr>
      <w:tblStyleRowBandSize w:val="1"/>
      <w:tblStyleColBandSize w:val="1"/>
      <w:tblCellMar>
        <w:left w:w="115.0" w:type="dxa"/>
        <w:right w:w="115.0" w:type="dxa"/>
      </w:tblCellMar>
    </w:tblPr>
  </w:style>
  <w:style w:type="table" w:styleId="24" w:customStyle="1">
    <w:name w:val="24"/>
    <w:basedOn w:val="TableNormal9"/>
    <w:tblPr>
      <w:tblStyleRowBandSize w:val="1"/>
      <w:tblStyleColBandSize w:val="1"/>
      <w:tblCellMar>
        <w:left w:w="115.0" w:type="dxa"/>
        <w:right w:w="115.0" w:type="dxa"/>
      </w:tblCellMar>
    </w:tblPr>
  </w:style>
  <w:style w:type="table" w:styleId="23" w:customStyle="1">
    <w:name w:val="23"/>
    <w:basedOn w:val="TableNormal9"/>
    <w:tblPr>
      <w:tblStyleRowBandSize w:val="1"/>
      <w:tblStyleColBandSize w:val="1"/>
      <w:tblCellMar>
        <w:left w:w="115.0" w:type="dxa"/>
        <w:right w:w="115.0" w:type="dxa"/>
      </w:tblCellMar>
    </w:tblPr>
  </w:style>
  <w:style w:type="table" w:styleId="22" w:customStyle="1">
    <w:name w:val="22"/>
    <w:basedOn w:val="TableNormal10"/>
    <w:tblPr>
      <w:tblStyleRowBandSize w:val="1"/>
      <w:tblStyleColBandSize w:val="1"/>
      <w:tblCellMar>
        <w:left w:w="115.0" w:type="dxa"/>
        <w:right w:w="115.0" w:type="dxa"/>
      </w:tblCellMar>
    </w:tblPr>
  </w:style>
  <w:style w:type="table" w:styleId="21" w:customStyle="1">
    <w:name w:val="21"/>
    <w:basedOn w:val="TableNormal10"/>
    <w:tblPr>
      <w:tblStyleRowBandSize w:val="1"/>
      <w:tblStyleColBandSize w:val="1"/>
      <w:tblCellMar>
        <w:left w:w="115.0" w:type="dxa"/>
        <w:right w:w="115.0" w:type="dxa"/>
      </w:tblCellMar>
    </w:tblPr>
  </w:style>
  <w:style w:type="table" w:styleId="20" w:customStyle="1">
    <w:name w:val="20"/>
    <w:basedOn w:val="TableNormal11"/>
    <w:tblPr>
      <w:tblStyleRowBandSize w:val="1"/>
      <w:tblStyleColBandSize w:val="1"/>
      <w:tblCellMar>
        <w:left w:w="115.0" w:type="dxa"/>
        <w:right w:w="115.0" w:type="dxa"/>
      </w:tblCellMar>
    </w:tblPr>
  </w:style>
  <w:style w:type="table" w:styleId="19" w:customStyle="1">
    <w:name w:val="19"/>
    <w:basedOn w:val="TableNormal11"/>
    <w:tblPr>
      <w:tblStyleRowBandSize w:val="1"/>
      <w:tblStyleColBandSize w:val="1"/>
      <w:tblCellMar>
        <w:left w:w="115.0" w:type="dxa"/>
        <w:right w:w="115.0" w:type="dxa"/>
      </w:tblCellMar>
    </w:tblPr>
  </w:style>
  <w:style w:type="table" w:styleId="18" w:customStyle="1">
    <w:name w:val="18"/>
    <w:basedOn w:val="TableNormal0"/>
    <w:tblPr>
      <w:tblStyleRowBandSize w:val="1"/>
      <w:tblStyleColBandSize w:val="1"/>
      <w:tblCellMar>
        <w:left w:w="115.0" w:type="dxa"/>
        <w:right w:w="115.0" w:type="dxa"/>
      </w:tblCellMar>
    </w:tblPr>
  </w:style>
  <w:style w:type="table" w:styleId="17" w:customStyle="1">
    <w:name w:val="17"/>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QpwCJtSyVKN7J6Gvxw9t515Ffw==">CgMxLjAyCWguMWZvYjl0ZTIJaC40ZDM0b2c4MghoLmdqZGd4czIJaC4zZHk2dmttMgloLjMwajB6bGwyCWguMnM4ZXlvMTIIaC50eWpjd3QyCWguM3pueXNoNzIJaC4xeTgxMHR3Mg5oLmlqdjk4cG50Y2Q1czIJaC4yNmluMXJnMg1oLmg3bnpiNzl3bHJhMgloLjJldDkycDAyDmguNTlucHh5eHBvbWpkMgloLjE3ZHA4dnUyCWguM3JkY3JqbjIJaC4xdDNoNXNmOAByITFuYlp0UGhOYWNSU1dETTlfX3VfckNqRXFIVjhqMFQ3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2026-03-19T17:17:00Z</dcterms:created>
  <dc:creator>USUARIO</dc:creator>
</cp:coreProperties>
</file>