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674" w:rsidRPr="00F6275A" w:rsidRDefault="00C60DA7">
      <w:pPr>
        <w:spacing w:before="240" w:after="240" w:line="360" w:lineRule="auto"/>
        <w:jc w:val="both"/>
        <w:rPr>
          <w:rFonts w:ascii="Palatino Linotype" w:eastAsia="Palatino Linotype" w:hAnsi="Palatino Linotype" w:cs="Palatino Linotype"/>
          <w:b/>
          <w:sz w:val="24"/>
          <w:szCs w:val="24"/>
        </w:rPr>
      </w:pPr>
      <w:bookmarkStart w:id="0" w:name="_GoBack"/>
      <w:bookmarkEnd w:id="0"/>
      <w:r w:rsidRPr="00F6275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w:t>
      </w:r>
      <w:r w:rsidR="00F6275A">
        <w:rPr>
          <w:rFonts w:ascii="Palatino Linotype" w:eastAsia="Palatino Linotype" w:hAnsi="Palatino Linotype" w:cs="Palatino Linotype"/>
          <w:sz w:val="24"/>
          <w:szCs w:val="24"/>
        </w:rPr>
        <w:t xml:space="preserve">n Metepec, Estado de México; </w:t>
      </w:r>
      <w:r w:rsidR="00F6275A" w:rsidRPr="00F6275A">
        <w:rPr>
          <w:rFonts w:ascii="Palatino Linotype" w:eastAsia="Palatino Linotype" w:hAnsi="Palatino Linotype" w:cs="Palatino Linotype"/>
          <w:b/>
          <w:sz w:val="24"/>
          <w:szCs w:val="24"/>
        </w:rPr>
        <w:t xml:space="preserve">de fecha </w:t>
      </w:r>
      <w:r w:rsidRPr="00F6275A">
        <w:rPr>
          <w:rFonts w:ascii="Palatino Linotype" w:eastAsia="Palatino Linotype" w:hAnsi="Palatino Linotype" w:cs="Palatino Linotype"/>
          <w:b/>
          <w:sz w:val="24"/>
          <w:szCs w:val="24"/>
        </w:rPr>
        <w:t xml:space="preserve">once </w:t>
      </w:r>
      <w:r w:rsidR="00F6275A" w:rsidRPr="00F6275A">
        <w:rPr>
          <w:rFonts w:ascii="Palatino Linotype" w:eastAsia="Palatino Linotype" w:hAnsi="Palatino Linotype" w:cs="Palatino Linotype"/>
          <w:b/>
          <w:sz w:val="24"/>
          <w:szCs w:val="24"/>
        </w:rPr>
        <w:t xml:space="preserve">(11) </w:t>
      </w:r>
      <w:r w:rsidRPr="00F6275A">
        <w:rPr>
          <w:rFonts w:ascii="Palatino Linotype" w:eastAsia="Palatino Linotype" w:hAnsi="Palatino Linotype" w:cs="Palatino Linotype"/>
          <w:b/>
          <w:sz w:val="24"/>
          <w:szCs w:val="24"/>
        </w:rPr>
        <w:t xml:space="preserve">de marzo de dos mil veintiséis.  </w:t>
      </w:r>
    </w:p>
    <w:p w:rsidR="00115674" w:rsidRDefault="00C60DA7">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b/>
          <w:bCs/>
          <w:color w:val="000000"/>
          <w:sz w:val="24"/>
          <w:szCs w:val="24"/>
        </w:rPr>
        <w:t>VISTO el</w:t>
      </w:r>
      <w:r w:rsidRPr="00F6275A">
        <w:rPr>
          <w:rFonts w:ascii="Palatino Linotype" w:eastAsia="Palatino Linotype" w:hAnsi="Palatino Linotype" w:cs="Palatino Linotype"/>
          <w:color w:val="000000"/>
          <w:sz w:val="24"/>
          <w:szCs w:val="24"/>
        </w:rPr>
        <w:t xml:space="preserve"> expediente electrónico formado con motivo del recurso de revisión </w:t>
      </w:r>
      <w:r w:rsidRPr="00F6275A">
        <w:rPr>
          <w:rFonts w:ascii="Palatino Linotype" w:eastAsia="Palatino Linotype" w:hAnsi="Palatino Linotype" w:cs="Palatino Linotype"/>
          <w:b/>
          <w:bCs/>
          <w:color w:val="000000"/>
          <w:sz w:val="24"/>
          <w:szCs w:val="24"/>
        </w:rPr>
        <w:t xml:space="preserve">13978/INFOEM/IP/RR/2025, </w:t>
      </w:r>
      <w:r w:rsidRPr="00F6275A">
        <w:rPr>
          <w:rFonts w:ascii="Palatino Linotype" w:eastAsia="Palatino Linotype" w:hAnsi="Palatino Linotype" w:cs="Palatino Linotype"/>
          <w:color w:val="000000"/>
          <w:sz w:val="24"/>
          <w:szCs w:val="24"/>
        </w:rPr>
        <w:t>promovido</w:t>
      </w:r>
      <w:r w:rsidR="002F3280" w:rsidRPr="00F6275A">
        <w:rPr>
          <w:rFonts w:ascii="Palatino Linotype" w:eastAsia="Palatino Linotype" w:hAnsi="Palatino Linotype" w:cs="Palatino Linotype"/>
          <w:color w:val="000000"/>
          <w:sz w:val="24"/>
          <w:szCs w:val="24"/>
        </w:rPr>
        <w:t xml:space="preserve"> por</w:t>
      </w:r>
      <w:r w:rsidRPr="00F6275A">
        <w:rPr>
          <w:rFonts w:ascii="Palatino Linotype" w:eastAsia="Palatino Linotype" w:hAnsi="Palatino Linotype" w:cs="Palatino Linotype"/>
          <w:color w:val="000000"/>
          <w:sz w:val="24"/>
          <w:szCs w:val="24"/>
        </w:rPr>
        <w:t xml:space="preserve"> </w:t>
      </w:r>
      <w:r w:rsidR="00FE46A6">
        <w:rPr>
          <w:rFonts w:ascii="Palatino Linotype" w:eastAsia="Palatino Linotype" w:hAnsi="Palatino Linotype" w:cs="Palatino Linotype"/>
          <w:b/>
          <w:bCs/>
          <w:sz w:val="24"/>
          <w:szCs w:val="24"/>
        </w:rPr>
        <w:t>XXXX</w:t>
      </w:r>
      <w:r w:rsidRPr="00F6275A">
        <w:rPr>
          <w:rFonts w:ascii="Palatino Linotype" w:eastAsia="Palatino Linotype" w:hAnsi="Palatino Linotype" w:cs="Palatino Linotype"/>
          <w:color w:val="000000"/>
          <w:sz w:val="24"/>
          <w:szCs w:val="24"/>
        </w:rPr>
        <w:t xml:space="preserve">, en su calidad de </w:t>
      </w:r>
      <w:r w:rsidRPr="00F6275A">
        <w:rPr>
          <w:rFonts w:ascii="Palatino Linotype" w:eastAsia="Palatino Linotype" w:hAnsi="Palatino Linotype" w:cs="Palatino Linotype"/>
          <w:b/>
          <w:bCs/>
          <w:color w:val="000000"/>
          <w:sz w:val="24"/>
          <w:szCs w:val="24"/>
        </w:rPr>
        <w:t>RECURRENTE</w:t>
      </w:r>
      <w:r w:rsidRPr="00F6275A">
        <w:rPr>
          <w:rFonts w:ascii="Palatino Linotype" w:eastAsia="Palatino Linotype" w:hAnsi="Palatino Linotype" w:cs="Palatino Linotype"/>
          <w:color w:val="000000"/>
          <w:sz w:val="24"/>
          <w:szCs w:val="24"/>
        </w:rPr>
        <w:t xml:space="preserve">, en contra de la falta de respuesta del </w:t>
      </w:r>
      <w:r w:rsidRPr="00F6275A">
        <w:rPr>
          <w:rFonts w:ascii="Palatino Linotype" w:eastAsia="Palatino Linotype" w:hAnsi="Palatino Linotype" w:cs="Palatino Linotype"/>
          <w:b/>
          <w:bCs/>
          <w:color w:val="000000"/>
          <w:sz w:val="24"/>
          <w:szCs w:val="24"/>
        </w:rPr>
        <w:t>Ayuntamiento de Ixtapaluca</w:t>
      </w:r>
      <w:r w:rsidRPr="00F6275A">
        <w:rPr>
          <w:rFonts w:ascii="Palatino Linotype" w:eastAsia="Palatino Linotype" w:hAnsi="Palatino Linotype" w:cs="Palatino Linotype"/>
          <w:color w:val="000000"/>
          <w:sz w:val="24"/>
          <w:szCs w:val="24"/>
        </w:rPr>
        <w:t>,</w:t>
      </w:r>
      <w:r w:rsidRP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color w:val="000000"/>
          <w:sz w:val="24"/>
          <w:szCs w:val="24"/>
        </w:rPr>
        <w:t xml:space="preserve">en </w:t>
      </w:r>
      <w:r w:rsidR="00F6275A">
        <w:rPr>
          <w:rFonts w:ascii="Palatino Linotype" w:eastAsia="Palatino Linotype" w:hAnsi="Palatino Linotype" w:cs="Palatino Linotype"/>
          <w:color w:val="000000"/>
          <w:sz w:val="24"/>
          <w:szCs w:val="24"/>
        </w:rPr>
        <w:t>adelante</w:t>
      </w:r>
      <w:r w:rsidRPr="00F6275A">
        <w:rPr>
          <w:rFonts w:ascii="Palatino Linotype" w:eastAsia="Palatino Linotype" w:hAnsi="Palatino Linotype" w:cs="Palatino Linotype"/>
          <w:color w:val="000000"/>
          <w:sz w:val="24"/>
          <w:szCs w:val="24"/>
        </w:rPr>
        <w:t xml:space="preserve"> el</w:t>
      </w:r>
      <w:r w:rsidRPr="00F6275A">
        <w:rPr>
          <w:rFonts w:ascii="Palatino Linotype" w:eastAsia="Palatino Linotype" w:hAnsi="Palatino Linotype" w:cs="Palatino Linotype"/>
          <w:b/>
          <w:bCs/>
          <w:color w:val="000000"/>
          <w:sz w:val="24"/>
          <w:szCs w:val="24"/>
        </w:rPr>
        <w:t xml:space="preserve"> SUJETO OBLIGADO, </w:t>
      </w:r>
      <w:r w:rsidRPr="00F6275A">
        <w:rPr>
          <w:rFonts w:ascii="Palatino Linotype" w:eastAsia="Palatino Linotype" w:hAnsi="Palatino Linotype" w:cs="Palatino Linotype"/>
          <w:color w:val="000000"/>
          <w:sz w:val="24"/>
          <w:szCs w:val="24"/>
        </w:rPr>
        <w:t>se procede a dictar la presente resolución, con base en los siguientes:</w:t>
      </w:r>
    </w:p>
    <w:p w:rsidR="00FE46A6" w:rsidRPr="00F6275A" w:rsidRDefault="00FE46A6">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color w:val="000000"/>
          <w:sz w:val="24"/>
          <w:szCs w:val="24"/>
        </w:rPr>
      </w:pPr>
    </w:p>
    <w:p w:rsidR="00115674" w:rsidRPr="00F6275A" w:rsidRDefault="00C60DA7">
      <w:pPr>
        <w:pStyle w:val="Ttulo1"/>
        <w:jc w:val="center"/>
        <w:rPr>
          <w:rFonts w:ascii="Palatino Linotype" w:eastAsia="Palatino Linotype" w:hAnsi="Palatino Linotype" w:cs="Palatino Linotype"/>
          <w:b/>
          <w:bCs/>
          <w:color w:val="000000"/>
          <w:sz w:val="24"/>
          <w:szCs w:val="24"/>
        </w:rPr>
      </w:pPr>
      <w:bookmarkStart w:id="1" w:name="_heading=h.gjdgxs" w:colFirst="0" w:colLast="0"/>
      <w:bookmarkEnd w:id="1"/>
      <w:r w:rsidRPr="00F6275A">
        <w:rPr>
          <w:rFonts w:ascii="Palatino Linotype" w:eastAsia="Palatino Linotype" w:hAnsi="Palatino Linotype" w:cs="Palatino Linotype"/>
          <w:b/>
          <w:bCs/>
          <w:color w:val="000000"/>
          <w:sz w:val="24"/>
          <w:szCs w:val="24"/>
        </w:rPr>
        <w:t>A</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N</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T</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E</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C</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E</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D</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E</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N</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T</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E</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S</w:t>
      </w:r>
    </w:p>
    <w:p w:rsidR="00115674" w:rsidRPr="00F6275A" w:rsidRDefault="00115674">
      <w:pPr>
        <w:rPr>
          <w:rFonts w:ascii="Palatino Linotype" w:eastAsia="Palatino Linotype" w:hAnsi="Palatino Linotype" w:cs="Palatino Linotype"/>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El </w:t>
      </w:r>
      <w:r w:rsidRPr="00F6275A">
        <w:rPr>
          <w:rFonts w:ascii="Palatino Linotype" w:eastAsia="Palatino Linotype" w:hAnsi="Palatino Linotype" w:cs="Palatino Linotype"/>
          <w:b/>
          <w:bCs/>
          <w:color w:val="000000"/>
          <w:sz w:val="24"/>
          <w:szCs w:val="24"/>
        </w:rPr>
        <w:t>doce de noviembre de dos mil veinticinco,</w:t>
      </w:r>
      <w:r w:rsidRPr="00F6275A">
        <w:rPr>
          <w:rFonts w:ascii="Palatino Linotype" w:eastAsia="Palatino Linotype" w:hAnsi="Palatino Linotype" w:cs="Palatino Linotype"/>
          <w:color w:val="000000"/>
          <w:sz w:val="24"/>
          <w:szCs w:val="24"/>
        </w:rPr>
        <w:t xml:space="preserve"> </w:t>
      </w:r>
      <w:r w:rsidRPr="00F6275A">
        <w:rPr>
          <w:rFonts w:ascii="Palatino Linotype" w:eastAsia="Palatino Linotype" w:hAnsi="Palatino Linotype" w:cs="Palatino Linotype"/>
          <w:b/>
          <w:bCs/>
          <w:color w:val="000000"/>
          <w:sz w:val="24"/>
          <w:szCs w:val="24"/>
        </w:rPr>
        <w:t xml:space="preserve">EL RECURRENTE </w:t>
      </w:r>
      <w:r w:rsidRPr="00F6275A">
        <w:rPr>
          <w:rFonts w:ascii="Palatino Linotype" w:eastAsia="Palatino Linotype" w:hAnsi="Palatino Linotype" w:cs="Palatino Linotype"/>
          <w:color w:val="000000"/>
          <w:sz w:val="24"/>
          <w:szCs w:val="24"/>
        </w:rPr>
        <w:t>presentó</w:t>
      </w:r>
      <w:r w:rsidRPr="00F6275A">
        <w:rPr>
          <w:rFonts w:ascii="Palatino Linotype" w:eastAsia="Palatino Linotype" w:hAnsi="Palatino Linotype" w:cs="Palatino Linotype"/>
          <w:b/>
          <w:bCs/>
          <w:color w:val="000000"/>
          <w:sz w:val="24"/>
          <w:szCs w:val="24"/>
        </w:rPr>
        <w:t>,</w:t>
      </w:r>
      <w:r w:rsidRPr="00F6275A">
        <w:rPr>
          <w:rFonts w:ascii="Palatino Linotype" w:eastAsia="Palatino Linotype" w:hAnsi="Palatino Linotype" w:cs="Palatino Linotype"/>
          <w:color w:val="000000"/>
          <w:sz w:val="24"/>
          <w:szCs w:val="24"/>
        </w:rPr>
        <w:t xml:space="preserve"> ante el </w:t>
      </w:r>
      <w:r w:rsidRPr="00F6275A">
        <w:rPr>
          <w:rFonts w:ascii="Palatino Linotype" w:eastAsia="Palatino Linotype" w:hAnsi="Palatino Linotype" w:cs="Palatino Linotype"/>
          <w:b/>
          <w:bCs/>
          <w:color w:val="000000"/>
          <w:sz w:val="24"/>
          <w:szCs w:val="24"/>
        </w:rPr>
        <w:t>SUJETO OBLIGADO</w:t>
      </w:r>
      <w:r w:rsidRPr="00F6275A">
        <w:rPr>
          <w:rFonts w:ascii="Palatino Linotype" w:eastAsia="Palatino Linotype" w:hAnsi="Palatino Linotype" w:cs="Palatino Linotype"/>
          <w:color w:val="000000"/>
          <w:sz w:val="24"/>
          <w:szCs w:val="24"/>
        </w:rPr>
        <w:t xml:space="preserve"> vía Sistema de Acceso a la Información Mexiquense (</w:t>
      </w:r>
      <w:r w:rsidRPr="00F6275A">
        <w:rPr>
          <w:rFonts w:ascii="Palatino Linotype" w:eastAsia="Palatino Linotype" w:hAnsi="Palatino Linotype" w:cs="Palatino Linotype"/>
          <w:b/>
          <w:bCs/>
          <w:color w:val="000000"/>
          <w:sz w:val="24"/>
          <w:szCs w:val="24"/>
        </w:rPr>
        <w:t>SAIMEX)</w:t>
      </w:r>
      <w:r w:rsidRPr="00F6275A">
        <w:rPr>
          <w:rFonts w:ascii="Palatino Linotype" w:eastAsia="Palatino Linotype" w:hAnsi="Palatino Linotype" w:cs="Palatino Linotype"/>
          <w:color w:val="000000"/>
          <w:sz w:val="24"/>
          <w:szCs w:val="24"/>
        </w:rPr>
        <w:t xml:space="preserve">, la solicitud de información pública registrada con el número </w:t>
      </w:r>
      <w:r w:rsidRPr="00F6275A">
        <w:rPr>
          <w:rFonts w:ascii="Palatino Linotype" w:eastAsia="Palatino Linotype" w:hAnsi="Palatino Linotype" w:cs="Palatino Linotype"/>
          <w:b/>
          <w:bCs/>
          <w:color w:val="000000"/>
          <w:sz w:val="24"/>
          <w:szCs w:val="24"/>
        </w:rPr>
        <w:t xml:space="preserve">00236/IXTAPALU/IP/2025, </w:t>
      </w:r>
      <w:r w:rsidR="00F6275A">
        <w:rPr>
          <w:rFonts w:ascii="Palatino Linotype" w:eastAsia="Palatino Linotype" w:hAnsi="Palatino Linotype" w:cs="Palatino Linotype"/>
          <w:color w:val="000000"/>
          <w:sz w:val="24"/>
          <w:szCs w:val="24"/>
        </w:rPr>
        <w:t>en la que se</w:t>
      </w:r>
      <w:r w:rsidRPr="00F6275A">
        <w:rPr>
          <w:rFonts w:ascii="Palatino Linotype" w:eastAsia="Palatino Linotype" w:hAnsi="Palatino Linotype" w:cs="Palatino Linotype"/>
          <w:color w:val="000000"/>
          <w:sz w:val="24"/>
          <w:szCs w:val="24"/>
        </w:rPr>
        <w:t xml:space="preserve"> solicitó lo siguiente:</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spacing w:line="276" w:lineRule="auto"/>
        <w:ind w:left="567" w:right="567"/>
        <w:jc w:val="both"/>
        <w:rPr>
          <w:rFonts w:ascii="Palatino Linotype" w:eastAsia="Palatino Linotype" w:hAnsi="Palatino Linotype" w:cs="Palatino Linotype"/>
          <w:i/>
          <w:iCs/>
          <w:sz w:val="24"/>
          <w:szCs w:val="24"/>
        </w:rPr>
      </w:pPr>
      <w:r w:rsidRPr="00F6275A">
        <w:rPr>
          <w:rFonts w:ascii="Palatino Linotype" w:eastAsia="Palatino Linotype" w:hAnsi="Palatino Linotype" w:cs="Palatino Linotype"/>
          <w:i/>
          <w:iCs/>
          <w:sz w:val="24"/>
          <w:szCs w:val="24"/>
        </w:rPr>
        <w:t>“Solicito el número total de tianguis en el municipio de ixtapalucal cuantos puestos tiene cada uno, y qyue requisitos se necesitan para tener un permiso para un puesto en un tinguis en el municipio de ixtpaluca” (Sic)</w:t>
      </w:r>
    </w:p>
    <w:p w:rsidR="00115674" w:rsidRDefault="00115674">
      <w:pPr>
        <w:pBdr>
          <w:top w:val="nil"/>
          <w:left w:val="nil"/>
          <w:bottom w:val="nil"/>
          <w:right w:val="nil"/>
          <w:between w:val="nil"/>
        </w:pBdr>
        <w:ind w:right="567"/>
        <w:jc w:val="both"/>
        <w:rPr>
          <w:rFonts w:ascii="Palatino Linotype" w:eastAsia="Palatino Linotype" w:hAnsi="Palatino Linotype" w:cs="Palatino Linotype"/>
          <w:color w:val="000000"/>
          <w:sz w:val="24"/>
          <w:szCs w:val="24"/>
        </w:rPr>
      </w:pPr>
    </w:p>
    <w:p w:rsidR="00FE46A6" w:rsidRPr="00F6275A" w:rsidRDefault="00FE46A6">
      <w:pPr>
        <w:pBdr>
          <w:top w:val="nil"/>
          <w:left w:val="nil"/>
          <w:bottom w:val="nil"/>
          <w:right w:val="nil"/>
          <w:between w:val="nil"/>
        </w:pBdr>
        <w:ind w:right="567"/>
        <w:jc w:val="both"/>
        <w:rPr>
          <w:rFonts w:ascii="Palatino Linotype" w:eastAsia="Palatino Linotype" w:hAnsi="Palatino Linotype" w:cs="Palatino Linotype"/>
          <w:color w:val="000000"/>
          <w:sz w:val="24"/>
          <w:szCs w:val="24"/>
        </w:rPr>
      </w:pPr>
    </w:p>
    <w:p w:rsidR="00115674" w:rsidRPr="00F6275A" w:rsidRDefault="00115674">
      <w:pPr>
        <w:ind w:right="567"/>
        <w:jc w:val="both"/>
        <w:rPr>
          <w:rFonts w:ascii="Palatino Linotype" w:eastAsia="Palatino Linotype" w:hAnsi="Palatino Linotype" w:cs="Palatino Linotype"/>
          <w:i/>
          <w:iCs/>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Señaló como modalidad de entrega de la información a través de la Plataforma SAIMEX</w:t>
      </w:r>
      <w:r w:rsidRPr="00F6275A">
        <w:rPr>
          <w:rFonts w:ascii="Palatino Linotype" w:eastAsia="Palatino Linotype" w:hAnsi="Palatino Linotype" w:cs="Palatino Linotype"/>
          <w:b/>
          <w:bCs/>
          <w:color w:val="000000"/>
          <w:sz w:val="24"/>
          <w:szCs w:val="24"/>
        </w:rPr>
        <w:t>.</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lastRenderedPageBreak/>
        <w:t>El</w:t>
      </w:r>
      <w:r w:rsidRPr="00F6275A">
        <w:rPr>
          <w:rFonts w:ascii="Palatino Linotype" w:eastAsia="Palatino Linotype" w:hAnsi="Palatino Linotype" w:cs="Palatino Linotype"/>
          <w:b/>
          <w:bCs/>
          <w:color w:val="000000"/>
          <w:sz w:val="24"/>
          <w:szCs w:val="24"/>
        </w:rPr>
        <w:t xml:space="preserve"> veinticuatro de noviembre de dos mil veinticinco</w:t>
      </w:r>
      <w:r w:rsidRPr="00F6275A">
        <w:rPr>
          <w:rFonts w:ascii="Palatino Linotype" w:eastAsia="Palatino Linotype" w:hAnsi="Palatino Linotype" w:cs="Palatino Linotype"/>
          <w:color w:val="000000"/>
          <w:sz w:val="24"/>
          <w:szCs w:val="24"/>
        </w:rPr>
        <w:t xml:space="preserve">, se realizó un requerimiento de información al servidor público habilitado. </w:t>
      </w: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El Sujeto Obligado no emitió respuesta a la solicitud.</w:t>
      </w:r>
    </w:p>
    <w:p w:rsidR="00115674" w:rsidRPr="00F6275A" w:rsidRDefault="00115674">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sz w:val="24"/>
          <w:szCs w:val="24"/>
        </w:rPr>
      </w:pPr>
      <w:bookmarkStart w:id="2" w:name="_heading=h.30j0zll" w:colFirst="0" w:colLast="0"/>
      <w:bookmarkEnd w:id="2"/>
      <w:r w:rsidRPr="00F6275A">
        <w:rPr>
          <w:rFonts w:ascii="Palatino Linotype" w:eastAsia="Palatino Linotype" w:hAnsi="Palatino Linotype" w:cs="Palatino Linotype"/>
          <w:color w:val="000000"/>
          <w:sz w:val="24"/>
          <w:szCs w:val="24"/>
        </w:rPr>
        <w:t xml:space="preserve">El </w:t>
      </w:r>
      <w:r w:rsidRPr="00F6275A">
        <w:rPr>
          <w:rFonts w:ascii="Palatino Linotype" w:eastAsia="Palatino Linotype" w:hAnsi="Palatino Linotype" w:cs="Palatino Linotype"/>
          <w:b/>
          <w:bCs/>
          <w:color w:val="000000"/>
          <w:sz w:val="24"/>
          <w:szCs w:val="24"/>
        </w:rPr>
        <w:t>nueve de diciembre de dos mil veinticinco</w:t>
      </w:r>
      <w:r w:rsidRPr="00F6275A">
        <w:rPr>
          <w:rFonts w:ascii="Palatino Linotype" w:eastAsia="Palatino Linotype" w:hAnsi="Palatino Linotype" w:cs="Palatino Linotype"/>
          <w:color w:val="000000"/>
          <w:sz w:val="24"/>
          <w:szCs w:val="24"/>
        </w:rPr>
        <w:t xml:space="preserve">, </w:t>
      </w:r>
      <w:r w:rsidRPr="00F6275A">
        <w:rPr>
          <w:rFonts w:ascii="Palatino Linotype" w:eastAsia="Palatino Linotype" w:hAnsi="Palatino Linotype" w:cs="Palatino Linotype"/>
          <w:b/>
          <w:bCs/>
          <w:color w:val="000000"/>
          <w:sz w:val="24"/>
          <w:szCs w:val="24"/>
        </w:rPr>
        <w:t>EL RECURRENTE</w:t>
      </w:r>
      <w:r w:rsidRPr="00F6275A">
        <w:rPr>
          <w:rFonts w:ascii="Palatino Linotype" w:eastAsia="Palatino Linotype" w:hAnsi="Palatino Linotype" w:cs="Palatino Linotype"/>
          <w:color w:val="000000"/>
          <w:sz w:val="24"/>
          <w:szCs w:val="24"/>
        </w:rPr>
        <w:t xml:space="preserve"> interpuso el recurso de revisión, en contra de la falta de respuesta y, señaló como:</w:t>
      </w:r>
    </w:p>
    <w:p w:rsidR="00115674" w:rsidRPr="00F6275A" w:rsidRDefault="00115674">
      <w:pPr>
        <w:pBdr>
          <w:top w:val="nil"/>
          <w:left w:val="nil"/>
          <w:bottom w:val="nil"/>
          <w:right w:val="nil"/>
          <w:between w:val="nil"/>
        </w:pBdr>
        <w:ind w:left="720"/>
        <w:rPr>
          <w:rFonts w:ascii="Palatino Linotype" w:eastAsia="Palatino Linotype" w:hAnsi="Palatino Linotype" w:cs="Palatino Linotype"/>
          <w:i/>
          <w:iCs/>
          <w:color w:val="000000"/>
          <w:sz w:val="24"/>
          <w:szCs w:val="24"/>
        </w:rPr>
      </w:pPr>
    </w:p>
    <w:p w:rsidR="00115674" w:rsidRPr="00F6275A" w:rsidRDefault="00F6275A" w:rsidP="00F6275A">
      <w:pPr>
        <w:pStyle w:val="Prrafodelista"/>
        <w:numPr>
          <w:ilvl w:val="0"/>
          <w:numId w:val="5"/>
        </w:numPr>
        <w:pBdr>
          <w:top w:val="nil"/>
          <w:left w:val="nil"/>
          <w:bottom w:val="nil"/>
          <w:right w:val="nil"/>
          <w:between w:val="nil"/>
        </w:pBdr>
        <w:spacing w:line="360" w:lineRule="auto"/>
        <w:ind w:left="709" w:right="822"/>
        <w:jc w:val="both"/>
        <w:rPr>
          <w:rFonts w:ascii="Palatino Linotype" w:eastAsia="Palatino Linotype" w:hAnsi="Palatino Linotype" w:cs="Palatino Linotype"/>
          <w:i/>
          <w:iCs/>
          <w:color w:val="000000"/>
          <w:sz w:val="24"/>
        </w:rPr>
      </w:pPr>
      <w:r w:rsidRPr="00F6275A">
        <w:rPr>
          <w:rFonts w:ascii="Palatino Linotype" w:eastAsia="Palatino Linotype" w:hAnsi="Palatino Linotype" w:cs="Palatino Linotype"/>
          <w:b/>
          <w:bCs/>
          <w:color w:val="000000"/>
          <w:sz w:val="24"/>
        </w:rPr>
        <w:t>ACTO IMPUGNADO</w:t>
      </w:r>
      <w:r w:rsidR="00C60DA7" w:rsidRPr="00F6275A">
        <w:rPr>
          <w:rFonts w:ascii="Palatino Linotype" w:eastAsia="Palatino Linotype" w:hAnsi="Palatino Linotype" w:cs="Palatino Linotype"/>
          <w:b/>
          <w:bCs/>
          <w:color w:val="000000"/>
          <w:sz w:val="24"/>
        </w:rPr>
        <w:t xml:space="preserve">: </w:t>
      </w:r>
      <w:r w:rsidR="00C60DA7" w:rsidRPr="00F6275A">
        <w:rPr>
          <w:rFonts w:ascii="Palatino Linotype" w:eastAsia="Palatino Linotype" w:hAnsi="Palatino Linotype" w:cs="Palatino Linotype"/>
          <w:i/>
          <w:iCs/>
          <w:color w:val="000000"/>
          <w:sz w:val="24"/>
        </w:rPr>
        <w:t>“FALTA DE RESPUESTA” (sic) y;</w:t>
      </w:r>
    </w:p>
    <w:p w:rsidR="00115674" w:rsidRPr="00F6275A" w:rsidRDefault="00115674" w:rsidP="00F6275A">
      <w:pPr>
        <w:pBdr>
          <w:top w:val="nil"/>
          <w:left w:val="nil"/>
          <w:bottom w:val="nil"/>
          <w:right w:val="nil"/>
          <w:between w:val="nil"/>
        </w:pBdr>
        <w:spacing w:line="360" w:lineRule="auto"/>
        <w:ind w:left="709" w:right="822"/>
        <w:jc w:val="both"/>
        <w:rPr>
          <w:rFonts w:ascii="Palatino Linotype" w:eastAsia="Palatino Linotype" w:hAnsi="Palatino Linotype" w:cs="Palatino Linotype"/>
          <w:i/>
          <w:iCs/>
          <w:color w:val="000000"/>
          <w:sz w:val="24"/>
          <w:szCs w:val="24"/>
        </w:rPr>
      </w:pPr>
    </w:p>
    <w:p w:rsidR="00115674" w:rsidRPr="00F6275A" w:rsidRDefault="00F6275A" w:rsidP="00F6275A">
      <w:pPr>
        <w:pStyle w:val="Prrafodelista"/>
        <w:numPr>
          <w:ilvl w:val="0"/>
          <w:numId w:val="5"/>
        </w:numPr>
        <w:pBdr>
          <w:top w:val="nil"/>
          <w:left w:val="nil"/>
          <w:bottom w:val="nil"/>
          <w:right w:val="nil"/>
          <w:between w:val="nil"/>
        </w:pBdr>
        <w:spacing w:line="360" w:lineRule="auto"/>
        <w:ind w:left="709" w:right="822"/>
        <w:jc w:val="both"/>
        <w:rPr>
          <w:rFonts w:ascii="Palatino Linotype" w:eastAsia="Palatino Linotype" w:hAnsi="Palatino Linotype" w:cs="Palatino Linotype"/>
          <w:color w:val="000000"/>
          <w:sz w:val="24"/>
        </w:rPr>
      </w:pPr>
      <w:r w:rsidRPr="00F6275A">
        <w:rPr>
          <w:rFonts w:ascii="Palatino Linotype" w:eastAsia="Palatino Linotype" w:hAnsi="Palatino Linotype" w:cs="Palatino Linotype"/>
          <w:b/>
          <w:bCs/>
          <w:color w:val="000000"/>
          <w:sz w:val="24"/>
        </w:rPr>
        <w:t>RAZONES O MOTIVOS DE INCONFORMIDAD</w:t>
      </w:r>
      <w:r w:rsidR="00C60DA7" w:rsidRPr="00F6275A">
        <w:rPr>
          <w:rFonts w:ascii="Palatino Linotype" w:eastAsia="Palatino Linotype" w:hAnsi="Palatino Linotype" w:cs="Palatino Linotype"/>
          <w:b/>
          <w:bCs/>
          <w:color w:val="000000"/>
          <w:sz w:val="24"/>
        </w:rPr>
        <w:t>: “</w:t>
      </w:r>
      <w:r w:rsidR="00C60DA7" w:rsidRPr="00F6275A">
        <w:rPr>
          <w:rFonts w:ascii="Palatino Linotype" w:eastAsia="Palatino Linotype" w:hAnsi="Palatino Linotype" w:cs="Palatino Linotype"/>
          <w:i/>
          <w:iCs/>
          <w:color w:val="000000"/>
          <w:sz w:val="24"/>
        </w:rPr>
        <w:t>Con fundamento en los artículos 176, 177, y178 de la Ley de Transparencia y Acceso a la Información Pública del Estado de México y municipios, interpongo el recurso de revisión por falta de respuesta del sujeto obligado Municipio de Ixtapaluca por haber transcurrido el término de 15 días hábiles para contestar mi solicitud de información pública.” (sic)</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Se registró el recurso de revisión bajo el número de expediente al rubro indicado, asimismo con fundamento en lo dispuesto por el artículo 185 fracción I de la </w:t>
      </w:r>
      <w:r w:rsidRPr="00F6275A">
        <w:rPr>
          <w:rFonts w:ascii="Palatino Linotype" w:eastAsia="Palatino Linotype" w:hAnsi="Palatino Linotype" w:cs="Palatino Linotype"/>
          <w:b/>
          <w:bCs/>
          <w:color w:val="000000"/>
          <w:sz w:val="24"/>
          <w:szCs w:val="24"/>
        </w:rPr>
        <w:t xml:space="preserve">Ley de Transparencia y Acceso a la Información Pública del Estado de México y Municipios </w:t>
      </w:r>
      <w:r w:rsidRPr="00F6275A">
        <w:rPr>
          <w:rFonts w:ascii="Palatino Linotype" w:eastAsia="Palatino Linotype" w:hAnsi="Palatino Linotype" w:cs="Palatino Linotype"/>
          <w:color w:val="000000"/>
          <w:sz w:val="24"/>
          <w:szCs w:val="24"/>
        </w:rPr>
        <w:t xml:space="preserve">se turnó a la </w:t>
      </w:r>
      <w:r w:rsidRPr="00F6275A">
        <w:rPr>
          <w:rFonts w:ascii="Palatino Linotype" w:eastAsia="Palatino Linotype" w:hAnsi="Palatino Linotype" w:cs="Palatino Linotype"/>
          <w:b/>
          <w:bCs/>
          <w:color w:val="000000"/>
          <w:sz w:val="24"/>
          <w:szCs w:val="24"/>
        </w:rPr>
        <w:t xml:space="preserve">Comisionada María del Rosario Mejía Ayala, </w:t>
      </w:r>
      <w:r w:rsidR="00F6275A">
        <w:rPr>
          <w:rFonts w:ascii="Palatino Linotype" w:eastAsia="Palatino Linotype" w:hAnsi="Palatino Linotype" w:cs="Palatino Linotype"/>
          <w:color w:val="000000"/>
          <w:sz w:val="24"/>
          <w:szCs w:val="24"/>
        </w:rPr>
        <w:t>para</w:t>
      </w:r>
      <w:r w:rsidRPr="00F6275A">
        <w:rPr>
          <w:rFonts w:ascii="Palatino Linotype" w:eastAsia="Palatino Linotype" w:hAnsi="Palatino Linotype" w:cs="Palatino Linotype"/>
          <w:color w:val="000000"/>
          <w:sz w:val="24"/>
          <w:szCs w:val="24"/>
        </w:rPr>
        <w:t xml:space="preserve"> su análisis.</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F6275A">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La Comisionada p</w:t>
      </w:r>
      <w:r w:rsidR="00C60DA7" w:rsidRPr="00F6275A">
        <w:rPr>
          <w:rFonts w:ascii="Palatino Linotype" w:eastAsia="Palatino Linotype" w:hAnsi="Palatino Linotype" w:cs="Palatino Linotype"/>
          <w:color w:val="000000"/>
          <w:sz w:val="24"/>
          <w:szCs w:val="24"/>
        </w:rPr>
        <w:t>onente con fundamento en lo dispuesto por el artículo 185 fracción II de la ley de la materia, a través del acuerdo de admisión del</w:t>
      </w:r>
      <w:r w:rsidR="00C60DA7" w:rsidRPr="00F6275A">
        <w:rPr>
          <w:rFonts w:ascii="Palatino Linotype" w:eastAsia="Palatino Linotype" w:hAnsi="Palatino Linotype" w:cs="Palatino Linotype"/>
          <w:b/>
          <w:bCs/>
          <w:color w:val="000000"/>
          <w:sz w:val="24"/>
          <w:szCs w:val="24"/>
        </w:rPr>
        <w:t xml:space="preserve"> once de diciembre de dos mil veinticinco</w:t>
      </w:r>
      <w:r w:rsidR="00C60DA7" w:rsidRPr="00F6275A">
        <w:rPr>
          <w:rFonts w:ascii="Palatino Linotype" w:eastAsia="Palatino Linotype" w:hAnsi="Palatino Linotype" w:cs="Palatino Linotype"/>
          <w:color w:val="000000"/>
          <w:sz w:val="24"/>
          <w:szCs w:val="24"/>
        </w:rPr>
        <w:t xml:space="preserve">, puso a disposición de las partes el expediente electrónico vía </w:t>
      </w:r>
      <w:r w:rsidR="00C60DA7" w:rsidRPr="00F6275A">
        <w:rPr>
          <w:rFonts w:ascii="Palatino Linotype" w:eastAsia="Palatino Linotype" w:hAnsi="Palatino Linotype" w:cs="Palatino Linotype"/>
          <w:b/>
          <w:bCs/>
          <w:color w:val="000000"/>
          <w:sz w:val="24"/>
          <w:szCs w:val="24"/>
        </w:rPr>
        <w:t xml:space="preserve">SAIMEX </w:t>
      </w:r>
      <w:r w:rsidR="00C60DA7" w:rsidRPr="00F6275A">
        <w:rPr>
          <w:rFonts w:ascii="Palatino Linotype" w:eastAsia="Palatino Linotype" w:hAnsi="Palatino Linotype" w:cs="Palatino Linotype"/>
          <w:color w:val="000000"/>
          <w:sz w:val="24"/>
          <w:szCs w:val="24"/>
        </w:rPr>
        <w:t xml:space="preserve">a efecto de que en un plazo máximo de siete días manifestaran lo que a derecho convinieran, ofrecieran </w:t>
      </w:r>
      <w:r w:rsidR="00C60DA7" w:rsidRPr="00F6275A">
        <w:rPr>
          <w:rFonts w:ascii="Palatino Linotype" w:eastAsia="Palatino Linotype" w:hAnsi="Palatino Linotype" w:cs="Palatino Linotype"/>
          <w:color w:val="000000"/>
          <w:sz w:val="24"/>
          <w:szCs w:val="24"/>
        </w:rPr>
        <w:lastRenderedPageBreak/>
        <w:t xml:space="preserve">pruebas y alegatos según corresponda al caso concreto, de esta forma para que el </w:t>
      </w:r>
      <w:r w:rsidR="00C60DA7" w:rsidRPr="00F6275A">
        <w:rPr>
          <w:rFonts w:ascii="Palatino Linotype" w:eastAsia="Palatino Linotype" w:hAnsi="Palatino Linotype" w:cs="Palatino Linotype"/>
          <w:b/>
          <w:bCs/>
          <w:color w:val="000000"/>
          <w:sz w:val="24"/>
          <w:szCs w:val="24"/>
        </w:rPr>
        <w:t>SUJETO OBLIGADO</w:t>
      </w:r>
      <w:r w:rsidR="00C60DA7" w:rsidRPr="00F6275A">
        <w:rPr>
          <w:rFonts w:ascii="Palatino Linotype" w:eastAsia="Palatino Linotype" w:hAnsi="Palatino Linotype" w:cs="Palatino Linotype"/>
          <w:color w:val="000000"/>
          <w:sz w:val="24"/>
          <w:szCs w:val="24"/>
        </w:rPr>
        <w:t xml:space="preserve"> presentara el informe justificado procedente.</w:t>
      </w:r>
    </w:p>
    <w:p w:rsidR="00115674" w:rsidRPr="00F6275A" w:rsidRDefault="00FE46A6" w:rsidP="00FE46A6">
      <w:pPr>
        <w:numPr>
          <w:ilvl w:val="0"/>
          <w:numId w:val="1"/>
        </w:numPr>
        <w:tabs>
          <w:tab w:val="left" w:pos="426"/>
        </w:tabs>
        <w:spacing w:before="240" w:line="360" w:lineRule="auto"/>
        <w:ind w:left="0" w:firstLine="0"/>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 xml:space="preserve">   </w:t>
      </w:r>
      <w:r w:rsidR="00C60DA7" w:rsidRPr="00F6275A">
        <w:rPr>
          <w:rFonts w:ascii="Palatino Linotype" w:eastAsia="Palatino Linotype" w:hAnsi="Palatino Linotype" w:cs="Palatino Linotype"/>
          <w:sz w:val="24"/>
          <w:szCs w:val="24"/>
        </w:rPr>
        <w:t xml:space="preserve">De las constancias que integran el expediente electrónico, se advierte que el Recurrente no realizó manifestaciones; por su parte, el Sujeto Obligado entregó informe justificado el </w:t>
      </w:r>
      <w:r w:rsidR="00C60DA7" w:rsidRPr="00F6275A">
        <w:rPr>
          <w:rFonts w:ascii="Palatino Linotype" w:eastAsia="Palatino Linotype" w:hAnsi="Palatino Linotype" w:cs="Palatino Linotype"/>
          <w:b/>
          <w:bCs/>
          <w:sz w:val="24"/>
          <w:szCs w:val="24"/>
        </w:rPr>
        <w:t>diecisiete de diciembre de dos mil veinticinco</w:t>
      </w:r>
      <w:r w:rsidR="00C60DA7" w:rsidRPr="00F6275A">
        <w:rPr>
          <w:rFonts w:ascii="Palatino Linotype" w:eastAsia="Palatino Linotype" w:hAnsi="Palatino Linotype" w:cs="Palatino Linotype"/>
          <w:sz w:val="24"/>
          <w:szCs w:val="24"/>
        </w:rPr>
        <w:t xml:space="preserve">, mismo que se puso a la vista del Recurrente el </w:t>
      </w:r>
      <w:r w:rsidR="00C60DA7" w:rsidRPr="00F6275A">
        <w:rPr>
          <w:rFonts w:ascii="Palatino Linotype" w:eastAsia="Palatino Linotype" w:hAnsi="Palatino Linotype" w:cs="Palatino Linotype"/>
          <w:b/>
          <w:bCs/>
          <w:sz w:val="24"/>
          <w:szCs w:val="24"/>
        </w:rPr>
        <w:t>tres de marzo de dos mil veintiséis</w:t>
      </w:r>
      <w:r w:rsidR="00C60DA7" w:rsidRPr="00F6275A">
        <w:rPr>
          <w:rFonts w:ascii="Palatino Linotype" w:eastAsia="Palatino Linotype" w:hAnsi="Palatino Linotype" w:cs="Palatino Linotype"/>
          <w:sz w:val="24"/>
          <w:szCs w:val="24"/>
        </w:rPr>
        <w:t xml:space="preserve">, a través del archivo electrónico denominado </w:t>
      </w:r>
      <w:hyperlink r:id="rId8">
        <w:r w:rsidR="00C60DA7" w:rsidRPr="00F6275A">
          <w:rPr>
            <w:rFonts w:ascii="Palatino Linotype" w:eastAsia="Palatino Linotype" w:hAnsi="Palatino Linotype" w:cs="Palatino Linotype"/>
            <w:b/>
            <w:bCs/>
            <w:color w:val="0563C1"/>
            <w:sz w:val="24"/>
            <w:szCs w:val="24"/>
            <w:u w:val="single"/>
          </w:rPr>
          <w:t>RESP SI 236 ECONÓMICO.pdf</w:t>
        </w:r>
      </w:hyperlink>
      <w:r w:rsidR="00C60DA7" w:rsidRPr="00F6275A">
        <w:rPr>
          <w:rFonts w:ascii="Palatino Linotype" w:eastAsia="Palatino Linotype" w:hAnsi="Palatino Linotype" w:cs="Palatino Linotype"/>
          <w:sz w:val="24"/>
          <w:szCs w:val="24"/>
        </w:rPr>
        <w:t>, que se describe enseguida:</w:t>
      </w:r>
    </w:p>
    <w:p w:rsidR="00115674" w:rsidRPr="00F6275A" w:rsidRDefault="00C60DA7">
      <w:pPr>
        <w:numPr>
          <w:ilvl w:val="0"/>
          <w:numId w:val="2"/>
        </w:numPr>
        <w:pBdr>
          <w:top w:val="nil"/>
          <w:left w:val="nil"/>
          <w:bottom w:val="nil"/>
          <w:right w:val="nil"/>
          <w:between w:val="nil"/>
        </w:pBdr>
        <w:tabs>
          <w:tab w:val="left" w:pos="284"/>
        </w:tabs>
        <w:spacing w:before="240" w:line="360" w:lineRule="auto"/>
        <w:jc w:val="both"/>
        <w:rPr>
          <w:rFonts w:ascii="Palatino Linotype" w:eastAsia="Palatino Linotype" w:hAnsi="Palatino Linotype" w:cs="Palatino Linotype"/>
          <w:b/>
          <w:bCs/>
          <w:color w:val="000000"/>
          <w:sz w:val="24"/>
          <w:szCs w:val="24"/>
        </w:rPr>
      </w:pPr>
      <w:r w:rsidRPr="00F6275A">
        <w:rPr>
          <w:rFonts w:ascii="Palatino Linotype" w:eastAsia="Palatino Linotype" w:hAnsi="Palatino Linotype" w:cs="Palatino Linotype"/>
          <w:color w:val="000000"/>
          <w:sz w:val="24"/>
          <w:szCs w:val="24"/>
        </w:rPr>
        <w:t>Oficio número</w:t>
      </w:r>
      <w:r w:rsidRPr="00F6275A">
        <w:rPr>
          <w:rFonts w:ascii="Palatino Linotype" w:eastAsia="Palatino Linotype" w:hAnsi="Palatino Linotype" w:cs="Palatino Linotype"/>
          <w:b/>
          <w:bCs/>
          <w:color w:val="000000"/>
          <w:sz w:val="24"/>
          <w:szCs w:val="24"/>
        </w:rPr>
        <w:t xml:space="preserve"> IXT/DDE/1466/2025 </w:t>
      </w:r>
      <w:r w:rsidRPr="00F6275A">
        <w:rPr>
          <w:rFonts w:ascii="Palatino Linotype" w:eastAsia="Palatino Linotype" w:hAnsi="Palatino Linotype" w:cs="Palatino Linotype"/>
          <w:color w:val="000000"/>
          <w:sz w:val="24"/>
          <w:szCs w:val="24"/>
        </w:rPr>
        <w:t>de fecha veintiséis de noviembre de dos mil veinticinco,</w:t>
      </w:r>
      <w:r w:rsidRP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color w:val="000000"/>
          <w:sz w:val="24"/>
          <w:szCs w:val="24"/>
        </w:rPr>
        <w:t xml:space="preserve">suscrito por la Directora de Desarrollo Económico, quien adjuntó una lista con el nombre de las asociaciones de tianguis así como el número de lugares que se instalan. </w:t>
      </w:r>
      <w:r w:rsidRPr="00F6275A">
        <w:rPr>
          <w:rFonts w:ascii="Palatino Linotype" w:eastAsia="Palatino Linotype" w:hAnsi="Palatino Linotype" w:cs="Palatino Linotype"/>
          <w:b/>
          <w:bCs/>
          <w:color w:val="000000"/>
          <w:sz w:val="24"/>
          <w:szCs w:val="24"/>
        </w:rPr>
        <w:t xml:space="preserve"> </w:t>
      </w:r>
    </w:p>
    <w:p w:rsidR="00115674" w:rsidRPr="00F6275A" w:rsidRDefault="00115674">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b/>
          <w:bCs/>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El</w:t>
      </w:r>
      <w:r w:rsidRPr="00F6275A">
        <w:rPr>
          <w:rFonts w:ascii="Palatino Linotype" w:eastAsia="Palatino Linotype" w:hAnsi="Palatino Linotype" w:cs="Palatino Linotype"/>
          <w:b/>
          <w:bCs/>
          <w:color w:val="000000"/>
          <w:sz w:val="24"/>
          <w:szCs w:val="24"/>
        </w:rPr>
        <w:t xml:space="preserve"> tres de marzo de dos mil veintiséis</w:t>
      </w:r>
      <w:r w:rsidRPr="00F6275A">
        <w:rPr>
          <w:rFonts w:ascii="Palatino Linotype" w:eastAsia="Palatino Linotype" w:hAnsi="Palatino Linotype" w:cs="Palatino Linotype"/>
          <w:color w:val="000000"/>
          <w:sz w:val="24"/>
          <w:szCs w:val="24"/>
        </w:rPr>
        <w:t>, se notificó el acuerdo mediante el cual se amplió el plazo para emitir resolución.</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El </w:t>
      </w:r>
      <w:r w:rsidRPr="00F6275A">
        <w:rPr>
          <w:rFonts w:ascii="Palatino Linotype" w:eastAsia="Palatino Linotype" w:hAnsi="Palatino Linotype" w:cs="Palatino Linotype"/>
          <w:b/>
          <w:bCs/>
          <w:color w:val="000000"/>
          <w:sz w:val="24"/>
          <w:szCs w:val="24"/>
        </w:rPr>
        <w:t>nueve de marzo de dos mil veintiséis</w:t>
      </w:r>
      <w:r w:rsidRPr="00F6275A">
        <w:rPr>
          <w:rFonts w:ascii="Palatino Linotype" w:eastAsia="Palatino Linotype" w:hAnsi="Palatino Linotype" w:cs="Palatino Linotype"/>
          <w:color w:val="000000"/>
          <w:sz w:val="24"/>
          <w:szCs w:val="24"/>
        </w:rPr>
        <w:t>, la Comisionada Ponente notificó el acuerdo mediante el cual se decretó el cierre de instrucción. Por lo que turnó la presente resolución para su aprobación y</w:t>
      </w:r>
      <w:r w:rsidR="00FE46A6">
        <w:rPr>
          <w:rFonts w:ascii="Palatino Linotype" w:eastAsia="Palatino Linotype" w:hAnsi="Palatino Linotype" w:cs="Palatino Linotype"/>
          <w:color w:val="000000"/>
          <w:sz w:val="24"/>
          <w:szCs w:val="24"/>
        </w:rPr>
        <w:t xml:space="preserve"> -----------------------------------------------------------------------------------------------</w:t>
      </w:r>
    </w:p>
    <w:p w:rsidR="00FE46A6" w:rsidRDefault="00FE46A6" w:rsidP="00FE46A6">
      <w:pPr>
        <w:pStyle w:val="Prrafodelista"/>
        <w:rPr>
          <w:rFonts w:ascii="Palatino Linotype" w:eastAsia="Palatino Linotype" w:hAnsi="Palatino Linotype" w:cs="Palatino Linotype"/>
          <w:color w:val="000000"/>
          <w:sz w:val="24"/>
        </w:rPr>
      </w:pPr>
    </w:p>
    <w:p w:rsidR="00FE46A6" w:rsidRDefault="00FE46A6" w:rsidP="00FE46A6">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FE46A6" w:rsidRPr="00F6275A" w:rsidRDefault="00FE46A6" w:rsidP="00FE46A6">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pStyle w:val="Ttulo1"/>
        <w:jc w:val="center"/>
        <w:rPr>
          <w:rFonts w:ascii="Palatino Linotype" w:eastAsia="Palatino Linotype" w:hAnsi="Palatino Linotype" w:cs="Palatino Linotype"/>
          <w:b/>
          <w:bCs/>
          <w:color w:val="000000"/>
          <w:sz w:val="24"/>
          <w:szCs w:val="24"/>
        </w:rPr>
      </w:pPr>
      <w:bookmarkStart w:id="3" w:name="_heading=h.1fob9te" w:colFirst="0" w:colLast="0"/>
      <w:bookmarkEnd w:id="3"/>
      <w:r w:rsidRPr="00F6275A">
        <w:rPr>
          <w:rFonts w:ascii="Palatino Linotype" w:eastAsia="Palatino Linotype" w:hAnsi="Palatino Linotype" w:cs="Palatino Linotype"/>
          <w:b/>
          <w:bCs/>
          <w:color w:val="000000"/>
          <w:sz w:val="24"/>
          <w:szCs w:val="24"/>
        </w:rPr>
        <w:lastRenderedPageBreak/>
        <w:t>C</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O</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N</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S</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I</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D</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E</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R</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A</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N</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D</w:t>
      </w:r>
      <w:r w:rsidR="00F6275A">
        <w:rPr>
          <w:rFonts w:ascii="Palatino Linotype" w:eastAsia="Palatino Linotype" w:hAnsi="Palatino Linotype" w:cs="Palatino Linotype"/>
          <w:b/>
          <w:bCs/>
          <w:color w:val="000000"/>
          <w:sz w:val="24"/>
          <w:szCs w:val="24"/>
        </w:rPr>
        <w:t xml:space="preserve"> </w:t>
      </w:r>
      <w:r w:rsidRPr="00F6275A">
        <w:rPr>
          <w:rFonts w:ascii="Palatino Linotype" w:eastAsia="Palatino Linotype" w:hAnsi="Palatino Linotype" w:cs="Palatino Linotype"/>
          <w:b/>
          <w:bCs/>
          <w:color w:val="000000"/>
          <w:sz w:val="24"/>
          <w:szCs w:val="24"/>
        </w:rPr>
        <w:t xml:space="preserve">O </w:t>
      </w:r>
    </w:p>
    <w:p w:rsidR="00115674" w:rsidRPr="00F6275A" w:rsidRDefault="00115674">
      <w:pPr>
        <w:rPr>
          <w:sz w:val="24"/>
          <w:szCs w:val="24"/>
        </w:rPr>
      </w:pPr>
    </w:p>
    <w:p w:rsidR="00115674" w:rsidRPr="00F6275A" w:rsidRDefault="00C60DA7">
      <w:pPr>
        <w:pStyle w:val="Ttulo2"/>
        <w:rPr>
          <w:rFonts w:ascii="Palatino Linotype" w:eastAsia="Palatino Linotype" w:hAnsi="Palatino Linotype" w:cs="Palatino Linotype"/>
          <w:b/>
          <w:bCs/>
          <w:color w:val="000000"/>
          <w:sz w:val="24"/>
          <w:szCs w:val="24"/>
        </w:rPr>
      </w:pPr>
      <w:bookmarkStart w:id="4" w:name="_heading=h.3znysh7" w:colFirst="0" w:colLast="0"/>
      <w:bookmarkEnd w:id="4"/>
      <w:r w:rsidRPr="00F6275A">
        <w:rPr>
          <w:rFonts w:ascii="Palatino Linotype" w:eastAsia="Palatino Linotype" w:hAnsi="Palatino Linotype" w:cs="Palatino Linotype"/>
          <w:b/>
          <w:bCs/>
          <w:color w:val="000000"/>
          <w:sz w:val="24"/>
          <w:szCs w:val="24"/>
        </w:rPr>
        <w:t>PRIMERO. De la competencia</w:t>
      </w:r>
    </w:p>
    <w:p w:rsidR="00115674" w:rsidRPr="00F6275A" w:rsidRDefault="00C60DA7">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6275A">
        <w:rPr>
          <w:rFonts w:ascii="Palatino Linotype" w:eastAsia="Palatino Linotype" w:hAnsi="Palatino Linotype" w:cs="Palatino Linotype"/>
          <w:b/>
          <w:bCs/>
          <w:sz w:val="24"/>
          <w:szCs w:val="24"/>
        </w:rPr>
        <w:t>Constitución Política de los Estados Unidos Mexicanos</w:t>
      </w:r>
      <w:r w:rsidRPr="00F6275A">
        <w:rPr>
          <w:rFonts w:ascii="Palatino Linotype" w:eastAsia="Palatino Linotype" w:hAnsi="Palatino Linotype" w:cs="Palatino Linotype"/>
          <w:sz w:val="24"/>
          <w:szCs w:val="24"/>
        </w:rPr>
        <w:t xml:space="preserve">; 5, párrafos trigésimo séptimo, trigésimo octavo y trigésimo noveno, fracciones IV y V, de la </w:t>
      </w:r>
      <w:r w:rsidRPr="00F6275A">
        <w:rPr>
          <w:rFonts w:ascii="Palatino Linotype" w:eastAsia="Palatino Linotype" w:hAnsi="Palatino Linotype" w:cs="Palatino Linotype"/>
          <w:b/>
          <w:bCs/>
          <w:sz w:val="24"/>
          <w:szCs w:val="24"/>
        </w:rPr>
        <w:t>Constitución Política del Estado Libre y Soberano de México</w:t>
      </w:r>
      <w:r w:rsidRPr="00F6275A">
        <w:rPr>
          <w:rFonts w:ascii="Palatino Linotype" w:eastAsia="Palatino Linotype" w:hAnsi="Palatino Linotype" w:cs="Palatino Linotype"/>
          <w:sz w:val="24"/>
          <w:szCs w:val="24"/>
        </w:rPr>
        <w:t xml:space="preserve">; artículos 1, 2 fracción II, 13, 29, 36 fracciones I y II, 176, 178, 179, 181 párrafo tercero y 185 de la </w:t>
      </w:r>
      <w:r w:rsidRPr="00F6275A">
        <w:rPr>
          <w:rFonts w:ascii="Palatino Linotype" w:eastAsia="Palatino Linotype" w:hAnsi="Palatino Linotype" w:cs="Palatino Linotype"/>
          <w:b/>
          <w:bCs/>
          <w:sz w:val="24"/>
          <w:szCs w:val="24"/>
        </w:rPr>
        <w:t>Ley de Transparencia y Acceso a la Información Pública del Estado de México y Municipios</w:t>
      </w:r>
      <w:r w:rsidRPr="00F6275A">
        <w:rPr>
          <w:rFonts w:ascii="Palatino Linotype" w:eastAsia="Palatino Linotype" w:hAnsi="Palatino Linotype" w:cs="Palatino Linotype"/>
          <w:sz w:val="24"/>
          <w:szCs w:val="24"/>
        </w:rPr>
        <w:t xml:space="preserve">; y 7, 9 fracciones I y XXIII, y 11 del </w:t>
      </w:r>
      <w:r w:rsidRPr="00F6275A">
        <w:rPr>
          <w:rFonts w:ascii="Palatino Linotype" w:eastAsia="Palatino Linotype" w:hAnsi="Palatino Linotype" w:cs="Palatino Linotype"/>
          <w:b/>
          <w:bCs/>
          <w:sz w:val="24"/>
          <w:szCs w:val="24"/>
        </w:rPr>
        <w:t>Reglamento Interior del Instituto de Transparencia, Acceso a la Información Pública y Protección de Datos Personales del Estado de México y Municipios.</w:t>
      </w:r>
    </w:p>
    <w:p w:rsidR="00115674" w:rsidRPr="00F6275A" w:rsidRDefault="00C60DA7">
      <w:pPr>
        <w:pStyle w:val="Ttulo2"/>
        <w:rPr>
          <w:rFonts w:ascii="Palatino Linotype" w:eastAsia="Palatino Linotype" w:hAnsi="Palatino Linotype" w:cs="Palatino Linotype"/>
          <w:b/>
          <w:bCs/>
          <w:color w:val="000000"/>
          <w:sz w:val="24"/>
          <w:szCs w:val="24"/>
        </w:rPr>
      </w:pPr>
      <w:bookmarkStart w:id="5" w:name="_heading=h.2et92p0" w:colFirst="0" w:colLast="0"/>
      <w:bookmarkEnd w:id="5"/>
      <w:r w:rsidRPr="00F6275A">
        <w:rPr>
          <w:rFonts w:ascii="Palatino Linotype" w:eastAsia="Palatino Linotype" w:hAnsi="Palatino Linotype" w:cs="Palatino Linotype"/>
          <w:b/>
          <w:bCs/>
          <w:color w:val="000000"/>
          <w:sz w:val="24"/>
          <w:szCs w:val="24"/>
        </w:rPr>
        <w:t>SEGUNDO. De la oportunidad y procedencia.</w:t>
      </w:r>
    </w:p>
    <w:p w:rsidR="00115674" w:rsidRPr="00F6275A" w:rsidRDefault="00C60DA7">
      <w:pPr>
        <w:numPr>
          <w:ilvl w:val="0"/>
          <w:numId w:val="1"/>
        </w:numP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sz w:val="24"/>
          <w:szCs w:val="24"/>
        </w:rPr>
        <w:t xml:space="preserve">Es de precisar, que la Ley de Transparencia y Acceso a la Información Pública del Estado de México y Municipios, en el artículo 178 describe la procedencia del recurso de revisión, asimismo señala que el plazo del </w:t>
      </w:r>
      <w:r w:rsidRPr="00F6275A">
        <w:rPr>
          <w:rFonts w:ascii="Palatino Linotype" w:eastAsia="Palatino Linotype" w:hAnsi="Palatino Linotype" w:cs="Palatino Linotype"/>
          <w:b/>
          <w:bCs/>
          <w:sz w:val="24"/>
          <w:szCs w:val="24"/>
        </w:rPr>
        <w:t>SUJETO OBLIGADO</w:t>
      </w:r>
      <w:r w:rsidRPr="00F6275A">
        <w:rPr>
          <w:rFonts w:ascii="Palatino Linotype" w:eastAsia="Palatino Linotype" w:hAnsi="Palatino Linotype" w:cs="Palatino Linotype"/>
          <w:sz w:val="24"/>
          <w:szCs w:val="24"/>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115674" w:rsidRPr="00F6275A" w:rsidRDefault="00115674">
      <w:pPr>
        <w:tabs>
          <w:tab w:val="left" w:pos="284"/>
        </w:tabs>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sz w:val="24"/>
          <w:szCs w:val="24"/>
        </w:rPr>
        <w:t xml:space="preserve">Por ende, se constituye la figura jurídica de la </w:t>
      </w:r>
      <w:r w:rsidRPr="00F6275A">
        <w:rPr>
          <w:rFonts w:ascii="Palatino Linotype" w:eastAsia="Palatino Linotype" w:hAnsi="Palatino Linotype" w:cs="Palatino Linotype"/>
          <w:i/>
          <w:iCs/>
          <w:sz w:val="24"/>
          <w:szCs w:val="24"/>
        </w:rPr>
        <w:t>negativa ficta</w:t>
      </w:r>
      <w:r w:rsidRPr="00F6275A">
        <w:rPr>
          <w:rFonts w:ascii="Palatino Linotype" w:eastAsia="Palatino Linotype" w:hAnsi="Palatino Linotype" w:cs="Palatino Linotype"/>
          <w:sz w:val="24"/>
          <w:szCs w:val="24"/>
        </w:rPr>
        <w:t xml:space="preserve">, cuya esencia es atribuir un efecto negativo al silencio de la autoridad administrativa frente a las instancias y solicitudes </w:t>
      </w:r>
      <w:r w:rsidRPr="00F6275A">
        <w:rPr>
          <w:rFonts w:ascii="Palatino Linotype" w:eastAsia="Palatino Linotype" w:hAnsi="Palatino Linotype" w:cs="Palatino Linotype"/>
          <w:sz w:val="24"/>
          <w:szCs w:val="24"/>
        </w:rPr>
        <w:lastRenderedPageBreak/>
        <w:t xml:space="preserve">que hagan los particulares, lo cual encuentra sustento en lo que establece el artículo </w:t>
      </w:r>
      <w:r w:rsidRPr="00F6275A">
        <w:rPr>
          <w:rFonts w:ascii="Palatino Linotype" w:eastAsia="Palatino Linotype" w:hAnsi="Palatino Linotype" w:cs="Palatino Linotype"/>
          <w:b/>
          <w:bCs/>
          <w:sz w:val="24"/>
          <w:szCs w:val="24"/>
        </w:rPr>
        <w:t>178</w:t>
      </w:r>
      <w:r w:rsidRPr="00F6275A">
        <w:rPr>
          <w:rFonts w:ascii="Palatino Linotype" w:eastAsia="Palatino Linotype" w:hAnsi="Palatino Linotype" w:cs="Palatino Linotype"/>
          <w:sz w:val="24"/>
          <w:szCs w:val="24"/>
        </w:rPr>
        <w:t xml:space="preserve"> segundo párrafo de </w:t>
      </w:r>
      <w:r w:rsidRPr="00F6275A">
        <w:rPr>
          <w:rFonts w:ascii="Palatino Linotype" w:eastAsia="Palatino Linotype" w:hAnsi="Palatino Linotype" w:cs="Palatino Linotype"/>
          <w:b/>
          <w:bCs/>
          <w:sz w:val="24"/>
          <w:szCs w:val="24"/>
        </w:rPr>
        <w:t>Ley de Transparencia y Acceso a la Información Pública del Estado de México y Municipios</w:t>
      </w:r>
      <w:r w:rsidRPr="00F6275A">
        <w:rPr>
          <w:rFonts w:ascii="Palatino Linotype" w:eastAsia="Palatino Linotype" w:hAnsi="Palatino Linotype" w:cs="Palatino Linotype"/>
          <w:color w:val="000000"/>
          <w:sz w:val="24"/>
          <w:szCs w:val="24"/>
        </w:rPr>
        <w:t xml:space="preserve">, que dispone; ante la falta de respuesta del </w:t>
      </w:r>
      <w:r w:rsidRPr="00F6275A">
        <w:rPr>
          <w:rFonts w:ascii="Palatino Linotype" w:eastAsia="Palatino Linotype" w:hAnsi="Palatino Linotype" w:cs="Palatino Linotype"/>
          <w:b/>
          <w:bCs/>
          <w:color w:val="000000"/>
          <w:sz w:val="24"/>
          <w:szCs w:val="24"/>
        </w:rPr>
        <w:t>SUJETO OBLIGADO,</w:t>
      </w:r>
      <w:r w:rsidRPr="00F6275A">
        <w:rPr>
          <w:rFonts w:ascii="Palatino Linotype" w:eastAsia="Palatino Linotype" w:hAnsi="Palatino Linotype" w:cs="Palatino Linotype"/>
          <w:color w:val="000000"/>
          <w:sz w:val="24"/>
          <w:szCs w:val="24"/>
        </w:rPr>
        <w:t xml:space="preserve"> dentro de los plazos establecidos en esta Ley, a una solicitud de acceso a la información pública, el recurso </w:t>
      </w:r>
      <w:r w:rsidRPr="00F6275A">
        <w:rPr>
          <w:rFonts w:ascii="Palatino Linotype" w:eastAsia="Palatino Linotype" w:hAnsi="Palatino Linotype" w:cs="Palatino Linotype"/>
          <w:b/>
          <w:bCs/>
          <w:color w:val="000000"/>
          <w:sz w:val="24"/>
          <w:szCs w:val="24"/>
        </w:rPr>
        <w:t xml:space="preserve">podrá ser interpuesto en cualquier momento. </w:t>
      </w:r>
    </w:p>
    <w:p w:rsidR="00115674" w:rsidRPr="00F6275A" w:rsidRDefault="00115674">
      <w:pPr>
        <w:tabs>
          <w:tab w:val="left" w:pos="284"/>
        </w:tabs>
        <w:rPr>
          <w:rFonts w:ascii="Palatino Linotype" w:eastAsia="Palatino Linotype" w:hAnsi="Palatino Linotype" w:cs="Palatino Linotype"/>
          <w:color w:val="000000"/>
          <w:sz w:val="24"/>
          <w:szCs w:val="24"/>
        </w:rPr>
      </w:pPr>
    </w:p>
    <w:p w:rsidR="00115674" w:rsidRPr="00F6275A" w:rsidRDefault="00C60DA7">
      <w:pPr>
        <w:numPr>
          <w:ilvl w:val="0"/>
          <w:numId w:val="1"/>
        </w:numP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sz w:val="24"/>
          <w:szCs w:val="24"/>
        </w:rPr>
        <w:t xml:space="preserve">Por lo que, tratándose de la </w:t>
      </w:r>
      <w:r w:rsidRPr="00F6275A">
        <w:rPr>
          <w:rFonts w:ascii="Palatino Linotype" w:eastAsia="Palatino Linotype" w:hAnsi="Palatino Linotype" w:cs="Palatino Linotype"/>
          <w:i/>
          <w:iCs/>
          <w:sz w:val="24"/>
          <w:szCs w:val="24"/>
        </w:rPr>
        <w:t>negativa ficta</w:t>
      </w:r>
      <w:r w:rsidRPr="00F6275A">
        <w:rPr>
          <w:rFonts w:ascii="Palatino Linotype" w:eastAsia="Palatino Linotype" w:hAnsi="Palatino Linotype" w:cs="Palatino Linotype"/>
          <w:sz w:val="24"/>
          <w:szCs w:val="24"/>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F6275A">
        <w:rPr>
          <w:rFonts w:ascii="Palatino Linotype" w:eastAsia="Palatino Linotype" w:hAnsi="Palatino Linotype" w:cs="Palatino Linotype"/>
          <w:i/>
          <w:iCs/>
          <w:sz w:val="24"/>
          <w:szCs w:val="24"/>
        </w:rPr>
        <w:t>negativa ficta</w:t>
      </w:r>
      <w:r w:rsidRPr="00F6275A">
        <w:rPr>
          <w:rFonts w:ascii="Palatino Linotype" w:eastAsia="Palatino Linotype" w:hAnsi="Palatino Linotype" w:cs="Palatino Linotype"/>
          <w:sz w:val="24"/>
          <w:szCs w:val="24"/>
        </w:rPr>
        <w:t>, que señala:</w:t>
      </w:r>
    </w:p>
    <w:p w:rsidR="00115674" w:rsidRPr="00F6275A" w:rsidRDefault="00C60DA7">
      <w:pPr>
        <w:tabs>
          <w:tab w:val="left" w:pos="284"/>
          <w:tab w:val="left" w:pos="7655"/>
        </w:tabs>
        <w:spacing w:after="240" w:line="360" w:lineRule="auto"/>
        <w:ind w:left="567" w:right="822"/>
        <w:jc w:val="center"/>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Criterio 0001-15</w:t>
      </w:r>
    </w:p>
    <w:p w:rsidR="00115674" w:rsidRPr="00F6275A" w:rsidRDefault="00C60DA7">
      <w:pPr>
        <w:tabs>
          <w:tab w:val="left" w:pos="284"/>
          <w:tab w:val="left" w:pos="7655"/>
        </w:tabs>
        <w:spacing w:before="240" w:after="240" w:line="360" w:lineRule="auto"/>
        <w:ind w:left="567" w:right="822"/>
        <w:jc w:val="both"/>
        <w:rPr>
          <w:rFonts w:ascii="Palatino Linotype" w:eastAsia="Palatino Linotype" w:hAnsi="Palatino Linotype" w:cs="Palatino Linotype"/>
          <w:i/>
          <w:iCs/>
          <w:sz w:val="24"/>
          <w:szCs w:val="24"/>
        </w:rPr>
      </w:pPr>
      <w:r w:rsidRPr="00F6275A">
        <w:rPr>
          <w:rFonts w:ascii="Palatino Linotype" w:eastAsia="Palatino Linotype" w:hAnsi="Palatino Linotype" w:cs="Palatino Linotype"/>
          <w:b/>
          <w:bCs/>
          <w:i/>
          <w:iCs/>
          <w:sz w:val="24"/>
          <w:szCs w:val="24"/>
        </w:rPr>
        <w:t>NEGATIVA FICTA. PLAZO PARA INTERPONER EL RECURSO DE REVISIÓN TRATÁNDOSE DE.</w:t>
      </w:r>
      <w:r w:rsidRPr="00F6275A">
        <w:rPr>
          <w:rFonts w:ascii="Palatino Linotype" w:eastAsia="Palatino Linotype" w:hAnsi="Palatino Linotype" w:cs="Palatino Linotype"/>
          <w:i/>
          <w:iCs/>
          <w:sz w:val="24"/>
          <w:szCs w:val="24"/>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w:t>
      </w:r>
      <w:r w:rsidRPr="00F6275A">
        <w:rPr>
          <w:rFonts w:ascii="Palatino Linotype" w:eastAsia="Palatino Linotype" w:hAnsi="Palatino Linotype" w:cs="Palatino Linotype"/>
          <w:i/>
          <w:iCs/>
          <w:sz w:val="24"/>
          <w:szCs w:val="24"/>
        </w:rPr>
        <w:lastRenderedPageBreak/>
        <w:t>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115674" w:rsidRPr="00F6275A" w:rsidRDefault="00C60DA7">
      <w:pPr>
        <w:numPr>
          <w:ilvl w:val="0"/>
          <w:numId w:val="1"/>
        </w:numPr>
        <w:tabs>
          <w:tab w:val="left" w:pos="284"/>
        </w:tabs>
        <w:spacing w:before="240"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Lo anterior, se explica porque la </w:t>
      </w:r>
      <w:r w:rsidRPr="00F6275A">
        <w:rPr>
          <w:rFonts w:ascii="Palatino Linotype" w:eastAsia="Palatino Linotype" w:hAnsi="Palatino Linotype" w:cs="Palatino Linotype"/>
          <w:b/>
          <w:bCs/>
          <w:color w:val="000000"/>
          <w:sz w:val="24"/>
          <w:szCs w:val="24"/>
          <w:u w:val="single"/>
        </w:rPr>
        <w:t>posible ausencia</w:t>
      </w:r>
      <w:r w:rsidRPr="00F6275A">
        <w:rPr>
          <w:rFonts w:ascii="Palatino Linotype" w:eastAsia="Palatino Linotype" w:hAnsi="Palatino Linotype" w:cs="Palatino Linotype"/>
          <w:color w:val="000000"/>
          <w:sz w:val="24"/>
          <w:szCs w:val="24"/>
        </w:rPr>
        <w:t xml:space="preserve"> de una respuesta en la solicitud constituye un acto que vulnera el derecho de manera continua y actualizable cada día en tanto, no se emita la respuesta a la que esté impuesto el </w:t>
      </w:r>
      <w:r w:rsidRPr="00F6275A">
        <w:rPr>
          <w:rFonts w:ascii="Palatino Linotype" w:eastAsia="Palatino Linotype" w:hAnsi="Palatino Linotype" w:cs="Palatino Linotype"/>
          <w:b/>
          <w:bCs/>
          <w:color w:val="000000"/>
          <w:sz w:val="24"/>
          <w:szCs w:val="24"/>
        </w:rPr>
        <w:t>SUJETO OBLIGADO</w:t>
      </w:r>
      <w:r w:rsidRPr="00F6275A">
        <w:rPr>
          <w:rFonts w:ascii="Palatino Linotype" w:eastAsia="Palatino Linotype" w:hAnsi="Palatino Linotype" w:cs="Palatino Linotype"/>
          <w:color w:val="000000"/>
          <w:sz w:val="24"/>
          <w:szCs w:val="24"/>
        </w:rPr>
        <w:t>.</w:t>
      </w:r>
    </w:p>
    <w:p w:rsidR="00115674" w:rsidRPr="00F6275A" w:rsidRDefault="00115674">
      <w:pPr>
        <w:tabs>
          <w:tab w:val="left" w:pos="284"/>
        </w:tabs>
        <w:rPr>
          <w:rFonts w:ascii="Palatino Linotype" w:eastAsia="Palatino Linotype" w:hAnsi="Palatino Linotype" w:cs="Palatino Linotype"/>
          <w:color w:val="000000"/>
          <w:sz w:val="24"/>
          <w:szCs w:val="24"/>
        </w:rPr>
      </w:pPr>
    </w:p>
    <w:p w:rsidR="00115674" w:rsidRPr="00F6275A" w:rsidRDefault="00C60DA7">
      <w:pPr>
        <w:numPr>
          <w:ilvl w:val="0"/>
          <w:numId w:val="1"/>
        </w:numPr>
        <w:tabs>
          <w:tab w:val="left" w:pos="284"/>
        </w:tabs>
        <w:spacing w:after="240" w:line="360" w:lineRule="auto"/>
        <w:ind w:left="0" w:right="49" w:firstLine="0"/>
        <w:jc w:val="both"/>
        <w:rPr>
          <w:rFonts w:ascii="Palatino Linotype" w:eastAsia="Palatino Linotype" w:hAnsi="Palatino Linotype" w:cs="Palatino Linotype"/>
          <w:b/>
          <w:bCs/>
          <w:sz w:val="24"/>
          <w:szCs w:val="24"/>
        </w:rPr>
      </w:pPr>
      <w:bookmarkStart w:id="6" w:name="_heading=h.tyjcwt" w:colFirst="0" w:colLast="0"/>
      <w:bookmarkEnd w:id="6"/>
      <w:r w:rsidRPr="00F6275A">
        <w:rPr>
          <w:rFonts w:ascii="Palatino Linotype" w:eastAsia="Palatino Linotype" w:hAnsi="Palatino Linotype" w:cs="Palatino Linotype"/>
          <w:sz w:val="24"/>
          <w:szCs w:val="24"/>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15674" w:rsidRPr="00F6275A" w:rsidRDefault="00C60DA7">
      <w:pPr>
        <w:pStyle w:val="Ttulo1"/>
        <w:spacing w:before="0" w:line="360" w:lineRule="auto"/>
        <w:rPr>
          <w:rFonts w:ascii="Palatino Linotype" w:eastAsia="Palatino Linotype" w:hAnsi="Palatino Linotype" w:cs="Palatino Linotype"/>
          <w:b/>
          <w:bCs/>
          <w:color w:val="000000"/>
          <w:sz w:val="24"/>
          <w:szCs w:val="24"/>
        </w:rPr>
      </w:pPr>
      <w:bookmarkStart w:id="7" w:name="_heading=h.3dy6vkm" w:colFirst="0" w:colLast="0"/>
      <w:bookmarkEnd w:id="7"/>
      <w:r w:rsidRPr="00F6275A">
        <w:rPr>
          <w:rFonts w:ascii="Palatino Linotype" w:eastAsia="Palatino Linotype" w:hAnsi="Palatino Linotype" w:cs="Palatino Linotype"/>
          <w:b/>
          <w:bCs/>
          <w:color w:val="000000"/>
          <w:sz w:val="24"/>
          <w:szCs w:val="24"/>
        </w:rPr>
        <w:t>CUARTO. Causales de Sobreseimiento</w:t>
      </w:r>
    </w:p>
    <w:p w:rsidR="00115674" w:rsidRPr="00F6275A" w:rsidRDefault="00C60DA7">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F6275A">
        <w:rPr>
          <w:rFonts w:ascii="Palatino Linotype" w:eastAsia="Palatino Linotype" w:hAnsi="Palatino Linotype" w:cs="Palatino Linotype"/>
          <w:b/>
          <w:bCs/>
          <w:color w:val="000000"/>
          <w:sz w:val="24"/>
          <w:szCs w:val="24"/>
          <w:u w:val="single"/>
        </w:rPr>
        <w:t>sobreseimiento</w:t>
      </w:r>
      <w:r w:rsidRPr="00F6275A">
        <w:rPr>
          <w:rFonts w:ascii="Palatino Linotype" w:eastAsia="Palatino Linotype" w:hAnsi="Palatino Linotype" w:cs="Palatino Linotype"/>
          <w:color w:val="000000"/>
          <w:sz w:val="24"/>
          <w:szCs w:val="24"/>
        </w:rPr>
        <w:t xml:space="preserve">; y en su caso ordenar la entrega de la información con respecto a la respuesta emitida por el </w:t>
      </w:r>
      <w:r w:rsidRPr="00F6275A">
        <w:rPr>
          <w:rFonts w:ascii="Palatino Linotype" w:eastAsia="Palatino Linotype" w:hAnsi="Palatino Linotype" w:cs="Palatino Linotype"/>
          <w:b/>
          <w:bCs/>
          <w:color w:val="000000"/>
          <w:sz w:val="24"/>
          <w:szCs w:val="24"/>
        </w:rPr>
        <w:t>SUJETO</w:t>
      </w:r>
      <w:r w:rsidRPr="00F6275A">
        <w:rPr>
          <w:rFonts w:ascii="Palatino Linotype" w:eastAsia="Palatino Linotype" w:hAnsi="Palatino Linotype" w:cs="Palatino Linotype"/>
          <w:color w:val="000000"/>
          <w:sz w:val="24"/>
          <w:szCs w:val="24"/>
        </w:rPr>
        <w:t xml:space="preserve"> </w:t>
      </w:r>
      <w:r w:rsidRPr="00F6275A">
        <w:rPr>
          <w:rFonts w:ascii="Palatino Linotype" w:eastAsia="Palatino Linotype" w:hAnsi="Palatino Linotype" w:cs="Palatino Linotype"/>
          <w:b/>
          <w:bCs/>
          <w:color w:val="000000"/>
          <w:sz w:val="24"/>
          <w:szCs w:val="24"/>
        </w:rPr>
        <w:t>OBLIGADO</w:t>
      </w:r>
      <w:r w:rsidRPr="00F6275A">
        <w:rPr>
          <w:rFonts w:ascii="Palatino Linotype" w:eastAsia="Palatino Linotype" w:hAnsi="Palatino Linotype" w:cs="Palatino Linotype"/>
          <w:color w:val="000000"/>
          <w:sz w:val="24"/>
          <w:szCs w:val="24"/>
        </w:rPr>
        <w:t>.</w:t>
      </w:r>
    </w:p>
    <w:p w:rsidR="00115674" w:rsidRPr="00F6275A" w:rsidRDefault="00C60DA7">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lastRenderedPageBreak/>
        <w:t xml:space="preserve">De acuerdo al precepto legal contenido en la fracción III del artículo 192 de la </w:t>
      </w:r>
      <w:r w:rsidRPr="00F6275A">
        <w:rPr>
          <w:rFonts w:ascii="Palatino Linotype" w:eastAsia="Palatino Linotype" w:hAnsi="Palatino Linotype" w:cs="Palatino Linotype"/>
          <w:b/>
          <w:bCs/>
          <w:color w:val="000000"/>
          <w:sz w:val="24"/>
          <w:szCs w:val="24"/>
        </w:rPr>
        <w:t>Ley de Transparencia y Acceso a la Información Pública del Estado de México y Municipios</w:t>
      </w:r>
      <w:r w:rsidRPr="00F6275A">
        <w:rPr>
          <w:rFonts w:ascii="Palatino Linotype" w:eastAsia="Palatino Linotype" w:hAnsi="Palatino Linotype" w:cs="Palatino Linotype"/>
          <w:color w:val="000000"/>
          <w:sz w:val="24"/>
          <w:szCs w:val="24"/>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115674" w:rsidRPr="00F6275A" w:rsidRDefault="00115674">
      <w:pPr>
        <w:pBdr>
          <w:top w:val="nil"/>
          <w:left w:val="nil"/>
          <w:bottom w:val="nil"/>
          <w:right w:val="nil"/>
          <w:between w:val="nil"/>
        </w:pBdr>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Para los efectos de esta resolución, es oportuno precisar los alcances jurídicos de la fracción III de la disposición legal transcrita. Así, procede el sobreseimiento del recurso de revisión cuando el </w:t>
      </w:r>
      <w:r w:rsidRPr="00F6275A">
        <w:rPr>
          <w:rFonts w:ascii="Palatino Linotype" w:eastAsia="Palatino Linotype" w:hAnsi="Palatino Linotype" w:cs="Palatino Linotype"/>
          <w:b/>
          <w:bCs/>
          <w:color w:val="000000"/>
          <w:sz w:val="24"/>
          <w:szCs w:val="24"/>
        </w:rPr>
        <w:t>SUJETO OBLIGADO</w:t>
      </w:r>
      <w:r w:rsidRPr="00F6275A">
        <w:rPr>
          <w:rFonts w:ascii="Palatino Linotype" w:eastAsia="Palatino Linotype" w:hAnsi="Palatino Linotype" w:cs="Palatino Linotype"/>
          <w:color w:val="000000"/>
          <w:sz w:val="24"/>
          <w:szCs w:val="24"/>
        </w:rPr>
        <w:t>:</w:t>
      </w:r>
    </w:p>
    <w:p w:rsidR="00115674" w:rsidRPr="00F6275A" w:rsidRDefault="00C60DA7">
      <w:pPr>
        <w:numPr>
          <w:ilvl w:val="0"/>
          <w:numId w:val="3"/>
        </w:numPr>
        <w:spacing w:line="360" w:lineRule="auto"/>
        <w:ind w:left="567" w:right="616" w:firstLine="0"/>
        <w:jc w:val="both"/>
        <w:rPr>
          <w:rFonts w:ascii="Palatino Linotype" w:eastAsia="Palatino Linotype" w:hAnsi="Palatino Linotype" w:cs="Palatino Linotype"/>
          <w:sz w:val="24"/>
          <w:szCs w:val="24"/>
        </w:rPr>
      </w:pPr>
      <w:r w:rsidRPr="00F6275A">
        <w:rPr>
          <w:rFonts w:ascii="Palatino Linotype" w:eastAsia="Palatino Linotype" w:hAnsi="Palatino Linotype" w:cs="Palatino Linotype"/>
          <w:b/>
          <w:bCs/>
          <w:sz w:val="24"/>
          <w:szCs w:val="24"/>
        </w:rPr>
        <w:t>Modifique el acto impugnado:</w:t>
      </w:r>
      <w:r w:rsidRPr="00F6275A">
        <w:rPr>
          <w:rFonts w:ascii="Palatino Linotype" w:eastAsia="Palatino Linotype" w:hAnsi="Palatino Linotype" w:cs="Palatino Linotype"/>
          <w:sz w:val="24"/>
          <w:szCs w:val="24"/>
        </w:rPr>
        <w:t xml:space="preserve"> Se actualiza cuando el </w:t>
      </w:r>
      <w:r w:rsidRPr="00F6275A">
        <w:rPr>
          <w:rFonts w:ascii="Palatino Linotype" w:eastAsia="Palatino Linotype" w:hAnsi="Palatino Linotype" w:cs="Palatino Linotype"/>
          <w:b/>
          <w:bCs/>
          <w:sz w:val="24"/>
          <w:szCs w:val="24"/>
        </w:rPr>
        <w:t>SUJETO OBLIGADO</w:t>
      </w:r>
      <w:r w:rsidRPr="00F6275A">
        <w:rPr>
          <w:rFonts w:ascii="Palatino Linotype" w:eastAsia="Palatino Linotype" w:hAnsi="Palatino Linotype" w:cs="Palatino Linotype"/>
          <w:sz w:val="24"/>
          <w:szCs w:val="24"/>
        </w:rPr>
        <w:t xml:space="preserve"> después de haber otorgado una respuesta y hasta antes de dictada la resolución del recurso de revisión, emite una diversa en la que subsane las deficiencias que hubiera tenido.</w:t>
      </w:r>
    </w:p>
    <w:p w:rsidR="00115674" w:rsidRPr="00F6275A" w:rsidRDefault="00C60DA7">
      <w:pPr>
        <w:numPr>
          <w:ilvl w:val="0"/>
          <w:numId w:val="3"/>
        </w:numPr>
        <w:spacing w:line="360" w:lineRule="auto"/>
        <w:ind w:left="567" w:right="616" w:firstLine="0"/>
        <w:jc w:val="both"/>
        <w:rPr>
          <w:rFonts w:ascii="Palatino Linotype" w:eastAsia="Palatino Linotype" w:hAnsi="Palatino Linotype" w:cs="Palatino Linotype"/>
          <w:sz w:val="24"/>
          <w:szCs w:val="24"/>
        </w:rPr>
      </w:pPr>
      <w:r w:rsidRPr="00F6275A">
        <w:rPr>
          <w:rFonts w:ascii="Palatino Linotype" w:eastAsia="Palatino Linotype" w:hAnsi="Palatino Linotype" w:cs="Palatino Linotype"/>
          <w:b/>
          <w:bCs/>
          <w:sz w:val="24"/>
          <w:szCs w:val="24"/>
        </w:rPr>
        <w:t>Revoque el acto impugnado:</w:t>
      </w:r>
      <w:r w:rsidRPr="00F6275A">
        <w:rPr>
          <w:rFonts w:ascii="Palatino Linotype" w:eastAsia="Palatino Linotype" w:hAnsi="Palatino Linotype" w:cs="Palatino Linotype"/>
          <w:sz w:val="24"/>
          <w:szCs w:val="24"/>
        </w:rPr>
        <w:t xml:space="preserve"> En este supuesto, el </w:t>
      </w:r>
      <w:r w:rsidRPr="00F6275A">
        <w:rPr>
          <w:rFonts w:ascii="Palatino Linotype" w:eastAsia="Palatino Linotype" w:hAnsi="Palatino Linotype" w:cs="Palatino Linotype"/>
          <w:b/>
          <w:bCs/>
          <w:sz w:val="24"/>
          <w:szCs w:val="24"/>
        </w:rPr>
        <w:t>SUJETO OBLIGADO</w:t>
      </w:r>
      <w:r w:rsidRPr="00F6275A">
        <w:rPr>
          <w:rFonts w:ascii="Palatino Linotype" w:eastAsia="Palatino Linotype" w:hAnsi="Palatino Linotype" w:cs="Palatino Linotype"/>
          <w:sz w:val="24"/>
          <w:szCs w:val="24"/>
        </w:rPr>
        <w:t xml:space="preserve"> deja sin efectos la primera respuesta y en su lugar emite otra que satisfaga lo solicitado por el Particular en un primer momento.</w:t>
      </w:r>
    </w:p>
    <w:p w:rsidR="00115674" w:rsidRPr="00F6275A" w:rsidRDefault="00115674">
      <w:pPr>
        <w:spacing w:line="360" w:lineRule="auto"/>
        <w:ind w:right="616"/>
        <w:jc w:val="both"/>
        <w:rPr>
          <w:rFonts w:ascii="Palatino Linotype" w:eastAsia="Palatino Linotype" w:hAnsi="Palatino Linotype" w:cs="Palatino Linotype"/>
          <w:sz w:val="24"/>
          <w:szCs w:val="24"/>
        </w:rPr>
      </w:pPr>
    </w:p>
    <w:p w:rsidR="00115674" w:rsidRPr="00F6275A" w:rsidRDefault="00C60DA7">
      <w:pPr>
        <w:numPr>
          <w:ilvl w:val="0"/>
          <w:numId w:val="1"/>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Las consecuencias jurídicas de esta modificación o revocación es que el recurso de revisión interpuesto quede sin efectos o sin materia. Un acto impugnado queda sin efectos, cuando aun existiendo jurídicamente, no genera consecuencia legal alguna; queda sin materia, </w:t>
      </w:r>
      <w:r w:rsidRPr="00F6275A">
        <w:rPr>
          <w:rFonts w:ascii="Palatino Linotype" w:eastAsia="Palatino Linotype" w:hAnsi="Palatino Linotype" w:cs="Palatino Linotype"/>
          <w:color w:val="000000"/>
          <w:sz w:val="24"/>
          <w:szCs w:val="24"/>
        </w:rPr>
        <w:lastRenderedPageBreak/>
        <w:t>cuando ha sido satisfecha la pretensión del Particular, ya sea porque se hizo la entrega de la información solicitada o porque se completó la misma.</w:t>
      </w:r>
    </w:p>
    <w:p w:rsidR="00115674" w:rsidRPr="00F6275A" w:rsidRDefault="00115674">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sz w:val="24"/>
          <w:szCs w:val="24"/>
        </w:rPr>
      </w:pPr>
    </w:p>
    <w:p w:rsidR="00FE46A6" w:rsidRDefault="00C60DA7">
      <w:pPr>
        <w:numPr>
          <w:ilvl w:val="0"/>
          <w:numId w:val="1"/>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Recordemos que el Recurrente solicitó el número de tianguis en el municipio, número de puestos en cada uno y los requisitos que se necesitan para tener un permiso para un puesto de tianguis en el municipio de Ixtapaluca. </w:t>
      </w:r>
    </w:p>
    <w:p w:rsidR="00115674" w:rsidRPr="00F6275A" w:rsidRDefault="00C60DA7" w:rsidP="00FE46A6">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 </w:t>
      </w:r>
    </w:p>
    <w:p w:rsidR="00115674" w:rsidRPr="00F6275A" w:rsidRDefault="00C60DA7">
      <w:pPr>
        <w:numPr>
          <w:ilvl w:val="0"/>
          <w:numId w:val="1"/>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Posteriormente, derivado de la falta de respuesta por parte del Sujeto Obligado, el Recurrente interpuso recurso de revisión por la negativa de la información. Ante ello, el Sujeto Obligado remitió informe justificado a través de la Dirección de Desarrollo Económico, quien de acuerdo Manual de Organización de la Dirección de Fomento y Desarrollo Económico es la encargada de planear, programar y coordinar, las políticas públicas que impulsen el desarrollo económico del Municipio, así como aquellas actividades encaminadas a la movilidad, turismo, empleo y proponer acciones en materia de mejora regulatoria, es decir, que el informe justificado fue entregado por el área que de acuerdo a sus facultades genera, poseer y administra la información solicitada en términos del artículo 162 de la Ley de Transparencia y Acceso a la Información Pública del Estado de México y Municipios que establece: </w:t>
      </w:r>
    </w:p>
    <w:p w:rsidR="00115674" w:rsidRPr="00F6275A" w:rsidRDefault="00C60DA7">
      <w:pPr>
        <w:pBdr>
          <w:top w:val="nil"/>
          <w:left w:val="nil"/>
          <w:bottom w:val="nil"/>
          <w:right w:val="nil"/>
          <w:between w:val="nil"/>
        </w:pBdr>
        <w:tabs>
          <w:tab w:val="left" w:pos="284"/>
          <w:tab w:val="left" w:pos="567"/>
        </w:tabs>
        <w:spacing w:line="360" w:lineRule="auto"/>
        <w:ind w:left="851" w:right="822"/>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b/>
          <w:bCs/>
          <w:i/>
          <w:iCs/>
          <w:color w:val="000000"/>
          <w:sz w:val="24"/>
          <w:szCs w:val="24"/>
        </w:rPr>
        <w:t xml:space="preserve">“Artículo 162. </w:t>
      </w:r>
      <w:r w:rsidRPr="00F6275A">
        <w:rPr>
          <w:rFonts w:ascii="Palatino Linotype" w:eastAsia="Palatino Linotype" w:hAnsi="Palatino Linotype" w:cs="Palatino Linotype"/>
          <w:i/>
          <w:iCs/>
          <w:color w:val="000000"/>
          <w:sz w:val="24"/>
          <w:szCs w:val="24"/>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15674" w:rsidRPr="00F6275A" w:rsidRDefault="00115674">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Ahora bien, la información remitida en informe justificado consta de la siguiente información: </w:t>
      </w:r>
    </w:p>
    <w:p w:rsidR="00115674" w:rsidRPr="00F6275A" w:rsidRDefault="00C60DA7">
      <w:pPr>
        <w:pBdr>
          <w:top w:val="nil"/>
          <w:left w:val="nil"/>
          <w:bottom w:val="nil"/>
          <w:right w:val="nil"/>
          <w:between w:val="nil"/>
        </w:pBdr>
        <w:spacing w:line="360" w:lineRule="auto"/>
        <w:jc w:val="center"/>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noProof/>
          <w:color w:val="000000"/>
          <w:sz w:val="24"/>
          <w:szCs w:val="24"/>
        </w:rPr>
        <w:lastRenderedPageBreak/>
        <w:drawing>
          <wp:inline distT="0" distB="0" distL="0" distR="0">
            <wp:extent cx="5151288" cy="27698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51288" cy="2769840"/>
                    </a:xfrm>
                    <a:prstGeom prst="rect">
                      <a:avLst/>
                    </a:prstGeom>
                    <a:ln/>
                  </pic:spPr>
                </pic:pic>
              </a:graphicData>
            </a:graphic>
          </wp:inline>
        </w:drawing>
      </w:r>
    </w:p>
    <w:p w:rsidR="00115674" w:rsidRPr="00F6275A" w:rsidRDefault="00115674">
      <w:pPr>
        <w:pBdr>
          <w:top w:val="nil"/>
          <w:left w:val="nil"/>
          <w:bottom w:val="nil"/>
          <w:right w:val="nil"/>
          <w:between w:val="nil"/>
        </w:pBdr>
        <w:spacing w:line="360" w:lineRule="auto"/>
        <w:jc w:val="center"/>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Como se advierte, la información remitida en informe justificado colma el requerimiento referente al número total de tianguis y el número de puestos en cada uno de ellos. Asimismo, referente al permiso para un puesto de tianguis, el Sujeto Obligado señaló que solo registra las asociaciones de tianguis, sin intervenir en la organización y autorización de sus agremiados, al respecto, este Órgano Garante no está facultado para dudar de la veracidad de la información remitida,  en ese sentido, la </w:t>
      </w:r>
      <w:r w:rsidRPr="00F6275A">
        <w:rPr>
          <w:rFonts w:ascii="Palatino Linotype" w:eastAsia="Palatino Linotype" w:hAnsi="Palatino Linotype" w:cs="Palatino Linotype"/>
          <w:b/>
          <w:bCs/>
          <w:color w:val="000000"/>
          <w:sz w:val="24"/>
          <w:szCs w:val="24"/>
        </w:rPr>
        <w:t>Ley de Transparencia y Acceso a la Información Pública del Estado de México y Municipios</w:t>
      </w:r>
      <w:r w:rsidRPr="00F6275A">
        <w:rPr>
          <w:rFonts w:ascii="Palatino Linotype" w:eastAsia="Palatino Linotype" w:hAnsi="Palatino Linotype" w:cs="Palatino Linotype"/>
          <w:color w:val="000000"/>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sz w:val="24"/>
          <w:szCs w:val="24"/>
        </w:rPr>
      </w:pPr>
      <w:r w:rsidRPr="00F6275A">
        <w:rPr>
          <w:rFonts w:ascii="Palatino Linotype" w:eastAsia="Palatino Linotype" w:hAnsi="Palatino Linotype" w:cs="Palatino Linotype"/>
          <w:i/>
          <w:iCs/>
          <w:color w:val="000000"/>
          <w:sz w:val="24"/>
          <w:szCs w:val="24"/>
        </w:rPr>
        <w:lastRenderedPageBreak/>
        <w:t xml:space="preserve">“Artículo 4.- </w:t>
      </w:r>
    </w:p>
    <w:p w:rsidR="00115674" w:rsidRPr="00F6275A" w:rsidRDefault="00C60DA7">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sz w:val="24"/>
          <w:szCs w:val="24"/>
        </w:rPr>
      </w:pPr>
      <w:r w:rsidRPr="00F6275A">
        <w:rPr>
          <w:rFonts w:ascii="Palatino Linotype" w:eastAsia="Palatino Linotype" w:hAnsi="Palatino Linotype" w:cs="Palatino Linotype"/>
          <w:i/>
          <w:iCs/>
          <w:color w:val="000000"/>
          <w:sz w:val="24"/>
          <w:szCs w:val="24"/>
        </w:rPr>
        <w:t>..</w:t>
      </w:r>
    </w:p>
    <w:p w:rsidR="00115674" w:rsidRPr="00F6275A" w:rsidRDefault="00C60DA7">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sz w:val="24"/>
          <w:szCs w:val="24"/>
        </w:rPr>
      </w:pPr>
      <w:r w:rsidRPr="00F6275A">
        <w:rPr>
          <w:rFonts w:ascii="Palatino Linotype" w:eastAsia="Palatino Linotype" w:hAnsi="Palatino Linotype" w:cs="Palatino Linotype"/>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115674" w:rsidRPr="00F6275A" w:rsidRDefault="00C60D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
          <w:iCs/>
          <w:color w:val="000000"/>
          <w:sz w:val="24"/>
          <w:szCs w:val="24"/>
        </w:rPr>
      </w:pPr>
      <w:r w:rsidRPr="00F6275A">
        <w:rPr>
          <w:rFonts w:ascii="Palatino Linotype" w:eastAsia="Palatino Linotype" w:hAnsi="Palatino Linotype" w:cs="Palatino Linotype"/>
          <w:i/>
          <w:iCs/>
          <w:color w:val="000000"/>
          <w:sz w:val="24"/>
          <w:szCs w:val="24"/>
        </w:rPr>
        <w:t>…”</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Numerales que compelen al </w:t>
      </w:r>
      <w:r w:rsidRPr="00F6275A">
        <w:rPr>
          <w:rFonts w:ascii="Palatino Linotype" w:eastAsia="Palatino Linotype" w:hAnsi="Palatino Linotype" w:cs="Palatino Linotype"/>
          <w:b/>
          <w:bCs/>
          <w:color w:val="000000"/>
          <w:sz w:val="24"/>
          <w:szCs w:val="24"/>
        </w:rPr>
        <w:t>SUJETO OBLIGADO</w:t>
      </w:r>
      <w:r w:rsidRPr="00F6275A">
        <w:rPr>
          <w:rFonts w:ascii="Palatino Linotype" w:eastAsia="Palatino Linotype" w:hAnsi="Palatino Linotype" w:cs="Palatino Linotype"/>
          <w:color w:val="000000"/>
          <w:sz w:val="24"/>
          <w:szCs w:val="24"/>
        </w:rPr>
        <w:t xml:space="preserve"> a apegarse en todo momento a los criterios ya expuestos, impidiendo a este Órgano Colegiado cuestionar la veracidad de la información.</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Así, </w:t>
      </w:r>
      <w:r w:rsidRPr="00F6275A">
        <w:rPr>
          <w:rFonts w:ascii="Palatino Linotype" w:eastAsia="Palatino Linotype" w:hAnsi="Palatino Linotype" w:cs="Palatino Linotype"/>
          <w:sz w:val="24"/>
          <w:szCs w:val="24"/>
        </w:rPr>
        <w:t xml:space="preserve">este Pleno advierte que el </w:t>
      </w:r>
      <w:r w:rsidRPr="00F6275A">
        <w:rPr>
          <w:rFonts w:ascii="Palatino Linotype" w:eastAsia="Palatino Linotype" w:hAnsi="Palatino Linotype" w:cs="Palatino Linotype"/>
          <w:b/>
          <w:bCs/>
          <w:sz w:val="24"/>
          <w:szCs w:val="24"/>
        </w:rPr>
        <w:t>SUJETO OBLIGADO</w:t>
      </w:r>
      <w:r w:rsidRPr="00F6275A">
        <w:rPr>
          <w:rFonts w:ascii="Palatino Linotype" w:eastAsia="Palatino Linotype" w:hAnsi="Palatino Linotype" w:cs="Palatino Linotype"/>
          <w:sz w:val="24"/>
          <w:szCs w:val="24"/>
        </w:rPr>
        <w:t xml:space="preserve"> </w:t>
      </w:r>
      <w:r w:rsidRPr="00F6275A">
        <w:rPr>
          <w:rFonts w:ascii="Palatino Linotype" w:eastAsia="Palatino Linotype" w:hAnsi="Palatino Linotype" w:cs="Palatino Linotype"/>
          <w:b/>
          <w:bCs/>
          <w:sz w:val="24"/>
          <w:szCs w:val="24"/>
        </w:rPr>
        <w:t xml:space="preserve">modificó </w:t>
      </w:r>
      <w:r w:rsidRPr="00F6275A">
        <w:rPr>
          <w:rFonts w:ascii="Palatino Linotype" w:eastAsia="Palatino Linotype" w:hAnsi="Palatino Linotype" w:cs="Palatino Linotype"/>
          <w:sz w:val="24"/>
          <w:szCs w:val="24"/>
        </w:rPr>
        <w:t>el acto que le dio origen a al recurso de revisión y que, a través de informe justificado entregó el organigrama solicitado, lo que trae como consecuencia que el mismo quede sin materia, actualizándose de este modo, la hipótesis jurídica contenida en la fracción III del artículo 192 de la Ley de Transparencia Local.</w:t>
      </w:r>
    </w:p>
    <w:p w:rsidR="00115674" w:rsidRPr="00F6275A" w:rsidRDefault="00115674">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Ahora bien, </w:t>
      </w:r>
      <w:r w:rsidRPr="00F6275A">
        <w:rPr>
          <w:rFonts w:ascii="Palatino Linotype" w:eastAsia="Palatino Linotype" w:hAnsi="Palatino Linotype" w:cs="Palatino Linotype"/>
          <w:sz w:val="24"/>
          <w:szCs w:val="24"/>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F6275A">
        <w:rPr>
          <w:rFonts w:ascii="Palatino Linotype" w:eastAsia="Palatino Linotype" w:hAnsi="Palatino Linotype" w:cs="Palatino Linotype"/>
          <w:b/>
          <w:bCs/>
          <w:sz w:val="24"/>
          <w:szCs w:val="24"/>
        </w:rPr>
        <w:t>SUJETOS OBLIGADOS</w:t>
      </w:r>
      <w:r w:rsidRPr="00F6275A">
        <w:rPr>
          <w:rFonts w:ascii="Palatino Linotype" w:eastAsia="Palatino Linotype" w:hAnsi="Palatino Linotype" w:cs="Palatino Linotype"/>
          <w:sz w:val="24"/>
          <w:szCs w:val="24"/>
        </w:rPr>
        <w:t xml:space="preserve"> o la negativa de entrega de esta, derivada de la solicitud de información pública.</w:t>
      </w:r>
    </w:p>
    <w:p w:rsidR="00115674" w:rsidRPr="00F6275A" w:rsidRDefault="00115674">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lastRenderedPageBreak/>
        <w:t xml:space="preserve">De </w:t>
      </w:r>
      <w:r w:rsidRPr="00F6275A">
        <w:rPr>
          <w:rFonts w:ascii="Palatino Linotype" w:eastAsia="Palatino Linotype" w:hAnsi="Palatino Linotype" w:cs="Palatino Linotype"/>
          <w:sz w:val="24"/>
          <w:szCs w:val="24"/>
        </w:rPr>
        <w:t xml:space="preserve">este modo, cuando el </w:t>
      </w:r>
      <w:r w:rsidRPr="00F6275A">
        <w:rPr>
          <w:rFonts w:ascii="Palatino Linotype" w:eastAsia="Palatino Linotype" w:hAnsi="Palatino Linotype" w:cs="Palatino Linotype"/>
          <w:b/>
          <w:bCs/>
          <w:sz w:val="24"/>
          <w:szCs w:val="24"/>
        </w:rPr>
        <w:t xml:space="preserve">SUJETO OBLIGADO, </w:t>
      </w:r>
      <w:r w:rsidRPr="00F6275A">
        <w:rPr>
          <w:rFonts w:ascii="Palatino Linotype" w:eastAsia="Palatino Linotype" w:hAnsi="Palatino Linotype" w:cs="Palatino Linotype"/>
          <w:sz w:val="24"/>
          <w:szCs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F6275A">
        <w:rPr>
          <w:rFonts w:ascii="Palatino Linotype" w:eastAsia="Palatino Linotype" w:hAnsi="Palatino Linotype" w:cs="Palatino Linotype"/>
          <w:i/>
          <w:iCs/>
          <w:sz w:val="24"/>
          <w:szCs w:val="24"/>
        </w:rPr>
        <w:t>litis</w:t>
      </w:r>
      <w:r w:rsidRPr="00F6275A">
        <w:rPr>
          <w:rFonts w:ascii="Palatino Linotype" w:eastAsia="Palatino Linotype" w:hAnsi="Palatino Linotype" w:cs="Palatino Linotype"/>
          <w:sz w:val="24"/>
          <w:szCs w:val="24"/>
        </w:rPr>
        <w:t xml:space="preserve"> planteada, debido a que la afectación en su esfera de derechos fue restituida por la propia autoridad que emitió el acto motivo de impugnación.</w:t>
      </w:r>
    </w:p>
    <w:p w:rsidR="00115674" w:rsidRPr="00F6275A" w:rsidRDefault="00115674">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Sirve </w:t>
      </w:r>
      <w:r w:rsidRPr="00F6275A">
        <w:rPr>
          <w:rFonts w:ascii="Palatino Linotype" w:eastAsia="Palatino Linotype" w:hAnsi="Palatino Linotype" w:cs="Palatino Linotype"/>
          <w:sz w:val="24"/>
          <w:szCs w:val="24"/>
        </w:rPr>
        <w:t>de sustento a lo anterior la siguiente jurisprudencia por contradicción, cuyo rubro, texto y datos de identificación son los siguientes:</w:t>
      </w:r>
    </w:p>
    <w:p w:rsidR="00115674" w:rsidRPr="00F6275A" w:rsidRDefault="00C60DA7">
      <w:pPr>
        <w:pBdr>
          <w:top w:val="nil"/>
          <w:left w:val="nil"/>
          <w:bottom w:val="nil"/>
          <w:right w:val="nil"/>
          <w:between w:val="nil"/>
        </w:pBdr>
        <w:tabs>
          <w:tab w:val="left" w:pos="709"/>
          <w:tab w:val="left" w:pos="851"/>
        </w:tabs>
        <w:spacing w:line="360" w:lineRule="auto"/>
        <w:ind w:left="851" w:right="822"/>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b/>
          <w:bCs/>
          <w:i/>
          <w:iCs/>
          <w:color w:val="000000"/>
          <w:sz w:val="24"/>
          <w:szCs w:val="24"/>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F6275A">
        <w:rPr>
          <w:rFonts w:ascii="Palatino Linotype" w:eastAsia="Palatino Linotype" w:hAnsi="Palatino Linotype" w:cs="Palatino Linotype"/>
          <w:i/>
          <w:iCs/>
          <w:color w:val="000000"/>
          <w:sz w:val="24"/>
          <w:szCs w:val="24"/>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w:t>
      </w:r>
      <w:r w:rsidRPr="00F6275A">
        <w:rPr>
          <w:rFonts w:ascii="Palatino Linotype" w:eastAsia="Palatino Linotype" w:hAnsi="Palatino Linotype" w:cs="Palatino Linotype"/>
          <w:i/>
          <w:iCs/>
          <w:color w:val="000000"/>
          <w:sz w:val="24"/>
          <w:szCs w:val="24"/>
        </w:rPr>
        <w:lastRenderedPageBreak/>
        <w:t>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115674" w:rsidRPr="00F6275A" w:rsidRDefault="00115674">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La anterior jurisprudencia resulta aplicable al presente asunto, en dos aspectos: </w:t>
      </w:r>
    </w:p>
    <w:p w:rsidR="00115674" w:rsidRPr="00F6275A" w:rsidRDefault="00C60DA7">
      <w:pPr>
        <w:numPr>
          <w:ilvl w:val="0"/>
          <w:numId w:val="4"/>
        </w:numPr>
        <w:spacing w:line="360" w:lineRule="auto"/>
        <w:ind w:left="567" w:right="616" w:firstLine="0"/>
        <w:jc w:val="both"/>
        <w:rPr>
          <w:rFonts w:ascii="Palatino Linotype" w:eastAsia="Palatino Linotype" w:hAnsi="Palatino Linotype" w:cs="Palatino Linotype"/>
          <w:sz w:val="24"/>
          <w:szCs w:val="24"/>
        </w:rPr>
      </w:pPr>
      <w:r w:rsidRPr="00F6275A">
        <w:rPr>
          <w:rFonts w:ascii="Palatino Linotype" w:eastAsia="Palatino Linotype" w:hAnsi="Palatino Linotype" w:cs="Palatino Linotype"/>
          <w:b/>
          <w:bCs/>
          <w:sz w:val="24"/>
          <w:szCs w:val="24"/>
        </w:rPr>
        <w:t>La cesación de los efectos perniciosos del acto de autoridad:</w:t>
      </w:r>
      <w:r w:rsidRPr="00F6275A">
        <w:rPr>
          <w:rFonts w:ascii="Palatino Linotype" w:eastAsia="Palatino Linotype" w:hAnsi="Palatino Linotype" w:cs="Palatino Linotype"/>
          <w:sz w:val="24"/>
          <w:szCs w:val="24"/>
        </w:rPr>
        <w:t xml:space="preserve"> Al respecto, la Ley de Transparencia contempla la figura jurídica del sobreseimiento cuando el </w:t>
      </w:r>
      <w:r w:rsidRPr="00F6275A">
        <w:rPr>
          <w:rFonts w:ascii="Palatino Linotype" w:eastAsia="Palatino Linotype" w:hAnsi="Palatino Linotype" w:cs="Palatino Linotype"/>
          <w:b/>
          <w:bCs/>
          <w:sz w:val="24"/>
          <w:szCs w:val="24"/>
        </w:rPr>
        <w:t>SUJETO OBLIGADO</w:t>
      </w:r>
      <w:r w:rsidRPr="00F6275A">
        <w:rPr>
          <w:rFonts w:ascii="Palatino Linotype" w:eastAsia="Palatino Linotype" w:hAnsi="Palatino Linotype" w:cs="Palatino Linotype"/>
          <w:sz w:val="24"/>
          <w:szCs w:val="24"/>
        </w:rPr>
        <w:t xml:space="preserve"> de </w:t>
      </w:r>
      <w:r w:rsidRPr="00F6275A">
        <w:rPr>
          <w:rFonts w:ascii="Palatino Linotype" w:eastAsia="Palatino Linotype" w:hAnsi="Palatino Linotype" w:cs="Palatino Linotype"/>
          <w:i/>
          <w:iCs/>
          <w:sz w:val="24"/>
          <w:szCs w:val="24"/>
        </w:rPr>
        <w:t>motu proprio</w:t>
      </w:r>
      <w:r w:rsidRPr="00F6275A">
        <w:rPr>
          <w:rFonts w:ascii="Palatino Linotype" w:eastAsia="Palatino Linotype" w:hAnsi="Palatino Linotype" w:cs="Palatino Linotype"/>
          <w:sz w:val="24"/>
          <w:szCs w:val="24"/>
        </w:rPr>
        <w:t xml:space="preserve"> modifica o revoca de tal manera el acto motivo de la impugnación que lo deja sin materia; es decir, cesan los efectos de éste y el derecho de acceso a la información pública se encuentra satisfecho.</w:t>
      </w:r>
    </w:p>
    <w:p w:rsidR="00115674" w:rsidRPr="00F6275A" w:rsidRDefault="00C60DA7">
      <w:pPr>
        <w:numPr>
          <w:ilvl w:val="0"/>
          <w:numId w:val="4"/>
        </w:numPr>
        <w:spacing w:line="360" w:lineRule="auto"/>
        <w:ind w:left="567" w:right="616" w:firstLine="0"/>
        <w:jc w:val="both"/>
        <w:rPr>
          <w:rFonts w:ascii="Palatino Linotype" w:eastAsia="Palatino Linotype" w:hAnsi="Palatino Linotype" w:cs="Palatino Linotype"/>
          <w:sz w:val="24"/>
          <w:szCs w:val="24"/>
        </w:rPr>
      </w:pPr>
      <w:r w:rsidRPr="00F6275A">
        <w:rPr>
          <w:rFonts w:ascii="Palatino Linotype" w:eastAsia="Palatino Linotype" w:hAnsi="Palatino Linotype" w:cs="Palatino Linotype"/>
          <w:b/>
          <w:bCs/>
          <w:sz w:val="24"/>
          <w:szCs w:val="24"/>
        </w:rPr>
        <w:t>El momento procesal para modificar el acto impugnado:</w:t>
      </w:r>
      <w:r w:rsidRPr="00F6275A">
        <w:rPr>
          <w:rFonts w:ascii="Palatino Linotype" w:eastAsia="Palatino Linotype" w:hAnsi="Palatino Linotype" w:cs="Palatino Linotype"/>
          <w:sz w:val="24"/>
          <w:szCs w:val="24"/>
        </w:rPr>
        <w:t xml:space="preserve"> Para que se actualice el sobreseimiento de un recurso de revisión, el </w:t>
      </w:r>
      <w:r w:rsidRPr="00F6275A">
        <w:rPr>
          <w:rFonts w:ascii="Palatino Linotype" w:eastAsia="Palatino Linotype" w:hAnsi="Palatino Linotype" w:cs="Palatino Linotype"/>
          <w:b/>
          <w:bCs/>
          <w:sz w:val="24"/>
          <w:szCs w:val="24"/>
        </w:rPr>
        <w:t>SUJETO OBLIGADO</w:t>
      </w:r>
      <w:r w:rsidRPr="00F6275A">
        <w:rPr>
          <w:rFonts w:ascii="Palatino Linotype" w:eastAsia="Palatino Linotype" w:hAnsi="Palatino Linotype" w:cs="Palatino Linotype"/>
          <w:sz w:val="24"/>
          <w:szCs w:val="24"/>
        </w:rPr>
        <w:t xml:space="preserve"> puede entregar o completar la información al momento de rendir su informe de justificación o </w:t>
      </w:r>
      <w:r w:rsidRPr="00F6275A">
        <w:rPr>
          <w:rFonts w:ascii="Palatino Linotype" w:eastAsia="Palatino Linotype" w:hAnsi="Palatino Linotype" w:cs="Palatino Linotype"/>
          <w:b/>
          <w:bCs/>
          <w:sz w:val="24"/>
          <w:szCs w:val="24"/>
          <w:u w:val="single"/>
        </w:rPr>
        <w:t>posteriormente</w:t>
      </w:r>
      <w:r w:rsidRPr="00F6275A">
        <w:rPr>
          <w:rFonts w:ascii="Palatino Linotype" w:eastAsia="Palatino Linotype" w:hAnsi="Palatino Linotype" w:cs="Palatino Linotype"/>
          <w:sz w:val="24"/>
          <w:szCs w:val="24"/>
        </w:rPr>
        <w:t xml:space="preserve"> a éste, siempre y cuando el Pleno del Instituto no haya dictado resolución definitiva.</w:t>
      </w:r>
    </w:p>
    <w:p w:rsidR="00115674" w:rsidRPr="00F6275A" w:rsidRDefault="0011567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Eduardo Pallares, en su artículo </w:t>
      </w:r>
      <w:r w:rsidRPr="00F6275A">
        <w:rPr>
          <w:rFonts w:ascii="Palatino Linotype" w:eastAsia="Palatino Linotype" w:hAnsi="Palatino Linotype" w:cs="Palatino Linotype"/>
          <w:i/>
          <w:iCs/>
          <w:color w:val="000000"/>
          <w:sz w:val="24"/>
          <w:szCs w:val="24"/>
        </w:rPr>
        <w:t>“La caducidad y el sobreseimiento en el amparo”</w:t>
      </w:r>
      <w:r w:rsidRPr="00F6275A">
        <w:rPr>
          <w:rFonts w:ascii="Palatino Linotype" w:eastAsia="Palatino Linotype" w:hAnsi="Palatino Linotype" w:cs="Palatino Linotype"/>
          <w:color w:val="000000"/>
          <w:sz w:val="24"/>
          <w:szCs w:val="24"/>
        </w:rPr>
        <w:t xml:space="preserve">, cita la definición de Aguilera Paz, aduciendo que se </w:t>
      </w:r>
      <w:r w:rsidRPr="00F6275A">
        <w:rPr>
          <w:rFonts w:ascii="Palatino Linotype" w:eastAsia="Palatino Linotype" w:hAnsi="Palatino Linotype" w:cs="Palatino Linotype"/>
          <w:i/>
          <w:iCs/>
          <w:color w:val="000000"/>
          <w:sz w:val="24"/>
          <w:szCs w:val="24"/>
        </w:rPr>
        <w:t>“...entiende por sobreseimiento en el tecnicismo forense, el hecho de cesar en el procedimiento o curso de la causa, por no existir méritos bastantes para entrar en un juicio o para entablar la contienda judicial que debe ser objeto del mismo...”</w:t>
      </w:r>
      <w:r w:rsidRPr="00F6275A">
        <w:rPr>
          <w:rFonts w:ascii="Palatino Linotype" w:eastAsia="Palatino Linotype" w:hAnsi="Palatino Linotype" w:cs="Palatino Linotype"/>
          <w:color w:val="000000"/>
          <w:sz w:val="24"/>
          <w:szCs w:val="24"/>
        </w:rPr>
        <w:t xml:space="preserve">. Asimismo, </w:t>
      </w:r>
      <w:r w:rsidRPr="00F6275A">
        <w:rPr>
          <w:rFonts w:ascii="Palatino Linotype" w:eastAsia="Palatino Linotype" w:hAnsi="Palatino Linotype" w:cs="Palatino Linotype"/>
          <w:color w:val="000000"/>
          <w:sz w:val="24"/>
          <w:szCs w:val="24"/>
        </w:rPr>
        <w:lastRenderedPageBreak/>
        <w:t>señala que existe el sobreseimiento provisional y el definitivo</w:t>
      </w:r>
      <w:r w:rsidRPr="00F6275A">
        <w:rPr>
          <w:rFonts w:ascii="Palatino Linotype" w:eastAsia="Palatino Linotype" w:hAnsi="Palatino Linotype" w:cs="Palatino Linotype"/>
          <w:i/>
          <w:iCs/>
          <w:color w:val="000000"/>
          <w:sz w:val="24"/>
          <w:szCs w:val="24"/>
        </w:rPr>
        <w:t>: “...el definitivo es una verdadera sentencia que pone fin al juicio, y que una vez dictada, produce cosa juzgada, mientras que el provisorio tiene por efectos suspender la prosecución de la causa...”</w:t>
      </w:r>
    </w:p>
    <w:p w:rsidR="00115674" w:rsidRPr="00F6275A" w:rsidRDefault="0011567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Así, para la doctrina el sobreseimiento provoca que un procedimiento se suspenda o se resuelva en definitiva </w:t>
      </w:r>
      <w:r w:rsidRPr="00F6275A">
        <w:rPr>
          <w:rFonts w:ascii="Palatino Linotype" w:eastAsia="Palatino Linotype" w:hAnsi="Palatino Linotype" w:cs="Palatino Linotype"/>
          <w:b/>
          <w:bCs/>
          <w:color w:val="000000"/>
          <w:sz w:val="24"/>
          <w:szCs w:val="24"/>
          <w:u w:val="single"/>
        </w:rPr>
        <w:t xml:space="preserve">sin que se entre al estudio de los agravios o motivos de inconformidad. </w:t>
      </w:r>
      <w:r w:rsidRPr="00F6275A">
        <w:rPr>
          <w:rFonts w:ascii="Palatino Linotype" w:eastAsia="Palatino Linotype" w:hAnsi="Palatino Linotype" w:cs="Palatino Linotype"/>
          <w:color w:val="000000"/>
          <w:sz w:val="24"/>
          <w:szCs w:val="24"/>
        </w:rPr>
        <w:t>Este mismo criterio es compartido por el más alto tribunal del país en múltiples jurisprudencias, por lo que a continuación se agrega una de ellas que sirve como orientador en esta resolución:</w:t>
      </w:r>
    </w:p>
    <w:p w:rsidR="00115674" w:rsidRPr="00F6275A" w:rsidRDefault="00C60DA7">
      <w:pPr>
        <w:spacing w:line="360" w:lineRule="auto"/>
        <w:ind w:left="851" w:right="822"/>
        <w:jc w:val="both"/>
        <w:rPr>
          <w:rFonts w:ascii="Palatino Linotype" w:eastAsia="Palatino Linotype" w:hAnsi="Palatino Linotype" w:cs="Palatino Linotype"/>
          <w:i/>
          <w:iCs/>
          <w:sz w:val="24"/>
          <w:szCs w:val="24"/>
        </w:rPr>
      </w:pPr>
      <w:r w:rsidRPr="00F6275A">
        <w:rPr>
          <w:rFonts w:ascii="Palatino Linotype" w:eastAsia="Palatino Linotype" w:hAnsi="Palatino Linotype" w:cs="Palatino Linotype"/>
          <w:b/>
          <w:bCs/>
          <w:i/>
          <w:iCs/>
          <w:sz w:val="24"/>
          <w:szCs w:val="24"/>
        </w:rPr>
        <w:t>SOBRESEIMIENTO EN EL JUICIO DE AMPARO DIRECTO. IMPIDE EL ESTUDIO DE LAS VIOLACIONES PROCESALES PLANTEADAS EN LOS CONCEPTOS DE VIOLACIÓN. El sobreseimiento</w:t>
      </w:r>
      <w:r w:rsidRPr="00F6275A">
        <w:rPr>
          <w:rFonts w:ascii="Palatino Linotype" w:eastAsia="Palatino Linotype" w:hAnsi="Palatino Linotype" w:cs="Palatino Linotype"/>
          <w:i/>
          <w:iCs/>
          <w:sz w:val="24"/>
          <w:szCs w:val="24"/>
        </w:rPr>
        <w:t xml:space="preserve"> en el juicio de amparo directo </w:t>
      </w:r>
      <w:r w:rsidRPr="00F6275A">
        <w:rPr>
          <w:rFonts w:ascii="Palatino Linotype" w:eastAsia="Palatino Linotype" w:hAnsi="Palatino Linotype" w:cs="Palatino Linotype"/>
          <w:b/>
          <w:bCs/>
          <w:i/>
          <w:iCs/>
          <w:sz w:val="24"/>
          <w:szCs w:val="24"/>
        </w:rPr>
        <w:t>provoca la terminación de la controversia planteada</w:t>
      </w:r>
      <w:r w:rsidRPr="00F6275A">
        <w:rPr>
          <w:rFonts w:ascii="Palatino Linotype" w:eastAsia="Palatino Linotype" w:hAnsi="Palatino Linotype" w:cs="Palatino Linotype"/>
          <w:i/>
          <w:iCs/>
          <w:sz w:val="24"/>
          <w:szCs w:val="24"/>
        </w:rPr>
        <w:t xml:space="preserve"> por el quejoso en la demanda de amparo</w:t>
      </w:r>
      <w:r w:rsidRPr="00F6275A">
        <w:rPr>
          <w:rFonts w:ascii="Palatino Linotype" w:eastAsia="Palatino Linotype" w:hAnsi="Palatino Linotype" w:cs="Palatino Linotype"/>
          <w:b/>
          <w:bCs/>
          <w:i/>
          <w:iCs/>
          <w:sz w:val="24"/>
          <w:szCs w:val="24"/>
        </w:rPr>
        <w:t>, sin hacer un pronunciamiento de fondo sobre la legalidad o ilegalidad de la sentencia reclamada</w:t>
      </w:r>
      <w:r w:rsidRPr="00F6275A">
        <w:rPr>
          <w:rFonts w:ascii="Palatino Linotype" w:eastAsia="Palatino Linotype" w:hAnsi="Palatino Linotype" w:cs="Palatino Linotype"/>
          <w:i/>
          <w:iCs/>
          <w:sz w:val="24"/>
          <w:szCs w:val="24"/>
        </w:rPr>
        <w:t xml:space="preserve">. </w:t>
      </w:r>
      <w:r w:rsidRPr="00F6275A">
        <w:rPr>
          <w:rFonts w:ascii="Palatino Linotype" w:eastAsia="Palatino Linotype" w:hAnsi="Palatino Linotype" w:cs="Palatino Linotype"/>
          <w:b/>
          <w:bCs/>
          <w:i/>
          <w:iCs/>
          <w:sz w:val="24"/>
          <w:szCs w:val="24"/>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F6275A">
        <w:rPr>
          <w:rFonts w:ascii="Palatino Linotype" w:eastAsia="Palatino Linotype" w:hAnsi="Palatino Linotype" w:cs="Palatino Linotype"/>
          <w:i/>
          <w:iCs/>
          <w:sz w:val="24"/>
          <w:szCs w:val="24"/>
        </w:rPr>
        <w:t>.</w:t>
      </w:r>
    </w:p>
    <w:p w:rsidR="00115674" w:rsidRPr="00F6275A" w:rsidRDefault="00C60DA7">
      <w:pPr>
        <w:spacing w:line="360" w:lineRule="auto"/>
        <w:ind w:left="851" w:right="822"/>
        <w:jc w:val="both"/>
        <w:rPr>
          <w:rFonts w:ascii="Palatino Linotype" w:eastAsia="Palatino Linotype" w:hAnsi="Palatino Linotype" w:cs="Palatino Linotype"/>
          <w:i/>
          <w:iCs/>
          <w:sz w:val="24"/>
          <w:szCs w:val="24"/>
        </w:rPr>
      </w:pPr>
      <w:r w:rsidRPr="00F6275A">
        <w:rPr>
          <w:rFonts w:ascii="Palatino Linotype" w:eastAsia="Palatino Linotype" w:hAnsi="Palatino Linotype" w:cs="Palatino Linotype"/>
          <w:i/>
          <w:iCs/>
          <w:sz w:val="24"/>
          <w:szCs w:val="24"/>
        </w:rPr>
        <w:t>SÉPTIMO TRIBUNAL COLEGIADO EN MATERIA CIVIL DEL PRIMER CIRCUITO.</w:t>
      </w:r>
    </w:p>
    <w:p w:rsidR="00115674" w:rsidRPr="00F6275A" w:rsidRDefault="00C60DA7">
      <w:pPr>
        <w:spacing w:line="360" w:lineRule="auto"/>
        <w:ind w:left="851" w:right="822"/>
        <w:jc w:val="both"/>
        <w:rPr>
          <w:rFonts w:ascii="Palatino Linotype" w:eastAsia="Palatino Linotype" w:hAnsi="Palatino Linotype" w:cs="Palatino Linotype"/>
          <w:b/>
          <w:bCs/>
          <w:i/>
          <w:iCs/>
          <w:sz w:val="24"/>
          <w:szCs w:val="24"/>
        </w:rPr>
      </w:pPr>
      <w:r w:rsidRPr="00F6275A">
        <w:rPr>
          <w:rFonts w:ascii="Palatino Linotype" w:eastAsia="Palatino Linotype" w:hAnsi="Palatino Linotype" w:cs="Palatino Linotype"/>
          <w:i/>
          <w:iCs/>
          <w:sz w:val="24"/>
          <w:szCs w:val="24"/>
        </w:rPr>
        <w:lastRenderedPageBreak/>
        <w:t>Amparo directo 699/2008. Mariana Leticia González Steele. 13 de noviembre de 2008. Unanimidad de votos. Ponente: Sara Judith Montalvo Trejo. Secretario: Arnulfo Mateos García.</w:t>
      </w:r>
    </w:p>
    <w:p w:rsidR="00115674" w:rsidRPr="00F6275A" w:rsidRDefault="00115674">
      <w:pPr>
        <w:spacing w:line="360" w:lineRule="auto"/>
        <w:ind w:right="565"/>
        <w:jc w:val="both"/>
        <w:rPr>
          <w:rFonts w:ascii="Palatino Linotype" w:eastAsia="Palatino Linotype" w:hAnsi="Palatino Linotype" w:cs="Palatino Linotype"/>
          <w:b/>
          <w:bCs/>
          <w:i/>
          <w:iCs/>
          <w:sz w:val="24"/>
          <w:szCs w:val="24"/>
        </w:rPr>
      </w:pPr>
    </w:p>
    <w:p w:rsidR="00115674" w:rsidRPr="00F6275A" w:rsidRDefault="00C60DA7">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115674" w:rsidRPr="00F6275A" w:rsidRDefault="0011567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Bajo ese tenor y en términos del artículo 186 fracción I este Pleno determina el </w:t>
      </w:r>
      <w:r w:rsidRPr="00F6275A">
        <w:rPr>
          <w:rFonts w:ascii="Palatino Linotype" w:eastAsia="Palatino Linotype" w:hAnsi="Palatino Linotype" w:cs="Palatino Linotype"/>
          <w:b/>
          <w:bCs/>
          <w:color w:val="000000"/>
          <w:sz w:val="24"/>
          <w:szCs w:val="24"/>
        </w:rPr>
        <w:t xml:space="preserve">SOBRESEIMIENTO </w:t>
      </w:r>
      <w:r w:rsidRPr="00F6275A">
        <w:rPr>
          <w:rFonts w:ascii="Palatino Linotype" w:eastAsia="Palatino Linotype" w:hAnsi="Palatino Linotype" w:cs="Palatino Linotype"/>
          <w:color w:val="000000"/>
          <w:sz w:val="24"/>
          <w:szCs w:val="24"/>
        </w:rPr>
        <w:t xml:space="preserve">del recurso de revisión </w:t>
      </w:r>
      <w:r w:rsidRPr="00F6275A">
        <w:rPr>
          <w:rFonts w:ascii="Palatino Linotype" w:eastAsia="Palatino Linotype" w:hAnsi="Palatino Linotype" w:cs="Palatino Linotype"/>
          <w:b/>
          <w:bCs/>
          <w:color w:val="000000"/>
          <w:sz w:val="24"/>
          <w:szCs w:val="24"/>
        </w:rPr>
        <w:t>13978/INFOEM/IP/RR/2025</w:t>
      </w:r>
      <w:r w:rsidRPr="00F6275A">
        <w:rPr>
          <w:rFonts w:ascii="Palatino Linotype" w:eastAsia="Palatino Linotype" w:hAnsi="Palatino Linotype" w:cs="Palatino Linotype"/>
          <w:color w:val="000000"/>
          <w:sz w:val="24"/>
          <w:szCs w:val="24"/>
        </w:rPr>
        <w:t>, toda vez que la afectación al derecho de acceso a la información pública establecido constitucionalmente a favor del Particular ha sido resarcida.</w:t>
      </w:r>
    </w:p>
    <w:p w:rsidR="00115674" w:rsidRPr="00F6275A" w:rsidRDefault="00115674">
      <w:pPr>
        <w:pBdr>
          <w:top w:val="nil"/>
          <w:left w:val="nil"/>
          <w:bottom w:val="nil"/>
          <w:right w:val="nil"/>
          <w:between w:val="nil"/>
        </w:pBdr>
        <w:shd w:val="clear" w:color="auto" w:fill="FFFFFF"/>
        <w:tabs>
          <w:tab w:val="left" w:pos="284"/>
        </w:tabs>
        <w:spacing w:line="360" w:lineRule="auto"/>
        <w:jc w:val="both"/>
        <w:rPr>
          <w:rFonts w:ascii="Palatino Linotype" w:eastAsia="Palatino Linotype" w:hAnsi="Palatino Linotype" w:cs="Palatino Linotype"/>
          <w:color w:val="000000"/>
          <w:sz w:val="24"/>
          <w:szCs w:val="24"/>
        </w:rPr>
      </w:pPr>
    </w:p>
    <w:p w:rsidR="00115674" w:rsidRPr="00F6275A" w:rsidRDefault="00C60DA7">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4"/>
          <w:szCs w:val="24"/>
        </w:rPr>
      </w:pPr>
      <w:r w:rsidRPr="00F6275A">
        <w:rPr>
          <w:rFonts w:ascii="Palatino Linotype" w:eastAsia="Palatino Linotype" w:hAnsi="Palatino Linotype" w:cs="Palatino Linotype"/>
          <w:color w:val="000000"/>
          <w:sz w:val="24"/>
          <w:szCs w:val="24"/>
        </w:rPr>
        <w:t xml:space="preserve">Por lo anteriormente expuesto y fundado, este </w:t>
      </w:r>
      <w:r w:rsidRPr="00F6275A">
        <w:rPr>
          <w:rFonts w:ascii="Palatino Linotype" w:eastAsia="Palatino Linotype" w:hAnsi="Palatino Linotype" w:cs="Palatino Linotype"/>
          <w:b/>
          <w:bCs/>
          <w:color w:val="000000"/>
          <w:sz w:val="24"/>
          <w:szCs w:val="24"/>
        </w:rPr>
        <w:t>ÓRGANO GARANTE</w:t>
      </w:r>
      <w:r w:rsidRPr="00F6275A">
        <w:rPr>
          <w:rFonts w:ascii="Palatino Linotype" w:eastAsia="Palatino Linotype" w:hAnsi="Palatino Linotype" w:cs="Palatino Linotype"/>
          <w:color w:val="000000"/>
          <w:sz w:val="24"/>
          <w:szCs w:val="24"/>
        </w:rPr>
        <w:t xml:space="preserve"> emite los siguientes:</w:t>
      </w:r>
    </w:p>
    <w:p w:rsidR="00115674" w:rsidRPr="00F6275A" w:rsidRDefault="0011567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4"/>
          <w:szCs w:val="24"/>
        </w:rPr>
      </w:pPr>
    </w:p>
    <w:p w:rsidR="00115674" w:rsidRPr="00F6275A" w:rsidRDefault="00C60DA7">
      <w:pPr>
        <w:spacing w:line="360" w:lineRule="auto"/>
        <w:jc w:val="center"/>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R E S O L U T I V O S</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115674" w:rsidRPr="00F6275A" w:rsidRDefault="00C60DA7">
      <w:pPr>
        <w:spacing w:line="360" w:lineRule="auto"/>
        <w:jc w:val="both"/>
        <w:rPr>
          <w:rFonts w:ascii="Palatino Linotype" w:eastAsia="Palatino Linotype" w:hAnsi="Palatino Linotype" w:cs="Palatino Linotype"/>
          <w:sz w:val="24"/>
          <w:szCs w:val="24"/>
        </w:rPr>
      </w:pPr>
      <w:bookmarkStart w:id="8" w:name="_heading=h.msiavwuyixi2" w:colFirst="0" w:colLast="0"/>
      <w:bookmarkEnd w:id="8"/>
      <w:r w:rsidRPr="00F6275A">
        <w:rPr>
          <w:rFonts w:ascii="Palatino Linotype" w:eastAsia="Palatino Linotype" w:hAnsi="Palatino Linotype" w:cs="Palatino Linotype"/>
          <w:b/>
          <w:bCs/>
          <w:sz w:val="24"/>
          <w:szCs w:val="24"/>
        </w:rPr>
        <w:t xml:space="preserve">PRIMERO. </w:t>
      </w:r>
      <w:r w:rsidRPr="00F6275A">
        <w:rPr>
          <w:rFonts w:ascii="Palatino Linotype" w:eastAsia="Palatino Linotype" w:hAnsi="Palatino Linotype" w:cs="Palatino Linotype"/>
          <w:sz w:val="24"/>
          <w:szCs w:val="24"/>
        </w:rPr>
        <w:t xml:space="preserve">Se </w:t>
      </w:r>
      <w:r w:rsidRPr="00F6275A">
        <w:rPr>
          <w:rFonts w:ascii="Palatino Linotype" w:eastAsia="Palatino Linotype" w:hAnsi="Palatino Linotype" w:cs="Palatino Linotype"/>
          <w:b/>
          <w:bCs/>
          <w:sz w:val="24"/>
          <w:szCs w:val="24"/>
        </w:rPr>
        <w:t>SOBRESEE</w:t>
      </w:r>
      <w:r w:rsidRPr="00F6275A">
        <w:rPr>
          <w:rFonts w:ascii="Palatino Linotype" w:eastAsia="Palatino Linotype" w:hAnsi="Palatino Linotype" w:cs="Palatino Linotype"/>
          <w:sz w:val="24"/>
          <w:szCs w:val="24"/>
        </w:rPr>
        <w:t xml:space="preserve"> el recurso de revisión número </w:t>
      </w:r>
      <w:r w:rsidRPr="00F6275A">
        <w:rPr>
          <w:rFonts w:ascii="Palatino Linotype" w:eastAsia="Palatino Linotype" w:hAnsi="Palatino Linotype" w:cs="Palatino Linotype"/>
          <w:b/>
          <w:bCs/>
          <w:sz w:val="24"/>
          <w:szCs w:val="24"/>
        </w:rPr>
        <w:t xml:space="preserve">13978/INFOEM/IP/RR/2025 </w:t>
      </w:r>
      <w:r w:rsidRPr="00F6275A">
        <w:rPr>
          <w:rFonts w:ascii="Palatino Linotype" w:eastAsia="Palatino Linotype" w:hAnsi="Palatino Linotype" w:cs="Palatino Linotype"/>
          <w:sz w:val="24"/>
          <w:szCs w:val="24"/>
        </w:rPr>
        <w:t>conforme al artículo 192</w:t>
      </w:r>
      <w:r w:rsidR="002F3280" w:rsidRPr="00F6275A">
        <w:rPr>
          <w:rFonts w:ascii="Palatino Linotype" w:eastAsia="Palatino Linotype" w:hAnsi="Palatino Linotype" w:cs="Palatino Linotype"/>
          <w:sz w:val="24"/>
          <w:szCs w:val="24"/>
        </w:rPr>
        <w:t>,</w:t>
      </w:r>
      <w:r w:rsidRPr="00F6275A">
        <w:rPr>
          <w:rFonts w:ascii="Palatino Linotype" w:eastAsia="Palatino Linotype" w:hAnsi="Palatino Linotype" w:cs="Palatino Linotype"/>
          <w:sz w:val="24"/>
          <w:szCs w:val="24"/>
        </w:rPr>
        <w:t xml:space="preserve"> fracción III</w:t>
      </w:r>
      <w:r w:rsidR="002F3280" w:rsidRPr="00F6275A">
        <w:rPr>
          <w:rFonts w:ascii="Palatino Linotype" w:eastAsia="Palatino Linotype" w:hAnsi="Palatino Linotype" w:cs="Palatino Linotype"/>
          <w:sz w:val="24"/>
          <w:szCs w:val="24"/>
        </w:rPr>
        <w:t>,</w:t>
      </w:r>
      <w:r w:rsidRPr="00F6275A">
        <w:rPr>
          <w:rFonts w:ascii="Palatino Linotype" w:eastAsia="Palatino Linotype" w:hAnsi="Palatino Linotype" w:cs="Palatino Linotype"/>
          <w:sz w:val="24"/>
          <w:szCs w:val="24"/>
        </w:rPr>
        <w:t xml:space="preserve"> de la Ley de Transparencia y Acceso a la Información Pública del Estado de México y Municipios, porque al </w:t>
      </w:r>
      <w:r w:rsidRPr="00F6275A">
        <w:rPr>
          <w:rFonts w:ascii="Palatino Linotype" w:eastAsia="Palatino Linotype" w:hAnsi="Palatino Linotype" w:cs="Palatino Linotype"/>
          <w:b/>
          <w:bCs/>
          <w:sz w:val="24"/>
          <w:szCs w:val="24"/>
        </w:rPr>
        <w:t xml:space="preserve">modificar la respuesta a través del </w:t>
      </w:r>
      <w:r w:rsidRPr="00F6275A">
        <w:rPr>
          <w:rFonts w:ascii="Palatino Linotype" w:eastAsia="Palatino Linotype" w:hAnsi="Palatino Linotype" w:cs="Palatino Linotype"/>
          <w:b/>
          <w:bCs/>
          <w:sz w:val="24"/>
          <w:szCs w:val="24"/>
        </w:rPr>
        <w:lastRenderedPageBreak/>
        <w:t>informe justificado y atender lo solicitado</w:t>
      </w:r>
      <w:r w:rsidRPr="00F6275A">
        <w:rPr>
          <w:rFonts w:ascii="Palatino Linotype" w:eastAsia="Palatino Linotype" w:hAnsi="Palatino Linotype" w:cs="Palatino Linotype"/>
          <w:sz w:val="24"/>
          <w:szCs w:val="24"/>
        </w:rPr>
        <w:t xml:space="preserve">, el recurso de revisión quedó sin materia en términos del Considerando </w:t>
      </w:r>
      <w:r w:rsidRPr="00F6275A">
        <w:rPr>
          <w:rFonts w:ascii="Palatino Linotype" w:eastAsia="Palatino Linotype" w:hAnsi="Palatino Linotype" w:cs="Palatino Linotype"/>
          <w:b/>
          <w:bCs/>
          <w:sz w:val="24"/>
          <w:szCs w:val="24"/>
        </w:rPr>
        <w:t>TERCERO</w:t>
      </w:r>
      <w:r w:rsidRPr="00F6275A">
        <w:rPr>
          <w:rFonts w:ascii="Palatino Linotype" w:eastAsia="Palatino Linotype" w:hAnsi="Palatino Linotype" w:cs="Palatino Linotype"/>
          <w:sz w:val="24"/>
          <w:szCs w:val="24"/>
        </w:rPr>
        <w:t xml:space="preserve"> de la presente resolución.</w:t>
      </w:r>
    </w:p>
    <w:p w:rsidR="00115674" w:rsidRPr="00F6275A" w:rsidRDefault="00115674">
      <w:pPr>
        <w:spacing w:line="360" w:lineRule="auto"/>
        <w:jc w:val="both"/>
        <w:rPr>
          <w:rFonts w:ascii="Palatino Linotype" w:eastAsia="Palatino Linotype" w:hAnsi="Palatino Linotype" w:cs="Palatino Linotype"/>
          <w:sz w:val="24"/>
          <w:szCs w:val="24"/>
        </w:rPr>
      </w:pPr>
    </w:p>
    <w:p w:rsidR="00115674" w:rsidRPr="00F6275A" w:rsidRDefault="00C60DA7">
      <w:pPr>
        <w:spacing w:line="360" w:lineRule="auto"/>
        <w:jc w:val="both"/>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 xml:space="preserve">SEGUNDO. </w:t>
      </w:r>
      <w:r w:rsidR="002F3280" w:rsidRPr="00F6275A">
        <w:rPr>
          <w:rFonts w:ascii="Palatino Linotype" w:eastAsia="Palatino Linotype" w:hAnsi="Palatino Linotype" w:cs="Palatino Linotype"/>
          <w:b/>
          <w:bCs/>
          <w:sz w:val="24"/>
          <w:szCs w:val="24"/>
        </w:rPr>
        <w:t>Notifíquese</w:t>
      </w:r>
      <w:r w:rsidRPr="00F6275A">
        <w:rPr>
          <w:rFonts w:ascii="Palatino Linotype" w:eastAsia="Palatino Linotype" w:hAnsi="Palatino Linotype" w:cs="Palatino Linotype"/>
          <w:b/>
          <w:bCs/>
          <w:sz w:val="24"/>
          <w:szCs w:val="24"/>
        </w:rPr>
        <w:t xml:space="preserve"> </w:t>
      </w:r>
      <w:r w:rsidRPr="00F6275A">
        <w:rPr>
          <w:rFonts w:ascii="Palatino Linotype" w:eastAsia="Palatino Linotype" w:hAnsi="Palatino Linotype" w:cs="Palatino Linotype"/>
          <w:sz w:val="24"/>
          <w:szCs w:val="24"/>
        </w:rPr>
        <w:t xml:space="preserve">a través del Sistema de Acceso a la Información Mexiquense </w:t>
      </w:r>
      <w:r w:rsidRPr="00F6275A">
        <w:rPr>
          <w:rFonts w:ascii="Palatino Linotype" w:eastAsia="Palatino Linotype" w:hAnsi="Palatino Linotype" w:cs="Palatino Linotype"/>
          <w:b/>
          <w:bCs/>
          <w:sz w:val="24"/>
          <w:szCs w:val="24"/>
        </w:rPr>
        <w:t xml:space="preserve">(SAIMEX) </w:t>
      </w:r>
      <w:r w:rsidRPr="00F6275A">
        <w:rPr>
          <w:rFonts w:ascii="Palatino Linotype" w:eastAsia="Palatino Linotype" w:hAnsi="Palatino Linotype" w:cs="Palatino Linotype"/>
          <w:sz w:val="24"/>
          <w:szCs w:val="24"/>
        </w:rPr>
        <w:t>la presente resolución al Titular de la Unidad de Transparencia del</w:t>
      </w:r>
      <w:r w:rsidRPr="00F6275A">
        <w:rPr>
          <w:rFonts w:ascii="Palatino Linotype" w:eastAsia="Palatino Linotype" w:hAnsi="Palatino Linotype" w:cs="Palatino Linotype"/>
          <w:b/>
          <w:bCs/>
          <w:sz w:val="24"/>
          <w:szCs w:val="24"/>
        </w:rPr>
        <w:t xml:space="preserve"> SUJETO OBLIGADO. </w:t>
      </w:r>
    </w:p>
    <w:p w:rsidR="00115674" w:rsidRPr="00F6275A" w:rsidRDefault="00C60DA7">
      <w:pPr>
        <w:tabs>
          <w:tab w:val="left" w:pos="3263"/>
        </w:tabs>
        <w:spacing w:line="360" w:lineRule="auto"/>
        <w:jc w:val="both"/>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ab/>
      </w:r>
    </w:p>
    <w:p w:rsidR="00115674" w:rsidRPr="00F6275A" w:rsidRDefault="00C60DA7">
      <w:pPr>
        <w:spacing w:line="360" w:lineRule="auto"/>
        <w:jc w:val="both"/>
        <w:rPr>
          <w:rFonts w:ascii="Palatino Linotype" w:eastAsia="Palatino Linotype" w:hAnsi="Palatino Linotype" w:cs="Palatino Linotype"/>
          <w:color w:val="222222"/>
          <w:sz w:val="24"/>
          <w:szCs w:val="24"/>
        </w:rPr>
      </w:pPr>
      <w:r w:rsidRPr="00F6275A">
        <w:rPr>
          <w:rFonts w:ascii="Palatino Linotype" w:eastAsia="Palatino Linotype" w:hAnsi="Palatino Linotype" w:cs="Palatino Linotype"/>
          <w:b/>
          <w:bCs/>
          <w:sz w:val="24"/>
          <w:szCs w:val="24"/>
        </w:rPr>
        <w:t xml:space="preserve">TERCERO. Notifíquese </w:t>
      </w:r>
      <w:r w:rsidRPr="00F6275A">
        <w:rPr>
          <w:rFonts w:ascii="Palatino Linotype" w:eastAsia="Palatino Linotype" w:hAnsi="Palatino Linotype" w:cs="Palatino Linotype"/>
          <w:sz w:val="24"/>
          <w:szCs w:val="24"/>
        </w:rPr>
        <w:t xml:space="preserve">al </w:t>
      </w:r>
      <w:r w:rsidRPr="00F6275A">
        <w:rPr>
          <w:rFonts w:ascii="Palatino Linotype" w:eastAsia="Palatino Linotype" w:hAnsi="Palatino Linotype" w:cs="Palatino Linotype"/>
          <w:b/>
          <w:bCs/>
          <w:sz w:val="24"/>
          <w:szCs w:val="24"/>
        </w:rPr>
        <w:t>RECURRENTE</w:t>
      </w:r>
      <w:r w:rsidRPr="00F6275A">
        <w:rPr>
          <w:rFonts w:ascii="Palatino Linotype" w:eastAsia="Palatino Linotype" w:hAnsi="Palatino Linotype" w:cs="Palatino Linotype"/>
          <w:sz w:val="24"/>
          <w:szCs w:val="24"/>
        </w:rPr>
        <w:t xml:space="preserve"> la presente resolución vía SAIMEX.</w:t>
      </w:r>
    </w:p>
    <w:p w:rsidR="00115674" w:rsidRPr="00F6275A" w:rsidRDefault="00115674">
      <w:pPr>
        <w:spacing w:line="360" w:lineRule="auto"/>
        <w:jc w:val="both"/>
        <w:rPr>
          <w:rFonts w:ascii="Palatino Linotype" w:eastAsia="Palatino Linotype" w:hAnsi="Palatino Linotype" w:cs="Palatino Linotype"/>
          <w:color w:val="222222"/>
          <w:sz w:val="24"/>
          <w:szCs w:val="24"/>
        </w:rPr>
      </w:pPr>
    </w:p>
    <w:p w:rsidR="00115674" w:rsidRPr="00F6275A" w:rsidRDefault="00C60DA7">
      <w:pPr>
        <w:spacing w:line="360" w:lineRule="auto"/>
        <w:jc w:val="both"/>
        <w:rPr>
          <w:rFonts w:ascii="Palatino Linotype" w:eastAsia="Palatino Linotype" w:hAnsi="Palatino Linotype" w:cs="Palatino Linotype"/>
          <w:sz w:val="24"/>
          <w:szCs w:val="24"/>
        </w:rPr>
      </w:pPr>
      <w:r w:rsidRPr="00F6275A">
        <w:rPr>
          <w:rFonts w:ascii="Palatino Linotype" w:eastAsia="Palatino Linotype" w:hAnsi="Palatino Linotype" w:cs="Palatino Linotype"/>
          <w:b/>
          <w:bCs/>
          <w:sz w:val="24"/>
          <w:szCs w:val="24"/>
        </w:rPr>
        <w:t>CUARTO.</w:t>
      </w:r>
      <w:r w:rsidRPr="00F6275A">
        <w:rPr>
          <w:rFonts w:ascii="Palatino Linotype" w:eastAsia="Palatino Linotype" w:hAnsi="Palatino Linotype" w:cs="Palatino Linotype"/>
          <w:sz w:val="24"/>
          <w:szCs w:val="24"/>
        </w:rPr>
        <w:t xml:space="preserve"> Se hace del conocimiento del </w:t>
      </w:r>
      <w:r w:rsidRPr="00F6275A">
        <w:rPr>
          <w:rFonts w:ascii="Palatino Linotype" w:eastAsia="Palatino Linotype" w:hAnsi="Palatino Linotype" w:cs="Palatino Linotype"/>
          <w:b/>
          <w:bCs/>
          <w:sz w:val="24"/>
          <w:szCs w:val="24"/>
        </w:rPr>
        <w:t>RECURRENTE</w:t>
      </w:r>
      <w:r w:rsidRPr="00F6275A">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15674" w:rsidRPr="00F6275A" w:rsidRDefault="001156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2F3280" w:rsidRPr="00F6275A" w:rsidRDefault="002F3280" w:rsidP="002F3280">
      <w:pPr>
        <w:spacing w:before="240" w:after="240" w:line="360" w:lineRule="auto"/>
        <w:ind w:firstLine="1"/>
        <w:jc w:val="both"/>
        <w:rPr>
          <w:rFonts w:ascii="Palatino Linotype" w:hAnsi="Palatino Linotype"/>
          <w:sz w:val="24"/>
          <w:szCs w:val="24"/>
        </w:rPr>
      </w:pPr>
      <w:bookmarkStart w:id="9" w:name="_Hlk99014733"/>
      <w:r w:rsidRPr="00F6275A">
        <w:rPr>
          <w:rFonts w:ascii="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F6275A">
        <w:rPr>
          <w:rFonts w:ascii="Palatino Linotype" w:hAnsi="Palatino Linotype" w:cs="Palatino Linotype"/>
          <w:color w:val="000000" w:themeColor="text1"/>
          <w:sz w:val="24"/>
          <w:szCs w:val="24"/>
        </w:rPr>
        <w:t>ALEXIS TAPIA RAMÍREZ.</w:t>
      </w:r>
    </w:p>
    <w:bookmarkEnd w:id="9"/>
    <w:p w:rsidR="00115674" w:rsidRPr="00F6275A" w:rsidRDefault="00115674">
      <w:pPr>
        <w:spacing w:before="240" w:after="360" w:line="360" w:lineRule="auto"/>
        <w:jc w:val="both"/>
        <w:rPr>
          <w:rFonts w:ascii="Palatino Linotype" w:eastAsia="Palatino Linotype" w:hAnsi="Palatino Linotype" w:cs="Palatino Linotype"/>
          <w:color w:val="222222"/>
          <w:sz w:val="24"/>
          <w:szCs w:val="24"/>
        </w:rPr>
      </w:pPr>
    </w:p>
    <w:p w:rsidR="00115674" w:rsidRPr="00F6275A" w:rsidRDefault="00115674">
      <w:pPr>
        <w:spacing w:before="240" w:after="360" w:line="360" w:lineRule="auto"/>
        <w:jc w:val="both"/>
        <w:rPr>
          <w:rFonts w:ascii="Palatino Linotype" w:eastAsia="Palatino Linotype" w:hAnsi="Palatino Linotype" w:cs="Palatino Linotype"/>
          <w:color w:val="222222"/>
          <w:sz w:val="24"/>
          <w:szCs w:val="24"/>
        </w:rPr>
      </w:pPr>
    </w:p>
    <w:p w:rsidR="00115674" w:rsidRPr="00F6275A" w:rsidRDefault="00115674">
      <w:pPr>
        <w:spacing w:before="240" w:after="360" w:line="360" w:lineRule="auto"/>
        <w:jc w:val="both"/>
        <w:rPr>
          <w:rFonts w:ascii="Palatino Linotype" w:eastAsia="Palatino Linotype" w:hAnsi="Palatino Linotype" w:cs="Palatino Linotype"/>
          <w:color w:val="222222"/>
          <w:sz w:val="24"/>
          <w:szCs w:val="24"/>
        </w:rPr>
      </w:pPr>
    </w:p>
    <w:p w:rsidR="00115674" w:rsidRPr="00F6275A" w:rsidRDefault="00115674">
      <w:pPr>
        <w:spacing w:before="240" w:after="360" w:line="360" w:lineRule="auto"/>
        <w:jc w:val="both"/>
        <w:rPr>
          <w:rFonts w:ascii="Palatino Linotype" w:eastAsia="Palatino Linotype" w:hAnsi="Palatino Linotype" w:cs="Palatino Linotype"/>
          <w:color w:val="222222"/>
          <w:sz w:val="24"/>
          <w:szCs w:val="24"/>
        </w:rPr>
      </w:pPr>
    </w:p>
    <w:p w:rsidR="00115674" w:rsidRPr="00F6275A" w:rsidRDefault="00115674">
      <w:pPr>
        <w:spacing w:before="240" w:after="360" w:line="360" w:lineRule="auto"/>
        <w:jc w:val="both"/>
        <w:rPr>
          <w:rFonts w:ascii="Palatino Linotype" w:eastAsia="Palatino Linotype" w:hAnsi="Palatino Linotype" w:cs="Palatino Linotype"/>
          <w:color w:val="222222"/>
          <w:sz w:val="24"/>
          <w:szCs w:val="24"/>
        </w:rPr>
      </w:pPr>
    </w:p>
    <w:p w:rsidR="00115674" w:rsidRPr="00F6275A" w:rsidRDefault="00115674">
      <w:pPr>
        <w:spacing w:before="240" w:after="360" w:line="360" w:lineRule="auto"/>
        <w:jc w:val="both"/>
        <w:rPr>
          <w:rFonts w:ascii="Palatino Linotype" w:eastAsia="Palatino Linotype" w:hAnsi="Palatino Linotype" w:cs="Palatino Linotype"/>
          <w:color w:val="222222"/>
          <w:sz w:val="24"/>
          <w:szCs w:val="24"/>
        </w:rPr>
      </w:pPr>
    </w:p>
    <w:p w:rsidR="00115674" w:rsidRPr="00F6275A" w:rsidRDefault="00115674">
      <w:pPr>
        <w:rPr>
          <w:rFonts w:ascii="Palatino Linotype" w:eastAsia="Palatino Linotype" w:hAnsi="Palatino Linotype" w:cs="Palatino Linotype"/>
          <w:sz w:val="24"/>
          <w:szCs w:val="24"/>
        </w:rPr>
      </w:pPr>
    </w:p>
    <w:p w:rsidR="00115674" w:rsidRPr="00F6275A" w:rsidRDefault="00115674">
      <w:pPr>
        <w:rPr>
          <w:sz w:val="24"/>
          <w:szCs w:val="24"/>
        </w:rPr>
      </w:pPr>
    </w:p>
    <w:p w:rsidR="00115674" w:rsidRPr="00F6275A" w:rsidRDefault="00115674">
      <w:pPr>
        <w:rPr>
          <w:sz w:val="24"/>
          <w:szCs w:val="24"/>
        </w:rPr>
      </w:pPr>
    </w:p>
    <w:p w:rsidR="00115674" w:rsidRPr="00F6275A" w:rsidRDefault="00115674">
      <w:pPr>
        <w:rPr>
          <w:sz w:val="24"/>
          <w:szCs w:val="24"/>
        </w:rPr>
      </w:pPr>
    </w:p>
    <w:p w:rsidR="00115674" w:rsidRPr="00F6275A" w:rsidRDefault="00115674">
      <w:pPr>
        <w:rPr>
          <w:sz w:val="24"/>
          <w:szCs w:val="24"/>
        </w:rPr>
      </w:pPr>
    </w:p>
    <w:p w:rsidR="00115674" w:rsidRPr="00F6275A" w:rsidRDefault="00C60DA7">
      <w:pPr>
        <w:rPr>
          <w:sz w:val="24"/>
          <w:szCs w:val="24"/>
        </w:rPr>
      </w:pPr>
      <w:r w:rsidRPr="00F6275A">
        <w:rPr>
          <w:sz w:val="24"/>
          <w:szCs w:val="24"/>
        </w:rPr>
        <w:t xml:space="preserve"> </w:t>
      </w:r>
    </w:p>
    <w:p w:rsidR="00115674" w:rsidRPr="00F6275A" w:rsidRDefault="00115674">
      <w:pPr>
        <w:rPr>
          <w:sz w:val="24"/>
          <w:szCs w:val="24"/>
        </w:rPr>
      </w:pPr>
    </w:p>
    <w:sectPr w:rsidR="00115674" w:rsidRPr="00F6275A" w:rsidSect="00F6275A">
      <w:headerReference w:type="even" r:id="rId10"/>
      <w:headerReference w:type="default" r:id="rId11"/>
      <w:footerReference w:type="default" r:id="rId12"/>
      <w:headerReference w:type="first" r:id="rId13"/>
      <w:footerReference w:type="first" r:id="rId14"/>
      <w:pgSz w:w="12240" w:h="15840"/>
      <w:pgMar w:top="80" w:right="758"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D14" w:rsidRDefault="00B80D14">
      <w:r>
        <w:separator/>
      </w:r>
    </w:p>
  </w:endnote>
  <w:endnote w:type="continuationSeparator" w:id="0">
    <w:p w:rsidR="00B80D14" w:rsidRDefault="00B80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59BB877-EF9B-4B59-B071-C50BDB9B51C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6A9CB72-7021-47F0-A5E5-8FF32C93D172}"/>
    <w:embedBold r:id="rId3" w:fontKey="{35F4D77B-3230-4738-BA11-CC314DC721BB}"/>
    <w:embedItalic r:id="rId4" w:fontKey="{414C06FE-FF34-4F7C-8CF1-B14341EA14A3}"/>
    <w:embedBoldItalic r:id="rId5" w:fontKey="{5C3CABE9-FF4B-4737-A66F-00401A14E89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E852BA31-20DB-48E5-B67A-7F27D8162896}"/>
  </w:font>
  <w:font w:name="Calibri Light">
    <w:panose1 w:val="020F0302020204030204"/>
    <w:charset w:val="00"/>
    <w:family w:val="swiss"/>
    <w:pitch w:val="variable"/>
    <w:sig w:usb0="E4002EFF" w:usb1="C200247B" w:usb2="00000009" w:usb3="00000000" w:csb0="000001FF" w:csb1="00000000"/>
    <w:embedRegular r:id="rId7" w:fontKey="{49696F4D-E5E7-4EE7-9EEE-550B4A7C33E5}"/>
  </w:font>
  <w:font w:name="Century Gothic">
    <w:panose1 w:val="020B0502020202020204"/>
    <w:charset w:val="00"/>
    <w:family w:val="swiss"/>
    <w:pitch w:val="variable"/>
    <w:sig w:usb0="00000287" w:usb1="00000000" w:usb2="00000000" w:usb3="00000000" w:csb0="0000009F" w:csb1="00000000"/>
    <w:embedRegular r:id="rId8" w:fontKey="{C0EE094B-5149-4D34-84ED-DE6105E3711B}"/>
  </w:font>
  <w:font w:name="Georgia">
    <w:panose1 w:val="02040502050405020303"/>
    <w:charset w:val="00"/>
    <w:family w:val="roman"/>
    <w:pitch w:val="variable"/>
    <w:sig w:usb0="00000287" w:usb1="00000000" w:usb2="00000000" w:usb3="00000000" w:csb0="0000009F" w:csb1="00000000"/>
    <w:embedItalic r:id="rId9" w:fontKey="{4B220422-5D9D-4D9F-B82C-D3C58AC41F47}"/>
  </w:font>
  <w:font w:name="Garamond">
    <w:panose1 w:val="02020404030301010803"/>
    <w:charset w:val="00"/>
    <w:family w:val="roman"/>
    <w:pitch w:val="variable"/>
    <w:sig w:usb0="00000287" w:usb1="00000000" w:usb2="00000000" w:usb3="00000000" w:csb0="0000009F" w:csb1="00000000"/>
    <w:embedRegular r:id="rId10" w:fontKey="{FD82CFD0-5C99-4B12-B86D-E098B95903D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74" w:rsidRDefault="00115674">
    <w:pPr>
      <w:pBdr>
        <w:top w:val="nil"/>
        <w:left w:val="nil"/>
        <w:bottom w:val="nil"/>
        <w:right w:val="nil"/>
        <w:between w:val="nil"/>
      </w:pBdr>
      <w:tabs>
        <w:tab w:val="center" w:pos="4419"/>
        <w:tab w:val="right" w:pos="8838"/>
      </w:tabs>
      <w:jc w:val="right"/>
      <w:rPr>
        <w:color w:val="000000"/>
      </w:rPr>
    </w:pPr>
  </w:p>
  <w:p w:rsidR="00115674" w:rsidRPr="00F6275A" w:rsidRDefault="00C60DA7">
    <w:pPr>
      <w:pBdr>
        <w:top w:val="nil"/>
        <w:left w:val="nil"/>
        <w:bottom w:val="nil"/>
        <w:right w:val="nil"/>
        <w:between w:val="nil"/>
      </w:pBdr>
      <w:tabs>
        <w:tab w:val="center" w:pos="4419"/>
        <w:tab w:val="right" w:pos="8838"/>
      </w:tabs>
      <w:jc w:val="right"/>
      <w:rPr>
        <w:rFonts w:ascii="Palatino Linotype" w:hAnsi="Palatino Linotype"/>
        <w:b/>
        <w:color w:val="000000"/>
        <w:sz w:val="22"/>
        <w:szCs w:val="22"/>
      </w:rPr>
    </w:pPr>
    <w:r w:rsidRPr="00F6275A">
      <w:rPr>
        <w:rFonts w:ascii="Palatino Linotype" w:hAnsi="Palatino Linotype"/>
        <w:b/>
        <w:color w:val="000000"/>
        <w:sz w:val="22"/>
        <w:szCs w:val="22"/>
      </w:rPr>
      <w:t xml:space="preserve">Página </w:t>
    </w:r>
    <w:r w:rsidRPr="00F6275A">
      <w:rPr>
        <w:rFonts w:ascii="Palatino Linotype" w:hAnsi="Palatino Linotype"/>
        <w:b/>
        <w:bCs/>
        <w:color w:val="000000"/>
        <w:sz w:val="22"/>
        <w:szCs w:val="22"/>
      </w:rPr>
      <w:fldChar w:fldCharType="begin"/>
    </w:r>
    <w:r w:rsidRPr="00F6275A">
      <w:rPr>
        <w:rFonts w:ascii="Palatino Linotype" w:hAnsi="Palatino Linotype"/>
        <w:b/>
        <w:bCs/>
        <w:color w:val="000000"/>
        <w:sz w:val="22"/>
        <w:szCs w:val="22"/>
      </w:rPr>
      <w:instrText>PAGE</w:instrText>
    </w:r>
    <w:r w:rsidRPr="00F6275A">
      <w:rPr>
        <w:rFonts w:ascii="Palatino Linotype" w:hAnsi="Palatino Linotype"/>
        <w:b/>
        <w:bCs/>
        <w:color w:val="000000"/>
        <w:sz w:val="22"/>
        <w:szCs w:val="22"/>
      </w:rPr>
      <w:fldChar w:fldCharType="separate"/>
    </w:r>
    <w:r w:rsidR="00FE46A6">
      <w:rPr>
        <w:rFonts w:ascii="Palatino Linotype" w:hAnsi="Palatino Linotype"/>
        <w:b/>
        <w:bCs/>
        <w:noProof/>
        <w:color w:val="000000"/>
        <w:sz w:val="22"/>
        <w:szCs w:val="22"/>
      </w:rPr>
      <w:t>16</w:t>
    </w:r>
    <w:r w:rsidRPr="00F6275A">
      <w:rPr>
        <w:rFonts w:ascii="Palatino Linotype" w:hAnsi="Palatino Linotype"/>
        <w:b/>
        <w:bCs/>
        <w:color w:val="000000"/>
        <w:sz w:val="22"/>
        <w:szCs w:val="22"/>
      </w:rPr>
      <w:fldChar w:fldCharType="end"/>
    </w:r>
    <w:r w:rsidRPr="00F6275A">
      <w:rPr>
        <w:rFonts w:ascii="Palatino Linotype" w:hAnsi="Palatino Linotype"/>
        <w:b/>
        <w:color w:val="000000"/>
        <w:sz w:val="22"/>
        <w:szCs w:val="22"/>
      </w:rPr>
      <w:t xml:space="preserve"> de </w:t>
    </w:r>
    <w:r w:rsidRPr="00F6275A">
      <w:rPr>
        <w:rFonts w:ascii="Palatino Linotype" w:hAnsi="Palatino Linotype"/>
        <w:b/>
        <w:bCs/>
        <w:color w:val="000000"/>
        <w:sz w:val="22"/>
        <w:szCs w:val="22"/>
      </w:rPr>
      <w:fldChar w:fldCharType="begin"/>
    </w:r>
    <w:r w:rsidRPr="00F6275A">
      <w:rPr>
        <w:rFonts w:ascii="Palatino Linotype" w:hAnsi="Palatino Linotype"/>
        <w:b/>
        <w:bCs/>
        <w:color w:val="000000"/>
        <w:sz w:val="22"/>
        <w:szCs w:val="22"/>
      </w:rPr>
      <w:instrText>NUMPAGES</w:instrText>
    </w:r>
    <w:r w:rsidRPr="00F6275A">
      <w:rPr>
        <w:rFonts w:ascii="Palatino Linotype" w:hAnsi="Palatino Linotype"/>
        <w:b/>
        <w:bCs/>
        <w:color w:val="000000"/>
        <w:sz w:val="22"/>
        <w:szCs w:val="22"/>
      </w:rPr>
      <w:fldChar w:fldCharType="separate"/>
    </w:r>
    <w:r w:rsidR="00FE46A6">
      <w:rPr>
        <w:rFonts w:ascii="Palatino Linotype" w:hAnsi="Palatino Linotype"/>
        <w:b/>
        <w:bCs/>
        <w:noProof/>
        <w:color w:val="000000"/>
        <w:sz w:val="22"/>
        <w:szCs w:val="22"/>
      </w:rPr>
      <w:t>16</w:t>
    </w:r>
    <w:r w:rsidRPr="00F6275A">
      <w:rPr>
        <w:rFonts w:ascii="Palatino Linotype" w:hAnsi="Palatino Linotype"/>
        <w:b/>
        <w:bCs/>
        <w:color w:val="000000"/>
        <w:sz w:val="22"/>
        <w:szCs w:val="22"/>
      </w:rPr>
      <w:fldChar w:fldCharType="end"/>
    </w:r>
  </w:p>
  <w:p w:rsidR="00115674" w:rsidRDefault="00115674">
    <w:pPr>
      <w:pBdr>
        <w:top w:val="nil"/>
        <w:left w:val="nil"/>
        <w:bottom w:val="nil"/>
        <w:right w:val="nil"/>
        <w:between w:val="nil"/>
      </w:pBdr>
      <w:tabs>
        <w:tab w:val="center" w:pos="4419"/>
        <w:tab w:val="right" w:pos="8838"/>
      </w:tabs>
      <w:rPr>
        <w:color w:val="000000"/>
      </w:rPr>
    </w:pPr>
  </w:p>
  <w:p w:rsidR="00115674" w:rsidRDefault="00115674"/>
  <w:p w:rsidR="00115674" w:rsidRDefault="00115674"/>
  <w:p w:rsidR="00115674" w:rsidRDefault="001156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74" w:rsidRPr="00F6275A" w:rsidRDefault="00C60DA7">
    <w:pPr>
      <w:pBdr>
        <w:top w:val="nil"/>
        <w:left w:val="nil"/>
        <w:bottom w:val="nil"/>
        <w:right w:val="nil"/>
        <w:between w:val="nil"/>
      </w:pBdr>
      <w:tabs>
        <w:tab w:val="center" w:pos="4419"/>
        <w:tab w:val="right" w:pos="8838"/>
      </w:tabs>
      <w:jc w:val="right"/>
      <w:rPr>
        <w:rFonts w:ascii="Palatino Linotype" w:hAnsi="Palatino Linotype"/>
        <w:b/>
        <w:color w:val="000000"/>
        <w:sz w:val="22"/>
        <w:szCs w:val="24"/>
      </w:rPr>
    </w:pPr>
    <w:r w:rsidRPr="00F6275A">
      <w:rPr>
        <w:rFonts w:ascii="Palatino Linotype" w:hAnsi="Palatino Linotype"/>
        <w:b/>
        <w:color w:val="000000"/>
        <w:sz w:val="22"/>
        <w:szCs w:val="24"/>
      </w:rPr>
      <w:t xml:space="preserve">Página </w:t>
    </w:r>
    <w:r w:rsidRPr="00F6275A">
      <w:rPr>
        <w:rFonts w:ascii="Palatino Linotype" w:hAnsi="Palatino Linotype"/>
        <w:b/>
        <w:bCs/>
        <w:color w:val="000000"/>
        <w:sz w:val="22"/>
        <w:szCs w:val="24"/>
      </w:rPr>
      <w:fldChar w:fldCharType="begin"/>
    </w:r>
    <w:r w:rsidRPr="00F6275A">
      <w:rPr>
        <w:rFonts w:ascii="Palatino Linotype" w:hAnsi="Palatino Linotype"/>
        <w:b/>
        <w:bCs/>
        <w:color w:val="000000"/>
        <w:sz w:val="22"/>
        <w:szCs w:val="24"/>
      </w:rPr>
      <w:instrText>PAGE</w:instrText>
    </w:r>
    <w:r w:rsidRPr="00F6275A">
      <w:rPr>
        <w:rFonts w:ascii="Palatino Linotype" w:hAnsi="Palatino Linotype"/>
        <w:b/>
        <w:bCs/>
        <w:color w:val="000000"/>
        <w:sz w:val="22"/>
        <w:szCs w:val="24"/>
      </w:rPr>
      <w:fldChar w:fldCharType="separate"/>
    </w:r>
    <w:r w:rsidR="00FE46A6">
      <w:rPr>
        <w:rFonts w:ascii="Palatino Linotype" w:hAnsi="Palatino Linotype"/>
        <w:b/>
        <w:bCs/>
        <w:noProof/>
        <w:color w:val="000000"/>
        <w:sz w:val="22"/>
        <w:szCs w:val="24"/>
      </w:rPr>
      <w:t>1</w:t>
    </w:r>
    <w:r w:rsidRPr="00F6275A">
      <w:rPr>
        <w:rFonts w:ascii="Palatino Linotype" w:hAnsi="Palatino Linotype"/>
        <w:b/>
        <w:bCs/>
        <w:color w:val="000000"/>
        <w:sz w:val="22"/>
        <w:szCs w:val="24"/>
      </w:rPr>
      <w:fldChar w:fldCharType="end"/>
    </w:r>
    <w:r w:rsidRPr="00F6275A">
      <w:rPr>
        <w:rFonts w:ascii="Palatino Linotype" w:hAnsi="Palatino Linotype"/>
        <w:b/>
        <w:color w:val="000000"/>
        <w:sz w:val="22"/>
        <w:szCs w:val="24"/>
      </w:rPr>
      <w:t xml:space="preserve"> de </w:t>
    </w:r>
    <w:r w:rsidRPr="00F6275A">
      <w:rPr>
        <w:rFonts w:ascii="Palatino Linotype" w:hAnsi="Palatino Linotype"/>
        <w:b/>
        <w:bCs/>
        <w:color w:val="000000"/>
        <w:sz w:val="22"/>
        <w:szCs w:val="24"/>
      </w:rPr>
      <w:fldChar w:fldCharType="begin"/>
    </w:r>
    <w:r w:rsidRPr="00F6275A">
      <w:rPr>
        <w:rFonts w:ascii="Palatino Linotype" w:hAnsi="Palatino Linotype"/>
        <w:b/>
        <w:bCs/>
        <w:color w:val="000000"/>
        <w:sz w:val="22"/>
        <w:szCs w:val="24"/>
      </w:rPr>
      <w:instrText>NUMPAGES</w:instrText>
    </w:r>
    <w:r w:rsidRPr="00F6275A">
      <w:rPr>
        <w:rFonts w:ascii="Palatino Linotype" w:hAnsi="Palatino Linotype"/>
        <w:b/>
        <w:bCs/>
        <w:color w:val="000000"/>
        <w:sz w:val="22"/>
        <w:szCs w:val="24"/>
      </w:rPr>
      <w:fldChar w:fldCharType="separate"/>
    </w:r>
    <w:r w:rsidR="00FE46A6">
      <w:rPr>
        <w:rFonts w:ascii="Palatino Linotype" w:hAnsi="Palatino Linotype"/>
        <w:b/>
        <w:bCs/>
        <w:noProof/>
        <w:color w:val="000000"/>
        <w:sz w:val="22"/>
        <w:szCs w:val="24"/>
      </w:rPr>
      <w:t>16</w:t>
    </w:r>
    <w:r w:rsidRPr="00F6275A">
      <w:rPr>
        <w:rFonts w:ascii="Palatino Linotype" w:hAnsi="Palatino Linotype"/>
        <w:b/>
        <w:bCs/>
        <w:color w:val="000000"/>
        <w:sz w:val="22"/>
        <w:szCs w:val="24"/>
      </w:rPr>
      <w:fldChar w:fldCharType="end"/>
    </w:r>
  </w:p>
  <w:p w:rsidR="00115674" w:rsidRDefault="00115674">
    <w:pPr>
      <w:pBdr>
        <w:top w:val="nil"/>
        <w:left w:val="nil"/>
        <w:bottom w:val="nil"/>
        <w:right w:val="nil"/>
        <w:between w:val="nil"/>
      </w:pBdr>
      <w:tabs>
        <w:tab w:val="center" w:pos="4419"/>
        <w:tab w:val="right" w:pos="8838"/>
      </w:tabs>
      <w:rPr>
        <w:color w:val="000000"/>
      </w:rPr>
    </w:pPr>
  </w:p>
  <w:p w:rsidR="00115674" w:rsidRDefault="00115674"/>
  <w:p w:rsidR="00115674" w:rsidRDefault="00115674"/>
  <w:p w:rsidR="00115674" w:rsidRDefault="001156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D14" w:rsidRDefault="00B80D14">
      <w:r>
        <w:separator/>
      </w:r>
    </w:p>
  </w:footnote>
  <w:footnote w:type="continuationSeparator" w:id="0">
    <w:p w:rsidR="00B80D14" w:rsidRDefault="00B80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674" w:rsidRDefault="00B80D1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115674" w:rsidRDefault="00115674"/>
  <w:p w:rsidR="00115674" w:rsidRDefault="00115674"/>
  <w:p w:rsidR="00115674" w:rsidRDefault="001156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206" w:type="dxa"/>
      <w:tblInd w:w="0" w:type="dxa"/>
      <w:tblLayout w:type="fixed"/>
      <w:tblLook w:val="0400" w:firstRow="0" w:lastRow="0" w:firstColumn="0" w:lastColumn="0" w:noHBand="0" w:noVBand="1"/>
    </w:tblPr>
    <w:tblGrid>
      <w:gridCol w:w="1843"/>
      <w:gridCol w:w="8363"/>
    </w:tblGrid>
    <w:tr w:rsidR="00115674" w:rsidTr="00F6275A">
      <w:trPr>
        <w:trHeight w:val="1435"/>
      </w:trPr>
      <w:tc>
        <w:tcPr>
          <w:tcW w:w="1843" w:type="dxa"/>
          <w:shd w:val="clear" w:color="auto" w:fill="auto"/>
        </w:tcPr>
        <w:p w:rsidR="00115674" w:rsidRDefault="00C60DA7">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363" w:type="dxa"/>
          <w:shd w:val="clear" w:color="auto" w:fill="auto"/>
        </w:tcPr>
        <w:tbl>
          <w:tblPr>
            <w:tblStyle w:val="a0"/>
            <w:tblW w:w="7371"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827"/>
            <w:gridCol w:w="4544"/>
          </w:tblGrid>
          <w:tr w:rsidR="00115674" w:rsidTr="00F6275A">
            <w:trPr>
              <w:trHeight w:val="338"/>
            </w:trPr>
            <w:tc>
              <w:tcPr>
                <w:tcW w:w="2827" w:type="dxa"/>
              </w:tcPr>
              <w:p w:rsidR="00115674" w:rsidRPr="00F6275A" w:rsidRDefault="00C60DA7">
                <w:pPr>
                  <w:tabs>
                    <w:tab w:val="right" w:pos="8838"/>
                  </w:tabs>
                  <w:ind w:right="-105"/>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Recurso de Revisión:</w:t>
                </w:r>
              </w:p>
            </w:tc>
            <w:tc>
              <w:tcPr>
                <w:tcW w:w="4544" w:type="dxa"/>
              </w:tcPr>
              <w:p w:rsidR="00115674" w:rsidRPr="00F6275A" w:rsidRDefault="00C60DA7">
                <w:pPr>
                  <w:tabs>
                    <w:tab w:val="right" w:pos="8838"/>
                  </w:tabs>
                  <w:ind w:right="-105" w:hanging="101"/>
                  <w:jc w:val="both"/>
                  <w:rPr>
                    <w:rFonts w:ascii="Palatino Linotype" w:eastAsia="Palatino Linotype" w:hAnsi="Palatino Linotype" w:cs="Palatino Linotype"/>
                    <w:sz w:val="24"/>
                    <w:szCs w:val="24"/>
                  </w:rPr>
                </w:pPr>
                <w:r w:rsidRPr="00F6275A">
                  <w:rPr>
                    <w:rFonts w:ascii="Palatino Linotype" w:eastAsia="Palatino Linotype" w:hAnsi="Palatino Linotype" w:cs="Palatino Linotype"/>
                    <w:bCs/>
                    <w:sz w:val="24"/>
                    <w:szCs w:val="24"/>
                  </w:rPr>
                  <w:t>13978/INFOEM/IP/RR/2025</w:t>
                </w:r>
              </w:p>
            </w:tc>
          </w:tr>
          <w:tr w:rsidR="00115674" w:rsidTr="00F6275A">
            <w:trPr>
              <w:trHeight w:val="283"/>
            </w:trPr>
            <w:tc>
              <w:tcPr>
                <w:tcW w:w="2827" w:type="dxa"/>
              </w:tcPr>
              <w:p w:rsidR="00115674" w:rsidRPr="00F6275A" w:rsidRDefault="00C60DA7">
                <w:pPr>
                  <w:tabs>
                    <w:tab w:val="right" w:pos="8838"/>
                  </w:tabs>
                  <w:ind w:right="-105"/>
                  <w:rPr>
                    <w:rFonts w:ascii="Palatino Linotype" w:eastAsia="Palatino Linotype" w:hAnsi="Palatino Linotype" w:cs="Palatino Linotype"/>
                    <w:b/>
                    <w:bCs/>
                    <w:sz w:val="24"/>
                    <w:szCs w:val="24"/>
                  </w:rPr>
                </w:pPr>
                <w:bookmarkStart w:id="10" w:name="_heading=h.3rdcrjn" w:colFirst="0" w:colLast="0"/>
                <w:bookmarkEnd w:id="10"/>
                <w:r w:rsidRPr="00F6275A">
                  <w:rPr>
                    <w:rFonts w:ascii="Palatino Linotype" w:eastAsia="Palatino Linotype" w:hAnsi="Palatino Linotype" w:cs="Palatino Linotype"/>
                    <w:b/>
                    <w:bCs/>
                    <w:sz w:val="24"/>
                    <w:szCs w:val="24"/>
                  </w:rPr>
                  <w:t>Sujeto Obligado:</w:t>
                </w:r>
              </w:p>
            </w:tc>
            <w:tc>
              <w:tcPr>
                <w:tcW w:w="4544" w:type="dxa"/>
              </w:tcPr>
              <w:p w:rsidR="00115674" w:rsidRPr="00F6275A" w:rsidRDefault="00C60DA7">
                <w:pPr>
                  <w:tabs>
                    <w:tab w:val="left" w:pos="2834"/>
                    <w:tab w:val="right" w:pos="8838"/>
                  </w:tabs>
                  <w:ind w:left="-113" w:right="1318"/>
                  <w:jc w:val="both"/>
                  <w:rPr>
                    <w:rFonts w:ascii="Palatino Linotype" w:eastAsia="Palatino Linotype" w:hAnsi="Palatino Linotype" w:cs="Palatino Linotype"/>
                    <w:bCs/>
                    <w:sz w:val="24"/>
                    <w:szCs w:val="24"/>
                  </w:rPr>
                </w:pPr>
                <w:r w:rsidRPr="00F6275A">
                  <w:rPr>
                    <w:rFonts w:ascii="Palatino Linotype" w:eastAsia="Palatino Linotype" w:hAnsi="Palatino Linotype" w:cs="Palatino Linotype"/>
                    <w:bCs/>
                    <w:sz w:val="24"/>
                    <w:szCs w:val="24"/>
                  </w:rPr>
                  <w:t>Ayuntamiento de Ixtapaluca</w:t>
                </w:r>
              </w:p>
            </w:tc>
          </w:tr>
          <w:tr w:rsidR="00115674" w:rsidTr="00F6275A">
            <w:trPr>
              <w:trHeight w:val="283"/>
            </w:trPr>
            <w:tc>
              <w:tcPr>
                <w:tcW w:w="2827" w:type="dxa"/>
              </w:tcPr>
              <w:p w:rsidR="00115674" w:rsidRPr="00F6275A" w:rsidRDefault="00C60DA7">
                <w:pPr>
                  <w:tabs>
                    <w:tab w:val="right" w:pos="8838"/>
                  </w:tabs>
                  <w:ind w:right="-105"/>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Comisionada Ponente:</w:t>
                </w:r>
              </w:p>
            </w:tc>
            <w:tc>
              <w:tcPr>
                <w:tcW w:w="4544" w:type="dxa"/>
              </w:tcPr>
              <w:p w:rsidR="00115674" w:rsidRPr="00F6275A" w:rsidRDefault="00C60DA7">
                <w:pPr>
                  <w:tabs>
                    <w:tab w:val="right" w:pos="8838"/>
                  </w:tabs>
                  <w:ind w:left="-113" w:right="-105"/>
                  <w:jc w:val="both"/>
                  <w:rPr>
                    <w:rFonts w:ascii="Palatino Linotype" w:eastAsia="Palatino Linotype" w:hAnsi="Palatino Linotype" w:cs="Palatino Linotype"/>
                    <w:bCs/>
                    <w:sz w:val="24"/>
                    <w:szCs w:val="24"/>
                  </w:rPr>
                </w:pPr>
                <w:r w:rsidRPr="00F6275A">
                  <w:rPr>
                    <w:rFonts w:ascii="Palatino Linotype" w:eastAsia="Palatino Linotype" w:hAnsi="Palatino Linotype" w:cs="Palatino Linotype"/>
                    <w:bCs/>
                    <w:sz w:val="24"/>
                    <w:szCs w:val="24"/>
                  </w:rPr>
                  <w:t>María del Rosario Mejía Ayala</w:t>
                </w:r>
              </w:p>
            </w:tc>
          </w:tr>
        </w:tbl>
        <w:p w:rsidR="00115674" w:rsidRDefault="00115674">
          <w:pPr>
            <w:tabs>
              <w:tab w:val="right" w:pos="8838"/>
            </w:tabs>
            <w:ind w:left="-28"/>
            <w:jc w:val="both"/>
            <w:rPr>
              <w:rFonts w:ascii="Arial" w:eastAsia="Arial" w:hAnsi="Arial" w:cs="Arial"/>
              <w:b/>
              <w:bCs/>
              <w:sz w:val="22"/>
              <w:szCs w:val="22"/>
            </w:rPr>
          </w:pPr>
        </w:p>
      </w:tc>
    </w:tr>
  </w:tbl>
  <w:p w:rsidR="00115674" w:rsidRPr="00F6275A" w:rsidRDefault="00B80D14" w:rsidP="00F6275A">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3.55pt;margin-top:-130.2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206" w:type="dxa"/>
      <w:tblInd w:w="0" w:type="dxa"/>
      <w:tblLayout w:type="fixed"/>
      <w:tblLook w:val="0400" w:firstRow="0" w:lastRow="0" w:firstColumn="0" w:lastColumn="0" w:noHBand="0" w:noVBand="1"/>
    </w:tblPr>
    <w:tblGrid>
      <w:gridCol w:w="1560"/>
      <w:gridCol w:w="8646"/>
    </w:tblGrid>
    <w:tr w:rsidR="00115674" w:rsidRPr="00F6275A" w:rsidTr="00F6275A">
      <w:trPr>
        <w:trHeight w:val="1435"/>
      </w:trPr>
      <w:tc>
        <w:tcPr>
          <w:tcW w:w="1560" w:type="dxa"/>
          <w:shd w:val="clear" w:color="auto" w:fill="auto"/>
        </w:tcPr>
        <w:p w:rsidR="00115674" w:rsidRDefault="00115674">
          <w:pPr>
            <w:tabs>
              <w:tab w:val="right" w:pos="4273"/>
            </w:tabs>
            <w:rPr>
              <w:rFonts w:ascii="Garamond" w:eastAsia="Garamond" w:hAnsi="Garamond" w:cs="Garamond"/>
              <w:sz w:val="22"/>
              <w:szCs w:val="22"/>
            </w:rPr>
          </w:pPr>
        </w:p>
      </w:tc>
      <w:tc>
        <w:tcPr>
          <w:tcW w:w="8646" w:type="dxa"/>
          <w:shd w:val="clear" w:color="auto" w:fill="auto"/>
        </w:tcPr>
        <w:tbl>
          <w:tblPr>
            <w:tblStyle w:val="a2"/>
            <w:tblW w:w="7078" w:type="dxa"/>
            <w:tblInd w:w="2153" w:type="dxa"/>
            <w:tblBorders>
              <w:top w:val="nil"/>
              <w:left w:val="nil"/>
              <w:bottom w:val="nil"/>
              <w:right w:val="nil"/>
              <w:insideH w:val="nil"/>
              <w:insideV w:val="nil"/>
            </w:tblBorders>
            <w:tblLayout w:type="fixed"/>
            <w:tblLook w:val="0400" w:firstRow="0" w:lastRow="0" w:firstColumn="0" w:lastColumn="0" w:noHBand="0" w:noVBand="1"/>
          </w:tblPr>
          <w:tblGrid>
            <w:gridCol w:w="2683"/>
            <w:gridCol w:w="4395"/>
          </w:tblGrid>
          <w:tr w:rsidR="00F6275A" w:rsidRPr="00F6275A" w:rsidTr="00F6275A">
            <w:trPr>
              <w:trHeight w:val="127"/>
            </w:trPr>
            <w:tc>
              <w:tcPr>
                <w:tcW w:w="2683" w:type="dxa"/>
              </w:tcPr>
              <w:p w:rsidR="00F6275A" w:rsidRPr="00F6275A" w:rsidRDefault="00F6275A">
                <w:pPr>
                  <w:tabs>
                    <w:tab w:val="right" w:pos="8838"/>
                  </w:tabs>
                  <w:ind w:left="-74" w:right="-105"/>
                  <w:rPr>
                    <w:rFonts w:ascii="Palatino Linotype" w:eastAsia="Palatino Linotype" w:hAnsi="Palatino Linotype" w:cs="Palatino Linotype"/>
                    <w:b/>
                    <w:bCs/>
                    <w:sz w:val="24"/>
                    <w:szCs w:val="24"/>
                  </w:rPr>
                </w:pPr>
                <w:bookmarkStart w:id="11" w:name="_heading=h.26in1rg" w:colFirst="0" w:colLast="0"/>
                <w:bookmarkEnd w:id="11"/>
                <w:r w:rsidRPr="00F6275A">
                  <w:rPr>
                    <w:rFonts w:ascii="Palatino Linotype" w:eastAsia="Palatino Linotype" w:hAnsi="Palatino Linotype" w:cs="Palatino Linotype"/>
                    <w:b/>
                    <w:bCs/>
                    <w:sz w:val="24"/>
                    <w:szCs w:val="24"/>
                  </w:rPr>
                  <w:t>Recurso de Revisión:</w:t>
                </w:r>
              </w:p>
            </w:tc>
            <w:tc>
              <w:tcPr>
                <w:tcW w:w="4395" w:type="dxa"/>
              </w:tcPr>
              <w:p w:rsidR="00F6275A" w:rsidRPr="00F6275A" w:rsidRDefault="00F6275A" w:rsidP="00F6275A">
                <w:pPr>
                  <w:tabs>
                    <w:tab w:val="right" w:pos="8838"/>
                  </w:tabs>
                  <w:ind w:left="-3" w:right="-105"/>
                  <w:rPr>
                    <w:rFonts w:ascii="Palatino Linotype" w:eastAsia="Palatino Linotype" w:hAnsi="Palatino Linotype" w:cs="Palatino Linotype"/>
                    <w:sz w:val="24"/>
                    <w:szCs w:val="24"/>
                  </w:rPr>
                </w:pPr>
                <w:r w:rsidRPr="00F6275A">
                  <w:rPr>
                    <w:rFonts w:ascii="Palatino Linotype" w:eastAsia="Palatino Linotype" w:hAnsi="Palatino Linotype" w:cs="Palatino Linotype"/>
                    <w:bCs/>
                    <w:sz w:val="24"/>
                    <w:szCs w:val="24"/>
                  </w:rPr>
                  <w:t>13978/INFOEM/IP/RR/2025</w:t>
                </w:r>
              </w:p>
            </w:tc>
          </w:tr>
          <w:tr w:rsidR="00F6275A" w:rsidRPr="00F6275A" w:rsidTr="00F6275A">
            <w:trPr>
              <w:trHeight w:val="127"/>
            </w:trPr>
            <w:tc>
              <w:tcPr>
                <w:tcW w:w="2683" w:type="dxa"/>
              </w:tcPr>
              <w:p w:rsidR="00F6275A" w:rsidRPr="00F6275A" w:rsidRDefault="00F6275A">
                <w:pPr>
                  <w:tabs>
                    <w:tab w:val="right" w:pos="8838"/>
                  </w:tabs>
                  <w:ind w:left="-74" w:right="-105"/>
                  <w:rPr>
                    <w:rFonts w:ascii="Palatino Linotype" w:eastAsia="Palatino Linotype" w:hAnsi="Palatino Linotype" w:cs="Palatino Linotype"/>
                    <w:b/>
                    <w:bCs/>
                    <w:sz w:val="24"/>
                    <w:szCs w:val="24"/>
                  </w:rPr>
                </w:pPr>
                <w:bookmarkStart w:id="12" w:name="_heading=h.lnxbz9" w:colFirst="0" w:colLast="0"/>
                <w:bookmarkEnd w:id="12"/>
                <w:r w:rsidRPr="00F6275A">
                  <w:rPr>
                    <w:rFonts w:ascii="Palatino Linotype" w:eastAsia="Palatino Linotype" w:hAnsi="Palatino Linotype" w:cs="Palatino Linotype"/>
                    <w:b/>
                    <w:bCs/>
                    <w:sz w:val="24"/>
                    <w:szCs w:val="24"/>
                  </w:rPr>
                  <w:t>Recurrente:</w:t>
                </w:r>
              </w:p>
            </w:tc>
            <w:tc>
              <w:tcPr>
                <w:tcW w:w="4395" w:type="dxa"/>
              </w:tcPr>
              <w:p w:rsidR="00F6275A" w:rsidRPr="00F6275A" w:rsidRDefault="00FE46A6" w:rsidP="00F6275A">
                <w:pPr>
                  <w:tabs>
                    <w:tab w:val="right" w:pos="8838"/>
                  </w:tabs>
                  <w:ind w:right="1457"/>
                  <w:rPr>
                    <w:rFonts w:ascii="Palatino Linotype" w:eastAsia="Palatino Linotype" w:hAnsi="Palatino Linotype" w:cs="Palatino Linotype"/>
                    <w:bCs/>
                    <w:sz w:val="24"/>
                    <w:szCs w:val="24"/>
                  </w:rPr>
                </w:pPr>
                <w:r>
                  <w:rPr>
                    <w:rFonts w:ascii="Palatino Linotype" w:eastAsia="Palatino Linotype" w:hAnsi="Palatino Linotype" w:cs="Palatino Linotype"/>
                    <w:bCs/>
                    <w:sz w:val="24"/>
                    <w:szCs w:val="24"/>
                  </w:rPr>
                  <w:t>XXXX</w:t>
                </w:r>
              </w:p>
            </w:tc>
          </w:tr>
          <w:tr w:rsidR="00F6275A" w:rsidRPr="00F6275A" w:rsidTr="00F6275A">
            <w:trPr>
              <w:trHeight w:val="250"/>
            </w:trPr>
            <w:tc>
              <w:tcPr>
                <w:tcW w:w="2683" w:type="dxa"/>
              </w:tcPr>
              <w:p w:rsidR="00F6275A" w:rsidRPr="00F6275A" w:rsidRDefault="00F6275A">
                <w:pPr>
                  <w:tabs>
                    <w:tab w:val="right" w:pos="8838"/>
                  </w:tabs>
                  <w:ind w:left="-74" w:right="-105"/>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Sujeto Obligado:</w:t>
                </w:r>
              </w:p>
            </w:tc>
            <w:tc>
              <w:tcPr>
                <w:tcW w:w="4395" w:type="dxa"/>
              </w:tcPr>
              <w:p w:rsidR="00F6275A" w:rsidRPr="00F6275A" w:rsidRDefault="00F6275A" w:rsidP="00F6275A">
                <w:pPr>
                  <w:tabs>
                    <w:tab w:val="right" w:pos="8838"/>
                  </w:tabs>
                  <w:ind w:left="-3" w:right="169"/>
                  <w:rPr>
                    <w:rFonts w:ascii="Palatino Linotype" w:eastAsia="Palatino Linotype" w:hAnsi="Palatino Linotype" w:cs="Palatino Linotype"/>
                    <w:bCs/>
                    <w:sz w:val="24"/>
                    <w:szCs w:val="24"/>
                  </w:rPr>
                </w:pPr>
                <w:r>
                  <w:rPr>
                    <w:rFonts w:ascii="Palatino Linotype" w:eastAsia="Palatino Linotype" w:hAnsi="Palatino Linotype" w:cs="Palatino Linotype"/>
                    <w:bCs/>
                    <w:sz w:val="24"/>
                    <w:szCs w:val="24"/>
                  </w:rPr>
                  <w:t xml:space="preserve">Ayuntamiento de </w:t>
                </w:r>
                <w:r w:rsidRPr="00F6275A">
                  <w:rPr>
                    <w:rFonts w:ascii="Palatino Linotype" w:eastAsia="Palatino Linotype" w:hAnsi="Palatino Linotype" w:cs="Palatino Linotype"/>
                    <w:bCs/>
                    <w:sz w:val="24"/>
                    <w:szCs w:val="24"/>
                  </w:rPr>
                  <w:t>Ixtapaluca</w:t>
                </w:r>
              </w:p>
            </w:tc>
          </w:tr>
          <w:tr w:rsidR="00F6275A" w:rsidRPr="00F6275A" w:rsidTr="00F6275A">
            <w:trPr>
              <w:trHeight w:val="250"/>
            </w:trPr>
            <w:tc>
              <w:tcPr>
                <w:tcW w:w="2683" w:type="dxa"/>
              </w:tcPr>
              <w:p w:rsidR="00F6275A" w:rsidRPr="00F6275A" w:rsidRDefault="00F6275A">
                <w:pPr>
                  <w:tabs>
                    <w:tab w:val="right" w:pos="8838"/>
                  </w:tabs>
                  <w:ind w:left="-74" w:right="-105"/>
                  <w:rPr>
                    <w:rFonts w:ascii="Palatino Linotype" w:eastAsia="Palatino Linotype" w:hAnsi="Palatino Linotype" w:cs="Palatino Linotype"/>
                    <w:b/>
                    <w:bCs/>
                    <w:sz w:val="24"/>
                    <w:szCs w:val="24"/>
                  </w:rPr>
                </w:pPr>
                <w:r w:rsidRPr="00F6275A">
                  <w:rPr>
                    <w:rFonts w:ascii="Palatino Linotype" w:eastAsia="Palatino Linotype" w:hAnsi="Palatino Linotype" w:cs="Palatino Linotype"/>
                    <w:b/>
                    <w:bCs/>
                    <w:sz w:val="24"/>
                    <w:szCs w:val="24"/>
                  </w:rPr>
                  <w:t>Comisionada Ponente:</w:t>
                </w:r>
              </w:p>
            </w:tc>
            <w:tc>
              <w:tcPr>
                <w:tcW w:w="4395" w:type="dxa"/>
              </w:tcPr>
              <w:p w:rsidR="00F6275A" w:rsidRPr="00F6275A" w:rsidRDefault="00F6275A" w:rsidP="00F6275A">
                <w:pPr>
                  <w:tabs>
                    <w:tab w:val="right" w:pos="8838"/>
                  </w:tabs>
                  <w:ind w:left="-3" w:right="-105"/>
                  <w:rPr>
                    <w:rFonts w:ascii="Palatino Linotype" w:eastAsia="Palatino Linotype" w:hAnsi="Palatino Linotype" w:cs="Palatino Linotype"/>
                    <w:bCs/>
                    <w:sz w:val="24"/>
                    <w:szCs w:val="24"/>
                  </w:rPr>
                </w:pPr>
                <w:r w:rsidRPr="00F6275A">
                  <w:rPr>
                    <w:rFonts w:ascii="Palatino Linotype" w:eastAsia="Palatino Linotype" w:hAnsi="Palatino Linotype" w:cs="Palatino Linotype"/>
                    <w:bCs/>
                    <w:sz w:val="24"/>
                    <w:szCs w:val="24"/>
                  </w:rPr>
                  <w:t>María del Rosario Mejía Ayala</w:t>
                </w:r>
              </w:p>
            </w:tc>
          </w:tr>
        </w:tbl>
        <w:p w:rsidR="00115674" w:rsidRPr="00F6275A" w:rsidRDefault="00115674">
          <w:pPr>
            <w:tabs>
              <w:tab w:val="right" w:pos="8838"/>
            </w:tabs>
            <w:ind w:left="-28"/>
            <w:jc w:val="both"/>
            <w:rPr>
              <w:rFonts w:ascii="Arial" w:eastAsia="Arial" w:hAnsi="Arial" w:cs="Arial"/>
              <w:b/>
              <w:bCs/>
              <w:sz w:val="24"/>
              <w:szCs w:val="24"/>
            </w:rPr>
          </w:pPr>
        </w:p>
      </w:tc>
    </w:tr>
  </w:tbl>
  <w:p w:rsidR="00115674" w:rsidRPr="00F6275A" w:rsidRDefault="00B80D14" w:rsidP="00F6275A">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9.05pt;margin-top:-135.05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2A33"/>
    <w:multiLevelType w:val="multilevel"/>
    <w:tmpl w:val="2946E72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11272D54"/>
    <w:multiLevelType w:val="multilevel"/>
    <w:tmpl w:val="31CE00D2"/>
    <w:lvl w:ilvl="0">
      <w:start w:val="1"/>
      <w:numFmt w:val="decimal"/>
      <w:lvlText w:val="%1."/>
      <w:lvlJc w:val="left"/>
      <w:pPr>
        <w:ind w:left="4613" w:hanging="360"/>
      </w:pPr>
      <w:rPr>
        <w:rFonts w:ascii="Palatino Linotype" w:eastAsia="Palatino Linotype" w:hAnsi="Palatino Linotype" w:cs="Palatino Linotype"/>
        <w:b/>
        <w:bCs/>
        <w:i w:val="0"/>
        <w:iCs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bCs/>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4D35E3"/>
    <w:multiLevelType w:val="multilevel"/>
    <w:tmpl w:val="E57AFD4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 w15:restartNumberingAfterBreak="0">
    <w:nsid w:val="6AF50D2D"/>
    <w:multiLevelType w:val="multilevel"/>
    <w:tmpl w:val="702CD3EA"/>
    <w:lvl w:ilvl="0">
      <w:numFmt w:val="bullet"/>
      <w:lvlText w:val="-"/>
      <w:lvlJc w:val="left"/>
      <w:pPr>
        <w:ind w:left="720" w:hanging="360"/>
      </w:pPr>
      <w:rPr>
        <w:rFonts w:ascii="Palatino Linotype" w:eastAsia="Palatino Linotype" w:hAnsi="Palatino Linotype" w:cs="Palatino Linotype"/>
        <w:b w:val="0"/>
        <w:bCs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786B8C"/>
    <w:multiLevelType w:val="hybridMultilevel"/>
    <w:tmpl w:val="C4AC71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674"/>
    <w:rsid w:val="00115674"/>
    <w:rsid w:val="002F3280"/>
    <w:rsid w:val="00793ED0"/>
    <w:rsid w:val="00AE11DE"/>
    <w:rsid w:val="00B80D14"/>
    <w:rsid w:val="00C60DA7"/>
    <w:rsid w:val="00E6763C"/>
    <w:rsid w:val="00F6275A"/>
    <w:rsid w:val="00FE46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F271292-8734-4CB2-B434-5E94D83C2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8C75B6"/>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8C75B6"/>
    <w:rPr>
      <w:rFonts w:asciiTheme="majorHAnsi" w:eastAsiaTheme="majorEastAsia" w:hAnsiTheme="majorHAnsi" w:cstheme="majorBidi"/>
      <w:color w:val="2E74B5" w:themeColor="accent1" w:themeShade="BF"/>
      <w:sz w:val="26"/>
      <w:szCs w:val="26"/>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C75B6"/>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C75B6"/>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C75B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C75B6"/>
    <w:rPr>
      <w:rFonts w:asciiTheme="minorHAnsi" w:eastAsiaTheme="minorHAnsi" w:hAnsiTheme="minorHAnsi" w:cstheme="minorBidi"/>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8C75B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C75B6"/>
    <w:rPr>
      <w:vertAlign w:val="superscript"/>
    </w:rPr>
  </w:style>
  <w:style w:type="paragraph" w:styleId="Piedepgina">
    <w:name w:val="footer"/>
    <w:basedOn w:val="Normal"/>
    <w:link w:val="PiedepginaCar"/>
    <w:uiPriority w:val="99"/>
    <w:unhideWhenUsed/>
    <w:rsid w:val="008C75B6"/>
    <w:pPr>
      <w:tabs>
        <w:tab w:val="center" w:pos="4419"/>
        <w:tab w:val="right" w:pos="8838"/>
      </w:tabs>
    </w:pPr>
  </w:style>
  <w:style w:type="character" w:customStyle="1" w:styleId="PiedepginaCar">
    <w:name w:val="Pie de página Car"/>
    <w:basedOn w:val="Fuentedeprrafopredeter"/>
    <w:link w:val="Piedepgina"/>
    <w:uiPriority w:val="99"/>
    <w:rsid w:val="008C75B6"/>
    <w:rPr>
      <w:rFonts w:ascii="Times New Roman" w:eastAsia="Times New Roman" w:hAnsi="Times New Roman" w:cs="Times New Roman"/>
      <w:sz w:val="20"/>
      <w:szCs w:val="20"/>
      <w:lang w:eastAsia="es-ES"/>
    </w:rPr>
  </w:style>
  <w:style w:type="paragraph" w:styleId="Sinespaciado">
    <w:name w:val="No Spacing"/>
    <w:aliases w:val="Francesa,INAI"/>
    <w:link w:val="SinespaciadoCar"/>
    <w:uiPriority w:val="1"/>
    <w:qFormat/>
    <w:rsid w:val="00674CF4"/>
    <w:rPr>
      <w:sz w:val="24"/>
      <w:szCs w:val="24"/>
      <w:lang w:eastAsia="es-ES"/>
    </w:rPr>
  </w:style>
  <w:style w:type="character" w:customStyle="1" w:styleId="SinespaciadoCar">
    <w:name w:val="Sin espaciado Car"/>
    <w:aliases w:val="Francesa Car,INAI Car"/>
    <w:link w:val="Sinespaciado"/>
    <w:uiPriority w:val="1"/>
    <w:locked/>
    <w:rsid w:val="00674CF4"/>
    <w:rPr>
      <w:rFonts w:ascii="Times New Roman" w:eastAsia="Times New Roman" w:hAnsi="Times New Roman" w:cs="Times New Roman"/>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648756.p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jMjX5yKvt27/jZzrRtWhLFD5pA==">CgMxLjAyCGguZ2pkZ3hzMgloLjMwajB6bGwyCWguMWZvYjl0ZTIJaC4zem55c2g3MgloLjJldDkycDAyCGgudHlqY3d0MgloLjNkeTZ2a20yDmgubXNpYXZ3dXlpeGkyMgloLjNyZGNyam4yCWguMjZpbjFyZzIIaC5sbnhiejk4AHIhMTFhMkpUVFVMaS10RkNWaFgxUTNScXhoSXhMQ2o5NmVP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3351</Words>
  <Characters>18433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6</cp:revision>
  <cp:lastPrinted>2026-03-12T23:22:00Z</cp:lastPrinted>
  <dcterms:created xsi:type="dcterms:W3CDTF">2026-03-04T21:59:00Z</dcterms:created>
  <dcterms:modified xsi:type="dcterms:W3CDTF">2026-03-23T19:20:00Z</dcterms:modified>
</cp:coreProperties>
</file>