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41B" w:rsidRPr="00111943" w:rsidRDefault="00A4441B" w:rsidP="00A4441B">
      <w:pPr>
        <w:tabs>
          <w:tab w:val="left" w:pos="3465"/>
        </w:tabs>
        <w:spacing w:line="360" w:lineRule="auto"/>
        <w:jc w:val="both"/>
        <w:rPr>
          <w:rFonts w:ascii="Palatino Linotype" w:hAnsi="Palatino Linotype"/>
          <w:b/>
          <w:sz w:val="24"/>
          <w:szCs w:val="24"/>
        </w:rPr>
      </w:pPr>
      <w:bookmarkStart w:id="0" w:name="_GoBack"/>
      <w:bookmarkEnd w:id="0"/>
      <w:r w:rsidRPr="00111943">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Pr="00111943">
        <w:rPr>
          <w:rFonts w:ascii="Palatino Linotype" w:hAnsi="Palatino Linotype"/>
          <w:b/>
          <w:sz w:val="24"/>
          <w:szCs w:val="24"/>
        </w:rPr>
        <w:t>veintidós</w:t>
      </w:r>
      <w:r w:rsidR="00111943">
        <w:rPr>
          <w:rFonts w:ascii="Palatino Linotype" w:hAnsi="Palatino Linotype"/>
          <w:b/>
          <w:sz w:val="24"/>
          <w:szCs w:val="24"/>
        </w:rPr>
        <w:t xml:space="preserve"> (22)</w:t>
      </w:r>
      <w:r w:rsidRPr="00111943">
        <w:rPr>
          <w:rFonts w:ascii="Palatino Linotype" w:hAnsi="Palatino Linotype"/>
          <w:b/>
          <w:sz w:val="24"/>
          <w:szCs w:val="24"/>
        </w:rPr>
        <w:t xml:space="preserve"> de abril de dos mil veintiséis.</w:t>
      </w:r>
    </w:p>
    <w:p w:rsidR="00A4441B" w:rsidRPr="00111943" w:rsidRDefault="00A4441B" w:rsidP="00A4441B">
      <w:pPr>
        <w:spacing w:line="360" w:lineRule="auto"/>
        <w:jc w:val="both"/>
        <w:rPr>
          <w:rFonts w:ascii="Palatino Linotype" w:hAnsi="Palatino Linotype" w:cs="Arial"/>
          <w:b/>
          <w:bCs/>
          <w:sz w:val="24"/>
          <w:szCs w:val="24"/>
        </w:rPr>
      </w:pPr>
      <w:r w:rsidRPr="00111943">
        <w:rPr>
          <w:rFonts w:ascii="Palatino Linotype" w:hAnsi="Palatino Linotype"/>
          <w:b/>
          <w:sz w:val="24"/>
          <w:szCs w:val="24"/>
        </w:rPr>
        <w:t>VISTO</w:t>
      </w:r>
      <w:r w:rsidRPr="00111943">
        <w:rPr>
          <w:rFonts w:ascii="Palatino Linotype" w:hAnsi="Palatino Linotype"/>
          <w:sz w:val="24"/>
          <w:szCs w:val="24"/>
        </w:rPr>
        <w:t xml:space="preserve"> el expediente electrónico formado con motivo del recurso de revisión </w:t>
      </w:r>
      <w:r w:rsidRPr="00111943">
        <w:rPr>
          <w:rFonts w:ascii="Palatino Linotype" w:hAnsi="Palatino Linotype"/>
          <w:b/>
          <w:bCs/>
          <w:sz w:val="24"/>
          <w:szCs w:val="24"/>
        </w:rPr>
        <w:t xml:space="preserve">   00713/INFOEM/IP/RR/2026</w:t>
      </w:r>
      <w:r w:rsidRPr="00111943">
        <w:rPr>
          <w:rFonts w:ascii="Palatino Linotype" w:hAnsi="Palatino Linotype"/>
          <w:sz w:val="24"/>
          <w:szCs w:val="24"/>
        </w:rPr>
        <w:t>,</w:t>
      </w:r>
      <w:r w:rsidRPr="00111943">
        <w:rPr>
          <w:rFonts w:ascii="Palatino Linotype" w:hAnsi="Palatino Linotype" w:cs="Arial"/>
          <w:b/>
          <w:bCs/>
          <w:sz w:val="24"/>
          <w:szCs w:val="24"/>
        </w:rPr>
        <w:t xml:space="preserve"> </w:t>
      </w:r>
      <w:r w:rsidRPr="00111943">
        <w:rPr>
          <w:rFonts w:ascii="Palatino Linotype" w:hAnsi="Palatino Linotype"/>
          <w:sz w:val="24"/>
          <w:szCs w:val="24"/>
        </w:rPr>
        <w:t>promovido por</w:t>
      </w:r>
      <w:r w:rsidRPr="00111943">
        <w:rPr>
          <w:rFonts w:ascii="Palatino Linotype" w:hAnsi="Palatino Linotype"/>
          <w:b/>
          <w:bCs/>
          <w:sz w:val="24"/>
          <w:szCs w:val="24"/>
        </w:rPr>
        <w:t xml:space="preserve"> </w:t>
      </w:r>
      <w:r w:rsidR="00C27709">
        <w:rPr>
          <w:rFonts w:ascii="Palatino Linotype" w:hAnsi="Palatino Linotype"/>
          <w:b/>
          <w:bCs/>
          <w:sz w:val="24"/>
          <w:szCs w:val="24"/>
        </w:rPr>
        <w:t>XXXX</w:t>
      </w:r>
      <w:r w:rsidRPr="00111943">
        <w:rPr>
          <w:rFonts w:ascii="Palatino Linotype" w:hAnsi="Palatino Linotype"/>
          <w:b/>
          <w:bCs/>
          <w:sz w:val="24"/>
          <w:szCs w:val="24"/>
        </w:rPr>
        <w:t xml:space="preserve">, </w:t>
      </w:r>
      <w:r w:rsidRPr="00111943">
        <w:rPr>
          <w:rFonts w:ascii="Palatino Linotype" w:hAnsi="Palatino Linotype"/>
          <w:bCs/>
          <w:sz w:val="24"/>
          <w:szCs w:val="24"/>
        </w:rPr>
        <w:t>y</w:t>
      </w:r>
      <w:r w:rsidRPr="00111943">
        <w:rPr>
          <w:rFonts w:ascii="Palatino Linotype" w:hAnsi="Palatino Linotype"/>
          <w:sz w:val="24"/>
          <w:szCs w:val="24"/>
        </w:rPr>
        <w:t xml:space="preserve"> a quien en lo sucesivo se le identificará como </w:t>
      </w:r>
      <w:r w:rsidR="00F03B62" w:rsidRPr="00111943">
        <w:rPr>
          <w:rFonts w:ascii="Palatino Linotype" w:hAnsi="Palatino Linotype"/>
          <w:b/>
          <w:sz w:val="24"/>
          <w:szCs w:val="24"/>
        </w:rPr>
        <w:t>LA</w:t>
      </w:r>
      <w:r w:rsidRPr="00111943">
        <w:rPr>
          <w:rFonts w:ascii="Palatino Linotype" w:hAnsi="Palatino Linotype"/>
          <w:b/>
          <w:sz w:val="24"/>
          <w:szCs w:val="24"/>
        </w:rPr>
        <w:t xml:space="preserve"> RECURRENTE</w:t>
      </w:r>
      <w:r w:rsidRPr="00111943">
        <w:rPr>
          <w:rFonts w:ascii="Palatino Linotype" w:hAnsi="Palatino Linotype" w:cs="Arial"/>
          <w:sz w:val="24"/>
          <w:szCs w:val="24"/>
        </w:rPr>
        <w:t xml:space="preserve">, en contra de la respuesta del </w:t>
      </w:r>
      <w:r w:rsidRPr="00111943">
        <w:rPr>
          <w:rFonts w:ascii="Palatino Linotype" w:hAnsi="Palatino Linotype" w:cs="Arial"/>
          <w:b/>
          <w:bCs/>
          <w:sz w:val="24"/>
          <w:szCs w:val="24"/>
        </w:rPr>
        <w:t>Ayuntamiento de Tepotzotlán</w:t>
      </w:r>
      <w:r w:rsidRPr="00111943">
        <w:rPr>
          <w:rFonts w:ascii="Palatino Linotype" w:hAnsi="Palatino Linotype" w:cs="Arial"/>
          <w:b/>
          <w:sz w:val="24"/>
          <w:szCs w:val="24"/>
        </w:rPr>
        <w:t>,</w:t>
      </w:r>
      <w:r w:rsidRPr="00111943">
        <w:rPr>
          <w:rFonts w:ascii="Palatino Linotype" w:hAnsi="Palatino Linotype"/>
          <w:b/>
          <w:sz w:val="24"/>
          <w:szCs w:val="24"/>
        </w:rPr>
        <w:t xml:space="preserve"> </w:t>
      </w:r>
      <w:r w:rsidRPr="00111943">
        <w:rPr>
          <w:rFonts w:ascii="Palatino Linotype" w:hAnsi="Palatino Linotype"/>
          <w:sz w:val="24"/>
          <w:szCs w:val="24"/>
        </w:rPr>
        <w:t xml:space="preserve">en </w:t>
      </w:r>
      <w:r w:rsidR="00BC1F13">
        <w:rPr>
          <w:rFonts w:ascii="Palatino Linotype" w:hAnsi="Palatino Linotype"/>
          <w:sz w:val="24"/>
          <w:szCs w:val="24"/>
        </w:rPr>
        <w:t xml:space="preserve">adelante </w:t>
      </w:r>
      <w:r w:rsidRPr="00111943">
        <w:rPr>
          <w:rFonts w:ascii="Palatino Linotype" w:hAnsi="Palatino Linotype"/>
          <w:sz w:val="24"/>
          <w:szCs w:val="24"/>
        </w:rPr>
        <w:t>el</w:t>
      </w:r>
      <w:r w:rsidRPr="00111943">
        <w:rPr>
          <w:rFonts w:ascii="Palatino Linotype" w:hAnsi="Palatino Linotype"/>
          <w:b/>
          <w:sz w:val="24"/>
          <w:szCs w:val="24"/>
        </w:rPr>
        <w:t xml:space="preserve"> SUJETO OBLIGADO</w:t>
      </w:r>
      <w:r w:rsidRPr="00111943">
        <w:rPr>
          <w:rFonts w:ascii="Palatino Linotype" w:hAnsi="Palatino Linotype"/>
          <w:sz w:val="24"/>
          <w:szCs w:val="24"/>
        </w:rPr>
        <w:t>, se procede a dictar la presente resolución, con base en los siguientes:</w:t>
      </w:r>
    </w:p>
    <w:p w:rsidR="00A4441B" w:rsidRPr="00111943" w:rsidRDefault="00A4441B" w:rsidP="00A4441B">
      <w:pPr>
        <w:spacing w:line="360" w:lineRule="auto"/>
        <w:jc w:val="both"/>
        <w:rPr>
          <w:rFonts w:ascii="Palatino Linotype" w:hAnsi="Palatino Linotype"/>
          <w:b/>
          <w:sz w:val="24"/>
          <w:szCs w:val="24"/>
        </w:rPr>
      </w:pPr>
    </w:p>
    <w:p w:rsidR="00A4441B" w:rsidRPr="00111943" w:rsidRDefault="00A4441B" w:rsidP="00A4441B">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111943">
        <w:rPr>
          <w:rFonts w:ascii="Palatino Linotype" w:hAnsi="Palatino Linotype"/>
          <w:b/>
          <w:color w:val="000000" w:themeColor="text1"/>
          <w:sz w:val="24"/>
          <w:szCs w:val="24"/>
        </w:rPr>
        <w:t>A</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N</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T</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E</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C</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E</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D</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E</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N</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T</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E</w:t>
      </w:r>
      <w:r w:rsidR="00BC1F13">
        <w:rPr>
          <w:rFonts w:ascii="Palatino Linotype" w:hAnsi="Palatino Linotype"/>
          <w:b/>
          <w:color w:val="000000" w:themeColor="text1"/>
          <w:sz w:val="24"/>
          <w:szCs w:val="24"/>
        </w:rPr>
        <w:t xml:space="preserve"> </w:t>
      </w:r>
      <w:r w:rsidRPr="00111943">
        <w:rPr>
          <w:rFonts w:ascii="Palatino Linotype" w:hAnsi="Palatino Linotype"/>
          <w:b/>
          <w:color w:val="000000" w:themeColor="text1"/>
          <w:sz w:val="24"/>
          <w:szCs w:val="24"/>
        </w:rPr>
        <w:t>S</w:t>
      </w:r>
      <w:bookmarkEnd w:id="1"/>
      <w:bookmarkEnd w:id="2"/>
      <w:bookmarkEnd w:id="3"/>
      <w:r w:rsidR="00BC1F13">
        <w:rPr>
          <w:rFonts w:ascii="Palatino Linotype" w:hAnsi="Palatino Linotype"/>
          <w:b/>
          <w:color w:val="000000" w:themeColor="text1"/>
          <w:sz w:val="24"/>
          <w:szCs w:val="24"/>
        </w:rPr>
        <w:t xml:space="preserve"> </w:t>
      </w:r>
    </w:p>
    <w:p w:rsidR="00BC1F13" w:rsidRPr="00BC1F13" w:rsidRDefault="00BC1F13" w:rsidP="00BC1F13">
      <w:pPr>
        <w:pStyle w:val="Ttulo1"/>
        <w:spacing w:before="0" w:line="360" w:lineRule="auto"/>
        <w:jc w:val="center"/>
        <w:rPr>
          <w:rFonts w:ascii="Palatino Linotype" w:hAnsi="Palatino Linotype"/>
          <w:b/>
          <w:color w:val="auto"/>
          <w:sz w:val="24"/>
          <w:szCs w:val="24"/>
        </w:rPr>
      </w:pPr>
    </w:p>
    <w:p w:rsidR="00A4441B" w:rsidRPr="00111943" w:rsidRDefault="00A4441B" w:rsidP="00A4441B">
      <w:pPr>
        <w:pStyle w:val="Prrafodelista"/>
        <w:numPr>
          <w:ilvl w:val="0"/>
          <w:numId w:val="1"/>
        </w:numPr>
        <w:spacing w:line="360" w:lineRule="auto"/>
        <w:ind w:left="0" w:firstLine="0"/>
        <w:jc w:val="both"/>
        <w:rPr>
          <w:rFonts w:ascii="Palatino Linotype" w:eastAsia="Calibri" w:hAnsi="Palatino Linotype" w:cs="Arial"/>
          <w:lang w:val="es-ES"/>
        </w:rPr>
      </w:pPr>
      <w:r w:rsidRPr="00111943">
        <w:rPr>
          <w:rFonts w:ascii="Palatino Linotype" w:eastAsia="Calibri" w:hAnsi="Palatino Linotype" w:cs="Arial"/>
          <w:lang w:val="es-ES"/>
        </w:rPr>
        <w:t>El</w:t>
      </w:r>
      <w:r w:rsidRPr="00111943">
        <w:rPr>
          <w:rFonts w:ascii="Palatino Linotype" w:eastAsia="Calibri" w:hAnsi="Palatino Linotype" w:cs="Arial"/>
          <w:b/>
          <w:lang w:val="es-ES"/>
        </w:rPr>
        <w:t xml:space="preserve"> doce de enero de dos mil veintiséis</w:t>
      </w:r>
      <w:r w:rsidRPr="00111943">
        <w:rPr>
          <w:rFonts w:ascii="Palatino Linotype" w:hAnsi="Palatino Linotype"/>
          <w:b/>
        </w:rPr>
        <w:t xml:space="preserve">, </w:t>
      </w:r>
      <w:r w:rsidRPr="00111943">
        <w:rPr>
          <w:rFonts w:ascii="Palatino Linotype" w:eastAsia="Calibri" w:hAnsi="Palatino Linotype" w:cs="Arial"/>
          <w:lang w:val="es-ES"/>
        </w:rPr>
        <w:t xml:space="preserve">se presentó ante el </w:t>
      </w:r>
      <w:r w:rsidRPr="00111943">
        <w:rPr>
          <w:rFonts w:ascii="Palatino Linotype" w:eastAsia="Calibri" w:hAnsi="Palatino Linotype" w:cs="Arial"/>
          <w:b/>
          <w:lang w:val="es-ES"/>
        </w:rPr>
        <w:t>SUJETO OBLIGADO</w:t>
      </w:r>
      <w:r w:rsidRPr="00111943">
        <w:rPr>
          <w:rFonts w:ascii="Palatino Linotype" w:eastAsia="Calibri" w:hAnsi="Palatino Linotype" w:cs="Arial"/>
        </w:rPr>
        <w:t xml:space="preserve"> </w:t>
      </w:r>
      <w:r w:rsidRPr="00111943">
        <w:rPr>
          <w:rFonts w:ascii="Palatino Linotype" w:eastAsia="Calibri" w:hAnsi="Palatino Linotype" w:cs="Arial"/>
          <w:lang w:val="es-MX"/>
        </w:rPr>
        <w:t>a través del SAIMEX</w:t>
      </w:r>
      <w:r w:rsidRPr="00111943">
        <w:rPr>
          <w:rFonts w:ascii="Palatino Linotype" w:eastAsia="Calibri" w:hAnsi="Palatino Linotype" w:cs="Arial"/>
          <w:lang w:val="es-ES"/>
        </w:rPr>
        <w:t>, la solicitud de información pública registrada con el número</w:t>
      </w:r>
      <w:r w:rsidRPr="00111943">
        <w:rPr>
          <w:rFonts w:ascii="Palatino Linotype" w:hAnsi="Palatino Linotype"/>
          <w:b/>
          <w:bCs/>
          <w:color w:val="000000" w:themeColor="text1"/>
        </w:rPr>
        <w:t xml:space="preserve"> </w:t>
      </w:r>
      <w:r w:rsidRPr="00111943">
        <w:rPr>
          <w:rFonts w:ascii="Palatino Linotype" w:hAnsi="Palatino Linotype"/>
          <w:b/>
          <w:bCs/>
          <w:color w:val="000000" w:themeColor="text1"/>
          <w:lang w:val="es-MX"/>
        </w:rPr>
        <w:t>00009/TEPOTZOT/IP/2026</w:t>
      </w:r>
      <w:r w:rsidRPr="00111943">
        <w:rPr>
          <w:rFonts w:ascii="Palatino Linotype" w:hAnsi="Palatino Linotype"/>
          <w:b/>
          <w:bCs/>
          <w:color w:val="000000" w:themeColor="text1"/>
        </w:rPr>
        <w:t xml:space="preserve">; </w:t>
      </w:r>
      <w:r w:rsidRPr="00111943">
        <w:rPr>
          <w:rFonts w:ascii="Palatino Linotype" w:eastAsia="Calibri" w:hAnsi="Palatino Linotype" w:cs="Arial"/>
          <w:lang w:val="es-ES"/>
        </w:rPr>
        <w:t>mediante la cual se solicitó la siguiente información:</w:t>
      </w:r>
    </w:p>
    <w:p w:rsidR="00A4441B" w:rsidRPr="00111943" w:rsidRDefault="00A4441B" w:rsidP="00A4441B">
      <w:pPr>
        <w:pStyle w:val="Prrafodelista"/>
        <w:spacing w:line="360" w:lineRule="auto"/>
        <w:ind w:left="0"/>
        <w:jc w:val="both"/>
        <w:rPr>
          <w:rFonts w:ascii="Palatino Linotype" w:eastAsia="Calibri" w:hAnsi="Palatino Linotype" w:cs="Arial"/>
          <w:lang w:val="es-ES"/>
        </w:rPr>
      </w:pPr>
    </w:p>
    <w:p w:rsidR="00A4441B" w:rsidRPr="00111943" w:rsidRDefault="00A4441B" w:rsidP="00A4441B">
      <w:pPr>
        <w:pStyle w:val="Prrafodelista"/>
        <w:spacing w:line="360" w:lineRule="auto"/>
        <w:ind w:left="426" w:right="476"/>
        <w:jc w:val="both"/>
        <w:rPr>
          <w:rFonts w:ascii="Palatino Linotype" w:hAnsi="Palatino Linotype"/>
          <w:i/>
          <w:lang w:val="es-MX"/>
        </w:rPr>
      </w:pPr>
      <w:r w:rsidRPr="00111943">
        <w:rPr>
          <w:rFonts w:ascii="Palatino Linotype" w:hAnsi="Palatino Linotype"/>
          <w:i/>
        </w:rPr>
        <w:t>“</w:t>
      </w:r>
      <w:r w:rsidRPr="00111943">
        <w:rPr>
          <w:rFonts w:ascii="Palatino Linotype" w:hAnsi="Palatino Linotype"/>
          <w:i/>
          <w:lang w:val="es-MX"/>
        </w:rPr>
        <w:t>Solicito la relación completa de los espacios deportivos que forman parte del patrimonio municipal de Tepotzotlán, incluyendo canchas, unidades deportivas, deportivos públicos, gimnasios al aire libre y espacios recreativos, indicando para cada uno: a) nombre del espacio, b) ubicación, c) estatus jurídico (propiedad municipal, comodato, concesión u otro), d) dependencia responsable de su administración u operación.“</w:t>
      </w:r>
      <w:r w:rsidRPr="00111943">
        <w:rPr>
          <w:rFonts w:ascii="Palatino Linotype" w:hAnsi="Palatino Linotype"/>
          <w:i/>
        </w:rPr>
        <w:t>(Sic)</w:t>
      </w:r>
    </w:p>
    <w:p w:rsidR="00A4441B" w:rsidRPr="00111943" w:rsidRDefault="00A4441B" w:rsidP="00A4441B">
      <w:pPr>
        <w:pStyle w:val="Prrafodelista"/>
        <w:spacing w:line="360" w:lineRule="auto"/>
        <w:ind w:left="851" w:right="34"/>
        <w:jc w:val="both"/>
        <w:rPr>
          <w:rFonts w:ascii="Palatino Linotype" w:hAnsi="Palatino Linotype"/>
        </w:rPr>
      </w:pPr>
    </w:p>
    <w:p w:rsidR="00A4441B" w:rsidRPr="00111943" w:rsidRDefault="00A4441B" w:rsidP="00BC1F13">
      <w:pPr>
        <w:pStyle w:val="Prrafodelista"/>
        <w:numPr>
          <w:ilvl w:val="0"/>
          <w:numId w:val="2"/>
        </w:numPr>
        <w:spacing w:line="360" w:lineRule="auto"/>
        <w:ind w:left="0" w:right="474" w:firstLine="142"/>
        <w:jc w:val="both"/>
        <w:rPr>
          <w:rFonts w:ascii="Palatino Linotype" w:hAnsi="Palatino Linotype"/>
        </w:rPr>
      </w:pPr>
      <w:r w:rsidRPr="00111943">
        <w:rPr>
          <w:rFonts w:ascii="Palatino Linotype" w:eastAsia="Times New Roman" w:hAnsi="Palatino Linotype" w:cs="Arial"/>
          <w:lang w:val="es-ES"/>
        </w:rPr>
        <w:t>Se eligió como modalidad de entrega de la información</w:t>
      </w:r>
      <w:r w:rsidRPr="00111943">
        <w:rPr>
          <w:rFonts w:ascii="Palatino Linotype" w:hAnsi="Palatino Linotype"/>
        </w:rPr>
        <w:t xml:space="preserve">: A través del </w:t>
      </w:r>
      <w:r w:rsidRPr="00111943">
        <w:rPr>
          <w:rFonts w:ascii="Palatino Linotype" w:hAnsi="Palatino Linotype"/>
          <w:b/>
        </w:rPr>
        <w:t>SAIMEX.</w:t>
      </w:r>
    </w:p>
    <w:p w:rsidR="00A4441B" w:rsidRPr="00111943" w:rsidRDefault="00A4441B" w:rsidP="00A4441B">
      <w:pPr>
        <w:pStyle w:val="Prrafodelista"/>
        <w:spacing w:line="360" w:lineRule="auto"/>
        <w:ind w:left="851" w:right="474"/>
        <w:jc w:val="both"/>
        <w:rPr>
          <w:rFonts w:ascii="Palatino Linotype" w:hAnsi="Palatino Linotype"/>
        </w:rPr>
      </w:pPr>
    </w:p>
    <w:p w:rsidR="00A4441B" w:rsidRPr="00111943" w:rsidRDefault="00A4441B" w:rsidP="00A4441B">
      <w:pPr>
        <w:pStyle w:val="Prrafodelista"/>
        <w:numPr>
          <w:ilvl w:val="0"/>
          <w:numId w:val="1"/>
        </w:numPr>
        <w:spacing w:line="360" w:lineRule="auto"/>
        <w:ind w:left="0" w:firstLine="0"/>
        <w:jc w:val="both"/>
        <w:rPr>
          <w:rFonts w:ascii="Palatino Linotype" w:hAnsi="Palatino Linotype" w:cs="Arial"/>
          <w:i/>
          <w:color w:val="000000" w:themeColor="text1"/>
        </w:rPr>
      </w:pPr>
      <w:r w:rsidRPr="00111943">
        <w:rPr>
          <w:rFonts w:ascii="Palatino Linotype" w:eastAsia="Times New Roman" w:hAnsi="Palatino Linotype" w:cs="Arial"/>
          <w:color w:val="000000" w:themeColor="text1"/>
          <w:lang w:val="es-ES"/>
        </w:rPr>
        <w:lastRenderedPageBreak/>
        <w:t xml:space="preserve">El </w:t>
      </w:r>
      <w:r w:rsidRPr="00111943">
        <w:rPr>
          <w:rFonts w:ascii="Palatino Linotype" w:eastAsia="Times New Roman" w:hAnsi="Palatino Linotype" w:cs="Arial"/>
          <w:b/>
          <w:color w:val="000000" w:themeColor="text1"/>
          <w:lang w:val="es-ES"/>
        </w:rPr>
        <w:t>diecisiete de enero de dos mil veintiséis,</w:t>
      </w:r>
      <w:r w:rsidRPr="00111943">
        <w:rPr>
          <w:rFonts w:ascii="Palatino Linotype" w:eastAsia="Times New Roman" w:hAnsi="Palatino Linotype" w:cs="Arial"/>
          <w:color w:val="000000" w:themeColor="text1"/>
          <w:lang w:val="es-ES"/>
        </w:rPr>
        <w:t xml:space="preserve"> el </w:t>
      </w:r>
      <w:r w:rsidRPr="00111943">
        <w:rPr>
          <w:rFonts w:ascii="Palatino Linotype" w:eastAsia="Times New Roman" w:hAnsi="Palatino Linotype" w:cs="Arial"/>
          <w:b/>
          <w:color w:val="000000" w:themeColor="text1"/>
          <w:lang w:val="es-ES"/>
        </w:rPr>
        <w:t xml:space="preserve">SUJETO OBLIGADO, </w:t>
      </w:r>
      <w:r w:rsidRPr="00111943">
        <w:rPr>
          <w:rFonts w:ascii="Palatino Linotype" w:hAnsi="Palatino Linotype" w:cs="Segoe UI"/>
          <w:color w:val="000000" w:themeColor="text1"/>
          <w:lang w:eastAsia="es-MX"/>
        </w:rPr>
        <w:t xml:space="preserve">declaro incompetencia para generar, poseer o administrar la información solicitada, a través del archivo </w:t>
      </w:r>
      <w:hyperlink r:id="rId7" w:tgtFrame="_blank" w:history="1">
        <w:r w:rsidRPr="00111943">
          <w:rPr>
            <w:rFonts w:ascii="Palatino Linotype" w:eastAsia="Times New Roman" w:hAnsi="Palatino Linotype" w:cs="Arial"/>
            <w:b/>
            <w:bCs/>
            <w:i/>
            <w:color w:val="000000" w:themeColor="text1"/>
            <w:lang w:val="es-MX"/>
          </w:rPr>
          <w:t>HAT-UTAIP-2026-026 incompetencia.pd</w:t>
        </w:r>
        <w:r w:rsidRPr="00111943">
          <w:rPr>
            <w:rFonts w:ascii="Palatino Linotype" w:eastAsia="Times New Roman" w:hAnsi="Palatino Linotype" w:cs="Arial"/>
            <w:i/>
            <w:color w:val="000000" w:themeColor="text1"/>
            <w:lang w:val="es-ES"/>
          </w:rPr>
          <w:t>f</w:t>
        </w:r>
      </w:hyperlink>
      <w:r w:rsidRPr="00111943">
        <w:rPr>
          <w:rFonts w:ascii="Palatino Linotype" w:eastAsia="Times New Roman" w:hAnsi="Palatino Linotype" w:cs="Arial"/>
          <w:b/>
          <w:color w:val="000000" w:themeColor="text1"/>
          <w:lang w:val="es-ES"/>
        </w:rPr>
        <w:t xml:space="preserve"> </w:t>
      </w:r>
      <w:r w:rsidRPr="00111943">
        <w:rPr>
          <w:rFonts w:ascii="Palatino Linotype" w:hAnsi="Palatino Linotype" w:cs="Segoe UI"/>
          <w:color w:val="000000" w:themeColor="text1"/>
          <w:lang w:eastAsia="es-MX"/>
        </w:rPr>
        <w:t>, en los siguientes términos:</w:t>
      </w:r>
    </w:p>
    <w:p w:rsidR="00A4441B" w:rsidRPr="00111943" w:rsidRDefault="00A4441B" w:rsidP="00A4441B">
      <w:pPr>
        <w:pStyle w:val="Prrafodelista"/>
        <w:spacing w:line="360" w:lineRule="auto"/>
        <w:ind w:left="0"/>
        <w:jc w:val="both"/>
        <w:rPr>
          <w:rFonts w:ascii="Palatino Linotype" w:hAnsi="Palatino Linotype" w:cs="Arial"/>
          <w:i/>
          <w:color w:val="000000" w:themeColor="text1"/>
        </w:rPr>
      </w:pPr>
    </w:p>
    <w:p w:rsidR="00A4441B" w:rsidRPr="00111943" w:rsidRDefault="00A4441B" w:rsidP="00100C71">
      <w:pPr>
        <w:pStyle w:val="Prrafodelista"/>
        <w:numPr>
          <w:ilvl w:val="0"/>
          <w:numId w:val="2"/>
        </w:numPr>
        <w:spacing w:line="360" w:lineRule="auto"/>
        <w:ind w:left="851" w:right="474"/>
        <w:jc w:val="both"/>
        <w:rPr>
          <w:rFonts w:ascii="Palatino Linotype" w:hAnsi="Palatino Linotype" w:cs="Arial"/>
          <w:color w:val="000000" w:themeColor="text1"/>
        </w:rPr>
      </w:pPr>
      <w:r w:rsidRPr="00111943">
        <w:rPr>
          <w:rFonts w:ascii="Palatino Linotype" w:hAnsi="Palatino Linotype" w:cs="Arial"/>
          <w:color w:val="000000" w:themeColor="text1"/>
        </w:rPr>
        <w:t xml:space="preserve">Oficio firmado por la Titular de la Unidad de Transparencia en el que informo que </w:t>
      </w:r>
      <w:r w:rsidRPr="00111943">
        <w:rPr>
          <w:rFonts w:ascii="Palatino Linotype" w:hAnsi="Palatino Linotype" w:cs="Arial"/>
          <w:i/>
          <w:color w:val="000000" w:themeColor="text1"/>
          <w:lang w:val="es-MX"/>
        </w:rPr>
        <w:t>No le compete al Sujeto Obligado Ayuntamiento de Tepotzotlán, por lo que se hace de su conocimiento que tiene que ingresar al Sistema de Acceso a la Información Mexiquense (SAIMEX) y dirigirse al Sujeto Obligado "Instituto Municipal de Cultura Física y Deporte de Tepotzotlán", según lo marca el -Padrón de Sujetos Obligados en materia de Transparencia y Acceso a la Información Pública del Estado de México y Municipios- del INFOEM</w:t>
      </w:r>
      <w:r w:rsidRPr="00111943">
        <w:rPr>
          <w:rFonts w:ascii="Palatino Linotype" w:hAnsi="Palatino Linotype" w:cs="Arial"/>
          <w:color w:val="000000" w:themeColor="text1"/>
          <w:lang w:val="es-MX"/>
        </w:rPr>
        <w:t>.</w:t>
      </w:r>
      <w:r w:rsidRPr="00111943">
        <w:rPr>
          <w:rFonts w:ascii="Palatino Linotype" w:hAnsi="Palatino Linotype" w:cs="Arial"/>
          <w:i/>
          <w:color w:val="000000" w:themeColor="text1"/>
        </w:rPr>
        <w:t xml:space="preserve">   </w:t>
      </w:r>
    </w:p>
    <w:p w:rsidR="00A4441B" w:rsidRPr="00111943" w:rsidRDefault="00A4441B" w:rsidP="00A4441B">
      <w:pPr>
        <w:pStyle w:val="Prrafodelista"/>
        <w:spacing w:line="360" w:lineRule="auto"/>
        <w:ind w:left="851" w:right="474"/>
        <w:jc w:val="both"/>
        <w:rPr>
          <w:rFonts w:ascii="Palatino Linotype" w:hAnsi="Palatino Linotype" w:cs="Arial"/>
          <w:color w:val="000000" w:themeColor="text1"/>
        </w:rPr>
      </w:pPr>
    </w:p>
    <w:p w:rsidR="00A4441B" w:rsidRPr="00111943" w:rsidRDefault="00A4441B" w:rsidP="00A4441B">
      <w:pPr>
        <w:pStyle w:val="Prrafodelista"/>
        <w:numPr>
          <w:ilvl w:val="0"/>
          <w:numId w:val="1"/>
        </w:numPr>
        <w:spacing w:line="360" w:lineRule="auto"/>
        <w:ind w:left="0" w:firstLine="0"/>
        <w:jc w:val="both"/>
        <w:rPr>
          <w:rFonts w:ascii="Palatino Linotype" w:hAnsi="Palatino Linotype" w:cs="Arial"/>
          <w:i/>
          <w:color w:val="000000" w:themeColor="text1"/>
        </w:rPr>
      </w:pPr>
      <w:r w:rsidRPr="00111943">
        <w:rPr>
          <w:rFonts w:ascii="Palatino Linotype" w:eastAsia="Times New Roman" w:hAnsi="Palatino Linotype" w:cs="Arial"/>
          <w:color w:val="000000" w:themeColor="text1"/>
          <w:lang w:val="es-ES"/>
        </w:rPr>
        <w:t xml:space="preserve">Inconforme con lo anterior, el </w:t>
      </w:r>
      <w:r w:rsidRPr="00111943">
        <w:rPr>
          <w:rFonts w:ascii="Palatino Linotype" w:eastAsia="Times New Roman" w:hAnsi="Palatino Linotype" w:cs="Arial"/>
          <w:b/>
          <w:color w:val="000000" w:themeColor="text1"/>
          <w:lang w:val="es-ES"/>
        </w:rPr>
        <w:t>diecinueve de enero de dos mil veintiséis</w:t>
      </w:r>
      <w:r w:rsidR="00F03B62" w:rsidRPr="00111943">
        <w:rPr>
          <w:rFonts w:ascii="Palatino Linotype" w:eastAsia="Times New Roman" w:hAnsi="Palatino Linotype" w:cs="Arial"/>
          <w:color w:val="000000" w:themeColor="text1"/>
          <w:lang w:val="es-ES"/>
        </w:rPr>
        <w:t>, la</w:t>
      </w:r>
      <w:r w:rsidRPr="00111943">
        <w:rPr>
          <w:rFonts w:ascii="Palatino Linotype" w:eastAsia="Times New Roman" w:hAnsi="Palatino Linotype" w:cs="Arial"/>
          <w:color w:val="000000" w:themeColor="text1"/>
          <w:lang w:val="es-ES"/>
        </w:rPr>
        <w:t xml:space="preserve"> hoy </w:t>
      </w:r>
      <w:r w:rsidRPr="00111943">
        <w:rPr>
          <w:rFonts w:ascii="Palatino Linotype" w:eastAsia="Times New Roman" w:hAnsi="Palatino Linotype" w:cs="Arial"/>
          <w:b/>
          <w:color w:val="000000" w:themeColor="text1"/>
          <w:lang w:val="es-ES"/>
        </w:rPr>
        <w:t xml:space="preserve">RECURRENTE, </w:t>
      </w:r>
      <w:r w:rsidRPr="00111943">
        <w:rPr>
          <w:rFonts w:ascii="Palatino Linotype" w:eastAsia="Times New Roman" w:hAnsi="Palatino Linotype" w:cs="Arial"/>
          <w:color w:val="000000" w:themeColor="text1"/>
          <w:lang w:val="es-ES"/>
        </w:rPr>
        <w:t xml:space="preserve">interpuso recurso de revisión en contra de la respuesta emitida por el </w:t>
      </w:r>
      <w:r w:rsidRPr="00111943">
        <w:rPr>
          <w:rFonts w:ascii="Palatino Linotype" w:eastAsia="Times New Roman" w:hAnsi="Palatino Linotype" w:cs="Arial"/>
          <w:b/>
          <w:color w:val="000000" w:themeColor="text1"/>
          <w:lang w:val="es-ES"/>
        </w:rPr>
        <w:t>SUJETO OBLIGADO</w:t>
      </w:r>
      <w:r w:rsidRPr="00111943">
        <w:rPr>
          <w:rFonts w:ascii="Palatino Linotype" w:eastAsia="Times New Roman" w:hAnsi="Palatino Linotype" w:cs="Arial"/>
          <w:color w:val="000000" w:themeColor="text1"/>
          <w:lang w:val="es-ES"/>
        </w:rPr>
        <w:t>, manifestando las siguientes razones o motivos de inconformidad:</w:t>
      </w:r>
    </w:p>
    <w:p w:rsidR="00A4441B" w:rsidRPr="00111943" w:rsidRDefault="00A4441B" w:rsidP="00A4441B">
      <w:pPr>
        <w:pStyle w:val="Prrafodelista"/>
        <w:tabs>
          <w:tab w:val="left" w:pos="0"/>
        </w:tabs>
        <w:spacing w:line="360" w:lineRule="auto"/>
        <w:ind w:left="0" w:right="49"/>
        <w:jc w:val="both"/>
        <w:rPr>
          <w:rFonts w:ascii="Palatino Linotype" w:hAnsi="Palatino Linotype" w:cs="Arial"/>
          <w:i/>
          <w:color w:val="000000" w:themeColor="text1"/>
        </w:rPr>
      </w:pPr>
    </w:p>
    <w:p w:rsidR="00A4441B" w:rsidRPr="00111943" w:rsidRDefault="00A4441B" w:rsidP="00A4441B">
      <w:pPr>
        <w:pStyle w:val="Prrafodelista"/>
        <w:numPr>
          <w:ilvl w:val="0"/>
          <w:numId w:val="2"/>
        </w:numPr>
        <w:spacing w:line="276" w:lineRule="auto"/>
        <w:ind w:left="851" w:right="333"/>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111943">
        <w:rPr>
          <w:rStyle w:val="Ttulo2Car"/>
          <w:rFonts w:ascii="Palatino Linotype" w:hAnsi="Palatino Linotype"/>
          <w:b/>
          <w:color w:val="auto"/>
          <w:sz w:val="24"/>
          <w:szCs w:val="24"/>
        </w:rPr>
        <w:t>Acto impugnado</w:t>
      </w:r>
      <w:bookmarkEnd w:id="4"/>
      <w:r w:rsidRPr="00111943">
        <w:rPr>
          <w:rStyle w:val="Ttulo2Car"/>
          <w:rFonts w:ascii="Palatino Linotype" w:hAnsi="Palatino Linotype"/>
          <w:b/>
          <w:color w:val="000000" w:themeColor="text1"/>
          <w:sz w:val="24"/>
          <w:szCs w:val="24"/>
        </w:rPr>
        <w:t xml:space="preserve">: </w:t>
      </w:r>
      <w:r w:rsidRPr="00111943">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111943">
        <w:rPr>
          <w:rFonts w:ascii="Palatino Linotype" w:eastAsiaTheme="majorEastAsia" w:hAnsi="Palatino Linotype" w:cstheme="majorBidi"/>
          <w:i/>
          <w:color w:val="000000" w:themeColor="text1"/>
          <w:lang w:val="es-MX"/>
        </w:rPr>
        <w:t>La declaratoria de incompetencia emitida por la Unidad de Transparencia del H. Ayuntamiento de Tepotzotlán, mediante la cual se negó proporcionar la información solicitada relativa a: “La relación completa de los espacios deportivos que forman parte del patrimonio municipal de Tepotzotlán, indicando nombre, ubicación, estatus jurídico y dependencia responsable de su administración u operación”.”</w:t>
      </w:r>
    </w:p>
    <w:p w:rsidR="00A4441B" w:rsidRPr="00111943" w:rsidRDefault="00A4441B" w:rsidP="00A4441B">
      <w:pPr>
        <w:pStyle w:val="Prrafodelista"/>
        <w:tabs>
          <w:tab w:val="left" w:pos="4395"/>
        </w:tabs>
        <w:spacing w:line="276" w:lineRule="auto"/>
        <w:ind w:left="851" w:right="333"/>
        <w:jc w:val="both"/>
        <w:rPr>
          <w:rStyle w:val="Ttulo2Car"/>
          <w:rFonts w:ascii="Palatino Linotype" w:hAnsi="Palatino Linotype"/>
          <w:b/>
          <w:i/>
          <w:color w:val="000000" w:themeColor="text1"/>
          <w:sz w:val="24"/>
          <w:szCs w:val="24"/>
        </w:rPr>
      </w:pPr>
      <w:r w:rsidRPr="00111943">
        <w:rPr>
          <w:rStyle w:val="Ttulo2Car"/>
          <w:rFonts w:ascii="Palatino Linotype" w:hAnsi="Palatino Linotype"/>
          <w:b/>
          <w:i/>
          <w:color w:val="000000" w:themeColor="text1"/>
          <w:sz w:val="24"/>
          <w:szCs w:val="24"/>
        </w:rPr>
        <w:tab/>
      </w:r>
    </w:p>
    <w:p w:rsidR="00A4441B" w:rsidRPr="00111943" w:rsidRDefault="00A4441B" w:rsidP="00A4441B">
      <w:pPr>
        <w:pStyle w:val="Prrafodelista"/>
        <w:numPr>
          <w:ilvl w:val="0"/>
          <w:numId w:val="2"/>
        </w:numPr>
        <w:spacing w:line="276" w:lineRule="auto"/>
        <w:ind w:left="851" w:right="333"/>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111943">
        <w:rPr>
          <w:rStyle w:val="Ttulo2Car"/>
          <w:rFonts w:ascii="Palatino Linotype" w:hAnsi="Palatino Linotype"/>
          <w:b/>
          <w:color w:val="000000" w:themeColor="text1"/>
          <w:sz w:val="24"/>
          <w:szCs w:val="24"/>
        </w:rPr>
        <w:t>Razones o Motivos de inconformidad:</w:t>
      </w:r>
      <w:bookmarkEnd w:id="69"/>
      <w:bookmarkEnd w:id="128"/>
      <w:bookmarkEnd w:id="129"/>
      <w:bookmarkEnd w:id="130"/>
      <w:bookmarkEnd w:id="131"/>
      <w:bookmarkEnd w:id="132"/>
      <w:bookmarkEnd w:id="133"/>
      <w:r w:rsidRPr="00111943">
        <w:rPr>
          <w:rFonts w:ascii="Palatino Linotype" w:hAnsi="Palatino Linotype"/>
          <w:b/>
          <w:color w:val="000000" w:themeColor="text1"/>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111943">
        <w:rPr>
          <w:rFonts w:ascii="Palatino Linotype" w:hAnsi="Palatino Linotype"/>
          <w:color w:val="000000" w:themeColor="text1"/>
        </w:rPr>
        <w:t>“</w:t>
      </w:r>
      <w:r w:rsidRPr="00111943">
        <w:rPr>
          <w:rFonts w:ascii="Palatino Linotype" w:hAnsi="Palatino Linotype"/>
          <w:i/>
          <w:color w:val="000000" w:themeColor="text1"/>
        </w:rPr>
        <w:t xml:space="preserve">PRIMERO. Indebida declaratoria de incompetencia respecto de bienes del patrimonio municipal La declaratoria de incompetencia resulta jurídicamente improcedente, toda vez que la información solicitada se refiere expresamente a bienes que forman parte del patrimonio municipal, </w:t>
      </w:r>
      <w:r w:rsidRPr="00111943">
        <w:rPr>
          <w:rFonts w:ascii="Palatino Linotype" w:hAnsi="Palatino Linotype"/>
          <w:i/>
          <w:color w:val="000000" w:themeColor="text1"/>
        </w:rPr>
        <w:lastRenderedPageBreak/>
        <w:t xml:space="preserve">respecto de los cuales el Ayuntamiento sí es competente de manera directa e indelegable. La integración, control, administración y registro del patrimonio municipal es una atribución propia del Ayuntamiento, independientemente de que la operación o administración cotidiana de determinados espacios deportivos pueda estar a cargo de un organismo descentralizado como el IMCUFIDE. SEGUNDO. Distinción indebida entre propiedad y operación La autoridad recurrida confunde indebidamente la administración u operación de los espacios deportivos con la titularidad y situación jurídica de los bienes. Aun en los casos en que los espacios deportivos sean operados por el IMCUFIDE u otra dependencia, el Ayuntamiento sigue siendo responsable de: Identificar los bienes que integran el patrimonio municipal Determinar su estatus jurídico (propiedad, comodato, concesión, etc.) Llevar inventarios y registros patrimoniales Definir la dependencia responsable de su administración u operación Por lo tanto, la información solicitada sí obra o debe obrar en los archivos del Ayuntamiento, particularmente en áreas como Secretaría del Ayuntamiento, Tesorería, Patrimonio Municipal, Obras Públicas o Sindicatura. TERCERO. Omisión de búsqueda exhaustiva de la información El Ayuntamiento se limitó a emitir una declaratoria de incompetencia sin acreditar haber realizado una búsqueda exhaustiva en las áreas administrativas que, por sus atribuciones legales, deben contar con inventarios, registros o padrones de bienes municipales. La ausencia de dicha búsqueda vulnera los principios de máxima publicidad y exhaustividad, previstos en la legislación en materia de transparencia. CUARTO. Afectación al derecho de acceso a la información y a la rendición de cuentas La negativa impide conocer el universo de espacios deportivos que integran el patrimonio municipal, su situación jurídica y la autoridad responsable de su administración, información esencial para la fiscalización ciudadana, el control del patrimonio público y la rendición de cuentas. La declaratoria impugnada genera opacidad respecto del manejo de bienes públicos municipales, lo cual contraviene los fines del derecho de acceso a la información. Con fundamento en lo expuesto, solicito respetuosamente al Instituto de Transparencia, Acceso a la Información Pública y Protección de Datos Personales del Estado de México y Municipios (INFOEM): Se revoque la declaratoria de incompetencia emitida por el H. Ayuntamiento de Tepotzotlán. Se ordene al sujeto obligado realizar una búsqueda exhaustiva en todas las áreas administrativas competentes. Se instruya la entrega de la información solicitada, consistente en la relación completa de los espacios deportivos que </w:t>
      </w:r>
      <w:r w:rsidRPr="00111943">
        <w:rPr>
          <w:rFonts w:ascii="Palatino Linotype" w:hAnsi="Palatino Linotype"/>
          <w:i/>
          <w:color w:val="000000" w:themeColor="text1"/>
        </w:rPr>
        <w:lastRenderedPageBreak/>
        <w:t>forman parte del patrimonio municipal, indicando: Nombre del espacio Ubicación Estatus jurídico Dependencia responsable de su administración u operación En caso de inexistencia de algún dato, se emita la declaratoria correspondiente debidamente fundada y motivada, conforme a derecho.</w:t>
      </w:r>
    </w:p>
    <w:p w:rsidR="00A4441B" w:rsidRPr="00111943" w:rsidRDefault="00A4441B" w:rsidP="00A4441B">
      <w:pPr>
        <w:pStyle w:val="Prrafodelista"/>
        <w:spacing w:line="276" w:lineRule="auto"/>
        <w:ind w:left="851" w:right="333"/>
        <w:jc w:val="both"/>
        <w:rPr>
          <w:rFonts w:ascii="Palatino Linotype" w:hAnsi="Palatino Linotype"/>
          <w:i/>
          <w:color w:val="000000" w:themeColor="text1"/>
        </w:rPr>
      </w:pPr>
    </w:p>
    <w:p w:rsidR="00A4441B" w:rsidRPr="00111943" w:rsidRDefault="00A4441B" w:rsidP="00A4441B">
      <w:pPr>
        <w:pStyle w:val="Prrafodelista"/>
        <w:numPr>
          <w:ilvl w:val="0"/>
          <w:numId w:val="1"/>
        </w:numPr>
        <w:spacing w:line="360" w:lineRule="auto"/>
        <w:ind w:left="0" w:firstLine="0"/>
        <w:jc w:val="both"/>
        <w:rPr>
          <w:rFonts w:ascii="Palatino Linotype" w:hAnsi="Palatino Linotype"/>
          <w:i/>
        </w:rPr>
      </w:pPr>
      <w:r w:rsidRPr="00111943">
        <w:rPr>
          <w:rFonts w:ascii="Palatino Linotype" w:eastAsia="Calibri" w:hAnsi="Palatino Linotype" w:cs="Arial"/>
          <w:lang w:val="es-ES"/>
        </w:rPr>
        <w:t>La Comisionada Ponente con fundamento en lo dispuesto por el artículo 185 fracción II de la ley de la materia, a través del acuerdo de admisión notificado el</w:t>
      </w:r>
      <w:r w:rsidRPr="00111943">
        <w:rPr>
          <w:rFonts w:ascii="Palatino Linotype" w:eastAsia="Calibri" w:hAnsi="Palatino Linotype" w:cs="Arial"/>
          <w:b/>
          <w:lang w:val="es-ES"/>
        </w:rPr>
        <w:t xml:space="preserve"> diecinueve de enero de dos mil veintiséis</w:t>
      </w:r>
      <w:r w:rsidRPr="00111943">
        <w:rPr>
          <w:rFonts w:ascii="Palatino Linotype" w:eastAsia="Calibri" w:hAnsi="Palatino Linotype" w:cs="Arial"/>
          <w:lang w:val="es-ES"/>
        </w:rPr>
        <w:t xml:space="preserve">, puso a disposición de las partes el expediente electrónico </w:t>
      </w:r>
      <w:r w:rsidRPr="00111943">
        <w:rPr>
          <w:rFonts w:ascii="Palatino Linotype" w:eastAsia="Calibri" w:hAnsi="Palatino Linotype" w:cs="Arial"/>
        </w:rPr>
        <w:t xml:space="preserve">vía </w:t>
      </w:r>
      <w:r w:rsidRPr="00111943">
        <w:rPr>
          <w:rFonts w:ascii="Palatino Linotype" w:eastAsia="Calibri" w:hAnsi="Palatino Linotype" w:cs="Arial"/>
          <w:b/>
          <w:lang w:val="es-ES"/>
        </w:rPr>
        <w:t xml:space="preserve">SAIMEX </w:t>
      </w:r>
      <w:r w:rsidRPr="00111943">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111943">
        <w:rPr>
          <w:rFonts w:ascii="Palatino Linotype" w:eastAsia="Calibri" w:hAnsi="Palatino Linotype" w:cs="Arial"/>
          <w:b/>
          <w:lang w:val="es-ES"/>
        </w:rPr>
        <w:t>SUJETO OBLIGADO</w:t>
      </w:r>
      <w:r w:rsidRPr="00111943">
        <w:rPr>
          <w:rFonts w:ascii="Palatino Linotype" w:eastAsia="Calibri" w:hAnsi="Palatino Linotype" w:cs="Arial"/>
          <w:lang w:val="es-ES"/>
        </w:rPr>
        <w:t xml:space="preserve"> presentará el Informe Justificado procedente.</w:t>
      </w:r>
    </w:p>
    <w:p w:rsidR="00A4441B" w:rsidRPr="00111943" w:rsidRDefault="00A4441B" w:rsidP="00A4441B">
      <w:pPr>
        <w:pStyle w:val="Prrafodelista"/>
        <w:spacing w:line="360" w:lineRule="auto"/>
        <w:ind w:left="0"/>
        <w:jc w:val="both"/>
        <w:rPr>
          <w:rFonts w:ascii="Palatino Linotype" w:hAnsi="Palatino Linotype"/>
        </w:rPr>
      </w:pPr>
    </w:p>
    <w:p w:rsidR="00A4441B" w:rsidRPr="00111943" w:rsidRDefault="00A4441B" w:rsidP="00A4441B">
      <w:pPr>
        <w:pStyle w:val="Prrafodelista"/>
        <w:numPr>
          <w:ilvl w:val="0"/>
          <w:numId w:val="1"/>
        </w:numPr>
        <w:spacing w:line="360" w:lineRule="auto"/>
        <w:ind w:left="0" w:firstLine="0"/>
        <w:jc w:val="both"/>
        <w:rPr>
          <w:rFonts w:ascii="Palatino Linotype" w:hAnsi="Palatino Linotype"/>
          <w:color w:val="000000"/>
        </w:rPr>
      </w:pPr>
      <w:r w:rsidRPr="00111943">
        <w:rPr>
          <w:rFonts w:ascii="Palatino Linotype" w:hAnsi="Palatino Linotype"/>
          <w:color w:val="000000"/>
        </w:rPr>
        <w:t>Las partes fueron omisas en realizar manifestación alguna que a su derecho conviniera.</w:t>
      </w:r>
    </w:p>
    <w:p w:rsidR="00A4441B" w:rsidRPr="00111943" w:rsidRDefault="00A4441B" w:rsidP="00A4441B">
      <w:pPr>
        <w:pStyle w:val="Prrafodelista"/>
        <w:spacing w:line="360" w:lineRule="auto"/>
        <w:ind w:left="0"/>
        <w:jc w:val="both"/>
        <w:rPr>
          <w:rFonts w:ascii="Palatino Linotype" w:hAnsi="Palatino Linotype"/>
          <w:color w:val="000000"/>
        </w:rPr>
      </w:pPr>
    </w:p>
    <w:p w:rsidR="00A4441B" w:rsidRPr="00111943" w:rsidRDefault="00A4441B" w:rsidP="00A4441B">
      <w:pPr>
        <w:pStyle w:val="Prrafodelista"/>
        <w:numPr>
          <w:ilvl w:val="0"/>
          <w:numId w:val="1"/>
        </w:numPr>
        <w:spacing w:line="360" w:lineRule="auto"/>
        <w:ind w:left="0" w:firstLine="0"/>
        <w:jc w:val="both"/>
        <w:rPr>
          <w:rFonts w:ascii="Palatino Linotype" w:hAnsi="Palatino Linotype"/>
          <w:color w:val="000000"/>
        </w:rPr>
      </w:pPr>
      <w:r w:rsidRPr="00111943">
        <w:rPr>
          <w:rFonts w:ascii="Palatino Linotype" w:hAnsi="Palatino Linotype"/>
          <w:color w:val="000000"/>
        </w:rPr>
        <w:t xml:space="preserve">El </w:t>
      </w:r>
      <w:r w:rsidRPr="00111943">
        <w:rPr>
          <w:rFonts w:ascii="Palatino Linotype" w:hAnsi="Palatino Linotype"/>
          <w:b/>
          <w:color w:val="000000"/>
        </w:rPr>
        <w:t xml:space="preserve">dieciséis de abril de dos mil veintiséis, </w:t>
      </w:r>
      <w:r w:rsidRPr="00111943">
        <w:rPr>
          <w:rFonts w:ascii="Palatino Linotype" w:hAnsi="Palatino Linotype"/>
          <w:color w:val="000000"/>
        </w:rPr>
        <w:t>se notificó el acuerdo por el que se amplió el plazo para resolver el recurso de revisión que nos ocupa.</w:t>
      </w:r>
    </w:p>
    <w:p w:rsidR="00A4441B" w:rsidRPr="00111943" w:rsidRDefault="00A4441B" w:rsidP="00A4441B">
      <w:pPr>
        <w:spacing w:line="360" w:lineRule="auto"/>
        <w:rPr>
          <w:rFonts w:ascii="Palatino Linotype" w:hAnsi="Palatino Linotype"/>
          <w:sz w:val="24"/>
          <w:szCs w:val="24"/>
        </w:rPr>
      </w:pPr>
    </w:p>
    <w:p w:rsidR="00A4441B" w:rsidRPr="00BC1F13" w:rsidRDefault="00A4441B" w:rsidP="00A4441B">
      <w:pPr>
        <w:pStyle w:val="Prrafodelista"/>
        <w:numPr>
          <w:ilvl w:val="0"/>
          <w:numId w:val="1"/>
        </w:numPr>
        <w:spacing w:line="360" w:lineRule="auto"/>
        <w:ind w:left="0" w:firstLine="0"/>
        <w:jc w:val="both"/>
        <w:rPr>
          <w:rFonts w:ascii="Palatino Linotype" w:hAnsi="Palatino Linotype"/>
          <w:b/>
          <w:color w:val="000000" w:themeColor="text1"/>
        </w:rPr>
      </w:pPr>
      <w:r w:rsidRPr="00111943">
        <w:rPr>
          <w:rFonts w:ascii="Palatino Linotype" w:hAnsi="Palatino Linotype"/>
        </w:rPr>
        <w:t xml:space="preserve">Mediante </w:t>
      </w:r>
      <w:r w:rsidRPr="00111943">
        <w:rPr>
          <w:rFonts w:ascii="Palatino Linotype" w:hAnsi="Palatino Linotype"/>
          <w:color w:val="000000"/>
        </w:rPr>
        <w:t>acuerdo</w:t>
      </w:r>
      <w:r w:rsidRPr="00111943">
        <w:rPr>
          <w:rFonts w:ascii="Palatino Linotype" w:hAnsi="Palatino Linotype"/>
        </w:rPr>
        <w:t xml:space="preserve"> de </w:t>
      </w:r>
      <w:r w:rsidRPr="00111943">
        <w:rPr>
          <w:rFonts w:ascii="Palatino Linotype" w:hAnsi="Palatino Linotype"/>
          <w:b/>
        </w:rPr>
        <w:t xml:space="preserve">nueve de abril de dos mil veintiséis, </w:t>
      </w:r>
      <w:r w:rsidRPr="00111943">
        <w:rPr>
          <w:rFonts w:ascii="Palatino Linotype" w:hAnsi="Palatino Linotype"/>
        </w:rPr>
        <w:t xml:space="preserve">se  decretó el cierre de instrucción, </w:t>
      </w:r>
      <w:r w:rsidRPr="00111943">
        <w:rPr>
          <w:rFonts w:ascii="Palatino Linotype" w:hAnsi="Palatino Linotype" w:cs="Arial"/>
        </w:rPr>
        <w:t>por lo que no ha</w:t>
      </w:r>
      <w:bookmarkStart w:id="134" w:name="_Toc491791302"/>
      <w:bookmarkStart w:id="135" w:name="_Toc83128578"/>
      <w:r w:rsidRPr="00111943">
        <w:rPr>
          <w:rFonts w:ascii="Palatino Linotype" w:hAnsi="Palatino Linotype" w:cs="Arial"/>
        </w:rPr>
        <w:t>biendo más que hacer constar, y</w:t>
      </w:r>
      <w:r w:rsidR="00BC1F13">
        <w:rPr>
          <w:rFonts w:ascii="Palatino Linotype" w:hAnsi="Palatino Linotype" w:cs="Arial"/>
        </w:rPr>
        <w:t xml:space="preserve"> ---------------------------------------</w:t>
      </w:r>
    </w:p>
    <w:p w:rsidR="00BC1F13" w:rsidRPr="00BC1F13" w:rsidRDefault="00BC1F13" w:rsidP="00BC1F13">
      <w:pPr>
        <w:pStyle w:val="Prrafodelista"/>
        <w:rPr>
          <w:rFonts w:ascii="Palatino Linotype" w:hAnsi="Palatino Linotype"/>
          <w:b/>
          <w:color w:val="000000" w:themeColor="text1"/>
        </w:rPr>
      </w:pPr>
    </w:p>
    <w:p w:rsidR="00BC1F13" w:rsidRDefault="00BC1F13" w:rsidP="00BC1F13">
      <w:pPr>
        <w:spacing w:line="360" w:lineRule="auto"/>
        <w:jc w:val="both"/>
        <w:rPr>
          <w:rFonts w:ascii="Palatino Linotype" w:hAnsi="Palatino Linotype"/>
          <w:b/>
          <w:color w:val="000000" w:themeColor="text1"/>
        </w:rPr>
      </w:pPr>
    </w:p>
    <w:p w:rsidR="00BC1F13" w:rsidRDefault="00BC1F13" w:rsidP="00BC1F13">
      <w:pPr>
        <w:spacing w:line="360" w:lineRule="auto"/>
        <w:jc w:val="both"/>
        <w:rPr>
          <w:rFonts w:ascii="Palatino Linotype" w:hAnsi="Palatino Linotype"/>
          <w:b/>
          <w:color w:val="000000" w:themeColor="text1"/>
        </w:rPr>
      </w:pPr>
    </w:p>
    <w:p w:rsidR="00BC1F13" w:rsidRPr="00BC1F13" w:rsidRDefault="00BC1F13" w:rsidP="00BC1F13">
      <w:pPr>
        <w:spacing w:line="360" w:lineRule="auto"/>
        <w:jc w:val="both"/>
        <w:rPr>
          <w:rFonts w:ascii="Palatino Linotype" w:hAnsi="Palatino Linotype"/>
          <w:b/>
          <w:color w:val="000000" w:themeColor="text1"/>
        </w:rPr>
      </w:pPr>
    </w:p>
    <w:p w:rsidR="00A4441B" w:rsidRPr="00111943" w:rsidRDefault="00A4441B" w:rsidP="00A4441B">
      <w:pPr>
        <w:pStyle w:val="Prrafodelista"/>
        <w:spacing w:line="360" w:lineRule="auto"/>
        <w:ind w:left="0"/>
        <w:rPr>
          <w:rFonts w:ascii="Palatino Linotype" w:hAnsi="Palatino Linotype"/>
          <w:b/>
          <w:color w:val="000000" w:themeColor="text1"/>
        </w:rPr>
      </w:pPr>
    </w:p>
    <w:p w:rsidR="00A4441B" w:rsidRPr="00111943" w:rsidRDefault="00A4441B" w:rsidP="00A4441B">
      <w:pPr>
        <w:pStyle w:val="Prrafodelista"/>
        <w:spacing w:line="360" w:lineRule="auto"/>
        <w:ind w:left="0"/>
        <w:jc w:val="center"/>
        <w:rPr>
          <w:rFonts w:ascii="Palatino Linotype" w:hAnsi="Palatino Linotype"/>
          <w:b/>
          <w:color w:val="000000" w:themeColor="text1"/>
        </w:rPr>
      </w:pPr>
      <w:r w:rsidRPr="00111943">
        <w:rPr>
          <w:rFonts w:ascii="Palatino Linotype" w:hAnsi="Palatino Linotype"/>
          <w:b/>
          <w:color w:val="000000" w:themeColor="text1"/>
        </w:rPr>
        <w:lastRenderedPageBreak/>
        <w:t>C</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O</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N</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S</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I</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D</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E</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R</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A</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N</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D</w:t>
      </w:r>
      <w:r w:rsidR="00BC1F13">
        <w:rPr>
          <w:rFonts w:ascii="Palatino Linotype" w:hAnsi="Palatino Linotype"/>
          <w:b/>
          <w:color w:val="000000" w:themeColor="text1"/>
        </w:rPr>
        <w:t xml:space="preserve"> </w:t>
      </w:r>
      <w:r w:rsidRPr="00111943">
        <w:rPr>
          <w:rFonts w:ascii="Palatino Linotype" w:hAnsi="Palatino Linotype"/>
          <w:b/>
          <w:color w:val="000000" w:themeColor="text1"/>
        </w:rPr>
        <w:t>O</w:t>
      </w:r>
      <w:bookmarkEnd w:id="134"/>
      <w:bookmarkEnd w:id="135"/>
    </w:p>
    <w:p w:rsidR="00A4441B" w:rsidRPr="00111943" w:rsidRDefault="00A4441B" w:rsidP="00A4441B">
      <w:pPr>
        <w:pStyle w:val="Prrafodelista"/>
        <w:spacing w:line="360" w:lineRule="auto"/>
        <w:ind w:left="0"/>
        <w:jc w:val="center"/>
        <w:rPr>
          <w:rFonts w:ascii="Palatino Linotype" w:hAnsi="Palatino Linotype"/>
          <w:b/>
          <w:color w:val="000000" w:themeColor="text1"/>
        </w:rPr>
      </w:pPr>
    </w:p>
    <w:p w:rsidR="00A4441B" w:rsidRPr="00111943" w:rsidRDefault="00A4441B" w:rsidP="00A4441B">
      <w:pPr>
        <w:pStyle w:val="Ttulo2"/>
        <w:spacing w:before="0" w:line="360" w:lineRule="auto"/>
        <w:rPr>
          <w:rFonts w:ascii="Palatino Linotype" w:hAnsi="Palatino Linotype"/>
          <w:b/>
          <w:color w:val="auto"/>
          <w:sz w:val="24"/>
          <w:szCs w:val="24"/>
        </w:rPr>
      </w:pPr>
      <w:bookmarkStart w:id="136" w:name="_Toc491791303"/>
      <w:bookmarkStart w:id="137" w:name="_Toc83128579"/>
      <w:r w:rsidRPr="00111943">
        <w:rPr>
          <w:rFonts w:ascii="Palatino Linotype" w:hAnsi="Palatino Linotype"/>
          <w:b/>
          <w:color w:val="auto"/>
          <w:sz w:val="24"/>
          <w:szCs w:val="24"/>
        </w:rPr>
        <w:t>PRIMERO. De la competencia</w:t>
      </w:r>
      <w:bookmarkEnd w:id="136"/>
      <w:bookmarkEnd w:id="137"/>
    </w:p>
    <w:p w:rsidR="00CE00CA" w:rsidRPr="00111943" w:rsidRDefault="00CE00CA" w:rsidP="00CE00CA">
      <w:pPr>
        <w:pStyle w:val="Prrafodelista"/>
        <w:numPr>
          <w:ilvl w:val="0"/>
          <w:numId w:val="1"/>
        </w:numPr>
        <w:spacing w:line="360" w:lineRule="auto"/>
        <w:ind w:left="0" w:firstLine="0"/>
        <w:jc w:val="both"/>
        <w:rPr>
          <w:rFonts w:ascii="Palatino Linotype" w:eastAsia="Calibri" w:hAnsi="Palatino Linotype" w:cs="Calibri"/>
          <w:color w:val="000000"/>
          <w:lang w:eastAsia="es-MX"/>
        </w:rPr>
      </w:pPr>
      <w:r w:rsidRPr="00111943">
        <w:rPr>
          <w:rFonts w:ascii="Palatino Linotype" w:eastAsia="Palatino Linotype" w:hAnsi="Palatino Linotype" w:cs="Palatino Linotype"/>
          <w:color w:val="000000"/>
          <w:lang w:eastAsia="es-MX"/>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A4441B" w:rsidRPr="00111943" w:rsidRDefault="00A4441B" w:rsidP="00A4441B">
      <w:pPr>
        <w:pStyle w:val="Prrafodelista"/>
        <w:spacing w:line="360" w:lineRule="auto"/>
        <w:ind w:left="0"/>
        <w:jc w:val="both"/>
        <w:rPr>
          <w:rFonts w:ascii="Palatino Linotype" w:hAnsi="Palatino Linotype"/>
        </w:rPr>
      </w:pPr>
    </w:p>
    <w:p w:rsidR="00A4441B" w:rsidRPr="00111943" w:rsidRDefault="00A4441B" w:rsidP="00A4441B">
      <w:pPr>
        <w:pStyle w:val="Ttulo2"/>
        <w:spacing w:before="0" w:line="360" w:lineRule="auto"/>
        <w:rPr>
          <w:rFonts w:ascii="Palatino Linotype" w:hAnsi="Palatino Linotype"/>
          <w:b/>
          <w:color w:val="auto"/>
          <w:sz w:val="24"/>
          <w:szCs w:val="24"/>
        </w:rPr>
      </w:pPr>
      <w:bookmarkStart w:id="138" w:name="_Toc491791304"/>
      <w:bookmarkStart w:id="139" w:name="_Toc83128580"/>
      <w:r w:rsidRPr="00111943">
        <w:rPr>
          <w:rFonts w:ascii="Palatino Linotype" w:hAnsi="Palatino Linotype"/>
          <w:b/>
          <w:color w:val="auto"/>
          <w:sz w:val="24"/>
          <w:szCs w:val="24"/>
        </w:rPr>
        <w:t>SEGUNDO. De la oportunidad y procedencia.</w:t>
      </w:r>
      <w:bookmarkEnd w:id="138"/>
      <w:bookmarkEnd w:id="139"/>
    </w:p>
    <w:p w:rsidR="00A4441B" w:rsidRPr="00111943" w:rsidRDefault="00A4441B" w:rsidP="00A4441B">
      <w:pPr>
        <w:pStyle w:val="Prrafodelista"/>
        <w:numPr>
          <w:ilvl w:val="0"/>
          <w:numId w:val="1"/>
        </w:numPr>
        <w:spacing w:line="360" w:lineRule="auto"/>
        <w:ind w:left="0" w:firstLine="0"/>
        <w:jc w:val="both"/>
        <w:rPr>
          <w:rFonts w:ascii="Palatino Linotype" w:hAnsi="Palatino Linotype"/>
        </w:rPr>
      </w:pPr>
      <w:r w:rsidRPr="00111943">
        <w:rPr>
          <w:rFonts w:ascii="Palatino Linotype" w:eastAsia="Calibri" w:hAnsi="Palatino Linotype" w:cs="Arial"/>
        </w:rPr>
        <w:t xml:space="preserve">El medio de impugnación fue presentado a través del </w:t>
      </w:r>
      <w:r w:rsidRPr="00111943">
        <w:rPr>
          <w:rFonts w:ascii="Palatino Linotype" w:eastAsia="Calibri" w:hAnsi="Palatino Linotype" w:cs="Arial"/>
          <w:b/>
        </w:rPr>
        <w:t>SAIMEX,</w:t>
      </w:r>
      <w:r w:rsidRPr="00111943">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111943">
        <w:rPr>
          <w:rFonts w:ascii="Palatino Linotype" w:eastAsia="Calibri" w:hAnsi="Palatino Linotype" w:cs="Arial"/>
          <w:b/>
        </w:rPr>
        <w:t>SUJETO OBLIGADO</w:t>
      </w:r>
      <w:r w:rsidRPr="00111943">
        <w:rPr>
          <w:rFonts w:ascii="Palatino Linotype" w:eastAsia="Calibri" w:hAnsi="Palatino Linotype" w:cs="Arial"/>
        </w:rPr>
        <w:t xml:space="preserve"> declino incompetencia el </w:t>
      </w:r>
      <w:r w:rsidR="00CE00CA" w:rsidRPr="00111943">
        <w:rPr>
          <w:rFonts w:ascii="Palatino Linotype" w:eastAsia="Calibri" w:hAnsi="Palatino Linotype" w:cs="Arial"/>
          <w:b/>
        </w:rPr>
        <w:t>diecisiete de enero de dos mil veintiséis</w:t>
      </w:r>
      <w:r w:rsidRPr="00111943">
        <w:rPr>
          <w:rFonts w:ascii="Palatino Linotype" w:eastAsia="Calibri" w:hAnsi="Palatino Linotype" w:cs="Arial"/>
        </w:rPr>
        <w:t xml:space="preserve">, </w:t>
      </w:r>
      <w:r w:rsidRPr="00111943">
        <w:rPr>
          <w:rFonts w:ascii="Palatino Linotype" w:hAnsi="Palatino Linotype" w:cs="Arial"/>
        </w:rPr>
        <w:t>de tal forma que el plazo para interponer el recurso de revisión transcurrió del</w:t>
      </w:r>
      <w:r w:rsidRPr="00111943">
        <w:rPr>
          <w:rFonts w:ascii="Palatino Linotype" w:hAnsi="Palatino Linotype" w:cs="Arial"/>
          <w:b/>
        </w:rPr>
        <w:t xml:space="preserve"> </w:t>
      </w:r>
      <w:r w:rsidR="00CE00CA" w:rsidRPr="00111943">
        <w:rPr>
          <w:rFonts w:ascii="Palatino Linotype" w:hAnsi="Palatino Linotype" w:cs="Arial"/>
          <w:b/>
        </w:rPr>
        <w:t>diecinueve de enero al nueve de febrero de dos mil veintiséis</w:t>
      </w:r>
      <w:r w:rsidR="00F03B62" w:rsidRPr="00111943">
        <w:rPr>
          <w:rFonts w:ascii="Palatino Linotype" w:hAnsi="Palatino Linotype" w:cs="Arial"/>
        </w:rPr>
        <w:t>; en consecuencia, la</w:t>
      </w:r>
      <w:r w:rsidRPr="00111943">
        <w:rPr>
          <w:rFonts w:ascii="Palatino Linotype" w:hAnsi="Palatino Linotype" w:cs="Arial"/>
        </w:rPr>
        <w:t xml:space="preserve"> ahora </w:t>
      </w:r>
      <w:r w:rsidRPr="00111943">
        <w:rPr>
          <w:rFonts w:ascii="Palatino Linotype" w:hAnsi="Palatino Linotype" w:cs="Arial"/>
          <w:b/>
        </w:rPr>
        <w:t>RECURRENTE</w:t>
      </w:r>
      <w:r w:rsidRPr="00111943">
        <w:rPr>
          <w:rFonts w:ascii="Palatino Linotype" w:hAnsi="Palatino Linotype" w:cs="Arial"/>
        </w:rPr>
        <w:t xml:space="preserve"> presentó su inconformidad el </w:t>
      </w:r>
      <w:r w:rsidR="00CE00CA" w:rsidRPr="00111943">
        <w:rPr>
          <w:rFonts w:ascii="Palatino Linotype" w:hAnsi="Palatino Linotype" w:cs="Arial"/>
          <w:b/>
          <w:lang w:val="es-MX"/>
        </w:rPr>
        <w:t xml:space="preserve">diecinueve de enero </w:t>
      </w:r>
      <w:r w:rsidRPr="00111943">
        <w:rPr>
          <w:rFonts w:ascii="Palatino Linotype" w:hAnsi="Palatino Linotype" w:cs="Arial"/>
          <w:b/>
        </w:rPr>
        <w:t xml:space="preserve">de dos mil </w:t>
      </w:r>
      <w:r w:rsidR="00F03B62" w:rsidRPr="00111943">
        <w:rPr>
          <w:rFonts w:ascii="Palatino Linotype" w:hAnsi="Palatino Linotype" w:cs="Arial"/>
          <w:b/>
        </w:rPr>
        <w:t>veintiséis</w:t>
      </w:r>
      <w:r w:rsidRPr="00111943">
        <w:rPr>
          <w:rFonts w:ascii="Palatino Linotype" w:hAnsi="Palatino Linotype" w:cs="Arial"/>
        </w:rPr>
        <w:t>; por lo que se estima que la inconformidad se presentó dentro del lapso legalmente establecido para tal efecto.</w:t>
      </w:r>
    </w:p>
    <w:p w:rsidR="00A4441B" w:rsidRPr="00111943" w:rsidRDefault="00A4441B" w:rsidP="00A4441B">
      <w:pPr>
        <w:numPr>
          <w:ilvl w:val="0"/>
          <w:numId w:val="1"/>
        </w:numPr>
        <w:spacing w:before="240" w:after="240" w:line="360" w:lineRule="auto"/>
        <w:ind w:left="0" w:right="48" w:firstLine="0"/>
        <w:contextualSpacing/>
        <w:jc w:val="both"/>
        <w:rPr>
          <w:rFonts w:ascii="Palatino Linotype" w:hAnsi="Palatino Linotype"/>
          <w:sz w:val="24"/>
          <w:szCs w:val="24"/>
        </w:rPr>
      </w:pPr>
      <w:r w:rsidRPr="00111943">
        <w:rPr>
          <w:rFonts w:ascii="Palatino Linotype" w:hAnsi="Palatino Linotype"/>
          <w:sz w:val="24"/>
          <w:szCs w:val="24"/>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4441B" w:rsidRPr="00111943" w:rsidRDefault="00A4441B" w:rsidP="00A4441B">
      <w:pPr>
        <w:pStyle w:val="Ttulo1"/>
        <w:spacing w:before="0" w:line="360" w:lineRule="auto"/>
        <w:rPr>
          <w:rFonts w:ascii="Palatino Linotype" w:hAnsi="Palatino Linotype"/>
          <w:b/>
          <w:color w:val="000000" w:themeColor="text1"/>
          <w:sz w:val="24"/>
          <w:szCs w:val="24"/>
        </w:rPr>
      </w:pPr>
      <w:bookmarkStart w:id="140" w:name="_Toc66998086"/>
      <w:bookmarkStart w:id="141" w:name="_Toc70526130"/>
      <w:r w:rsidRPr="00111943">
        <w:rPr>
          <w:rFonts w:ascii="Palatino Linotype" w:hAnsi="Palatino Linotype"/>
          <w:b/>
          <w:color w:val="auto"/>
          <w:sz w:val="24"/>
          <w:szCs w:val="24"/>
        </w:rPr>
        <w:t xml:space="preserve">TERCERO. </w:t>
      </w:r>
      <w:bookmarkStart w:id="142" w:name="_Toc34246179"/>
      <w:bookmarkStart w:id="143" w:name="_Toc50033991"/>
      <w:bookmarkStart w:id="144" w:name="_Toc51259588"/>
      <w:bookmarkStart w:id="145" w:name="_Toc83128581"/>
      <w:bookmarkStart w:id="146" w:name="_Toc501021589"/>
      <w:bookmarkEnd w:id="140"/>
      <w:bookmarkEnd w:id="141"/>
      <w:r w:rsidRPr="00111943">
        <w:rPr>
          <w:rFonts w:ascii="Palatino Linotype" w:hAnsi="Palatino Linotype"/>
          <w:b/>
          <w:color w:val="000000" w:themeColor="text1"/>
          <w:sz w:val="24"/>
          <w:szCs w:val="24"/>
        </w:rPr>
        <w:t xml:space="preserve">Del planteamiento de la </w:t>
      </w:r>
      <w:r w:rsidRPr="00111943">
        <w:rPr>
          <w:rFonts w:ascii="Palatino Linotype" w:hAnsi="Palatino Linotype"/>
          <w:b/>
          <w:i/>
          <w:color w:val="000000" w:themeColor="text1"/>
          <w:sz w:val="24"/>
          <w:szCs w:val="24"/>
        </w:rPr>
        <w:t>Litis</w:t>
      </w:r>
      <w:r w:rsidRPr="00111943">
        <w:rPr>
          <w:rFonts w:ascii="Palatino Linotype" w:hAnsi="Palatino Linotype"/>
          <w:b/>
          <w:color w:val="000000" w:themeColor="text1"/>
          <w:sz w:val="24"/>
          <w:szCs w:val="24"/>
        </w:rPr>
        <w:t>.</w:t>
      </w:r>
      <w:bookmarkEnd w:id="142"/>
      <w:bookmarkEnd w:id="143"/>
      <w:bookmarkEnd w:id="144"/>
      <w:bookmarkEnd w:id="145"/>
      <w:bookmarkEnd w:id="146"/>
    </w:p>
    <w:p w:rsidR="00A4441B" w:rsidRPr="00111943" w:rsidRDefault="00A4441B" w:rsidP="00A4441B">
      <w:pPr>
        <w:pStyle w:val="Prrafodelista"/>
        <w:numPr>
          <w:ilvl w:val="0"/>
          <w:numId w:val="1"/>
        </w:numPr>
        <w:spacing w:line="360" w:lineRule="auto"/>
        <w:ind w:left="0" w:firstLine="0"/>
        <w:jc w:val="both"/>
        <w:rPr>
          <w:rFonts w:ascii="Palatino Linotype" w:hAnsi="Palatino Linotype" w:cs="Arial"/>
        </w:rPr>
      </w:pPr>
      <w:r w:rsidRPr="00111943">
        <w:rPr>
          <w:rFonts w:ascii="Palatino Linotype" w:hAnsi="Palatino Linotype" w:cs="Arial"/>
        </w:rPr>
        <w:t xml:space="preserve">Se </w:t>
      </w:r>
      <w:r w:rsidRPr="00111943">
        <w:rPr>
          <w:rFonts w:ascii="Palatino Linotype" w:eastAsia="Calibri" w:hAnsi="Palatino Linotype" w:cs="Arial"/>
        </w:rPr>
        <w:t>solicitó</w:t>
      </w:r>
      <w:r w:rsidRPr="00111943">
        <w:rPr>
          <w:rFonts w:ascii="Palatino Linotype" w:hAnsi="Palatino Linotype" w:cs="Arial"/>
        </w:rPr>
        <w:t xml:space="preserve"> tener acceso, a la información que a continuación se desagrega:</w:t>
      </w:r>
    </w:p>
    <w:p w:rsidR="00CE00CA" w:rsidRPr="00111943" w:rsidRDefault="00CE00CA" w:rsidP="00CE00CA">
      <w:pPr>
        <w:pStyle w:val="Prrafodelista"/>
        <w:numPr>
          <w:ilvl w:val="0"/>
          <w:numId w:val="13"/>
        </w:numPr>
        <w:spacing w:line="276" w:lineRule="auto"/>
        <w:ind w:right="900"/>
        <w:jc w:val="both"/>
        <w:rPr>
          <w:rFonts w:ascii="Palatino Linotype" w:hAnsi="Palatino Linotype" w:cs="Arial"/>
          <w:u w:val="single"/>
        </w:rPr>
      </w:pPr>
      <w:r w:rsidRPr="00111943">
        <w:rPr>
          <w:rFonts w:ascii="Palatino Linotype" w:hAnsi="Palatino Linotype" w:cs="Arial"/>
        </w:rPr>
        <w:t xml:space="preserve">La relación completa de los </w:t>
      </w:r>
      <w:r w:rsidRPr="00111943">
        <w:rPr>
          <w:rFonts w:ascii="Palatino Linotype" w:hAnsi="Palatino Linotype" w:cs="Arial"/>
          <w:u w:val="single"/>
        </w:rPr>
        <w:t>espacios deportivos</w:t>
      </w:r>
      <w:r w:rsidRPr="00111943">
        <w:rPr>
          <w:rFonts w:ascii="Palatino Linotype" w:hAnsi="Palatino Linotype" w:cs="Arial"/>
        </w:rPr>
        <w:t xml:space="preserve"> que forman parte del patrimonio municipal de Tepotzotlán, </w:t>
      </w:r>
      <w:r w:rsidRPr="00111943">
        <w:rPr>
          <w:rFonts w:ascii="Palatino Linotype" w:hAnsi="Palatino Linotype" w:cs="Arial"/>
          <w:u w:val="single"/>
        </w:rPr>
        <w:t>incluyendo canchas, unidades deportivas, deportivos públicos, gimnasios al aire libre y espacios recreativos, indicando para cada uno: a) nombre del espacio, b) ubicación, c) estatus jurídico (propiedad municipal, comodato, concesión u otro), d) dependencia responsable de su administración u operación.</w:t>
      </w:r>
    </w:p>
    <w:p w:rsidR="00CE00CA" w:rsidRPr="00111943" w:rsidRDefault="00CE00CA" w:rsidP="00CE00CA">
      <w:pPr>
        <w:pStyle w:val="Prrafodelista"/>
        <w:spacing w:line="276" w:lineRule="auto"/>
        <w:ind w:right="900"/>
        <w:jc w:val="both"/>
        <w:rPr>
          <w:rFonts w:ascii="Palatino Linotype" w:hAnsi="Palatino Linotype" w:cs="Arial"/>
        </w:rPr>
      </w:pPr>
    </w:p>
    <w:p w:rsidR="00A4441B" w:rsidRPr="00111943" w:rsidRDefault="00A4441B" w:rsidP="00100C71">
      <w:pPr>
        <w:pStyle w:val="Prrafodelista"/>
        <w:numPr>
          <w:ilvl w:val="0"/>
          <w:numId w:val="1"/>
        </w:numPr>
        <w:spacing w:line="360" w:lineRule="auto"/>
        <w:ind w:left="0" w:firstLine="0"/>
        <w:jc w:val="both"/>
        <w:rPr>
          <w:rFonts w:ascii="Palatino Linotype" w:eastAsia="Calibri" w:hAnsi="Palatino Linotype" w:cs="Arial"/>
          <w:b/>
        </w:rPr>
      </w:pPr>
      <w:r w:rsidRPr="00111943">
        <w:rPr>
          <w:rFonts w:ascii="Palatino Linotype" w:eastAsia="Calibri" w:hAnsi="Palatino Linotype" w:cs="Arial"/>
        </w:rPr>
        <w:t xml:space="preserve">El </w:t>
      </w:r>
      <w:r w:rsidRPr="00111943">
        <w:rPr>
          <w:rFonts w:ascii="Palatino Linotype" w:eastAsia="Calibri" w:hAnsi="Palatino Linotype" w:cs="Arial"/>
          <w:b/>
        </w:rPr>
        <w:t>SUJETO OBLIGADO</w:t>
      </w:r>
      <w:r w:rsidRPr="00111943">
        <w:rPr>
          <w:rFonts w:ascii="Palatino Linotype" w:eastAsia="Calibri" w:hAnsi="Palatino Linotype" w:cs="Arial"/>
        </w:rPr>
        <w:t xml:space="preserve"> declino su incompetencia, arguyendo que la información que solicita no se encuentra en sus archivos y que es competencia del IMCUFIDE</w:t>
      </w:r>
      <w:r w:rsidR="00100C71" w:rsidRPr="00111943">
        <w:rPr>
          <w:rFonts w:ascii="Palatino Linotype" w:eastAsia="Calibri" w:hAnsi="Palatino Linotype" w:cs="Arial"/>
          <w:b/>
        </w:rPr>
        <w:t>.</w:t>
      </w:r>
    </w:p>
    <w:p w:rsidR="00A4441B" w:rsidRPr="00111943" w:rsidRDefault="00A4441B" w:rsidP="00100C71">
      <w:pPr>
        <w:pStyle w:val="Prrafodelista"/>
        <w:spacing w:line="360" w:lineRule="auto"/>
        <w:ind w:left="0"/>
        <w:jc w:val="both"/>
        <w:rPr>
          <w:rFonts w:ascii="Palatino Linotype" w:eastAsia="MS Mincho" w:hAnsi="Palatino Linotype" w:cs="Arial"/>
        </w:rPr>
      </w:pPr>
      <w:r w:rsidRPr="00111943">
        <w:rPr>
          <w:rFonts w:ascii="Palatino Linotype" w:eastAsia="MS Mincho" w:hAnsi="Palatino Linotype" w:cs="Arial"/>
        </w:rPr>
        <w:tab/>
      </w:r>
    </w:p>
    <w:p w:rsidR="00100C71" w:rsidRPr="00111943" w:rsidRDefault="00100C71" w:rsidP="00A4441B">
      <w:pPr>
        <w:numPr>
          <w:ilvl w:val="0"/>
          <w:numId w:val="1"/>
        </w:numPr>
        <w:spacing w:after="0" w:line="360" w:lineRule="auto"/>
        <w:ind w:left="0" w:firstLine="0"/>
        <w:contextualSpacing/>
        <w:jc w:val="both"/>
        <w:rPr>
          <w:rFonts w:ascii="Palatino Linotype" w:eastAsia="MS Mincho" w:hAnsi="Palatino Linotype" w:cs="Arial"/>
          <w:sz w:val="24"/>
          <w:szCs w:val="24"/>
        </w:rPr>
      </w:pPr>
      <w:r w:rsidRPr="00111943">
        <w:rPr>
          <w:rFonts w:ascii="Palatino Linotype" w:eastAsia="MS Mincho" w:hAnsi="Palatino Linotype" w:cs="Arial"/>
          <w:sz w:val="24"/>
          <w:szCs w:val="24"/>
        </w:rPr>
        <w:t xml:space="preserve">Inconforme con la incompetencia planteada por el </w:t>
      </w:r>
      <w:r w:rsidRPr="00111943">
        <w:rPr>
          <w:rFonts w:ascii="Palatino Linotype" w:eastAsia="MS Mincho" w:hAnsi="Palatino Linotype" w:cs="Arial"/>
          <w:b/>
          <w:sz w:val="24"/>
          <w:szCs w:val="24"/>
        </w:rPr>
        <w:t xml:space="preserve">SUJETO OBLIGADO, </w:t>
      </w:r>
      <w:r w:rsidRPr="00111943">
        <w:rPr>
          <w:rFonts w:ascii="Palatino Linotype" w:eastAsia="MS Mincho" w:hAnsi="Palatino Linotype" w:cs="Arial"/>
          <w:sz w:val="24"/>
          <w:szCs w:val="24"/>
        </w:rPr>
        <w:t>se interpuso el recurso de revisión que nos ocupa.</w:t>
      </w:r>
    </w:p>
    <w:p w:rsidR="00100C71" w:rsidRPr="00111943" w:rsidRDefault="00100C71" w:rsidP="00100C71">
      <w:pPr>
        <w:spacing w:after="0" w:line="360" w:lineRule="auto"/>
        <w:contextualSpacing/>
        <w:jc w:val="both"/>
        <w:rPr>
          <w:rFonts w:ascii="Palatino Linotype" w:eastAsia="MS Mincho" w:hAnsi="Palatino Linotype" w:cs="Arial"/>
          <w:sz w:val="24"/>
          <w:szCs w:val="24"/>
        </w:rPr>
      </w:pPr>
    </w:p>
    <w:p w:rsidR="00A4441B" w:rsidRPr="00111943" w:rsidRDefault="00A4441B" w:rsidP="00A4441B">
      <w:pPr>
        <w:numPr>
          <w:ilvl w:val="0"/>
          <w:numId w:val="1"/>
        </w:numPr>
        <w:spacing w:after="0" w:line="360" w:lineRule="auto"/>
        <w:ind w:left="0" w:firstLine="0"/>
        <w:contextualSpacing/>
        <w:jc w:val="both"/>
        <w:rPr>
          <w:rFonts w:ascii="Palatino Linotype" w:eastAsia="MS Mincho" w:hAnsi="Palatino Linotype" w:cs="Arial"/>
          <w:sz w:val="24"/>
          <w:szCs w:val="24"/>
        </w:rPr>
      </w:pPr>
      <w:r w:rsidRPr="00111943">
        <w:rPr>
          <w:rFonts w:ascii="Palatino Linotype" w:eastAsia="MS Mincho" w:hAnsi="Palatino Linotype" w:cs="Arial"/>
          <w:sz w:val="24"/>
          <w:szCs w:val="24"/>
        </w:rPr>
        <w:t xml:space="preserve">En </w:t>
      </w:r>
      <w:r w:rsidRPr="00111943">
        <w:rPr>
          <w:rFonts w:ascii="Palatino Linotype" w:hAnsi="Palatino Linotype" w:cs="Arial"/>
          <w:sz w:val="24"/>
          <w:szCs w:val="24"/>
          <w:lang w:eastAsia="es-MX"/>
        </w:rPr>
        <w:t>dichas</w:t>
      </w:r>
      <w:r w:rsidRPr="00111943">
        <w:rPr>
          <w:rFonts w:ascii="Palatino Linotype" w:eastAsia="Times New Roman" w:hAnsi="Palatino Linotype" w:cs="Arial"/>
          <w:sz w:val="24"/>
          <w:szCs w:val="24"/>
        </w:rPr>
        <w:t xml:space="preserve"> condiciones, la </w:t>
      </w:r>
      <w:r w:rsidRPr="00111943">
        <w:rPr>
          <w:rFonts w:ascii="Palatino Linotype" w:eastAsia="Times New Roman" w:hAnsi="Palatino Linotype" w:cs="Arial"/>
          <w:i/>
          <w:sz w:val="24"/>
          <w:szCs w:val="24"/>
        </w:rPr>
        <w:t>Litis</w:t>
      </w:r>
      <w:r w:rsidRPr="00111943">
        <w:rPr>
          <w:rFonts w:ascii="Palatino Linotype" w:eastAsia="Times New Roman" w:hAnsi="Palatino Linotype" w:cs="Arial"/>
          <w:sz w:val="24"/>
          <w:szCs w:val="24"/>
        </w:rPr>
        <w:t xml:space="preserve"> a resolver en este recurso se circunscribe a determinar si </w:t>
      </w:r>
      <w:r w:rsidRPr="00111943">
        <w:rPr>
          <w:rFonts w:ascii="Palatino Linotype" w:eastAsia="MS Mincho" w:hAnsi="Palatino Linotype" w:cs="Arial"/>
          <w:sz w:val="24"/>
          <w:szCs w:val="24"/>
        </w:rPr>
        <w:t xml:space="preserve">se actualiza la causal de procedencia prevista en el artículo 179, </w:t>
      </w:r>
      <w:r w:rsidRPr="00111943">
        <w:rPr>
          <w:rFonts w:ascii="Palatino Linotype" w:eastAsia="MS Mincho" w:hAnsi="Palatino Linotype" w:cs="Arial"/>
          <w:b/>
          <w:sz w:val="24"/>
          <w:szCs w:val="24"/>
        </w:rPr>
        <w:t xml:space="preserve">fracción IV </w:t>
      </w:r>
      <w:r w:rsidRPr="00111943">
        <w:rPr>
          <w:rFonts w:ascii="Palatino Linotype" w:eastAsia="MS Mincho" w:hAnsi="Palatino Linotype" w:cs="Arial"/>
          <w:sz w:val="24"/>
          <w:szCs w:val="24"/>
        </w:rPr>
        <w:t xml:space="preserve">de la </w:t>
      </w:r>
      <w:r w:rsidRPr="00111943">
        <w:rPr>
          <w:rFonts w:ascii="Palatino Linotype" w:eastAsia="MS Mincho" w:hAnsi="Palatino Linotype" w:cs="Arial"/>
          <w:b/>
          <w:sz w:val="24"/>
          <w:szCs w:val="24"/>
        </w:rPr>
        <w:t xml:space="preserve">Ley de Transparencia y Acceso a la Información Pública del Estado de </w:t>
      </w:r>
      <w:r w:rsidRPr="00111943">
        <w:rPr>
          <w:rFonts w:ascii="Palatino Linotype" w:hAnsi="Palatino Linotype" w:cs="Arial"/>
          <w:sz w:val="24"/>
          <w:szCs w:val="24"/>
        </w:rPr>
        <w:t>México</w:t>
      </w:r>
      <w:r w:rsidRPr="00111943">
        <w:rPr>
          <w:rFonts w:ascii="Palatino Linotype" w:eastAsia="MS Mincho" w:hAnsi="Palatino Linotype" w:cs="Arial"/>
          <w:b/>
          <w:sz w:val="24"/>
          <w:szCs w:val="24"/>
        </w:rPr>
        <w:t xml:space="preserve"> y </w:t>
      </w:r>
      <w:r w:rsidRPr="00111943">
        <w:rPr>
          <w:rFonts w:ascii="Palatino Linotype" w:hAnsi="Palatino Linotype" w:cs="Arial"/>
          <w:sz w:val="24"/>
          <w:szCs w:val="24"/>
        </w:rPr>
        <w:t>Municipios</w:t>
      </w:r>
      <w:r w:rsidRPr="00111943">
        <w:rPr>
          <w:rFonts w:ascii="Palatino Linotype" w:eastAsia="MS Mincho" w:hAnsi="Palatino Linotype" w:cs="Arial"/>
          <w:sz w:val="24"/>
          <w:szCs w:val="24"/>
        </w:rPr>
        <w:t xml:space="preserve">; </w:t>
      </w:r>
      <w:r w:rsidRPr="00111943">
        <w:rPr>
          <w:rFonts w:ascii="Palatino Linotype" w:eastAsia="Times New Roman" w:hAnsi="Palatino Linotype" w:cs="Arial"/>
          <w:color w:val="000000" w:themeColor="text1"/>
          <w:sz w:val="24"/>
          <w:szCs w:val="24"/>
          <w:lang w:eastAsia="es-MX"/>
        </w:rPr>
        <w:t>La declaración de incompetencia por el sujeto obligado;</w:t>
      </w:r>
      <w:r w:rsidRPr="00111943">
        <w:rPr>
          <w:rFonts w:ascii="Palatino Linotype" w:eastAsia="Times New Roman" w:hAnsi="Palatino Linotype" w:cs="Arial"/>
          <w:color w:val="000000" w:themeColor="text1"/>
          <w:sz w:val="24"/>
          <w:szCs w:val="24"/>
          <w:lang w:val="es-ES" w:eastAsia="es-MX"/>
        </w:rPr>
        <w:t xml:space="preserve"> </w:t>
      </w:r>
      <w:r w:rsidRPr="00111943">
        <w:rPr>
          <w:rFonts w:ascii="Palatino Linotype" w:eastAsia="MS Mincho" w:hAnsi="Palatino Linotype" w:cs="Arial"/>
          <w:sz w:val="24"/>
          <w:szCs w:val="24"/>
        </w:rPr>
        <w:t xml:space="preserve">contexto del cual se dolió </w:t>
      </w:r>
      <w:r w:rsidR="00F03B62" w:rsidRPr="00111943">
        <w:rPr>
          <w:rFonts w:ascii="Palatino Linotype" w:eastAsia="MS Mincho" w:hAnsi="Palatino Linotype" w:cs="Arial"/>
          <w:b/>
          <w:sz w:val="24"/>
          <w:szCs w:val="24"/>
        </w:rPr>
        <w:t>LA</w:t>
      </w:r>
      <w:r w:rsidRPr="00111943">
        <w:rPr>
          <w:rFonts w:ascii="Palatino Linotype" w:eastAsia="MS Mincho" w:hAnsi="Palatino Linotype" w:cs="Arial"/>
          <w:b/>
          <w:sz w:val="24"/>
          <w:szCs w:val="24"/>
        </w:rPr>
        <w:t xml:space="preserve"> RECURRENTE </w:t>
      </w:r>
      <w:r w:rsidRPr="00111943">
        <w:rPr>
          <w:rFonts w:ascii="Palatino Linotype" w:eastAsia="MS Mincho" w:hAnsi="Palatino Linotype" w:cs="Arial"/>
          <w:sz w:val="24"/>
          <w:szCs w:val="24"/>
        </w:rPr>
        <w:t>al momento de interponer su inconformidad.</w:t>
      </w:r>
      <w:r w:rsidRPr="00111943">
        <w:rPr>
          <w:rFonts w:ascii="Palatino Linotype" w:eastAsia="Times New Roman" w:hAnsi="Palatino Linotype" w:cs="Arial"/>
          <w:color w:val="000000" w:themeColor="text1"/>
          <w:sz w:val="24"/>
          <w:szCs w:val="24"/>
          <w:lang w:val="es-ES" w:eastAsia="es-MX"/>
        </w:rPr>
        <w:t xml:space="preserve"> </w:t>
      </w:r>
    </w:p>
    <w:p w:rsidR="00A4441B" w:rsidRPr="00111943" w:rsidRDefault="00A4441B" w:rsidP="00A4441B">
      <w:pPr>
        <w:pStyle w:val="Prrafodelista"/>
        <w:rPr>
          <w:rFonts w:ascii="Palatino Linotype" w:eastAsia="Times New Roman" w:hAnsi="Palatino Linotype" w:cs="Arial"/>
          <w:color w:val="000000" w:themeColor="text1"/>
          <w:lang w:val="es-ES" w:eastAsia="es-MX"/>
        </w:rPr>
      </w:pPr>
    </w:p>
    <w:p w:rsidR="00A4441B" w:rsidRPr="00111943" w:rsidRDefault="00A4441B" w:rsidP="00A4441B">
      <w:pPr>
        <w:numPr>
          <w:ilvl w:val="0"/>
          <w:numId w:val="1"/>
        </w:numPr>
        <w:spacing w:after="0" w:line="360" w:lineRule="auto"/>
        <w:ind w:left="0" w:firstLine="0"/>
        <w:contextualSpacing/>
        <w:jc w:val="both"/>
        <w:rPr>
          <w:rFonts w:ascii="Palatino Linotype" w:eastAsia="MS Mincho" w:hAnsi="Palatino Linotype" w:cs="Arial"/>
          <w:sz w:val="24"/>
          <w:szCs w:val="24"/>
        </w:rPr>
      </w:pPr>
      <w:r w:rsidRPr="00111943">
        <w:rPr>
          <w:rFonts w:ascii="Palatino Linotype" w:eastAsia="Times New Roman" w:hAnsi="Palatino Linotype" w:cs="Arial"/>
          <w:color w:val="000000" w:themeColor="text1"/>
          <w:sz w:val="24"/>
          <w:szCs w:val="24"/>
          <w:lang w:val="es-ES" w:eastAsia="es-MX"/>
        </w:rPr>
        <w:lastRenderedPageBreak/>
        <w:t xml:space="preserve">De modo tal </w:t>
      </w:r>
      <w:r w:rsidRPr="00111943">
        <w:rPr>
          <w:rFonts w:ascii="Palatino Linotype" w:hAnsi="Palatino Linotype" w:cs="Arial"/>
          <w:color w:val="000000" w:themeColor="text1"/>
          <w:sz w:val="24"/>
          <w:szCs w:val="24"/>
        </w:rPr>
        <w:t xml:space="preserve">que el presente recurso de revisión se abocara en determinar si el </w:t>
      </w:r>
      <w:r w:rsidRPr="00111943">
        <w:rPr>
          <w:rFonts w:ascii="Palatino Linotype" w:hAnsi="Palatino Linotype" w:cs="Arial"/>
          <w:b/>
          <w:color w:val="000000" w:themeColor="text1"/>
          <w:sz w:val="24"/>
          <w:szCs w:val="24"/>
        </w:rPr>
        <w:t>SUJETO</w:t>
      </w:r>
      <w:r w:rsidRPr="00111943">
        <w:rPr>
          <w:rFonts w:ascii="Palatino Linotype" w:hAnsi="Palatino Linotype" w:cs="Arial"/>
          <w:color w:val="000000" w:themeColor="text1"/>
          <w:sz w:val="24"/>
          <w:szCs w:val="24"/>
        </w:rPr>
        <w:t xml:space="preserve"> </w:t>
      </w:r>
      <w:r w:rsidRPr="00111943">
        <w:rPr>
          <w:rFonts w:ascii="Palatino Linotype" w:hAnsi="Palatino Linotype" w:cs="Arial"/>
          <w:b/>
          <w:color w:val="000000" w:themeColor="text1"/>
          <w:sz w:val="24"/>
          <w:szCs w:val="24"/>
        </w:rPr>
        <w:t>OBLIGADO</w:t>
      </w:r>
      <w:r w:rsidRPr="00111943">
        <w:rPr>
          <w:rFonts w:ascii="Palatino Linotype" w:hAnsi="Palatino Linotype" w:cs="Arial"/>
          <w:color w:val="000000" w:themeColor="text1"/>
          <w:sz w:val="24"/>
          <w:szCs w:val="24"/>
        </w:rPr>
        <w:t xml:space="preserve"> con su respuesta ciertamente </w:t>
      </w:r>
      <w:r w:rsidRPr="00111943">
        <w:rPr>
          <w:rFonts w:ascii="Palatino Linotype" w:eastAsia="Times New Roman" w:hAnsi="Palatino Linotype"/>
          <w:color w:val="000000" w:themeColor="text1"/>
          <w:sz w:val="24"/>
          <w:szCs w:val="24"/>
        </w:rPr>
        <w:t>actualiza la causal de procedencia</w:t>
      </w:r>
      <w:r w:rsidRPr="00111943">
        <w:rPr>
          <w:rFonts w:ascii="Palatino Linotype" w:eastAsia="Times New Roman" w:hAnsi="Palatino Linotype"/>
          <w:b/>
          <w:color w:val="000000" w:themeColor="text1"/>
          <w:sz w:val="24"/>
          <w:szCs w:val="24"/>
        </w:rPr>
        <w:t xml:space="preserve"> </w:t>
      </w:r>
      <w:r w:rsidRPr="00111943">
        <w:rPr>
          <w:rFonts w:ascii="Palatino Linotype" w:eastAsia="Times New Roman" w:hAnsi="Palatino Linotype" w:cs="Arial"/>
          <w:color w:val="000000" w:themeColor="text1"/>
          <w:sz w:val="24"/>
          <w:szCs w:val="24"/>
          <w:lang w:eastAsia="es-MX"/>
        </w:rPr>
        <w:t xml:space="preserve">antes señalada. </w:t>
      </w:r>
    </w:p>
    <w:p w:rsidR="00A4441B" w:rsidRPr="00111943" w:rsidRDefault="00A4441B" w:rsidP="00A4441B">
      <w:pPr>
        <w:spacing w:after="0" w:line="360" w:lineRule="auto"/>
        <w:contextualSpacing/>
        <w:jc w:val="both"/>
        <w:rPr>
          <w:rFonts w:ascii="Palatino Linotype" w:eastAsia="MS Mincho" w:hAnsi="Palatino Linotype" w:cs="Arial"/>
          <w:sz w:val="24"/>
          <w:szCs w:val="24"/>
        </w:rPr>
      </w:pPr>
    </w:p>
    <w:p w:rsidR="00A4441B" w:rsidRPr="00111943" w:rsidRDefault="00A4441B" w:rsidP="00100C71">
      <w:pPr>
        <w:pStyle w:val="Ttulo2"/>
        <w:spacing w:before="0" w:line="360" w:lineRule="auto"/>
        <w:rPr>
          <w:rFonts w:ascii="Palatino Linotype" w:hAnsi="Palatino Linotype"/>
          <w:b/>
          <w:color w:val="000000" w:themeColor="text1"/>
          <w:sz w:val="24"/>
          <w:szCs w:val="24"/>
        </w:rPr>
      </w:pPr>
      <w:bookmarkStart w:id="147" w:name="_Toc495427545"/>
      <w:bookmarkStart w:id="148" w:name="_Toc23414596"/>
      <w:bookmarkStart w:id="149" w:name="_Toc34819433"/>
      <w:bookmarkStart w:id="150" w:name="_Toc51259589"/>
      <w:bookmarkStart w:id="151" w:name="_Toc83128582"/>
      <w:r w:rsidRPr="00111943">
        <w:rPr>
          <w:rFonts w:ascii="Palatino Linotype" w:hAnsi="Palatino Linotype"/>
          <w:b/>
          <w:color w:val="000000" w:themeColor="text1"/>
          <w:sz w:val="24"/>
          <w:szCs w:val="24"/>
        </w:rPr>
        <w:t>CUARTO. Del estudio y resolución del asunto.</w:t>
      </w:r>
      <w:bookmarkEnd w:id="147"/>
      <w:bookmarkEnd w:id="148"/>
      <w:bookmarkEnd w:id="149"/>
      <w:bookmarkEnd w:id="150"/>
      <w:bookmarkEnd w:id="151"/>
    </w:p>
    <w:p w:rsidR="00A4441B" w:rsidRPr="00111943" w:rsidRDefault="00A4441B" w:rsidP="00BC1F13">
      <w:pPr>
        <w:pStyle w:val="Prrafodelista"/>
        <w:numPr>
          <w:ilvl w:val="0"/>
          <w:numId w:val="1"/>
        </w:numPr>
        <w:tabs>
          <w:tab w:val="left" w:pos="0"/>
        </w:tabs>
        <w:spacing w:line="360" w:lineRule="auto"/>
        <w:ind w:left="0" w:firstLine="0"/>
        <w:jc w:val="both"/>
        <w:rPr>
          <w:rFonts w:ascii="Palatino Linotype" w:eastAsia="Times New Roman" w:hAnsi="Palatino Linotype" w:cs="Times New Roman"/>
          <w:lang w:val="es-ES"/>
        </w:rPr>
      </w:pPr>
      <w:r w:rsidRPr="00111943">
        <w:rPr>
          <w:rFonts w:ascii="Palatino Linotype" w:hAnsi="Palatino Linotype"/>
          <w:color w:val="000000" w:themeColor="text1"/>
        </w:rPr>
        <w:t xml:space="preserve">Acotada la </w:t>
      </w:r>
      <w:r w:rsidRPr="00111943">
        <w:rPr>
          <w:rFonts w:ascii="Palatino Linotype" w:hAnsi="Palatino Linotype"/>
          <w:i/>
          <w:color w:val="000000" w:themeColor="text1"/>
        </w:rPr>
        <w:t>Litis</w:t>
      </w:r>
      <w:r w:rsidRPr="00111943">
        <w:rPr>
          <w:rFonts w:ascii="Palatino Linotype" w:hAnsi="Palatino Linotype"/>
          <w:color w:val="000000" w:themeColor="text1"/>
        </w:rPr>
        <w:t xml:space="preserve"> del presente asunto, primeramente es menester precisar</w:t>
      </w:r>
      <w:r w:rsidRPr="00111943">
        <w:rPr>
          <w:rFonts w:ascii="Palatino Linotype" w:hAnsi="Palatino Linotype"/>
          <w:bCs/>
          <w:color w:val="000000" w:themeColor="text1"/>
        </w:rPr>
        <w:t xml:space="preserve"> que del escrito de inconformidad, se observa que </w:t>
      </w:r>
      <w:r w:rsidRPr="00111943">
        <w:rPr>
          <w:rFonts w:ascii="Palatino Linotype" w:hAnsi="Palatino Linotype"/>
          <w:color w:val="000000" w:themeColor="text1"/>
        </w:rPr>
        <w:t xml:space="preserve">el </w:t>
      </w:r>
      <w:r w:rsidRPr="00111943">
        <w:rPr>
          <w:rFonts w:ascii="Palatino Linotype" w:hAnsi="Palatino Linotype"/>
          <w:b/>
          <w:color w:val="000000" w:themeColor="text1"/>
        </w:rPr>
        <w:t xml:space="preserve">PARTICULAR </w:t>
      </w:r>
      <w:r w:rsidRPr="00111943">
        <w:rPr>
          <w:rFonts w:ascii="Palatino Linotype" w:hAnsi="Palatino Linotype"/>
          <w:color w:val="000000" w:themeColor="text1"/>
        </w:rPr>
        <w:t xml:space="preserve">se inconforma por la a declaración de incompetencia por el </w:t>
      </w:r>
      <w:r w:rsidRPr="00111943">
        <w:rPr>
          <w:rFonts w:ascii="Palatino Linotype" w:hAnsi="Palatino Linotype"/>
          <w:b/>
          <w:color w:val="000000" w:themeColor="text1"/>
        </w:rPr>
        <w:t>SUJETO OBLIGADO</w:t>
      </w:r>
      <w:r w:rsidRPr="00111943">
        <w:rPr>
          <w:rFonts w:ascii="Palatino Linotype" w:hAnsi="Palatino Linotype"/>
          <w:color w:val="000000" w:themeColor="text1"/>
        </w:rPr>
        <w:t xml:space="preserve">, por lo que resulta necesario traer </w:t>
      </w:r>
      <w:r w:rsidRPr="00111943">
        <w:rPr>
          <w:rFonts w:ascii="Palatino Linotype" w:eastAsia="Times New Roman" w:hAnsi="Palatino Linotype" w:cs="Times New Roman"/>
          <w:lang w:val="es-ES"/>
        </w:rPr>
        <w:t xml:space="preserve">dentro del estudio de mérito, lo señalado en la </w:t>
      </w:r>
      <w:r w:rsidRPr="00111943">
        <w:rPr>
          <w:rFonts w:ascii="Palatino Linotype" w:eastAsia="Times New Roman" w:hAnsi="Palatino Linotype" w:cs="Times New Roman"/>
        </w:rPr>
        <w:t>Ley de Transparencia y Acceso a la Información Pública del Estado de México y Municipios, en su artículo 167, respecto de la incompetencia</w:t>
      </w:r>
      <w:r w:rsidRPr="00111943">
        <w:rPr>
          <w:rFonts w:ascii="Palatino Linotype" w:eastAsia="Times New Roman" w:hAnsi="Palatino Linotype" w:cs="Times New Roman"/>
          <w:lang w:val="es-ES"/>
        </w:rPr>
        <w:t xml:space="preserve"> refiere lo siguiente:</w:t>
      </w:r>
    </w:p>
    <w:p w:rsidR="00A4441B" w:rsidRPr="00111943" w:rsidRDefault="00A4441B" w:rsidP="00A4441B">
      <w:pPr>
        <w:spacing w:after="0" w:line="360" w:lineRule="auto"/>
        <w:ind w:left="567" w:right="900" w:firstLine="142"/>
        <w:contextualSpacing/>
        <w:jc w:val="both"/>
        <w:rPr>
          <w:rFonts w:ascii="Palatino Linotype" w:eastAsia="Times New Roman" w:hAnsi="Palatino Linotype" w:cs="Times New Roman"/>
          <w:sz w:val="24"/>
          <w:szCs w:val="24"/>
          <w:lang w:val="es-ES" w:eastAsia="es-ES"/>
        </w:rPr>
      </w:pPr>
    </w:p>
    <w:p w:rsidR="00A4441B" w:rsidRPr="00111943" w:rsidRDefault="00A4441B" w:rsidP="00A4441B">
      <w:pPr>
        <w:spacing w:after="0" w:line="276" w:lineRule="auto"/>
        <w:ind w:left="567" w:right="900"/>
        <w:contextualSpacing/>
        <w:jc w:val="both"/>
        <w:rPr>
          <w:rFonts w:ascii="Times New Roman" w:eastAsia="Times New Roman" w:hAnsi="Times New Roman" w:cs="Times New Roman"/>
          <w:b/>
          <w:i/>
          <w:sz w:val="24"/>
          <w:szCs w:val="24"/>
          <w:lang w:val="es-ES" w:eastAsia="es-ES"/>
        </w:rPr>
      </w:pPr>
      <w:r w:rsidRPr="00111943">
        <w:rPr>
          <w:rFonts w:ascii="Times New Roman" w:eastAsia="Times New Roman" w:hAnsi="Times New Roman" w:cs="Times New Roman"/>
          <w:b/>
          <w:i/>
          <w:sz w:val="24"/>
          <w:szCs w:val="24"/>
          <w:lang w:val="es-ES" w:eastAsia="es-ES"/>
        </w:rPr>
        <w:t>Artículo 167.</w:t>
      </w:r>
    </w:p>
    <w:p w:rsidR="00A4441B" w:rsidRPr="00111943" w:rsidRDefault="00A4441B" w:rsidP="00A4441B">
      <w:pPr>
        <w:spacing w:after="0" w:line="276" w:lineRule="auto"/>
        <w:ind w:left="567" w:right="900"/>
        <w:contextualSpacing/>
        <w:jc w:val="both"/>
        <w:rPr>
          <w:rFonts w:ascii="Palatino Linotype" w:eastAsia="Times New Roman" w:hAnsi="Palatino Linotype" w:cs="Times New Roman"/>
          <w:i/>
          <w:sz w:val="24"/>
          <w:szCs w:val="24"/>
          <w:lang w:val="es-ES" w:eastAsia="es-ES"/>
        </w:rPr>
      </w:pPr>
      <w:r w:rsidRPr="00111943">
        <w:rPr>
          <w:rFonts w:ascii="Times New Roman" w:eastAsia="Times New Roman" w:hAnsi="Times New Roman" w:cs="Times New Roman"/>
          <w:i/>
          <w:sz w:val="24"/>
          <w:szCs w:val="24"/>
          <w:lang w:val="es-ES" w:eastAsia="es-ES"/>
        </w:rPr>
        <w:t xml:space="preserve"> “Cuando las unidades de transparencia determinen la notoria incompetencia por parte de los sujetos obligados, dentro del ámbito de aplicación, para atender la solicitud de acceso a la información, </w:t>
      </w:r>
      <w:r w:rsidRPr="00111943">
        <w:rPr>
          <w:rFonts w:ascii="Times New Roman" w:eastAsia="Times New Roman" w:hAnsi="Times New Roman" w:cs="Times New Roman"/>
          <w:i/>
          <w:sz w:val="24"/>
          <w:szCs w:val="24"/>
          <w:u w:val="single"/>
          <w:lang w:val="es-ES" w:eastAsia="es-ES"/>
        </w:rPr>
        <w:t>deberán comunicarlo al solicitante, dentro de los tres días hábiles posteriores a la recepción de la solicitud</w:t>
      </w:r>
      <w:r w:rsidRPr="00111943">
        <w:rPr>
          <w:rFonts w:ascii="Times New Roman" w:eastAsia="Times New Roman" w:hAnsi="Times New Roman" w:cs="Times New Roman"/>
          <w:i/>
          <w:sz w:val="24"/>
          <w:szCs w:val="24"/>
          <w:lang w:val="es-ES" w:eastAsia="es-ES"/>
        </w:rPr>
        <w:t xml:space="preserve"> y, </w:t>
      </w:r>
      <w:r w:rsidRPr="00111943">
        <w:rPr>
          <w:rFonts w:ascii="Times New Roman" w:eastAsia="Times New Roman" w:hAnsi="Times New Roman" w:cs="Times New Roman"/>
          <w:i/>
          <w:sz w:val="24"/>
          <w:szCs w:val="24"/>
          <w:u w:val="single"/>
          <w:lang w:val="es-ES" w:eastAsia="es-ES"/>
        </w:rPr>
        <w:t>en su caso orientar al solicitante, el o los sujetos obligados competentes.</w:t>
      </w:r>
      <w:r w:rsidRPr="00111943">
        <w:rPr>
          <w:rFonts w:ascii="Times New Roman" w:eastAsia="Times New Roman" w:hAnsi="Times New Roman" w:cs="Times New Roman"/>
          <w:i/>
          <w:sz w:val="24"/>
          <w:szCs w:val="24"/>
          <w:lang w:val="es-ES" w:eastAsia="es-ES"/>
        </w:rPr>
        <w:t xml:space="preserve"> Si los sujetos obligados son competentes para atender parcialmente la solicitud de acceso a la información, deberá dar respuesta respecto de dicha parte. Respecto de la información sobre la cual es incompetente se procederá conforme lo señala el párrafo anterior. Si transcurrido el plazo señalado en el primer párrafo de este artículo, el sujeto obligado no declina la competencia en los términos establecidos, podrá canalizar la solicitud ante el sujeto obligado competente.” (sic)</w:t>
      </w:r>
    </w:p>
    <w:p w:rsidR="00A4441B" w:rsidRPr="00111943" w:rsidRDefault="00A4441B" w:rsidP="00A4441B">
      <w:pPr>
        <w:spacing w:after="0" w:line="360" w:lineRule="auto"/>
        <w:contextualSpacing/>
        <w:jc w:val="both"/>
        <w:rPr>
          <w:rFonts w:ascii="Palatino Linotype" w:hAnsi="Palatino Linotype"/>
          <w:sz w:val="24"/>
          <w:szCs w:val="24"/>
        </w:rPr>
      </w:pPr>
    </w:p>
    <w:p w:rsidR="00A4441B" w:rsidRPr="00111943" w:rsidRDefault="00A4441B" w:rsidP="00A4441B">
      <w:pPr>
        <w:numPr>
          <w:ilvl w:val="0"/>
          <w:numId w:val="1"/>
        </w:numPr>
        <w:spacing w:after="0" w:line="360" w:lineRule="auto"/>
        <w:ind w:left="0" w:firstLine="0"/>
        <w:contextualSpacing/>
        <w:jc w:val="both"/>
        <w:rPr>
          <w:rFonts w:ascii="Palatino Linotype" w:hAnsi="Palatino Linotype"/>
          <w:i/>
          <w:sz w:val="24"/>
          <w:szCs w:val="24"/>
        </w:rPr>
      </w:pPr>
      <w:r w:rsidRPr="00111943">
        <w:rPr>
          <w:rFonts w:ascii="Palatino Linotype" w:hAnsi="Palatino Linotype"/>
          <w:sz w:val="24"/>
          <w:szCs w:val="24"/>
        </w:rPr>
        <w:t>Es así como, este Órgano Resolutor, respecto de la incompetencia hecha valer, refiere lo que establece la Ley de Transparencia y Acceso a la Información Pública del Estado de México y Municipios</w:t>
      </w:r>
    </w:p>
    <w:p w:rsidR="00A4441B" w:rsidRPr="00111943" w:rsidRDefault="00A4441B" w:rsidP="00A4441B">
      <w:pPr>
        <w:spacing w:after="0" w:line="276" w:lineRule="auto"/>
        <w:ind w:left="993" w:right="758"/>
        <w:contextualSpacing/>
        <w:jc w:val="both"/>
        <w:rPr>
          <w:rFonts w:ascii="Palatino Linotype" w:hAnsi="Palatino Linotype"/>
          <w:i/>
          <w:sz w:val="24"/>
          <w:szCs w:val="24"/>
        </w:rPr>
      </w:pPr>
      <w:r w:rsidRPr="00111943">
        <w:rPr>
          <w:rFonts w:ascii="Palatino Linotype" w:hAnsi="Palatino Linotype"/>
          <w:b/>
          <w:i/>
          <w:sz w:val="24"/>
          <w:szCs w:val="24"/>
        </w:rPr>
        <w:lastRenderedPageBreak/>
        <w:t>Artículo 23.</w:t>
      </w:r>
      <w:r w:rsidRPr="00111943">
        <w:rPr>
          <w:rFonts w:ascii="Palatino Linotype" w:hAnsi="Palatino Linotype"/>
          <w:i/>
          <w:sz w:val="24"/>
          <w:szCs w:val="24"/>
        </w:rPr>
        <w:t xml:space="preserve"> Son sujetos obligados a transparentar y permitir el acceso a su información y proteger los datos personales que obren en su poder:</w:t>
      </w:r>
    </w:p>
    <w:p w:rsidR="00A4441B" w:rsidRPr="00111943" w:rsidRDefault="00A4441B" w:rsidP="00A4441B">
      <w:pPr>
        <w:spacing w:after="0" w:line="276" w:lineRule="auto"/>
        <w:ind w:left="993" w:right="758"/>
        <w:contextualSpacing/>
        <w:jc w:val="both"/>
        <w:rPr>
          <w:rFonts w:ascii="Palatino Linotype" w:hAnsi="Palatino Linotype"/>
          <w:i/>
          <w:sz w:val="24"/>
          <w:szCs w:val="24"/>
        </w:rPr>
      </w:pP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El Poder Ejecutivo del Estado de México, las dependencias, organismos auxiliares, órganos, entidades, fideicomisos y fondos públicos, así como la Fiscalía General de Justicia del Estado de México;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El Poder Legislativo del Estado, los organismos, órganos y entidades de la Legislatura y sus dependencias;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El Poder Judicial, sus organismos, órganos y entidades, así como el Consejo de la Judicatura del Estado;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Los ayuntamientos y las dependencias, organismos, órganos y entidades de la administración municipal;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Los órganos autónomos;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Los tribunales administrativos y autoridades jurisdiccionales en materia laboral;</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Los partidos políticos y agrupaciones políticas, en los términos de las disposiciones aplicables;</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Los fideicomisos y fondos públicos que cuenten con financiamiento público, parcial o total, o con participación de entidades de gobierno;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Los sindicatos que reciban y/o ejerzan recursos públicos en el ámbito estatal y municipal;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Cualquier persona física o jurídico colectiva que reciba y ejerza recursos públicos en el ámbito estatal o municipal; y </w:t>
      </w:r>
    </w:p>
    <w:p w:rsidR="00A4441B" w:rsidRPr="00111943" w:rsidRDefault="00A4441B" w:rsidP="00A4441B">
      <w:pPr>
        <w:pStyle w:val="Prrafodelista"/>
        <w:numPr>
          <w:ilvl w:val="0"/>
          <w:numId w:val="4"/>
        </w:numPr>
        <w:spacing w:line="276" w:lineRule="auto"/>
        <w:ind w:right="758"/>
        <w:jc w:val="both"/>
        <w:rPr>
          <w:rFonts w:ascii="Palatino Linotype" w:hAnsi="Palatino Linotype"/>
          <w:i/>
        </w:rPr>
      </w:pPr>
      <w:r w:rsidRPr="00111943">
        <w:rPr>
          <w:rFonts w:ascii="Palatino Linotype" w:hAnsi="Palatino Linotype"/>
          <w:i/>
        </w:rPr>
        <w:t xml:space="preserve">Cualquier otra autoridad, entidad, órgano u organismo de los poderes estatal o municipal, que reciba recursos públicos. </w:t>
      </w:r>
    </w:p>
    <w:p w:rsidR="00A4441B" w:rsidRPr="00111943" w:rsidRDefault="00A4441B" w:rsidP="00A4441B">
      <w:pPr>
        <w:pStyle w:val="Prrafodelista"/>
        <w:spacing w:line="276" w:lineRule="auto"/>
        <w:ind w:left="1773" w:right="758"/>
        <w:jc w:val="both"/>
        <w:rPr>
          <w:rFonts w:ascii="Palatino Linotype" w:hAnsi="Palatino Linotype"/>
          <w:i/>
        </w:rPr>
      </w:pPr>
    </w:p>
    <w:p w:rsidR="00A4441B" w:rsidRPr="00111943" w:rsidRDefault="00A4441B" w:rsidP="00A4441B">
      <w:pPr>
        <w:spacing w:line="276" w:lineRule="auto"/>
        <w:ind w:left="1053" w:right="758"/>
        <w:jc w:val="both"/>
        <w:rPr>
          <w:rFonts w:ascii="Palatino Linotype" w:hAnsi="Palatino Linotype"/>
          <w:i/>
          <w:sz w:val="24"/>
          <w:szCs w:val="24"/>
        </w:rPr>
      </w:pPr>
      <w:r w:rsidRPr="00111943">
        <w:rPr>
          <w:rFonts w:ascii="Palatino Linotype" w:hAnsi="Palatino Linotype"/>
          <w:i/>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 Los servidores públicos deberán transparentar sus acciones así como garantizar y respetar el derecho de acceso a la información pública.</w:t>
      </w:r>
    </w:p>
    <w:p w:rsidR="00A4441B" w:rsidRPr="00111943" w:rsidRDefault="00A4441B" w:rsidP="00A4441B">
      <w:pPr>
        <w:spacing w:line="276" w:lineRule="auto"/>
        <w:ind w:left="1053" w:right="758"/>
        <w:jc w:val="both"/>
        <w:rPr>
          <w:rFonts w:ascii="Palatino Linotype" w:hAnsi="Palatino Linotype"/>
          <w:i/>
          <w:sz w:val="24"/>
          <w:szCs w:val="24"/>
        </w:rPr>
      </w:pPr>
    </w:p>
    <w:p w:rsidR="00A4441B" w:rsidRPr="00111943" w:rsidRDefault="00A4441B" w:rsidP="00A4441B">
      <w:pPr>
        <w:spacing w:line="276" w:lineRule="auto"/>
        <w:ind w:left="1053" w:right="758"/>
        <w:jc w:val="both"/>
        <w:rPr>
          <w:rFonts w:ascii="Palatino Linotype" w:hAnsi="Palatino Linotype"/>
          <w:i/>
          <w:sz w:val="24"/>
          <w:szCs w:val="24"/>
        </w:rPr>
      </w:pPr>
      <w:r w:rsidRPr="00111943">
        <w:rPr>
          <w:rFonts w:ascii="Palatino Linotype" w:hAnsi="Palatino Linotype"/>
          <w:b/>
          <w:i/>
          <w:sz w:val="24"/>
          <w:szCs w:val="24"/>
        </w:rPr>
        <w:t>Artículo 53</w:t>
      </w:r>
      <w:r w:rsidRPr="00111943">
        <w:rPr>
          <w:rFonts w:ascii="Palatino Linotype" w:hAnsi="Palatino Linotype"/>
          <w:i/>
          <w:sz w:val="24"/>
          <w:szCs w:val="24"/>
        </w:rPr>
        <w:t>. Las Unidades de Transparencia tendrán las siguientes funciones:</w:t>
      </w:r>
    </w:p>
    <w:p w:rsidR="00A4441B" w:rsidRPr="00111943" w:rsidRDefault="00A4441B" w:rsidP="00A4441B">
      <w:pPr>
        <w:pStyle w:val="Prrafodelista"/>
        <w:numPr>
          <w:ilvl w:val="0"/>
          <w:numId w:val="5"/>
        </w:numPr>
        <w:spacing w:line="276" w:lineRule="auto"/>
        <w:ind w:right="758"/>
        <w:jc w:val="both"/>
        <w:rPr>
          <w:rFonts w:ascii="Palatino Linotype" w:hAnsi="Palatino Linotype"/>
          <w:i/>
        </w:rPr>
      </w:pPr>
      <w:r w:rsidRPr="00111943">
        <w:rPr>
          <w:rFonts w:ascii="Palatino Linotype" w:hAnsi="Palatino Linotype"/>
          <w:i/>
        </w:rPr>
        <w:t>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A4441B" w:rsidRPr="00111943" w:rsidRDefault="00A4441B" w:rsidP="00A4441B">
      <w:pPr>
        <w:pStyle w:val="Prrafodelista"/>
        <w:numPr>
          <w:ilvl w:val="0"/>
          <w:numId w:val="5"/>
        </w:numPr>
        <w:spacing w:line="276" w:lineRule="auto"/>
        <w:ind w:right="758"/>
        <w:jc w:val="both"/>
        <w:rPr>
          <w:rFonts w:ascii="Palatino Linotype" w:hAnsi="Palatino Linotype"/>
          <w:i/>
        </w:rPr>
      </w:pPr>
      <w:r w:rsidRPr="00111943">
        <w:rPr>
          <w:rFonts w:ascii="Palatino Linotype" w:hAnsi="Palatino Linotype"/>
          <w:i/>
        </w:rPr>
        <w:t xml:space="preserve"> Recibir, tramitar y dar respuesta a las solicitudes de acceso a la información;</w:t>
      </w:r>
    </w:p>
    <w:p w:rsidR="00A4441B" w:rsidRPr="00111943" w:rsidRDefault="00A4441B" w:rsidP="00A4441B">
      <w:pPr>
        <w:pStyle w:val="Prrafodelista"/>
        <w:numPr>
          <w:ilvl w:val="0"/>
          <w:numId w:val="5"/>
        </w:numPr>
        <w:spacing w:line="276" w:lineRule="auto"/>
        <w:ind w:right="758"/>
        <w:jc w:val="both"/>
        <w:rPr>
          <w:rFonts w:ascii="Palatino Linotype" w:hAnsi="Palatino Linotype"/>
          <w:i/>
        </w:rPr>
      </w:pPr>
      <w:r w:rsidRPr="00111943">
        <w:rPr>
          <w:rFonts w:ascii="Palatino Linotype" w:hAnsi="Palatino Linotype"/>
          <w:i/>
        </w:rPr>
        <w:t>…</w:t>
      </w:r>
    </w:p>
    <w:p w:rsidR="00A4441B" w:rsidRPr="00111943" w:rsidRDefault="00A4441B" w:rsidP="00A4441B">
      <w:pPr>
        <w:pStyle w:val="Prrafodelista"/>
        <w:numPr>
          <w:ilvl w:val="0"/>
          <w:numId w:val="5"/>
        </w:numPr>
        <w:spacing w:line="276" w:lineRule="auto"/>
        <w:ind w:right="758"/>
        <w:jc w:val="both"/>
        <w:rPr>
          <w:rFonts w:ascii="Palatino Linotype" w:hAnsi="Palatino Linotype"/>
          <w:i/>
        </w:rPr>
      </w:pPr>
      <w:r w:rsidRPr="00111943">
        <w:rPr>
          <w:rFonts w:ascii="Palatino Linotype" w:hAnsi="Palatino Linotype"/>
          <w:i/>
        </w:rPr>
        <w:t xml:space="preserve"> Realizar, con efectividad, los trámites internos necesarios para la atención de las solicitudes de acceso a la información;</w:t>
      </w:r>
    </w:p>
    <w:p w:rsidR="00A4441B" w:rsidRPr="00111943" w:rsidRDefault="00A4441B" w:rsidP="00A4441B">
      <w:pPr>
        <w:pStyle w:val="Prrafodelista"/>
        <w:numPr>
          <w:ilvl w:val="0"/>
          <w:numId w:val="5"/>
        </w:numPr>
        <w:spacing w:line="276" w:lineRule="auto"/>
        <w:ind w:right="758"/>
        <w:jc w:val="both"/>
        <w:rPr>
          <w:rFonts w:ascii="Palatino Linotype" w:hAnsi="Palatino Linotype"/>
          <w:i/>
        </w:rPr>
      </w:pPr>
      <w:r w:rsidRPr="00111943">
        <w:rPr>
          <w:rFonts w:ascii="Palatino Linotype" w:hAnsi="Palatino Linotype"/>
          <w:i/>
        </w:rPr>
        <w:t>Entregar, en su caso, a los particulares la información solicitada;</w:t>
      </w:r>
    </w:p>
    <w:p w:rsidR="00A4441B" w:rsidRPr="00111943" w:rsidRDefault="00A4441B" w:rsidP="00A4441B">
      <w:pPr>
        <w:pStyle w:val="Prrafodelista"/>
        <w:rPr>
          <w:rFonts w:ascii="Palatino Linotype" w:hAnsi="Palatino Linotype"/>
          <w:color w:val="000000" w:themeColor="text1"/>
        </w:rPr>
      </w:pPr>
    </w:p>
    <w:p w:rsidR="00A4441B" w:rsidRPr="00111943" w:rsidRDefault="00A4441B" w:rsidP="00A4441B">
      <w:pPr>
        <w:numPr>
          <w:ilvl w:val="0"/>
          <w:numId w:val="1"/>
        </w:numPr>
        <w:spacing w:after="0" w:line="360" w:lineRule="auto"/>
        <w:ind w:left="0" w:firstLine="0"/>
        <w:contextualSpacing/>
        <w:jc w:val="both"/>
        <w:rPr>
          <w:rFonts w:ascii="Palatino Linotype" w:hAnsi="Palatino Linotype"/>
          <w:sz w:val="24"/>
          <w:szCs w:val="24"/>
        </w:rPr>
      </w:pPr>
      <w:r w:rsidRPr="00111943">
        <w:rPr>
          <w:rFonts w:ascii="Palatino Linotype" w:hAnsi="Palatino Linotype"/>
          <w:sz w:val="24"/>
          <w:szCs w:val="24"/>
        </w:rPr>
        <w:t xml:space="preserve">Aunado a lo anterior, la Ley General de Transparencia y Acceso a la Información Pública al caso concreto refiere lo siguiente: </w:t>
      </w:r>
    </w:p>
    <w:p w:rsidR="00A4441B" w:rsidRPr="00111943" w:rsidRDefault="00A4441B" w:rsidP="00A4441B">
      <w:pPr>
        <w:pStyle w:val="Prrafodelista"/>
        <w:spacing w:line="276" w:lineRule="auto"/>
        <w:ind w:left="1773" w:right="758"/>
        <w:jc w:val="both"/>
        <w:rPr>
          <w:rFonts w:ascii="Palatino Linotype" w:hAnsi="Palatino Linotype"/>
          <w:i/>
        </w:rPr>
      </w:pPr>
      <w:r w:rsidRPr="00111943">
        <w:rPr>
          <w:rFonts w:ascii="Palatino Linotype" w:hAnsi="Palatino Linotype"/>
          <w:b/>
          <w:i/>
        </w:rPr>
        <w:t>Artículo 45</w:t>
      </w:r>
      <w:r w:rsidRPr="00111943">
        <w:rPr>
          <w:rFonts w:ascii="Palatino Linotype" w:hAnsi="Palatino Linotype"/>
          <w:i/>
        </w:rPr>
        <w:t>. Los sujetos obligados designarán al responsable de la Unidad de Transparencia que tendrá las siguientes funciones:</w:t>
      </w:r>
    </w:p>
    <w:p w:rsidR="00A4441B" w:rsidRPr="00111943" w:rsidRDefault="00A4441B" w:rsidP="00A4441B">
      <w:pPr>
        <w:pStyle w:val="Prrafodelista"/>
        <w:spacing w:line="276" w:lineRule="auto"/>
        <w:ind w:left="1773" w:right="758"/>
        <w:jc w:val="both"/>
        <w:rPr>
          <w:rFonts w:ascii="Palatino Linotype" w:hAnsi="Palatino Linotype"/>
          <w:i/>
        </w:rPr>
      </w:pPr>
      <w:r w:rsidRPr="00111943">
        <w:rPr>
          <w:rFonts w:ascii="Palatino Linotype" w:hAnsi="Palatino Linotype"/>
          <w:i/>
        </w:rPr>
        <w:t xml:space="preserve">II. Recibir y dar trámite a las solicitudes de acceso a la información; </w:t>
      </w:r>
    </w:p>
    <w:p w:rsidR="00A4441B" w:rsidRPr="00111943" w:rsidRDefault="00A4441B" w:rsidP="00A4441B">
      <w:pPr>
        <w:pStyle w:val="Prrafodelista"/>
        <w:spacing w:line="276" w:lineRule="auto"/>
        <w:ind w:left="1773" w:right="758"/>
        <w:jc w:val="both"/>
        <w:rPr>
          <w:rFonts w:ascii="Palatino Linotype" w:hAnsi="Palatino Linotype"/>
          <w:i/>
        </w:rPr>
      </w:pPr>
      <w:r w:rsidRPr="00111943">
        <w:rPr>
          <w:rFonts w:ascii="Palatino Linotype" w:hAnsi="Palatino Linotype"/>
          <w:i/>
        </w:rPr>
        <w:t>…</w:t>
      </w:r>
    </w:p>
    <w:p w:rsidR="00A4441B" w:rsidRPr="00111943" w:rsidRDefault="00A4441B" w:rsidP="00A4441B">
      <w:pPr>
        <w:pStyle w:val="Prrafodelista"/>
        <w:spacing w:line="276" w:lineRule="auto"/>
        <w:ind w:left="1773" w:right="758"/>
        <w:jc w:val="both"/>
        <w:rPr>
          <w:rFonts w:ascii="Palatino Linotype" w:hAnsi="Palatino Linotype"/>
          <w:i/>
        </w:rPr>
      </w:pPr>
      <w:r w:rsidRPr="00111943">
        <w:rPr>
          <w:rFonts w:ascii="Palatino Linotype" w:hAnsi="Palatino Linotype"/>
          <w:i/>
        </w:rPr>
        <w:t>IV. Realizar los trámites internos necesarios para la atención de las solicitudes de acceso a la información;</w:t>
      </w:r>
    </w:p>
    <w:p w:rsidR="00A4441B" w:rsidRPr="00111943" w:rsidRDefault="00A4441B" w:rsidP="00A4441B">
      <w:pPr>
        <w:pStyle w:val="Prrafodelista"/>
        <w:spacing w:line="276" w:lineRule="auto"/>
        <w:ind w:left="1773" w:right="758"/>
        <w:jc w:val="both"/>
        <w:rPr>
          <w:rFonts w:ascii="Palatino Linotype" w:hAnsi="Palatino Linotype"/>
          <w:i/>
        </w:rPr>
      </w:pPr>
      <w:r w:rsidRPr="00111943">
        <w:rPr>
          <w:rFonts w:ascii="Palatino Linotype" w:hAnsi="Palatino Linotype"/>
          <w:i/>
        </w:rPr>
        <w:t xml:space="preserve"> V. Efectuar las notificaciones a los solicitantes;</w:t>
      </w:r>
    </w:p>
    <w:p w:rsidR="00A4441B" w:rsidRPr="00111943" w:rsidRDefault="00A4441B" w:rsidP="00A4441B">
      <w:pPr>
        <w:pStyle w:val="Prrafodelista"/>
        <w:spacing w:line="360" w:lineRule="auto"/>
        <w:ind w:left="1773" w:right="758"/>
        <w:jc w:val="both"/>
        <w:rPr>
          <w:rFonts w:ascii="Palatino Linotype" w:hAnsi="Palatino Linotype"/>
          <w:i/>
        </w:rPr>
      </w:pPr>
    </w:p>
    <w:p w:rsidR="001016F9" w:rsidRPr="00111943" w:rsidRDefault="00100C71" w:rsidP="001016F9">
      <w:pPr>
        <w:numPr>
          <w:ilvl w:val="0"/>
          <w:numId w:val="1"/>
        </w:numPr>
        <w:spacing w:after="0" w:line="360" w:lineRule="auto"/>
        <w:ind w:left="0" w:firstLine="0"/>
        <w:contextualSpacing/>
        <w:jc w:val="both"/>
        <w:rPr>
          <w:rFonts w:ascii="Palatino Linotype" w:hAnsi="Palatino Linotype"/>
          <w:i/>
          <w:sz w:val="24"/>
          <w:szCs w:val="24"/>
        </w:rPr>
      </w:pPr>
      <w:r w:rsidRPr="00111943">
        <w:rPr>
          <w:rFonts w:ascii="Palatino Linotype" w:hAnsi="Palatino Linotype"/>
          <w:sz w:val="24"/>
          <w:szCs w:val="24"/>
        </w:rPr>
        <w:t xml:space="preserve">Ahora bien, se advierte que dada la naturaleza de la información solicitada, versa respecto los espacios deportivos que forman parte del patrimonio municipal de Tepotzotlán, por lo que al respecto, resulta necesario referir que, </w:t>
      </w:r>
      <w:r w:rsidR="001016F9" w:rsidRPr="00111943">
        <w:rPr>
          <w:rFonts w:ascii="Palatino Linotype" w:hAnsi="Palatino Linotype"/>
          <w:sz w:val="24"/>
          <w:szCs w:val="24"/>
        </w:rPr>
        <w:t>e</w:t>
      </w:r>
      <w:r w:rsidRPr="00111943">
        <w:rPr>
          <w:rFonts w:ascii="Palatino Linotype" w:hAnsi="Palatino Linotype"/>
          <w:sz w:val="24"/>
          <w:szCs w:val="24"/>
        </w:rPr>
        <w:t xml:space="preserve">l objetivo principal del </w:t>
      </w:r>
      <w:hyperlink r:id="rId8" w:history="1">
        <w:r w:rsidRPr="00111943">
          <w:rPr>
            <w:rStyle w:val="Hipervnculo"/>
            <w:rFonts w:ascii="Palatino Linotype" w:hAnsi="Palatino Linotype"/>
            <w:color w:val="auto"/>
            <w:sz w:val="24"/>
            <w:szCs w:val="24"/>
            <w:u w:val="none"/>
          </w:rPr>
          <w:t>IMCUFIDE Tepotzotlán</w:t>
        </w:r>
      </w:hyperlink>
      <w:r w:rsidRPr="00111943">
        <w:rPr>
          <w:rFonts w:ascii="Palatino Linotype" w:hAnsi="Palatino Linotype"/>
          <w:sz w:val="24"/>
          <w:szCs w:val="24"/>
        </w:rPr>
        <w:t xml:space="preserve"> (Instituto Municipal de Cultura Física y Deporte) es establecer, desarrollar y difundir políticas integrales e incluyentes de cultura física y deporte. Busca </w:t>
      </w:r>
      <w:r w:rsidRPr="00111943">
        <w:rPr>
          <w:rFonts w:ascii="Palatino Linotype" w:hAnsi="Palatino Linotype"/>
          <w:sz w:val="24"/>
          <w:szCs w:val="24"/>
        </w:rPr>
        <w:lastRenderedPageBreak/>
        <w:t>incrementar la práctica deportiva, fomentar la integración social y familiar, y garantizar el acceso a beneficios deportivos para toda la población del municipio.</w:t>
      </w:r>
    </w:p>
    <w:p w:rsidR="001016F9" w:rsidRPr="00111943" w:rsidRDefault="001016F9" w:rsidP="001016F9">
      <w:pPr>
        <w:spacing w:after="0" w:line="360" w:lineRule="auto"/>
        <w:contextualSpacing/>
        <w:jc w:val="both"/>
        <w:rPr>
          <w:rFonts w:ascii="Palatino Linotype" w:hAnsi="Palatino Linotype"/>
          <w:i/>
          <w:sz w:val="24"/>
          <w:szCs w:val="24"/>
        </w:rPr>
      </w:pPr>
    </w:p>
    <w:p w:rsidR="00A4441B" w:rsidRPr="00BC1F13" w:rsidRDefault="001016F9" w:rsidP="003546D4">
      <w:pPr>
        <w:numPr>
          <w:ilvl w:val="0"/>
          <w:numId w:val="1"/>
        </w:numPr>
        <w:spacing w:after="0" w:line="360" w:lineRule="auto"/>
        <w:ind w:left="0" w:firstLine="0"/>
        <w:contextualSpacing/>
        <w:jc w:val="both"/>
        <w:rPr>
          <w:rFonts w:ascii="Palatino Linotype" w:hAnsi="Palatino Linotype"/>
          <w:i/>
          <w:sz w:val="24"/>
          <w:szCs w:val="24"/>
        </w:rPr>
      </w:pPr>
      <w:r w:rsidRPr="00BC1F13">
        <w:rPr>
          <w:rFonts w:ascii="Palatino Linotype" w:hAnsi="Palatino Linotype"/>
          <w:sz w:val="24"/>
          <w:szCs w:val="24"/>
        </w:rPr>
        <w:t xml:space="preserve">Es así que, los espacios deportivos que forman parte del patrimonio municipal de Tepotzotlán son gestionados y administrados por el </w:t>
      </w:r>
      <w:r w:rsidRPr="00BC1F13">
        <w:rPr>
          <w:rFonts w:ascii="Palatino Linotype" w:hAnsi="Palatino Linotype"/>
          <w:b/>
          <w:bCs/>
          <w:sz w:val="24"/>
          <w:szCs w:val="24"/>
        </w:rPr>
        <w:t xml:space="preserve">Instituto Municipal de Cultura Física y Deporte de Tepotzotlán (IMCUFIDE), </w:t>
      </w:r>
      <w:r w:rsidRPr="00BC1F13">
        <w:rPr>
          <w:rFonts w:ascii="Palatino Linotype" w:hAnsi="Palatino Linotype"/>
          <w:bCs/>
          <w:sz w:val="24"/>
          <w:szCs w:val="24"/>
        </w:rPr>
        <w:t xml:space="preserve">ello de acuerdo a lo establecido por la LEY QUE CREA EL ORGANISMO PÚBLICO DESCENTRALIZADO DENOMINADO INSTITUTO MUNICIPAL DE CULTURA FÍSICA Y DEPORTE DE TEPOTZOTLÁN, dicha ley, prevé que, el IMCUFIDE, es un Organismo Público Descentralizado denominado “Instituto Municipal de Cultura Física y Deporte de Tepotzotlán ”, como un organismo público con personalidad jurídica y </w:t>
      </w:r>
      <w:r w:rsidRPr="00BC1F13">
        <w:rPr>
          <w:rFonts w:ascii="Palatino Linotype" w:hAnsi="Palatino Linotype"/>
          <w:b/>
          <w:bCs/>
          <w:sz w:val="24"/>
          <w:szCs w:val="24"/>
        </w:rPr>
        <w:t xml:space="preserve">patrimonios propios; </w:t>
      </w:r>
      <w:r w:rsidR="003546D4" w:rsidRPr="00BC1F13">
        <w:rPr>
          <w:rFonts w:ascii="Palatino Linotype" w:hAnsi="Palatino Linotype"/>
          <w:bCs/>
          <w:sz w:val="24"/>
          <w:szCs w:val="24"/>
        </w:rPr>
        <w:t xml:space="preserve">por lo que se advierte, se trata de un </w:t>
      </w:r>
      <w:r w:rsidR="003546D4" w:rsidRPr="00BC1F13">
        <w:rPr>
          <w:rFonts w:ascii="Palatino Linotype" w:hAnsi="Palatino Linotype"/>
          <w:b/>
          <w:bCs/>
          <w:sz w:val="24"/>
          <w:szCs w:val="24"/>
        </w:rPr>
        <w:t xml:space="preserve">SUJETO OBLIGADO </w:t>
      </w:r>
      <w:r w:rsidR="003546D4" w:rsidRPr="00BC1F13">
        <w:rPr>
          <w:rFonts w:ascii="Palatino Linotype" w:hAnsi="Palatino Linotype"/>
          <w:bCs/>
          <w:sz w:val="24"/>
          <w:szCs w:val="24"/>
        </w:rPr>
        <w:t>diverso, como se advierte a continuación:</w:t>
      </w:r>
    </w:p>
    <w:p w:rsidR="003546D4" w:rsidRPr="00BC1F13" w:rsidRDefault="003546D4" w:rsidP="003546D4">
      <w:pPr>
        <w:spacing w:after="0" w:line="360" w:lineRule="auto"/>
        <w:contextualSpacing/>
        <w:jc w:val="both"/>
        <w:rPr>
          <w:rFonts w:ascii="Palatino Linotype" w:hAnsi="Palatino Linotype"/>
          <w:bCs/>
          <w:sz w:val="24"/>
          <w:szCs w:val="24"/>
        </w:rPr>
      </w:pPr>
    </w:p>
    <w:p w:rsidR="003546D4" w:rsidRPr="00BC1F13" w:rsidRDefault="003546D4" w:rsidP="003546D4">
      <w:pPr>
        <w:spacing w:after="0" w:line="360" w:lineRule="auto"/>
        <w:contextualSpacing/>
        <w:jc w:val="both"/>
        <w:rPr>
          <w:rFonts w:ascii="Palatino Linotype" w:hAnsi="Palatino Linotype"/>
          <w:bCs/>
          <w:sz w:val="24"/>
          <w:szCs w:val="24"/>
        </w:rPr>
      </w:pPr>
    </w:p>
    <w:p w:rsidR="003546D4" w:rsidRPr="00BC1F13" w:rsidRDefault="003546D4" w:rsidP="003546D4">
      <w:pPr>
        <w:spacing w:after="0" w:line="360" w:lineRule="auto"/>
        <w:contextualSpacing/>
        <w:jc w:val="both"/>
        <w:rPr>
          <w:rFonts w:ascii="Palatino Linotype" w:hAnsi="Palatino Linotype"/>
          <w:i/>
          <w:sz w:val="24"/>
          <w:szCs w:val="24"/>
        </w:rPr>
      </w:pPr>
      <w:r w:rsidRPr="00BC1F13">
        <w:rPr>
          <w:rFonts w:ascii="Palatino Linotype" w:hAnsi="Palatino Linotype"/>
          <w:i/>
          <w:noProof/>
          <w:sz w:val="24"/>
          <w:szCs w:val="24"/>
          <w:lang w:eastAsia="es-MX"/>
        </w:rPr>
        <w:drawing>
          <wp:inline distT="0" distB="0" distL="0" distR="0" wp14:anchorId="47AD69CE" wp14:editId="2F62D602">
            <wp:extent cx="5612130" cy="321373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213735"/>
                    </a:xfrm>
                    <a:prstGeom prst="rect">
                      <a:avLst/>
                    </a:prstGeom>
                    <a:ln>
                      <a:noFill/>
                    </a:ln>
                    <a:effectLst>
                      <a:softEdge rad="112500"/>
                    </a:effectLst>
                  </pic:spPr>
                </pic:pic>
              </a:graphicData>
            </a:graphic>
          </wp:inline>
        </w:drawing>
      </w:r>
    </w:p>
    <w:p w:rsidR="00A4441B" w:rsidRPr="00BC1F13" w:rsidRDefault="001016F9" w:rsidP="003546D4">
      <w:pPr>
        <w:numPr>
          <w:ilvl w:val="0"/>
          <w:numId w:val="1"/>
        </w:numPr>
        <w:spacing w:after="0" w:line="360" w:lineRule="auto"/>
        <w:ind w:left="0" w:firstLine="0"/>
        <w:contextualSpacing/>
        <w:jc w:val="both"/>
        <w:rPr>
          <w:rFonts w:ascii="Palatino Linotype" w:hAnsi="Palatino Linotype"/>
          <w:i/>
          <w:sz w:val="24"/>
          <w:szCs w:val="24"/>
        </w:rPr>
      </w:pPr>
      <w:r w:rsidRPr="00BC1F13">
        <w:rPr>
          <w:rFonts w:ascii="Palatino Linotype" w:hAnsi="Palatino Linotype"/>
          <w:sz w:val="24"/>
          <w:szCs w:val="24"/>
        </w:rPr>
        <w:lastRenderedPageBreak/>
        <w:t xml:space="preserve">De lo anterior, </w:t>
      </w:r>
      <w:r w:rsidR="003546D4" w:rsidRPr="00BC1F13">
        <w:rPr>
          <w:rFonts w:ascii="Palatino Linotype" w:hAnsi="Palatino Linotype"/>
          <w:sz w:val="24"/>
          <w:szCs w:val="24"/>
        </w:rPr>
        <w:t xml:space="preserve">al tratarse de un </w:t>
      </w:r>
      <w:r w:rsidR="003546D4" w:rsidRPr="00BC1F13">
        <w:rPr>
          <w:rFonts w:ascii="Palatino Linotype" w:hAnsi="Palatino Linotype"/>
          <w:b/>
          <w:sz w:val="24"/>
          <w:szCs w:val="24"/>
        </w:rPr>
        <w:t xml:space="preserve">SUJETO OBLIGADO </w:t>
      </w:r>
      <w:r w:rsidR="003546D4" w:rsidRPr="00BC1F13">
        <w:rPr>
          <w:rFonts w:ascii="Palatino Linotype" w:hAnsi="Palatino Linotype"/>
          <w:sz w:val="24"/>
          <w:szCs w:val="24"/>
        </w:rPr>
        <w:t xml:space="preserve">diverso, </w:t>
      </w:r>
      <w:r w:rsidR="003546D4" w:rsidRPr="00BC1F13">
        <w:rPr>
          <w:rFonts w:ascii="Palatino Linotype" w:hAnsi="Palatino Linotype"/>
          <w:b/>
          <w:sz w:val="24"/>
          <w:szCs w:val="24"/>
        </w:rPr>
        <w:t xml:space="preserve">no </w:t>
      </w:r>
      <w:r w:rsidRPr="00BC1F13">
        <w:rPr>
          <w:rFonts w:ascii="Palatino Linotype" w:hAnsi="Palatino Linotype"/>
          <w:sz w:val="24"/>
          <w:szCs w:val="24"/>
        </w:rPr>
        <w:t xml:space="preserve">se advierte la fuente obligacional </w:t>
      </w:r>
      <w:r w:rsidR="003546D4" w:rsidRPr="00BC1F13">
        <w:rPr>
          <w:rFonts w:ascii="Palatino Linotype" w:hAnsi="Palatino Linotype"/>
          <w:sz w:val="24"/>
          <w:szCs w:val="24"/>
        </w:rPr>
        <w:t xml:space="preserve">del </w:t>
      </w:r>
      <w:r w:rsidRPr="00BC1F13">
        <w:rPr>
          <w:rFonts w:ascii="Palatino Linotype" w:hAnsi="Palatino Linotype"/>
          <w:b/>
          <w:sz w:val="24"/>
          <w:szCs w:val="24"/>
        </w:rPr>
        <w:t xml:space="preserve">SUJETO OBLIGADO, </w:t>
      </w:r>
      <w:r w:rsidRPr="00BC1F13">
        <w:rPr>
          <w:rFonts w:ascii="Palatino Linotype" w:hAnsi="Palatino Linotype"/>
          <w:sz w:val="24"/>
          <w:szCs w:val="24"/>
        </w:rPr>
        <w:t xml:space="preserve">para generar, poseer y/o administrar la información </w:t>
      </w:r>
      <w:r w:rsidR="003546D4" w:rsidRPr="00BC1F13">
        <w:rPr>
          <w:rFonts w:ascii="Palatino Linotype" w:hAnsi="Palatino Linotype"/>
          <w:sz w:val="24"/>
          <w:szCs w:val="24"/>
        </w:rPr>
        <w:t xml:space="preserve">solicitada, por lo que resulta dable </w:t>
      </w:r>
      <w:r w:rsidR="003546D4" w:rsidRPr="00BC1F13">
        <w:rPr>
          <w:rFonts w:ascii="Palatino Linotype" w:hAnsi="Palatino Linotype"/>
          <w:b/>
          <w:sz w:val="24"/>
          <w:szCs w:val="24"/>
        </w:rPr>
        <w:t xml:space="preserve">CONFIRMAR </w:t>
      </w:r>
      <w:r w:rsidR="003546D4" w:rsidRPr="00BC1F13">
        <w:rPr>
          <w:rFonts w:ascii="Palatino Linotype" w:hAnsi="Palatino Linotype"/>
          <w:sz w:val="24"/>
          <w:szCs w:val="24"/>
        </w:rPr>
        <w:t xml:space="preserve">la respuesta proporcionada por el </w:t>
      </w:r>
      <w:r w:rsidR="003546D4" w:rsidRPr="00BC1F13">
        <w:rPr>
          <w:rFonts w:ascii="Palatino Linotype" w:hAnsi="Palatino Linotype"/>
          <w:b/>
          <w:sz w:val="24"/>
          <w:szCs w:val="24"/>
        </w:rPr>
        <w:t xml:space="preserve">Ayuntamiento de Tepotzotlán, </w:t>
      </w:r>
      <w:r w:rsidR="003546D4" w:rsidRPr="00BC1F13">
        <w:rPr>
          <w:rFonts w:ascii="Palatino Linotype" w:hAnsi="Palatino Linotype"/>
          <w:sz w:val="24"/>
          <w:szCs w:val="24"/>
        </w:rPr>
        <w:t xml:space="preserve">resultando procedente </w:t>
      </w:r>
      <w:r w:rsidR="00A4441B" w:rsidRPr="00BC1F13">
        <w:rPr>
          <w:rFonts w:ascii="Palatino Linotype" w:hAnsi="Palatino Linotype"/>
          <w:sz w:val="24"/>
          <w:szCs w:val="24"/>
        </w:rPr>
        <w:t xml:space="preserve">la incompetencia hecha valer por el </w:t>
      </w:r>
      <w:r w:rsidR="00A4441B" w:rsidRPr="00BC1F13">
        <w:rPr>
          <w:rFonts w:ascii="Palatino Linotype" w:hAnsi="Palatino Linotype"/>
          <w:b/>
          <w:sz w:val="24"/>
          <w:szCs w:val="24"/>
        </w:rPr>
        <w:t xml:space="preserve">SUJETO OBLIGADO, </w:t>
      </w:r>
      <w:r w:rsidR="00A4441B" w:rsidRPr="00BC1F13">
        <w:rPr>
          <w:rFonts w:ascii="Palatino Linotype" w:hAnsi="Palatino Linotype"/>
          <w:sz w:val="24"/>
          <w:szCs w:val="24"/>
        </w:rPr>
        <w:t>resulta procedente.</w:t>
      </w:r>
    </w:p>
    <w:p w:rsidR="00A4441B" w:rsidRPr="00BC1F13" w:rsidRDefault="00A4441B" w:rsidP="00A4441B">
      <w:pPr>
        <w:spacing w:after="0" w:line="360" w:lineRule="auto"/>
        <w:contextualSpacing/>
        <w:jc w:val="both"/>
        <w:rPr>
          <w:rFonts w:ascii="Palatino Linotype" w:eastAsia="MS Mincho" w:hAnsi="Palatino Linotype" w:cs="Arial"/>
          <w:i/>
          <w:sz w:val="24"/>
          <w:szCs w:val="24"/>
        </w:rPr>
      </w:pPr>
    </w:p>
    <w:p w:rsidR="003546D4" w:rsidRPr="00BC1F13" w:rsidRDefault="003546D4" w:rsidP="00BC1F13">
      <w:pPr>
        <w:pStyle w:val="Prrafodelista"/>
        <w:numPr>
          <w:ilvl w:val="0"/>
          <w:numId w:val="1"/>
        </w:numPr>
        <w:spacing w:line="360" w:lineRule="auto"/>
        <w:ind w:left="0" w:firstLine="0"/>
        <w:jc w:val="both"/>
        <w:rPr>
          <w:rFonts w:ascii="Palatino Linotype" w:hAnsi="Palatino Linotype"/>
          <w:color w:val="000000" w:themeColor="text1"/>
        </w:rPr>
      </w:pPr>
      <w:r w:rsidRPr="00BC1F13">
        <w:rPr>
          <w:rFonts w:ascii="Palatino Linotype" w:hAnsi="Palatino Linotype" w:cs="Arial"/>
          <w:color w:val="000000" w:themeColor="text1"/>
        </w:rPr>
        <w:t>Es por lo expuesto con anterioridad, que se colige que resultan infundadas las</w:t>
      </w:r>
      <w:r w:rsidRPr="00BC1F13">
        <w:rPr>
          <w:rFonts w:ascii="Palatino Linotype" w:hAnsi="Palatino Linotype"/>
          <w:color w:val="000000" w:themeColor="text1"/>
        </w:rPr>
        <w:t xml:space="preserve"> razones o </w:t>
      </w:r>
      <w:r w:rsidRPr="00BC1F13">
        <w:rPr>
          <w:rFonts w:ascii="Palatino Linotype" w:hAnsi="Palatino Linotype" w:cs="Arial"/>
        </w:rPr>
        <w:t>motivos</w:t>
      </w:r>
      <w:r w:rsidRPr="00BC1F13">
        <w:rPr>
          <w:rFonts w:ascii="Palatino Linotype" w:hAnsi="Palatino Linotype"/>
          <w:color w:val="000000" w:themeColor="text1"/>
        </w:rPr>
        <w:t xml:space="preserve"> de inconformidad hechos valer por </w:t>
      </w:r>
      <w:r w:rsidR="00F03B62" w:rsidRPr="00BC1F13">
        <w:rPr>
          <w:rFonts w:ascii="Palatino Linotype" w:hAnsi="Palatino Linotype"/>
          <w:b/>
          <w:color w:val="000000" w:themeColor="text1"/>
        </w:rPr>
        <w:t>LA</w:t>
      </w:r>
      <w:r w:rsidRPr="00BC1F13">
        <w:rPr>
          <w:rFonts w:ascii="Palatino Linotype" w:hAnsi="Palatino Linotype"/>
          <w:b/>
          <w:color w:val="000000" w:themeColor="text1"/>
        </w:rPr>
        <w:t xml:space="preserve"> RECURRENTE</w:t>
      </w:r>
      <w:r w:rsidRPr="00BC1F13">
        <w:rPr>
          <w:rFonts w:ascii="Palatino Linotype" w:hAnsi="Palatino Linotype"/>
          <w:color w:val="000000" w:themeColor="text1"/>
        </w:rPr>
        <w:t xml:space="preserve"> en el recursos de revisión, por </w:t>
      </w:r>
      <w:r w:rsidRPr="00BC1F13">
        <w:rPr>
          <w:rFonts w:ascii="Palatino Linotype" w:hAnsi="Palatino Linotype" w:cs="Arial"/>
        </w:rPr>
        <w:t>ello,</w:t>
      </w:r>
      <w:r w:rsidRPr="00BC1F13">
        <w:rPr>
          <w:rFonts w:ascii="Palatino Linotype" w:hAnsi="Palatino Linotype"/>
          <w:color w:val="000000" w:themeColor="text1"/>
        </w:rPr>
        <w:t xml:space="preserve"> con fundamento en el artículo 186, fracción II, de la Ley de Transparencia y </w:t>
      </w:r>
      <w:r w:rsidRPr="00BC1F13">
        <w:rPr>
          <w:rFonts w:ascii="Palatino Linotype" w:hAnsi="Palatino Linotype"/>
        </w:rPr>
        <w:t>Acceso</w:t>
      </w:r>
      <w:r w:rsidRPr="00BC1F13">
        <w:rPr>
          <w:rFonts w:ascii="Palatino Linotype" w:hAnsi="Palatino Linotype"/>
          <w:color w:val="000000" w:themeColor="text1"/>
        </w:rPr>
        <w:t xml:space="preserve"> a la </w:t>
      </w:r>
      <w:r w:rsidRPr="00BC1F13">
        <w:rPr>
          <w:rFonts w:ascii="Palatino Linotype" w:hAnsi="Palatino Linotype" w:cs="Arial"/>
        </w:rPr>
        <w:t>Información</w:t>
      </w:r>
      <w:r w:rsidRPr="00BC1F13">
        <w:rPr>
          <w:rFonts w:ascii="Palatino Linotype" w:hAnsi="Palatino Linotype"/>
          <w:color w:val="000000" w:themeColor="text1"/>
        </w:rPr>
        <w:t xml:space="preserve"> Pública del Estado de México y Municipios, se </w:t>
      </w:r>
      <w:r w:rsidRPr="00BC1F13">
        <w:rPr>
          <w:rFonts w:ascii="Palatino Linotype" w:hAnsi="Palatino Linotype" w:cs="Arial"/>
          <w:b/>
          <w:color w:val="000000" w:themeColor="text1"/>
        </w:rPr>
        <w:t>CONFIRMA</w:t>
      </w:r>
      <w:r w:rsidRPr="00BC1F13">
        <w:rPr>
          <w:rFonts w:ascii="Palatino Linotype" w:hAnsi="Palatino Linotype"/>
          <w:color w:val="000000" w:themeColor="text1"/>
        </w:rPr>
        <w:t xml:space="preserve"> la respuesta a las solicitud de información pública</w:t>
      </w:r>
      <w:r w:rsidRPr="00BC1F13">
        <w:rPr>
          <w:rFonts w:ascii="Palatino Linotype" w:hAnsi="Palatino Linotype"/>
          <w:b/>
          <w:bCs/>
          <w:color w:val="000000" w:themeColor="text1"/>
        </w:rPr>
        <w:t xml:space="preserve"> </w:t>
      </w:r>
      <w:r w:rsidRPr="00BC1F13">
        <w:rPr>
          <w:rFonts w:ascii="Palatino Linotype" w:hAnsi="Palatino Linotype" w:cs="Arial"/>
          <w:b/>
          <w:bCs/>
          <w:color w:val="000000" w:themeColor="text1"/>
        </w:rPr>
        <w:t>00009/TEPOTZOT/IP/2026</w:t>
      </w:r>
      <w:r w:rsidRPr="00BC1F13">
        <w:rPr>
          <w:rFonts w:ascii="Palatino Linotype" w:hAnsi="Palatino Linotype" w:cs="Arial"/>
          <w:b/>
          <w:color w:val="000000" w:themeColor="text1"/>
        </w:rPr>
        <w:t>,</w:t>
      </w:r>
      <w:r w:rsidRPr="00BC1F13">
        <w:rPr>
          <w:rFonts w:ascii="Palatino Linotype" w:hAnsi="Palatino Linotype"/>
          <w:color w:val="000000" w:themeColor="text1"/>
        </w:rPr>
        <w:t xml:space="preserve"> que ha sido materia del presente fallo.</w:t>
      </w:r>
    </w:p>
    <w:p w:rsidR="003546D4" w:rsidRPr="00BC1F13" w:rsidRDefault="003546D4" w:rsidP="003546D4">
      <w:pPr>
        <w:spacing w:line="360" w:lineRule="auto"/>
        <w:contextualSpacing/>
        <w:jc w:val="both"/>
        <w:rPr>
          <w:rFonts w:ascii="Palatino Linotype" w:hAnsi="Palatino Linotype"/>
          <w:color w:val="000000" w:themeColor="text1"/>
          <w:sz w:val="24"/>
          <w:szCs w:val="24"/>
        </w:rPr>
      </w:pPr>
    </w:p>
    <w:p w:rsidR="003546D4" w:rsidRPr="00BC1F13" w:rsidRDefault="003546D4" w:rsidP="00BC1F13">
      <w:pPr>
        <w:numPr>
          <w:ilvl w:val="0"/>
          <w:numId w:val="1"/>
        </w:numPr>
        <w:spacing w:after="0" w:line="360" w:lineRule="auto"/>
        <w:ind w:left="0" w:firstLine="0"/>
        <w:contextualSpacing/>
        <w:jc w:val="both"/>
        <w:rPr>
          <w:rFonts w:ascii="Palatino Linotype" w:hAnsi="Palatino Linotype"/>
          <w:color w:val="000000" w:themeColor="text1"/>
          <w:sz w:val="24"/>
          <w:szCs w:val="24"/>
        </w:rPr>
      </w:pPr>
      <w:r w:rsidRPr="00BC1F13">
        <w:rPr>
          <w:rFonts w:ascii="Palatino Linotype" w:hAnsi="Palatino Linotype" w:cs="Arial"/>
          <w:color w:val="000000" w:themeColor="text1"/>
          <w:sz w:val="24"/>
          <w:szCs w:val="24"/>
        </w:rPr>
        <w:t xml:space="preserve">Por lo anteriormente expuesto y fundado, este </w:t>
      </w:r>
      <w:r w:rsidRPr="00BC1F13">
        <w:rPr>
          <w:rFonts w:ascii="Palatino Linotype" w:hAnsi="Palatino Linotype" w:cs="Arial"/>
          <w:b/>
          <w:bCs/>
          <w:color w:val="000000" w:themeColor="text1"/>
          <w:sz w:val="24"/>
          <w:szCs w:val="24"/>
        </w:rPr>
        <w:t>ÓRGANO GARANTE</w:t>
      </w:r>
      <w:r w:rsidRPr="00BC1F13">
        <w:rPr>
          <w:rFonts w:ascii="Palatino Linotype" w:hAnsi="Palatino Linotype" w:cs="Arial"/>
          <w:color w:val="000000" w:themeColor="text1"/>
          <w:sz w:val="24"/>
          <w:szCs w:val="24"/>
        </w:rPr>
        <w:t xml:space="preserve"> emite los siguientes:</w:t>
      </w:r>
    </w:p>
    <w:p w:rsidR="00A4441B" w:rsidRPr="00BC1F13" w:rsidRDefault="00A4441B" w:rsidP="003546D4">
      <w:pPr>
        <w:pBdr>
          <w:top w:val="nil"/>
          <w:left w:val="nil"/>
          <w:bottom w:val="nil"/>
          <w:right w:val="nil"/>
          <w:between w:val="nil"/>
        </w:pBdr>
        <w:tabs>
          <w:tab w:val="left" w:pos="426"/>
        </w:tabs>
        <w:spacing w:line="360" w:lineRule="auto"/>
        <w:rPr>
          <w:rFonts w:ascii="Palatino Linotype" w:eastAsia="Palatino Linotype" w:hAnsi="Palatino Linotype" w:cs="Palatino Linotype"/>
          <w:b/>
          <w:color w:val="000000"/>
          <w:sz w:val="24"/>
          <w:szCs w:val="24"/>
        </w:rPr>
      </w:pPr>
    </w:p>
    <w:p w:rsidR="00A4441B" w:rsidRPr="00BC1F13" w:rsidRDefault="00A4441B" w:rsidP="00A4441B">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r w:rsidRPr="00BC1F13">
        <w:rPr>
          <w:rFonts w:ascii="Palatino Linotype" w:eastAsia="Palatino Linotype" w:hAnsi="Palatino Linotype" w:cs="Palatino Linotype"/>
          <w:b/>
          <w:color w:val="000000"/>
          <w:sz w:val="24"/>
          <w:szCs w:val="24"/>
        </w:rPr>
        <w:t>R E S O L U T I V O S</w:t>
      </w:r>
    </w:p>
    <w:p w:rsidR="00A4441B" w:rsidRPr="00BC1F13" w:rsidRDefault="00A4441B" w:rsidP="00A4441B">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p>
    <w:p w:rsidR="003546D4" w:rsidRPr="00BC1F13" w:rsidRDefault="003546D4" w:rsidP="003546D4">
      <w:pPr>
        <w:tabs>
          <w:tab w:val="left" w:pos="8080"/>
        </w:tabs>
        <w:spacing w:line="360" w:lineRule="auto"/>
        <w:ind w:right="49"/>
        <w:jc w:val="both"/>
        <w:rPr>
          <w:rFonts w:ascii="Palatino Linotype" w:hAnsi="Palatino Linotype" w:cs="Arial"/>
          <w:bCs/>
          <w:sz w:val="24"/>
          <w:szCs w:val="24"/>
        </w:rPr>
      </w:pPr>
      <w:bookmarkStart w:id="152" w:name="_heading=h.2s8eyo1" w:colFirst="0" w:colLast="0"/>
      <w:bookmarkStart w:id="153" w:name="_Toc503891610"/>
      <w:bookmarkStart w:id="154" w:name="_Toc453696503"/>
      <w:bookmarkStart w:id="155" w:name="_Toc454301156"/>
      <w:bookmarkStart w:id="156" w:name="_Toc462653938"/>
      <w:bookmarkStart w:id="157" w:name="_Toc477891769"/>
      <w:bookmarkStart w:id="158" w:name="_Toc477891859"/>
      <w:bookmarkStart w:id="159" w:name="_Toc481576260"/>
      <w:bookmarkStart w:id="160" w:name="_Toc492590392"/>
      <w:bookmarkStart w:id="161" w:name="_Toc511647758"/>
      <w:bookmarkStart w:id="162" w:name="_Toc511647819"/>
      <w:bookmarkEnd w:id="152"/>
      <w:r w:rsidRPr="00BC1F13">
        <w:rPr>
          <w:rFonts w:ascii="Palatino Linotype" w:hAnsi="Palatino Linotype" w:cs="Arial"/>
          <w:b/>
          <w:bCs/>
          <w:sz w:val="24"/>
          <w:szCs w:val="24"/>
        </w:rPr>
        <w:t>PRIMERO</w:t>
      </w:r>
      <w:r w:rsidRPr="00BC1F13">
        <w:rPr>
          <w:rFonts w:ascii="Palatino Linotype" w:hAnsi="Palatino Linotype" w:cs="Arial"/>
          <w:sz w:val="24"/>
          <w:szCs w:val="24"/>
        </w:rPr>
        <w:t xml:space="preserve">. Resultan infundadas las </w:t>
      </w:r>
      <w:r w:rsidRPr="00BC1F13">
        <w:rPr>
          <w:rFonts w:ascii="Palatino Linotype" w:hAnsi="Palatino Linotype" w:cs="Arial"/>
          <w:sz w:val="24"/>
          <w:szCs w:val="24"/>
          <w:lang w:val="es-ES"/>
        </w:rPr>
        <w:t xml:space="preserve">razones o motivos de inconformidad hechos valer en el recurso de revisión </w:t>
      </w:r>
      <w:r w:rsidRPr="00BC1F13">
        <w:rPr>
          <w:rFonts w:ascii="Palatino Linotype" w:hAnsi="Palatino Linotype" w:cs="Arial"/>
          <w:b/>
          <w:bCs/>
          <w:sz w:val="24"/>
          <w:szCs w:val="24"/>
        </w:rPr>
        <w:t>00713/INFOEM/IP/RR/2026</w:t>
      </w:r>
      <w:r w:rsidRPr="00BC1F13">
        <w:rPr>
          <w:rFonts w:ascii="Palatino Linotype" w:hAnsi="Palatino Linotype" w:cs="Arial"/>
          <w:bCs/>
          <w:sz w:val="24"/>
          <w:szCs w:val="24"/>
        </w:rPr>
        <w:t xml:space="preserve">, en términos del Considerando </w:t>
      </w:r>
      <w:r w:rsidRPr="00BC1F13">
        <w:rPr>
          <w:rFonts w:ascii="Palatino Linotype" w:hAnsi="Palatino Linotype" w:cs="Arial"/>
          <w:b/>
          <w:bCs/>
          <w:sz w:val="24"/>
          <w:szCs w:val="24"/>
        </w:rPr>
        <w:t>CUARTO</w:t>
      </w:r>
      <w:r w:rsidRPr="00BC1F13">
        <w:rPr>
          <w:rFonts w:ascii="Palatino Linotype" w:hAnsi="Palatino Linotype" w:cs="Arial"/>
          <w:bCs/>
          <w:sz w:val="24"/>
          <w:szCs w:val="24"/>
        </w:rPr>
        <w:t xml:space="preserve"> de la presente resolución.</w:t>
      </w:r>
    </w:p>
    <w:p w:rsidR="003546D4" w:rsidRPr="00BC1F13" w:rsidRDefault="003546D4" w:rsidP="003546D4">
      <w:pPr>
        <w:tabs>
          <w:tab w:val="left" w:pos="8080"/>
        </w:tabs>
        <w:spacing w:line="360" w:lineRule="auto"/>
        <w:ind w:right="49"/>
        <w:jc w:val="both"/>
        <w:rPr>
          <w:rFonts w:ascii="Palatino Linotype" w:hAnsi="Palatino Linotype" w:cs="Arial"/>
          <w:bCs/>
          <w:sz w:val="24"/>
          <w:szCs w:val="24"/>
        </w:rPr>
      </w:pPr>
    </w:p>
    <w:p w:rsidR="003546D4" w:rsidRPr="00BC1F13" w:rsidRDefault="003546D4" w:rsidP="003546D4">
      <w:pPr>
        <w:tabs>
          <w:tab w:val="left" w:pos="8080"/>
        </w:tabs>
        <w:spacing w:line="360" w:lineRule="auto"/>
        <w:ind w:right="49"/>
        <w:jc w:val="both"/>
        <w:rPr>
          <w:rFonts w:ascii="Palatino Linotype" w:hAnsi="Palatino Linotype" w:cs="Arial"/>
          <w:b/>
          <w:bCs/>
          <w:sz w:val="24"/>
          <w:szCs w:val="24"/>
        </w:rPr>
      </w:pPr>
      <w:r w:rsidRPr="00BC1F13">
        <w:rPr>
          <w:rFonts w:ascii="Palatino Linotype" w:hAnsi="Palatino Linotype" w:cs="Arial"/>
          <w:b/>
          <w:sz w:val="24"/>
          <w:szCs w:val="24"/>
        </w:rPr>
        <w:lastRenderedPageBreak/>
        <w:t>SEGUNDO</w:t>
      </w:r>
      <w:r w:rsidRPr="00BC1F13">
        <w:rPr>
          <w:rFonts w:ascii="Palatino Linotype" w:hAnsi="Palatino Linotype" w:cs="Arial"/>
          <w:sz w:val="24"/>
          <w:szCs w:val="24"/>
        </w:rPr>
        <w:t xml:space="preserve">. </w:t>
      </w:r>
      <w:r w:rsidRPr="00BC1F13">
        <w:rPr>
          <w:rFonts w:ascii="Palatino Linotype" w:hAnsi="Palatino Linotype" w:cs="Arial"/>
          <w:sz w:val="24"/>
          <w:szCs w:val="24"/>
          <w:lang w:val="es-ES"/>
        </w:rPr>
        <w:t xml:space="preserve">Se </w:t>
      </w:r>
      <w:r w:rsidRPr="00BC1F13">
        <w:rPr>
          <w:rFonts w:ascii="Palatino Linotype" w:hAnsi="Palatino Linotype" w:cs="Arial"/>
          <w:b/>
          <w:sz w:val="24"/>
          <w:szCs w:val="24"/>
          <w:lang w:val="es-ES"/>
        </w:rPr>
        <w:t>CONFIRMA</w:t>
      </w:r>
      <w:r w:rsidRPr="00BC1F13">
        <w:rPr>
          <w:rFonts w:ascii="Palatino Linotype" w:hAnsi="Palatino Linotype" w:cs="Arial"/>
          <w:sz w:val="24"/>
          <w:szCs w:val="24"/>
          <w:lang w:val="es-ES"/>
        </w:rPr>
        <w:t xml:space="preserve"> la respuesta emitida por el </w:t>
      </w:r>
      <w:r w:rsidRPr="00BC1F13">
        <w:rPr>
          <w:rFonts w:ascii="Palatino Linotype" w:hAnsi="Palatino Linotype" w:cs="Arial"/>
          <w:b/>
          <w:bCs/>
          <w:sz w:val="24"/>
          <w:szCs w:val="24"/>
        </w:rPr>
        <w:t>Ayuntamiento de Tepotzotlán</w:t>
      </w:r>
      <w:r w:rsidRPr="00BC1F13">
        <w:rPr>
          <w:rFonts w:ascii="Palatino Linotype" w:hAnsi="Palatino Linotype" w:cs="Arial"/>
          <w:b/>
          <w:sz w:val="24"/>
          <w:szCs w:val="24"/>
          <w:lang w:val="es-ES"/>
        </w:rPr>
        <w:t xml:space="preserve">, </w:t>
      </w:r>
      <w:r w:rsidRPr="00BC1F13">
        <w:rPr>
          <w:rFonts w:ascii="Palatino Linotype" w:hAnsi="Palatino Linotype" w:cs="Arial"/>
          <w:sz w:val="24"/>
          <w:szCs w:val="24"/>
          <w:lang w:val="es-ES"/>
        </w:rPr>
        <w:t xml:space="preserve">en la solicitud de información </w:t>
      </w:r>
      <w:r w:rsidRPr="00BC1F13">
        <w:rPr>
          <w:rFonts w:ascii="Palatino Linotype" w:hAnsi="Palatino Linotype" w:cs="Arial"/>
          <w:b/>
          <w:bCs/>
          <w:sz w:val="24"/>
          <w:szCs w:val="24"/>
        </w:rPr>
        <w:t>00009/TEPOTZOT/IP/2026.</w:t>
      </w:r>
    </w:p>
    <w:p w:rsidR="003546D4" w:rsidRPr="00BC1F13" w:rsidRDefault="003546D4" w:rsidP="003546D4">
      <w:pPr>
        <w:tabs>
          <w:tab w:val="left" w:pos="8080"/>
        </w:tabs>
        <w:spacing w:line="360" w:lineRule="auto"/>
        <w:ind w:right="49"/>
        <w:jc w:val="both"/>
        <w:rPr>
          <w:rFonts w:ascii="Palatino Linotype" w:hAnsi="Palatino Linotype" w:cs="Arial"/>
          <w:b/>
          <w:bCs/>
          <w:sz w:val="24"/>
          <w:szCs w:val="24"/>
        </w:rPr>
      </w:pPr>
    </w:p>
    <w:p w:rsidR="003546D4" w:rsidRPr="00BC1F13" w:rsidRDefault="003546D4" w:rsidP="003546D4">
      <w:pPr>
        <w:shd w:val="clear" w:color="auto" w:fill="FFFFFF"/>
        <w:spacing w:line="360" w:lineRule="auto"/>
        <w:jc w:val="both"/>
        <w:rPr>
          <w:rFonts w:ascii="Palatino Linotype" w:hAnsi="Palatino Linotype"/>
          <w:sz w:val="24"/>
          <w:szCs w:val="24"/>
        </w:rPr>
      </w:pPr>
      <w:bookmarkStart w:id="163" w:name="_Toc461648590"/>
      <w:bookmarkStart w:id="164" w:name="_Toc461648682"/>
      <w:bookmarkStart w:id="165" w:name="_Toc462228049"/>
      <w:bookmarkStart w:id="166" w:name="_Toc462228129"/>
      <w:bookmarkStart w:id="167" w:name="_Toc496099789"/>
      <w:bookmarkStart w:id="168" w:name="_Toc496100166"/>
      <w:bookmarkStart w:id="169" w:name="_Toc499756977"/>
      <w:bookmarkStart w:id="170" w:name="_Toc499757020"/>
      <w:bookmarkStart w:id="171" w:name="_Toc504377974"/>
      <w:bookmarkEnd w:id="153"/>
      <w:bookmarkEnd w:id="154"/>
      <w:bookmarkEnd w:id="155"/>
      <w:bookmarkEnd w:id="156"/>
      <w:bookmarkEnd w:id="157"/>
      <w:bookmarkEnd w:id="158"/>
      <w:bookmarkEnd w:id="159"/>
      <w:bookmarkEnd w:id="160"/>
      <w:bookmarkEnd w:id="161"/>
      <w:bookmarkEnd w:id="162"/>
      <w:r w:rsidRPr="00BC1F13">
        <w:rPr>
          <w:rFonts w:ascii="Palatino Linotype" w:hAnsi="Palatino Linotype"/>
          <w:b/>
          <w:sz w:val="24"/>
          <w:szCs w:val="24"/>
        </w:rPr>
        <w:t>TERCERO.</w:t>
      </w:r>
      <w:bookmarkEnd w:id="163"/>
      <w:bookmarkEnd w:id="164"/>
      <w:bookmarkEnd w:id="165"/>
      <w:bookmarkEnd w:id="166"/>
      <w:bookmarkEnd w:id="167"/>
      <w:bookmarkEnd w:id="168"/>
      <w:bookmarkEnd w:id="169"/>
      <w:bookmarkEnd w:id="170"/>
      <w:bookmarkEnd w:id="171"/>
      <w:r w:rsidRPr="00BC1F13">
        <w:rPr>
          <w:rFonts w:ascii="Palatino Linotype" w:hAnsi="Palatino Linotype"/>
          <w:sz w:val="24"/>
          <w:szCs w:val="24"/>
        </w:rPr>
        <w:t xml:space="preserve"> Notifíquese al Titular de la Unidad de Transparencia del</w:t>
      </w:r>
      <w:r w:rsidRPr="00BC1F13">
        <w:rPr>
          <w:rFonts w:ascii="Palatino Linotype" w:hAnsi="Palatino Linotype"/>
          <w:b/>
          <w:sz w:val="24"/>
          <w:szCs w:val="24"/>
        </w:rPr>
        <w:t xml:space="preserve"> SUJETO OBLIGADO</w:t>
      </w:r>
      <w:r w:rsidRPr="00BC1F13">
        <w:rPr>
          <w:rFonts w:ascii="Palatino Linotype" w:hAnsi="Palatino Linotype"/>
          <w:sz w:val="24"/>
          <w:szCs w:val="24"/>
        </w:rPr>
        <w:t xml:space="preserve"> vía SAIMEX, para su conocimiento.</w:t>
      </w:r>
    </w:p>
    <w:p w:rsidR="003546D4" w:rsidRPr="00BC1F13" w:rsidRDefault="003546D4" w:rsidP="003546D4">
      <w:pPr>
        <w:shd w:val="clear" w:color="auto" w:fill="FFFFFF"/>
        <w:spacing w:line="360" w:lineRule="auto"/>
        <w:jc w:val="both"/>
        <w:rPr>
          <w:rFonts w:ascii="Palatino Linotype" w:hAnsi="Palatino Linotype"/>
          <w:sz w:val="24"/>
          <w:szCs w:val="24"/>
        </w:rPr>
      </w:pPr>
    </w:p>
    <w:p w:rsidR="003546D4" w:rsidRPr="00BC1F13" w:rsidRDefault="003546D4" w:rsidP="003546D4">
      <w:pPr>
        <w:shd w:val="clear" w:color="auto" w:fill="FFFFFF"/>
        <w:spacing w:line="360" w:lineRule="auto"/>
        <w:jc w:val="both"/>
        <w:rPr>
          <w:rFonts w:ascii="Palatino Linotype" w:hAnsi="Palatino Linotype"/>
          <w:sz w:val="24"/>
          <w:szCs w:val="24"/>
        </w:rPr>
      </w:pPr>
      <w:r w:rsidRPr="00BC1F13">
        <w:rPr>
          <w:rFonts w:ascii="Palatino Linotype" w:hAnsi="Palatino Linotype"/>
          <w:b/>
          <w:sz w:val="24"/>
          <w:szCs w:val="24"/>
        </w:rPr>
        <w:t>CUARTO.</w:t>
      </w:r>
      <w:r w:rsidRPr="00BC1F13">
        <w:rPr>
          <w:rFonts w:ascii="Palatino Linotype" w:hAnsi="Palatino Linotype"/>
          <w:sz w:val="24"/>
          <w:szCs w:val="24"/>
        </w:rPr>
        <w:t xml:space="preserve"> Notifíquese a </w:t>
      </w:r>
      <w:r w:rsidR="00F03B62" w:rsidRPr="00BC1F13">
        <w:rPr>
          <w:rFonts w:ascii="Palatino Linotype" w:hAnsi="Palatino Linotype"/>
          <w:b/>
          <w:sz w:val="24"/>
          <w:szCs w:val="24"/>
        </w:rPr>
        <w:t>LA</w:t>
      </w:r>
      <w:r w:rsidRPr="00BC1F13">
        <w:rPr>
          <w:rFonts w:ascii="Palatino Linotype" w:hAnsi="Palatino Linotype"/>
          <w:b/>
          <w:sz w:val="24"/>
          <w:szCs w:val="24"/>
        </w:rPr>
        <w:t xml:space="preserve"> RECURRENTE</w:t>
      </w:r>
      <w:r w:rsidRPr="00BC1F13">
        <w:rPr>
          <w:rFonts w:ascii="Palatino Linotype" w:hAnsi="Palatino Linotype"/>
          <w:sz w:val="24"/>
          <w:szCs w:val="24"/>
        </w:rPr>
        <w:t xml:space="preserve"> la presente resolución vía SAIMEX.</w:t>
      </w:r>
    </w:p>
    <w:p w:rsidR="003546D4" w:rsidRPr="00BC1F13" w:rsidRDefault="003546D4" w:rsidP="003546D4">
      <w:pPr>
        <w:shd w:val="clear" w:color="auto" w:fill="FFFFFF"/>
        <w:spacing w:line="360" w:lineRule="auto"/>
        <w:jc w:val="both"/>
        <w:rPr>
          <w:rFonts w:ascii="Palatino Linotype" w:hAnsi="Palatino Linotype"/>
          <w:sz w:val="24"/>
          <w:szCs w:val="24"/>
        </w:rPr>
      </w:pPr>
    </w:p>
    <w:p w:rsidR="003546D4" w:rsidRPr="00BC1F13" w:rsidRDefault="003546D4" w:rsidP="003546D4">
      <w:pPr>
        <w:shd w:val="clear" w:color="auto" w:fill="FFFFFF"/>
        <w:spacing w:line="360" w:lineRule="auto"/>
        <w:jc w:val="both"/>
        <w:rPr>
          <w:rFonts w:ascii="Palatino Linotype" w:hAnsi="Palatino Linotype"/>
          <w:sz w:val="24"/>
          <w:szCs w:val="24"/>
        </w:rPr>
      </w:pPr>
      <w:r w:rsidRPr="00BC1F13">
        <w:rPr>
          <w:rFonts w:ascii="Palatino Linotype" w:hAnsi="Palatino Linotype"/>
          <w:b/>
          <w:sz w:val="24"/>
          <w:szCs w:val="24"/>
        </w:rPr>
        <w:t>QUINTO.</w:t>
      </w:r>
      <w:r w:rsidRPr="00BC1F13">
        <w:rPr>
          <w:rFonts w:ascii="Palatino Linotype" w:hAnsi="Palatino Linotype"/>
          <w:sz w:val="24"/>
          <w:szCs w:val="24"/>
        </w:rPr>
        <w:t xml:space="preserve"> Se hace del conocimiento de </w:t>
      </w:r>
      <w:r w:rsidR="00F03B62" w:rsidRPr="00BC1F13">
        <w:rPr>
          <w:rFonts w:ascii="Palatino Linotype" w:hAnsi="Palatino Linotype"/>
          <w:b/>
          <w:sz w:val="24"/>
          <w:szCs w:val="24"/>
        </w:rPr>
        <w:t>LA</w:t>
      </w:r>
      <w:r w:rsidRPr="00BC1F13">
        <w:rPr>
          <w:rFonts w:ascii="Palatino Linotype" w:hAnsi="Palatino Linotype"/>
          <w:b/>
          <w:sz w:val="24"/>
          <w:szCs w:val="24"/>
        </w:rPr>
        <w:t xml:space="preserve"> RECURRENTE</w:t>
      </w:r>
      <w:r w:rsidRPr="00BC1F13">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BC1F13">
        <w:rPr>
          <w:rFonts w:ascii="Palatino Linotype" w:hAnsi="Palatino Linotype"/>
          <w:bCs/>
          <w:sz w:val="24"/>
          <w:szCs w:val="24"/>
        </w:rPr>
        <w:t>vía juicio de amparo</w:t>
      </w:r>
      <w:r w:rsidRPr="00BC1F13">
        <w:rPr>
          <w:rFonts w:ascii="Palatino Linotype" w:hAnsi="Palatino Linotype"/>
          <w:sz w:val="24"/>
          <w:szCs w:val="24"/>
        </w:rPr>
        <w:t> en los términos de las leyes aplicables.</w:t>
      </w:r>
    </w:p>
    <w:p w:rsidR="003546D4" w:rsidRPr="00BC1F13" w:rsidRDefault="003546D4" w:rsidP="003546D4">
      <w:pPr>
        <w:shd w:val="clear" w:color="auto" w:fill="FFFFFF"/>
        <w:spacing w:line="360" w:lineRule="auto"/>
        <w:jc w:val="both"/>
        <w:rPr>
          <w:rFonts w:ascii="Palatino Linotype" w:hAnsi="Palatino Linotype"/>
          <w:sz w:val="24"/>
          <w:szCs w:val="24"/>
          <w:lang w:val="es-ES"/>
        </w:rPr>
      </w:pPr>
    </w:p>
    <w:p w:rsidR="00F03B62" w:rsidRPr="00111943" w:rsidRDefault="00F03B62" w:rsidP="00F03B62">
      <w:pPr>
        <w:spacing w:before="240" w:after="240" w:line="360" w:lineRule="auto"/>
        <w:ind w:firstLine="1"/>
        <w:jc w:val="both"/>
        <w:rPr>
          <w:rFonts w:ascii="Palatino Linotype" w:hAnsi="Palatino Linotype"/>
          <w:sz w:val="24"/>
          <w:szCs w:val="24"/>
        </w:rPr>
      </w:pPr>
      <w:bookmarkStart w:id="172" w:name="_Hlk99014733"/>
      <w:r w:rsidRPr="0011194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w:t>
      </w:r>
      <w:r w:rsidRPr="00111943">
        <w:rPr>
          <w:rFonts w:ascii="Palatino Linotype" w:hAnsi="Palatino Linotype" w:cs="Palatino Linotype"/>
          <w:sz w:val="24"/>
          <w:szCs w:val="24"/>
        </w:rPr>
        <w:lastRenderedPageBreak/>
        <w:t xml:space="preserve">ORDINARIA, CELEBRADA EL VEINTIDÓS (22) DE ABRIL DE DOS MIL VEINTISÉIS, ANTE EL SECRETARIO TÉCNICO DEL PLENO </w:t>
      </w:r>
      <w:r w:rsidRPr="00111943">
        <w:rPr>
          <w:rFonts w:ascii="Palatino Linotype" w:hAnsi="Palatino Linotype" w:cs="Palatino Linotype"/>
          <w:color w:val="000000" w:themeColor="text1"/>
          <w:sz w:val="24"/>
          <w:szCs w:val="24"/>
        </w:rPr>
        <w:t>ALEXIS TAPIA RAMÍREZ.</w:t>
      </w:r>
    </w:p>
    <w:bookmarkEnd w:id="172"/>
    <w:p w:rsidR="00A4441B" w:rsidRPr="00111943" w:rsidRDefault="00A4441B" w:rsidP="00A4441B">
      <w:pPr>
        <w:pStyle w:val="Prrafodelista"/>
        <w:rPr>
          <w:rFonts w:ascii="Palatino Linotype" w:hAnsi="Palatino Linotype"/>
          <w:color w:val="000000" w:themeColor="text1"/>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jc w:val="both"/>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r w:rsidRPr="00111943">
        <w:rPr>
          <w:rFonts w:ascii="Palatino Linotype" w:hAnsi="Palatino Linotype"/>
          <w:sz w:val="24"/>
          <w:szCs w:val="24"/>
        </w:rPr>
        <w:tab/>
      </w: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tabs>
          <w:tab w:val="left" w:pos="3374"/>
        </w:tabs>
        <w:spacing w:line="360" w:lineRule="auto"/>
        <w:rPr>
          <w:rFonts w:ascii="Palatino Linotype" w:hAnsi="Palatino Linotype"/>
          <w:sz w:val="24"/>
          <w:szCs w:val="24"/>
        </w:rPr>
      </w:pPr>
    </w:p>
    <w:p w:rsidR="00A4441B" w:rsidRPr="00111943" w:rsidRDefault="00A4441B" w:rsidP="00A4441B">
      <w:pPr>
        <w:rPr>
          <w:rFonts w:ascii="Palatino Linotype" w:hAnsi="Palatino Linotype"/>
          <w:sz w:val="24"/>
          <w:szCs w:val="24"/>
        </w:rPr>
      </w:pPr>
    </w:p>
    <w:p w:rsidR="00B130FE" w:rsidRPr="00111943" w:rsidRDefault="00B130FE">
      <w:pPr>
        <w:rPr>
          <w:sz w:val="24"/>
          <w:szCs w:val="24"/>
        </w:rPr>
      </w:pPr>
    </w:p>
    <w:sectPr w:rsidR="00B130FE" w:rsidRPr="00111943" w:rsidSect="00111943">
      <w:headerReference w:type="even" r:id="rId10"/>
      <w:headerReference w:type="default" r:id="rId11"/>
      <w:footerReference w:type="default" r:id="rId12"/>
      <w:headerReference w:type="first" r:id="rId13"/>
      <w:footerReference w:type="first" r:id="rId14"/>
      <w:pgSz w:w="12240" w:h="15840"/>
      <w:pgMar w:top="2268" w:right="900"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A27" w:rsidRDefault="000B3A27" w:rsidP="00A4441B">
      <w:pPr>
        <w:spacing w:after="0" w:line="240" w:lineRule="auto"/>
      </w:pPr>
      <w:r>
        <w:separator/>
      </w:r>
    </w:p>
  </w:endnote>
  <w:endnote w:type="continuationSeparator" w:id="0">
    <w:p w:rsidR="000B3A27" w:rsidRDefault="000B3A27" w:rsidP="00A4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1892996520"/>
      <w:docPartObj>
        <w:docPartGallery w:val="Page Numbers (Bottom of Page)"/>
        <w:docPartUnique/>
      </w:docPartObj>
    </w:sdtPr>
    <w:sdtEndPr/>
    <w:sdtContent>
      <w:sdt>
        <w:sdtPr>
          <w:rPr>
            <w:sz w:val="28"/>
          </w:rPr>
          <w:id w:val="-318495768"/>
          <w:docPartObj>
            <w:docPartGallery w:val="Page Numbers (Top of Page)"/>
            <w:docPartUnique/>
          </w:docPartObj>
        </w:sdtPr>
        <w:sdtEndPr/>
        <w:sdtContent>
          <w:p w:rsidR="00100C71" w:rsidRPr="00111943" w:rsidRDefault="00100C71" w:rsidP="00100C71">
            <w:pPr>
              <w:pStyle w:val="Piedepgina"/>
              <w:jc w:val="right"/>
              <w:rPr>
                <w:rFonts w:ascii="Palatino Linotype" w:hAnsi="Palatino Linotype"/>
                <w:sz w:val="22"/>
              </w:rPr>
            </w:pPr>
            <w:r w:rsidRPr="00111943">
              <w:rPr>
                <w:rFonts w:ascii="Palatino Linotype" w:hAnsi="Palatino Linotype"/>
                <w:sz w:val="22"/>
              </w:rPr>
              <w:t xml:space="preserve">Página </w:t>
            </w:r>
            <w:r w:rsidRPr="00111943">
              <w:rPr>
                <w:rFonts w:ascii="Palatino Linotype" w:hAnsi="Palatino Linotype"/>
                <w:bCs/>
                <w:sz w:val="22"/>
              </w:rPr>
              <w:fldChar w:fldCharType="begin"/>
            </w:r>
            <w:r w:rsidRPr="00111943">
              <w:rPr>
                <w:rFonts w:ascii="Palatino Linotype" w:hAnsi="Palatino Linotype"/>
                <w:bCs/>
                <w:sz w:val="22"/>
              </w:rPr>
              <w:instrText>PAGE  \* Arabic  \* MERGEFORMAT</w:instrText>
            </w:r>
            <w:r w:rsidRPr="00111943">
              <w:rPr>
                <w:rFonts w:ascii="Palatino Linotype" w:hAnsi="Palatino Linotype"/>
                <w:bCs/>
                <w:sz w:val="22"/>
              </w:rPr>
              <w:fldChar w:fldCharType="separate"/>
            </w:r>
            <w:r w:rsidR="00C27709">
              <w:rPr>
                <w:rFonts w:ascii="Palatino Linotype" w:hAnsi="Palatino Linotype"/>
                <w:bCs/>
                <w:noProof/>
                <w:sz w:val="22"/>
              </w:rPr>
              <w:t>14</w:t>
            </w:r>
            <w:r w:rsidRPr="00111943">
              <w:rPr>
                <w:rFonts w:ascii="Palatino Linotype" w:hAnsi="Palatino Linotype"/>
                <w:bCs/>
                <w:sz w:val="22"/>
              </w:rPr>
              <w:fldChar w:fldCharType="end"/>
            </w:r>
            <w:r w:rsidRPr="00111943">
              <w:rPr>
                <w:rFonts w:ascii="Palatino Linotype" w:hAnsi="Palatino Linotype"/>
                <w:sz w:val="22"/>
              </w:rPr>
              <w:t xml:space="preserve"> de </w:t>
            </w:r>
            <w:r w:rsidRPr="00111943">
              <w:rPr>
                <w:rFonts w:ascii="Palatino Linotype" w:hAnsi="Palatino Linotype"/>
                <w:bCs/>
                <w:noProof/>
                <w:sz w:val="22"/>
              </w:rPr>
              <w:fldChar w:fldCharType="begin"/>
            </w:r>
            <w:r w:rsidRPr="00111943">
              <w:rPr>
                <w:rFonts w:ascii="Palatino Linotype" w:hAnsi="Palatino Linotype"/>
                <w:bCs/>
                <w:noProof/>
                <w:sz w:val="22"/>
              </w:rPr>
              <w:instrText>NUMPAGES  \* Arabic  \* MERGEFORMAT</w:instrText>
            </w:r>
            <w:r w:rsidRPr="00111943">
              <w:rPr>
                <w:rFonts w:ascii="Palatino Linotype" w:hAnsi="Palatino Linotype"/>
                <w:bCs/>
                <w:noProof/>
                <w:sz w:val="22"/>
              </w:rPr>
              <w:fldChar w:fldCharType="separate"/>
            </w:r>
            <w:r w:rsidR="00C27709">
              <w:rPr>
                <w:rFonts w:ascii="Palatino Linotype" w:hAnsi="Palatino Linotype"/>
                <w:bCs/>
                <w:noProof/>
                <w:sz w:val="22"/>
              </w:rPr>
              <w:t>14</w:t>
            </w:r>
            <w:r w:rsidRPr="00111943">
              <w:rPr>
                <w:rFonts w:ascii="Palatino Linotype" w:hAnsi="Palatino Linotype"/>
                <w:bCs/>
                <w:noProof/>
                <w:sz w:val="22"/>
              </w:rPr>
              <w:fldChar w:fldCharType="end"/>
            </w:r>
          </w:p>
        </w:sdtContent>
      </w:sdt>
    </w:sdtContent>
  </w:sdt>
  <w:p w:rsidR="00100C71" w:rsidRDefault="00100C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C71" w:rsidRPr="00111943" w:rsidRDefault="00100C71" w:rsidP="00100C71">
    <w:pPr>
      <w:pStyle w:val="Piedepgina"/>
      <w:jc w:val="right"/>
      <w:rPr>
        <w:rFonts w:ascii="Palatino Linotype" w:hAnsi="Palatino Linotype"/>
        <w:sz w:val="22"/>
      </w:rPr>
    </w:pPr>
    <w:r w:rsidRPr="00111943">
      <w:rPr>
        <w:rFonts w:ascii="Palatino Linotype" w:hAnsi="Palatino Linotype"/>
        <w:sz w:val="22"/>
      </w:rPr>
      <w:t xml:space="preserve">Página </w:t>
    </w:r>
    <w:r w:rsidRPr="00111943">
      <w:rPr>
        <w:rFonts w:ascii="Palatino Linotype" w:hAnsi="Palatino Linotype"/>
        <w:bCs/>
        <w:sz w:val="22"/>
      </w:rPr>
      <w:fldChar w:fldCharType="begin"/>
    </w:r>
    <w:r w:rsidRPr="00111943">
      <w:rPr>
        <w:rFonts w:ascii="Palatino Linotype" w:hAnsi="Palatino Linotype"/>
        <w:bCs/>
        <w:sz w:val="22"/>
      </w:rPr>
      <w:instrText>PAGE  \* Arabic  \* MERGEFORMAT</w:instrText>
    </w:r>
    <w:r w:rsidRPr="00111943">
      <w:rPr>
        <w:rFonts w:ascii="Palatino Linotype" w:hAnsi="Palatino Linotype"/>
        <w:bCs/>
        <w:sz w:val="22"/>
      </w:rPr>
      <w:fldChar w:fldCharType="separate"/>
    </w:r>
    <w:r w:rsidR="00C27709">
      <w:rPr>
        <w:rFonts w:ascii="Palatino Linotype" w:hAnsi="Palatino Linotype"/>
        <w:bCs/>
        <w:noProof/>
        <w:sz w:val="22"/>
      </w:rPr>
      <w:t>1</w:t>
    </w:r>
    <w:r w:rsidRPr="00111943">
      <w:rPr>
        <w:rFonts w:ascii="Palatino Linotype" w:hAnsi="Palatino Linotype"/>
        <w:bCs/>
        <w:sz w:val="22"/>
      </w:rPr>
      <w:fldChar w:fldCharType="end"/>
    </w:r>
    <w:r w:rsidRPr="00111943">
      <w:rPr>
        <w:rFonts w:ascii="Palatino Linotype" w:hAnsi="Palatino Linotype"/>
        <w:sz w:val="22"/>
      </w:rPr>
      <w:t xml:space="preserve"> de </w:t>
    </w:r>
    <w:r w:rsidRPr="00111943">
      <w:rPr>
        <w:rFonts w:ascii="Palatino Linotype" w:hAnsi="Palatino Linotype"/>
        <w:bCs/>
        <w:noProof/>
        <w:sz w:val="22"/>
      </w:rPr>
      <w:fldChar w:fldCharType="begin"/>
    </w:r>
    <w:r w:rsidRPr="00111943">
      <w:rPr>
        <w:rFonts w:ascii="Palatino Linotype" w:hAnsi="Palatino Linotype"/>
        <w:bCs/>
        <w:noProof/>
        <w:sz w:val="22"/>
      </w:rPr>
      <w:instrText>NUMPAGES  \* Arabic  \* MERGEFORMAT</w:instrText>
    </w:r>
    <w:r w:rsidRPr="00111943">
      <w:rPr>
        <w:rFonts w:ascii="Palatino Linotype" w:hAnsi="Palatino Linotype"/>
        <w:bCs/>
        <w:noProof/>
        <w:sz w:val="22"/>
      </w:rPr>
      <w:fldChar w:fldCharType="separate"/>
    </w:r>
    <w:r w:rsidR="00C27709">
      <w:rPr>
        <w:rFonts w:ascii="Palatino Linotype" w:hAnsi="Palatino Linotype"/>
        <w:bCs/>
        <w:noProof/>
        <w:sz w:val="22"/>
      </w:rPr>
      <w:t>14</w:t>
    </w:r>
    <w:r w:rsidRPr="00111943">
      <w:rPr>
        <w:rFonts w:ascii="Palatino Linotype" w:hAnsi="Palatino Linotype"/>
        <w:bCs/>
        <w:noProof/>
        <w:sz w:val="22"/>
      </w:rPr>
      <w:fldChar w:fldCharType="end"/>
    </w:r>
  </w:p>
  <w:p w:rsidR="00100C71" w:rsidRDefault="00100C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A27" w:rsidRDefault="000B3A27" w:rsidP="00A4441B">
      <w:pPr>
        <w:spacing w:after="0" w:line="240" w:lineRule="auto"/>
      </w:pPr>
      <w:r>
        <w:separator/>
      </w:r>
    </w:p>
  </w:footnote>
  <w:footnote w:type="continuationSeparator" w:id="0">
    <w:p w:rsidR="000B3A27" w:rsidRDefault="000B3A27" w:rsidP="00A44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C71" w:rsidRDefault="000B3A27">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119" w:type="dxa"/>
      <w:tblCellMar>
        <w:left w:w="70" w:type="dxa"/>
        <w:right w:w="70" w:type="dxa"/>
      </w:tblCellMar>
      <w:tblLook w:val="04A0" w:firstRow="1" w:lastRow="0" w:firstColumn="1" w:lastColumn="0" w:noHBand="0" w:noVBand="1"/>
    </w:tblPr>
    <w:tblGrid>
      <w:gridCol w:w="2976"/>
      <w:gridCol w:w="3543"/>
    </w:tblGrid>
    <w:tr w:rsidR="00100C71" w:rsidTr="00111943">
      <w:trPr>
        <w:trHeight w:val="227"/>
      </w:trPr>
      <w:tc>
        <w:tcPr>
          <w:tcW w:w="2976" w:type="dxa"/>
          <w:vAlign w:val="center"/>
          <w:hideMark/>
        </w:tcPr>
        <w:p w:rsidR="00100C71" w:rsidRPr="00111943" w:rsidRDefault="00100C71" w:rsidP="00100C71">
          <w:pPr>
            <w:spacing w:after="0"/>
            <w:ind w:right="34"/>
            <w:jc w:val="right"/>
            <w:rPr>
              <w:rFonts w:ascii="Palatino Linotype" w:hAnsi="Palatino Linotype"/>
              <w:b/>
              <w:sz w:val="24"/>
            </w:rPr>
          </w:pPr>
          <w:r w:rsidRPr="00111943">
            <w:rPr>
              <w:rFonts w:ascii="Palatino Linotype" w:hAnsi="Palatino Linotype"/>
              <w:b/>
              <w:sz w:val="24"/>
            </w:rPr>
            <w:t>Recurso de Revisión:</w:t>
          </w:r>
        </w:p>
      </w:tc>
      <w:tc>
        <w:tcPr>
          <w:tcW w:w="3543" w:type="dxa"/>
          <w:vAlign w:val="center"/>
          <w:hideMark/>
        </w:tcPr>
        <w:p w:rsidR="00100C71" w:rsidRPr="00111943" w:rsidRDefault="00100C71" w:rsidP="00100C71">
          <w:pPr>
            <w:pStyle w:val="Encabezado"/>
            <w:rPr>
              <w:rFonts w:ascii="Palatino Linotype" w:hAnsi="Palatino Linotype"/>
              <w:szCs w:val="22"/>
            </w:rPr>
          </w:pPr>
          <w:r w:rsidRPr="00111943">
            <w:rPr>
              <w:rFonts w:ascii="Palatino Linotype" w:hAnsi="Palatino Linotype" w:cs="Arial"/>
              <w:bCs/>
              <w:szCs w:val="22"/>
              <w:lang w:val="es-MX" w:eastAsia="es-MX"/>
            </w:rPr>
            <w:t> </w:t>
          </w:r>
          <w:r w:rsidR="00F03B62" w:rsidRPr="00111943">
            <w:rPr>
              <w:rFonts w:ascii="Palatino Linotype" w:hAnsi="Palatino Linotype" w:cs="Arial"/>
              <w:bCs/>
              <w:lang w:eastAsia="es-MX"/>
            </w:rPr>
            <w:t>00713/INFOEM/IP/RR/2026</w:t>
          </w:r>
        </w:p>
      </w:tc>
    </w:tr>
    <w:tr w:rsidR="00100C71" w:rsidTr="00111943">
      <w:trPr>
        <w:trHeight w:val="242"/>
      </w:trPr>
      <w:tc>
        <w:tcPr>
          <w:tcW w:w="2976" w:type="dxa"/>
          <w:vAlign w:val="center"/>
          <w:hideMark/>
        </w:tcPr>
        <w:p w:rsidR="00100C71" w:rsidRPr="00111943" w:rsidRDefault="00100C71" w:rsidP="00100C71">
          <w:pPr>
            <w:spacing w:after="0"/>
            <w:ind w:right="34"/>
            <w:jc w:val="right"/>
            <w:rPr>
              <w:rFonts w:ascii="Palatino Linotype" w:hAnsi="Palatino Linotype"/>
              <w:b/>
              <w:sz w:val="24"/>
            </w:rPr>
          </w:pPr>
          <w:r w:rsidRPr="00111943">
            <w:rPr>
              <w:rFonts w:ascii="Palatino Linotype" w:hAnsi="Palatino Linotype"/>
              <w:b/>
              <w:sz w:val="24"/>
            </w:rPr>
            <w:t>Sujeto Obligado:</w:t>
          </w:r>
        </w:p>
      </w:tc>
      <w:tc>
        <w:tcPr>
          <w:tcW w:w="3543" w:type="dxa"/>
          <w:vAlign w:val="center"/>
          <w:hideMark/>
        </w:tcPr>
        <w:p w:rsidR="00100C71" w:rsidRPr="00111943" w:rsidRDefault="00100C71" w:rsidP="00100C71">
          <w:pPr>
            <w:pStyle w:val="Encabezado"/>
            <w:jc w:val="both"/>
            <w:rPr>
              <w:rFonts w:ascii="Palatino Linotype" w:hAnsi="Palatino Linotype"/>
              <w:szCs w:val="22"/>
            </w:rPr>
          </w:pPr>
          <w:r w:rsidRPr="00111943">
            <w:rPr>
              <w:rFonts w:ascii="Palatino Linotype" w:hAnsi="Palatino Linotype"/>
              <w:bCs/>
              <w:color w:val="000000"/>
              <w:szCs w:val="22"/>
              <w:lang w:val="es-MX"/>
            </w:rPr>
            <w:t>Ayuntamiento de Tepotzotlán</w:t>
          </w:r>
        </w:p>
      </w:tc>
    </w:tr>
    <w:tr w:rsidR="00100C71" w:rsidTr="00111943">
      <w:trPr>
        <w:trHeight w:val="342"/>
      </w:trPr>
      <w:tc>
        <w:tcPr>
          <w:tcW w:w="2976" w:type="dxa"/>
          <w:vAlign w:val="center"/>
          <w:hideMark/>
        </w:tcPr>
        <w:p w:rsidR="00100C71" w:rsidRPr="00111943" w:rsidRDefault="00100C71" w:rsidP="00100C71">
          <w:pPr>
            <w:spacing w:after="0"/>
            <w:ind w:right="34"/>
            <w:jc w:val="right"/>
            <w:rPr>
              <w:rFonts w:ascii="Palatino Linotype" w:hAnsi="Palatino Linotype"/>
              <w:b/>
              <w:sz w:val="24"/>
            </w:rPr>
          </w:pPr>
          <w:r w:rsidRPr="00111943">
            <w:rPr>
              <w:rFonts w:ascii="Palatino Linotype" w:hAnsi="Palatino Linotype"/>
              <w:b/>
              <w:sz w:val="24"/>
            </w:rPr>
            <w:t>Comisionada Ponente:</w:t>
          </w:r>
        </w:p>
      </w:tc>
      <w:tc>
        <w:tcPr>
          <w:tcW w:w="3543" w:type="dxa"/>
          <w:vAlign w:val="center"/>
          <w:hideMark/>
        </w:tcPr>
        <w:p w:rsidR="00100C71" w:rsidRPr="00111943" w:rsidRDefault="00100C71" w:rsidP="00100C71">
          <w:pPr>
            <w:pStyle w:val="Encabezado"/>
            <w:rPr>
              <w:rFonts w:ascii="Palatino Linotype" w:hAnsi="Palatino Linotype"/>
              <w:szCs w:val="22"/>
            </w:rPr>
          </w:pPr>
          <w:r w:rsidRPr="00111943">
            <w:rPr>
              <w:rFonts w:ascii="Palatino Linotype" w:hAnsi="Palatino Linotype"/>
              <w:szCs w:val="22"/>
            </w:rPr>
            <w:t>María del Rosario Mejía Ayala</w:t>
          </w:r>
        </w:p>
      </w:tc>
    </w:tr>
  </w:tbl>
  <w:p w:rsidR="00100C71" w:rsidRPr="00AE046A" w:rsidRDefault="000B3A27" w:rsidP="00100C71">
    <w:pPr>
      <w:pStyle w:val="Encabezado"/>
      <w:tabs>
        <w:tab w:val="clear" w:pos="4419"/>
        <w:tab w:val="clear" w:pos="8838"/>
        <w:tab w:val="left" w:pos="6005"/>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10.1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261" w:type="dxa"/>
      <w:tblCellMar>
        <w:left w:w="70" w:type="dxa"/>
        <w:right w:w="70" w:type="dxa"/>
      </w:tblCellMar>
      <w:tblLook w:val="04A0" w:firstRow="1" w:lastRow="0" w:firstColumn="1" w:lastColumn="0" w:noHBand="0" w:noVBand="1"/>
    </w:tblPr>
    <w:tblGrid>
      <w:gridCol w:w="2977"/>
      <w:gridCol w:w="3684"/>
    </w:tblGrid>
    <w:tr w:rsidR="00100C71" w:rsidRPr="00111943" w:rsidTr="00111943">
      <w:trPr>
        <w:trHeight w:val="227"/>
      </w:trPr>
      <w:tc>
        <w:tcPr>
          <w:tcW w:w="2977" w:type="dxa"/>
          <w:vAlign w:val="center"/>
          <w:hideMark/>
        </w:tcPr>
        <w:p w:rsidR="00100C71" w:rsidRPr="00111943" w:rsidRDefault="00100C71" w:rsidP="00100C71">
          <w:pPr>
            <w:spacing w:after="0" w:line="240" w:lineRule="auto"/>
            <w:jc w:val="right"/>
            <w:rPr>
              <w:rFonts w:ascii="Palatino Linotype" w:hAnsi="Palatino Linotype"/>
              <w:b/>
              <w:sz w:val="24"/>
            </w:rPr>
          </w:pPr>
          <w:r w:rsidRPr="00111943">
            <w:rPr>
              <w:rFonts w:ascii="Palatino Linotype" w:hAnsi="Palatino Linotype"/>
              <w:b/>
              <w:sz w:val="24"/>
            </w:rPr>
            <w:t>Recurso de Revisión:</w:t>
          </w:r>
        </w:p>
      </w:tc>
      <w:tc>
        <w:tcPr>
          <w:tcW w:w="3684" w:type="dxa"/>
          <w:vAlign w:val="center"/>
          <w:hideMark/>
        </w:tcPr>
        <w:p w:rsidR="00100C71" w:rsidRPr="00111943" w:rsidRDefault="00100C71" w:rsidP="00A4441B">
          <w:pPr>
            <w:rPr>
              <w:rFonts w:ascii="Palatino Linotype" w:eastAsiaTheme="minorEastAsia" w:hAnsi="Palatino Linotype" w:cs="Arial"/>
              <w:bCs/>
              <w:sz w:val="24"/>
              <w:lang w:eastAsia="es-MX"/>
            </w:rPr>
          </w:pPr>
          <w:r w:rsidRPr="00111943">
            <w:rPr>
              <w:rFonts w:ascii="Palatino Linotype" w:eastAsiaTheme="minorEastAsia" w:hAnsi="Palatino Linotype" w:cs="Arial"/>
              <w:bCs/>
              <w:sz w:val="24"/>
              <w:lang w:eastAsia="es-MX"/>
            </w:rPr>
            <w:t>00713/INFOEM/IP/RR/2026</w:t>
          </w:r>
        </w:p>
      </w:tc>
    </w:tr>
    <w:tr w:rsidR="00100C71" w:rsidRPr="00111943" w:rsidTr="00111943">
      <w:trPr>
        <w:trHeight w:val="242"/>
      </w:trPr>
      <w:tc>
        <w:tcPr>
          <w:tcW w:w="2977" w:type="dxa"/>
          <w:vAlign w:val="center"/>
          <w:hideMark/>
        </w:tcPr>
        <w:p w:rsidR="00100C71" w:rsidRPr="00111943" w:rsidRDefault="00100C71" w:rsidP="00100C71">
          <w:pPr>
            <w:spacing w:after="0" w:line="240" w:lineRule="auto"/>
            <w:jc w:val="right"/>
            <w:rPr>
              <w:rFonts w:ascii="Palatino Linotype" w:hAnsi="Palatino Linotype"/>
              <w:b/>
              <w:sz w:val="24"/>
            </w:rPr>
          </w:pPr>
          <w:r w:rsidRPr="00111943">
            <w:rPr>
              <w:rFonts w:ascii="Palatino Linotype" w:hAnsi="Palatino Linotype"/>
              <w:b/>
              <w:sz w:val="24"/>
            </w:rPr>
            <w:t>Recurrente:</w:t>
          </w:r>
        </w:p>
      </w:tc>
      <w:tc>
        <w:tcPr>
          <w:tcW w:w="3684" w:type="dxa"/>
        </w:tcPr>
        <w:p w:rsidR="00100C71" w:rsidRPr="00111943" w:rsidRDefault="00C27709" w:rsidP="00A4441B">
          <w:pPr>
            <w:pStyle w:val="Encabezado"/>
            <w:tabs>
              <w:tab w:val="left" w:pos="521"/>
            </w:tabs>
            <w:spacing w:line="276" w:lineRule="auto"/>
            <w:rPr>
              <w:rFonts w:ascii="Palatino Linotype" w:hAnsi="Palatino Linotype"/>
              <w:szCs w:val="22"/>
            </w:rPr>
          </w:pPr>
          <w:r>
            <w:rPr>
              <w:rFonts w:ascii="Palatino Linotype" w:hAnsi="Palatino Linotype"/>
              <w:bCs/>
              <w:szCs w:val="22"/>
              <w:lang w:val="es-MX"/>
            </w:rPr>
            <w:t>XXXX</w:t>
          </w:r>
        </w:p>
      </w:tc>
    </w:tr>
    <w:tr w:rsidR="00100C71" w:rsidRPr="00111943" w:rsidTr="00111943">
      <w:trPr>
        <w:trHeight w:val="342"/>
      </w:trPr>
      <w:tc>
        <w:tcPr>
          <w:tcW w:w="2977" w:type="dxa"/>
          <w:vAlign w:val="center"/>
        </w:tcPr>
        <w:p w:rsidR="00100C71" w:rsidRPr="00111943" w:rsidRDefault="00100C71" w:rsidP="00100C71">
          <w:pPr>
            <w:spacing w:after="0" w:line="240" w:lineRule="auto"/>
            <w:jc w:val="right"/>
            <w:rPr>
              <w:rFonts w:ascii="Palatino Linotype" w:hAnsi="Palatino Linotype"/>
              <w:b/>
              <w:sz w:val="24"/>
            </w:rPr>
          </w:pPr>
          <w:r w:rsidRPr="00111943">
            <w:rPr>
              <w:rFonts w:ascii="Palatino Linotype" w:hAnsi="Palatino Linotype"/>
              <w:b/>
              <w:sz w:val="24"/>
            </w:rPr>
            <w:t>Sujeto Obligado:</w:t>
          </w:r>
        </w:p>
      </w:tc>
      <w:tc>
        <w:tcPr>
          <w:tcW w:w="3684" w:type="dxa"/>
          <w:vAlign w:val="center"/>
        </w:tcPr>
        <w:p w:rsidR="00100C71" w:rsidRPr="00111943" w:rsidRDefault="00100C71" w:rsidP="00A4441B">
          <w:pPr>
            <w:pStyle w:val="Encabezado"/>
            <w:spacing w:line="276" w:lineRule="auto"/>
            <w:jc w:val="both"/>
            <w:rPr>
              <w:rFonts w:ascii="Palatino Linotype" w:hAnsi="Palatino Linotype"/>
              <w:szCs w:val="22"/>
            </w:rPr>
          </w:pPr>
          <w:r w:rsidRPr="00111943">
            <w:rPr>
              <w:rFonts w:ascii="Palatino Linotype" w:hAnsi="Palatino Linotype"/>
              <w:bCs/>
              <w:color w:val="000000"/>
              <w:szCs w:val="22"/>
              <w:lang w:val="es-MX"/>
            </w:rPr>
            <w:t>Ayuntamiento de Tepotzotlán</w:t>
          </w:r>
        </w:p>
      </w:tc>
    </w:tr>
    <w:tr w:rsidR="00100C71" w:rsidRPr="00111943" w:rsidTr="00111943">
      <w:trPr>
        <w:trHeight w:val="342"/>
      </w:trPr>
      <w:tc>
        <w:tcPr>
          <w:tcW w:w="2977" w:type="dxa"/>
          <w:vAlign w:val="center"/>
        </w:tcPr>
        <w:p w:rsidR="00100C71" w:rsidRPr="00111943" w:rsidRDefault="00100C71" w:rsidP="00100C71">
          <w:pPr>
            <w:spacing w:after="0" w:line="240" w:lineRule="auto"/>
            <w:jc w:val="right"/>
            <w:rPr>
              <w:rFonts w:ascii="Palatino Linotype" w:hAnsi="Palatino Linotype"/>
              <w:b/>
              <w:sz w:val="24"/>
            </w:rPr>
          </w:pPr>
          <w:r w:rsidRPr="00111943">
            <w:rPr>
              <w:rFonts w:ascii="Palatino Linotype" w:hAnsi="Palatino Linotype"/>
              <w:b/>
              <w:sz w:val="24"/>
            </w:rPr>
            <w:t>Comisionada Ponente:</w:t>
          </w:r>
        </w:p>
      </w:tc>
      <w:tc>
        <w:tcPr>
          <w:tcW w:w="3684" w:type="dxa"/>
          <w:vAlign w:val="center"/>
        </w:tcPr>
        <w:p w:rsidR="00100C71" w:rsidRPr="00111943" w:rsidRDefault="00100C71" w:rsidP="00100C71">
          <w:pPr>
            <w:pStyle w:val="Encabezado"/>
            <w:spacing w:line="276" w:lineRule="auto"/>
            <w:rPr>
              <w:rFonts w:ascii="Palatino Linotype" w:hAnsi="Palatino Linotype"/>
              <w:szCs w:val="22"/>
            </w:rPr>
          </w:pPr>
          <w:r w:rsidRPr="00111943">
            <w:rPr>
              <w:rFonts w:ascii="Palatino Linotype" w:hAnsi="Palatino Linotype"/>
              <w:szCs w:val="21"/>
            </w:rPr>
            <w:t>María del Rosario Mejía Ayala</w:t>
          </w:r>
        </w:p>
      </w:tc>
    </w:tr>
  </w:tbl>
  <w:p w:rsidR="00100C71" w:rsidRPr="00C222C0" w:rsidRDefault="000B3A27">
    <w:pPr>
      <w:pStyle w:val="Encabezado"/>
      <w:rPr>
        <w:sz w:val="16"/>
      </w:rPr>
    </w:pPr>
    <w:r>
      <w:rPr>
        <w:noProof/>
        <w:sz w:val="16"/>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8.8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2DCF"/>
    <w:multiLevelType w:val="hybridMultilevel"/>
    <w:tmpl w:val="2EE6A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1E5A22"/>
    <w:multiLevelType w:val="multilevel"/>
    <w:tmpl w:val="46E2AE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5A66FC"/>
    <w:multiLevelType w:val="hybridMultilevel"/>
    <w:tmpl w:val="D70443AA"/>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3"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C40F9D"/>
    <w:multiLevelType w:val="hybridMultilevel"/>
    <w:tmpl w:val="4C326726"/>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1DE34B80"/>
    <w:multiLevelType w:val="hybridMultilevel"/>
    <w:tmpl w:val="4D8C7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331392"/>
    <w:multiLevelType w:val="hybridMultilevel"/>
    <w:tmpl w:val="89562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9" w15:restartNumberingAfterBreak="0">
    <w:nsid w:val="3D260A6F"/>
    <w:multiLevelType w:val="hybridMultilevel"/>
    <w:tmpl w:val="C5EEB736"/>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10"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11"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2"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13" w15:restartNumberingAfterBreak="0">
    <w:nsid w:val="7BAF3DB4"/>
    <w:multiLevelType w:val="hybridMultilevel"/>
    <w:tmpl w:val="175CA830"/>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num w:numId="1">
    <w:abstractNumId w:val="7"/>
  </w:num>
  <w:num w:numId="2">
    <w:abstractNumId w:val="13"/>
  </w:num>
  <w:num w:numId="3">
    <w:abstractNumId w:val="10"/>
  </w:num>
  <w:num w:numId="4">
    <w:abstractNumId w:val="11"/>
  </w:num>
  <w:num w:numId="5">
    <w:abstractNumId w:val="12"/>
  </w:num>
  <w:num w:numId="6">
    <w:abstractNumId w:val="6"/>
  </w:num>
  <w:num w:numId="7">
    <w:abstractNumId w:val="2"/>
  </w:num>
  <w:num w:numId="8">
    <w:abstractNumId w:val="4"/>
  </w:num>
  <w:num w:numId="9">
    <w:abstractNumId w:val="9"/>
  </w:num>
  <w:num w:numId="10">
    <w:abstractNumId w:val="0"/>
  </w:num>
  <w:num w:numId="11">
    <w:abstractNumId w:val="3"/>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1B"/>
    <w:rsid w:val="000B3A27"/>
    <w:rsid w:val="000E6DBF"/>
    <w:rsid w:val="00100C71"/>
    <w:rsid w:val="001016F9"/>
    <w:rsid w:val="00111943"/>
    <w:rsid w:val="003478E8"/>
    <w:rsid w:val="003546D4"/>
    <w:rsid w:val="003F49FE"/>
    <w:rsid w:val="0065193C"/>
    <w:rsid w:val="00690D16"/>
    <w:rsid w:val="0069665A"/>
    <w:rsid w:val="00A13C4E"/>
    <w:rsid w:val="00A4441B"/>
    <w:rsid w:val="00AE1A06"/>
    <w:rsid w:val="00B130FE"/>
    <w:rsid w:val="00BC1F13"/>
    <w:rsid w:val="00C27709"/>
    <w:rsid w:val="00CE00CA"/>
    <w:rsid w:val="00F03B62"/>
    <w:rsid w:val="00F33DBE"/>
    <w:rsid w:val="00FB34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1088654-2F70-4BC5-A927-D95F8EA4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41B"/>
  </w:style>
  <w:style w:type="paragraph" w:styleId="Ttulo1">
    <w:name w:val="heading 1"/>
    <w:basedOn w:val="Normal"/>
    <w:next w:val="Normal"/>
    <w:link w:val="Ttulo1Car"/>
    <w:uiPriority w:val="9"/>
    <w:qFormat/>
    <w:rsid w:val="00A4441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A4441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441B"/>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A4441B"/>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A4441B"/>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A4441B"/>
    <w:rPr>
      <w:rFonts w:eastAsiaTheme="minorEastAsia"/>
      <w:sz w:val="24"/>
      <w:szCs w:val="24"/>
      <w:lang w:val="es-ES_tradnl" w:eastAsia="es-ES"/>
    </w:rPr>
  </w:style>
  <w:style w:type="paragraph" w:styleId="Piedepgina">
    <w:name w:val="footer"/>
    <w:basedOn w:val="Normal"/>
    <w:link w:val="PiedepginaCar"/>
    <w:uiPriority w:val="99"/>
    <w:unhideWhenUsed/>
    <w:rsid w:val="00A4441B"/>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A4441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4441B"/>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4441B"/>
    <w:rPr>
      <w:rFonts w:eastAsiaTheme="minorEastAsia"/>
      <w:sz w:val="24"/>
      <w:szCs w:val="24"/>
      <w:lang w:val="es-ES_tradnl" w:eastAsia="es-ES"/>
    </w:rPr>
  </w:style>
  <w:style w:type="character" w:styleId="Hipervnculo">
    <w:name w:val="Hyperlink"/>
    <w:basedOn w:val="Fuentedeprrafopredeter"/>
    <w:uiPriority w:val="99"/>
    <w:unhideWhenUsed/>
    <w:rsid w:val="00A4441B"/>
    <w:rPr>
      <w:color w:val="0563C1" w:themeColor="hyperlink"/>
      <w:u w:val="single"/>
    </w:rPr>
  </w:style>
  <w:style w:type="paragraph" w:styleId="Listaconvietas2">
    <w:name w:val="List Bullet 2"/>
    <w:basedOn w:val="Normal"/>
    <w:uiPriority w:val="99"/>
    <w:unhideWhenUsed/>
    <w:qFormat/>
    <w:rsid w:val="00A4441B"/>
    <w:pPr>
      <w:numPr>
        <w:numId w:val="11"/>
      </w:numPr>
      <w:spacing w:after="0" w:line="240" w:lineRule="auto"/>
      <w:contextualSpacing/>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16141">
      <w:bodyDiv w:val="1"/>
      <w:marLeft w:val="0"/>
      <w:marRight w:val="0"/>
      <w:marTop w:val="0"/>
      <w:marBottom w:val="0"/>
      <w:divBdr>
        <w:top w:val="none" w:sz="0" w:space="0" w:color="auto"/>
        <w:left w:val="none" w:sz="0" w:space="0" w:color="auto"/>
        <w:bottom w:val="none" w:sz="0" w:space="0" w:color="auto"/>
        <w:right w:val="none" w:sz="0" w:space="0" w:color="auto"/>
      </w:divBdr>
    </w:div>
    <w:div w:id="827668193">
      <w:bodyDiv w:val="1"/>
      <w:marLeft w:val="0"/>
      <w:marRight w:val="0"/>
      <w:marTop w:val="0"/>
      <w:marBottom w:val="0"/>
      <w:divBdr>
        <w:top w:val="none" w:sz="0" w:space="0" w:color="auto"/>
        <w:left w:val="none" w:sz="0" w:space="0" w:color="auto"/>
        <w:bottom w:val="none" w:sz="0" w:space="0" w:color="auto"/>
        <w:right w:val="none" w:sz="0" w:space="0" w:color="auto"/>
      </w:divBdr>
    </w:div>
    <w:div w:id="163494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IMCUFIDE+Tepotzotl%C3%A1n&amp;sca_esv=cd246a25237b15d7&amp;sxsrf=ANbL-n5vWdYvJfXpVB8Xw2qq8TTy7nIF6g%3A1776364706056&amp;ei=oizhadCJA4fJkPIP49jFwAs&amp;biw=871&amp;bih=827&amp;ved=2ahUKEwj6ma-cgvOTAxVBJEQIHc1iC_QQgK4QegQIARAB&amp;uact=5&amp;oq=objetivo+del+imcufide+tepotzotlan&amp;gs_lp=Egxnd3Mtd2l6LXNlcnAiIW9iamV0aXZvIGRlbCBpbWN1ZmlkZSB0ZXBvdHpvdGxhbjIIEAAYgAQYogQyCBAAGIAEGKIEMgUQABjvBTIFEAAY7wUyCBAAGIAEGKIESLUVULYJWL4ScAF4AZABAJgB2AGgAYIMqgEFMC40LjS4AQPIAQD4AQGYAgSgAsgEwgIKEAAYRxjWBBiwA5gDAIgGAZAGCJIHBTEuMS4yoAfSGrIHBTAuMS4yuAfFBMIHAzAuNMgHBoAIAQ&amp;sclient=gws-wiz-serp&amp;mstk=AUtExfAc8r3iR1aUJqAFE6G1bylox0INOYAhYRVAjMIuWd8cJDz4DpxL0a_PkpEw_hhVvIot-IWNf-nlj42rU2m7muMkqbL_Ey3urTaHngugVEIx1eGl5eZLG5a3_oBZRi-9eoXOcHn6Vwhhk3iS0dIbAhAjZzgUFf2dQdglC4xixIyIK6fg_DvuJ4LpNbp-s8ILwVdcjeH5Q_I_1AiUyiUSFDiwhqlE7kTMC9vwAkzgOVzByg3JGxgInn_mllonUGn8BiClTAposSx1vgqQlev2klNWj8-wDVRY0OCyOE_24u7J5w&amp;csui=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247512.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3003</Words>
  <Characters>16518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5</cp:revision>
  <dcterms:created xsi:type="dcterms:W3CDTF">2026-04-20T20:29:00Z</dcterms:created>
  <dcterms:modified xsi:type="dcterms:W3CDTF">2026-04-30T18:53:00Z</dcterms:modified>
</cp:coreProperties>
</file>