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6B02C" w14:textId="5F74AF47" w:rsidR="008928B7" w:rsidRPr="00EE6F81" w:rsidRDefault="007F0BAA" w:rsidP="00A43ADD">
      <w:pPr>
        <w:spacing w:after="0" w:line="360" w:lineRule="auto"/>
        <w:ind w:right="49"/>
        <w:jc w:val="both"/>
        <w:rPr>
          <w:rFonts w:ascii="Palatino Linotype" w:eastAsia="Palatino Linotype" w:hAnsi="Palatino Linotype" w:cs="Palatino Linotype"/>
        </w:rPr>
      </w:pPr>
      <w:r w:rsidRPr="00EE6F81">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5864DA" w:rsidRPr="00EE6F81">
        <w:rPr>
          <w:rFonts w:ascii="Palatino Linotype" w:eastAsia="Palatino Linotype" w:hAnsi="Palatino Linotype" w:cs="Palatino Linotype"/>
        </w:rPr>
        <w:t>cinco de febrero de dos mil veintiséis</w:t>
      </w:r>
      <w:r w:rsidRPr="00EE6F81">
        <w:rPr>
          <w:rFonts w:ascii="Palatino Linotype" w:eastAsia="Palatino Linotype" w:hAnsi="Palatino Linotype" w:cs="Palatino Linotype"/>
        </w:rPr>
        <w:t xml:space="preserve">. </w:t>
      </w:r>
    </w:p>
    <w:p w14:paraId="2A21766E" w14:textId="77777777" w:rsidR="008928B7" w:rsidRPr="00EE6F81" w:rsidRDefault="008928B7" w:rsidP="00A43ADD">
      <w:pPr>
        <w:spacing w:after="0" w:line="360" w:lineRule="auto"/>
        <w:ind w:right="49"/>
        <w:jc w:val="center"/>
        <w:rPr>
          <w:rFonts w:ascii="Palatino Linotype" w:eastAsia="Palatino Linotype" w:hAnsi="Palatino Linotype" w:cs="Palatino Linotype"/>
        </w:rPr>
      </w:pPr>
    </w:p>
    <w:p w14:paraId="60C929C2" w14:textId="7274697C" w:rsidR="008928B7" w:rsidRPr="00EE6F81" w:rsidRDefault="007F0BAA" w:rsidP="00A43ADD">
      <w:pPr>
        <w:spacing w:after="0" w:line="360" w:lineRule="auto"/>
        <w:ind w:right="49"/>
        <w:jc w:val="both"/>
        <w:rPr>
          <w:rFonts w:ascii="Palatino Linotype" w:eastAsia="Palatino Linotype" w:hAnsi="Palatino Linotype" w:cs="Palatino Linotype"/>
        </w:rPr>
      </w:pPr>
      <w:r w:rsidRPr="00EE6F81">
        <w:rPr>
          <w:rFonts w:ascii="Palatino Linotype" w:eastAsia="Palatino Linotype" w:hAnsi="Palatino Linotype" w:cs="Palatino Linotype"/>
        </w:rPr>
        <w:t xml:space="preserve">Visto el expediente relativo al recurso de revisión </w:t>
      </w:r>
      <w:r w:rsidR="00411ECC" w:rsidRPr="00EE6F81">
        <w:rPr>
          <w:rFonts w:ascii="Palatino Linotype" w:eastAsia="Palatino Linotype" w:hAnsi="Palatino Linotype" w:cs="Palatino Linotype"/>
          <w:b/>
        </w:rPr>
        <w:t>14439</w:t>
      </w:r>
      <w:r w:rsidRPr="00EE6F81">
        <w:rPr>
          <w:rFonts w:ascii="Palatino Linotype" w:eastAsia="Palatino Linotype" w:hAnsi="Palatino Linotype" w:cs="Palatino Linotype"/>
          <w:b/>
        </w:rPr>
        <w:t>/INFOEM/IP/RR/202</w:t>
      </w:r>
      <w:r w:rsidR="00C80EB4" w:rsidRPr="00EE6F81">
        <w:rPr>
          <w:rFonts w:ascii="Palatino Linotype" w:eastAsia="Palatino Linotype" w:hAnsi="Palatino Linotype" w:cs="Palatino Linotype"/>
          <w:b/>
        </w:rPr>
        <w:t>5</w:t>
      </w:r>
      <w:r w:rsidRPr="00EE6F81">
        <w:rPr>
          <w:rFonts w:ascii="Palatino Linotype" w:eastAsia="Palatino Linotype" w:hAnsi="Palatino Linotype" w:cs="Palatino Linotype"/>
        </w:rPr>
        <w:t xml:space="preserve">, interpuesto por </w:t>
      </w:r>
      <w:r w:rsidR="0099463D">
        <w:rPr>
          <w:rFonts w:ascii="Palatino Linotype" w:eastAsia="Palatino Linotype" w:hAnsi="Palatino Linotype" w:cs="Palatino Linotype"/>
          <w:b/>
        </w:rPr>
        <w:t>XXXXX XXXX</w:t>
      </w:r>
      <w:bookmarkStart w:id="0" w:name="_GoBack"/>
      <w:bookmarkEnd w:id="0"/>
      <w:r w:rsidRPr="00EE6F81">
        <w:rPr>
          <w:rFonts w:ascii="Palatino Linotype" w:eastAsia="Palatino Linotype" w:hAnsi="Palatino Linotype" w:cs="Palatino Linotype"/>
        </w:rPr>
        <w:t xml:space="preserve">, al cual en lo sucesivo se le denominará la parte </w:t>
      </w:r>
      <w:r w:rsidRPr="00EE6F81">
        <w:rPr>
          <w:rFonts w:ascii="Palatino Linotype" w:eastAsia="Palatino Linotype" w:hAnsi="Palatino Linotype" w:cs="Palatino Linotype"/>
          <w:b/>
        </w:rPr>
        <w:t>RECURRENTE</w:t>
      </w:r>
      <w:r w:rsidRPr="00EE6F81">
        <w:rPr>
          <w:rFonts w:ascii="Palatino Linotype" w:eastAsia="Palatino Linotype" w:hAnsi="Palatino Linotype" w:cs="Palatino Linotype"/>
        </w:rPr>
        <w:t xml:space="preserve">, en contra de la respuesta a su solicitud de información identificada con número de folio </w:t>
      </w:r>
      <w:r w:rsidR="00963305" w:rsidRPr="00EE6F81">
        <w:rPr>
          <w:rFonts w:ascii="Palatino Linotype" w:eastAsia="Palatino Linotype" w:hAnsi="Palatino Linotype" w:cs="Palatino Linotype"/>
          <w:b/>
        </w:rPr>
        <w:t>0</w:t>
      </w:r>
      <w:r w:rsidR="00411ECC" w:rsidRPr="00EE6F81">
        <w:rPr>
          <w:rFonts w:ascii="Palatino Linotype" w:eastAsia="Palatino Linotype" w:hAnsi="Palatino Linotype" w:cs="Palatino Linotype"/>
          <w:b/>
        </w:rPr>
        <w:t>0039</w:t>
      </w:r>
      <w:r w:rsidR="00B77DEE" w:rsidRPr="00EE6F81">
        <w:rPr>
          <w:rFonts w:ascii="Palatino Linotype" w:eastAsia="Palatino Linotype" w:hAnsi="Palatino Linotype" w:cs="Palatino Linotype"/>
          <w:b/>
        </w:rPr>
        <w:t>/UMS</w:t>
      </w:r>
      <w:r w:rsidR="00C80EB4" w:rsidRPr="00EE6F81">
        <w:rPr>
          <w:rFonts w:ascii="Palatino Linotype" w:eastAsia="Palatino Linotype" w:hAnsi="Palatino Linotype" w:cs="Palatino Linotype"/>
          <w:b/>
        </w:rPr>
        <w:t>/IP/2025</w:t>
      </w:r>
      <w:r w:rsidR="00E80453" w:rsidRPr="00EE6F81">
        <w:rPr>
          <w:rFonts w:ascii="Palatino Linotype" w:eastAsia="Palatino Linotype" w:hAnsi="Palatino Linotype" w:cs="Palatino Linotype"/>
        </w:rPr>
        <w:t xml:space="preserve"> proporcionada por parte del </w:t>
      </w:r>
      <w:r w:rsidR="00B77DEE" w:rsidRPr="00EE6F81">
        <w:rPr>
          <w:rFonts w:ascii="Palatino Linotype" w:eastAsia="Palatino Linotype" w:hAnsi="Palatino Linotype" w:cs="Palatino Linotype"/>
          <w:b/>
        </w:rPr>
        <w:t xml:space="preserve">Universidad Mexiquense de Seguridad </w:t>
      </w:r>
      <w:r w:rsidRPr="00EE6F81">
        <w:rPr>
          <w:rFonts w:ascii="Palatino Linotype" w:eastAsia="Palatino Linotype" w:hAnsi="Palatino Linotype" w:cs="Palatino Linotype"/>
        </w:rPr>
        <w:t xml:space="preserve">en lo sucesivo el </w:t>
      </w:r>
      <w:r w:rsidRPr="00EE6F81">
        <w:rPr>
          <w:rFonts w:ascii="Palatino Linotype" w:eastAsia="Palatino Linotype" w:hAnsi="Palatino Linotype" w:cs="Palatino Linotype"/>
          <w:b/>
        </w:rPr>
        <w:t>SUJETO OBLIGADO</w:t>
      </w:r>
      <w:r w:rsidRPr="00EE6F81">
        <w:rPr>
          <w:rFonts w:ascii="Palatino Linotype" w:eastAsia="Palatino Linotype" w:hAnsi="Palatino Linotype" w:cs="Palatino Linotype"/>
        </w:rPr>
        <w:t>; se procede a dictar la presente resolución, con base en los siguientes:</w:t>
      </w:r>
    </w:p>
    <w:p w14:paraId="2053E27A" w14:textId="77777777" w:rsidR="008928B7" w:rsidRPr="00EE6F81" w:rsidRDefault="008928B7" w:rsidP="00A43ADD">
      <w:pPr>
        <w:spacing w:after="0" w:line="360" w:lineRule="auto"/>
        <w:ind w:right="49"/>
        <w:jc w:val="both"/>
        <w:rPr>
          <w:rFonts w:ascii="Palatino Linotype" w:eastAsia="Palatino Linotype" w:hAnsi="Palatino Linotype" w:cs="Palatino Linotype"/>
        </w:rPr>
      </w:pPr>
    </w:p>
    <w:p w14:paraId="4D24247B" w14:textId="77777777" w:rsidR="008928B7" w:rsidRPr="00EE6F81" w:rsidRDefault="007F0BAA" w:rsidP="00A43ADD">
      <w:pPr>
        <w:spacing w:after="0" w:line="360" w:lineRule="auto"/>
        <w:ind w:right="49"/>
        <w:jc w:val="center"/>
        <w:rPr>
          <w:rFonts w:ascii="Palatino Linotype" w:eastAsia="Palatino Linotype" w:hAnsi="Palatino Linotype" w:cs="Palatino Linotype"/>
          <w:b/>
        </w:rPr>
      </w:pPr>
      <w:r w:rsidRPr="00EE6F81">
        <w:rPr>
          <w:rFonts w:ascii="Palatino Linotype" w:eastAsia="Palatino Linotype" w:hAnsi="Palatino Linotype" w:cs="Palatino Linotype"/>
          <w:b/>
        </w:rPr>
        <w:t>I.</w:t>
      </w:r>
      <w:r w:rsidRPr="00EE6F81">
        <w:rPr>
          <w:rFonts w:ascii="Palatino Linotype" w:eastAsia="Palatino Linotype" w:hAnsi="Palatino Linotype" w:cs="Palatino Linotype"/>
          <w:b/>
        </w:rPr>
        <w:tab/>
        <w:t>A N T E C E D E N T E S</w:t>
      </w:r>
    </w:p>
    <w:p w14:paraId="7E986B6E" w14:textId="77777777" w:rsidR="008928B7" w:rsidRPr="00EE6F81" w:rsidRDefault="008928B7" w:rsidP="00A43ADD">
      <w:pPr>
        <w:spacing w:after="0" w:line="360" w:lineRule="auto"/>
        <w:ind w:right="49"/>
        <w:jc w:val="both"/>
        <w:rPr>
          <w:rFonts w:ascii="Palatino Linotype" w:eastAsia="Palatino Linotype" w:hAnsi="Palatino Linotype" w:cs="Palatino Linotype"/>
        </w:rPr>
      </w:pPr>
      <w:bookmarkStart w:id="1" w:name="_heading=h.3znysh7" w:colFirst="0" w:colLast="0"/>
      <w:bookmarkEnd w:id="1"/>
    </w:p>
    <w:p w14:paraId="385E589E" w14:textId="21E0AB16" w:rsidR="008928B7" w:rsidRPr="00EE6F81" w:rsidRDefault="007F0BAA" w:rsidP="00A43ADD">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EE6F81">
        <w:rPr>
          <w:rFonts w:ascii="Palatino Linotype" w:eastAsia="Palatino Linotype" w:hAnsi="Palatino Linotype" w:cs="Palatino Linotype"/>
          <w:b/>
        </w:rPr>
        <w:t>Solicitud de acceso a la información.</w:t>
      </w:r>
      <w:r w:rsidRPr="00EE6F81">
        <w:rPr>
          <w:rFonts w:ascii="Palatino Linotype" w:eastAsia="Palatino Linotype" w:hAnsi="Palatino Linotype" w:cs="Palatino Linotype"/>
        </w:rPr>
        <w:t xml:space="preserve"> </w:t>
      </w:r>
      <w:r w:rsidR="00417126" w:rsidRPr="00EE6F81">
        <w:rPr>
          <w:rFonts w:ascii="Palatino Linotype" w:eastAsia="Palatino Linotype" w:hAnsi="Palatino Linotype" w:cs="Palatino Linotype"/>
        </w:rPr>
        <w:t xml:space="preserve">Con fecha </w:t>
      </w:r>
      <w:r w:rsidR="00B77DEE" w:rsidRPr="00EE6F81">
        <w:rPr>
          <w:rFonts w:ascii="Palatino Linotype" w:eastAsia="Palatino Linotype" w:hAnsi="Palatino Linotype" w:cs="Palatino Linotype"/>
          <w:b/>
        </w:rPr>
        <w:t>cinco de noviembre</w:t>
      </w:r>
      <w:r w:rsidR="00417126" w:rsidRPr="00EE6F81">
        <w:rPr>
          <w:rFonts w:ascii="Palatino Linotype" w:eastAsia="Palatino Linotype" w:hAnsi="Palatino Linotype" w:cs="Palatino Linotype"/>
          <w:b/>
        </w:rPr>
        <w:t xml:space="preserve"> de dos mil veinticinco</w:t>
      </w:r>
      <w:r w:rsidR="00417126" w:rsidRPr="00EE6F81">
        <w:rPr>
          <w:rFonts w:ascii="Palatino Linotype" w:eastAsia="Palatino Linotype" w:hAnsi="Palatino Linotype" w:cs="Palatino Linotype"/>
        </w:rPr>
        <w:t xml:space="preserve">, el Recurrente formuló solicitud de acceso a información pública al </w:t>
      </w:r>
      <w:r w:rsidR="00417126" w:rsidRPr="00EE6F81">
        <w:rPr>
          <w:rFonts w:ascii="Palatino Linotype" w:eastAsia="Palatino Linotype" w:hAnsi="Palatino Linotype" w:cs="Palatino Linotype"/>
          <w:b/>
        </w:rPr>
        <w:t>SUJETO OBLIGADO</w:t>
      </w:r>
      <w:r w:rsidR="00417126" w:rsidRPr="00EE6F81">
        <w:rPr>
          <w:rFonts w:ascii="Palatino Linotype" w:eastAsia="Palatino Linotype" w:hAnsi="Palatino Linotype" w:cs="Palatino Linotype"/>
        </w:rPr>
        <w:t xml:space="preserve"> a través del Sistema de Acceso a la Información Mexiquense</w:t>
      </w:r>
      <w:r w:rsidR="00F81A78" w:rsidRPr="00EE6F81">
        <w:rPr>
          <w:rFonts w:ascii="Palatino Linotype" w:eastAsia="Palatino Linotype" w:hAnsi="Palatino Linotype" w:cs="Palatino Linotype"/>
        </w:rPr>
        <w:t xml:space="preserve">, </w:t>
      </w:r>
      <w:r w:rsidR="00417126" w:rsidRPr="00EE6F81">
        <w:rPr>
          <w:rFonts w:ascii="Palatino Linotype" w:eastAsia="Palatino Linotype" w:hAnsi="Palatino Linotype" w:cs="Palatino Linotype"/>
        </w:rPr>
        <w:t>requiriéndole lo siguiente</w:t>
      </w:r>
      <w:r w:rsidRPr="00EE6F81">
        <w:rPr>
          <w:rFonts w:ascii="Palatino Linotype" w:eastAsia="Palatino Linotype" w:hAnsi="Palatino Linotype" w:cs="Palatino Linotype"/>
        </w:rPr>
        <w:t xml:space="preserve">: </w:t>
      </w:r>
    </w:p>
    <w:p w14:paraId="167A7068" w14:textId="77777777" w:rsidR="008928B7" w:rsidRPr="00EE6F81" w:rsidRDefault="007F0BAA" w:rsidP="00A43ADD">
      <w:pPr>
        <w:tabs>
          <w:tab w:val="left" w:pos="1530"/>
        </w:tabs>
        <w:spacing w:after="0" w:line="360" w:lineRule="auto"/>
        <w:ind w:right="49"/>
        <w:jc w:val="both"/>
        <w:rPr>
          <w:rFonts w:ascii="Palatino Linotype" w:eastAsia="Palatino Linotype" w:hAnsi="Palatino Linotype" w:cs="Palatino Linotype"/>
        </w:rPr>
      </w:pPr>
      <w:r w:rsidRPr="00EE6F81">
        <w:rPr>
          <w:rFonts w:ascii="Palatino Linotype" w:eastAsia="Palatino Linotype" w:hAnsi="Palatino Linotype" w:cs="Palatino Linotype"/>
        </w:rPr>
        <w:tab/>
      </w:r>
    </w:p>
    <w:p w14:paraId="61F804B6" w14:textId="0EFC305B" w:rsidR="005864DA" w:rsidRPr="00EE6F81" w:rsidRDefault="005864DA" w:rsidP="00A43ADD">
      <w:pPr>
        <w:spacing w:after="0"/>
        <w:ind w:left="567" w:right="49"/>
        <w:jc w:val="both"/>
        <w:rPr>
          <w:rFonts w:ascii="Palatino Linotype" w:eastAsia="Palatino Linotype" w:hAnsi="Palatino Linotype" w:cs="Palatino Linotype"/>
          <w:i/>
        </w:rPr>
      </w:pPr>
      <w:bookmarkStart w:id="2" w:name="_heading=h.30j0zll" w:colFirst="0" w:colLast="0"/>
      <w:bookmarkEnd w:id="2"/>
      <w:r w:rsidRPr="00EE6F81">
        <w:rPr>
          <w:rFonts w:ascii="Palatino Linotype" w:eastAsia="Palatino Linotype" w:hAnsi="Palatino Linotype" w:cs="Palatino Linotype"/>
          <w:i/>
        </w:rPr>
        <w:t>“</w:t>
      </w:r>
      <w:r w:rsidR="00B77DEE" w:rsidRPr="00EE6F81">
        <w:rPr>
          <w:rFonts w:ascii="Palatino Linotype" w:eastAsia="Palatino Linotype" w:hAnsi="Palatino Linotype" w:cs="Palatino Linotype"/>
          <w:i/>
        </w:rPr>
        <w:t>Respecto de la servidora pública Ivett Maldonado Suárez, adscrita a la Universidad Mexiquense de Seguridad, solicito se me proporcione la versión pública del Formato Único de Movimiento de Personal (FUMP), correspondiente a su contratación o alta en la institución. Así como todos los documentos que constituyen la justificación de su contratación.</w:t>
      </w:r>
      <w:r w:rsidRPr="00EE6F81">
        <w:rPr>
          <w:rFonts w:ascii="Palatino Linotype" w:eastAsia="Palatino Linotype" w:hAnsi="Palatino Linotype" w:cs="Palatino Linotype"/>
          <w:i/>
        </w:rPr>
        <w:t>”</w:t>
      </w:r>
    </w:p>
    <w:p w14:paraId="40FF966B" w14:textId="1CE395D6" w:rsidR="008928B7" w:rsidRPr="00EE6F81" w:rsidRDefault="007F0BAA" w:rsidP="00A43ADD">
      <w:pPr>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i/>
        </w:rPr>
        <w:t xml:space="preserve"> </w:t>
      </w:r>
    </w:p>
    <w:p w14:paraId="708648D4" w14:textId="060E489B" w:rsidR="00963305" w:rsidRPr="00EE6F81" w:rsidRDefault="007F0BAA" w:rsidP="005864DA">
      <w:pPr>
        <w:spacing w:after="0" w:line="360" w:lineRule="auto"/>
        <w:ind w:right="49"/>
        <w:jc w:val="both"/>
        <w:rPr>
          <w:rFonts w:ascii="Palatino Linotype" w:eastAsia="Palatino Linotype" w:hAnsi="Palatino Linotype" w:cs="Palatino Linotype"/>
        </w:rPr>
      </w:pPr>
      <w:r w:rsidRPr="00EE6F81">
        <w:rPr>
          <w:rFonts w:ascii="Palatino Linotype" w:eastAsia="Palatino Linotype" w:hAnsi="Palatino Linotype" w:cs="Palatino Linotype"/>
          <w:b/>
        </w:rPr>
        <w:t>Modalidad elegida para la entrega de la información:</w:t>
      </w:r>
      <w:r w:rsidRPr="00EE6F81">
        <w:rPr>
          <w:rFonts w:ascii="Palatino Linotype" w:eastAsia="Palatino Linotype" w:hAnsi="Palatino Linotype" w:cs="Palatino Linotype"/>
        </w:rPr>
        <w:t xml:space="preserve"> a través del Sistema de Acceso a la Información Mexiquense (SAIMEX). </w:t>
      </w:r>
    </w:p>
    <w:p w14:paraId="7FDE4161" w14:textId="77777777" w:rsidR="005864DA" w:rsidRPr="00EE6F81" w:rsidRDefault="005864DA" w:rsidP="005864DA">
      <w:pPr>
        <w:spacing w:after="0" w:line="360" w:lineRule="auto"/>
        <w:ind w:right="49"/>
        <w:jc w:val="both"/>
        <w:rPr>
          <w:rFonts w:ascii="Palatino Linotype" w:eastAsia="Palatino Linotype" w:hAnsi="Palatino Linotype" w:cs="Palatino Linotype"/>
        </w:rPr>
      </w:pPr>
    </w:p>
    <w:p w14:paraId="609E300C" w14:textId="7C164915" w:rsidR="007F0BCF" w:rsidRPr="00EE6F81" w:rsidRDefault="007F0BAA" w:rsidP="00D51BC9">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EE6F81">
        <w:rPr>
          <w:rFonts w:ascii="Palatino Linotype" w:eastAsia="Palatino Linotype" w:hAnsi="Palatino Linotype" w:cs="Palatino Linotype"/>
          <w:b/>
        </w:rPr>
        <w:lastRenderedPageBreak/>
        <w:t xml:space="preserve">Respuesta. </w:t>
      </w:r>
      <w:r w:rsidRPr="00EE6F81">
        <w:rPr>
          <w:rFonts w:ascii="Palatino Linotype" w:eastAsia="Palatino Linotype" w:hAnsi="Palatino Linotype" w:cs="Palatino Linotype"/>
        </w:rPr>
        <w:t xml:space="preserve">En fecha </w:t>
      </w:r>
      <w:r w:rsidR="00B77DEE" w:rsidRPr="00EE6F81">
        <w:rPr>
          <w:rFonts w:ascii="Palatino Linotype" w:eastAsia="Palatino Linotype" w:hAnsi="Palatino Linotype" w:cs="Palatino Linotype"/>
          <w:b/>
        </w:rPr>
        <w:t>veintisiete de noviembre</w:t>
      </w:r>
      <w:r w:rsidR="00C80EB4" w:rsidRPr="00EE6F81">
        <w:rPr>
          <w:rFonts w:ascii="Palatino Linotype" w:eastAsia="Palatino Linotype" w:hAnsi="Palatino Linotype" w:cs="Palatino Linotype"/>
          <w:b/>
        </w:rPr>
        <w:t xml:space="preserve"> de dos mil veinticinco</w:t>
      </w:r>
      <w:r w:rsidRPr="00EE6F81">
        <w:rPr>
          <w:rFonts w:ascii="Palatino Linotype" w:eastAsia="Palatino Linotype" w:hAnsi="Palatino Linotype" w:cs="Palatino Linotype"/>
        </w:rPr>
        <w:t xml:space="preserve">, el </w:t>
      </w:r>
      <w:r w:rsidRPr="00EE6F81">
        <w:rPr>
          <w:rFonts w:ascii="Palatino Linotype" w:eastAsia="Palatino Linotype" w:hAnsi="Palatino Linotype" w:cs="Palatino Linotype"/>
          <w:b/>
        </w:rPr>
        <w:t xml:space="preserve">SUJETO OBLIGADO </w:t>
      </w:r>
      <w:r w:rsidRPr="00EE6F81">
        <w:rPr>
          <w:rFonts w:ascii="Palatino Linotype" w:eastAsia="Palatino Linotype" w:hAnsi="Palatino Linotype" w:cs="Palatino Linotype"/>
        </w:rPr>
        <w:t>emitió respuesta a</w:t>
      </w:r>
      <w:r w:rsidR="00D51BC9" w:rsidRPr="00EE6F81">
        <w:rPr>
          <w:rFonts w:ascii="Palatino Linotype" w:eastAsia="Palatino Linotype" w:hAnsi="Palatino Linotype" w:cs="Palatino Linotype"/>
        </w:rPr>
        <w:t xml:space="preserve"> la solicitud de información, la cual fue previamente del conocimiento de las partes. </w:t>
      </w:r>
    </w:p>
    <w:p w14:paraId="485AF7C9" w14:textId="77777777" w:rsidR="00D51BC9" w:rsidRPr="00EE6F81" w:rsidRDefault="00D51BC9" w:rsidP="00D51BC9">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213407A" w14:textId="2591BC01" w:rsidR="008928B7" w:rsidRPr="00EE6F81" w:rsidRDefault="007F0BAA" w:rsidP="00A43ADD">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EE6F81">
        <w:rPr>
          <w:rFonts w:ascii="Palatino Linotype" w:eastAsia="Palatino Linotype" w:hAnsi="Palatino Linotype" w:cs="Palatino Linotype"/>
          <w:b/>
        </w:rPr>
        <w:t xml:space="preserve">Recurso de Revisión. </w:t>
      </w:r>
      <w:r w:rsidRPr="00EE6F81">
        <w:rPr>
          <w:rFonts w:ascii="Palatino Linotype" w:eastAsia="Palatino Linotype" w:hAnsi="Palatino Linotype" w:cs="Palatino Linotype"/>
        </w:rPr>
        <w:t xml:space="preserve">En fecha </w:t>
      </w:r>
      <w:r w:rsidR="00B77DEE" w:rsidRPr="00EE6F81">
        <w:rPr>
          <w:rFonts w:ascii="Palatino Linotype" w:eastAsia="Palatino Linotype" w:hAnsi="Palatino Linotype" w:cs="Palatino Linotype"/>
          <w:b/>
        </w:rPr>
        <w:t>dieciséis de diciembre</w:t>
      </w:r>
      <w:r w:rsidR="00D51BC9" w:rsidRPr="00EE6F81">
        <w:rPr>
          <w:rFonts w:ascii="Palatino Linotype" w:eastAsia="Palatino Linotype" w:hAnsi="Palatino Linotype" w:cs="Palatino Linotype"/>
          <w:b/>
        </w:rPr>
        <w:t xml:space="preserve"> </w:t>
      </w:r>
      <w:r w:rsidR="00C80EB4" w:rsidRPr="00EE6F81">
        <w:rPr>
          <w:rFonts w:ascii="Palatino Linotype" w:eastAsia="Palatino Linotype" w:hAnsi="Palatino Linotype" w:cs="Palatino Linotype"/>
          <w:b/>
        </w:rPr>
        <w:t>de dos mil veinticinco</w:t>
      </w:r>
      <w:r w:rsidRPr="00EE6F81">
        <w:rPr>
          <w:rFonts w:ascii="Palatino Linotype" w:eastAsia="Palatino Linotype" w:hAnsi="Palatino Linotype" w:cs="Palatino Linotype"/>
        </w:rPr>
        <w:t xml:space="preserve"> la persona Solicitante interpuso Recurso de Revisión a través del </w:t>
      </w:r>
      <w:r w:rsidRPr="00EE6F81">
        <w:rPr>
          <w:rFonts w:ascii="Palatino Linotype" w:eastAsia="Palatino Linotype" w:hAnsi="Palatino Linotype" w:cs="Palatino Linotype"/>
          <w:b/>
        </w:rPr>
        <w:t>SAIMEX</w:t>
      </w:r>
      <w:r w:rsidRPr="00EE6F81">
        <w:rPr>
          <w:rFonts w:ascii="Palatino Linotype" w:eastAsia="Palatino Linotype" w:hAnsi="Palatino Linotype" w:cs="Palatino Linotype"/>
        </w:rPr>
        <w:t>, a través del cual expresó lo siguiente:</w:t>
      </w:r>
    </w:p>
    <w:p w14:paraId="779D58CA" w14:textId="77777777" w:rsidR="008928B7" w:rsidRPr="00EE6F81" w:rsidRDefault="008928B7" w:rsidP="00A43AD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A6440BB" w14:textId="5FC6E739" w:rsidR="008928B7" w:rsidRPr="00EE6F81" w:rsidRDefault="007F0BAA" w:rsidP="00A43ADD">
      <w:pPr>
        <w:pBdr>
          <w:top w:val="nil"/>
          <w:left w:val="nil"/>
          <w:bottom w:val="nil"/>
          <w:right w:val="nil"/>
          <w:between w:val="nil"/>
        </w:pBdr>
        <w:tabs>
          <w:tab w:val="left" w:pos="1276"/>
        </w:tabs>
        <w:spacing w:after="0"/>
        <w:ind w:left="567" w:right="49"/>
        <w:jc w:val="both"/>
        <w:rPr>
          <w:rFonts w:ascii="Palatino Linotype" w:eastAsia="Palatino Linotype" w:hAnsi="Palatino Linotype" w:cs="Palatino Linotype"/>
          <w:b/>
        </w:rPr>
      </w:pPr>
      <w:r w:rsidRPr="00EE6F81">
        <w:rPr>
          <w:rFonts w:ascii="Palatino Linotype" w:eastAsia="Palatino Linotype" w:hAnsi="Palatino Linotype" w:cs="Palatino Linotype"/>
          <w:b/>
        </w:rPr>
        <w:t>Acto impugnado</w:t>
      </w:r>
      <w:r w:rsidRPr="00EE6F81">
        <w:rPr>
          <w:rFonts w:ascii="Palatino Linotype" w:eastAsia="Palatino Linotype" w:hAnsi="Palatino Linotype" w:cs="Palatino Linotype"/>
          <w:b/>
          <w:i/>
        </w:rPr>
        <w:t xml:space="preserve">. </w:t>
      </w:r>
      <w:r w:rsidRPr="00EE6F81">
        <w:rPr>
          <w:rFonts w:ascii="Palatino Linotype" w:eastAsia="Palatino Linotype" w:hAnsi="Palatino Linotype" w:cs="Palatino Linotype"/>
          <w:i/>
        </w:rPr>
        <w:t>“</w:t>
      </w:r>
      <w:r w:rsidR="003350CC" w:rsidRPr="00EE6F81">
        <w:rPr>
          <w:rFonts w:ascii="Palatino Linotype" w:eastAsia="Palatino Linotype" w:hAnsi="Palatino Linotype" w:cs="Palatino Linotype"/>
          <w:i/>
        </w:rPr>
        <w:t>La respuesta a la solicitud de información con número de folio 00039/UMS/IP/2025, mediante el oficio número 206C0101000300S/UIPPEUMS/187/11/</w:t>
      </w:r>
      <w:proofErr w:type="gramStart"/>
      <w:r w:rsidR="003350CC" w:rsidRPr="00EE6F81">
        <w:rPr>
          <w:rFonts w:ascii="Palatino Linotype" w:eastAsia="Palatino Linotype" w:hAnsi="Palatino Linotype" w:cs="Palatino Linotype"/>
          <w:i/>
        </w:rPr>
        <w:t>2025,testando</w:t>
      </w:r>
      <w:proofErr w:type="gramEnd"/>
      <w:r w:rsidR="003350CC" w:rsidRPr="00EE6F81">
        <w:rPr>
          <w:rFonts w:ascii="Palatino Linotype" w:eastAsia="Palatino Linotype" w:hAnsi="Palatino Linotype" w:cs="Palatino Linotype"/>
          <w:i/>
        </w:rPr>
        <w:t xml:space="preserve"> indebidamente, la firma autógrafa de la servidora pública en cuestión, el nombre del servidor público sustituido (persona que ocupaba la plaza con anterioridad)</w:t>
      </w:r>
      <w:r w:rsidRPr="00EE6F81">
        <w:rPr>
          <w:rFonts w:ascii="Palatino Linotype" w:eastAsia="Palatino Linotype" w:hAnsi="Palatino Linotype" w:cs="Palatino Linotype"/>
          <w:i/>
        </w:rPr>
        <w:t>”.</w:t>
      </w:r>
    </w:p>
    <w:p w14:paraId="23142FCF" w14:textId="77777777" w:rsidR="008928B7" w:rsidRPr="00EE6F81" w:rsidRDefault="008928B7" w:rsidP="00A43ADD">
      <w:pPr>
        <w:pBdr>
          <w:top w:val="nil"/>
          <w:left w:val="nil"/>
          <w:bottom w:val="nil"/>
          <w:right w:val="nil"/>
          <w:between w:val="nil"/>
        </w:pBdr>
        <w:tabs>
          <w:tab w:val="left" w:pos="1276"/>
        </w:tabs>
        <w:spacing w:after="0"/>
        <w:ind w:left="567" w:right="49"/>
        <w:jc w:val="both"/>
        <w:rPr>
          <w:rFonts w:ascii="Palatino Linotype" w:eastAsia="Palatino Linotype" w:hAnsi="Palatino Linotype" w:cs="Palatino Linotype"/>
          <w:b/>
        </w:rPr>
      </w:pPr>
    </w:p>
    <w:p w14:paraId="587AE4ED" w14:textId="347CB5EE" w:rsidR="008928B7" w:rsidRPr="00EE6F81" w:rsidRDefault="007F0BAA" w:rsidP="00A43ADD">
      <w:pPr>
        <w:pBdr>
          <w:top w:val="nil"/>
          <w:left w:val="nil"/>
          <w:bottom w:val="nil"/>
          <w:right w:val="nil"/>
          <w:between w:val="nil"/>
        </w:pBdr>
        <w:tabs>
          <w:tab w:val="left" w:pos="1276"/>
        </w:tabs>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b/>
        </w:rPr>
        <w:t xml:space="preserve">Razones o motivos de la inconformidad: </w:t>
      </w:r>
      <w:r w:rsidRPr="00EE6F81">
        <w:rPr>
          <w:rFonts w:ascii="Palatino Linotype" w:eastAsia="Palatino Linotype" w:hAnsi="Palatino Linotype" w:cs="Palatino Linotype"/>
          <w:i/>
        </w:rPr>
        <w:t>“</w:t>
      </w:r>
      <w:r w:rsidR="003350CC" w:rsidRPr="00EE6F81">
        <w:rPr>
          <w:rFonts w:ascii="Palatino Linotype" w:eastAsia="Palatino Linotype" w:hAnsi="Palatino Linotype" w:cs="Palatino Linotype"/>
          <w:i/>
        </w:rPr>
        <w:t xml:space="preserve">1.Causa agravio la determinación del Comité de Transparencia de clasificar como confidencial la firma autógrafa de la C. Ivett Maldonado Suárez plasmada en el Formato Único de Movimiento de Personal (FUMP), violando el principio de máxima publicidad establecido en el artículo 4 y 8 de La Ley. Si bien la firma es un dato personal, cuando esta es plasmada por un servidor público en un documento oficial para dar validez a un acto administrativo (como lo es su alta o movimiento de personal), dicha firma se convierte en un elemento de validación del ejercicio de la función pública. El artículo 23 de La Ley establece claramente que "Los servidores públicos deberán transparentar sus acciones así como garantizar y respetar el derecho de acceso a la información pública". El FUMP es el documento idóneo que acredita el alta y la relación laboral administrativa. Al testar la firma, se impide verificar la autenticidad de la voluntad expresada por el servidor público para asumir el cargo, contraviniendo la obligación de rendición de cuentas. No existe una expectativa razonable de privacidad sobre la rúbrica que un funcionario utiliza para validar actos de autoridad o administrativos derivados de su empleo, cargo o comisión. La clasificación invocada bajo el artículo 143 fracción I es improcedente, pues al asumir el cargo, la esfera de privacidad del servidor público se reduce frente al interés público de conocer la validez de los actos administrativos, superando la prueba de interés público a la que refiere el artículo 184 de La Ley. </w:t>
      </w:r>
      <w:r w:rsidR="003350CC" w:rsidRPr="00EE6F81">
        <w:rPr>
          <w:rFonts w:ascii="Palatino Linotype" w:eastAsia="Palatino Linotype" w:hAnsi="Palatino Linotype" w:cs="Palatino Linotype"/>
          <w:i/>
        </w:rPr>
        <w:lastRenderedPageBreak/>
        <w:t>2.El Sujeto Obligado testó el apartado "DATOS DEL SUSTITUIDO: NOMBRE" dentro del FUMP, argumentando que es información confidencial. Esto es una violación directa al artículo 92, fracción VII y VIII de La Ley, que obliga a publicar el directorio y remuneración de todos los servidores públicos. La persona "sustituida" en la plaza 206C03758 ocupaba un cargo público, percibía recursos públicos y ejercía funciones dentro del sujeto obligado. El nombre de los servidores públicos (actuales o pasados) es información pública por excelencia y no puede ser clasificada como confidencial bajo el argumento de protección de datos personales. El hecho de que la persona haya dejado el cargo no le otorga retroactivamente confidencialidad a su nombre vinculado al ejercicio de esa plaza específica. Ocultar el nombre de quien ocupaba la plaza impide a la ciudadanía realizar la trazabilidad del ejercicio del gasto público y verificar si se trata de una vacante real, una nueva creación o una sustitución, obstaculizando la rendición de cuentas sobre la estructura orgánica a la que obliga el artículo 92 fracción II. 3. Causa agravio la determinación del Comité de Transparencia contenida en el Acta ACTA/UMS/EXT/COMT/4/2025, toda vez que dicho acto administrativo se encuentra viciado de origen por la participación activa y el voto de un servidor público impedido por ley para intervenir en el asunto. Del análisis del Acta impugnada, se desprende que el Mtro. David Maldonado Ramírez, en su calidad de Titular del Órgano Interno de Control y Vocal del Comité de Transparencia, participó en la discusión y votación para clasificar como confidencial la información de la servidora pública Ivett Maldonado Suárez. Es un hecho notorio y verificable que existe un vínculo de parentesco por consanguinidad en tercer grado (tío-sobrina) entre el Mtro. David Maldonado Ramírez y la C. Ivett Maldonado Suárez. Esta circunstancia actualiza un CONFLICTO DE INTERÉS directo, flagrante y no manifestado, violando lo dispuesto por el artículo 3 fracción VI, 7 fracción IX y, principalmente, el artículo 58 de la Ley de Responsabilidades Administrativas del Estado de México y Municipios, que obliga a todo servidor público a excusarse de intervenir en cualquier forma en la atención, tramitación o resolución de asuntos en los que tenga interés personal o familiar. Al no excusarse, el Titular del OIC vició la voluntad colegiada del Comité de Transparencia. Su participación no fue inocua; su voto fue determinante para aprobar el ocultamiento de datos (nombre de la persona sustituida y firma) que, de ser públicos, permitirían a la ciudadanía fiscalizar precisamente la regularidad de la contratación de su familiar. En consecuencia, la clasificación invocada carece de validez legal, pues el "interés" protegido no es la privacidad de la servidora pública, sino el encubrimiento de un acto de nepotismo. Por tanto, al estar relacionada la información con probables hechos de corrupción o faltas administrativas graves, se actualiza la excepción a la clasificación o reserva, debiendo prevalecer el INTERÉS PÚBLICO de conocer la verdad sobre la contratación, conforme a la prueba de interés público prevista en el artículo 184 de la Ley de la materia. Por lo que es factible la NULIDAD DEL ACTA DEL COMITÉ DE TRANSPARENCIA POR ACTUACIÓN BAJO CONFLICTO DE INTERÉS Y VICIOS EN EL PROCEDIMIENTO DE CLASIFICACIÓN.</w:t>
      </w:r>
      <w:r w:rsidRPr="00EE6F81">
        <w:rPr>
          <w:rFonts w:ascii="Palatino Linotype" w:eastAsia="Palatino Linotype" w:hAnsi="Palatino Linotype" w:cs="Palatino Linotype"/>
          <w:i/>
        </w:rPr>
        <w:t xml:space="preserve">”. </w:t>
      </w:r>
    </w:p>
    <w:p w14:paraId="7DAD31EF" w14:textId="77777777" w:rsidR="008928B7" w:rsidRPr="00EE6F81" w:rsidRDefault="008928B7" w:rsidP="00A43ADD">
      <w:pPr>
        <w:pBdr>
          <w:top w:val="nil"/>
          <w:left w:val="nil"/>
          <w:bottom w:val="nil"/>
          <w:right w:val="nil"/>
          <w:between w:val="nil"/>
        </w:pBdr>
        <w:tabs>
          <w:tab w:val="left" w:pos="1276"/>
        </w:tabs>
        <w:spacing w:after="0" w:line="360" w:lineRule="auto"/>
        <w:ind w:right="49"/>
        <w:jc w:val="both"/>
        <w:rPr>
          <w:rFonts w:ascii="Palatino Linotype" w:eastAsia="Palatino Linotype" w:hAnsi="Palatino Linotype" w:cs="Palatino Linotype"/>
        </w:rPr>
      </w:pPr>
    </w:p>
    <w:p w14:paraId="786195DB" w14:textId="772174C8" w:rsidR="008928B7" w:rsidRPr="00EE6F81" w:rsidRDefault="007F0BAA" w:rsidP="0001170D">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EE6F81">
        <w:rPr>
          <w:rFonts w:ascii="Palatino Linotype" w:eastAsia="Palatino Linotype" w:hAnsi="Palatino Linotype" w:cs="Palatino Linotype"/>
          <w:b/>
        </w:rPr>
        <w:t>Turno.</w:t>
      </w:r>
      <w:r w:rsidRPr="00EE6F81">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003350CC" w:rsidRPr="00EE6F81">
        <w:rPr>
          <w:rFonts w:ascii="Palatino Linotype" w:eastAsia="Palatino Linotype" w:hAnsi="Palatino Linotype" w:cs="Palatino Linotype"/>
          <w:b/>
        </w:rPr>
        <w:t>14439</w:t>
      </w:r>
      <w:r w:rsidR="00C80EB4" w:rsidRPr="00EE6F81">
        <w:rPr>
          <w:rFonts w:ascii="Palatino Linotype" w:eastAsia="Palatino Linotype" w:hAnsi="Palatino Linotype" w:cs="Palatino Linotype"/>
          <w:b/>
        </w:rPr>
        <w:t>/INFOEM/IP/RR/2025</w:t>
      </w:r>
      <w:r w:rsidRPr="00EE6F81">
        <w:rPr>
          <w:rFonts w:ascii="Palatino Linotype" w:eastAsia="Palatino Linotype" w:hAnsi="Palatino Linotype" w:cs="Palatino Linotype"/>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52BEF276" w14:textId="77777777" w:rsidR="008928B7" w:rsidRPr="00EE6F81" w:rsidRDefault="008928B7" w:rsidP="0001170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268751C" w14:textId="02695D07" w:rsidR="008928B7" w:rsidRPr="00EE6F81" w:rsidRDefault="007F0BAA" w:rsidP="0001170D">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EE6F81">
        <w:rPr>
          <w:rFonts w:ascii="Palatino Linotype" w:eastAsia="Palatino Linotype" w:hAnsi="Palatino Linotype" w:cs="Palatino Linotype"/>
          <w:b/>
        </w:rPr>
        <w:t>Admisión del recurso de revisión</w:t>
      </w:r>
      <w:r w:rsidRPr="00EE6F81">
        <w:rPr>
          <w:rFonts w:ascii="Palatino Linotype" w:eastAsia="Palatino Linotype" w:hAnsi="Palatino Linotype" w:cs="Palatino Linotype"/>
        </w:rPr>
        <w:t xml:space="preserve">: En fecha </w:t>
      </w:r>
      <w:r w:rsidR="003350CC" w:rsidRPr="00EE6F81">
        <w:rPr>
          <w:rFonts w:ascii="Palatino Linotype" w:eastAsia="Palatino Linotype" w:hAnsi="Palatino Linotype" w:cs="Palatino Linotype"/>
          <w:b/>
        </w:rPr>
        <w:t>dieciocho de diciembre</w:t>
      </w:r>
      <w:r w:rsidR="00C80EB4" w:rsidRPr="00EE6F81">
        <w:rPr>
          <w:rFonts w:ascii="Palatino Linotype" w:eastAsia="Palatino Linotype" w:hAnsi="Palatino Linotype" w:cs="Palatino Linotype"/>
          <w:b/>
        </w:rPr>
        <w:t xml:space="preserve"> de dos mil veinticinco</w:t>
      </w:r>
      <w:r w:rsidRPr="00EE6F81">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7C615749" w14:textId="77777777" w:rsidR="008928B7" w:rsidRPr="00EE6F81" w:rsidRDefault="008928B7" w:rsidP="003350CC">
      <w:pPr>
        <w:pBdr>
          <w:top w:val="nil"/>
          <w:left w:val="nil"/>
          <w:bottom w:val="nil"/>
          <w:right w:val="nil"/>
          <w:between w:val="nil"/>
        </w:pBdr>
        <w:ind w:left="720" w:right="49"/>
        <w:rPr>
          <w:rFonts w:ascii="Palatino Linotype" w:eastAsia="Palatino Linotype" w:hAnsi="Palatino Linotype" w:cs="Palatino Linotype"/>
        </w:rPr>
      </w:pPr>
    </w:p>
    <w:p w14:paraId="02F5239B" w14:textId="44688414" w:rsidR="003350CC" w:rsidRPr="00EE6F81" w:rsidRDefault="007F0BAA" w:rsidP="003350CC">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EE6F81">
        <w:rPr>
          <w:rFonts w:ascii="Palatino Linotype" w:eastAsia="Palatino Linotype" w:hAnsi="Palatino Linotype" w:cs="Palatino Linotype"/>
          <w:b/>
        </w:rPr>
        <w:t xml:space="preserve">Manifestaciones. </w:t>
      </w:r>
      <w:r w:rsidR="002B18DD" w:rsidRPr="00EE6F81">
        <w:rPr>
          <w:rFonts w:ascii="Palatino Linotype" w:eastAsia="Palatino Linotype" w:hAnsi="Palatino Linotype" w:cs="Palatino Linotype"/>
        </w:rPr>
        <w:t xml:space="preserve">En fecha </w:t>
      </w:r>
      <w:r w:rsidR="003350CC" w:rsidRPr="00EE6F81">
        <w:rPr>
          <w:rFonts w:ascii="Palatino Linotype" w:eastAsia="Palatino Linotype" w:hAnsi="Palatino Linotype" w:cs="Palatino Linotype"/>
          <w:b/>
          <w:bCs/>
        </w:rPr>
        <w:t xml:space="preserve">diecinueve de enero de dos mil veintiséis </w:t>
      </w:r>
      <w:r w:rsidR="002B18DD" w:rsidRPr="00EE6F81">
        <w:rPr>
          <w:rFonts w:ascii="Palatino Linotype" w:eastAsia="Palatino Linotype" w:hAnsi="Palatino Linotype" w:cs="Palatino Linotype"/>
        </w:rPr>
        <w:t xml:space="preserve">el </w:t>
      </w:r>
      <w:r w:rsidR="002B18DD" w:rsidRPr="00EE6F81">
        <w:rPr>
          <w:rFonts w:ascii="Palatino Linotype" w:eastAsia="Palatino Linotype" w:hAnsi="Palatino Linotype" w:cs="Palatino Linotype"/>
          <w:b/>
          <w:bCs/>
        </w:rPr>
        <w:t xml:space="preserve">SUJETO OBLIGADO </w:t>
      </w:r>
      <w:r w:rsidR="002B18DD" w:rsidRPr="00EE6F81">
        <w:rPr>
          <w:rFonts w:ascii="Palatino Linotype" w:eastAsia="Palatino Linotype" w:hAnsi="Palatino Linotype" w:cs="Palatino Linotype"/>
        </w:rPr>
        <w:t xml:space="preserve">rindió su informe justificado </w:t>
      </w:r>
      <w:r w:rsidR="003350CC" w:rsidRPr="00EE6F81">
        <w:rPr>
          <w:rFonts w:ascii="Palatino Linotype" w:eastAsia="Palatino Linotype" w:hAnsi="Palatino Linotype" w:cs="Palatino Linotype"/>
        </w:rPr>
        <w:t xml:space="preserve">mediante el cual ratificó su respuesta inicial. </w:t>
      </w:r>
    </w:p>
    <w:p w14:paraId="1A27E865" w14:textId="77777777" w:rsidR="002B18DD" w:rsidRPr="00EE6F81" w:rsidRDefault="002B18DD" w:rsidP="002B18D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E2C8014" w14:textId="77777777" w:rsidR="002B18DD" w:rsidRPr="00EE6F81" w:rsidRDefault="002B18DD" w:rsidP="002B18DD">
      <w:pPr>
        <w:pBdr>
          <w:top w:val="nil"/>
          <w:left w:val="nil"/>
          <w:bottom w:val="nil"/>
          <w:right w:val="nil"/>
          <w:between w:val="nil"/>
        </w:pBdr>
        <w:spacing w:after="0" w:line="360" w:lineRule="auto"/>
        <w:ind w:right="49"/>
        <w:jc w:val="both"/>
        <w:rPr>
          <w:rFonts w:ascii="Palatino Linotype" w:eastAsia="Palatino Linotype" w:hAnsi="Palatino Linotype" w:cs="Palatino Linotype"/>
          <w:b/>
          <w:bCs/>
        </w:rPr>
      </w:pPr>
      <w:r w:rsidRPr="00EE6F81">
        <w:rPr>
          <w:rFonts w:ascii="Palatino Linotype" w:eastAsia="Palatino Linotype" w:hAnsi="Palatino Linotype" w:cs="Palatino Linotype"/>
        </w:rPr>
        <w:t xml:space="preserve">Documentos que se hicieron del conocimiento de la parte Recurrente en fecga </w:t>
      </w:r>
      <w:r w:rsidRPr="00EE6F81">
        <w:rPr>
          <w:rFonts w:ascii="Palatino Linotype" w:eastAsia="Palatino Linotype" w:hAnsi="Palatino Linotype" w:cs="Palatino Linotype"/>
          <w:b/>
          <w:bCs/>
        </w:rPr>
        <w:t xml:space="preserve">veintinueve de enero de dos mil veintiséis. </w:t>
      </w:r>
    </w:p>
    <w:p w14:paraId="7376A9A0" w14:textId="77777777" w:rsidR="002B18DD" w:rsidRPr="00EE6F81" w:rsidRDefault="002B18DD" w:rsidP="002B18DD">
      <w:pPr>
        <w:pBdr>
          <w:top w:val="nil"/>
          <w:left w:val="nil"/>
          <w:bottom w:val="nil"/>
          <w:right w:val="nil"/>
          <w:between w:val="nil"/>
        </w:pBdr>
        <w:spacing w:after="0" w:line="360" w:lineRule="auto"/>
        <w:ind w:right="49"/>
        <w:jc w:val="both"/>
        <w:rPr>
          <w:rFonts w:ascii="Palatino Linotype" w:eastAsia="Palatino Linotype" w:hAnsi="Palatino Linotype" w:cs="Palatino Linotype"/>
          <w:b/>
          <w:bCs/>
        </w:rPr>
      </w:pPr>
    </w:p>
    <w:p w14:paraId="492FF996" w14:textId="180E1C39" w:rsidR="00232A56" w:rsidRPr="00EE6F81" w:rsidRDefault="002B18DD" w:rsidP="002B18D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EE6F81">
        <w:rPr>
          <w:rFonts w:ascii="Palatino Linotype" w:eastAsia="Palatino Linotype" w:hAnsi="Palatino Linotype" w:cs="Palatino Linotype"/>
        </w:rPr>
        <w:t xml:space="preserve">La parte fue omisa en rendir manifestaciones. </w:t>
      </w:r>
      <w:r w:rsidR="00E80453" w:rsidRPr="00EE6F81">
        <w:rPr>
          <w:rFonts w:ascii="Palatino Linotype" w:eastAsia="Palatino Linotype" w:hAnsi="Palatino Linotype" w:cs="Palatino Linotype"/>
        </w:rPr>
        <w:t xml:space="preserve"> </w:t>
      </w:r>
    </w:p>
    <w:p w14:paraId="3693F6BE" w14:textId="77777777" w:rsidR="00932B7B" w:rsidRPr="00EE6F81" w:rsidRDefault="00932B7B" w:rsidP="002B18D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4EF1746" w14:textId="5E025094" w:rsidR="00932B7B" w:rsidRPr="00EE6F81" w:rsidRDefault="00932B7B" w:rsidP="00932B7B">
      <w:pPr>
        <w:numPr>
          <w:ilvl w:val="0"/>
          <w:numId w:val="29"/>
        </w:numPr>
        <w:pBdr>
          <w:top w:val="nil"/>
          <w:left w:val="nil"/>
          <w:bottom w:val="nil"/>
          <w:right w:val="nil"/>
          <w:between w:val="nil"/>
        </w:pBdr>
        <w:tabs>
          <w:tab w:val="left" w:pos="426"/>
        </w:tabs>
        <w:spacing w:after="0" w:line="360" w:lineRule="auto"/>
        <w:ind w:left="0" w:firstLine="0"/>
        <w:jc w:val="both"/>
        <w:rPr>
          <w:rFonts w:ascii="Palatino Linotype" w:eastAsia="Palatino Linotype" w:hAnsi="Palatino Linotype" w:cs="Palatino Linotype"/>
        </w:rPr>
      </w:pPr>
      <w:r w:rsidRPr="00EE6F81">
        <w:rPr>
          <w:rFonts w:ascii="Palatino Linotype" w:eastAsia="Palatino Linotype" w:hAnsi="Palatino Linotype" w:cs="Palatino Linotype"/>
          <w:b/>
        </w:rPr>
        <w:t>Ampliación del plazo.</w:t>
      </w:r>
      <w:r w:rsidRPr="00EE6F81">
        <w:rPr>
          <w:rFonts w:ascii="Palatino Linotype" w:eastAsia="Palatino Linotype" w:hAnsi="Palatino Linotype" w:cs="Palatino Linotype"/>
        </w:rPr>
        <w:t xml:space="preserve"> En fecha </w:t>
      </w:r>
      <w:r w:rsidRPr="00EE6F81">
        <w:rPr>
          <w:rFonts w:ascii="Palatino Linotype" w:eastAsia="Palatino Linotype" w:hAnsi="Palatino Linotype" w:cs="Palatino Linotype"/>
          <w:b/>
        </w:rPr>
        <w:t>veintinueve de enero de dos mil veintiséis</w:t>
      </w:r>
      <w:r w:rsidRPr="00EE6F81">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435CB651" w14:textId="77777777" w:rsidR="00932B7B" w:rsidRPr="00EE6F81" w:rsidRDefault="00932B7B" w:rsidP="00932B7B">
      <w:pPr>
        <w:widowControl w:val="0"/>
        <w:spacing w:after="0" w:line="360" w:lineRule="auto"/>
        <w:jc w:val="both"/>
        <w:rPr>
          <w:rFonts w:ascii="Palatino Linotype" w:eastAsia="Palatino Linotype" w:hAnsi="Palatino Linotype" w:cs="Palatino Linotype"/>
        </w:rPr>
      </w:pPr>
    </w:p>
    <w:p w14:paraId="56CB0BC1" w14:textId="77777777" w:rsidR="00932B7B" w:rsidRPr="00EE6F81" w:rsidRDefault="00932B7B" w:rsidP="00932B7B">
      <w:pPr>
        <w:spacing w:after="0" w:line="360" w:lineRule="auto"/>
        <w:jc w:val="both"/>
        <w:rPr>
          <w:rFonts w:ascii="Palatino Linotype" w:eastAsia="Palatino Linotype" w:hAnsi="Palatino Linotype" w:cs="Palatino Linotype"/>
        </w:rPr>
      </w:pPr>
      <w:r w:rsidRPr="00EE6F81">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68ECC25" w14:textId="77777777" w:rsidR="00932B7B" w:rsidRPr="00EE6F81" w:rsidRDefault="00932B7B" w:rsidP="00932B7B">
      <w:pPr>
        <w:spacing w:after="0" w:line="360" w:lineRule="auto"/>
        <w:jc w:val="both"/>
        <w:rPr>
          <w:rFonts w:ascii="Palatino Linotype" w:eastAsia="Palatino Linotype" w:hAnsi="Palatino Linotype" w:cs="Palatino Linotype"/>
        </w:rPr>
      </w:pPr>
    </w:p>
    <w:p w14:paraId="33C909F5" w14:textId="19DA308F" w:rsidR="00932B7B" w:rsidRPr="00EE6F81" w:rsidRDefault="00932B7B" w:rsidP="00932B7B">
      <w:pPr>
        <w:spacing w:after="0" w:line="360" w:lineRule="auto"/>
        <w:jc w:val="both"/>
        <w:rPr>
          <w:rFonts w:ascii="Palatino Linotype" w:eastAsia="Palatino Linotype" w:hAnsi="Palatino Linotype" w:cs="Palatino Linotype"/>
        </w:rPr>
      </w:pPr>
      <w:r w:rsidRPr="00EE6F81">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5876299" w14:textId="77777777" w:rsidR="003350CC" w:rsidRPr="00EE6F81" w:rsidRDefault="003350CC" w:rsidP="00932B7B">
      <w:pPr>
        <w:spacing w:after="0" w:line="360" w:lineRule="auto"/>
        <w:jc w:val="both"/>
        <w:rPr>
          <w:rFonts w:ascii="Palatino Linotype" w:eastAsia="Palatino Linotype" w:hAnsi="Palatino Linotype" w:cs="Palatino Linotype"/>
        </w:rPr>
      </w:pPr>
    </w:p>
    <w:p w14:paraId="428FC7E8" w14:textId="77777777" w:rsidR="00932B7B" w:rsidRPr="00EE6F81" w:rsidRDefault="00932B7B" w:rsidP="00932B7B">
      <w:pPr>
        <w:spacing w:after="0" w:line="360" w:lineRule="auto"/>
        <w:jc w:val="both"/>
        <w:rPr>
          <w:rFonts w:ascii="Palatino Linotype" w:eastAsia="Palatino Linotype" w:hAnsi="Palatino Linotype" w:cs="Palatino Linotype"/>
        </w:rPr>
      </w:pPr>
      <w:r w:rsidRPr="00EE6F81">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0F4E933" w14:textId="77777777" w:rsidR="00932B7B" w:rsidRPr="00EE6F81" w:rsidRDefault="00932B7B" w:rsidP="00932B7B">
      <w:pPr>
        <w:spacing w:after="0" w:line="360" w:lineRule="auto"/>
        <w:jc w:val="both"/>
        <w:rPr>
          <w:rFonts w:ascii="Palatino Linotype" w:eastAsia="Palatino Linotype" w:hAnsi="Palatino Linotype" w:cs="Palatino Linotype"/>
        </w:rPr>
      </w:pPr>
      <w:r w:rsidRPr="00EE6F81">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EA2FBCD" w14:textId="77777777" w:rsidR="00932B7B" w:rsidRPr="00EE6F81" w:rsidRDefault="00932B7B" w:rsidP="00932B7B">
      <w:pPr>
        <w:spacing w:after="0" w:line="360" w:lineRule="auto"/>
        <w:jc w:val="both"/>
        <w:rPr>
          <w:rFonts w:ascii="Palatino Linotype" w:eastAsia="Palatino Linotype" w:hAnsi="Palatino Linotype" w:cs="Palatino Linotype"/>
        </w:rPr>
      </w:pPr>
    </w:p>
    <w:p w14:paraId="7DA2E31A" w14:textId="77777777" w:rsidR="00932B7B" w:rsidRPr="00EE6F81" w:rsidRDefault="00932B7B" w:rsidP="00932B7B">
      <w:pPr>
        <w:spacing w:after="0" w:line="360" w:lineRule="auto"/>
        <w:jc w:val="both"/>
        <w:rPr>
          <w:rFonts w:ascii="Palatino Linotype" w:eastAsia="Palatino Linotype" w:hAnsi="Palatino Linotype" w:cs="Palatino Linotype"/>
          <w:strike/>
        </w:rPr>
      </w:pPr>
      <w:r w:rsidRPr="00EE6F81">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CEF5168" w14:textId="77777777" w:rsidR="00932B7B" w:rsidRPr="00EE6F81" w:rsidRDefault="00932B7B" w:rsidP="00932B7B">
      <w:pPr>
        <w:spacing w:after="0" w:line="360" w:lineRule="auto"/>
        <w:jc w:val="both"/>
        <w:rPr>
          <w:rFonts w:ascii="Palatino Linotype" w:eastAsia="Palatino Linotype" w:hAnsi="Palatino Linotype" w:cs="Palatino Linotype"/>
        </w:rPr>
      </w:pPr>
    </w:p>
    <w:p w14:paraId="3412F174" w14:textId="77777777" w:rsidR="00932B7B" w:rsidRPr="00EE6F81" w:rsidRDefault="00932B7B" w:rsidP="00932B7B">
      <w:pPr>
        <w:numPr>
          <w:ilvl w:val="0"/>
          <w:numId w:val="30"/>
        </w:numPr>
        <w:spacing w:after="0" w:line="360" w:lineRule="auto"/>
        <w:jc w:val="both"/>
        <w:rPr>
          <w:rFonts w:ascii="Palatino Linotype" w:eastAsia="Palatino Linotype" w:hAnsi="Palatino Linotype" w:cs="Palatino Linotype"/>
        </w:rPr>
      </w:pPr>
      <w:r w:rsidRPr="00EE6F81">
        <w:rPr>
          <w:rFonts w:ascii="Palatino Linotype" w:eastAsia="Palatino Linotype" w:hAnsi="Palatino Linotype" w:cs="Palatino Linotype"/>
          <w:b/>
        </w:rPr>
        <w:t>Complejidad del Asunto:</w:t>
      </w:r>
      <w:r w:rsidRPr="00EE6F81">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55C5AD8E" w14:textId="77777777" w:rsidR="00932B7B" w:rsidRPr="00EE6F81" w:rsidRDefault="00932B7B" w:rsidP="00932B7B">
      <w:pPr>
        <w:spacing w:after="0" w:line="360" w:lineRule="auto"/>
        <w:ind w:left="927"/>
        <w:jc w:val="both"/>
        <w:rPr>
          <w:rFonts w:ascii="Palatino Linotype" w:eastAsia="Palatino Linotype" w:hAnsi="Palatino Linotype" w:cs="Palatino Linotype"/>
        </w:rPr>
      </w:pPr>
    </w:p>
    <w:p w14:paraId="1BA00631" w14:textId="77777777" w:rsidR="00932B7B" w:rsidRPr="00EE6F81" w:rsidRDefault="00932B7B" w:rsidP="00932B7B">
      <w:pPr>
        <w:numPr>
          <w:ilvl w:val="0"/>
          <w:numId w:val="30"/>
        </w:numPr>
        <w:spacing w:after="0" w:line="360" w:lineRule="auto"/>
        <w:jc w:val="both"/>
        <w:rPr>
          <w:rFonts w:ascii="Palatino Linotype" w:eastAsia="Palatino Linotype" w:hAnsi="Palatino Linotype" w:cs="Palatino Linotype"/>
        </w:rPr>
      </w:pPr>
      <w:r w:rsidRPr="00EE6F81">
        <w:rPr>
          <w:rFonts w:ascii="Palatino Linotype" w:eastAsia="Palatino Linotype" w:hAnsi="Palatino Linotype" w:cs="Palatino Linotype"/>
          <w:b/>
        </w:rPr>
        <w:t>Actividad Procesal del interesado.</w:t>
      </w:r>
      <w:r w:rsidRPr="00EE6F81">
        <w:rPr>
          <w:rFonts w:ascii="Palatino Linotype" w:eastAsia="Palatino Linotype" w:hAnsi="Palatino Linotype" w:cs="Palatino Linotype"/>
        </w:rPr>
        <w:t xml:space="preserve"> Acciones u omisiones del interesado.</w:t>
      </w:r>
    </w:p>
    <w:p w14:paraId="651A44F7" w14:textId="77777777" w:rsidR="00932B7B" w:rsidRPr="00EE6F81" w:rsidRDefault="00932B7B" w:rsidP="00932B7B">
      <w:pPr>
        <w:spacing w:after="0" w:line="360" w:lineRule="auto"/>
        <w:ind w:left="927"/>
        <w:jc w:val="both"/>
        <w:rPr>
          <w:rFonts w:ascii="Palatino Linotype" w:eastAsia="Palatino Linotype" w:hAnsi="Palatino Linotype" w:cs="Palatino Linotype"/>
        </w:rPr>
      </w:pPr>
    </w:p>
    <w:p w14:paraId="3BD4964A" w14:textId="77777777" w:rsidR="00932B7B" w:rsidRPr="00EE6F81" w:rsidRDefault="00932B7B" w:rsidP="00932B7B">
      <w:pPr>
        <w:numPr>
          <w:ilvl w:val="0"/>
          <w:numId w:val="30"/>
        </w:numPr>
        <w:spacing w:after="0" w:line="360" w:lineRule="auto"/>
        <w:jc w:val="both"/>
        <w:rPr>
          <w:rFonts w:ascii="Palatino Linotype" w:eastAsia="Palatino Linotype" w:hAnsi="Palatino Linotype" w:cs="Palatino Linotype"/>
        </w:rPr>
      </w:pPr>
      <w:r w:rsidRPr="00EE6F81">
        <w:rPr>
          <w:rFonts w:ascii="Palatino Linotype" w:eastAsia="Palatino Linotype" w:hAnsi="Palatino Linotype" w:cs="Palatino Linotype"/>
          <w:b/>
        </w:rPr>
        <w:t xml:space="preserve">Conducta de la Autoridad: </w:t>
      </w:r>
      <w:r w:rsidRPr="00EE6F81">
        <w:rPr>
          <w:rFonts w:ascii="Palatino Linotype" w:eastAsia="Palatino Linotype" w:hAnsi="Palatino Linotype" w:cs="Palatino Linotype"/>
        </w:rPr>
        <w:t>Las Acciones u omisiones realizadas en el procedimiento. Así como si la autoridad actuó con la debida diligencia.</w:t>
      </w:r>
    </w:p>
    <w:p w14:paraId="65967790" w14:textId="77777777" w:rsidR="00932B7B" w:rsidRPr="00EE6F81" w:rsidRDefault="00932B7B" w:rsidP="00932B7B">
      <w:pPr>
        <w:spacing w:after="0" w:line="360" w:lineRule="auto"/>
        <w:ind w:left="927"/>
        <w:jc w:val="both"/>
        <w:rPr>
          <w:rFonts w:ascii="Palatino Linotype" w:eastAsia="Palatino Linotype" w:hAnsi="Palatino Linotype" w:cs="Palatino Linotype"/>
        </w:rPr>
      </w:pPr>
    </w:p>
    <w:p w14:paraId="5875B19E" w14:textId="77777777" w:rsidR="00932B7B" w:rsidRPr="00EE6F81" w:rsidRDefault="00932B7B" w:rsidP="00932B7B">
      <w:pPr>
        <w:numPr>
          <w:ilvl w:val="0"/>
          <w:numId w:val="30"/>
        </w:numPr>
        <w:spacing w:after="0" w:line="360" w:lineRule="auto"/>
        <w:jc w:val="both"/>
        <w:rPr>
          <w:rFonts w:ascii="Palatino Linotype" w:eastAsia="Palatino Linotype" w:hAnsi="Palatino Linotype" w:cs="Palatino Linotype"/>
        </w:rPr>
      </w:pPr>
      <w:r w:rsidRPr="00EE6F81">
        <w:rPr>
          <w:rFonts w:ascii="Palatino Linotype" w:eastAsia="Palatino Linotype" w:hAnsi="Palatino Linotype" w:cs="Palatino Linotype"/>
        </w:rPr>
        <w:t xml:space="preserve"> </w:t>
      </w:r>
      <w:r w:rsidRPr="00EE6F81">
        <w:rPr>
          <w:rFonts w:ascii="Palatino Linotype" w:eastAsia="Palatino Linotype" w:hAnsi="Palatino Linotype" w:cs="Palatino Linotype"/>
          <w:b/>
        </w:rPr>
        <w:t>La afectación generada en la situación jurídica de la persona involucrada en el proceso:</w:t>
      </w:r>
      <w:r w:rsidRPr="00EE6F81">
        <w:rPr>
          <w:rFonts w:ascii="Palatino Linotype" w:eastAsia="Palatino Linotype" w:hAnsi="Palatino Linotype" w:cs="Palatino Linotype"/>
        </w:rPr>
        <w:t xml:space="preserve"> Violación a sus derechos humanos.</w:t>
      </w:r>
    </w:p>
    <w:p w14:paraId="362BE03A" w14:textId="77777777" w:rsidR="00932B7B" w:rsidRPr="00EE6F81" w:rsidRDefault="00932B7B" w:rsidP="00932B7B">
      <w:pPr>
        <w:spacing w:after="0" w:line="360" w:lineRule="auto"/>
        <w:jc w:val="both"/>
        <w:rPr>
          <w:rFonts w:ascii="Palatino Linotype" w:eastAsia="Palatino Linotype" w:hAnsi="Palatino Linotype" w:cs="Palatino Linotype"/>
        </w:rPr>
      </w:pPr>
    </w:p>
    <w:p w14:paraId="4C45E524" w14:textId="77777777" w:rsidR="00932B7B" w:rsidRPr="00EE6F81" w:rsidRDefault="00932B7B" w:rsidP="00932B7B">
      <w:pPr>
        <w:spacing w:after="0" w:line="360" w:lineRule="auto"/>
        <w:jc w:val="both"/>
        <w:rPr>
          <w:rFonts w:ascii="Palatino Linotype" w:eastAsia="Palatino Linotype" w:hAnsi="Palatino Linotype" w:cs="Palatino Linotype"/>
        </w:rPr>
      </w:pPr>
      <w:r w:rsidRPr="00EE6F81">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0746847" w14:textId="77777777" w:rsidR="00932B7B" w:rsidRPr="00EE6F81" w:rsidRDefault="00932B7B" w:rsidP="00932B7B">
      <w:pPr>
        <w:spacing w:after="0" w:line="360" w:lineRule="auto"/>
        <w:jc w:val="both"/>
        <w:rPr>
          <w:rFonts w:ascii="Palatino Linotype" w:eastAsia="Palatino Linotype" w:hAnsi="Palatino Linotype" w:cs="Palatino Linotype"/>
        </w:rPr>
      </w:pPr>
    </w:p>
    <w:p w14:paraId="7CD1293B" w14:textId="77777777" w:rsidR="00932B7B" w:rsidRPr="00EE6F81" w:rsidRDefault="00932B7B" w:rsidP="00932B7B">
      <w:pPr>
        <w:spacing w:after="0" w:line="360" w:lineRule="auto"/>
        <w:jc w:val="both"/>
        <w:rPr>
          <w:rFonts w:ascii="Palatino Linotype" w:eastAsia="Palatino Linotype" w:hAnsi="Palatino Linotype" w:cs="Palatino Linotype"/>
          <w:b/>
        </w:rPr>
      </w:pPr>
      <w:r w:rsidRPr="00EE6F81">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EE6F81">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EE6F81">
        <w:rPr>
          <w:rFonts w:ascii="Palatino Linotype" w:eastAsia="Palatino Linotype" w:hAnsi="Palatino Linotype" w:cs="Palatino Linotype"/>
        </w:rPr>
        <w:t>, visible en la Gaceta del Seminario Judicial de la Federación con el registro digital 205635.</w:t>
      </w:r>
    </w:p>
    <w:p w14:paraId="7F27BA89" w14:textId="77777777" w:rsidR="00932B7B" w:rsidRPr="00EE6F81" w:rsidRDefault="00932B7B" w:rsidP="00932B7B">
      <w:pPr>
        <w:spacing w:after="0" w:line="360" w:lineRule="auto"/>
        <w:jc w:val="both"/>
        <w:rPr>
          <w:rFonts w:ascii="Palatino Linotype" w:eastAsia="Palatino Linotype" w:hAnsi="Palatino Linotype" w:cs="Palatino Linotype"/>
        </w:rPr>
      </w:pPr>
    </w:p>
    <w:p w14:paraId="322C0E95" w14:textId="77777777" w:rsidR="00932B7B" w:rsidRPr="00EE6F81" w:rsidRDefault="00932B7B" w:rsidP="00932B7B">
      <w:pPr>
        <w:spacing w:after="0" w:line="360" w:lineRule="auto"/>
        <w:jc w:val="both"/>
        <w:rPr>
          <w:rFonts w:ascii="Palatino Linotype" w:eastAsia="Palatino Linotype" w:hAnsi="Palatino Linotype" w:cs="Palatino Linotype"/>
        </w:rPr>
      </w:pPr>
      <w:r w:rsidRPr="00EE6F81">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F384ADC" w14:textId="77777777" w:rsidR="00932B7B" w:rsidRPr="00EE6F81" w:rsidRDefault="00932B7B" w:rsidP="00932B7B">
      <w:pPr>
        <w:spacing w:after="0" w:line="360" w:lineRule="auto"/>
        <w:jc w:val="both"/>
        <w:rPr>
          <w:rFonts w:ascii="Palatino Linotype" w:eastAsia="Palatino Linotype" w:hAnsi="Palatino Linotype" w:cs="Palatino Linotype"/>
        </w:rPr>
      </w:pPr>
    </w:p>
    <w:p w14:paraId="0D9CC6DF" w14:textId="77777777" w:rsidR="00932B7B" w:rsidRPr="00EE6F81" w:rsidRDefault="00932B7B" w:rsidP="00932B7B">
      <w:pPr>
        <w:spacing w:after="0" w:line="360" w:lineRule="auto"/>
        <w:jc w:val="both"/>
        <w:rPr>
          <w:rFonts w:ascii="Palatino Linotype" w:eastAsia="Palatino Linotype" w:hAnsi="Palatino Linotype" w:cs="Palatino Linotype"/>
        </w:rPr>
      </w:pPr>
      <w:r w:rsidRPr="00EE6F81">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2861088" w14:textId="77777777" w:rsidR="00932B7B" w:rsidRPr="00EE6F81" w:rsidRDefault="00932B7B" w:rsidP="00932B7B">
      <w:pPr>
        <w:spacing w:after="0" w:line="360" w:lineRule="auto"/>
        <w:jc w:val="both"/>
        <w:rPr>
          <w:rFonts w:ascii="Palatino Linotype" w:eastAsia="Palatino Linotype" w:hAnsi="Palatino Linotype" w:cs="Palatino Linotype"/>
        </w:rPr>
      </w:pPr>
    </w:p>
    <w:p w14:paraId="7C352218" w14:textId="77777777" w:rsidR="00932B7B" w:rsidRPr="00EE6F81" w:rsidRDefault="00932B7B" w:rsidP="00932B7B">
      <w:pPr>
        <w:spacing w:after="0" w:line="360" w:lineRule="auto"/>
        <w:ind w:left="567" w:right="616"/>
        <w:jc w:val="both"/>
        <w:rPr>
          <w:rFonts w:ascii="Palatino Linotype" w:eastAsia="Palatino Linotype" w:hAnsi="Palatino Linotype" w:cs="Palatino Linotype"/>
        </w:rPr>
      </w:pPr>
      <w:r w:rsidRPr="00EE6F81">
        <w:rPr>
          <w:rFonts w:ascii="Palatino Linotype" w:eastAsia="Palatino Linotype" w:hAnsi="Palatino Linotype" w:cs="Palatino Linotype"/>
        </w:rPr>
        <w:t xml:space="preserve"> </w:t>
      </w:r>
      <w:r w:rsidRPr="00EE6F81">
        <w:rPr>
          <w:rFonts w:ascii="Palatino Linotype" w:eastAsia="Palatino Linotype" w:hAnsi="Palatino Linotype" w:cs="Palatino Linotype"/>
          <w:i/>
        </w:rPr>
        <w:t>“PLAZO RAZONABLE PARA RESOLVER. DIMENSIÓN Y EFECTOS DE ESTE CONCEPTO CUANDO SE ADUCE EXCESIVA CARGA DE TRABAJO.”</w:t>
      </w:r>
      <w:r w:rsidRPr="00EE6F81">
        <w:rPr>
          <w:rFonts w:ascii="Palatino Linotype" w:eastAsia="Palatino Linotype" w:hAnsi="Palatino Linotype" w:cs="Palatino Linotype"/>
        </w:rPr>
        <w:t xml:space="preserve"> consultable en el Seminario Judicial de la Federación y su gaceta, con el registro digital 2002351.</w:t>
      </w:r>
    </w:p>
    <w:p w14:paraId="1D69FA1E" w14:textId="77777777" w:rsidR="00932B7B" w:rsidRPr="00EE6F81" w:rsidRDefault="00932B7B" w:rsidP="00932B7B">
      <w:pPr>
        <w:spacing w:after="0" w:line="360" w:lineRule="auto"/>
        <w:ind w:left="567" w:right="616"/>
        <w:jc w:val="both"/>
        <w:rPr>
          <w:rFonts w:ascii="Palatino Linotype" w:eastAsia="Palatino Linotype" w:hAnsi="Palatino Linotype" w:cs="Palatino Linotype"/>
          <w:b/>
        </w:rPr>
      </w:pPr>
    </w:p>
    <w:p w14:paraId="5ADB198B" w14:textId="25DE5057" w:rsidR="00932B7B" w:rsidRPr="00EE6F81" w:rsidRDefault="00932B7B" w:rsidP="003350CC">
      <w:pPr>
        <w:spacing w:after="0" w:line="360" w:lineRule="auto"/>
        <w:ind w:left="567" w:right="616"/>
        <w:jc w:val="both"/>
        <w:rPr>
          <w:rFonts w:ascii="Palatino Linotype" w:eastAsia="Palatino Linotype" w:hAnsi="Palatino Linotype" w:cs="Palatino Linotype"/>
        </w:rPr>
      </w:pPr>
      <w:r w:rsidRPr="00EE6F81">
        <w:rPr>
          <w:rFonts w:ascii="Palatino Linotype" w:eastAsia="Palatino Linotype" w:hAnsi="Palatino Linotype" w:cs="Palatino Linotype"/>
          <w:i/>
        </w:rPr>
        <w:t>“PLAZO RAZONABLE PARA RESOLVER. CONCEPTO Y ELEMENTOS QUE LO INTEGRAN A LA LUZ DEL DERECHO INTERNACIONAL DE LOS DERECHOS HUMANOS.”</w:t>
      </w:r>
      <w:r w:rsidRPr="00EE6F81">
        <w:rPr>
          <w:rFonts w:ascii="Palatino Linotype" w:eastAsia="Palatino Linotype" w:hAnsi="Palatino Linotype" w:cs="Palatino Linotype"/>
        </w:rPr>
        <w:t>, visible en el Seminario Judicial de la Federación y su gaceta, con el registro digital 2002350.</w:t>
      </w:r>
    </w:p>
    <w:p w14:paraId="226FD791" w14:textId="77777777" w:rsidR="00932B7B" w:rsidRPr="00EE6F81" w:rsidRDefault="00932B7B" w:rsidP="00932B7B">
      <w:pPr>
        <w:spacing w:after="0" w:line="360" w:lineRule="auto"/>
        <w:jc w:val="both"/>
        <w:rPr>
          <w:rFonts w:ascii="Palatino Linotype" w:eastAsia="Palatino Linotype" w:hAnsi="Palatino Linotype" w:cs="Palatino Linotype"/>
        </w:rPr>
      </w:pPr>
      <w:r w:rsidRPr="00EE6F81">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37ADA8FF" w14:textId="77777777" w:rsidR="00932B7B" w:rsidRPr="00EE6F81" w:rsidRDefault="00932B7B" w:rsidP="00932B7B">
      <w:pPr>
        <w:spacing w:after="0" w:line="360" w:lineRule="auto"/>
        <w:jc w:val="both"/>
        <w:rPr>
          <w:rFonts w:ascii="Palatino Linotype" w:eastAsia="Palatino Linotype" w:hAnsi="Palatino Linotype" w:cs="Palatino Linotype"/>
        </w:rPr>
      </w:pPr>
    </w:p>
    <w:p w14:paraId="1C3917E1" w14:textId="6550AC48" w:rsidR="00932B7B" w:rsidRPr="00EE6F81" w:rsidRDefault="00932B7B" w:rsidP="00932B7B">
      <w:pPr>
        <w:numPr>
          <w:ilvl w:val="0"/>
          <w:numId w:val="29"/>
        </w:numPr>
        <w:pBdr>
          <w:top w:val="nil"/>
          <w:left w:val="nil"/>
          <w:bottom w:val="nil"/>
          <w:right w:val="nil"/>
          <w:between w:val="nil"/>
        </w:pBdr>
        <w:tabs>
          <w:tab w:val="left" w:pos="426"/>
        </w:tabs>
        <w:spacing w:after="0" w:line="360" w:lineRule="auto"/>
        <w:ind w:left="0" w:firstLine="0"/>
        <w:jc w:val="both"/>
        <w:rPr>
          <w:rFonts w:ascii="Palatino Linotype" w:eastAsia="Palatino Linotype" w:hAnsi="Palatino Linotype" w:cs="Palatino Linotype"/>
        </w:rPr>
      </w:pPr>
      <w:r w:rsidRPr="00EE6F81">
        <w:rPr>
          <w:rFonts w:ascii="Palatino Linotype" w:eastAsia="Palatino Linotype" w:hAnsi="Palatino Linotype" w:cs="Palatino Linotype"/>
          <w:b/>
        </w:rPr>
        <w:t xml:space="preserve">Cierre de instrucción. </w:t>
      </w:r>
      <w:r w:rsidRPr="00EE6F81">
        <w:rPr>
          <w:rFonts w:ascii="Palatino Linotype" w:eastAsia="Palatino Linotype" w:hAnsi="Palatino Linotype" w:cs="Palatino Linotype"/>
        </w:rPr>
        <w:t xml:space="preserve">El </w:t>
      </w:r>
      <w:r w:rsidRPr="00EE6F81">
        <w:rPr>
          <w:rFonts w:ascii="Palatino Linotype" w:eastAsia="Palatino Linotype" w:hAnsi="Palatino Linotype" w:cs="Palatino Linotype"/>
          <w:b/>
        </w:rPr>
        <w:t>cinco de febrero de dos mil veintiséis</w:t>
      </w:r>
      <w:r w:rsidRPr="00EE6F81">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5555D307" w14:textId="77777777" w:rsidR="00932B7B" w:rsidRPr="00EE6F81" w:rsidRDefault="00932B7B" w:rsidP="00932B7B">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rPr>
      </w:pPr>
    </w:p>
    <w:p w14:paraId="50CC28DB" w14:textId="229B53B6" w:rsidR="008928B7" w:rsidRPr="00EE6F81" w:rsidRDefault="00932B7B" w:rsidP="00932B7B">
      <w:pPr>
        <w:spacing w:after="0" w:line="360" w:lineRule="auto"/>
        <w:jc w:val="both"/>
        <w:rPr>
          <w:rFonts w:ascii="Palatino Linotype" w:eastAsia="Palatino Linotype" w:hAnsi="Palatino Linotype" w:cs="Palatino Linotype"/>
        </w:rPr>
      </w:pPr>
      <w:r w:rsidRPr="00EE6F81">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052D6CF3" w14:textId="77777777" w:rsidR="00F81A78" w:rsidRPr="00EE6F81" w:rsidRDefault="00F81A78" w:rsidP="00932B7B">
      <w:pPr>
        <w:spacing w:after="0" w:line="360" w:lineRule="auto"/>
        <w:jc w:val="both"/>
        <w:rPr>
          <w:rFonts w:ascii="Palatino Linotype" w:eastAsia="Palatino Linotype" w:hAnsi="Palatino Linotype" w:cs="Palatino Linotype"/>
        </w:rPr>
      </w:pPr>
    </w:p>
    <w:p w14:paraId="4348368B" w14:textId="77777777" w:rsidR="008928B7" w:rsidRPr="00EE6F81" w:rsidRDefault="007F0BAA" w:rsidP="00A43ADD">
      <w:pPr>
        <w:spacing w:after="0" w:line="360" w:lineRule="auto"/>
        <w:ind w:right="49"/>
        <w:jc w:val="center"/>
        <w:rPr>
          <w:rFonts w:ascii="Palatino Linotype" w:eastAsia="Palatino Linotype" w:hAnsi="Palatino Linotype" w:cs="Palatino Linotype"/>
          <w:b/>
        </w:rPr>
      </w:pPr>
      <w:r w:rsidRPr="00EE6F81">
        <w:rPr>
          <w:rFonts w:ascii="Palatino Linotype" w:eastAsia="Palatino Linotype" w:hAnsi="Palatino Linotype" w:cs="Palatino Linotype"/>
          <w:b/>
        </w:rPr>
        <w:t>II.</w:t>
      </w:r>
      <w:r w:rsidRPr="00EE6F81">
        <w:rPr>
          <w:rFonts w:ascii="Palatino Linotype" w:eastAsia="Palatino Linotype" w:hAnsi="Palatino Linotype" w:cs="Palatino Linotype"/>
          <w:b/>
        </w:rPr>
        <w:tab/>
        <w:t>C O N S I D E R A N D O:</w:t>
      </w:r>
    </w:p>
    <w:p w14:paraId="44615C4B" w14:textId="77777777" w:rsidR="008928B7" w:rsidRPr="00EE6F81" w:rsidRDefault="008928B7" w:rsidP="00A43ADD">
      <w:pPr>
        <w:spacing w:after="0" w:line="360" w:lineRule="auto"/>
        <w:ind w:right="49"/>
        <w:jc w:val="both"/>
        <w:rPr>
          <w:rFonts w:ascii="Palatino Linotype" w:eastAsia="Palatino Linotype" w:hAnsi="Palatino Linotype" w:cs="Palatino Linotype"/>
        </w:rPr>
      </w:pPr>
    </w:p>
    <w:p w14:paraId="5E134416" w14:textId="5CBCDB64" w:rsidR="00932B7B" w:rsidRPr="00EE6F81" w:rsidRDefault="00932B7B" w:rsidP="00932B7B">
      <w:pPr>
        <w:spacing w:after="0" w:line="360" w:lineRule="auto"/>
        <w:jc w:val="both"/>
        <w:rPr>
          <w:rFonts w:ascii="Palatino Linotype" w:eastAsia="Palatino Linotype" w:hAnsi="Palatino Linotype" w:cs="Palatino Linotype"/>
        </w:rPr>
      </w:pPr>
      <w:r w:rsidRPr="00EE6F81">
        <w:rPr>
          <w:rFonts w:ascii="Palatino Linotype" w:eastAsia="Palatino Linotype" w:hAnsi="Palatino Linotype" w:cs="Palatino Linotype"/>
          <w:b/>
        </w:rPr>
        <w:t xml:space="preserve">Primero. Competencia. </w:t>
      </w:r>
      <w:r w:rsidRPr="00EE6F81">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cuadragésimo cuarto, cuadragésimo quinto y cuadragésimo sexto, fracciones IV y V de la Constitución Política del Estado Libre y Soberano de México; Transitorio Cuarto, párrafo segundo del Decreto número 198 de la “LXII” Legislatura del Estado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30D6C81" w14:textId="62699A10" w:rsidR="008928B7" w:rsidRPr="00EE6F81" w:rsidRDefault="007F0BAA" w:rsidP="00A43ADD">
      <w:pPr>
        <w:spacing w:after="0" w:line="360" w:lineRule="auto"/>
        <w:ind w:right="49"/>
        <w:jc w:val="both"/>
        <w:rPr>
          <w:rFonts w:ascii="Palatino Linotype" w:eastAsia="Palatino Linotype" w:hAnsi="Palatino Linotype" w:cs="Palatino Linotype"/>
        </w:rPr>
      </w:pPr>
      <w:r w:rsidRPr="00EE6F81">
        <w:rPr>
          <w:rFonts w:ascii="Palatino Linotype" w:eastAsia="Palatino Linotype" w:hAnsi="Palatino Linotype" w:cs="Palatino Linotype"/>
          <w:b/>
        </w:rPr>
        <w:t>Segundo. Oportunidad y Procedibilidad del Recurso de Revisión</w:t>
      </w:r>
      <w:r w:rsidRPr="00EE6F81">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BDC05CA" w14:textId="77777777" w:rsidR="00652508" w:rsidRPr="00EE6F81" w:rsidRDefault="00652508" w:rsidP="00A43ADD">
      <w:pPr>
        <w:spacing w:after="0" w:line="360" w:lineRule="auto"/>
        <w:ind w:right="49"/>
        <w:jc w:val="both"/>
        <w:rPr>
          <w:rFonts w:ascii="Palatino Linotype" w:eastAsia="Palatino Linotype" w:hAnsi="Palatino Linotype" w:cs="Palatino Linotype"/>
        </w:rPr>
      </w:pPr>
    </w:p>
    <w:p w14:paraId="150873B2" w14:textId="12DFCF4D" w:rsidR="008928B7" w:rsidRPr="00EE6F81" w:rsidRDefault="007F0BAA" w:rsidP="00A43ADD">
      <w:pPr>
        <w:spacing w:after="0" w:line="360" w:lineRule="auto"/>
        <w:ind w:right="49"/>
        <w:jc w:val="both"/>
        <w:rPr>
          <w:rFonts w:ascii="Palatino Linotype" w:eastAsia="Palatino Linotype" w:hAnsi="Palatino Linotype" w:cs="Palatino Linotype"/>
        </w:rPr>
      </w:pPr>
      <w:r w:rsidRPr="00EE6F81">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EE6F81">
        <w:rPr>
          <w:rFonts w:ascii="Palatino Linotype" w:eastAsia="Palatino Linotype" w:hAnsi="Palatino Linotype" w:cs="Palatino Linotype"/>
          <w:b/>
        </w:rPr>
        <w:t>SUJETO OBLIGADO</w:t>
      </w:r>
      <w:r w:rsidRPr="00EE6F81">
        <w:rPr>
          <w:rFonts w:ascii="Palatino Linotype" w:eastAsia="Palatino Linotype" w:hAnsi="Palatino Linotype" w:cs="Palatino Linotype"/>
        </w:rPr>
        <w:t xml:space="preserve"> proporcionó su respuesta a la solicitud de información el </w:t>
      </w:r>
      <w:r w:rsidR="003350CC" w:rsidRPr="00EE6F81">
        <w:rPr>
          <w:rFonts w:ascii="Palatino Linotype" w:eastAsia="Palatino Linotype" w:hAnsi="Palatino Linotype" w:cs="Palatino Linotype"/>
          <w:b/>
        </w:rPr>
        <w:t>veintisiete de noviembre</w:t>
      </w:r>
      <w:r w:rsidR="00C80EB4" w:rsidRPr="00EE6F81">
        <w:rPr>
          <w:rFonts w:ascii="Palatino Linotype" w:eastAsia="Palatino Linotype" w:hAnsi="Palatino Linotype" w:cs="Palatino Linotype"/>
          <w:b/>
        </w:rPr>
        <w:t xml:space="preserve"> de dos mil veinticinco</w:t>
      </w:r>
      <w:r w:rsidRPr="00EE6F81">
        <w:rPr>
          <w:rFonts w:ascii="Palatino Linotype" w:eastAsia="Palatino Linotype" w:hAnsi="Palatino Linotype" w:cs="Palatino Linotype"/>
        </w:rPr>
        <w:t xml:space="preserve">, y la parte </w:t>
      </w:r>
      <w:r w:rsidRPr="00EE6F81">
        <w:rPr>
          <w:rFonts w:ascii="Palatino Linotype" w:eastAsia="Palatino Linotype" w:hAnsi="Palatino Linotype" w:cs="Palatino Linotype"/>
          <w:b/>
        </w:rPr>
        <w:t>RECURRENTE</w:t>
      </w:r>
      <w:r w:rsidRPr="00EE6F81">
        <w:rPr>
          <w:rFonts w:ascii="Palatino Linotype" w:eastAsia="Palatino Linotype" w:hAnsi="Palatino Linotype" w:cs="Palatino Linotype"/>
        </w:rPr>
        <w:t xml:space="preserve"> presentó su recurso de revisión el </w:t>
      </w:r>
      <w:r w:rsidR="003350CC" w:rsidRPr="00EE6F81">
        <w:rPr>
          <w:rFonts w:ascii="Palatino Linotype" w:eastAsia="Palatino Linotype" w:hAnsi="Palatino Linotype" w:cs="Palatino Linotype"/>
          <w:b/>
        </w:rPr>
        <w:t>dieciséis de diciembre</w:t>
      </w:r>
      <w:r w:rsidR="00E80453" w:rsidRPr="00EE6F81">
        <w:rPr>
          <w:rFonts w:ascii="Palatino Linotype" w:eastAsia="Palatino Linotype" w:hAnsi="Palatino Linotype" w:cs="Palatino Linotype"/>
          <w:b/>
        </w:rPr>
        <w:t xml:space="preserve"> </w:t>
      </w:r>
      <w:r w:rsidR="00C80EB4" w:rsidRPr="00EE6F81">
        <w:rPr>
          <w:rFonts w:ascii="Palatino Linotype" w:eastAsia="Palatino Linotype" w:hAnsi="Palatino Linotype" w:cs="Palatino Linotype"/>
          <w:b/>
        </w:rPr>
        <w:t>de dos mil veinticinco</w:t>
      </w:r>
      <w:r w:rsidR="007F0BCF" w:rsidRPr="00EE6F81">
        <w:rPr>
          <w:rFonts w:ascii="Palatino Linotype" w:eastAsia="Palatino Linotype" w:hAnsi="Palatino Linotype" w:cs="Palatino Linotype"/>
        </w:rPr>
        <w:t xml:space="preserve">, esto es </w:t>
      </w:r>
      <w:r w:rsidR="003350CC" w:rsidRPr="00EE6F81">
        <w:rPr>
          <w:rFonts w:ascii="Palatino Linotype" w:eastAsia="Palatino Linotype" w:hAnsi="Palatino Linotype" w:cs="Palatino Linotype"/>
        </w:rPr>
        <w:t xml:space="preserve">al décimo tercer día </w:t>
      </w:r>
      <w:r w:rsidR="00E80453" w:rsidRPr="00EE6F81">
        <w:rPr>
          <w:rFonts w:ascii="Palatino Linotype" w:eastAsia="Palatino Linotype" w:hAnsi="Palatino Linotype" w:cs="Palatino Linotype"/>
        </w:rPr>
        <w:t xml:space="preserve">en que tuvo conocimiento de la respuesta. </w:t>
      </w:r>
    </w:p>
    <w:p w14:paraId="11BEA1D2" w14:textId="77777777" w:rsidR="00652508" w:rsidRPr="00EE6F81" w:rsidRDefault="00652508" w:rsidP="00486551">
      <w:pPr>
        <w:spacing w:after="0" w:line="360" w:lineRule="auto"/>
        <w:ind w:right="49"/>
        <w:jc w:val="both"/>
        <w:rPr>
          <w:rFonts w:ascii="Palatino Linotype" w:eastAsia="Palatino Linotype" w:hAnsi="Palatino Linotype" w:cs="Palatino Linotype"/>
        </w:rPr>
      </w:pPr>
    </w:p>
    <w:p w14:paraId="6184DB14" w14:textId="59F5FACF" w:rsidR="008928B7" w:rsidRPr="00EE6F81" w:rsidRDefault="00486551" w:rsidP="00A43ADD">
      <w:pPr>
        <w:spacing w:after="0" w:line="360" w:lineRule="auto"/>
        <w:ind w:right="49"/>
        <w:jc w:val="both"/>
        <w:rPr>
          <w:rFonts w:ascii="Palatino Linotype" w:eastAsia="Palatino Linotype" w:hAnsi="Palatino Linotype" w:cs="Palatino Linotype"/>
        </w:rPr>
      </w:pPr>
      <w:r w:rsidRPr="00EE6F81">
        <w:rPr>
          <w:rFonts w:ascii="Palatino Linotype" w:eastAsia="Palatino Linotype" w:hAnsi="Palatino Linotype" w:cs="Palatino Linotype"/>
        </w:rPr>
        <w:t>E</w:t>
      </w:r>
      <w:r w:rsidR="007F0BAA" w:rsidRPr="00EE6F81">
        <w:rPr>
          <w:rFonts w:ascii="Palatino Linotype" w:eastAsia="Palatino Linotype" w:hAnsi="Palatino Linotype" w:cs="Palatino Linotype"/>
        </w:rPr>
        <w:t xml:space="preserve">s de suma importancia mencionar que, si bien la persona solicitante </w:t>
      </w:r>
      <w:r w:rsidR="00B3099F" w:rsidRPr="00EE6F81">
        <w:rPr>
          <w:rFonts w:ascii="Palatino Linotype" w:eastAsia="Palatino Linotype" w:hAnsi="Palatino Linotype" w:cs="Palatino Linotype"/>
        </w:rPr>
        <w:t xml:space="preserve">no </w:t>
      </w:r>
      <w:r w:rsidR="002B522B" w:rsidRPr="00EE6F81">
        <w:rPr>
          <w:rFonts w:ascii="Palatino Linotype" w:eastAsia="Palatino Linotype" w:hAnsi="Palatino Linotype" w:cs="Palatino Linotype"/>
          <w:b/>
        </w:rPr>
        <w:t>proporcionó un</w:t>
      </w:r>
      <w:r w:rsidR="00B3099F" w:rsidRPr="00EE6F81">
        <w:rPr>
          <w:rFonts w:ascii="Palatino Linotype" w:eastAsia="Palatino Linotype" w:hAnsi="Palatino Linotype" w:cs="Palatino Linotype"/>
          <w:b/>
        </w:rPr>
        <w:t xml:space="preserve"> nombre o</w:t>
      </w:r>
      <w:r w:rsidR="00417126" w:rsidRPr="00EE6F81">
        <w:rPr>
          <w:rFonts w:ascii="Palatino Linotype" w:eastAsia="Palatino Linotype" w:hAnsi="Palatino Linotype" w:cs="Palatino Linotype"/>
          <w:b/>
        </w:rPr>
        <w:t xml:space="preserve"> seudónimo </w:t>
      </w:r>
      <w:r w:rsidR="007F0BAA" w:rsidRPr="00EE6F81">
        <w:rPr>
          <w:rFonts w:ascii="Palatino Linotype" w:eastAsia="Palatino Linotype" w:hAnsi="Palatino Linotype" w:cs="Palatino Linotype"/>
        </w:rPr>
        <w:t>para ser identificado, como se advierte en el detalle de seguimiento del SAIMEX,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0D58973" w14:textId="77777777" w:rsidR="008928B7" w:rsidRPr="00EE6F81" w:rsidRDefault="008928B7" w:rsidP="00A43ADD">
      <w:pPr>
        <w:spacing w:after="0" w:line="360" w:lineRule="auto"/>
        <w:ind w:right="49"/>
        <w:jc w:val="both"/>
        <w:rPr>
          <w:rFonts w:ascii="Palatino Linotype" w:eastAsia="Palatino Linotype" w:hAnsi="Palatino Linotype" w:cs="Palatino Linotype"/>
        </w:rPr>
      </w:pPr>
    </w:p>
    <w:p w14:paraId="5B06DA51" w14:textId="77777777" w:rsidR="008928B7" w:rsidRPr="00EE6F81" w:rsidRDefault="007F0BAA" w:rsidP="00A43ADD">
      <w:pPr>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i/>
        </w:rPr>
        <w:t>"</w:t>
      </w:r>
      <w:r w:rsidRPr="00EE6F81">
        <w:rPr>
          <w:rFonts w:ascii="Palatino Linotype" w:eastAsia="Palatino Linotype" w:hAnsi="Palatino Linotype" w:cs="Palatino Linotype"/>
          <w:b/>
          <w:i/>
        </w:rPr>
        <w:t>Las solicitudes anónimas, con nombre incompleto o seudónimo serán procedentes para su trámite por parte del sujeto obligado ante quien se presente.</w:t>
      </w:r>
      <w:r w:rsidRPr="00EE6F81">
        <w:rPr>
          <w:rFonts w:ascii="Palatino Linotype" w:eastAsia="Palatino Linotype" w:hAnsi="Palatino Linotype" w:cs="Palatino Linotype"/>
          <w:i/>
        </w:rPr>
        <w:t xml:space="preserve"> No podrá requerirse información adicional con motivo del nombre proporcionado por el solicitante.</w:t>
      </w:r>
    </w:p>
    <w:p w14:paraId="30F23197" w14:textId="77777777" w:rsidR="008928B7" w:rsidRPr="00EE6F81" w:rsidRDefault="008928B7" w:rsidP="00A43ADD">
      <w:pPr>
        <w:spacing w:after="0" w:line="360" w:lineRule="auto"/>
        <w:ind w:right="49"/>
        <w:jc w:val="both"/>
        <w:rPr>
          <w:rFonts w:ascii="Palatino Linotype" w:eastAsia="Palatino Linotype" w:hAnsi="Palatino Linotype" w:cs="Palatino Linotype"/>
        </w:rPr>
      </w:pPr>
    </w:p>
    <w:p w14:paraId="05BEC569" w14:textId="2F2066B6" w:rsidR="00232A56" w:rsidRPr="00EE6F81" w:rsidRDefault="007F0BAA" w:rsidP="002B522B">
      <w:pPr>
        <w:spacing w:after="0" w:line="360" w:lineRule="auto"/>
        <w:ind w:right="49"/>
        <w:jc w:val="both"/>
        <w:rPr>
          <w:rFonts w:ascii="Palatino Linotype" w:eastAsia="Palatino Linotype" w:hAnsi="Palatino Linotype" w:cs="Palatino Linotype"/>
        </w:rPr>
      </w:pPr>
      <w:r w:rsidRPr="00EE6F81">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0B1EFE38" w14:textId="6E5CF861" w:rsidR="008928B7" w:rsidRPr="00EE6F81" w:rsidRDefault="007F0BAA" w:rsidP="00A43ADD">
      <w:pPr>
        <w:spacing w:after="0" w:line="360" w:lineRule="auto"/>
        <w:ind w:right="49"/>
        <w:jc w:val="both"/>
        <w:rPr>
          <w:rFonts w:ascii="Palatino Linotype" w:eastAsia="Palatino Linotype" w:hAnsi="Palatino Linotype" w:cs="Palatino Linotype"/>
        </w:rPr>
      </w:pPr>
      <w:r w:rsidRPr="00EE6F81">
        <w:rPr>
          <w:rFonts w:ascii="Palatino Linotype" w:eastAsia="Palatino Linotype" w:hAnsi="Palatino Linotype" w:cs="Palatino Linotype"/>
        </w:rPr>
        <w:t>Asimismo, resulta procedente la interposición del recurso de revisión al rubro anotado, toda vez que se actualiza la hipótesis previst</w:t>
      </w:r>
      <w:r w:rsidR="00C80EB4" w:rsidRPr="00EE6F81">
        <w:rPr>
          <w:rFonts w:ascii="Palatino Linotype" w:eastAsia="Palatino Linotype" w:hAnsi="Palatino Linotype" w:cs="Palatino Linotype"/>
        </w:rPr>
        <w:t xml:space="preserve">a en el artículo 179, fracción </w:t>
      </w:r>
      <w:r w:rsidR="003350CC" w:rsidRPr="00EE6F81">
        <w:rPr>
          <w:rFonts w:ascii="Palatino Linotype" w:eastAsia="Palatino Linotype" w:hAnsi="Palatino Linotype" w:cs="Palatino Linotype"/>
        </w:rPr>
        <w:t>I</w:t>
      </w:r>
      <w:r w:rsidR="00C80EB4" w:rsidRPr="00EE6F81">
        <w:rPr>
          <w:rFonts w:ascii="Palatino Linotype" w:eastAsia="Palatino Linotype" w:hAnsi="Palatino Linotype" w:cs="Palatino Linotype"/>
        </w:rPr>
        <w:t>I</w:t>
      </w:r>
      <w:r w:rsidRPr="00EE6F81">
        <w:rPr>
          <w:rFonts w:ascii="Palatino Linotype" w:eastAsia="Palatino Linotype" w:hAnsi="Palatino Linotype" w:cs="Palatino Linotype"/>
        </w:rPr>
        <w:t xml:space="preserve"> de la ley de la materia, que a la letra dice:</w:t>
      </w:r>
    </w:p>
    <w:p w14:paraId="67FDC80B" w14:textId="77777777" w:rsidR="00C80EB4" w:rsidRPr="00EE6F81" w:rsidRDefault="00C80EB4" w:rsidP="00A43ADD">
      <w:pPr>
        <w:spacing w:after="0" w:line="360" w:lineRule="auto"/>
        <w:ind w:right="49"/>
        <w:jc w:val="both"/>
        <w:rPr>
          <w:rFonts w:ascii="Palatino Linotype" w:eastAsia="Palatino Linotype" w:hAnsi="Palatino Linotype" w:cs="Palatino Linotype"/>
        </w:rPr>
      </w:pPr>
    </w:p>
    <w:p w14:paraId="3F0B55A8" w14:textId="77777777" w:rsidR="008928B7" w:rsidRPr="00EE6F81" w:rsidRDefault="007F0BAA" w:rsidP="00A43ADD">
      <w:pPr>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i/>
        </w:rPr>
        <w:t>“</w:t>
      </w:r>
      <w:r w:rsidRPr="00EE6F81">
        <w:rPr>
          <w:rFonts w:ascii="Palatino Linotype" w:eastAsia="Palatino Linotype" w:hAnsi="Palatino Linotype" w:cs="Palatino Linotype"/>
          <w:b/>
          <w:i/>
        </w:rPr>
        <w:t xml:space="preserve">Artículo 179. </w:t>
      </w:r>
      <w:r w:rsidRPr="00EE6F81">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p>
    <w:p w14:paraId="30E1D80D" w14:textId="77777777" w:rsidR="008928B7" w:rsidRPr="00EE6F81" w:rsidRDefault="007F0BAA" w:rsidP="00A43ADD">
      <w:pPr>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i/>
        </w:rPr>
        <w:t>…</w:t>
      </w:r>
    </w:p>
    <w:p w14:paraId="632A46F5" w14:textId="447ECCFC" w:rsidR="008928B7" w:rsidRPr="00EE6F81" w:rsidRDefault="00C80EB4" w:rsidP="00A43ADD">
      <w:pPr>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i/>
        </w:rPr>
        <w:t>I</w:t>
      </w:r>
      <w:r w:rsidR="003350CC" w:rsidRPr="00EE6F81">
        <w:rPr>
          <w:rFonts w:ascii="Palatino Linotype" w:eastAsia="Palatino Linotype" w:hAnsi="Palatino Linotype" w:cs="Palatino Linotype"/>
          <w:i/>
        </w:rPr>
        <w:t>I</w:t>
      </w:r>
      <w:r w:rsidRPr="00EE6F81">
        <w:rPr>
          <w:rFonts w:ascii="Palatino Linotype" w:eastAsia="Palatino Linotype" w:hAnsi="Palatino Linotype" w:cs="Palatino Linotype"/>
          <w:i/>
        </w:rPr>
        <w:t xml:space="preserve">. La </w:t>
      </w:r>
      <w:r w:rsidR="003350CC" w:rsidRPr="00EE6F81">
        <w:rPr>
          <w:rFonts w:ascii="Palatino Linotype" w:eastAsia="Palatino Linotype" w:hAnsi="Palatino Linotype" w:cs="Palatino Linotype"/>
          <w:i/>
        </w:rPr>
        <w:t>clasificación de la información</w:t>
      </w:r>
      <w:r w:rsidR="00253030" w:rsidRPr="00EE6F81">
        <w:rPr>
          <w:rFonts w:ascii="Palatino Linotype" w:eastAsia="Palatino Linotype" w:hAnsi="Palatino Linotype" w:cs="Palatino Linotype"/>
          <w:i/>
        </w:rPr>
        <w:t>;</w:t>
      </w:r>
      <w:r w:rsidR="007F0BAA" w:rsidRPr="00EE6F81">
        <w:rPr>
          <w:rFonts w:ascii="Palatino Linotype" w:eastAsia="Palatino Linotype" w:hAnsi="Palatino Linotype" w:cs="Palatino Linotype"/>
          <w:i/>
        </w:rPr>
        <w:t xml:space="preserve"> </w:t>
      </w:r>
    </w:p>
    <w:p w14:paraId="01EA886A" w14:textId="1D7FE93C" w:rsidR="00232A56" w:rsidRPr="00EE6F81" w:rsidRDefault="007F0BAA" w:rsidP="00232A56">
      <w:pPr>
        <w:spacing w:after="0" w:line="360" w:lineRule="auto"/>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i/>
        </w:rPr>
        <w:t xml:space="preserve">…” </w:t>
      </w:r>
    </w:p>
    <w:p w14:paraId="34C75532" w14:textId="77777777" w:rsidR="00232A56" w:rsidRPr="00EE6F81" w:rsidRDefault="00232A56" w:rsidP="00232A56">
      <w:pPr>
        <w:spacing w:after="0" w:line="360" w:lineRule="auto"/>
        <w:ind w:left="567" w:right="49"/>
        <w:jc w:val="both"/>
        <w:rPr>
          <w:rFonts w:ascii="Palatino Linotype" w:eastAsia="Palatino Linotype" w:hAnsi="Palatino Linotype" w:cs="Palatino Linotype"/>
          <w:i/>
        </w:rPr>
      </w:pPr>
    </w:p>
    <w:p w14:paraId="45872411" w14:textId="4F8AB770" w:rsidR="008928B7" w:rsidRPr="00EE6F81" w:rsidRDefault="007F0BAA" w:rsidP="00A43ADD">
      <w:pPr>
        <w:spacing w:after="0" w:line="360" w:lineRule="auto"/>
        <w:ind w:right="49"/>
        <w:jc w:val="both"/>
        <w:rPr>
          <w:rFonts w:ascii="Palatino Linotype" w:eastAsia="Palatino Linotype" w:hAnsi="Palatino Linotype" w:cs="Palatino Linotype"/>
        </w:rPr>
      </w:pPr>
      <w:r w:rsidRPr="00EE6F81">
        <w:rPr>
          <w:rFonts w:ascii="Palatino Linotype" w:eastAsia="Palatino Linotype" w:hAnsi="Palatino Linotype" w:cs="Palatino Linotype"/>
          <w:b/>
        </w:rPr>
        <w:t>Tercero. Materia de Revisión</w:t>
      </w:r>
      <w:r w:rsidRPr="00EE6F81">
        <w:rPr>
          <w:rFonts w:ascii="Palatino Linotype" w:eastAsia="Palatino Linotype" w:hAnsi="Palatino Linotype" w:cs="Palatino Linotype"/>
        </w:rPr>
        <w:t>: De las constancias que integran el expediente electrónico se advierte que el tema sobre el que este Instituto se pronunciará será en determin</w:t>
      </w:r>
      <w:r w:rsidR="00C80EB4" w:rsidRPr="00EE6F81">
        <w:rPr>
          <w:rFonts w:ascii="Palatino Linotype" w:eastAsia="Palatino Linotype" w:hAnsi="Palatino Linotype" w:cs="Palatino Linotype"/>
        </w:rPr>
        <w:t xml:space="preserve">ar si se actualiza la fracción </w:t>
      </w:r>
      <w:r w:rsidR="003350CC" w:rsidRPr="00EE6F81">
        <w:rPr>
          <w:rFonts w:ascii="Palatino Linotype" w:eastAsia="Palatino Linotype" w:hAnsi="Palatino Linotype" w:cs="Palatino Linotype"/>
        </w:rPr>
        <w:t>I</w:t>
      </w:r>
      <w:r w:rsidR="00C80EB4" w:rsidRPr="00EE6F81">
        <w:rPr>
          <w:rFonts w:ascii="Palatino Linotype" w:eastAsia="Palatino Linotype" w:hAnsi="Palatino Linotype" w:cs="Palatino Linotype"/>
        </w:rPr>
        <w:t>I</w:t>
      </w:r>
      <w:r w:rsidRPr="00EE6F81">
        <w:rPr>
          <w:rFonts w:ascii="Palatino Linotype" w:eastAsia="Palatino Linotype" w:hAnsi="Palatino Linotype" w:cs="Palatino Linotype"/>
        </w:rPr>
        <w:t xml:space="preserve"> del artículo 179 de la Ley de Transparencia y Acceso a la Información Pública del Estado de México y Municipios.  </w:t>
      </w:r>
    </w:p>
    <w:p w14:paraId="6C7F8B65" w14:textId="77777777" w:rsidR="008928B7" w:rsidRPr="00EE6F81" w:rsidRDefault="008928B7" w:rsidP="00A43ADD">
      <w:pPr>
        <w:spacing w:after="0" w:line="360" w:lineRule="auto"/>
        <w:ind w:right="49"/>
        <w:jc w:val="both"/>
        <w:rPr>
          <w:rFonts w:ascii="Palatino Linotype" w:eastAsia="Palatino Linotype" w:hAnsi="Palatino Linotype" w:cs="Palatino Linotype"/>
        </w:rPr>
      </w:pPr>
    </w:p>
    <w:p w14:paraId="74139F1E" w14:textId="77777777" w:rsidR="008928B7" w:rsidRPr="00EE6F81" w:rsidRDefault="007F0BAA" w:rsidP="00A43ADD">
      <w:pPr>
        <w:spacing w:after="0" w:line="360" w:lineRule="auto"/>
        <w:ind w:right="49"/>
        <w:jc w:val="both"/>
        <w:rPr>
          <w:rFonts w:ascii="Palatino Linotype" w:eastAsia="Palatino Linotype" w:hAnsi="Palatino Linotype" w:cs="Palatino Linotype"/>
        </w:rPr>
      </w:pPr>
      <w:r w:rsidRPr="00EE6F81">
        <w:rPr>
          <w:rFonts w:ascii="Palatino Linotype" w:eastAsia="Palatino Linotype" w:hAnsi="Palatino Linotype" w:cs="Palatino Linotype"/>
          <w:b/>
        </w:rPr>
        <w:t>Cuarto.</w:t>
      </w:r>
      <w:r w:rsidRPr="00EE6F81">
        <w:rPr>
          <w:rFonts w:ascii="Palatino Linotype" w:eastAsia="Palatino Linotype" w:hAnsi="Palatino Linotype" w:cs="Palatino Linotype"/>
        </w:rPr>
        <w:t xml:space="preserve"> </w:t>
      </w:r>
      <w:r w:rsidRPr="00EE6F81">
        <w:rPr>
          <w:rFonts w:ascii="Palatino Linotype" w:eastAsia="Palatino Linotype" w:hAnsi="Palatino Linotype" w:cs="Palatino Linotype"/>
          <w:b/>
        </w:rPr>
        <w:t>Estudio de fondo del asunto.</w:t>
      </w:r>
      <w:r w:rsidRPr="00EE6F81">
        <w:rPr>
          <w:rFonts w:ascii="Palatino Linotype" w:eastAsia="Palatino Linotype" w:hAnsi="Palatino Linotype" w:cs="Palatino Linotype"/>
        </w:rPr>
        <w:t xml:space="preserve">  Es conveniente analizar si la respuesta del Sujeto Obligado</w:t>
      </w:r>
      <w:r w:rsidRPr="00EE6F81">
        <w:rPr>
          <w:rFonts w:ascii="Palatino Linotype" w:eastAsia="Palatino Linotype" w:hAnsi="Palatino Linotype" w:cs="Palatino Linotype"/>
          <w:b/>
        </w:rPr>
        <w:t xml:space="preserve"> </w:t>
      </w:r>
      <w:r w:rsidRPr="00EE6F81">
        <w:rPr>
          <w:rFonts w:ascii="Palatino Linotype" w:eastAsia="Palatino Linotype" w:hAnsi="Palatino Linotype" w:cs="Palatino Linotype"/>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FCC44CD" w14:textId="77777777" w:rsidR="008928B7" w:rsidRPr="00EE6F81" w:rsidRDefault="008928B7" w:rsidP="00A43ADD">
      <w:pPr>
        <w:spacing w:after="0" w:line="360" w:lineRule="auto"/>
        <w:ind w:right="49"/>
        <w:jc w:val="both"/>
        <w:rPr>
          <w:rFonts w:ascii="Palatino Linotype" w:eastAsia="Palatino Linotype" w:hAnsi="Palatino Linotype" w:cs="Palatino Linotype"/>
        </w:rPr>
      </w:pPr>
    </w:p>
    <w:p w14:paraId="4A782C89" w14:textId="77777777" w:rsidR="008928B7" w:rsidRPr="00EE6F81" w:rsidRDefault="007F0BAA" w:rsidP="00A43ADD">
      <w:pPr>
        <w:tabs>
          <w:tab w:val="left" w:pos="851"/>
        </w:tabs>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i/>
        </w:rPr>
        <w:t>“</w:t>
      </w:r>
      <w:r w:rsidRPr="00EE6F81">
        <w:rPr>
          <w:rFonts w:ascii="Palatino Linotype" w:eastAsia="Palatino Linotype" w:hAnsi="Palatino Linotype" w:cs="Palatino Linotype"/>
          <w:b/>
          <w:i/>
        </w:rPr>
        <w:t>Artículo 4</w:t>
      </w:r>
      <w:r w:rsidRPr="00EE6F81">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F516938" w14:textId="77777777" w:rsidR="008928B7" w:rsidRPr="00EE6F81" w:rsidRDefault="007F0BAA" w:rsidP="00A43ADD">
      <w:pPr>
        <w:tabs>
          <w:tab w:val="left" w:pos="851"/>
        </w:tabs>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EE6F81">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13E874C" w14:textId="77777777" w:rsidR="008928B7" w:rsidRPr="00EE6F81" w:rsidRDefault="007F0BAA" w:rsidP="00A43ADD">
      <w:pPr>
        <w:tabs>
          <w:tab w:val="left" w:pos="851"/>
        </w:tabs>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EE6F81">
        <w:rPr>
          <w:rFonts w:ascii="Palatino Linotype" w:eastAsia="Palatino Linotype" w:hAnsi="Palatino Linotype" w:cs="Palatino Linotype"/>
          <w:i/>
        </w:rPr>
        <w:t>.”</w:t>
      </w:r>
    </w:p>
    <w:p w14:paraId="06D9557D" w14:textId="77777777" w:rsidR="008928B7" w:rsidRPr="00EE6F81" w:rsidRDefault="008928B7" w:rsidP="00A43ADD">
      <w:pPr>
        <w:spacing w:after="0" w:line="360" w:lineRule="auto"/>
        <w:ind w:right="49"/>
        <w:jc w:val="both"/>
        <w:rPr>
          <w:rFonts w:ascii="Palatino Linotype" w:eastAsia="Palatino Linotype" w:hAnsi="Palatino Linotype" w:cs="Palatino Linotype"/>
        </w:rPr>
      </w:pPr>
    </w:p>
    <w:p w14:paraId="5AB15F05" w14:textId="77777777" w:rsidR="008928B7" w:rsidRPr="00EE6F81" w:rsidRDefault="007F0BAA" w:rsidP="00A43ADD">
      <w:pPr>
        <w:spacing w:after="0" w:line="360" w:lineRule="auto"/>
        <w:ind w:right="49"/>
        <w:jc w:val="both"/>
        <w:rPr>
          <w:rFonts w:ascii="Palatino Linotype" w:eastAsia="Palatino Linotype" w:hAnsi="Palatino Linotype" w:cs="Palatino Linotype"/>
        </w:rPr>
      </w:pPr>
      <w:r w:rsidRPr="00EE6F81">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61972F03" w14:textId="77777777" w:rsidR="008928B7" w:rsidRPr="00EE6F81" w:rsidRDefault="008928B7" w:rsidP="00A43ADD">
      <w:pPr>
        <w:spacing w:after="0" w:line="360" w:lineRule="auto"/>
        <w:ind w:right="49"/>
        <w:jc w:val="both"/>
        <w:rPr>
          <w:rFonts w:ascii="Palatino Linotype" w:eastAsia="Palatino Linotype" w:hAnsi="Palatino Linotype" w:cs="Palatino Linotype"/>
        </w:rPr>
      </w:pPr>
    </w:p>
    <w:p w14:paraId="7FF36B04" w14:textId="77777777" w:rsidR="008928B7" w:rsidRPr="00EE6F81" w:rsidRDefault="007F0BAA" w:rsidP="00A43ADD">
      <w:pPr>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i/>
        </w:rPr>
        <w:t>“</w:t>
      </w:r>
      <w:r w:rsidRPr="00EE6F81">
        <w:rPr>
          <w:rFonts w:ascii="Palatino Linotype" w:eastAsia="Palatino Linotype" w:hAnsi="Palatino Linotype" w:cs="Palatino Linotype"/>
          <w:b/>
          <w:i/>
        </w:rPr>
        <w:t>Artículo 12.-</w:t>
      </w:r>
      <w:r w:rsidRPr="00EE6F81">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385D6BFE" w14:textId="77777777" w:rsidR="008928B7" w:rsidRPr="00EE6F81" w:rsidRDefault="008928B7" w:rsidP="00A43ADD">
      <w:pPr>
        <w:spacing w:after="0"/>
        <w:ind w:left="567" w:right="49"/>
        <w:jc w:val="both"/>
        <w:rPr>
          <w:rFonts w:ascii="Palatino Linotype" w:eastAsia="Palatino Linotype" w:hAnsi="Palatino Linotype" w:cs="Palatino Linotype"/>
          <w:i/>
        </w:rPr>
      </w:pPr>
    </w:p>
    <w:p w14:paraId="1A2E2901" w14:textId="3AB956E8" w:rsidR="008928B7" w:rsidRPr="00EE6F81" w:rsidRDefault="007F0BAA" w:rsidP="00F81A78">
      <w:pPr>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EE6F81">
        <w:rPr>
          <w:rFonts w:ascii="Palatino Linotype" w:eastAsia="Palatino Linotype" w:hAnsi="Palatino Linotype" w:cs="Palatino Linotype"/>
          <w:i/>
        </w:rPr>
        <w:t xml:space="preserve">. </w:t>
      </w:r>
      <w:r w:rsidRPr="00EE6F81">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r w:rsidRPr="00EE6F81">
        <w:rPr>
          <w:rFonts w:ascii="Palatino Linotype" w:eastAsia="Palatino Linotype" w:hAnsi="Palatino Linotype" w:cs="Palatino Linotype"/>
          <w:i/>
        </w:rPr>
        <w:t xml:space="preserve">.” </w:t>
      </w:r>
    </w:p>
    <w:p w14:paraId="41BB7490" w14:textId="77777777" w:rsidR="00FB3548" w:rsidRPr="00EE6F81" w:rsidRDefault="00FB3548" w:rsidP="00A43ADD">
      <w:pPr>
        <w:spacing w:after="0" w:line="360" w:lineRule="auto"/>
        <w:ind w:right="49"/>
        <w:jc w:val="both"/>
        <w:rPr>
          <w:rFonts w:ascii="Palatino Linotype" w:eastAsia="Palatino Linotype" w:hAnsi="Palatino Linotype" w:cs="Palatino Linotype"/>
        </w:rPr>
      </w:pPr>
    </w:p>
    <w:p w14:paraId="77E7B88B" w14:textId="77777777" w:rsidR="008928B7" w:rsidRPr="00EE6F81" w:rsidRDefault="007F0BAA" w:rsidP="00A43ADD">
      <w:pPr>
        <w:spacing w:after="0" w:line="360" w:lineRule="auto"/>
        <w:ind w:right="49"/>
        <w:jc w:val="both"/>
        <w:rPr>
          <w:rFonts w:ascii="Palatino Linotype" w:eastAsia="Palatino Linotype" w:hAnsi="Palatino Linotype" w:cs="Palatino Linotype"/>
        </w:rPr>
      </w:pPr>
      <w:r w:rsidRPr="00EE6F81">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0F9F9AA5" w14:textId="77777777" w:rsidR="008928B7" w:rsidRPr="00EE6F81" w:rsidRDefault="008928B7" w:rsidP="00A43ADD">
      <w:pPr>
        <w:spacing w:after="0" w:line="360" w:lineRule="auto"/>
        <w:ind w:right="49"/>
        <w:jc w:val="both"/>
        <w:rPr>
          <w:rFonts w:ascii="Palatino Linotype" w:eastAsia="Palatino Linotype" w:hAnsi="Palatino Linotype" w:cs="Palatino Linotype"/>
        </w:rPr>
      </w:pPr>
    </w:p>
    <w:p w14:paraId="78FC6003" w14:textId="77777777" w:rsidR="008928B7" w:rsidRPr="00EE6F81" w:rsidRDefault="007F0BAA" w:rsidP="00A43ADD">
      <w:pPr>
        <w:spacing w:after="0" w:line="360" w:lineRule="auto"/>
        <w:ind w:right="49"/>
        <w:jc w:val="both"/>
        <w:rPr>
          <w:rFonts w:ascii="Palatino Linotype" w:eastAsia="Palatino Linotype" w:hAnsi="Palatino Linotype" w:cs="Palatino Linotype"/>
          <w:b/>
        </w:rPr>
      </w:pPr>
      <w:r w:rsidRPr="00EE6F81">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EE6F81">
        <w:rPr>
          <w:rFonts w:ascii="Palatino Linotype" w:eastAsia="Palatino Linotype" w:hAnsi="Palatino Linotype" w:cs="Palatino Linotype"/>
          <w:b/>
        </w:rPr>
        <w:t xml:space="preserve"> </w:t>
      </w:r>
    </w:p>
    <w:p w14:paraId="04FC5C83" w14:textId="77777777" w:rsidR="008928B7" w:rsidRPr="00EE6F81" w:rsidRDefault="008928B7" w:rsidP="00A43ADD">
      <w:pPr>
        <w:spacing w:after="0"/>
        <w:ind w:left="851" w:right="49"/>
        <w:jc w:val="both"/>
        <w:rPr>
          <w:rFonts w:ascii="Palatino Linotype" w:eastAsia="Palatino Linotype" w:hAnsi="Palatino Linotype" w:cs="Palatino Linotype"/>
        </w:rPr>
      </w:pPr>
    </w:p>
    <w:p w14:paraId="6075C629" w14:textId="77777777" w:rsidR="008928B7" w:rsidRPr="00EE6F81" w:rsidRDefault="007F0BAA" w:rsidP="00A43ADD">
      <w:pPr>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i/>
        </w:rPr>
        <w:t>“</w:t>
      </w:r>
      <w:r w:rsidRPr="00EE6F81">
        <w:rPr>
          <w:rFonts w:ascii="Palatino Linotype" w:eastAsia="Palatino Linotype" w:hAnsi="Palatino Linotype" w:cs="Palatino Linotype"/>
          <w:b/>
          <w:i/>
        </w:rPr>
        <w:t>No existe obligación de elaborar documentos ad hoc para atender las solicitudes de acceso a la información.</w:t>
      </w:r>
      <w:r w:rsidRPr="00EE6F81">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13FF20E" w14:textId="77777777" w:rsidR="008928B7" w:rsidRPr="00EE6F81" w:rsidRDefault="008928B7" w:rsidP="00A43ADD">
      <w:pPr>
        <w:spacing w:after="0"/>
        <w:ind w:left="567" w:right="49"/>
        <w:jc w:val="both"/>
        <w:rPr>
          <w:rFonts w:ascii="Palatino Linotype" w:eastAsia="Palatino Linotype" w:hAnsi="Palatino Linotype" w:cs="Palatino Linotype"/>
          <w:i/>
        </w:rPr>
      </w:pPr>
    </w:p>
    <w:p w14:paraId="2D35D0CA" w14:textId="77777777" w:rsidR="008928B7" w:rsidRPr="00EE6F81" w:rsidRDefault="007F0BAA" w:rsidP="00A43ADD">
      <w:pPr>
        <w:spacing w:after="0" w:line="360" w:lineRule="auto"/>
        <w:ind w:right="49"/>
        <w:jc w:val="both"/>
        <w:rPr>
          <w:rFonts w:ascii="Palatino Linotype" w:eastAsia="Palatino Linotype" w:hAnsi="Palatino Linotype" w:cs="Palatino Linotype"/>
        </w:rPr>
      </w:pPr>
      <w:r w:rsidRPr="00EE6F81">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49796B9" w14:textId="77777777" w:rsidR="008928B7" w:rsidRPr="00EE6F81" w:rsidRDefault="008928B7" w:rsidP="00A43ADD">
      <w:pPr>
        <w:spacing w:after="0" w:line="360" w:lineRule="auto"/>
        <w:ind w:right="49"/>
        <w:jc w:val="both"/>
        <w:rPr>
          <w:rFonts w:ascii="Palatino Linotype" w:eastAsia="Palatino Linotype" w:hAnsi="Palatino Linotype" w:cs="Palatino Linotype"/>
        </w:rPr>
      </w:pPr>
    </w:p>
    <w:p w14:paraId="69DFF361" w14:textId="6D0DD9C8" w:rsidR="008928B7" w:rsidRPr="00EE6F81" w:rsidRDefault="007F0BAA" w:rsidP="00A43ADD">
      <w:pPr>
        <w:spacing w:after="0" w:line="360" w:lineRule="auto"/>
        <w:ind w:right="49"/>
        <w:jc w:val="both"/>
        <w:rPr>
          <w:rFonts w:ascii="Palatino Linotype" w:eastAsia="Palatino Linotype" w:hAnsi="Palatino Linotype" w:cs="Palatino Linotype"/>
        </w:rPr>
      </w:pPr>
      <w:r w:rsidRPr="00EE6F81">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F3E64F7" w14:textId="77777777" w:rsidR="005E773A" w:rsidRPr="00EE6F81" w:rsidRDefault="005E773A" w:rsidP="00A43ADD">
      <w:pPr>
        <w:spacing w:after="0" w:line="360" w:lineRule="auto"/>
        <w:ind w:right="49"/>
        <w:jc w:val="both"/>
        <w:rPr>
          <w:rFonts w:ascii="Palatino Linotype" w:eastAsia="Palatino Linotype" w:hAnsi="Palatino Linotype" w:cs="Palatino Linotype"/>
        </w:rPr>
      </w:pPr>
    </w:p>
    <w:p w14:paraId="4F88BD68" w14:textId="77777777" w:rsidR="008928B7" w:rsidRPr="00EE6F81" w:rsidRDefault="007F0BAA" w:rsidP="00A43ADD">
      <w:pPr>
        <w:spacing w:after="0" w:line="360" w:lineRule="auto"/>
        <w:ind w:right="49"/>
        <w:jc w:val="both"/>
        <w:rPr>
          <w:rFonts w:ascii="Palatino Linotype" w:eastAsia="Palatino Linotype" w:hAnsi="Palatino Linotype" w:cs="Palatino Linotype"/>
        </w:rPr>
      </w:pPr>
      <w:r w:rsidRPr="00EE6F81">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BD73192" w14:textId="77777777" w:rsidR="008928B7" w:rsidRPr="00EE6F81" w:rsidRDefault="008928B7" w:rsidP="00A43ADD">
      <w:pPr>
        <w:spacing w:after="0" w:line="360" w:lineRule="auto"/>
        <w:ind w:right="49"/>
        <w:jc w:val="both"/>
        <w:rPr>
          <w:rFonts w:ascii="Palatino Linotype" w:eastAsia="Palatino Linotype" w:hAnsi="Palatino Linotype" w:cs="Palatino Linotype"/>
        </w:rPr>
      </w:pPr>
    </w:p>
    <w:p w14:paraId="1995925F" w14:textId="77777777" w:rsidR="008928B7" w:rsidRPr="00EE6F81" w:rsidRDefault="007F0BAA" w:rsidP="00A43ADD">
      <w:pPr>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i/>
        </w:rPr>
        <w:t>“</w:t>
      </w:r>
      <w:r w:rsidRPr="00EE6F81">
        <w:rPr>
          <w:rFonts w:ascii="Palatino Linotype" w:eastAsia="Palatino Linotype" w:hAnsi="Palatino Linotype" w:cs="Palatino Linotype"/>
          <w:b/>
          <w:i/>
        </w:rPr>
        <w:t xml:space="preserve">Artículo 3. </w:t>
      </w:r>
      <w:r w:rsidRPr="00EE6F81">
        <w:rPr>
          <w:rFonts w:ascii="Palatino Linotype" w:eastAsia="Palatino Linotype" w:hAnsi="Palatino Linotype" w:cs="Palatino Linotype"/>
          <w:i/>
        </w:rPr>
        <w:t>Para los efectos de la presente Ley se entenderá por:</w:t>
      </w:r>
    </w:p>
    <w:p w14:paraId="1A1D024F" w14:textId="77777777" w:rsidR="008928B7" w:rsidRPr="00EE6F81" w:rsidRDefault="007F0BAA" w:rsidP="00A43ADD">
      <w:pPr>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i/>
        </w:rPr>
        <w:t>…</w:t>
      </w:r>
    </w:p>
    <w:p w14:paraId="65EE423A" w14:textId="77777777" w:rsidR="008928B7" w:rsidRPr="00EE6F81" w:rsidRDefault="007F0BAA" w:rsidP="00A43ADD">
      <w:pPr>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b/>
          <w:i/>
        </w:rPr>
        <w:t>XI. Documento:</w:t>
      </w:r>
      <w:r w:rsidRPr="00EE6F81">
        <w:rPr>
          <w:rFonts w:ascii="Palatino Linotype" w:eastAsia="Palatino Linotype" w:hAnsi="Palatino Linotype" w:cs="Palatino Linotype"/>
          <w:i/>
        </w:rPr>
        <w:t xml:space="preserve"> Los expedientes, reportes, estudios, actas</w:t>
      </w:r>
      <w:r w:rsidRPr="00EE6F81">
        <w:rPr>
          <w:rFonts w:ascii="Palatino Linotype" w:eastAsia="Palatino Linotype" w:hAnsi="Palatino Linotype" w:cs="Palatino Linotype"/>
          <w:b/>
          <w:i/>
        </w:rPr>
        <w:t>,</w:t>
      </w:r>
      <w:r w:rsidRPr="00EE6F81">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06F8763" w14:textId="77777777" w:rsidR="008928B7" w:rsidRPr="00EE6F81" w:rsidRDefault="008928B7" w:rsidP="00A43ADD">
      <w:pPr>
        <w:spacing w:after="0" w:line="360" w:lineRule="auto"/>
        <w:ind w:left="851" w:right="49"/>
        <w:jc w:val="both"/>
        <w:rPr>
          <w:rFonts w:ascii="Palatino Linotype" w:eastAsia="Palatino Linotype" w:hAnsi="Palatino Linotype" w:cs="Palatino Linotype"/>
        </w:rPr>
      </w:pPr>
    </w:p>
    <w:p w14:paraId="51A98C0C" w14:textId="77777777" w:rsidR="008928B7" w:rsidRPr="00EE6F81" w:rsidRDefault="007F0BAA" w:rsidP="00A43ADD">
      <w:pPr>
        <w:spacing w:after="0" w:line="360" w:lineRule="auto"/>
        <w:ind w:right="49"/>
        <w:jc w:val="both"/>
        <w:rPr>
          <w:rFonts w:ascii="Palatino Linotype" w:eastAsia="Palatino Linotype" w:hAnsi="Palatino Linotype" w:cs="Palatino Linotype"/>
        </w:rPr>
      </w:pPr>
      <w:r w:rsidRPr="00EE6F81">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06E9335" w14:textId="77777777" w:rsidR="008928B7" w:rsidRPr="00EE6F81" w:rsidRDefault="008928B7" w:rsidP="00A43ADD">
      <w:pPr>
        <w:spacing w:after="0" w:line="360" w:lineRule="auto"/>
        <w:ind w:left="851" w:right="49"/>
        <w:jc w:val="both"/>
        <w:rPr>
          <w:rFonts w:ascii="Palatino Linotype" w:eastAsia="Palatino Linotype" w:hAnsi="Palatino Linotype" w:cs="Palatino Linotype"/>
        </w:rPr>
      </w:pPr>
    </w:p>
    <w:p w14:paraId="5D123E4E" w14:textId="77777777" w:rsidR="008928B7" w:rsidRPr="00EE6F81" w:rsidRDefault="007F0BAA" w:rsidP="00A43ADD">
      <w:pPr>
        <w:tabs>
          <w:tab w:val="left" w:pos="7797"/>
        </w:tabs>
        <w:spacing w:after="0"/>
        <w:ind w:left="709" w:right="49"/>
        <w:jc w:val="both"/>
        <w:rPr>
          <w:rFonts w:ascii="Palatino Linotype" w:eastAsia="Palatino Linotype" w:hAnsi="Palatino Linotype" w:cs="Palatino Linotype"/>
          <w:b/>
          <w:i/>
        </w:rPr>
      </w:pPr>
      <w:r w:rsidRPr="00EE6F81">
        <w:rPr>
          <w:rFonts w:ascii="Palatino Linotype" w:eastAsia="Palatino Linotype" w:hAnsi="Palatino Linotype" w:cs="Palatino Linotype"/>
          <w:b/>
        </w:rPr>
        <w:t>“</w:t>
      </w:r>
      <w:r w:rsidRPr="00EE6F81">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EE6F81">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FED1F76" w14:textId="77777777" w:rsidR="008928B7" w:rsidRPr="00EE6F81" w:rsidRDefault="007F0BAA" w:rsidP="00A43ADD">
      <w:pPr>
        <w:tabs>
          <w:tab w:val="left" w:pos="7797"/>
        </w:tabs>
        <w:spacing w:after="0"/>
        <w:ind w:left="709" w:right="49"/>
        <w:jc w:val="both"/>
        <w:rPr>
          <w:rFonts w:ascii="Palatino Linotype" w:eastAsia="Palatino Linotype" w:hAnsi="Palatino Linotype" w:cs="Palatino Linotype"/>
          <w:i/>
        </w:rPr>
      </w:pPr>
      <w:r w:rsidRPr="00EE6F81">
        <w:rPr>
          <w:rFonts w:ascii="Palatino Linotype" w:eastAsia="Palatino Linotype" w:hAnsi="Palatino Linotype" w:cs="Palatino Linotype"/>
          <w:i/>
        </w:rPr>
        <w:t>En consecuencia el acceso a la información se refiere a que se cumplan cualquiera de los siguientes tres supuestos:</w:t>
      </w:r>
    </w:p>
    <w:p w14:paraId="66DCC5A3" w14:textId="77777777" w:rsidR="008928B7" w:rsidRPr="00EE6F81" w:rsidRDefault="007F0BAA" w:rsidP="00A43ADD">
      <w:pPr>
        <w:tabs>
          <w:tab w:val="left" w:pos="7797"/>
        </w:tabs>
        <w:spacing w:after="0"/>
        <w:ind w:left="709" w:right="49"/>
        <w:jc w:val="both"/>
        <w:rPr>
          <w:rFonts w:ascii="Palatino Linotype" w:eastAsia="Palatino Linotype" w:hAnsi="Palatino Linotype" w:cs="Palatino Linotype"/>
          <w:i/>
        </w:rPr>
      </w:pPr>
      <w:r w:rsidRPr="00EE6F81">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3E96DAE7" w14:textId="77777777" w:rsidR="008928B7" w:rsidRPr="00EE6F81" w:rsidRDefault="007F0BAA" w:rsidP="00A43ADD">
      <w:pPr>
        <w:tabs>
          <w:tab w:val="left" w:pos="7797"/>
        </w:tabs>
        <w:spacing w:after="0"/>
        <w:ind w:left="709" w:right="49"/>
        <w:jc w:val="both"/>
        <w:rPr>
          <w:rFonts w:ascii="Palatino Linotype" w:eastAsia="Palatino Linotype" w:hAnsi="Palatino Linotype" w:cs="Palatino Linotype"/>
          <w:b/>
          <w:i/>
        </w:rPr>
      </w:pPr>
      <w:r w:rsidRPr="00EE6F81">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2EAC3DB6" w14:textId="6A027E7B" w:rsidR="008928B7" w:rsidRPr="00EE6F81" w:rsidRDefault="007F0BAA" w:rsidP="00A43ADD">
      <w:pPr>
        <w:tabs>
          <w:tab w:val="left" w:pos="7797"/>
        </w:tabs>
        <w:spacing w:after="0"/>
        <w:ind w:left="709" w:right="49"/>
        <w:jc w:val="both"/>
        <w:rPr>
          <w:rFonts w:ascii="Palatino Linotype" w:eastAsia="Palatino Linotype" w:hAnsi="Palatino Linotype" w:cs="Palatino Linotype"/>
          <w:b/>
          <w:i/>
        </w:rPr>
      </w:pPr>
      <w:r w:rsidRPr="00EE6F81">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de los Sujetos Obligados.” </w:t>
      </w:r>
    </w:p>
    <w:p w14:paraId="741152D3" w14:textId="77777777" w:rsidR="007F0BCF" w:rsidRPr="00EE6F81" w:rsidRDefault="007F0BCF" w:rsidP="00A43ADD">
      <w:pPr>
        <w:spacing w:after="0" w:line="360" w:lineRule="auto"/>
        <w:ind w:right="49"/>
        <w:jc w:val="both"/>
        <w:rPr>
          <w:rFonts w:ascii="Palatino Linotype" w:eastAsia="Palatino Linotype" w:hAnsi="Palatino Linotype" w:cs="Palatino Linotype"/>
        </w:rPr>
      </w:pPr>
    </w:p>
    <w:p w14:paraId="07CC4667" w14:textId="33B34854" w:rsidR="007F0BCF" w:rsidRPr="00EE6F81" w:rsidRDefault="007F0BAA" w:rsidP="00B3099F">
      <w:pPr>
        <w:spacing w:after="0" w:line="360" w:lineRule="auto"/>
        <w:ind w:right="49"/>
        <w:jc w:val="both"/>
        <w:rPr>
          <w:rFonts w:ascii="Palatino Linotype" w:eastAsia="Palatino Linotype" w:hAnsi="Palatino Linotype" w:cs="Palatino Linotype"/>
          <w:b/>
        </w:rPr>
      </w:pPr>
      <w:r w:rsidRPr="00EE6F81">
        <w:rPr>
          <w:rFonts w:ascii="Palatino Linotype" w:eastAsia="Palatino Linotype" w:hAnsi="Palatino Linotype" w:cs="Palatino Linotype"/>
        </w:rPr>
        <w:t xml:space="preserve">Dicho lo anterior, es de recordar que la parte Solicitante </w:t>
      </w:r>
      <w:r w:rsidR="00B3099F" w:rsidRPr="00EE6F81">
        <w:rPr>
          <w:rFonts w:ascii="Palatino Linotype" w:eastAsia="Palatino Linotype" w:hAnsi="Palatino Linotype" w:cs="Palatino Linotype"/>
        </w:rPr>
        <w:t>requirió</w:t>
      </w:r>
      <w:r w:rsidR="003350CC" w:rsidRPr="00EE6F81">
        <w:rPr>
          <w:rFonts w:ascii="Palatino Linotype" w:eastAsia="Palatino Linotype" w:hAnsi="Palatino Linotype" w:cs="Palatino Linotype"/>
        </w:rPr>
        <w:t xml:space="preserve"> respecto de una servidora pública, el Formato Único de Movimiento de Personal correspondiente a su alta en la institución, así como, los documentos que constituyan la justificación de la contratación. </w:t>
      </w:r>
    </w:p>
    <w:p w14:paraId="1A1ED384" w14:textId="77777777" w:rsidR="00B3099F" w:rsidRPr="00EE6F81" w:rsidRDefault="00B3099F" w:rsidP="00B3099F">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8CBE278" w14:textId="62E89BA3" w:rsidR="003350CC" w:rsidRPr="00EE6F81" w:rsidRDefault="00B3099F" w:rsidP="0001170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EE6F81">
        <w:rPr>
          <w:rFonts w:ascii="Palatino Linotype" w:eastAsia="Palatino Linotype" w:hAnsi="Palatino Linotype" w:cs="Palatino Linotype"/>
        </w:rPr>
        <w:t xml:space="preserve">En respuesta, </w:t>
      </w:r>
      <w:r w:rsidR="00584B16" w:rsidRPr="00EE6F81">
        <w:rPr>
          <w:rFonts w:ascii="Palatino Linotype" w:eastAsia="Palatino Linotype" w:hAnsi="Palatino Linotype" w:cs="Palatino Linotype"/>
        </w:rPr>
        <w:t xml:space="preserve">la </w:t>
      </w:r>
      <w:r w:rsidR="00756964" w:rsidRPr="00EE6F81">
        <w:rPr>
          <w:rFonts w:ascii="Palatino Linotype" w:eastAsia="Palatino Linotype" w:hAnsi="Palatino Linotype" w:cs="Palatino Linotype"/>
        </w:rPr>
        <w:t xml:space="preserve">Unidad de Administración, Finanzas y Gestión Documental remitió el FUMP de la persona referida en la solicitud de información, en versión pública, asimismo, refirió que esta información contiene datos susceptibles de ser clasificados como confidenciales. </w:t>
      </w:r>
    </w:p>
    <w:p w14:paraId="10A7AC50" w14:textId="77777777" w:rsidR="00756964" w:rsidRPr="00EE6F81" w:rsidRDefault="00756964" w:rsidP="0001170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B8A225A" w14:textId="167750D8" w:rsidR="00756964" w:rsidRPr="00EE6F81" w:rsidRDefault="00756964" w:rsidP="0001170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EE6F81">
        <w:rPr>
          <w:rFonts w:ascii="Palatino Linotype" w:eastAsia="Palatino Linotype" w:hAnsi="Palatino Linotype" w:cs="Palatino Linotype"/>
        </w:rPr>
        <w:t xml:space="preserve">Asimismo, se proporcionó un documento que da cuenta de la justificación para la contratación de personal y el Acta de la Cuarta Sesión Extraordinaria 2025 emitida por el Comité de Transparencia, mediante el cual se aprueba la clasificación de información como confidencial. </w:t>
      </w:r>
    </w:p>
    <w:p w14:paraId="38DE7DFC" w14:textId="77777777" w:rsidR="003350CC" w:rsidRPr="00EE6F81" w:rsidRDefault="003350CC" w:rsidP="0001170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AE2B6B0" w14:textId="528A56A1" w:rsidR="00145BCF" w:rsidRPr="00EE6F81" w:rsidRDefault="00D51BC9" w:rsidP="00756964">
      <w:pPr>
        <w:pBdr>
          <w:top w:val="nil"/>
          <w:left w:val="nil"/>
          <w:bottom w:val="nil"/>
          <w:right w:val="nil"/>
          <w:between w:val="nil"/>
        </w:pBdr>
        <w:spacing w:after="0" w:line="360" w:lineRule="auto"/>
        <w:ind w:right="49"/>
        <w:jc w:val="both"/>
        <w:rPr>
          <w:rFonts w:ascii="Palatino Linotype" w:hAnsi="Palatino Linotype"/>
          <w:i/>
        </w:rPr>
      </w:pPr>
      <w:r w:rsidRPr="00EE6F81">
        <w:rPr>
          <w:rFonts w:ascii="Palatino Linotype" w:hAnsi="Palatino Linotype"/>
        </w:rPr>
        <w:t xml:space="preserve">Derivado de ello, la parte Recurrente se inconformó arguyendo </w:t>
      </w:r>
      <w:r w:rsidR="00756964" w:rsidRPr="00EE6F81">
        <w:rPr>
          <w:rFonts w:ascii="Palatino Linotype" w:hAnsi="Palatino Linotype"/>
        </w:rPr>
        <w:t xml:space="preserve">que en el Formato Único de Movimientos de Personal se había clasificado los datos correspondientes a la firma de la servidora pública y al nombre del servidor público al que se le sustituyó en el cargo. </w:t>
      </w:r>
    </w:p>
    <w:p w14:paraId="00353862" w14:textId="77777777" w:rsidR="00D51BC9" w:rsidRPr="00EE6F81" w:rsidRDefault="00D51BC9" w:rsidP="0001170D">
      <w:pPr>
        <w:pBdr>
          <w:top w:val="nil"/>
          <w:left w:val="nil"/>
          <w:bottom w:val="nil"/>
          <w:right w:val="nil"/>
          <w:between w:val="nil"/>
        </w:pBdr>
        <w:spacing w:after="0" w:line="360" w:lineRule="auto"/>
        <w:ind w:right="49"/>
        <w:jc w:val="both"/>
        <w:rPr>
          <w:rFonts w:ascii="Palatino Linotype" w:hAnsi="Palatino Linotype"/>
        </w:rPr>
      </w:pPr>
    </w:p>
    <w:p w14:paraId="7BDAABFF" w14:textId="31B167F5" w:rsidR="00232A56" w:rsidRPr="00EE6F81" w:rsidRDefault="00F03D2F" w:rsidP="0001170D">
      <w:pPr>
        <w:pBdr>
          <w:top w:val="nil"/>
          <w:left w:val="nil"/>
          <w:bottom w:val="nil"/>
          <w:right w:val="nil"/>
          <w:between w:val="nil"/>
        </w:pBdr>
        <w:spacing w:after="0" w:line="360" w:lineRule="auto"/>
        <w:ind w:right="49"/>
        <w:jc w:val="both"/>
        <w:rPr>
          <w:rFonts w:ascii="Palatino Linotype" w:hAnsi="Palatino Linotype"/>
        </w:rPr>
      </w:pPr>
      <w:r w:rsidRPr="00EE6F81">
        <w:rPr>
          <w:rFonts w:ascii="Palatino Linotype" w:hAnsi="Palatino Linotype"/>
        </w:rPr>
        <w:t>El Sujeto Obligado ratificó su respuesta inicial.</w:t>
      </w:r>
    </w:p>
    <w:p w14:paraId="613111BD" w14:textId="77777777" w:rsidR="00A16834" w:rsidRPr="00EE6F81" w:rsidRDefault="00A16834" w:rsidP="00F03D2F">
      <w:pPr>
        <w:pBdr>
          <w:top w:val="nil"/>
          <w:left w:val="nil"/>
          <w:bottom w:val="nil"/>
          <w:right w:val="nil"/>
          <w:between w:val="nil"/>
        </w:pBdr>
        <w:spacing w:after="0" w:line="360" w:lineRule="auto"/>
        <w:ind w:right="49"/>
        <w:jc w:val="both"/>
        <w:rPr>
          <w:rFonts w:ascii="Palatino Linotype" w:hAnsi="Palatino Linotype"/>
        </w:rPr>
      </w:pPr>
    </w:p>
    <w:p w14:paraId="7C014ED8" w14:textId="51BD9D6C" w:rsidR="00756964" w:rsidRPr="00EE6F81" w:rsidRDefault="00F03D2F" w:rsidP="00756964">
      <w:pPr>
        <w:spacing w:after="0" w:line="360" w:lineRule="auto"/>
        <w:jc w:val="both"/>
        <w:rPr>
          <w:rFonts w:ascii="Palatino Linotype" w:hAnsi="Palatino Linotype"/>
          <w:lang w:eastAsia="es-MX"/>
        </w:rPr>
      </w:pPr>
      <w:r w:rsidRPr="00EE6F81">
        <w:rPr>
          <w:rFonts w:ascii="Palatino Linotype" w:hAnsi="Palatino Linotype" w:cs="Tahoma"/>
          <w:lang w:val="es-ES"/>
        </w:rPr>
        <w:t>Dicho lo anterior se procede a contextualizar la información solicitada para ello</w:t>
      </w:r>
      <w:r w:rsidR="00584B16" w:rsidRPr="00EE6F81">
        <w:rPr>
          <w:rFonts w:ascii="Palatino Linotype" w:hAnsi="Palatino Linotype" w:cs="Tahoma"/>
          <w:lang w:val="es-ES"/>
        </w:rPr>
        <w:t xml:space="preserve">, </w:t>
      </w:r>
      <w:r w:rsidR="00756964" w:rsidRPr="00EE6F81">
        <w:rPr>
          <w:rFonts w:ascii="Palatino Linotype" w:hAnsi="Palatino Linotype"/>
          <w:lang w:eastAsia="es-MX"/>
        </w:rPr>
        <w:t>la Ley de Trabajo de los Servidores Públicos del Estado y Municipios, la cual en su cuerpo normativo precisa que: </w:t>
      </w:r>
    </w:p>
    <w:p w14:paraId="724D10CC" w14:textId="77777777" w:rsidR="00756964" w:rsidRPr="00EE6F81" w:rsidRDefault="00756964" w:rsidP="00756964">
      <w:pPr>
        <w:spacing w:after="0"/>
        <w:jc w:val="both"/>
        <w:rPr>
          <w:rFonts w:ascii="Palatino Linotype" w:hAnsi="Palatino Linotype" w:cs="Tahoma"/>
          <w:iCs/>
          <w:lang w:eastAsia="es-ES"/>
        </w:rPr>
      </w:pPr>
    </w:p>
    <w:p w14:paraId="593AAFE0" w14:textId="77777777" w:rsidR="00756964" w:rsidRPr="00EE6F81" w:rsidRDefault="00756964" w:rsidP="00756964">
      <w:pPr>
        <w:spacing w:after="0"/>
        <w:ind w:left="851" w:right="616"/>
        <w:jc w:val="both"/>
        <w:rPr>
          <w:rFonts w:ascii="Times New Roman" w:hAnsi="Times New Roman"/>
          <w:sz w:val="24"/>
          <w:szCs w:val="24"/>
          <w:lang w:eastAsia="es-MX"/>
        </w:rPr>
      </w:pPr>
      <w:r w:rsidRPr="00EE6F81">
        <w:rPr>
          <w:rFonts w:ascii="Palatino Linotype" w:hAnsi="Palatino Linotype"/>
          <w:i/>
          <w:iCs/>
          <w:lang w:eastAsia="es-MX"/>
        </w:rPr>
        <w:t>“</w:t>
      </w:r>
      <w:r w:rsidRPr="00EE6F81">
        <w:rPr>
          <w:rFonts w:ascii="Palatino Linotype" w:hAnsi="Palatino Linotype"/>
          <w:b/>
          <w:bCs/>
          <w:i/>
          <w:iCs/>
          <w:lang w:eastAsia="es-MX"/>
        </w:rPr>
        <w:t>ARTÍCULO 4.</w:t>
      </w:r>
      <w:r w:rsidRPr="00EE6F81">
        <w:rPr>
          <w:rFonts w:ascii="Palatino Linotype" w:hAnsi="Palatino Linotype"/>
          <w:i/>
          <w:iCs/>
          <w:lang w:eastAsia="es-MX"/>
        </w:rPr>
        <w:t xml:space="preserve"> Para efectos de esta ley se entiende</w:t>
      </w:r>
    </w:p>
    <w:p w14:paraId="3B7A0482" w14:textId="77777777" w:rsidR="00756964" w:rsidRPr="00EE6F81" w:rsidRDefault="00756964" w:rsidP="00756964">
      <w:pPr>
        <w:spacing w:after="0"/>
        <w:ind w:left="851" w:right="616"/>
        <w:jc w:val="both"/>
        <w:rPr>
          <w:rFonts w:ascii="Times New Roman" w:hAnsi="Times New Roman"/>
          <w:sz w:val="24"/>
          <w:szCs w:val="24"/>
          <w:lang w:eastAsia="es-MX"/>
        </w:rPr>
      </w:pPr>
      <w:r w:rsidRPr="00EE6F81">
        <w:rPr>
          <w:rFonts w:ascii="Palatino Linotype" w:hAnsi="Palatino Linotype"/>
          <w:i/>
          <w:iCs/>
          <w:lang w:eastAsia="es-MX"/>
        </w:rPr>
        <w:t>…</w:t>
      </w:r>
    </w:p>
    <w:p w14:paraId="530BCACA" w14:textId="77777777" w:rsidR="00756964" w:rsidRPr="00EE6F81" w:rsidRDefault="00756964" w:rsidP="00756964">
      <w:pPr>
        <w:spacing w:after="0"/>
        <w:ind w:left="851" w:right="616"/>
        <w:jc w:val="both"/>
        <w:rPr>
          <w:rFonts w:ascii="Times New Roman" w:hAnsi="Times New Roman"/>
          <w:sz w:val="24"/>
          <w:szCs w:val="24"/>
          <w:lang w:eastAsia="es-MX"/>
        </w:rPr>
      </w:pPr>
      <w:r w:rsidRPr="00EE6F81">
        <w:rPr>
          <w:rFonts w:ascii="Palatino Linotype" w:hAnsi="Palatino Linotype"/>
          <w:i/>
          <w:iCs/>
          <w:lang w:eastAsia="es-MX"/>
        </w:rPr>
        <w:t>VI. Servidor Público: A toda persona física que preste a una institución pública un trabajo personal subordinado de carácter material o intelectual, o de ambos géneros, mediante el pago de un sueldo.</w:t>
      </w:r>
    </w:p>
    <w:p w14:paraId="066F7FE1" w14:textId="77777777" w:rsidR="00756964" w:rsidRPr="00EE6F81" w:rsidRDefault="00756964" w:rsidP="00756964">
      <w:pPr>
        <w:spacing w:after="0"/>
        <w:ind w:left="851" w:right="616"/>
        <w:jc w:val="both"/>
        <w:rPr>
          <w:rFonts w:ascii="Times New Roman" w:hAnsi="Times New Roman"/>
          <w:sz w:val="24"/>
          <w:szCs w:val="24"/>
          <w:lang w:eastAsia="es-MX"/>
        </w:rPr>
      </w:pPr>
      <w:r w:rsidRPr="00EE6F81">
        <w:rPr>
          <w:rFonts w:ascii="Palatino Linotype" w:hAnsi="Palatino Linotype"/>
          <w:i/>
          <w:iCs/>
          <w:lang w:eastAsia="es-MX"/>
        </w:rPr>
        <w:t>…</w:t>
      </w:r>
    </w:p>
    <w:p w14:paraId="7E897BB4" w14:textId="77777777" w:rsidR="00756964" w:rsidRPr="00EE6F81" w:rsidRDefault="00756964" w:rsidP="00756964">
      <w:pPr>
        <w:spacing w:after="0"/>
        <w:ind w:left="851" w:right="616"/>
        <w:jc w:val="both"/>
        <w:rPr>
          <w:rFonts w:ascii="Times New Roman" w:hAnsi="Times New Roman"/>
          <w:sz w:val="24"/>
          <w:szCs w:val="24"/>
          <w:lang w:eastAsia="es-MX"/>
        </w:rPr>
      </w:pPr>
      <w:r w:rsidRPr="00EE6F81">
        <w:rPr>
          <w:rFonts w:ascii="Palatino Linotype" w:hAnsi="Palatino Linotype"/>
          <w:b/>
          <w:bCs/>
          <w:i/>
          <w:iCs/>
          <w:lang w:eastAsia="es-MX"/>
        </w:rPr>
        <w:t>ARTÍCULO 5.-</w:t>
      </w:r>
      <w:r w:rsidRPr="00EE6F81">
        <w:rPr>
          <w:rFonts w:ascii="Palatino Linotype" w:hAnsi="Palatino Linotype"/>
          <w:i/>
          <w:iCs/>
          <w:lang w:eastAsia="es-MX"/>
        </w:rPr>
        <w:t xml:space="preserve"> La </w:t>
      </w:r>
      <w:r w:rsidRPr="00EE6F81">
        <w:rPr>
          <w:rFonts w:ascii="Palatino Linotype" w:hAnsi="Palatino Linotype"/>
          <w:b/>
          <w:bCs/>
          <w:i/>
          <w:iCs/>
          <w:lang w:eastAsia="es-MX"/>
        </w:rPr>
        <w:t>relación de trabajo entre las instituciones públicas y sus servidores públicos se entiende establecida mediante</w:t>
      </w:r>
      <w:r w:rsidRPr="00EE6F81">
        <w:rPr>
          <w:rFonts w:ascii="Palatino Linotype" w:hAnsi="Palatino Linotype"/>
          <w:i/>
          <w:iCs/>
          <w:lang w:eastAsia="es-MX"/>
        </w:rPr>
        <w:t xml:space="preserve"> </w:t>
      </w:r>
      <w:r w:rsidRPr="00EE6F81">
        <w:rPr>
          <w:rFonts w:ascii="Palatino Linotype" w:hAnsi="Palatino Linotype"/>
          <w:b/>
          <w:bCs/>
          <w:i/>
          <w:iCs/>
          <w:lang w:eastAsia="es-MX"/>
        </w:rPr>
        <w:t>nombramiento</w:t>
      </w:r>
      <w:r w:rsidRPr="00EE6F81">
        <w:rPr>
          <w:rFonts w:ascii="Palatino Linotype" w:hAnsi="Palatino Linotype"/>
          <w:b/>
          <w:bCs/>
          <w:i/>
          <w:iCs/>
          <w:u w:val="single"/>
          <w:lang w:eastAsia="es-MX"/>
        </w:rPr>
        <w:t>, formato único de movimiento de personal,</w:t>
      </w:r>
      <w:r w:rsidRPr="00EE6F81">
        <w:rPr>
          <w:rFonts w:ascii="Palatino Linotype" w:hAnsi="Palatino Linotype"/>
          <w:i/>
          <w:iCs/>
          <w:lang w:eastAsia="es-MX"/>
        </w:rPr>
        <w:t xml:space="preserve"> contrato o por cualquier otro acto que tenga como consecuencia la prestación personal subordinada del servicio y la percepción de un sueldo. </w:t>
      </w:r>
    </w:p>
    <w:p w14:paraId="7B5BA598" w14:textId="77777777" w:rsidR="00756964" w:rsidRPr="00EE6F81" w:rsidRDefault="00756964" w:rsidP="00756964">
      <w:pPr>
        <w:spacing w:after="0"/>
        <w:ind w:left="851" w:right="616"/>
        <w:jc w:val="both"/>
        <w:rPr>
          <w:rFonts w:ascii="Times New Roman" w:hAnsi="Times New Roman"/>
          <w:sz w:val="24"/>
          <w:szCs w:val="24"/>
          <w:lang w:eastAsia="es-MX"/>
        </w:rPr>
      </w:pPr>
      <w:r w:rsidRPr="00EE6F81">
        <w:rPr>
          <w:rFonts w:ascii="Palatino Linotype" w:hAnsi="Palatino Linotype"/>
          <w:i/>
          <w:iCs/>
          <w:lang w:eastAsia="es-MX"/>
        </w:rPr>
        <w:t>Para los efectos de esta ley, las instituciones públicas estarán representadas por sus titulares.</w:t>
      </w:r>
    </w:p>
    <w:p w14:paraId="05ECA624" w14:textId="77777777" w:rsidR="00756964" w:rsidRPr="00EE6F81" w:rsidRDefault="00756964" w:rsidP="00756964">
      <w:pPr>
        <w:spacing w:after="0"/>
        <w:ind w:left="851" w:right="616"/>
        <w:jc w:val="both"/>
        <w:rPr>
          <w:rFonts w:ascii="Times New Roman" w:hAnsi="Times New Roman"/>
          <w:sz w:val="24"/>
          <w:szCs w:val="24"/>
          <w:lang w:eastAsia="es-MX"/>
        </w:rPr>
      </w:pPr>
      <w:r w:rsidRPr="00EE6F81">
        <w:rPr>
          <w:rFonts w:ascii="Palatino Linotype" w:hAnsi="Palatino Linotype"/>
          <w:b/>
          <w:bCs/>
          <w:i/>
          <w:iCs/>
          <w:lang w:eastAsia="es-MX"/>
        </w:rPr>
        <w:t>…</w:t>
      </w:r>
    </w:p>
    <w:p w14:paraId="62AE7889" w14:textId="77777777" w:rsidR="00756964" w:rsidRPr="00EE6F81" w:rsidRDefault="00756964" w:rsidP="00756964">
      <w:pPr>
        <w:spacing w:after="0"/>
        <w:ind w:left="851" w:right="616"/>
        <w:jc w:val="both"/>
        <w:rPr>
          <w:rFonts w:ascii="Times New Roman" w:hAnsi="Times New Roman"/>
          <w:sz w:val="24"/>
          <w:szCs w:val="24"/>
          <w:lang w:eastAsia="es-MX"/>
        </w:rPr>
      </w:pPr>
      <w:r w:rsidRPr="00EE6F81">
        <w:rPr>
          <w:rFonts w:ascii="Palatino Linotype" w:hAnsi="Palatino Linotype"/>
          <w:b/>
          <w:bCs/>
          <w:i/>
          <w:iCs/>
          <w:lang w:eastAsia="es-MX"/>
        </w:rPr>
        <w:t>ARTÍCULO 49.-</w:t>
      </w:r>
      <w:r w:rsidRPr="00EE6F81">
        <w:rPr>
          <w:rFonts w:ascii="Palatino Linotype" w:hAnsi="Palatino Linotype"/>
          <w:i/>
          <w:iCs/>
          <w:lang w:eastAsia="es-MX"/>
        </w:rPr>
        <w:t xml:space="preserve"> Los nombramientos, contratos o </w:t>
      </w:r>
      <w:r w:rsidRPr="00EE6F81">
        <w:rPr>
          <w:rFonts w:ascii="Palatino Linotype" w:hAnsi="Palatino Linotype"/>
          <w:b/>
          <w:bCs/>
          <w:i/>
          <w:iCs/>
          <w:u w:val="single"/>
          <w:lang w:eastAsia="es-MX"/>
        </w:rPr>
        <w:t>formato único de Movimientos de Personal</w:t>
      </w:r>
      <w:r w:rsidRPr="00EE6F81">
        <w:rPr>
          <w:rFonts w:ascii="Palatino Linotype" w:hAnsi="Palatino Linotype"/>
          <w:i/>
          <w:iCs/>
          <w:lang w:eastAsia="es-MX"/>
        </w:rPr>
        <w:t xml:space="preserve"> de los servidores públicos deberán contener:</w:t>
      </w:r>
    </w:p>
    <w:p w14:paraId="5A530838" w14:textId="77777777" w:rsidR="00756964" w:rsidRPr="00EE6F81" w:rsidRDefault="00756964" w:rsidP="00756964">
      <w:pPr>
        <w:spacing w:after="0"/>
        <w:ind w:left="851" w:right="616"/>
        <w:jc w:val="both"/>
        <w:rPr>
          <w:rFonts w:ascii="Times New Roman" w:hAnsi="Times New Roman"/>
          <w:sz w:val="24"/>
          <w:szCs w:val="24"/>
          <w:lang w:eastAsia="es-MX"/>
        </w:rPr>
      </w:pPr>
      <w:r w:rsidRPr="00EE6F81">
        <w:rPr>
          <w:rFonts w:ascii="Palatino Linotype" w:hAnsi="Palatino Linotype"/>
          <w:i/>
          <w:iCs/>
          <w:lang w:eastAsia="es-MX"/>
        </w:rPr>
        <w:t>I. Nombre completo del servidor público;</w:t>
      </w:r>
    </w:p>
    <w:p w14:paraId="3E6F2E20" w14:textId="77777777" w:rsidR="00756964" w:rsidRPr="00EE6F81" w:rsidRDefault="00756964" w:rsidP="00756964">
      <w:pPr>
        <w:spacing w:after="0"/>
        <w:ind w:left="851" w:right="616"/>
        <w:jc w:val="both"/>
        <w:rPr>
          <w:rFonts w:ascii="Times New Roman" w:hAnsi="Times New Roman"/>
          <w:sz w:val="24"/>
          <w:szCs w:val="24"/>
          <w:lang w:eastAsia="es-MX"/>
        </w:rPr>
      </w:pPr>
      <w:r w:rsidRPr="00EE6F81">
        <w:rPr>
          <w:rFonts w:ascii="Palatino Linotype" w:hAnsi="Palatino Linotype"/>
          <w:b/>
          <w:bCs/>
          <w:i/>
          <w:iCs/>
          <w:lang w:eastAsia="es-MX"/>
        </w:rPr>
        <w:t xml:space="preserve">II. Cargo para el que es designado, </w:t>
      </w:r>
      <w:r w:rsidRPr="00EE6F81">
        <w:rPr>
          <w:rFonts w:ascii="Palatino Linotype" w:hAnsi="Palatino Linotype"/>
          <w:b/>
          <w:bCs/>
          <w:i/>
          <w:iCs/>
          <w:u w:val="single"/>
          <w:lang w:eastAsia="es-MX"/>
        </w:rPr>
        <w:t>fecha de inicio de sus servicios</w:t>
      </w:r>
      <w:r w:rsidRPr="00EE6F81">
        <w:rPr>
          <w:rFonts w:ascii="Palatino Linotype" w:hAnsi="Palatino Linotype"/>
          <w:b/>
          <w:bCs/>
          <w:i/>
          <w:iCs/>
          <w:lang w:eastAsia="es-MX"/>
        </w:rPr>
        <w:t xml:space="preserve"> y </w:t>
      </w:r>
      <w:r w:rsidRPr="00EE6F81">
        <w:rPr>
          <w:rFonts w:ascii="Palatino Linotype" w:hAnsi="Palatino Linotype"/>
          <w:b/>
          <w:bCs/>
          <w:i/>
          <w:iCs/>
          <w:u w:val="single"/>
          <w:lang w:eastAsia="es-MX"/>
        </w:rPr>
        <w:t>lugar de adscripción</w:t>
      </w:r>
      <w:r w:rsidRPr="00EE6F81">
        <w:rPr>
          <w:rFonts w:ascii="Palatino Linotype" w:hAnsi="Palatino Linotype"/>
          <w:b/>
          <w:bCs/>
          <w:i/>
          <w:iCs/>
          <w:lang w:eastAsia="es-MX"/>
        </w:rPr>
        <w:t>; </w:t>
      </w:r>
    </w:p>
    <w:p w14:paraId="4A495D0A" w14:textId="77777777" w:rsidR="00756964" w:rsidRPr="00EE6F81" w:rsidRDefault="00756964" w:rsidP="00756964">
      <w:pPr>
        <w:spacing w:after="0"/>
        <w:ind w:left="851" w:right="616"/>
        <w:jc w:val="both"/>
        <w:rPr>
          <w:rFonts w:ascii="Times New Roman" w:hAnsi="Times New Roman"/>
          <w:sz w:val="24"/>
          <w:szCs w:val="24"/>
          <w:lang w:eastAsia="es-MX"/>
        </w:rPr>
      </w:pPr>
      <w:r w:rsidRPr="00EE6F81">
        <w:rPr>
          <w:rFonts w:ascii="Palatino Linotype" w:hAnsi="Palatino Linotype"/>
          <w:i/>
          <w:iCs/>
          <w:lang w:eastAsia="es-MX"/>
        </w:rPr>
        <w:t xml:space="preserve">III. </w:t>
      </w:r>
      <w:r w:rsidRPr="00EE6F81">
        <w:rPr>
          <w:rFonts w:ascii="Palatino Linotype" w:hAnsi="Palatino Linotype"/>
          <w:b/>
          <w:bCs/>
          <w:i/>
          <w:iCs/>
          <w:lang w:eastAsia="es-MX"/>
        </w:rPr>
        <w:t>Carácter del nombramiento, ya sea de servidores públicos generales o de confianza</w:t>
      </w:r>
      <w:r w:rsidRPr="00EE6F81">
        <w:rPr>
          <w:rFonts w:ascii="Palatino Linotype" w:hAnsi="Palatino Linotype"/>
          <w:i/>
          <w:iCs/>
          <w:lang w:eastAsia="es-MX"/>
        </w:rPr>
        <w:t>, así como la temporalidad del mismo; </w:t>
      </w:r>
    </w:p>
    <w:p w14:paraId="7B83132F" w14:textId="77777777" w:rsidR="00756964" w:rsidRPr="00EE6F81" w:rsidRDefault="00756964" w:rsidP="00756964">
      <w:pPr>
        <w:spacing w:after="0"/>
        <w:ind w:left="851" w:right="616"/>
        <w:jc w:val="both"/>
        <w:rPr>
          <w:rFonts w:ascii="Times New Roman" w:hAnsi="Times New Roman"/>
          <w:sz w:val="24"/>
          <w:szCs w:val="24"/>
          <w:lang w:eastAsia="es-MX"/>
        </w:rPr>
      </w:pPr>
      <w:r w:rsidRPr="00EE6F81">
        <w:rPr>
          <w:rFonts w:ascii="Palatino Linotype" w:hAnsi="Palatino Linotype"/>
          <w:i/>
          <w:iCs/>
          <w:lang w:eastAsia="es-MX"/>
        </w:rPr>
        <w:t>IV. Remuneración correspondiente al puesto; </w:t>
      </w:r>
    </w:p>
    <w:p w14:paraId="6E83E802" w14:textId="77777777" w:rsidR="00756964" w:rsidRPr="00EE6F81" w:rsidRDefault="00756964" w:rsidP="00756964">
      <w:pPr>
        <w:spacing w:after="0"/>
        <w:ind w:left="851" w:right="616"/>
        <w:jc w:val="both"/>
        <w:rPr>
          <w:rFonts w:ascii="Times New Roman" w:hAnsi="Times New Roman"/>
          <w:sz w:val="24"/>
          <w:szCs w:val="24"/>
          <w:lang w:eastAsia="es-MX"/>
        </w:rPr>
      </w:pPr>
      <w:r w:rsidRPr="00EE6F81">
        <w:rPr>
          <w:rFonts w:ascii="Palatino Linotype" w:hAnsi="Palatino Linotype"/>
          <w:i/>
          <w:iCs/>
          <w:lang w:eastAsia="es-MX"/>
        </w:rPr>
        <w:t>V. Jornada de trabajo; </w:t>
      </w:r>
    </w:p>
    <w:p w14:paraId="55689155" w14:textId="77777777" w:rsidR="00756964" w:rsidRPr="00EE6F81" w:rsidRDefault="00756964" w:rsidP="00756964">
      <w:pPr>
        <w:spacing w:after="0"/>
        <w:ind w:left="851" w:right="616"/>
        <w:jc w:val="both"/>
        <w:rPr>
          <w:rFonts w:ascii="Times New Roman" w:hAnsi="Times New Roman"/>
          <w:sz w:val="24"/>
          <w:szCs w:val="24"/>
          <w:lang w:eastAsia="es-MX"/>
        </w:rPr>
      </w:pPr>
      <w:r w:rsidRPr="00EE6F81">
        <w:rPr>
          <w:rFonts w:ascii="Palatino Linotype" w:hAnsi="Palatino Linotype"/>
          <w:i/>
          <w:iCs/>
          <w:lang w:eastAsia="es-MX"/>
        </w:rPr>
        <w:t>VI. Derogada; </w:t>
      </w:r>
    </w:p>
    <w:p w14:paraId="279C466B" w14:textId="77777777" w:rsidR="00756964" w:rsidRPr="00EE6F81" w:rsidRDefault="00756964" w:rsidP="00756964">
      <w:pPr>
        <w:spacing w:after="0"/>
        <w:ind w:left="851" w:right="616"/>
        <w:jc w:val="both"/>
        <w:rPr>
          <w:rFonts w:ascii="Times New Roman" w:hAnsi="Times New Roman"/>
          <w:sz w:val="24"/>
          <w:szCs w:val="24"/>
          <w:lang w:eastAsia="es-MX"/>
        </w:rPr>
      </w:pPr>
      <w:r w:rsidRPr="00EE6F81">
        <w:rPr>
          <w:rFonts w:ascii="Palatino Linotype" w:hAnsi="Palatino Linotype"/>
          <w:i/>
          <w:iCs/>
          <w:lang w:eastAsia="es-MX"/>
        </w:rPr>
        <w:t>VII. Firma del servidor público autorizado para emitir el nombramiento, contrato o formato único de Movimientos de Personal, así como el fundamento legal de esa atribución.”</w:t>
      </w:r>
    </w:p>
    <w:p w14:paraId="6DB37467" w14:textId="77777777" w:rsidR="00756964" w:rsidRPr="00EE6F81" w:rsidRDefault="00756964" w:rsidP="00756964">
      <w:pPr>
        <w:spacing w:after="0" w:line="360" w:lineRule="auto"/>
        <w:rPr>
          <w:rFonts w:ascii="Times New Roman" w:hAnsi="Times New Roman"/>
          <w:sz w:val="24"/>
          <w:szCs w:val="24"/>
          <w:lang w:eastAsia="es-MX"/>
        </w:rPr>
      </w:pPr>
    </w:p>
    <w:p w14:paraId="1885957F" w14:textId="77777777" w:rsidR="00756964" w:rsidRPr="00EE6F81" w:rsidRDefault="00756964" w:rsidP="00756964">
      <w:pPr>
        <w:spacing w:after="0" w:line="360" w:lineRule="auto"/>
        <w:jc w:val="both"/>
        <w:rPr>
          <w:rFonts w:ascii="Times New Roman" w:hAnsi="Times New Roman"/>
          <w:sz w:val="24"/>
          <w:szCs w:val="24"/>
          <w:lang w:eastAsia="es-MX"/>
        </w:rPr>
      </w:pPr>
      <w:r w:rsidRPr="00EE6F81">
        <w:rPr>
          <w:rFonts w:ascii="Palatino Linotype" w:hAnsi="Palatino Linotype"/>
          <w:lang w:eastAsia="es-MX"/>
        </w:rPr>
        <w:t xml:space="preserve">Es así que, para que un servidor público entre en funciones debe tener un nombramiento, contrato </w:t>
      </w:r>
      <w:r w:rsidRPr="00EE6F81">
        <w:rPr>
          <w:rFonts w:ascii="Palatino Linotype" w:hAnsi="Palatino Linotype"/>
          <w:b/>
          <w:bCs/>
          <w:lang w:eastAsia="es-MX"/>
        </w:rPr>
        <w:t>o formato único de movimientos de personal</w:t>
      </w:r>
      <w:r w:rsidRPr="00EE6F81">
        <w:rPr>
          <w:rFonts w:ascii="Palatino Linotype" w:hAnsi="Palatino Linotype"/>
          <w:lang w:eastAsia="es-MX"/>
        </w:rPr>
        <w:t>, el cual debe obrar en el expediente correspondiente. </w:t>
      </w:r>
    </w:p>
    <w:p w14:paraId="57C4E933" w14:textId="77777777" w:rsidR="00756964" w:rsidRPr="00EE6F81" w:rsidRDefault="00756964" w:rsidP="00756964">
      <w:pPr>
        <w:spacing w:after="0" w:line="360" w:lineRule="auto"/>
        <w:rPr>
          <w:rFonts w:ascii="Times New Roman" w:hAnsi="Times New Roman"/>
          <w:sz w:val="24"/>
          <w:szCs w:val="24"/>
          <w:lang w:eastAsia="es-MX"/>
        </w:rPr>
      </w:pPr>
    </w:p>
    <w:p w14:paraId="38332EFB" w14:textId="77777777" w:rsidR="00756964" w:rsidRPr="00EE6F81" w:rsidRDefault="00756964" w:rsidP="00756964">
      <w:pPr>
        <w:spacing w:after="0" w:line="360" w:lineRule="auto"/>
        <w:jc w:val="both"/>
        <w:rPr>
          <w:rFonts w:ascii="Palatino Linotype" w:hAnsi="Palatino Linotype"/>
          <w:lang w:eastAsia="es-MX"/>
        </w:rPr>
      </w:pPr>
      <w:r w:rsidRPr="00EE6F81">
        <w:rPr>
          <w:rFonts w:ascii="Palatino Linotype" w:hAnsi="Palatino Linotype"/>
          <w:lang w:eastAsia="es-MX"/>
        </w:rPr>
        <w:t xml:space="preserve">Sobre el expediente del personal de los Sujetos Obligados, es que resulta oportuno traer a contexto el contenido del artículo 98 fracción XVII, de la Ley anteriormente mencionada, que refiere que son obligaciones de las instituciones públicas (entre ellas los municipios), el </w:t>
      </w:r>
      <w:r w:rsidRPr="00EE6F81">
        <w:rPr>
          <w:rFonts w:ascii="Palatino Linotype" w:hAnsi="Palatino Linotype"/>
          <w:b/>
          <w:bCs/>
          <w:u w:val="single"/>
          <w:lang w:eastAsia="es-MX"/>
        </w:rPr>
        <w:t>integrar los expedientes de los servidores públicos</w:t>
      </w:r>
      <w:r w:rsidRPr="00EE6F81">
        <w:rPr>
          <w:rFonts w:ascii="Palatino Linotype" w:hAnsi="Palatino Linotype"/>
          <w:lang w:eastAsia="es-MX"/>
        </w:rPr>
        <w:t xml:space="preserve"> y proporcionar las constancias que éstos soliciten para el trámite de los asuntos de su interés en los términos que señalen los ordenamientos respectivos, artículo del cual se inserta su contenido para mejor entendimiento:</w:t>
      </w:r>
    </w:p>
    <w:p w14:paraId="5967FA65" w14:textId="77777777" w:rsidR="00756964" w:rsidRPr="00EE6F81" w:rsidRDefault="00756964" w:rsidP="00756964">
      <w:pPr>
        <w:spacing w:after="0" w:line="360" w:lineRule="auto"/>
        <w:jc w:val="both"/>
        <w:rPr>
          <w:rFonts w:ascii="Times New Roman" w:hAnsi="Times New Roman"/>
          <w:sz w:val="24"/>
          <w:szCs w:val="24"/>
          <w:lang w:eastAsia="es-MX"/>
        </w:rPr>
      </w:pPr>
    </w:p>
    <w:p w14:paraId="1E9E2AC7" w14:textId="77777777" w:rsidR="00756964" w:rsidRPr="00EE6F81" w:rsidRDefault="00756964" w:rsidP="00756964">
      <w:pPr>
        <w:spacing w:after="0"/>
        <w:ind w:left="851" w:right="616"/>
        <w:jc w:val="center"/>
        <w:rPr>
          <w:rFonts w:ascii="Times New Roman" w:hAnsi="Times New Roman"/>
          <w:sz w:val="24"/>
          <w:szCs w:val="24"/>
          <w:lang w:eastAsia="es-MX"/>
        </w:rPr>
      </w:pPr>
      <w:r w:rsidRPr="00EE6F81">
        <w:rPr>
          <w:rFonts w:ascii="Palatino Linotype" w:hAnsi="Palatino Linotype"/>
          <w:b/>
          <w:bCs/>
          <w:i/>
          <w:iCs/>
          <w:lang w:eastAsia="es-MX"/>
        </w:rPr>
        <w:t>De las Obligaciones de las Instituciones Públicas</w:t>
      </w:r>
    </w:p>
    <w:p w14:paraId="34DBD4BB" w14:textId="77777777" w:rsidR="00756964" w:rsidRPr="00EE6F81" w:rsidRDefault="00756964" w:rsidP="00756964">
      <w:pPr>
        <w:spacing w:after="0"/>
        <w:ind w:left="851" w:right="616"/>
        <w:jc w:val="center"/>
        <w:rPr>
          <w:rFonts w:ascii="Times New Roman" w:hAnsi="Times New Roman"/>
          <w:sz w:val="24"/>
          <w:szCs w:val="24"/>
          <w:lang w:eastAsia="es-MX"/>
        </w:rPr>
      </w:pPr>
      <w:r w:rsidRPr="00EE6F81">
        <w:rPr>
          <w:rFonts w:ascii="Palatino Linotype" w:hAnsi="Palatino Linotype"/>
          <w:b/>
          <w:bCs/>
          <w:i/>
          <w:iCs/>
          <w:lang w:eastAsia="es-MX"/>
        </w:rPr>
        <w:t>CAPITULO I</w:t>
      </w:r>
    </w:p>
    <w:p w14:paraId="707CEBDD" w14:textId="77777777" w:rsidR="00756964" w:rsidRPr="00EE6F81" w:rsidRDefault="00756964" w:rsidP="00756964">
      <w:pPr>
        <w:spacing w:after="0"/>
        <w:ind w:left="851" w:right="616"/>
        <w:jc w:val="center"/>
        <w:rPr>
          <w:rFonts w:ascii="Times New Roman" w:hAnsi="Times New Roman"/>
          <w:sz w:val="24"/>
          <w:szCs w:val="24"/>
          <w:lang w:eastAsia="es-MX"/>
        </w:rPr>
      </w:pPr>
      <w:r w:rsidRPr="00EE6F81">
        <w:rPr>
          <w:rFonts w:ascii="Palatino Linotype" w:hAnsi="Palatino Linotype"/>
          <w:b/>
          <w:bCs/>
          <w:i/>
          <w:iCs/>
          <w:lang w:eastAsia="es-MX"/>
        </w:rPr>
        <w:t>De las Obligaciones en General</w:t>
      </w:r>
    </w:p>
    <w:p w14:paraId="037166A3" w14:textId="77777777" w:rsidR="00756964" w:rsidRPr="00EE6F81" w:rsidRDefault="00756964" w:rsidP="00756964">
      <w:pPr>
        <w:spacing w:after="0"/>
        <w:ind w:left="851" w:right="616"/>
        <w:jc w:val="both"/>
        <w:rPr>
          <w:rFonts w:ascii="Times New Roman" w:hAnsi="Times New Roman"/>
          <w:sz w:val="24"/>
          <w:szCs w:val="24"/>
          <w:lang w:eastAsia="es-MX"/>
        </w:rPr>
      </w:pPr>
      <w:r w:rsidRPr="00EE6F81">
        <w:rPr>
          <w:rFonts w:ascii="Palatino Linotype" w:hAnsi="Palatino Linotype"/>
          <w:i/>
          <w:iCs/>
          <w:lang w:eastAsia="es-MX"/>
        </w:rPr>
        <w:t>ARTÍCULO 98. Son obligaciones de las instituciones públicas:</w:t>
      </w:r>
    </w:p>
    <w:p w14:paraId="307B3DAD" w14:textId="77777777" w:rsidR="00756964" w:rsidRPr="00EE6F81" w:rsidRDefault="00756964" w:rsidP="00756964">
      <w:pPr>
        <w:spacing w:after="0"/>
        <w:ind w:left="851" w:right="616"/>
        <w:jc w:val="both"/>
        <w:rPr>
          <w:rFonts w:ascii="Times New Roman" w:hAnsi="Times New Roman"/>
          <w:sz w:val="24"/>
          <w:szCs w:val="24"/>
          <w:lang w:eastAsia="es-MX"/>
        </w:rPr>
      </w:pPr>
      <w:r w:rsidRPr="00EE6F81">
        <w:rPr>
          <w:rFonts w:ascii="Palatino Linotype" w:hAnsi="Palatino Linotype"/>
          <w:i/>
          <w:iCs/>
          <w:lang w:eastAsia="es-MX"/>
        </w:rPr>
        <w:t>…</w:t>
      </w:r>
    </w:p>
    <w:p w14:paraId="02F9F41D" w14:textId="77777777" w:rsidR="00756964" w:rsidRPr="00EE6F81" w:rsidRDefault="00756964" w:rsidP="00756964">
      <w:pPr>
        <w:spacing w:after="0"/>
        <w:ind w:left="851" w:right="616"/>
        <w:jc w:val="both"/>
        <w:rPr>
          <w:rFonts w:ascii="Times New Roman" w:hAnsi="Times New Roman"/>
          <w:sz w:val="24"/>
          <w:szCs w:val="24"/>
          <w:lang w:eastAsia="es-MX"/>
        </w:rPr>
      </w:pPr>
      <w:r w:rsidRPr="00EE6F81">
        <w:rPr>
          <w:rFonts w:ascii="Palatino Linotype" w:hAnsi="Palatino Linotype"/>
          <w:i/>
          <w:iCs/>
          <w:lang w:eastAsia="es-MX"/>
        </w:rPr>
        <w:t xml:space="preserve">XVII. Integrar los expedientes de los servidores públicos y </w:t>
      </w:r>
      <w:r w:rsidRPr="00EE6F81">
        <w:rPr>
          <w:rFonts w:ascii="Palatino Linotype" w:hAnsi="Palatino Linotype"/>
          <w:b/>
          <w:bCs/>
          <w:i/>
          <w:iCs/>
          <w:lang w:eastAsia="es-MX"/>
        </w:rPr>
        <w:t>proporcionar las constancias que éstos soliciten para el trámite de los asuntos de su interés en los términos que señalen los ordenamientos respectivos.</w:t>
      </w:r>
    </w:p>
    <w:p w14:paraId="4A169CFB" w14:textId="77777777" w:rsidR="00756964" w:rsidRPr="00EE6F81" w:rsidRDefault="00756964" w:rsidP="00756964">
      <w:pPr>
        <w:spacing w:after="0" w:line="360" w:lineRule="auto"/>
        <w:rPr>
          <w:rFonts w:ascii="Times New Roman" w:hAnsi="Times New Roman"/>
          <w:sz w:val="24"/>
          <w:szCs w:val="24"/>
          <w:lang w:eastAsia="es-MX"/>
        </w:rPr>
      </w:pPr>
    </w:p>
    <w:p w14:paraId="6091159C" w14:textId="77777777" w:rsidR="00756964" w:rsidRPr="00EE6F81" w:rsidRDefault="00756964" w:rsidP="00756964">
      <w:pPr>
        <w:spacing w:after="0" w:line="360" w:lineRule="auto"/>
        <w:jc w:val="both"/>
        <w:rPr>
          <w:rFonts w:ascii="Times New Roman" w:hAnsi="Times New Roman"/>
          <w:sz w:val="24"/>
          <w:szCs w:val="24"/>
          <w:lang w:eastAsia="es-MX"/>
        </w:rPr>
      </w:pPr>
      <w:r w:rsidRPr="00EE6F81">
        <w:rPr>
          <w:rFonts w:ascii="Palatino Linotype" w:hAnsi="Palatino Linotype"/>
          <w:bCs/>
          <w:lang w:eastAsia="es-MX"/>
        </w:rPr>
        <w:t xml:space="preserve">En conclusión, el FUMP (Formato Único de Movimientos de Personal) es el documento que evidencia los movimientos de </w:t>
      </w:r>
      <w:r w:rsidRPr="00EE6F81">
        <w:rPr>
          <w:rFonts w:ascii="Palatino Linotype" w:hAnsi="Palatino Linotype"/>
          <w:b/>
          <w:bCs/>
          <w:u w:val="single"/>
          <w:lang w:eastAsia="es-MX"/>
        </w:rPr>
        <w:t>alta</w:t>
      </w:r>
      <w:r w:rsidRPr="00EE6F81">
        <w:rPr>
          <w:rFonts w:ascii="Palatino Linotype" w:hAnsi="Palatino Linotype"/>
          <w:bCs/>
          <w:lang w:eastAsia="es-MX"/>
        </w:rPr>
        <w:t>, baja, transferencia, promoción, democión y licencia de los servidores públicos, es decir, es el documento oficial en el que se establece la relación laboral, el término de la misma o el cambio de adscripción de los servidores públicos.</w:t>
      </w:r>
    </w:p>
    <w:p w14:paraId="38F6FD01" w14:textId="77777777" w:rsidR="00756964" w:rsidRPr="00EE6F81" w:rsidRDefault="00756964" w:rsidP="00756964">
      <w:pPr>
        <w:spacing w:after="0" w:line="360" w:lineRule="auto"/>
        <w:rPr>
          <w:rFonts w:ascii="Times New Roman" w:hAnsi="Times New Roman"/>
          <w:sz w:val="24"/>
          <w:szCs w:val="24"/>
          <w:lang w:eastAsia="es-MX"/>
        </w:rPr>
      </w:pPr>
    </w:p>
    <w:p w14:paraId="22123E99" w14:textId="736B1684" w:rsidR="00756964" w:rsidRPr="00EE6F81" w:rsidRDefault="00756964" w:rsidP="00A43ADD">
      <w:pPr>
        <w:spacing w:after="0" w:line="360" w:lineRule="auto"/>
        <w:ind w:right="49"/>
        <w:jc w:val="both"/>
        <w:rPr>
          <w:rFonts w:ascii="Palatino Linotype" w:hAnsi="Palatino Linotype"/>
          <w:lang w:eastAsia="es-MX"/>
        </w:rPr>
      </w:pPr>
      <w:r w:rsidRPr="00EE6F81">
        <w:rPr>
          <w:rFonts w:ascii="Palatino Linotype" w:hAnsi="Palatino Linotype"/>
          <w:lang w:eastAsia="es-MX"/>
        </w:rPr>
        <w:t>Ahora bien, en atención a los agravios hechos valer por la parte Recurrente, relativos a que se clasificaron datos como lo es la firma de la servidora pública y el nombre del ex servidor público a quien sustituyó, se realizan las siguientes precisiones:</w:t>
      </w:r>
    </w:p>
    <w:p w14:paraId="7D1D7780" w14:textId="77777777" w:rsidR="00756964" w:rsidRPr="00EE6F81" w:rsidRDefault="00756964" w:rsidP="00756964">
      <w:pPr>
        <w:spacing w:after="0" w:line="360" w:lineRule="auto"/>
        <w:ind w:right="49"/>
        <w:jc w:val="both"/>
        <w:rPr>
          <w:rFonts w:ascii="Palatino Linotype" w:hAnsi="Palatino Linotype"/>
          <w:lang w:eastAsia="es-MX"/>
        </w:rPr>
      </w:pPr>
    </w:p>
    <w:p w14:paraId="0447DD85" w14:textId="77777777" w:rsidR="00756964" w:rsidRPr="00EE6F81" w:rsidRDefault="00756964" w:rsidP="00756964">
      <w:pPr>
        <w:pStyle w:val="Prrafodelista"/>
        <w:numPr>
          <w:ilvl w:val="0"/>
          <w:numId w:val="33"/>
        </w:numPr>
        <w:spacing w:after="0" w:line="360" w:lineRule="auto"/>
        <w:ind w:right="-91"/>
        <w:jc w:val="both"/>
        <w:rPr>
          <w:rFonts w:ascii="Palatino Linotype" w:eastAsia="Calibri" w:hAnsi="Palatino Linotype" w:cs="Tahoma"/>
          <w:b/>
          <w:bCs/>
        </w:rPr>
      </w:pPr>
      <w:r w:rsidRPr="00EE6F81">
        <w:rPr>
          <w:rFonts w:ascii="Palatino Linotype" w:eastAsia="Calibri" w:hAnsi="Palatino Linotype" w:cs="Tahoma"/>
          <w:b/>
          <w:bCs/>
        </w:rPr>
        <w:t xml:space="preserve">Nombre de ex servidor público </w:t>
      </w:r>
    </w:p>
    <w:p w14:paraId="7D9E7029" w14:textId="77777777" w:rsidR="00756964" w:rsidRPr="00EE6F81" w:rsidRDefault="00756964" w:rsidP="00756964">
      <w:pPr>
        <w:spacing w:after="0" w:line="360" w:lineRule="auto"/>
        <w:ind w:right="-91"/>
        <w:jc w:val="both"/>
        <w:rPr>
          <w:rFonts w:ascii="Palatino Linotype" w:eastAsia="Calibri" w:hAnsi="Palatino Linotype" w:cs="Tahoma"/>
          <w:bCs/>
        </w:rPr>
      </w:pPr>
    </w:p>
    <w:p w14:paraId="4241DB77" w14:textId="61870971" w:rsidR="00756964" w:rsidRPr="00EE6F81" w:rsidRDefault="00756964" w:rsidP="00756964">
      <w:pPr>
        <w:spacing w:after="0" w:line="360" w:lineRule="auto"/>
        <w:ind w:right="-91"/>
        <w:jc w:val="both"/>
        <w:rPr>
          <w:rFonts w:ascii="Palatino Linotype" w:eastAsia="Calibri" w:hAnsi="Palatino Linotype" w:cs="Tahoma"/>
          <w:bCs/>
        </w:rPr>
      </w:pPr>
      <w:r w:rsidRPr="00EE6F81">
        <w:rPr>
          <w:rFonts w:ascii="Palatino Linotype" w:eastAsia="Calibri" w:hAnsi="Palatino Linotype" w:cs="Tahoma"/>
          <w:bCs/>
        </w:rPr>
        <w:t xml:space="preserve">En </w:t>
      </w:r>
      <w:r w:rsidR="00DC6B44" w:rsidRPr="00EE6F81">
        <w:rPr>
          <w:rFonts w:ascii="Palatino Linotype" w:eastAsia="Calibri" w:hAnsi="Palatino Linotype" w:cs="Tahoma"/>
          <w:bCs/>
        </w:rPr>
        <w:t xml:space="preserve">relación con lo anterior, </w:t>
      </w:r>
      <w:r w:rsidRPr="00EE6F81">
        <w:rPr>
          <w:rFonts w:ascii="Palatino Linotype" w:eastAsia="Calibri" w:hAnsi="Palatino Linotype" w:cs="Tahoma"/>
          <w:bCs/>
        </w:rPr>
        <w:t xml:space="preserve">es importante mencionar que en el artículo 92, fracción VIII, de Ley  Transparencia y Acceso a la Información Pública del Estado de México y Municipios se ha establecido un régimen de excepción tratándose de información relacionada con servidores públicos, ya que establece como obligación de transparencia de los sujetos obligados proporcionar </w:t>
      </w:r>
      <w:r w:rsidRPr="00EE6F81">
        <w:rPr>
          <w:rFonts w:ascii="Palatino Linotype" w:eastAsia="Calibri" w:hAnsi="Palatino Linotype" w:cs="Tahoma"/>
          <w:b/>
          <w:bCs/>
        </w:rPr>
        <w:t>el nombre</w:t>
      </w:r>
      <w:r w:rsidRPr="00EE6F81">
        <w:rPr>
          <w:rFonts w:ascii="Palatino Linotype" w:eastAsia="Calibri" w:hAnsi="Palatino Linotype" w:cs="Tahoma"/>
          <w:bCs/>
        </w:rPr>
        <w:t xml:space="preserve">, así como las prestaciones que recibe, entre otros datos, pues su difusión, rinde cuentas sobre la ejecución y administración de los recursos públicos erogados, es decir, se transparenta el uso y destino del presupuesto de dichos entes.  </w:t>
      </w:r>
    </w:p>
    <w:p w14:paraId="738D46C2" w14:textId="77777777" w:rsidR="00756964" w:rsidRPr="00EE6F81" w:rsidRDefault="00756964" w:rsidP="00756964">
      <w:pPr>
        <w:spacing w:after="0" w:line="360" w:lineRule="auto"/>
        <w:ind w:right="-91"/>
        <w:jc w:val="both"/>
        <w:rPr>
          <w:rFonts w:ascii="Palatino Linotype" w:eastAsia="Calibri" w:hAnsi="Palatino Linotype" w:cs="Tahoma"/>
          <w:bCs/>
        </w:rPr>
      </w:pPr>
    </w:p>
    <w:p w14:paraId="0DE07B36" w14:textId="77777777" w:rsidR="00756964" w:rsidRPr="00EE6F81" w:rsidRDefault="00756964" w:rsidP="00756964">
      <w:pPr>
        <w:spacing w:after="0" w:line="360" w:lineRule="auto"/>
        <w:ind w:right="-91"/>
        <w:jc w:val="both"/>
        <w:rPr>
          <w:rFonts w:ascii="Palatino Linotype" w:eastAsia="Calibri" w:hAnsi="Palatino Linotype" w:cs="Tahoma"/>
          <w:bCs/>
        </w:rPr>
      </w:pPr>
      <w:r w:rsidRPr="00EE6F81">
        <w:rPr>
          <w:rFonts w:ascii="Palatino Linotype" w:eastAsia="Calibri" w:hAnsi="Palatino Linotype" w:cs="Tahoma"/>
          <w:bCs/>
        </w:rPr>
        <w:t>Lo anterior toma sustento, con la fracción VII, del artículo 2° de la Ley General de Transparencia y Acceso a la Información Pública, así como la fracción VII, del artículo 2° de la Ley de Transparencia y Acceso a la Información Pública del Estado de México y Municipios, las cuales establecen dentro de sus objetivos, transparentar la gestión pública, favorecer la rendición de cuentas a los ciudadanos, de manera que puedan valorar el desempeño de los sujetos obligados, y favorecer el escrutinio ciudadano.</w:t>
      </w:r>
    </w:p>
    <w:p w14:paraId="77E38E78" w14:textId="77777777" w:rsidR="00756964" w:rsidRPr="00EE6F81" w:rsidRDefault="00756964" w:rsidP="00756964">
      <w:pPr>
        <w:spacing w:after="0" w:line="360" w:lineRule="auto"/>
        <w:ind w:right="-91"/>
        <w:jc w:val="both"/>
        <w:rPr>
          <w:rFonts w:ascii="Palatino Linotype" w:eastAsia="Calibri" w:hAnsi="Palatino Linotype" w:cs="Tahoma"/>
          <w:bCs/>
        </w:rPr>
      </w:pPr>
    </w:p>
    <w:p w14:paraId="6FDD9936" w14:textId="77777777" w:rsidR="00756964" w:rsidRPr="00EE6F81" w:rsidRDefault="00756964" w:rsidP="00756964">
      <w:pPr>
        <w:spacing w:after="0" w:line="360" w:lineRule="auto"/>
        <w:ind w:right="-91"/>
        <w:jc w:val="both"/>
        <w:rPr>
          <w:rFonts w:ascii="Palatino Linotype" w:eastAsia="Calibri" w:hAnsi="Palatino Linotype" w:cs="Tahoma"/>
          <w:bCs/>
        </w:rPr>
      </w:pPr>
      <w:r w:rsidRPr="00EE6F81">
        <w:rPr>
          <w:rFonts w:ascii="Palatino Linotype" w:eastAsia="Calibri" w:hAnsi="Palatino Linotype" w:cs="Tahoma"/>
          <w:bCs/>
        </w:rPr>
        <w:t>Por lo cual, los sujetos obligados deben justificar la forma en que han gastado los recursos públicos que se les han conferido, incluyendo las liquidaciones que reciben sus servidores públicos por dejar de prestar sus servicios, al ser una forma de verificar el uso y destino del presupuesto otorgado.</w:t>
      </w:r>
    </w:p>
    <w:p w14:paraId="234BA421" w14:textId="77777777" w:rsidR="00756964" w:rsidRPr="00EE6F81" w:rsidRDefault="00756964" w:rsidP="00756964">
      <w:pPr>
        <w:spacing w:after="0" w:line="360" w:lineRule="auto"/>
        <w:ind w:right="-91"/>
        <w:jc w:val="both"/>
        <w:rPr>
          <w:rFonts w:ascii="Palatino Linotype" w:eastAsia="Calibri" w:hAnsi="Palatino Linotype" w:cs="Tahoma"/>
          <w:bCs/>
        </w:rPr>
      </w:pPr>
    </w:p>
    <w:p w14:paraId="6E4BBF2F" w14:textId="1DF1D8D2" w:rsidR="00756964" w:rsidRPr="00EE6F81" w:rsidRDefault="00756964" w:rsidP="00DC6B44">
      <w:pPr>
        <w:spacing w:after="0" w:line="360" w:lineRule="auto"/>
        <w:ind w:right="-91"/>
        <w:jc w:val="both"/>
        <w:rPr>
          <w:rFonts w:ascii="Palatino Linotype" w:eastAsia="Calibri" w:hAnsi="Palatino Linotype" w:cs="Tahoma"/>
          <w:b/>
          <w:bCs/>
        </w:rPr>
      </w:pPr>
      <w:r w:rsidRPr="00EE6F81">
        <w:rPr>
          <w:rFonts w:ascii="Palatino Linotype" w:eastAsia="Calibri" w:hAnsi="Palatino Linotype" w:cs="Tahoma"/>
          <w:bCs/>
        </w:rPr>
        <w:t>De dichas circunstancias, se advierte que el nombre</w:t>
      </w:r>
      <w:r w:rsidR="00DC6B44" w:rsidRPr="00EE6F81">
        <w:rPr>
          <w:rFonts w:ascii="Palatino Linotype" w:eastAsia="Calibri" w:hAnsi="Palatino Linotype" w:cs="Tahoma"/>
          <w:bCs/>
        </w:rPr>
        <w:t xml:space="preserve"> de un servidor público que en su momento recibió recursos públicos y en su caso, realizó actos de autoridad, es información que </w:t>
      </w:r>
      <w:r w:rsidR="00DC6B44" w:rsidRPr="00EE6F81">
        <w:rPr>
          <w:rFonts w:ascii="Palatino Linotype" w:eastAsia="Calibri" w:hAnsi="Palatino Linotype" w:cs="Tahoma"/>
          <w:b/>
          <w:bCs/>
        </w:rPr>
        <w:t xml:space="preserve">no actualiza una causal de clasificación prevista en el artículo 143 de la Ley de Transparencia de la Entidad. </w:t>
      </w:r>
    </w:p>
    <w:p w14:paraId="30F84674" w14:textId="77777777" w:rsidR="00756964" w:rsidRPr="00EE6F81" w:rsidRDefault="00756964" w:rsidP="00A43ADD">
      <w:pPr>
        <w:spacing w:after="0" w:line="360" w:lineRule="auto"/>
        <w:ind w:right="49"/>
        <w:jc w:val="both"/>
        <w:rPr>
          <w:rFonts w:ascii="Palatino Linotype" w:hAnsi="Palatino Linotype"/>
          <w:lang w:eastAsia="es-MX"/>
        </w:rPr>
      </w:pPr>
    </w:p>
    <w:p w14:paraId="0B61FC31" w14:textId="77777777" w:rsidR="00DC6B44" w:rsidRPr="00EE6F81" w:rsidRDefault="00DC6B44" w:rsidP="00DC6B44">
      <w:pPr>
        <w:numPr>
          <w:ilvl w:val="0"/>
          <w:numId w:val="28"/>
        </w:numPr>
        <w:spacing w:after="0" w:line="360" w:lineRule="auto"/>
        <w:contextualSpacing/>
        <w:jc w:val="both"/>
        <w:rPr>
          <w:rFonts w:ascii="Palatino Linotype" w:hAnsi="Palatino Linotype" w:cs="Tahoma"/>
          <w:b/>
          <w:lang w:eastAsia="es-ES"/>
        </w:rPr>
      </w:pPr>
      <w:r w:rsidRPr="00EE6F81">
        <w:rPr>
          <w:rFonts w:ascii="Palatino Linotype" w:hAnsi="Palatino Linotype" w:cs="Tahoma"/>
          <w:b/>
          <w:lang w:eastAsia="es-ES"/>
        </w:rPr>
        <w:t>Firma de servidores públicos.</w:t>
      </w:r>
    </w:p>
    <w:p w14:paraId="49148A9D" w14:textId="77777777" w:rsidR="00DC6B44" w:rsidRPr="00EE6F81" w:rsidRDefault="00DC6B44" w:rsidP="00DC6B44">
      <w:pPr>
        <w:spacing w:after="0" w:line="360" w:lineRule="auto"/>
        <w:contextualSpacing/>
        <w:jc w:val="both"/>
        <w:rPr>
          <w:rFonts w:ascii="Palatino Linotype" w:hAnsi="Palatino Linotype" w:cs="Tahoma"/>
          <w:bCs/>
          <w:lang w:eastAsia="es-ES"/>
        </w:rPr>
      </w:pPr>
    </w:p>
    <w:p w14:paraId="34168652" w14:textId="5355B93E" w:rsidR="00DC6B44" w:rsidRPr="00EE6F81" w:rsidRDefault="00DC6B44" w:rsidP="00DC6B44">
      <w:pPr>
        <w:spacing w:after="0" w:line="360" w:lineRule="auto"/>
        <w:contextualSpacing/>
        <w:jc w:val="both"/>
        <w:rPr>
          <w:rFonts w:ascii="Palatino Linotype" w:hAnsi="Palatino Linotype" w:cs="Tahoma"/>
          <w:bCs/>
          <w:lang w:eastAsia="es-ES"/>
        </w:rPr>
      </w:pPr>
      <w:r w:rsidRPr="00EE6F81">
        <w:rPr>
          <w:rFonts w:ascii="Palatino Linotype" w:hAnsi="Palatino Linotype" w:cs="Tahoma"/>
          <w:bCs/>
          <w:lang w:eastAsia="es-ES"/>
        </w:rPr>
        <w:t>Al respecto, cabe precisar que, en el presente caso, se trata de la firma de una persona que aceptó su incorporación a la entidad gubernamental, por lo que, dicha información es de naturaleza pública.</w:t>
      </w:r>
    </w:p>
    <w:p w14:paraId="5F2BD719" w14:textId="77777777" w:rsidR="00DC6B44" w:rsidRPr="00EE6F81" w:rsidRDefault="00DC6B44" w:rsidP="00DC6B44">
      <w:pPr>
        <w:spacing w:after="0" w:line="360" w:lineRule="auto"/>
        <w:contextualSpacing/>
        <w:jc w:val="both"/>
        <w:rPr>
          <w:rFonts w:ascii="Palatino Linotype" w:hAnsi="Palatino Linotype" w:cs="Tahoma"/>
          <w:bCs/>
          <w:lang w:eastAsia="es-ES"/>
        </w:rPr>
      </w:pPr>
    </w:p>
    <w:p w14:paraId="6733334D" w14:textId="4F7396CC" w:rsidR="00DC6B44" w:rsidRPr="00EE6F81" w:rsidRDefault="00DC6B44" w:rsidP="00DC6B44">
      <w:pPr>
        <w:spacing w:after="0" w:line="360" w:lineRule="auto"/>
        <w:contextualSpacing/>
        <w:jc w:val="both"/>
        <w:rPr>
          <w:rFonts w:ascii="Palatino Linotype" w:hAnsi="Palatino Linotype" w:cs="Tahoma"/>
          <w:bCs/>
          <w:lang w:eastAsia="es-ES"/>
        </w:rPr>
      </w:pPr>
      <w:r w:rsidRPr="00EE6F81">
        <w:rPr>
          <w:rFonts w:ascii="Palatino Linotype" w:hAnsi="Palatino Linotype" w:cs="Tahoma"/>
          <w:bCs/>
          <w:lang w:eastAsia="es-ES"/>
        </w:rPr>
        <w:t>Conforme a lo anterior, la firma de servidores públicos, vinculada al ingreso del ejercicio de la función pública es información de naturaleza pública, pues documenta y rinde cuentas sobre el debido ejercicio de sus atribuciones, lo cual acontece en el presente caso.</w:t>
      </w:r>
    </w:p>
    <w:p w14:paraId="74EFA413" w14:textId="12BBF6C6" w:rsidR="00DC6B44" w:rsidRPr="00EE6F81" w:rsidRDefault="00DC6B44" w:rsidP="00DC6B44">
      <w:pPr>
        <w:spacing w:after="0" w:line="360" w:lineRule="auto"/>
        <w:contextualSpacing/>
        <w:jc w:val="both"/>
        <w:rPr>
          <w:rFonts w:ascii="Palatino Linotype" w:hAnsi="Palatino Linotype" w:cs="Tahoma"/>
          <w:bCs/>
          <w:lang w:eastAsia="es-ES"/>
        </w:rPr>
      </w:pPr>
      <w:r w:rsidRPr="00EE6F81">
        <w:rPr>
          <w:rFonts w:ascii="Palatino Linotype" w:hAnsi="Palatino Linotype" w:cs="Tahoma"/>
          <w:bCs/>
          <w:lang w:eastAsia="es-ES"/>
        </w:rPr>
        <w:t xml:space="preserve">Dicha situación, se robustece, con el </w:t>
      </w:r>
      <w:r w:rsidRPr="00EE6F81">
        <w:rPr>
          <w:rFonts w:ascii="Palatino Linotype" w:hAnsi="Palatino Linotype" w:cs="Tahoma"/>
          <w:bCs/>
          <w:iCs/>
          <w:lang w:val="es-ES" w:eastAsia="es-ES"/>
        </w:rPr>
        <w:t xml:space="preserve">Criterio de Interpretación, de la Segunda Época, con clave de control </w:t>
      </w:r>
      <w:r w:rsidRPr="00EE6F81">
        <w:rPr>
          <w:rFonts w:ascii="Palatino Linotype" w:hAnsi="Palatino Linotype" w:cs="Tahoma"/>
          <w:bCs/>
          <w:iCs/>
          <w:lang w:eastAsia="es-ES"/>
        </w:rPr>
        <w:t xml:space="preserve">SO/002/2019, </w:t>
      </w:r>
      <w:r w:rsidRPr="00EE6F81">
        <w:rPr>
          <w:rFonts w:ascii="Palatino Linotype" w:hAnsi="Palatino Linotype" w:cs="Tahoma"/>
          <w:bCs/>
          <w:iCs/>
          <w:lang w:val="es-ES" w:eastAsia="es-ES"/>
        </w:rPr>
        <w:t>emitido por el Instituto Nacional de Transparencia, Acceso a la Información y Protección de Datos Personales</w:t>
      </w:r>
      <w:r w:rsidRPr="00EE6F81">
        <w:rPr>
          <w:rFonts w:ascii="Palatino Linotype" w:hAnsi="Palatino Linotype" w:cs="Tahoma"/>
          <w:bCs/>
          <w:lang w:eastAsia="es-ES"/>
        </w:rPr>
        <w:t>, que establece lo siguiente:</w:t>
      </w:r>
    </w:p>
    <w:p w14:paraId="206CEBD3" w14:textId="77777777" w:rsidR="00FB3548" w:rsidRPr="00EE6F81" w:rsidRDefault="00FB3548" w:rsidP="00DC6B44">
      <w:pPr>
        <w:spacing w:after="0" w:line="360" w:lineRule="auto"/>
        <w:contextualSpacing/>
        <w:jc w:val="both"/>
        <w:rPr>
          <w:rFonts w:ascii="Palatino Linotype" w:hAnsi="Palatino Linotype" w:cs="Tahoma"/>
          <w:bCs/>
          <w:lang w:eastAsia="es-ES"/>
        </w:rPr>
      </w:pPr>
    </w:p>
    <w:p w14:paraId="2876573A" w14:textId="77777777" w:rsidR="00DC6B44" w:rsidRPr="00EE6F81" w:rsidRDefault="00DC6B44" w:rsidP="00DC6B44">
      <w:pPr>
        <w:widowControl w:val="0"/>
        <w:spacing w:after="0"/>
        <w:ind w:left="567" w:right="567"/>
        <w:contextualSpacing/>
        <w:jc w:val="both"/>
        <w:rPr>
          <w:rFonts w:ascii="Palatino Linotype" w:hAnsi="Palatino Linotype" w:cs="Tahoma"/>
          <w:bCs/>
          <w:i/>
          <w:lang w:eastAsia="es-ES"/>
        </w:rPr>
      </w:pPr>
      <w:r w:rsidRPr="00EE6F81">
        <w:rPr>
          <w:rFonts w:ascii="Palatino Linotype" w:hAnsi="Palatino Linotype" w:cs="Tahoma"/>
          <w:b/>
          <w:bCs/>
          <w:i/>
          <w:lang w:eastAsia="es-ES"/>
        </w:rPr>
        <w:t>“Firma y rúbrica de servidores públicos.</w:t>
      </w:r>
      <w:r w:rsidRPr="00EE6F81">
        <w:rPr>
          <w:rFonts w:ascii="Palatino Linotype" w:hAnsi="Palatino Linotype" w:cs="Tahoma"/>
          <w:bCs/>
          <w:i/>
          <w:lang w:eastAsia="es-ES"/>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5EFD1C51" w14:textId="77777777" w:rsidR="00DC6B44" w:rsidRPr="00EE6F81" w:rsidRDefault="00DC6B44" w:rsidP="00DC6B44">
      <w:pPr>
        <w:spacing w:after="0" w:line="360" w:lineRule="auto"/>
        <w:contextualSpacing/>
        <w:jc w:val="both"/>
        <w:rPr>
          <w:rFonts w:ascii="Palatino Linotype" w:hAnsi="Palatino Linotype" w:cs="Tahoma"/>
          <w:lang w:val="es-ES" w:eastAsia="es-ES"/>
        </w:rPr>
      </w:pPr>
    </w:p>
    <w:p w14:paraId="2F343DDF" w14:textId="77777777" w:rsidR="00DC6B44" w:rsidRPr="00EE6F81" w:rsidRDefault="00DC6B44" w:rsidP="00DC6B44">
      <w:pPr>
        <w:spacing w:after="0" w:line="360" w:lineRule="auto"/>
        <w:contextualSpacing/>
        <w:jc w:val="both"/>
        <w:rPr>
          <w:rFonts w:ascii="Palatino Linotype" w:hAnsi="Palatino Linotype" w:cs="Tahoma"/>
          <w:bCs/>
          <w:iCs/>
          <w:lang w:val="es-ES" w:eastAsia="es-ES"/>
        </w:rPr>
      </w:pPr>
      <w:r w:rsidRPr="00EE6F81">
        <w:rPr>
          <w:rFonts w:ascii="Palatino Linotype" w:hAnsi="Palatino Linotype" w:cs="Tahoma"/>
          <w:lang w:val="es-ES" w:eastAsia="es-ES"/>
        </w:rPr>
        <w:t>Conforme a lo expuesto, no procede la clasificación, en términos del artículo 143, fracción I de la Ley de Transparencia y Acceso a la Información Pública del Estado de México y Municipios, de la firma del personal que dio por terminada la relación laboral.</w:t>
      </w:r>
    </w:p>
    <w:p w14:paraId="00FEF025" w14:textId="14394EFF" w:rsidR="00DC6B44" w:rsidRPr="00EE6F81" w:rsidRDefault="00DC6B44" w:rsidP="00A43ADD">
      <w:pPr>
        <w:spacing w:after="0" w:line="360" w:lineRule="auto"/>
        <w:ind w:right="49"/>
        <w:jc w:val="both"/>
        <w:rPr>
          <w:rFonts w:ascii="Palatino Linotype" w:hAnsi="Palatino Linotype"/>
          <w:lang w:eastAsia="es-MX"/>
        </w:rPr>
      </w:pPr>
    </w:p>
    <w:p w14:paraId="6AAF810D" w14:textId="5DCBBCA7" w:rsidR="00C37A5E" w:rsidRPr="00EE6F81" w:rsidRDefault="00C37A5E" w:rsidP="009836E8">
      <w:pPr>
        <w:numPr>
          <w:ilvl w:val="0"/>
          <w:numId w:val="34"/>
        </w:numPr>
        <w:pBdr>
          <w:top w:val="nil"/>
          <w:left w:val="nil"/>
          <w:bottom w:val="nil"/>
          <w:right w:val="nil"/>
          <w:between w:val="nil"/>
        </w:pBdr>
        <w:spacing w:after="0" w:line="360" w:lineRule="auto"/>
        <w:ind w:left="0" w:right="49" w:firstLine="284"/>
        <w:jc w:val="both"/>
        <w:rPr>
          <w:rFonts w:ascii="Palatino Linotype" w:eastAsia="Palatino Linotype" w:hAnsi="Palatino Linotype" w:cs="Palatino Linotype"/>
        </w:rPr>
      </w:pPr>
      <w:r w:rsidRPr="00EE6F81">
        <w:rPr>
          <w:rFonts w:ascii="Palatino Linotype" w:eastAsia="Palatino Linotype" w:hAnsi="Palatino Linotype" w:cs="Palatino Linotype"/>
          <w:b/>
        </w:rPr>
        <w:t xml:space="preserve"> Sexo</w:t>
      </w:r>
      <w:r w:rsidRPr="00EE6F81">
        <w:rPr>
          <w:rFonts w:ascii="Palatino Linotype" w:eastAsia="Palatino Linotype" w:hAnsi="Palatino Linotype" w:cs="Palatino Linotype"/>
        </w:rPr>
        <w:t xml:space="preserve">. El sexo es un dato personal con el que se distinguen las características biológicas y fisiológicas de una persona y que la hacen identificada o identificable; no obstante </w:t>
      </w:r>
      <w:r w:rsidRPr="00EE6F81">
        <w:rPr>
          <w:rFonts w:ascii="Palatino Linotype" w:eastAsia="Palatino Linotype" w:hAnsi="Palatino Linotype" w:cs="Palatino Linotype"/>
          <w:b/>
          <w:u w:val="single"/>
        </w:rPr>
        <w:t>atendiendo que las personas de quienes se requiere dicha información es de servidores públicos,</w:t>
      </w:r>
      <w:r w:rsidRPr="00EE6F81">
        <w:rPr>
          <w:rFonts w:ascii="Palatino Linotype" w:eastAsia="Palatino Linotype" w:hAnsi="Palatino Linotype" w:cs="Palatino Linotype"/>
        </w:rPr>
        <w:t xml:space="preserve"> la misma es de naturaleza pública; conforme los criterios sustantivos de los Lineamientos Técnicos Generales para la publicación, homologación y estandarización de la información de las obligaciones establecidas en el Título Quinto y en la fracción IV del artículo 31 de la</w:t>
      </w:r>
      <w:r w:rsidR="009836E8" w:rsidRPr="00EE6F81">
        <w:rPr>
          <w:rFonts w:ascii="Palatino Linotype" w:eastAsia="Palatino Linotype" w:hAnsi="Palatino Linotype" w:cs="Palatino Linotype"/>
        </w:rPr>
        <w:t xml:space="preserve"> entonces</w:t>
      </w:r>
      <w:r w:rsidRPr="00EE6F81">
        <w:rPr>
          <w:rFonts w:ascii="Palatino Linotype" w:eastAsia="Palatino Linotype" w:hAnsi="Palatino Linotype" w:cs="Palatino Linotype"/>
        </w:rPr>
        <w:t xml:space="preserve"> Ley General de Transparencia y Acceso a la Información Pública, que deben de difundir los sujetos obligados en los portales de Internet y en la Plataforma Nacional de Transparencia, que señala para su fracción VII, lo siguiente:</w:t>
      </w:r>
    </w:p>
    <w:p w14:paraId="69F6B194" w14:textId="77777777" w:rsidR="00C37A5E" w:rsidRPr="00EE6F81" w:rsidRDefault="00C37A5E" w:rsidP="00C37A5E">
      <w:pPr>
        <w:tabs>
          <w:tab w:val="left" w:pos="993"/>
        </w:tabs>
        <w:spacing w:line="360" w:lineRule="auto"/>
        <w:ind w:right="900"/>
        <w:jc w:val="both"/>
        <w:rPr>
          <w:rFonts w:ascii="Palatino Linotype" w:eastAsia="Palatino Linotype" w:hAnsi="Palatino Linotype" w:cs="Palatino Linotype"/>
          <w:b/>
        </w:rPr>
      </w:pPr>
    </w:p>
    <w:p w14:paraId="38075D26" w14:textId="77777777" w:rsidR="00C37A5E" w:rsidRPr="00EE6F81" w:rsidRDefault="00C37A5E" w:rsidP="00C37A5E">
      <w:pPr>
        <w:spacing w:after="160"/>
        <w:ind w:left="567" w:right="900"/>
        <w:jc w:val="both"/>
        <w:rPr>
          <w:rFonts w:ascii="Palatino Linotype" w:eastAsia="Palatino Linotype" w:hAnsi="Palatino Linotype" w:cs="Palatino Linotype"/>
          <w:i/>
        </w:rPr>
      </w:pPr>
      <w:r w:rsidRPr="00EE6F81">
        <w:rPr>
          <w:rFonts w:ascii="Palatino Linotype" w:eastAsia="Palatino Linotype" w:hAnsi="Palatino Linotype" w:cs="Palatino Linotype"/>
          <w:i/>
        </w:rPr>
        <w:t>“</w:t>
      </w:r>
      <w:r w:rsidRPr="00EE6F81">
        <w:rPr>
          <w:rFonts w:ascii="Palatino Linotype" w:eastAsia="Palatino Linotype" w:hAnsi="Palatino Linotype" w:cs="Palatino Linotype"/>
          <w:b/>
          <w:i/>
          <w:u w:val="single"/>
        </w:rPr>
        <w:t>VII. El directorio de todos los servidores públicos, a partir del nivel de jefe de departamento o su equivalente,</w:t>
      </w:r>
      <w:r w:rsidRPr="00EE6F81">
        <w:rPr>
          <w:rFonts w:ascii="Palatino Linotype" w:eastAsia="Palatino Linotype" w:hAnsi="Palatino Linotype" w:cs="Palatino Linotype"/>
          <w:i/>
        </w:rPr>
        <w:t xml:space="preserve"> o de menor nivel, cuando se brinde atención al público; manejen o apliquen recursos públicos; realicen actos de autoridad, o presten servicios profesionales bajo el régimen de confianza u honorarios y personal de base. El directorio deberá incluir al menos el nombre, cargo o nombramiento asignado, nivel del puesto en la estructura orgánica, fecha de alta en el cargo, número telefónico, domicilio para recibir correspondencia y dirección de correo electrónico oficiales </w:t>
      </w:r>
    </w:p>
    <w:p w14:paraId="0D8D413E" w14:textId="77777777" w:rsidR="00C37A5E" w:rsidRPr="00EE6F81" w:rsidRDefault="00C37A5E" w:rsidP="00C37A5E">
      <w:pPr>
        <w:spacing w:after="160"/>
        <w:ind w:left="567" w:right="900"/>
        <w:jc w:val="both"/>
        <w:rPr>
          <w:rFonts w:ascii="Palatino Linotype" w:eastAsia="Palatino Linotype" w:hAnsi="Palatino Linotype" w:cs="Palatino Linotype"/>
          <w:i/>
        </w:rPr>
      </w:pPr>
      <w:r w:rsidRPr="00EE6F81">
        <w:rPr>
          <w:rFonts w:ascii="Palatino Linotype" w:eastAsia="Palatino Linotype" w:hAnsi="Palatino Linotype" w:cs="Palatino Linotype"/>
          <w:i/>
        </w:rPr>
        <w:t xml:space="preserve">Para el cumplimiento de la presente fracción los sujetos obligados deberán integrar el directorio con los datos básicos para establecer contacto con sus servidores(as) públicos(as), integrantes y/o miembros, así como toda persona que desempeñe un empleo, cargo o comisión y/o ejerza actos de autoridad en los mismos. </w:t>
      </w:r>
    </w:p>
    <w:p w14:paraId="7F0C911B" w14:textId="77777777" w:rsidR="00C37A5E" w:rsidRPr="00EE6F81" w:rsidRDefault="00C37A5E" w:rsidP="00C37A5E">
      <w:pPr>
        <w:spacing w:after="160"/>
        <w:ind w:left="567" w:right="900"/>
        <w:jc w:val="both"/>
        <w:rPr>
          <w:rFonts w:ascii="Palatino Linotype" w:eastAsia="Palatino Linotype" w:hAnsi="Palatino Linotype" w:cs="Palatino Linotype"/>
          <w:i/>
        </w:rPr>
      </w:pPr>
      <w:r w:rsidRPr="00EE6F81">
        <w:rPr>
          <w:rFonts w:ascii="Palatino Linotype" w:eastAsia="Palatino Linotype" w:hAnsi="Palatino Linotype" w:cs="Palatino Linotype"/>
          <w:i/>
        </w:rPr>
        <w:t xml:space="preserve">Se publicará la información correspondiente desde el nivel de jefe de departamento o equivalente, hasta el titular del sujeto obligado; y de menor nivel en caso de que brinden atención al público, manejen o apliquen recursos públicos, realicen actos de autoridad o presten servicios profesionales bajo el régimen de honorarios, confianza y personal de base. </w:t>
      </w:r>
    </w:p>
    <w:p w14:paraId="2027B1BF" w14:textId="77777777" w:rsidR="00C37A5E" w:rsidRPr="00EE6F81" w:rsidRDefault="00C37A5E" w:rsidP="00C37A5E">
      <w:pPr>
        <w:spacing w:after="160"/>
        <w:ind w:left="567" w:right="900"/>
        <w:jc w:val="both"/>
        <w:rPr>
          <w:rFonts w:ascii="Palatino Linotype" w:eastAsia="Palatino Linotype" w:hAnsi="Palatino Linotype" w:cs="Palatino Linotype"/>
        </w:rPr>
      </w:pPr>
      <w:r w:rsidRPr="00EE6F81">
        <w:rPr>
          <w:rFonts w:ascii="Palatino Linotype" w:eastAsia="Palatino Linotype" w:hAnsi="Palatino Linotype" w:cs="Palatino Linotype"/>
          <w:i/>
        </w:rPr>
        <w:t>Respecto de los prestadores de servicios profesionales reportados se incluirá una nota que especifique que éstos no forman parte de la estructura orgánica del sujeto obligado toda vez que fungen como apoyo para el desarrollo de las actividades de los puestos que sí conforman la estructura.</w:t>
      </w:r>
    </w:p>
    <w:p w14:paraId="2DDAA675" w14:textId="77777777" w:rsidR="00C37A5E" w:rsidRPr="00EE6F81" w:rsidRDefault="00C37A5E" w:rsidP="00C37A5E">
      <w:pPr>
        <w:spacing w:after="160"/>
        <w:ind w:left="567" w:right="900"/>
        <w:jc w:val="both"/>
        <w:rPr>
          <w:rFonts w:ascii="Palatino Linotype" w:eastAsia="Palatino Linotype" w:hAnsi="Palatino Linotype" w:cs="Palatino Linotype"/>
          <w:i/>
        </w:rPr>
      </w:pPr>
      <w:r w:rsidRPr="00EE6F81">
        <w:rPr>
          <w:rFonts w:ascii="Palatino Linotype" w:eastAsia="Palatino Linotype" w:hAnsi="Palatino Linotype" w:cs="Palatino Linotype"/>
          <w:i/>
        </w:rPr>
        <w:t xml:space="preserve">Periodo de actualización: trimestral </w:t>
      </w:r>
    </w:p>
    <w:p w14:paraId="3830A794" w14:textId="77777777" w:rsidR="00C37A5E" w:rsidRPr="00EE6F81" w:rsidRDefault="00C37A5E" w:rsidP="00C37A5E">
      <w:pPr>
        <w:spacing w:after="160"/>
        <w:ind w:left="567" w:right="900"/>
        <w:jc w:val="both"/>
        <w:rPr>
          <w:rFonts w:ascii="Palatino Linotype" w:eastAsia="Palatino Linotype" w:hAnsi="Palatino Linotype" w:cs="Palatino Linotype"/>
        </w:rPr>
      </w:pPr>
      <w:r w:rsidRPr="00EE6F81">
        <w:rPr>
          <w:rFonts w:ascii="Palatino Linotype" w:eastAsia="Palatino Linotype" w:hAnsi="Palatino Linotype" w:cs="Palatino Linotype"/>
          <w:i/>
        </w:rPr>
        <w:t>En su caso, 15 días hábiles después de alguna modificación </w:t>
      </w:r>
    </w:p>
    <w:p w14:paraId="3D99A0C6" w14:textId="77777777" w:rsidR="00C37A5E" w:rsidRPr="00EE6F81" w:rsidRDefault="00C37A5E" w:rsidP="00C37A5E">
      <w:pPr>
        <w:spacing w:after="160"/>
        <w:ind w:left="567" w:right="900"/>
        <w:jc w:val="both"/>
        <w:rPr>
          <w:rFonts w:ascii="Palatino Linotype" w:eastAsia="Palatino Linotype" w:hAnsi="Palatino Linotype" w:cs="Palatino Linotype"/>
        </w:rPr>
      </w:pPr>
      <w:r w:rsidRPr="00EE6F81">
        <w:rPr>
          <w:rFonts w:ascii="Palatino Linotype" w:eastAsia="Palatino Linotype" w:hAnsi="Palatino Linotype" w:cs="Palatino Linotype"/>
          <w:i/>
        </w:rPr>
        <w:t>Conservar en sitio de Internet: información vigente </w:t>
      </w:r>
    </w:p>
    <w:p w14:paraId="49B994C2" w14:textId="77777777" w:rsidR="00C37A5E" w:rsidRPr="00EE6F81" w:rsidRDefault="00C37A5E" w:rsidP="00C37A5E">
      <w:pPr>
        <w:spacing w:after="160"/>
        <w:ind w:left="567" w:right="900"/>
        <w:jc w:val="both"/>
        <w:rPr>
          <w:rFonts w:ascii="Palatino Linotype" w:eastAsia="Palatino Linotype" w:hAnsi="Palatino Linotype" w:cs="Palatino Linotype"/>
        </w:rPr>
      </w:pPr>
      <w:r w:rsidRPr="00EE6F81">
        <w:rPr>
          <w:rFonts w:ascii="Palatino Linotype" w:eastAsia="Palatino Linotype" w:hAnsi="Palatino Linotype" w:cs="Palatino Linotype"/>
          <w:i/>
        </w:rPr>
        <w:t>Aplica a: todos los sujetos obligados </w:t>
      </w:r>
    </w:p>
    <w:p w14:paraId="6F8CC598" w14:textId="77777777" w:rsidR="00C37A5E" w:rsidRPr="00EE6F81" w:rsidRDefault="00C37A5E" w:rsidP="00C37A5E">
      <w:pPr>
        <w:spacing w:after="160"/>
        <w:ind w:left="567" w:right="900"/>
        <w:jc w:val="both"/>
        <w:rPr>
          <w:rFonts w:ascii="Palatino Linotype" w:eastAsia="Palatino Linotype" w:hAnsi="Palatino Linotype" w:cs="Palatino Linotype"/>
        </w:rPr>
      </w:pPr>
      <w:r w:rsidRPr="00EE6F81">
        <w:rPr>
          <w:rFonts w:ascii="Palatino Linotype" w:eastAsia="Palatino Linotype" w:hAnsi="Palatino Linotype" w:cs="Palatino Linotype"/>
          <w:i/>
        </w:rPr>
        <w:t>Criterios sustantivos de contenido </w:t>
      </w:r>
    </w:p>
    <w:p w14:paraId="0685405F" w14:textId="77777777" w:rsidR="00C37A5E" w:rsidRPr="00EE6F81" w:rsidRDefault="00C37A5E" w:rsidP="00C37A5E">
      <w:pPr>
        <w:spacing w:after="160"/>
        <w:ind w:left="567" w:right="900"/>
        <w:jc w:val="both"/>
        <w:rPr>
          <w:rFonts w:ascii="Palatino Linotype" w:eastAsia="Palatino Linotype" w:hAnsi="Palatino Linotype" w:cs="Palatino Linotype"/>
        </w:rPr>
      </w:pPr>
      <w:r w:rsidRPr="00EE6F81">
        <w:rPr>
          <w:rFonts w:ascii="Palatino Linotype" w:eastAsia="Palatino Linotype" w:hAnsi="Palatino Linotype" w:cs="Palatino Linotype"/>
          <w:i/>
        </w:rPr>
        <w:t>Criterio 1 Ejercicio </w:t>
      </w:r>
    </w:p>
    <w:p w14:paraId="41034292" w14:textId="77777777" w:rsidR="00C37A5E" w:rsidRPr="00EE6F81" w:rsidRDefault="00C37A5E" w:rsidP="00C37A5E">
      <w:pPr>
        <w:spacing w:after="160"/>
        <w:ind w:left="567" w:right="900"/>
        <w:jc w:val="both"/>
        <w:rPr>
          <w:rFonts w:ascii="Palatino Linotype" w:eastAsia="Palatino Linotype" w:hAnsi="Palatino Linotype" w:cs="Palatino Linotype"/>
        </w:rPr>
      </w:pPr>
      <w:r w:rsidRPr="00EE6F81">
        <w:rPr>
          <w:rFonts w:ascii="Palatino Linotype" w:eastAsia="Palatino Linotype" w:hAnsi="Palatino Linotype" w:cs="Palatino Linotype"/>
          <w:i/>
        </w:rPr>
        <w:t>Criterio 2 Periodo que se informa (fecha de inicio y fecha de término con el formato día/mes/año) </w:t>
      </w:r>
    </w:p>
    <w:p w14:paraId="351DAE83" w14:textId="77777777" w:rsidR="00C37A5E" w:rsidRPr="00EE6F81" w:rsidRDefault="00C37A5E" w:rsidP="00C37A5E">
      <w:pPr>
        <w:spacing w:after="160"/>
        <w:ind w:left="567" w:right="900"/>
        <w:jc w:val="both"/>
        <w:rPr>
          <w:rFonts w:ascii="Palatino Linotype" w:eastAsia="Palatino Linotype" w:hAnsi="Palatino Linotype" w:cs="Palatino Linotype"/>
        </w:rPr>
      </w:pPr>
      <w:r w:rsidRPr="00EE6F81">
        <w:rPr>
          <w:rFonts w:ascii="Palatino Linotype" w:eastAsia="Palatino Linotype" w:hAnsi="Palatino Linotype" w:cs="Palatino Linotype"/>
          <w:i/>
        </w:rPr>
        <w:t>Criterio 3 Clave o nivel del puesto (de acuerdo con el catálogo que regule la actividad del sujeto obligado) </w:t>
      </w:r>
    </w:p>
    <w:p w14:paraId="4EBC9867" w14:textId="77777777" w:rsidR="00C37A5E" w:rsidRPr="00EE6F81" w:rsidRDefault="00C37A5E" w:rsidP="00C37A5E">
      <w:pPr>
        <w:spacing w:after="160"/>
        <w:ind w:left="567" w:right="900"/>
        <w:jc w:val="both"/>
        <w:rPr>
          <w:rFonts w:ascii="Palatino Linotype" w:eastAsia="Palatino Linotype" w:hAnsi="Palatino Linotype" w:cs="Palatino Linotype"/>
          <w:b/>
        </w:rPr>
      </w:pPr>
      <w:r w:rsidRPr="00EE6F81">
        <w:rPr>
          <w:rFonts w:ascii="Palatino Linotype" w:eastAsia="Palatino Linotype" w:hAnsi="Palatino Linotype" w:cs="Palatino Linotype"/>
          <w:b/>
          <w:i/>
        </w:rPr>
        <w:t>Criterio 4 Denominación del cargo (de conformidad con nombramiento otorgado) </w:t>
      </w:r>
    </w:p>
    <w:p w14:paraId="342F85D4" w14:textId="77777777" w:rsidR="00C37A5E" w:rsidRPr="00EE6F81" w:rsidRDefault="00C37A5E" w:rsidP="00C37A5E">
      <w:pPr>
        <w:spacing w:after="160"/>
        <w:ind w:left="567" w:right="900"/>
        <w:jc w:val="both"/>
        <w:rPr>
          <w:rFonts w:ascii="Palatino Linotype" w:eastAsia="Palatino Linotype" w:hAnsi="Palatino Linotype" w:cs="Palatino Linotype"/>
        </w:rPr>
      </w:pPr>
      <w:r w:rsidRPr="00EE6F81">
        <w:rPr>
          <w:rFonts w:ascii="Palatino Linotype" w:eastAsia="Palatino Linotype" w:hAnsi="Palatino Linotype" w:cs="Palatino Linotype"/>
          <w:i/>
        </w:rPr>
        <w:t>Criterio 5 Nombre del servidor(a) público(a)(nombre[s], primer apellido, segundo apellido), integrante y/o miembro del sujeto obligado, y/o persona que desempeñe un empleo, cargo o comisión y/o ejerza actos de autoridad15. En su caso, incluir una nota que especifique el motivo por el cual no existe servidor(a) público(a) ocupando el cargo, por ejemplo: Vacante</w:t>
      </w:r>
    </w:p>
    <w:p w14:paraId="1E2DEAC3" w14:textId="77777777" w:rsidR="00C37A5E" w:rsidRPr="00EE6F81" w:rsidRDefault="00C37A5E" w:rsidP="00C37A5E">
      <w:pPr>
        <w:spacing w:after="160"/>
        <w:ind w:left="567" w:right="900"/>
        <w:jc w:val="both"/>
        <w:rPr>
          <w:rFonts w:ascii="Palatino Linotype" w:eastAsia="Palatino Linotype" w:hAnsi="Palatino Linotype" w:cs="Palatino Linotype"/>
          <w:b/>
          <w:u w:val="single"/>
        </w:rPr>
      </w:pPr>
      <w:r w:rsidRPr="00EE6F81">
        <w:rPr>
          <w:rFonts w:ascii="Palatino Linotype" w:eastAsia="Palatino Linotype" w:hAnsi="Palatino Linotype" w:cs="Palatino Linotype"/>
          <w:b/>
          <w:i/>
          <w:u w:val="single"/>
        </w:rPr>
        <w:t>Criterio 6 Sexo (catálogo): Mujer/Hombre</w:t>
      </w:r>
    </w:p>
    <w:p w14:paraId="6293FF06" w14:textId="77777777" w:rsidR="00C37A5E" w:rsidRPr="00EE6F81" w:rsidRDefault="00C37A5E" w:rsidP="00C37A5E">
      <w:pPr>
        <w:spacing w:after="160"/>
        <w:ind w:left="567" w:right="900"/>
        <w:jc w:val="both"/>
        <w:rPr>
          <w:rFonts w:ascii="Palatino Linotype" w:eastAsia="Palatino Linotype" w:hAnsi="Palatino Linotype" w:cs="Palatino Linotype"/>
          <w:i/>
        </w:rPr>
      </w:pPr>
      <w:r w:rsidRPr="00EE6F81">
        <w:rPr>
          <w:rFonts w:ascii="Palatino Linotype" w:eastAsia="Palatino Linotype" w:hAnsi="Palatino Linotype" w:cs="Palatino Linotype"/>
          <w:i/>
        </w:rPr>
        <w:t>…” (Énfasis añadido)</w:t>
      </w:r>
    </w:p>
    <w:p w14:paraId="62AB6E42" w14:textId="77777777" w:rsidR="00C37A5E" w:rsidRPr="00EE6F81" w:rsidRDefault="00C37A5E" w:rsidP="00C37A5E">
      <w:pPr>
        <w:tabs>
          <w:tab w:val="left" w:pos="993"/>
        </w:tabs>
        <w:spacing w:line="360" w:lineRule="auto"/>
        <w:jc w:val="both"/>
        <w:rPr>
          <w:rFonts w:ascii="Palatino Linotype" w:eastAsia="Palatino Linotype" w:hAnsi="Palatino Linotype" w:cs="Palatino Linotype"/>
          <w:b/>
        </w:rPr>
      </w:pPr>
      <w:r w:rsidRPr="00EE6F81">
        <w:rPr>
          <w:rFonts w:ascii="Palatino Linotype" w:eastAsia="Palatino Linotype" w:hAnsi="Palatino Linotype" w:cs="Palatino Linotype"/>
        </w:rPr>
        <w:t xml:space="preserve">De lo anterior se advierte que  </w:t>
      </w:r>
      <w:r w:rsidRPr="00EE6F81">
        <w:rPr>
          <w:rFonts w:ascii="Palatino Linotype" w:eastAsia="Palatino Linotype" w:hAnsi="Palatino Linotype" w:cs="Palatino Linotype"/>
          <w:b/>
        </w:rPr>
        <w:t>dicho dato se encuentra relacionado con una obligación de transparencia común, pues debe encontrarse contenido en el directorio de todos los servidores públicos, establecido en la fracción VII de dichos lineamientos, como se citó anteriormente.</w:t>
      </w:r>
    </w:p>
    <w:p w14:paraId="0AB0D3A2" w14:textId="77777777" w:rsidR="009836E8" w:rsidRPr="00EE6F81" w:rsidRDefault="00C37A5E" w:rsidP="009836E8">
      <w:pPr>
        <w:tabs>
          <w:tab w:val="left" w:pos="993"/>
        </w:tabs>
        <w:spacing w:line="360" w:lineRule="auto"/>
        <w:jc w:val="both"/>
        <w:rPr>
          <w:rFonts w:ascii="Palatino Linotype" w:eastAsia="Palatino Linotype" w:hAnsi="Palatino Linotype" w:cs="Palatino Linotype"/>
          <w:b/>
        </w:rPr>
      </w:pPr>
      <w:r w:rsidRPr="00EE6F81">
        <w:rPr>
          <w:rFonts w:ascii="Palatino Linotype" w:eastAsia="Palatino Linotype" w:hAnsi="Palatino Linotype" w:cs="Palatino Linotype"/>
        </w:rPr>
        <w:t xml:space="preserve">Por lo que, atendiendo que los Lineamientos de referencia, son de observancia obligatoria tanto para el INAI, como para los organismos garantes y sujetos obligados de todo el país en sus diferentes ámbitos de competencia, los cuales se encuentran en vigor; </w:t>
      </w:r>
      <w:r w:rsidRPr="00EE6F81">
        <w:rPr>
          <w:rFonts w:ascii="Palatino Linotype" w:eastAsia="Palatino Linotype" w:hAnsi="Palatino Linotype" w:cs="Palatino Linotype"/>
          <w:b/>
        </w:rPr>
        <w:t xml:space="preserve">por tanto, el criterio que debe prevalecer, es el relativo a que el sexo (mujer/hombre) </w:t>
      </w:r>
      <w:r w:rsidRPr="00EE6F81">
        <w:rPr>
          <w:rFonts w:ascii="Palatino Linotype" w:eastAsia="Palatino Linotype" w:hAnsi="Palatino Linotype" w:cs="Palatino Linotype"/>
          <w:b/>
          <w:u w:val="single"/>
        </w:rPr>
        <w:t>de servidores públicos,</w:t>
      </w:r>
      <w:r w:rsidRPr="00EE6F81">
        <w:rPr>
          <w:rFonts w:ascii="Palatino Linotype" w:eastAsia="Palatino Linotype" w:hAnsi="Palatino Linotype" w:cs="Palatino Linotype"/>
          <w:b/>
        </w:rPr>
        <w:t xml:space="preserve"> es información de carácter público.</w:t>
      </w:r>
    </w:p>
    <w:p w14:paraId="67C68AE9" w14:textId="3CB39244" w:rsidR="009836E8" w:rsidRPr="00EE6F81" w:rsidRDefault="009836E8" w:rsidP="009836E8">
      <w:pPr>
        <w:pStyle w:val="Prrafodelista"/>
        <w:numPr>
          <w:ilvl w:val="0"/>
          <w:numId w:val="28"/>
        </w:numPr>
        <w:tabs>
          <w:tab w:val="left" w:pos="993"/>
        </w:tabs>
        <w:spacing w:line="360" w:lineRule="auto"/>
        <w:ind w:left="0" w:firstLine="0"/>
        <w:jc w:val="both"/>
        <w:rPr>
          <w:rFonts w:ascii="Palatino Linotype" w:eastAsia="Palatino Linotype" w:hAnsi="Palatino Linotype" w:cs="Palatino Linotype"/>
          <w:b/>
        </w:rPr>
      </w:pPr>
      <w:r w:rsidRPr="00EE6F81">
        <w:rPr>
          <w:rFonts w:ascii="Palatino Linotype" w:hAnsi="Palatino Linotype"/>
          <w:b/>
          <w:bCs/>
          <w:lang w:eastAsia="es-MX"/>
        </w:rPr>
        <w:t xml:space="preserve">Escolaridad. </w:t>
      </w:r>
      <w:r w:rsidRPr="00EE6F81">
        <w:rPr>
          <w:rFonts w:ascii="Palatino Linotype" w:eastAsia="Palatino Linotype" w:hAnsi="Palatino Linotype" w:cs="Palatino Linotype"/>
          <w:sz w:val="24"/>
          <w:szCs w:val="24"/>
        </w:rPr>
        <w:t xml:space="preserve">Respecto del dato concerniente a la </w:t>
      </w:r>
      <w:r w:rsidRPr="00EE6F81">
        <w:rPr>
          <w:rFonts w:ascii="Palatino Linotype" w:eastAsia="Palatino Linotype" w:hAnsi="Palatino Linotype" w:cs="Palatino Linotype"/>
          <w:b/>
          <w:sz w:val="24"/>
          <w:szCs w:val="24"/>
        </w:rPr>
        <w:t>escolaridad, profesión u ocupación</w:t>
      </w:r>
      <w:r w:rsidRPr="00EE6F81">
        <w:rPr>
          <w:rFonts w:ascii="Palatino Linotype" w:eastAsia="Palatino Linotype" w:hAnsi="Palatino Linotype" w:cs="Palatino Linotype"/>
          <w:sz w:val="24"/>
          <w:szCs w:val="24"/>
        </w:rPr>
        <w:t xml:space="preserve">, es considerado un dato público, pues el mismo da cuenta de la información relacionada con la trayectoria académica de un servidor público, lo que permite acreditar la capacidad y habilidades de una persona para ocupar un cargo, puesto o comisión, y que se encuentra estrechamente relacionado a la información que obra en la ficha curricular o </w:t>
      </w:r>
      <w:proofErr w:type="spellStart"/>
      <w:r w:rsidRPr="00EE6F81">
        <w:rPr>
          <w:rFonts w:ascii="Palatino Linotype" w:eastAsia="Palatino Linotype" w:hAnsi="Palatino Linotype" w:cs="Palatino Linotype"/>
          <w:sz w:val="24"/>
          <w:szCs w:val="24"/>
        </w:rPr>
        <w:t>curriculum</w:t>
      </w:r>
      <w:proofErr w:type="spellEnd"/>
      <w:r w:rsidRPr="00EE6F81">
        <w:rPr>
          <w:rFonts w:ascii="Palatino Linotype" w:eastAsia="Palatino Linotype" w:hAnsi="Palatino Linotype" w:cs="Palatino Linotype"/>
          <w:sz w:val="24"/>
          <w:szCs w:val="24"/>
        </w:rPr>
        <w:t xml:space="preserve"> vitae, que constituye una obligación de transparencia común de todo Sujeto Obligado poner a disposición del particular.</w:t>
      </w:r>
    </w:p>
    <w:p w14:paraId="46CBECB4" w14:textId="77777777" w:rsidR="009836E8" w:rsidRPr="00EE6F81" w:rsidRDefault="009836E8" w:rsidP="009836E8">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184489FD" w14:textId="77777777" w:rsidR="009836E8" w:rsidRPr="00EE6F81" w:rsidRDefault="009836E8" w:rsidP="009836E8">
      <w:pPr>
        <w:pBdr>
          <w:top w:val="nil"/>
          <w:left w:val="nil"/>
          <w:bottom w:val="nil"/>
          <w:right w:val="nil"/>
          <w:between w:val="nil"/>
        </w:pBdr>
        <w:spacing w:after="0" w:line="360" w:lineRule="auto"/>
        <w:jc w:val="both"/>
        <w:rPr>
          <w:rFonts w:ascii="Times New Roman" w:hAnsi="Times New Roman"/>
          <w:sz w:val="24"/>
          <w:szCs w:val="24"/>
        </w:rPr>
      </w:pPr>
      <w:r w:rsidRPr="00EE6F81">
        <w:rPr>
          <w:rFonts w:ascii="Palatino Linotype" w:eastAsia="Palatino Linotype" w:hAnsi="Palatino Linotype" w:cs="Palatino Linotype"/>
          <w:sz w:val="24"/>
          <w:szCs w:val="24"/>
        </w:rPr>
        <w:t>Para demostrar lo anterior, se trae a colación el contenido de la fracción XXI del artículo 92, de la Ley de Transparencia Local, que es del tenor literal siguiente: </w:t>
      </w:r>
    </w:p>
    <w:p w14:paraId="186E6529" w14:textId="77777777" w:rsidR="009836E8" w:rsidRPr="00EE6F81" w:rsidRDefault="009836E8" w:rsidP="009836E8">
      <w:pPr>
        <w:pBdr>
          <w:top w:val="nil"/>
          <w:left w:val="nil"/>
          <w:bottom w:val="nil"/>
          <w:right w:val="nil"/>
          <w:between w:val="nil"/>
        </w:pBdr>
        <w:spacing w:before="240" w:after="0" w:line="240" w:lineRule="auto"/>
        <w:ind w:left="567" w:right="902"/>
        <w:jc w:val="both"/>
        <w:rPr>
          <w:rFonts w:ascii="Times New Roman" w:hAnsi="Times New Roman"/>
          <w:sz w:val="24"/>
          <w:szCs w:val="24"/>
        </w:rPr>
      </w:pPr>
      <w:r w:rsidRPr="00EE6F81">
        <w:rPr>
          <w:rFonts w:ascii="Palatino Linotype" w:eastAsia="Palatino Linotype" w:hAnsi="Palatino Linotype" w:cs="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E2B9CDA" w14:textId="77777777" w:rsidR="009836E8" w:rsidRPr="00EE6F81" w:rsidRDefault="009836E8" w:rsidP="009836E8">
      <w:pPr>
        <w:pBdr>
          <w:top w:val="nil"/>
          <w:left w:val="nil"/>
          <w:bottom w:val="nil"/>
          <w:right w:val="nil"/>
          <w:between w:val="nil"/>
        </w:pBdr>
        <w:spacing w:after="0" w:line="240" w:lineRule="auto"/>
        <w:ind w:left="567" w:right="902"/>
        <w:jc w:val="both"/>
        <w:rPr>
          <w:rFonts w:ascii="Times New Roman" w:hAnsi="Times New Roman"/>
          <w:sz w:val="24"/>
          <w:szCs w:val="24"/>
        </w:rPr>
      </w:pPr>
      <w:r w:rsidRPr="00EE6F81">
        <w:rPr>
          <w:rFonts w:ascii="Palatino Linotype" w:eastAsia="Palatino Linotype" w:hAnsi="Palatino Linotype" w:cs="Palatino Linotype"/>
          <w:i/>
        </w:rPr>
        <w:t>...</w:t>
      </w:r>
    </w:p>
    <w:p w14:paraId="4A2D318F" w14:textId="77777777" w:rsidR="009836E8" w:rsidRPr="00EE6F81" w:rsidRDefault="009836E8" w:rsidP="009836E8">
      <w:pPr>
        <w:pBdr>
          <w:top w:val="nil"/>
          <w:left w:val="nil"/>
          <w:bottom w:val="nil"/>
          <w:right w:val="nil"/>
          <w:between w:val="nil"/>
        </w:pBdr>
        <w:spacing w:after="0" w:line="240" w:lineRule="auto"/>
        <w:ind w:left="567" w:right="902"/>
        <w:jc w:val="both"/>
        <w:rPr>
          <w:rFonts w:ascii="Times New Roman" w:hAnsi="Times New Roman"/>
          <w:sz w:val="24"/>
          <w:szCs w:val="24"/>
        </w:rPr>
      </w:pPr>
      <w:r w:rsidRPr="00EE6F81">
        <w:rPr>
          <w:rFonts w:ascii="Palatino Linotype" w:eastAsia="Palatino Linotype" w:hAnsi="Palatino Linotype" w:cs="Palatino Linotype"/>
          <w:b/>
          <w:i/>
        </w:rPr>
        <w:t>XXI. La información curricular, desde el nivel de jefe de departamento o equivalente, hasta el titular del sujeto obligado</w:t>
      </w:r>
      <w:r w:rsidRPr="00EE6F81">
        <w:rPr>
          <w:rFonts w:ascii="Palatino Linotype" w:eastAsia="Palatino Linotype" w:hAnsi="Palatino Linotype" w:cs="Palatino Linotype"/>
          <w:i/>
        </w:rPr>
        <w:t>, así como, en su caso, las sanciones administrativas de que haya sido objeto” (Sic)</w:t>
      </w:r>
    </w:p>
    <w:p w14:paraId="42D31709" w14:textId="77777777" w:rsidR="009836E8" w:rsidRPr="00EE6F81" w:rsidRDefault="009836E8" w:rsidP="009836E8">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3727972D" w14:textId="77777777" w:rsidR="009836E8" w:rsidRPr="00EE6F81" w:rsidRDefault="009836E8" w:rsidP="009836E8">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EE6F81">
        <w:rPr>
          <w:rFonts w:ascii="Palatino Linotype" w:eastAsia="Palatino Linotype" w:hAnsi="Palatino Linotype" w:cs="Palatino Linotype"/>
          <w:sz w:val="24"/>
          <w:szCs w:val="24"/>
        </w:rPr>
        <w:t xml:space="preserve">Como se desprende del numeral transcrito, </w:t>
      </w:r>
      <w:r w:rsidRPr="00EE6F81">
        <w:rPr>
          <w:rFonts w:ascii="Palatino Linotype" w:eastAsia="Palatino Linotype" w:hAnsi="Palatino Linotype" w:cs="Palatino Linotype"/>
          <w:b/>
          <w:sz w:val="24"/>
          <w:szCs w:val="24"/>
        </w:rPr>
        <w:t>la información curricular</w:t>
      </w:r>
      <w:r w:rsidRPr="00EE6F81">
        <w:rPr>
          <w:rFonts w:ascii="Palatino Linotype" w:eastAsia="Palatino Linotype" w:hAnsi="Palatino Linotype" w:cs="Palatino Linotype"/>
          <w:sz w:val="24"/>
          <w:szCs w:val="24"/>
        </w:rPr>
        <w:t xml:space="preserve"> desde el nivel de jefe de departamento o equivalente hasta el titular del Sujeto Obligado constituye una obligación de transparencia común, pues el ente público se encuentra constreñido a poner a disposición del público en su portal de Información Pública de Oficio Mexiquense (IPOMEX), con la finalidad de enaltecer los principios de máxima publicidad, transparencia y certeza.</w:t>
      </w:r>
    </w:p>
    <w:p w14:paraId="04DF6A33" w14:textId="77777777" w:rsidR="009836E8" w:rsidRPr="00EE6F81" w:rsidRDefault="009836E8" w:rsidP="009836E8">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09F9D9A2" w14:textId="77777777" w:rsidR="009836E8" w:rsidRPr="00EE6F81" w:rsidRDefault="009836E8" w:rsidP="009836E8">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EE6F81">
        <w:rPr>
          <w:rFonts w:ascii="Palatino Linotype" w:eastAsia="Palatino Linotype" w:hAnsi="Palatino Linotype" w:cs="Palatino Linotype"/>
          <w:sz w:val="24"/>
          <w:szCs w:val="24"/>
        </w:rPr>
        <w:t xml:space="preserve">En este punto, sirve agregar que los documentos en donde obra la información curricular de un servidor público, dentro de la cual destaca la escolaridad, profesión u ocupación, es precisamente en una ficha curricular o </w:t>
      </w:r>
      <w:proofErr w:type="spellStart"/>
      <w:r w:rsidRPr="00EE6F81">
        <w:rPr>
          <w:rFonts w:ascii="Palatino Linotype" w:eastAsia="Palatino Linotype" w:hAnsi="Palatino Linotype" w:cs="Palatino Linotype"/>
          <w:sz w:val="24"/>
          <w:szCs w:val="24"/>
        </w:rPr>
        <w:t>curriculum</w:t>
      </w:r>
      <w:proofErr w:type="spellEnd"/>
      <w:r w:rsidRPr="00EE6F81">
        <w:rPr>
          <w:rFonts w:ascii="Palatino Linotype" w:eastAsia="Palatino Linotype" w:hAnsi="Palatino Linotype" w:cs="Palatino Linotype"/>
          <w:sz w:val="24"/>
          <w:szCs w:val="24"/>
        </w:rPr>
        <w:t xml:space="preserve"> vitae.</w:t>
      </w:r>
    </w:p>
    <w:p w14:paraId="511ECAAE" w14:textId="77777777" w:rsidR="009836E8" w:rsidRPr="00EE6F81" w:rsidRDefault="009836E8" w:rsidP="009836E8">
      <w:pPr>
        <w:pBdr>
          <w:top w:val="nil"/>
          <w:left w:val="nil"/>
          <w:bottom w:val="nil"/>
          <w:right w:val="nil"/>
          <w:between w:val="nil"/>
        </w:pBdr>
        <w:spacing w:before="240" w:after="240" w:line="360" w:lineRule="auto"/>
        <w:ind w:right="-93"/>
        <w:jc w:val="both"/>
        <w:rPr>
          <w:rFonts w:ascii="Palatino Linotype" w:eastAsia="Palatino Linotype" w:hAnsi="Palatino Linotype" w:cs="Palatino Linotype"/>
          <w:b/>
        </w:rPr>
      </w:pPr>
      <w:r w:rsidRPr="00EE6F81">
        <w:rPr>
          <w:rFonts w:ascii="Palatino Linotype" w:eastAsia="Palatino Linotype" w:hAnsi="Palatino Linotype" w:cs="Palatino Linotype"/>
          <w:sz w:val="24"/>
          <w:szCs w:val="24"/>
        </w:rPr>
        <w:t>Al respecto, conviene señalar que el currículum vítae es aquel que contiene la información relacionada con la trayectoria académica, profesional y laboral de un Servidor Público por medio del cual se acredita la capacidad, habilidades, experiencia o pericia de una persona para ocupar un cargo, puesto o comisión, que permitan realizar una comparación de las actividades que ha realizado con las que habrá de desarrollar, y determinar si cumple con el perfil del cargo a ocupar, del cual se desprende el último cargo que ocupó.</w:t>
      </w:r>
    </w:p>
    <w:p w14:paraId="25526335" w14:textId="77777777" w:rsidR="009836E8" w:rsidRPr="00EE6F81" w:rsidRDefault="009836E8" w:rsidP="009836E8">
      <w:pPr>
        <w:pBdr>
          <w:top w:val="nil"/>
          <w:left w:val="nil"/>
          <w:bottom w:val="nil"/>
          <w:right w:val="nil"/>
          <w:between w:val="nil"/>
        </w:pBdr>
        <w:spacing w:before="240" w:after="240" w:line="360" w:lineRule="auto"/>
        <w:ind w:right="-234"/>
        <w:jc w:val="both"/>
        <w:rPr>
          <w:rFonts w:ascii="Times New Roman" w:hAnsi="Times New Roman"/>
          <w:sz w:val="24"/>
          <w:szCs w:val="24"/>
        </w:rPr>
      </w:pPr>
      <w:r w:rsidRPr="00EE6F81">
        <w:rPr>
          <w:rFonts w:ascii="Palatino Linotype" w:eastAsia="Palatino Linotype" w:hAnsi="Palatino Linotype" w:cs="Palatino Linotype"/>
          <w:sz w:val="24"/>
          <w:szCs w:val="24"/>
        </w:rPr>
        <w:t xml:space="preserve">En ese sentido, si bien el documento referido es elaborado por cada persona sin ninguna validez oficial, el cual tiene como objetivo que las personas conozcan la trayectoria de quien lo presenta, situación que toma mayor relevancia al tratarse de aquel que ostenta un cargo en la administración; por lo que, existe un interés público para dar a conocer su contenido, pues transparenta que el personal que labora para el </w:t>
      </w:r>
      <w:r w:rsidRPr="00EE6F81">
        <w:rPr>
          <w:rFonts w:ascii="Palatino Linotype" w:eastAsia="Palatino Linotype" w:hAnsi="Palatino Linotype" w:cs="Palatino Linotype"/>
          <w:b/>
          <w:sz w:val="24"/>
          <w:szCs w:val="24"/>
        </w:rPr>
        <w:t xml:space="preserve"> Sujeto Obligado</w:t>
      </w:r>
      <w:r w:rsidRPr="00EE6F81">
        <w:rPr>
          <w:rFonts w:ascii="Palatino Linotype" w:eastAsia="Palatino Linotype" w:hAnsi="Palatino Linotype" w:cs="Palatino Linotype"/>
          <w:sz w:val="24"/>
          <w:szCs w:val="24"/>
        </w:rPr>
        <w:t xml:space="preserve"> cuenta con las capacidades, conocimientos y experiencia necesaria para el cabal cumplimiento de sus funciones. </w:t>
      </w:r>
    </w:p>
    <w:p w14:paraId="64B4B49B" w14:textId="77777777" w:rsidR="009836E8" w:rsidRPr="00EE6F81" w:rsidRDefault="009836E8" w:rsidP="009836E8">
      <w:pPr>
        <w:pBdr>
          <w:top w:val="nil"/>
          <w:left w:val="nil"/>
          <w:bottom w:val="nil"/>
          <w:right w:val="nil"/>
          <w:between w:val="nil"/>
        </w:pBdr>
        <w:spacing w:after="0" w:line="360" w:lineRule="auto"/>
        <w:ind w:right="51"/>
        <w:jc w:val="both"/>
        <w:rPr>
          <w:rFonts w:ascii="Times New Roman" w:hAnsi="Times New Roman"/>
          <w:sz w:val="24"/>
          <w:szCs w:val="24"/>
        </w:rPr>
      </w:pPr>
      <w:r w:rsidRPr="00EE6F81">
        <w:rPr>
          <w:rFonts w:ascii="Palatino Linotype" w:eastAsia="Palatino Linotype" w:hAnsi="Palatino Linotype" w:cs="Palatino Linotype"/>
          <w:sz w:val="24"/>
          <w:szCs w:val="24"/>
        </w:rPr>
        <w:t>Lo que se sustenta, con lo señaló Instituto Federal de Acceso a la Información ahora Instituto Nacional de Transparencia Acceso a la Información y Protección de Datos Personales, en su criterio 03/2009 que indica que una de las formas en la que los ciudadanos puede evaluar las aptitudes de los servidores públicos para desempeñar el cargo público que les ha sido encomendado, es mediante la publicidad de ciertos datos contenidos en los currículums vitae, o bien en las solicitudes de empleo, el cual para mayor ilustración se transcribe a continuación:</w:t>
      </w:r>
    </w:p>
    <w:p w14:paraId="03817BAC" w14:textId="77777777" w:rsidR="009836E8" w:rsidRPr="00EE6F81" w:rsidRDefault="009836E8" w:rsidP="009836E8"/>
    <w:p w14:paraId="19723567" w14:textId="77777777" w:rsidR="009836E8" w:rsidRPr="00EE6F81" w:rsidRDefault="009836E8" w:rsidP="009836E8">
      <w:pPr>
        <w:pBdr>
          <w:top w:val="nil"/>
          <w:left w:val="nil"/>
          <w:bottom w:val="nil"/>
          <w:right w:val="nil"/>
          <w:between w:val="nil"/>
        </w:pBdr>
        <w:spacing w:after="0" w:line="240" w:lineRule="auto"/>
        <w:ind w:left="567" w:right="618"/>
        <w:jc w:val="both"/>
        <w:rPr>
          <w:rFonts w:ascii="Times New Roman" w:hAnsi="Times New Roman"/>
          <w:sz w:val="24"/>
          <w:szCs w:val="24"/>
        </w:rPr>
      </w:pPr>
      <w:r w:rsidRPr="00EE6F81">
        <w:rPr>
          <w:rFonts w:ascii="Palatino Linotype" w:eastAsia="Palatino Linotype" w:hAnsi="Palatino Linotype" w:cs="Palatino Linotype"/>
          <w:i/>
        </w:rPr>
        <w:t>“</w:t>
      </w:r>
      <w:proofErr w:type="spellStart"/>
      <w:r w:rsidRPr="00EE6F81">
        <w:rPr>
          <w:rFonts w:ascii="Palatino Linotype" w:eastAsia="Palatino Linotype" w:hAnsi="Palatino Linotype" w:cs="Palatino Linotype"/>
          <w:b/>
          <w:i/>
        </w:rPr>
        <w:t>Curriculum</w:t>
      </w:r>
      <w:proofErr w:type="spellEnd"/>
      <w:r w:rsidRPr="00EE6F81">
        <w:rPr>
          <w:rFonts w:ascii="Palatino Linotype" w:eastAsia="Palatino Linotype" w:hAnsi="Palatino Linotype" w:cs="Palatino Linotype"/>
          <w:b/>
          <w:i/>
        </w:rPr>
        <w:t xml:space="preserve"> Vitae de servidores públicos. Es obligación de los sujetos obligados otorgar acceso a versiones públicas de los mismos ante una solicitud de acceso. </w:t>
      </w:r>
      <w:r w:rsidRPr="00EE6F81">
        <w:rPr>
          <w:rFonts w:ascii="Palatino Linotype" w:eastAsia="Palatino Linotype" w:hAnsi="Palatino Linotype" w:cs="Palatino Linotype"/>
          <w:i/>
        </w:rPr>
        <w:t xml:space="preserve">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EE6F81">
        <w:rPr>
          <w:rFonts w:ascii="Palatino Linotype" w:eastAsia="Palatino Linotype" w:hAnsi="Palatino Linotype" w:cs="Palatino Linotype"/>
          <w:i/>
        </w:rPr>
        <w:t>curriculum</w:t>
      </w:r>
      <w:proofErr w:type="spellEnd"/>
      <w:r w:rsidRPr="00EE6F81">
        <w:rPr>
          <w:rFonts w:ascii="Palatino Linotype" w:eastAsia="Palatino Linotype" w:hAnsi="Palatino Linotype" w:cs="Palatino Linotype"/>
          <w:i/>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EE6F81">
        <w:rPr>
          <w:rFonts w:ascii="Palatino Linotype" w:eastAsia="Palatino Linotype" w:hAnsi="Palatino Linotype" w:cs="Palatino Linotype"/>
          <w:i/>
        </w:rPr>
        <w:t>curriculum</w:t>
      </w:r>
      <w:proofErr w:type="spellEnd"/>
      <w:r w:rsidRPr="00EE6F81">
        <w:rPr>
          <w:rFonts w:ascii="Palatino Linotype" w:eastAsia="Palatino Linotype" w:hAnsi="Palatino Linotype" w:cs="Palatino Linotype"/>
          <w:i/>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4D776192" w14:textId="77777777" w:rsidR="009836E8" w:rsidRPr="00EE6F81" w:rsidRDefault="009836E8" w:rsidP="009836E8">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77E6FDDF" w14:textId="77777777" w:rsidR="009836E8" w:rsidRPr="00EE6F81" w:rsidRDefault="009836E8" w:rsidP="009836E8">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EE6F81">
        <w:rPr>
          <w:rFonts w:ascii="Palatino Linotype" w:eastAsia="Palatino Linotype" w:hAnsi="Palatino Linotype" w:cs="Palatino Linotype"/>
          <w:sz w:val="24"/>
          <w:szCs w:val="24"/>
        </w:rPr>
        <w:t>De esta manera, se colige que la escolaridad, profesión u ocupación, forma parte de la información curricular de la servidor público de quien el particular requirió el Formato Único de Movimientos de Personal, por lo que si en el documento que se entregue en cumplimiento a la presente resolución se advierte el mismo, este se deberá dejar a la vista, pues permitirá conocer a particular si dicha servidora pública cuenta con la preparación académica y profesional para ocupar el cargo de Jefa de la Unidad Jurídica para la cual se le designó.</w:t>
      </w:r>
    </w:p>
    <w:p w14:paraId="73A63A10" w14:textId="77777777" w:rsidR="009836E8" w:rsidRPr="00EE6F81" w:rsidRDefault="009836E8" w:rsidP="009836E8">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2BD82DF7" w14:textId="1DFE77F2" w:rsidR="00DC6B44" w:rsidRPr="00EE6F81" w:rsidRDefault="00DC6B44" w:rsidP="00A43ADD">
      <w:pPr>
        <w:spacing w:after="0" w:line="360" w:lineRule="auto"/>
        <w:ind w:right="49"/>
        <w:jc w:val="both"/>
        <w:rPr>
          <w:rFonts w:ascii="Palatino Linotype" w:hAnsi="Palatino Linotype"/>
          <w:lang w:eastAsia="es-MX"/>
        </w:rPr>
      </w:pPr>
      <w:r w:rsidRPr="00EE6F81">
        <w:rPr>
          <w:rFonts w:ascii="Palatino Linotype" w:hAnsi="Palatino Linotype"/>
          <w:lang w:eastAsia="es-MX"/>
        </w:rPr>
        <w:t xml:space="preserve">De lo anterior, se considera que tanto </w:t>
      </w:r>
      <w:r w:rsidR="00C37A5E" w:rsidRPr="00EE6F81">
        <w:rPr>
          <w:rFonts w:ascii="Palatino Linotype" w:hAnsi="Palatino Linotype"/>
          <w:lang w:eastAsia="es-MX"/>
        </w:rPr>
        <w:t>el nombre,</w:t>
      </w:r>
      <w:r w:rsidRPr="00EE6F81">
        <w:rPr>
          <w:rFonts w:ascii="Palatino Linotype" w:hAnsi="Palatino Linotype"/>
          <w:lang w:eastAsia="es-MX"/>
        </w:rPr>
        <w:t xml:space="preserve"> firma</w:t>
      </w:r>
      <w:r w:rsidR="00C37A5E" w:rsidRPr="00EE6F81">
        <w:rPr>
          <w:rFonts w:ascii="Palatino Linotype" w:hAnsi="Palatino Linotype"/>
          <w:lang w:eastAsia="es-MX"/>
        </w:rPr>
        <w:t>, sexo y escolaridad</w:t>
      </w:r>
      <w:r w:rsidRPr="00EE6F81">
        <w:rPr>
          <w:rFonts w:ascii="Palatino Linotype" w:hAnsi="Palatino Linotype"/>
          <w:lang w:eastAsia="es-MX"/>
        </w:rPr>
        <w:t xml:space="preserve"> </w:t>
      </w:r>
      <w:r w:rsidR="00C37A5E" w:rsidRPr="00EE6F81">
        <w:rPr>
          <w:rFonts w:ascii="Palatino Linotype" w:hAnsi="Palatino Linotype"/>
          <w:lang w:eastAsia="es-MX"/>
        </w:rPr>
        <w:t xml:space="preserve">de servidores públicos </w:t>
      </w:r>
      <w:r w:rsidRPr="00EE6F81">
        <w:rPr>
          <w:rFonts w:ascii="Palatino Linotype" w:hAnsi="Palatino Linotype"/>
          <w:lang w:eastAsia="es-MX"/>
        </w:rPr>
        <w:t xml:space="preserve">son datos de naturaleza pública, siendo que, en el presente caso, en efecto, el Sujeto Obligado clasificó dicha información. </w:t>
      </w:r>
    </w:p>
    <w:p w14:paraId="5602FFD1" w14:textId="77777777" w:rsidR="00DC6B44" w:rsidRPr="00EE6F81" w:rsidRDefault="00DC6B44" w:rsidP="00A43ADD">
      <w:pPr>
        <w:spacing w:after="0" w:line="360" w:lineRule="auto"/>
        <w:ind w:right="49"/>
        <w:jc w:val="both"/>
        <w:rPr>
          <w:rFonts w:ascii="Palatino Linotype" w:hAnsi="Palatino Linotype"/>
          <w:lang w:eastAsia="es-MX"/>
        </w:rPr>
      </w:pPr>
    </w:p>
    <w:p w14:paraId="4C1CE1CC" w14:textId="1C97FBAB" w:rsidR="00DC6B44" w:rsidRPr="00EE6F81" w:rsidRDefault="00DC6B44" w:rsidP="00A43ADD">
      <w:pPr>
        <w:spacing w:after="0" w:line="360" w:lineRule="auto"/>
        <w:ind w:right="49"/>
        <w:jc w:val="both"/>
        <w:rPr>
          <w:rFonts w:ascii="Palatino Linotype" w:hAnsi="Palatino Linotype"/>
          <w:b/>
          <w:lang w:eastAsia="es-MX"/>
        </w:rPr>
      </w:pPr>
      <w:r w:rsidRPr="00EE6F81">
        <w:rPr>
          <w:rFonts w:ascii="Palatino Linotype" w:hAnsi="Palatino Linotype"/>
          <w:lang w:eastAsia="es-MX"/>
        </w:rPr>
        <w:t xml:space="preserve">Es por lo que, se considera que los agravios devienen </w:t>
      </w:r>
      <w:r w:rsidRPr="00EE6F81">
        <w:rPr>
          <w:rFonts w:ascii="Palatino Linotype" w:hAnsi="Palatino Linotype"/>
          <w:b/>
          <w:lang w:eastAsia="es-MX"/>
        </w:rPr>
        <w:t xml:space="preserve">FUNDADOS. </w:t>
      </w:r>
    </w:p>
    <w:p w14:paraId="0D9E8B4B" w14:textId="77777777" w:rsidR="00DC6B44" w:rsidRPr="00EE6F81" w:rsidRDefault="00DC6B44" w:rsidP="00A43ADD">
      <w:pPr>
        <w:spacing w:after="0" w:line="360" w:lineRule="auto"/>
        <w:ind w:right="49"/>
        <w:jc w:val="both"/>
        <w:rPr>
          <w:rFonts w:ascii="Palatino Linotype" w:hAnsi="Palatino Linotype"/>
          <w:b/>
          <w:lang w:eastAsia="es-MX"/>
        </w:rPr>
      </w:pPr>
    </w:p>
    <w:p w14:paraId="35700DFC" w14:textId="765F31F7" w:rsidR="008928B7" w:rsidRPr="00EE6F81" w:rsidRDefault="007F0BAA" w:rsidP="00A43ADD">
      <w:pPr>
        <w:spacing w:after="0" w:line="360" w:lineRule="auto"/>
        <w:ind w:right="49"/>
        <w:jc w:val="both"/>
        <w:rPr>
          <w:rFonts w:ascii="Palatino Linotype" w:eastAsia="Palatino Linotype" w:hAnsi="Palatino Linotype" w:cs="Palatino Linotype"/>
        </w:rPr>
      </w:pPr>
      <w:r w:rsidRPr="00EE6F81">
        <w:rPr>
          <w:rFonts w:ascii="Palatino Linotype" w:eastAsia="Palatino Linotype" w:hAnsi="Palatino Linotype" w:cs="Palatino Linotype"/>
          <w:b/>
        </w:rPr>
        <w:t xml:space="preserve">Quinto. Versión Pública. </w:t>
      </w:r>
      <w:r w:rsidRPr="00EE6F81">
        <w:rPr>
          <w:rFonts w:ascii="Palatino Linotype" w:eastAsia="Palatino Linotype" w:hAnsi="Palatino Linotype" w:cs="Palatino Linotype"/>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26D54BAC" w14:textId="77777777" w:rsidR="008928B7" w:rsidRPr="00EE6F81" w:rsidRDefault="008928B7" w:rsidP="00A43ADD">
      <w:pPr>
        <w:spacing w:after="0" w:line="360" w:lineRule="auto"/>
        <w:ind w:right="49"/>
        <w:jc w:val="both"/>
        <w:rPr>
          <w:rFonts w:ascii="Palatino Linotype" w:eastAsia="Palatino Linotype" w:hAnsi="Palatino Linotype" w:cs="Palatino Linotype"/>
        </w:rPr>
      </w:pPr>
    </w:p>
    <w:p w14:paraId="315FD84D" w14:textId="5B25A058" w:rsidR="00B953CD" w:rsidRPr="00EE6F81" w:rsidRDefault="007F0BAA" w:rsidP="0066136E">
      <w:pPr>
        <w:spacing w:after="0" w:line="360" w:lineRule="auto"/>
        <w:ind w:right="49"/>
        <w:jc w:val="both"/>
        <w:rPr>
          <w:rFonts w:ascii="Palatino Linotype" w:eastAsia="Palatino Linotype" w:hAnsi="Palatino Linotype" w:cs="Palatino Linotype"/>
        </w:rPr>
      </w:pPr>
      <w:r w:rsidRPr="00EE6F81">
        <w:rPr>
          <w:rFonts w:ascii="Palatino Linotype" w:eastAsia="Palatino Linotype" w:hAnsi="Palatino Linotype" w:cs="Palatino Linotype"/>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4D853C2A" w14:textId="77777777" w:rsidR="00DC6B44" w:rsidRPr="00EE6F81" w:rsidRDefault="00DC6B44" w:rsidP="0066136E">
      <w:pPr>
        <w:spacing w:after="0" w:line="360" w:lineRule="auto"/>
        <w:ind w:right="49"/>
        <w:jc w:val="both"/>
        <w:rPr>
          <w:rFonts w:ascii="Palatino Linotype" w:eastAsia="Palatino Linotype" w:hAnsi="Palatino Linotype" w:cs="Palatino Linotype"/>
        </w:rPr>
      </w:pPr>
    </w:p>
    <w:p w14:paraId="3C495CC2" w14:textId="5FE4E746" w:rsidR="008928B7" w:rsidRPr="00EE6F81" w:rsidRDefault="007F0BAA" w:rsidP="0066136E">
      <w:pPr>
        <w:spacing w:after="0" w:line="360" w:lineRule="auto"/>
        <w:ind w:right="49"/>
        <w:jc w:val="both"/>
        <w:rPr>
          <w:rFonts w:ascii="Palatino Linotype" w:eastAsia="Palatino Linotype" w:hAnsi="Palatino Linotype" w:cs="Palatino Linotype"/>
        </w:rPr>
      </w:pPr>
      <w:r w:rsidRPr="00EE6F81">
        <w:rPr>
          <w:rFonts w:ascii="Palatino Linotype" w:eastAsia="Palatino Linotype" w:hAnsi="Palatino Linotype" w:cs="Palatino Linotype"/>
        </w:rPr>
        <w:t>Lo anterior, de conformidad con lo que señalan los artículos 3 fracciones IX, XX, XXI y XLV, 91, 132 fracciones II y III, y 143 de la Ley de Transparencia y Acceso a la Información Pública del Estado de México y Municipios que establecen:</w:t>
      </w:r>
    </w:p>
    <w:p w14:paraId="620B46BA" w14:textId="77777777" w:rsidR="00C83804" w:rsidRPr="00EE6F81" w:rsidRDefault="00C83804" w:rsidP="0066136E">
      <w:pPr>
        <w:spacing w:after="0" w:line="360" w:lineRule="auto"/>
        <w:ind w:right="49"/>
        <w:jc w:val="both"/>
        <w:rPr>
          <w:rFonts w:ascii="Palatino Linotype" w:eastAsia="Palatino Linotype" w:hAnsi="Palatino Linotype" w:cs="Palatino Linotype"/>
        </w:rPr>
      </w:pPr>
    </w:p>
    <w:p w14:paraId="65784309" w14:textId="77777777" w:rsidR="008928B7" w:rsidRPr="00EE6F81" w:rsidRDefault="007F0BAA" w:rsidP="0066136E">
      <w:pPr>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i/>
        </w:rPr>
        <w:t>“</w:t>
      </w:r>
      <w:r w:rsidRPr="00EE6F81">
        <w:rPr>
          <w:rFonts w:ascii="Palatino Linotype" w:eastAsia="Palatino Linotype" w:hAnsi="Palatino Linotype" w:cs="Palatino Linotype"/>
          <w:b/>
          <w:i/>
        </w:rPr>
        <w:t>Artículo 3.</w:t>
      </w:r>
      <w:r w:rsidRPr="00EE6F81">
        <w:rPr>
          <w:rFonts w:ascii="Palatino Linotype" w:eastAsia="Palatino Linotype" w:hAnsi="Palatino Linotype" w:cs="Palatino Linotype"/>
          <w:i/>
        </w:rPr>
        <w:t xml:space="preserve"> Para los efectos de la presente Ley se entenderá por:</w:t>
      </w:r>
    </w:p>
    <w:p w14:paraId="51B091D3" w14:textId="77777777" w:rsidR="008928B7" w:rsidRPr="00EE6F81" w:rsidRDefault="007F0BAA" w:rsidP="0066136E">
      <w:pPr>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i/>
        </w:rPr>
        <w:t>[…]</w:t>
      </w:r>
    </w:p>
    <w:p w14:paraId="7DD73885" w14:textId="77777777" w:rsidR="008928B7" w:rsidRPr="00EE6F81" w:rsidRDefault="007F0BAA" w:rsidP="0066136E">
      <w:pPr>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i/>
        </w:rPr>
        <w:t xml:space="preserve">IX. Datos personales: La información concerniente a una persona, identificada o identificable según lo dispuesto por la Ley de Protección de Datos Personales del Estado de México; </w:t>
      </w:r>
    </w:p>
    <w:p w14:paraId="44A04399" w14:textId="77777777" w:rsidR="008928B7" w:rsidRPr="00EE6F81" w:rsidRDefault="007F0BAA" w:rsidP="0066136E">
      <w:pPr>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i/>
        </w:rPr>
        <w:t>XX. Información clasificada: Aquella considerada por la presente Ley como reservada o confidencial;</w:t>
      </w:r>
    </w:p>
    <w:p w14:paraId="534E1308" w14:textId="77777777" w:rsidR="008928B7" w:rsidRPr="00EE6F81" w:rsidRDefault="007F0BAA" w:rsidP="0066136E">
      <w:pPr>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53CFA90" w14:textId="77777777" w:rsidR="008928B7" w:rsidRPr="00EE6F81" w:rsidRDefault="007F0BAA" w:rsidP="0066136E">
      <w:pPr>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i/>
        </w:rPr>
        <w:t>XLV. Versión pública: Documento en el que se elimine, suprime o borra la información clasificada como reservada o confidencial para permitir su acceso.</w:t>
      </w:r>
    </w:p>
    <w:p w14:paraId="3F654C4A" w14:textId="77777777" w:rsidR="008928B7" w:rsidRPr="00EE6F81" w:rsidRDefault="007F0BAA" w:rsidP="00A43ADD">
      <w:pPr>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i/>
        </w:rPr>
        <w:t>[…]</w:t>
      </w:r>
    </w:p>
    <w:p w14:paraId="2C2C94F7" w14:textId="77777777" w:rsidR="008928B7" w:rsidRPr="00EE6F81" w:rsidRDefault="007F0BAA" w:rsidP="00A43ADD">
      <w:pPr>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b/>
          <w:i/>
        </w:rPr>
        <w:t>Artículo 91.</w:t>
      </w:r>
      <w:r w:rsidRPr="00EE6F81">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455B98A7" w14:textId="77777777" w:rsidR="008928B7" w:rsidRPr="00EE6F81" w:rsidRDefault="007F0BAA" w:rsidP="00A43ADD">
      <w:pPr>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b/>
          <w:i/>
        </w:rPr>
        <w:t>Artículo 132.</w:t>
      </w:r>
      <w:r w:rsidRPr="00EE6F81">
        <w:rPr>
          <w:rFonts w:ascii="Palatino Linotype" w:eastAsia="Palatino Linotype" w:hAnsi="Palatino Linotype" w:cs="Palatino Linotype"/>
          <w:i/>
        </w:rPr>
        <w:t xml:space="preserve"> La clasificación de la información se llevará a cabo en el momento en que:</w:t>
      </w:r>
    </w:p>
    <w:p w14:paraId="65FC1F19" w14:textId="77777777" w:rsidR="008928B7" w:rsidRPr="00EE6F81" w:rsidRDefault="007F0BAA" w:rsidP="00A43ADD">
      <w:pPr>
        <w:tabs>
          <w:tab w:val="left" w:pos="1134"/>
        </w:tabs>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i/>
        </w:rPr>
        <w:t>I. Se reciba una solicitud de acceso a la información;</w:t>
      </w:r>
    </w:p>
    <w:p w14:paraId="1441F985" w14:textId="77777777" w:rsidR="008928B7" w:rsidRPr="00EE6F81" w:rsidRDefault="007F0BAA" w:rsidP="00A43ADD">
      <w:pPr>
        <w:tabs>
          <w:tab w:val="left" w:pos="1134"/>
        </w:tabs>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i/>
        </w:rPr>
        <w:t>II. Se determine mediante resolución de autoridad competente; o</w:t>
      </w:r>
    </w:p>
    <w:p w14:paraId="420E2B53" w14:textId="77777777" w:rsidR="008928B7" w:rsidRPr="00EE6F81" w:rsidRDefault="007F0BAA" w:rsidP="00A43ADD">
      <w:pPr>
        <w:tabs>
          <w:tab w:val="left" w:pos="1134"/>
        </w:tabs>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i/>
        </w:rPr>
        <w:t>III. Se generen versiones públicas para dar cumplimiento a las obligaciones de transparencia previstas en esta Ley.</w:t>
      </w:r>
    </w:p>
    <w:p w14:paraId="34A0D7FC" w14:textId="77777777" w:rsidR="008928B7" w:rsidRPr="00EE6F81" w:rsidRDefault="007F0BAA" w:rsidP="00A43ADD">
      <w:pPr>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i/>
        </w:rPr>
        <w:t>[…]</w:t>
      </w:r>
    </w:p>
    <w:p w14:paraId="198AA74E" w14:textId="77777777" w:rsidR="008928B7" w:rsidRPr="00EE6F81" w:rsidRDefault="007F0BAA" w:rsidP="00A43ADD">
      <w:pPr>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b/>
          <w:i/>
        </w:rPr>
        <w:t>Artículo 143</w:t>
      </w:r>
      <w:r w:rsidRPr="00EE6F81">
        <w:rPr>
          <w:rFonts w:ascii="Palatino Linotype" w:eastAsia="Palatino Linotype" w:hAnsi="Palatino Linotype" w:cs="Palatino Linotype"/>
          <w:i/>
        </w:rPr>
        <w:t>. Para los efectos de esta Ley se considera información confidencial, la clasificada como tal, de manera permanente, por su naturaleza, cuando:</w:t>
      </w:r>
    </w:p>
    <w:p w14:paraId="77411D1F" w14:textId="77777777" w:rsidR="008928B7" w:rsidRPr="00EE6F81" w:rsidRDefault="007F0BAA" w:rsidP="00A43ADD">
      <w:pPr>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i/>
        </w:rPr>
        <w:t>I. Se refiera a la información privada y los datos personales concernientes a una persona física o jurídico colectiva identificada o identificable;</w:t>
      </w:r>
    </w:p>
    <w:p w14:paraId="18071A89" w14:textId="77777777" w:rsidR="008928B7" w:rsidRPr="00EE6F81" w:rsidRDefault="007F0BAA" w:rsidP="00A43ADD">
      <w:pPr>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6391BF60" w14:textId="77777777" w:rsidR="008928B7" w:rsidRPr="00EE6F81" w:rsidRDefault="007F0BAA" w:rsidP="00A43ADD">
      <w:pPr>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i/>
        </w:rPr>
        <w:t>III. La que presenten los particulares a los sujetos obligados, de conformidad con lo dispuesto por las leyes o los tratados internacionales.</w:t>
      </w:r>
    </w:p>
    <w:p w14:paraId="6967BC42" w14:textId="77777777" w:rsidR="008928B7" w:rsidRPr="00EE6F81" w:rsidRDefault="007F0BAA" w:rsidP="00A43ADD">
      <w:pPr>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4BAE2FE1" w14:textId="77777777" w:rsidR="008928B7" w:rsidRPr="00EE6F81" w:rsidRDefault="007F0BAA" w:rsidP="00A43ADD">
      <w:pPr>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746FA6E6" w14:textId="77777777" w:rsidR="008928B7" w:rsidRPr="00EE6F81" w:rsidRDefault="008928B7" w:rsidP="00A43ADD">
      <w:pPr>
        <w:spacing w:after="0"/>
        <w:ind w:left="567" w:right="49"/>
        <w:jc w:val="both"/>
        <w:rPr>
          <w:rFonts w:ascii="Palatino Linotype" w:eastAsia="Palatino Linotype" w:hAnsi="Palatino Linotype" w:cs="Palatino Linotype"/>
          <w:i/>
        </w:rPr>
      </w:pPr>
    </w:p>
    <w:p w14:paraId="7A62AF6D" w14:textId="77777777" w:rsidR="008928B7" w:rsidRPr="00EE6F81" w:rsidRDefault="007F0BAA" w:rsidP="00A43ADD">
      <w:pPr>
        <w:spacing w:after="0" w:line="360" w:lineRule="auto"/>
        <w:ind w:right="49"/>
        <w:jc w:val="both"/>
        <w:rPr>
          <w:rFonts w:ascii="Palatino Linotype" w:eastAsia="Palatino Linotype" w:hAnsi="Palatino Linotype" w:cs="Palatino Linotype"/>
        </w:rPr>
      </w:pPr>
      <w:r w:rsidRPr="00EE6F81">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6F0DBC3" w14:textId="77777777" w:rsidR="008928B7" w:rsidRPr="00EE6F81" w:rsidRDefault="008928B7" w:rsidP="00A43ADD">
      <w:pPr>
        <w:spacing w:after="0" w:line="360" w:lineRule="auto"/>
        <w:ind w:right="49"/>
        <w:jc w:val="both"/>
        <w:rPr>
          <w:rFonts w:ascii="Palatino Linotype" w:eastAsia="Palatino Linotype" w:hAnsi="Palatino Linotype" w:cs="Palatino Linotype"/>
        </w:rPr>
      </w:pPr>
    </w:p>
    <w:p w14:paraId="512BA8B9" w14:textId="77777777" w:rsidR="008928B7" w:rsidRPr="00EE6F81" w:rsidRDefault="007F0BAA" w:rsidP="00A43ADD">
      <w:pPr>
        <w:spacing w:after="0" w:line="360" w:lineRule="auto"/>
        <w:ind w:right="49"/>
        <w:jc w:val="both"/>
        <w:rPr>
          <w:rFonts w:ascii="Palatino Linotype" w:eastAsia="Palatino Linotype" w:hAnsi="Palatino Linotype" w:cs="Palatino Linotype"/>
        </w:rPr>
      </w:pPr>
      <w:r w:rsidRPr="00EE6F81">
        <w:rPr>
          <w:rFonts w:ascii="Palatino Linotype" w:eastAsia="Palatino Linotype" w:hAnsi="Palatino Linotype" w:cs="Palatino Linotype"/>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12F495BB" w14:textId="77777777" w:rsidR="008928B7" w:rsidRPr="00EE6F81" w:rsidRDefault="008928B7" w:rsidP="00A43ADD">
      <w:pPr>
        <w:spacing w:after="0" w:line="360" w:lineRule="auto"/>
        <w:ind w:right="49"/>
        <w:jc w:val="both"/>
        <w:rPr>
          <w:rFonts w:ascii="Palatino Linotype" w:eastAsia="Palatino Linotype" w:hAnsi="Palatino Linotype" w:cs="Palatino Linotype"/>
        </w:rPr>
      </w:pPr>
    </w:p>
    <w:p w14:paraId="4C20D637" w14:textId="77777777" w:rsidR="008928B7" w:rsidRPr="00EE6F81" w:rsidRDefault="007F0BAA" w:rsidP="00A43ADD">
      <w:pPr>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i/>
        </w:rPr>
        <w:t xml:space="preserve"> “</w:t>
      </w:r>
      <w:r w:rsidRPr="00EE6F81">
        <w:rPr>
          <w:rFonts w:ascii="Palatino Linotype" w:eastAsia="Palatino Linotype" w:hAnsi="Palatino Linotype" w:cs="Palatino Linotype"/>
          <w:b/>
          <w:i/>
        </w:rPr>
        <w:t>Quincuagésimo</w:t>
      </w:r>
      <w:r w:rsidRPr="00EE6F81">
        <w:rPr>
          <w:rFonts w:ascii="Palatino Linotype" w:eastAsia="Palatino Linotype" w:hAnsi="Palatino Linotype" w:cs="Palatino Linotype"/>
          <w:i/>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22C6C710" w14:textId="77777777" w:rsidR="008928B7" w:rsidRPr="00EE6F81" w:rsidRDefault="007F0BAA" w:rsidP="00A43ADD">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b/>
          <w:i/>
        </w:rPr>
        <w:t>Quincuagésimo primero.</w:t>
      </w:r>
      <w:r w:rsidRPr="00EE6F81">
        <w:rPr>
          <w:rFonts w:ascii="Palatino Linotype" w:eastAsia="Palatino Linotype" w:hAnsi="Palatino Linotype" w:cs="Palatino Linotype"/>
          <w:i/>
        </w:rPr>
        <w:t xml:space="preserve"> Toda acta del Comité de Transparencia deberá contener: </w:t>
      </w:r>
    </w:p>
    <w:p w14:paraId="3ECF6470" w14:textId="77777777" w:rsidR="008928B7" w:rsidRPr="00EE6F81" w:rsidRDefault="007F0BAA" w:rsidP="00A43ADD">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i/>
        </w:rPr>
        <w:t xml:space="preserve">I. El número de sesión y fecha; </w:t>
      </w:r>
    </w:p>
    <w:p w14:paraId="354CFC4C" w14:textId="77777777" w:rsidR="008928B7" w:rsidRPr="00EE6F81" w:rsidRDefault="007F0BAA" w:rsidP="00A43ADD">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i/>
        </w:rPr>
        <w:t xml:space="preserve">II. El nombre del área que solicitó la clasificación de información; </w:t>
      </w:r>
    </w:p>
    <w:p w14:paraId="6577C0C1" w14:textId="77777777" w:rsidR="008928B7" w:rsidRPr="00EE6F81" w:rsidRDefault="007F0BAA" w:rsidP="00A43ADD">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i/>
        </w:rPr>
        <w:t xml:space="preserve">III. La fundamentación legal y motivación correspondiente; </w:t>
      </w:r>
    </w:p>
    <w:p w14:paraId="3E2AA174" w14:textId="77777777" w:rsidR="008928B7" w:rsidRPr="00EE6F81" w:rsidRDefault="007F0BAA" w:rsidP="00A43ADD">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i/>
        </w:rPr>
        <w:t xml:space="preserve">IV. La resolución o resoluciones aprobadas; y </w:t>
      </w:r>
    </w:p>
    <w:p w14:paraId="0480A3DB" w14:textId="77777777" w:rsidR="008928B7" w:rsidRPr="00EE6F81" w:rsidRDefault="007F0BAA" w:rsidP="00A43ADD">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i/>
        </w:rPr>
        <w:t xml:space="preserve">V. La rúbrica o firma digital de cada integrante del Comité de Transparencia. </w:t>
      </w:r>
    </w:p>
    <w:p w14:paraId="561AAB53" w14:textId="77777777" w:rsidR="008928B7" w:rsidRPr="00EE6F81" w:rsidRDefault="007F0BAA" w:rsidP="00A43ADD">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582B73C8" w14:textId="77777777" w:rsidR="008928B7" w:rsidRPr="00EE6F81" w:rsidRDefault="007F0BAA" w:rsidP="00A43ADD">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i/>
        </w:rPr>
        <w:t>I. Los motivos y razonamientos que sustenten la confirmación o modificación de la prueba de daño;</w:t>
      </w:r>
    </w:p>
    <w:p w14:paraId="16059753" w14:textId="77777777" w:rsidR="008928B7" w:rsidRPr="00EE6F81" w:rsidRDefault="007F0BAA" w:rsidP="00A43ADD">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i/>
        </w:rPr>
        <w:t xml:space="preserve">II. Descripción de las partes o secciones reservadas, en caso de clasificación parcial; </w:t>
      </w:r>
    </w:p>
    <w:p w14:paraId="6F8B128E" w14:textId="77777777" w:rsidR="008928B7" w:rsidRPr="00EE6F81" w:rsidRDefault="007F0BAA" w:rsidP="00A43ADD">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i/>
        </w:rPr>
        <w:t xml:space="preserve">III. El periodo por el que mantendrá su clasificación y fecha de expiración; y </w:t>
      </w:r>
    </w:p>
    <w:p w14:paraId="4553D5C2" w14:textId="77777777" w:rsidR="008928B7" w:rsidRPr="00EE6F81" w:rsidRDefault="007F0BAA" w:rsidP="00A43ADD">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i/>
        </w:rPr>
        <w:t xml:space="preserve">IV. El nombre del titular y área encargada de realizar la versión pública del documento, en su caso. </w:t>
      </w:r>
    </w:p>
    <w:p w14:paraId="3C3C5D33" w14:textId="77777777" w:rsidR="008928B7" w:rsidRPr="00EE6F81" w:rsidRDefault="007F0BAA" w:rsidP="00A43ADD">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72D052AE" w14:textId="77777777" w:rsidR="008928B7" w:rsidRPr="00EE6F81" w:rsidRDefault="007F0BAA" w:rsidP="00A43ADD">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3D00BF4B" w14:textId="77777777" w:rsidR="008928B7" w:rsidRPr="00EE6F81" w:rsidRDefault="007F0BAA" w:rsidP="00A43ADD">
      <w:pPr>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b/>
          <w:i/>
        </w:rPr>
        <w:t>Quincuagésimo segundo.</w:t>
      </w:r>
      <w:r w:rsidRPr="00EE6F81">
        <w:rPr>
          <w:rFonts w:ascii="Palatino Linotype" w:eastAsia="Palatino Linotype" w:hAnsi="Palatino Linotype" w:cs="Palatino Linotype"/>
          <w:i/>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60B7713E" w14:textId="77777777" w:rsidR="008928B7" w:rsidRPr="00EE6F81" w:rsidRDefault="007F0BAA" w:rsidP="00A43ADD">
      <w:pPr>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78803EEC" w14:textId="77777777" w:rsidR="008928B7" w:rsidRPr="00EE6F81" w:rsidRDefault="007F0BAA" w:rsidP="00A43ADD">
      <w:pPr>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i/>
        </w:rPr>
        <w:t>I. Fijar la fecha en que se elaboró la versión pública y la fecha en la cual el Comité de Transparencia confirmó dicha versión;</w:t>
      </w:r>
    </w:p>
    <w:p w14:paraId="6AFAD70C" w14:textId="77777777" w:rsidR="008928B7" w:rsidRPr="00EE6F81" w:rsidRDefault="007F0BAA" w:rsidP="00A43ADD">
      <w:pPr>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3418D62E" w14:textId="77777777" w:rsidR="008928B7" w:rsidRPr="00EE6F81" w:rsidRDefault="007F0BAA" w:rsidP="00A43ADD">
      <w:pPr>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i/>
        </w:rPr>
        <w:t>III. Señalar las personas o instancias autorizadas a acceder a la información clasificada.</w:t>
      </w:r>
    </w:p>
    <w:p w14:paraId="37DD6F10" w14:textId="77777777" w:rsidR="008928B7" w:rsidRPr="00EE6F81" w:rsidRDefault="007F0BAA" w:rsidP="00A43ADD">
      <w:pPr>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44FA962C" w14:textId="77777777" w:rsidR="008928B7" w:rsidRPr="00EE6F81" w:rsidRDefault="008928B7" w:rsidP="00A43ADD">
      <w:pPr>
        <w:spacing w:after="0"/>
        <w:ind w:left="567" w:right="49"/>
        <w:jc w:val="both"/>
        <w:rPr>
          <w:rFonts w:ascii="Palatino Linotype" w:eastAsia="Palatino Linotype" w:hAnsi="Palatino Linotype" w:cs="Palatino Linotype"/>
          <w:i/>
        </w:rPr>
      </w:pPr>
    </w:p>
    <w:p w14:paraId="5C5FFC43" w14:textId="77777777" w:rsidR="008928B7" w:rsidRPr="00EE6F81" w:rsidRDefault="007F0BAA" w:rsidP="00A43ADD">
      <w:pPr>
        <w:spacing w:after="0" w:line="360" w:lineRule="auto"/>
        <w:ind w:right="49"/>
        <w:jc w:val="both"/>
        <w:rPr>
          <w:rFonts w:ascii="Palatino Linotype" w:eastAsia="Palatino Linotype" w:hAnsi="Palatino Linotype" w:cs="Palatino Linotype"/>
        </w:rPr>
      </w:pPr>
      <w:r w:rsidRPr="00EE6F81">
        <w:rPr>
          <w:rFonts w:ascii="Palatino Linotype" w:eastAsia="Palatino Linotype" w:hAnsi="Palatino Linotype" w:cs="Palatino Linotype"/>
        </w:rPr>
        <w:t>De igual forma, deberá observar los Lineamientos Quincuagésimo cuarto, Quincuagésimo quinto, Quincuagésimo séptimo y Quincuagésimo octavo, establecen lo siguiente:</w:t>
      </w:r>
    </w:p>
    <w:p w14:paraId="695D6DDB" w14:textId="77777777" w:rsidR="008928B7" w:rsidRPr="00EE6F81" w:rsidRDefault="008928B7" w:rsidP="00A43ADD">
      <w:pPr>
        <w:spacing w:after="0" w:line="360" w:lineRule="auto"/>
        <w:ind w:right="49"/>
        <w:jc w:val="both"/>
        <w:rPr>
          <w:rFonts w:ascii="Palatino Linotype" w:eastAsia="Palatino Linotype" w:hAnsi="Palatino Linotype" w:cs="Palatino Linotype"/>
        </w:rPr>
      </w:pPr>
    </w:p>
    <w:p w14:paraId="404C4A64" w14:textId="77777777" w:rsidR="008928B7" w:rsidRPr="00EE6F81" w:rsidRDefault="007F0BAA" w:rsidP="00A43ADD">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i/>
        </w:rPr>
        <w:t>“</w:t>
      </w:r>
      <w:r w:rsidRPr="00EE6F81">
        <w:rPr>
          <w:rFonts w:ascii="Palatino Linotype" w:eastAsia="Palatino Linotype" w:hAnsi="Palatino Linotype" w:cs="Palatino Linotype"/>
          <w:b/>
          <w:i/>
        </w:rPr>
        <w:t>Quincuagésimo cuarto.</w:t>
      </w:r>
      <w:r w:rsidRPr="00EE6F81">
        <w:rPr>
          <w:rFonts w:ascii="Palatino Linotype" w:eastAsia="Palatino Linotype" w:hAnsi="Palatino Linotype" w:cs="Palatino Linotype"/>
          <w:i/>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49CEC461" w14:textId="77777777" w:rsidR="008928B7" w:rsidRPr="00EE6F81" w:rsidRDefault="007F0BAA" w:rsidP="00A43ADD">
      <w:pPr>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b/>
          <w:i/>
        </w:rPr>
        <w:t>Quincuagésimo quinto.</w:t>
      </w:r>
      <w:r w:rsidRPr="00EE6F81">
        <w:rPr>
          <w:rFonts w:ascii="Palatino Linotype" w:eastAsia="Palatino Linotype" w:hAnsi="Palatino Linotype" w:cs="Palatino Linotype"/>
          <w:i/>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1C50A637" w14:textId="77777777" w:rsidR="008928B7" w:rsidRPr="00EE6F81" w:rsidRDefault="007F0BAA" w:rsidP="00A43ADD">
      <w:pPr>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i/>
        </w:rPr>
        <w:t>...</w:t>
      </w:r>
    </w:p>
    <w:p w14:paraId="5D0551D0" w14:textId="77777777" w:rsidR="008928B7" w:rsidRPr="00EE6F81" w:rsidRDefault="007F0BAA" w:rsidP="00A43ADD">
      <w:pPr>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b/>
          <w:i/>
        </w:rPr>
        <w:t>Quincuagésimo séptimo.</w:t>
      </w:r>
      <w:r w:rsidRPr="00EE6F81">
        <w:rPr>
          <w:rFonts w:ascii="Palatino Linotype" w:eastAsia="Palatino Linotype" w:hAnsi="Palatino Linotype" w:cs="Palatino Linotype"/>
          <w:i/>
        </w:rPr>
        <w:t xml:space="preserve"> Se considera, en principio, como información pública y no podrá omitirse de las versiones públicas la siguiente: </w:t>
      </w:r>
    </w:p>
    <w:p w14:paraId="30207D7E" w14:textId="77777777" w:rsidR="008928B7" w:rsidRPr="00EE6F81" w:rsidRDefault="007F0BAA" w:rsidP="00A43ADD">
      <w:pPr>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697B17F3" w14:textId="77777777" w:rsidR="008928B7" w:rsidRPr="00EE6F81" w:rsidRDefault="007F0BAA" w:rsidP="00A43ADD">
      <w:pPr>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i/>
        </w:rPr>
        <w:t>II. El nombre de los integrantes de los sujetos obligados en los documentos, y sus firmas autógrafas o digitales, cuando sean utilizados en el ejercicio de las facultades conferidas para el desempeño del servicio público, y</w:t>
      </w:r>
    </w:p>
    <w:p w14:paraId="3252A290" w14:textId="77777777" w:rsidR="008928B7" w:rsidRPr="00EE6F81" w:rsidRDefault="007F0BAA" w:rsidP="00A43ADD">
      <w:pPr>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7334DA0" w14:textId="77777777" w:rsidR="008928B7" w:rsidRPr="00EE6F81" w:rsidRDefault="007F0BAA" w:rsidP="00A43ADD">
      <w:pPr>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7635A865" w14:textId="77777777" w:rsidR="008928B7" w:rsidRPr="00EE6F81" w:rsidRDefault="007F0BAA" w:rsidP="00A43ADD">
      <w:pPr>
        <w:spacing w:after="0"/>
        <w:ind w:left="567" w:right="49"/>
        <w:jc w:val="both"/>
        <w:rPr>
          <w:rFonts w:ascii="Palatino Linotype" w:eastAsia="Palatino Linotype" w:hAnsi="Palatino Linotype" w:cs="Palatino Linotype"/>
          <w:i/>
        </w:rPr>
      </w:pPr>
      <w:r w:rsidRPr="00EE6F81">
        <w:rPr>
          <w:rFonts w:ascii="Palatino Linotype" w:eastAsia="Palatino Linotype" w:hAnsi="Palatino Linotype" w:cs="Palatino Linotype"/>
          <w:i/>
        </w:rPr>
        <w:t>Quincuagésimo octavo. Los sujetos obligados garantizarán que los sistemas o medios empleados para eliminar la información en las versiones públicas sean irreversibles, de tal forma que no permitan su recuperación o la visualización de la misma.”</w:t>
      </w:r>
    </w:p>
    <w:p w14:paraId="038A3084" w14:textId="77777777" w:rsidR="008928B7" w:rsidRPr="00EE6F81" w:rsidRDefault="008928B7" w:rsidP="00A43ADD">
      <w:pPr>
        <w:spacing w:after="0" w:line="360" w:lineRule="auto"/>
        <w:ind w:left="567" w:right="49"/>
        <w:jc w:val="both"/>
        <w:rPr>
          <w:rFonts w:ascii="Palatino Linotype" w:eastAsia="Palatino Linotype" w:hAnsi="Palatino Linotype" w:cs="Palatino Linotype"/>
          <w:i/>
        </w:rPr>
      </w:pPr>
    </w:p>
    <w:p w14:paraId="6773FB50" w14:textId="77777777" w:rsidR="008928B7" w:rsidRPr="00EE6F81" w:rsidRDefault="007F0BAA" w:rsidP="00A43ADD">
      <w:pPr>
        <w:spacing w:after="0" w:line="360" w:lineRule="auto"/>
        <w:ind w:right="49"/>
        <w:jc w:val="both"/>
        <w:rPr>
          <w:rFonts w:ascii="Palatino Linotype" w:eastAsia="Palatino Linotype" w:hAnsi="Palatino Linotype" w:cs="Palatino Linotype"/>
        </w:rPr>
      </w:pPr>
      <w:r w:rsidRPr="00EE6F81">
        <w:rPr>
          <w:rFonts w:ascii="Palatino Linotype" w:eastAsia="Palatino Linotype" w:hAnsi="Palatino Linotype" w:cs="Palatino Linotype"/>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677D1137" w14:textId="77777777" w:rsidR="008928B7" w:rsidRPr="00EE6F81" w:rsidRDefault="008928B7" w:rsidP="00A43ADD">
      <w:pPr>
        <w:pBdr>
          <w:top w:val="nil"/>
          <w:left w:val="nil"/>
          <w:bottom w:val="nil"/>
          <w:right w:val="nil"/>
          <w:between w:val="nil"/>
        </w:pBdr>
        <w:spacing w:after="0"/>
        <w:ind w:left="567" w:right="49"/>
        <w:jc w:val="both"/>
      </w:pPr>
    </w:p>
    <w:p w14:paraId="440A4D10" w14:textId="68A75542" w:rsidR="008928B7" w:rsidRPr="00EE6F81" w:rsidRDefault="007F0BAA" w:rsidP="00A43ADD">
      <w:pPr>
        <w:spacing w:after="0" w:line="360" w:lineRule="auto"/>
        <w:ind w:right="49"/>
        <w:jc w:val="both"/>
        <w:rPr>
          <w:rFonts w:ascii="Palatino Linotype" w:eastAsia="Palatino Linotype" w:hAnsi="Palatino Linotype" w:cs="Palatino Linotype"/>
          <w:b/>
        </w:rPr>
      </w:pPr>
      <w:r w:rsidRPr="00EE6F81">
        <w:rPr>
          <w:rFonts w:ascii="Palatino Linotype" w:eastAsia="Palatino Linotype" w:hAnsi="Palatino Linotype" w:cs="Palatino Linotype"/>
        </w:rPr>
        <w:t xml:space="preserve">Es así como, en mérito de lo expuesto en líneas anteriores, resultan fundadas las razones o motivos de inconformidad hechos valer por </w:t>
      </w:r>
      <w:r w:rsidRPr="00EE6F81">
        <w:rPr>
          <w:rFonts w:ascii="Palatino Linotype" w:eastAsia="Palatino Linotype" w:hAnsi="Palatino Linotype" w:cs="Palatino Linotype"/>
          <w:b/>
        </w:rPr>
        <w:t>la parte</w:t>
      </w:r>
      <w:r w:rsidRPr="00EE6F81">
        <w:rPr>
          <w:rFonts w:ascii="Palatino Linotype" w:eastAsia="Palatino Linotype" w:hAnsi="Palatino Linotype" w:cs="Palatino Linotype"/>
        </w:rPr>
        <w:t xml:space="preserve"> </w:t>
      </w:r>
      <w:r w:rsidRPr="00EE6F81">
        <w:rPr>
          <w:rFonts w:ascii="Palatino Linotype" w:eastAsia="Palatino Linotype" w:hAnsi="Palatino Linotype" w:cs="Palatino Linotype"/>
          <w:b/>
        </w:rPr>
        <w:t>Recurrente</w:t>
      </w:r>
      <w:r w:rsidRPr="00EE6F81">
        <w:rPr>
          <w:rFonts w:ascii="Palatino Linotype" w:eastAsia="Palatino Linotype" w:hAnsi="Palatino Linotype" w:cs="Palatino Linotype"/>
        </w:rPr>
        <w:t xml:space="preserve"> dentro del recurso de revisión </w:t>
      </w:r>
      <w:r w:rsidR="006A08CC" w:rsidRPr="00EE6F81">
        <w:rPr>
          <w:rFonts w:ascii="Palatino Linotype" w:eastAsia="Palatino Linotype" w:hAnsi="Palatino Linotype" w:cs="Palatino Linotype"/>
          <w:b/>
        </w:rPr>
        <w:t>14439</w:t>
      </w:r>
      <w:r w:rsidRPr="00EE6F81">
        <w:rPr>
          <w:rFonts w:ascii="Palatino Linotype" w:eastAsia="Palatino Linotype" w:hAnsi="Palatino Linotype" w:cs="Palatino Linotype"/>
          <w:b/>
        </w:rPr>
        <w:t>/INFOEM/IP/RR/202</w:t>
      </w:r>
      <w:r w:rsidR="00FB04E3" w:rsidRPr="00EE6F81">
        <w:rPr>
          <w:rFonts w:ascii="Palatino Linotype" w:eastAsia="Palatino Linotype" w:hAnsi="Palatino Linotype" w:cs="Palatino Linotype"/>
          <w:b/>
        </w:rPr>
        <w:t>5</w:t>
      </w:r>
      <w:r w:rsidRPr="00EE6F81">
        <w:rPr>
          <w:rFonts w:ascii="Palatino Linotype" w:eastAsia="Palatino Linotype" w:hAnsi="Palatino Linotype" w:cs="Palatino Linotype"/>
        </w:rPr>
        <w:t>; por ello, y con fundamento en la fracción III del numeral 186 de la Ley de Transparencia y Acceso a la Información Pública del Estado de México y Municipios, se</w:t>
      </w:r>
      <w:r w:rsidRPr="00EE6F81">
        <w:rPr>
          <w:rFonts w:ascii="Palatino Linotype" w:eastAsia="Palatino Linotype" w:hAnsi="Palatino Linotype" w:cs="Palatino Linotype"/>
          <w:b/>
        </w:rPr>
        <w:t xml:space="preserve"> </w:t>
      </w:r>
      <w:r w:rsidR="00714FBE" w:rsidRPr="00EE6F81">
        <w:rPr>
          <w:rFonts w:ascii="Palatino Linotype" w:eastAsia="Palatino Linotype" w:hAnsi="Palatino Linotype" w:cs="Palatino Linotype"/>
          <w:b/>
        </w:rPr>
        <w:t>MODIFICA</w:t>
      </w:r>
      <w:r w:rsidRPr="00EE6F81">
        <w:rPr>
          <w:rFonts w:ascii="Palatino Linotype" w:eastAsia="Palatino Linotype" w:hAnsi="Palatino Linotype" w:cs="Palatino Linotype"/>
          <w:b/>
        </w:rPr>
        <w:t xml:space="preserve"> </w:t>
      </w:r>
      <w:r w:rsidRPr="00EE6F81">
        <w:rPr>
          <w:rFonts w:ascii="Palatino Linotype" w:eastAsia="Palatino Linotype" w:hAnsi="Palatino Linotype" w:cs="Palatino Linotype"/>
        </w:rPr>
        <w:t xml:space="preserve">la respuesta a la solicitud de información número </w:t>
      </w:r>
      <w:r w:rsidR="006A08CC" w:rsidRPr="00EE6F81">
        <w:rPr>
          <w:rFonts w:ascii="Palatino Linotype" w:eastAsia="Palatino Linotype" w:hAnsi="Palatino Linotype" w:cs="Palatino Linotype"/>
          <w:b/>
        </w:rPr>
        <w:t>00039</w:t>
      </w:r>
      <w:r w:rsidRPr="00EE6F81">
        <w:rPr>
          <w:rFonts w:ascii="Palatino Linotype" w:eastAsia="Palatino Linotype" w:hAnsi="Palatino Linotype" w:cs="Palatino Linotype"/>
          <w:b/>
        </w:rPr>
        <w:t>/</w:t>
      </w:r>
      <w:r w:rsidR="006A08CC" w:rsidRPr="00EE6F81">
        <w:rPr>
          <w:rFonts w:ascii="Palatino Linotype" w:eastAsia="Palatino Linotype" w:hAnsi="Palatino Linotype" w:cs="Palatino Linotype"/>
          <w:b/>
        </w:rPr>
        <w:t>UMS</w:t>
      </w:r>
      <w:r w:rsidR="00FB04E3" w:rsidRPr="00EE6F81">
        <w:rPr>
          <w:rFonts w:ascii="Palatino Linotype" w:eastAsia="Palatino Linotype" w:hAnsi="Palatino Linotype" w:cs="Palatino Linotype"/>
          <w:b/>
        </w:rPr>
        <w:t>/IP/2025</w:t>
      </w:r>
      <w:r w:rsidRPr="00EE6F81">
        <w:rPr>
          <w:rFonts w:ascii="Palatino Linotype" w:eastAsia="Palatino Linotype" w:hAnsi="Palatino Linotype" w:cs="Palatino Linotype"/>
          <w:b/>
        </w:rPr>
        <w:t xml:space="preserve">. </w:t>
      </w:r>
    </w:p>
    <w:p w14:paraId="5A3B2FBC" w14:textId="61FBC5C4" w:rsidR="008928B7" w:rsidRPr="00EE6F81" w:rsidRDefault="008928B7" w:rsidP="00A43ADD">
      <w:pPr>
        <w:spacing w:after="0" w:line="360" w:lineRule="auto"/>
        <w:ind w:right="49"/>
        <w:jc w:val="both"/>
        <w:rPr>
          <w:rFonts w:ascii="Palatino Linotype" w:eastAsia="Palatino Linotype" w:hAnsi="Palatino Linotype" w:cs="Palatino Linotype"/>
          <w:b/>
        </w:rPr>
      </w:pPr>
    </w:p>
    <w:p w14:paraId="4661E638" w14:textId="65A5375E" w:rsidR="00932B7B" w:rsidRPr="00EE6F81" w:rsidRDefault="00932B7B" w:rsidP="00A43ADD">
      <w:pPr>
        <w:spacing w:after="0" w:line="360" w:lineRule="auto"/>
        <w:ind w:right="49"/>
        <w:jc w:val="both"/>
        <w:rPr>
          <w:rFonts w:ascii="Palatino Linotype" w:eastAsia="Palatino Linotype" w:hAnsi="Palatino Linotype" w:cs="Palatino Linotype"/>
        </w:rPr>
      </w:pPr>
      <w:r w:rsidRPr="00EE6F81">
        <w:rPr>
          <w:rFonts w:ascii="Palatino Linotype" w:eastAsia="Palatino Linotype" w:hAnsi="Palatino Linotype" w:cs="Palatino Linotype"/>
        </w:rPr>
        <w:t>Así, con fundamento en lo prescrito en los artículos 5 párrafos trigésimo noveno, cuadragésimo y cuadragésimo primero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de Transparencia y Acceso a la Información Pública del Estado de México y Municipios, este Pleno:</w:t>
      </w:r>
    </w:p>
    <w:p w14:paraId="18D07A6B" w14:textId="58193E6A" w:rsidR="00FB3548" w:rsidRPr="00EE6F81" w:rsidRDefault="00FB3548" w:rsidP="00A43ADD">
      <w:pPr>
        <w:spacing w:after="0" w:line="360" w:lineRule="auto"/>
        <w:ind w:right="49"/>
        <w:jc w:val="both"/>
        <w:rPr>
          <w:rFonts w:ascii="Palatino Linotype" w:eastAsia="Palatino Linotype" w:hAnsi="Palatino Linotype" w:cs="Palatino Linotype"/>
        </w:rPr>
      </w:pPr>
    </w:p>
    <w:p w14:paraId="1A14A321" w14:textId="77777777" w:rsidR="008928B7" w:rsidRPr="00EE6F81" w:rsidRDefault="007F0BAA" w:rsidP="00A43ADD">
      <w:pPr>
        <w:spacing w:after="0" w:line="360" w:lineRule="auto"/>
        <w:ind w:right="49"/>
        <w:jc w:val="center"/>
        <w:rPr>
          <w:rFonts w:ascii="Palatino Linotype" w:eastAsia="Palatino Linotype" w:hAnsi="Palatino Linotype" w:cs="Palatino Linotype"/>
          <w:b/>
        </w:rPr>
      </w:pPr>
      <w:r w:rsidRPr="00EE6F81">
        <w:rPr>
          <w:rFonts w:ascii="Palatino Linotype" w:eastAsia="Palatino Linotype" w:hAnsi="Palatino Linotype" w:cs="Palatino Linotype"/>
          <w:b/>
        </w:rPr>
        <w:t>III.</w:t>
      </w:r>
      <w:r w:rsidRPr="00EE6F81">
        <w:rPr>
          <w:rFonts w:ascii="Palatino Linotype" w:eastAsia="Palatino Linotype" w:hAnsi="Palatino Linotype" w:cs="Palatino Linotype"/>
          <w:b/>
        </w:rPr>
        <w:tab/>
        <w:t>R E S U E L V E:</w:t>
      </w:r>
    </w:p>
    <w:p w14:paraId="24C2F1BF" w14:textId="77777777" w:rsidR="008928B7" w:rsidRPr="00EE6F81" w:rsidRDefault="008928B7" w:rsidP="00A43ADD">
      <w:pPr>
        <w:spacing w:after="0" w:line="360" w:lineRule="auto"/>
        <w:ind w:right="49"/>
        <w:jc w:val="center"/>
        <w:rPr>
          <w:rFonts w:ascii="Palatino Linotype" w:eastAsia="Palatino Linotype" w:hAnsi="Palatino Linotype" w:cs="Palatino Linotype"/>
          <w:b/>
        </w:rPr>
      </w:pPr>
    </w:p>
    <w:p w14:paraId="65C0EE2C" w14:textId="15B4C726" w:rsidR="008928B7" w:rsidRPr="00EE6F81" w:rsidRDefault="007F0BAA" w:rsidP="00A43ADD">
      <w:pPr>
        <w:spacing w:after="0" w:line="360" w:lineRule="auto"/>
        <w:ind w:right="49"/>
        <w:jc w:val="both"/>
        <w:rPr>
          <w:rFonts w:ascii="Palatino Linotype" w:eastAsia="Palatino Linotype" w:hAnsi="Palatino Linotype" w:cs="Palatino Linotype"/>
        </w:rPr>
      </w:pPr>
      <w:r w:rsidRPr="00EE6F81">
        <w:rPr>
          <w:rFonts w:ascii="Palatino Linotype" w:eastAsia="Palatino Linotype" w:hAnsi="Palatino Linotype" w:cs="Palatino Linotype"/>
          <w:b/>
        </w:rPr>
        <w:t>Primero.</w:t>
      </w:r>
      <w:r w:rsidRPr="00EE6F81">
        <w:rPr>
          <w:rFonts w:ascii="Palatino Linotype" w:eastAsia="Palatino Linotype" w:hAnsi="Palatino Linotype" w:cs="Palatino Linotype"/>
        </w:rPr>
        <w:t xml:space="preserve"> Resultan</w:t>
      </w:r>
      <w:r w:rsidRPr="00EE6F81">
        <w:rPr>
          <w:rFonts w:ascii="Palatino Linotype" w:eastAsia="Palatino Linotype" w:hAnsi="Palatino Linotype" w:cs="Palatino Linotype"/>
          <w:b/>
        </w:rPr>
        <w:t xml:space="preserve"> fundados</w:t>
      </w:r>
      <w:r w:rsidRPr="00EE6F81">
        <w:rPr>
          <w:rFonts w:ascii="Palatino Linotype" w:eastAsia="Palatino Linotype" w:hAnsi="Palatino Linotype" w:cs="Palatino Linotype"/>
        </w:rPr>
        <w:t xml:space="preserve"> los motivos de inconformidad hechos valer por </w:t>
      </w:r>
      <w:r w:rsidRPr="00EE6F81">
        <w:rPr>
          <w:rFonts w:ascii="Palatino Linotype" w:eastAsia="Palatino Linotype" w:hAnsi="Palatino Linotype" w:cs="Palatino Linotype"/>
          <w:b/>
        </w:rPr>
        <w:t>la parte</w:t>
      </w:r>
      <w:r w:rsidRPr="00EE6F81">
        <w:rPr>
          <w:rFonts w:ascii="Palatino Linotype" w:eastAsia="Palatino Linotype" w:hAnsi="Palatino Linotype" w:cs="Palatino Linotype"/>
        </w:rPr>
        <w:t xml:space="preserve"> </w:t>
      </w:r>
      <w:r w:rsidRPr="00EE6F81">
        <w:rPr>
          <w:rFonts w:ascii="Palatino Linotype" w:eastAsia="Palatino Linotype" w:hAnsi="Palatino Linotype" w:cs="Palatino Linotype"/>
          <w:b/>
        </w:rPr>
        <w:t>Recurrente</w:t>
      </w:r>
      <w:r w:rsidRPr="00EE6F81">
        <w:rPr>
          <w:rFonts w:ascii="Palatino Linotype" w:eastAsia="Palatino Linotype" w:hAnsi="Palatino Linotype" w:cs="Palatino Linotype"/>
        </w:rPr>
        <w:t xml:space="preserve"> en el Recurso de Revisión </w:t>
      </w:r>
      <w:r w:rsidR="006A08CC" w:rsidRPr="00EE6F81">
        <w:rPr>
          <w:rFonts w:ascii="Palatino Linotype" w:eastAsia="Palatino Linotype" w:hAnsi="Palatino Linotype" w:cs="Palatino Linotype"/>
          <w:b/>
        </w:rPr>
        <w:t>14439</w:t>
      </w:r>
      <w:r w:rsidRPr="00EE6F81">
        <w:rPr>
          <w:rFonts w:ascii="Palatino Linotype" w:eastAsia="Palatino Linotype" w:hAnsi="Palatino Linotype" w:cs="Palatino Linotype"/>
          <w:b/>
        </w:rPr>
        <w:t>/INFOEM/IP/RR/202</w:t>
      </w:r>
      <w:r w:rsidR="00FB04E3" w:rsidRPr="00EE6F81">
        <w:rPr>
          <w:rFonts w:ascii="Palatino Linotype" w:eastAsia="Palatino Linotype" w:hAnsi="Palatino Linotype" w:cs="Palatino Linotype"/>
          <w:b/>
        </w:rPr>
        <w:t>5</w:t>
      </w:r>
      <w:r w:rsidRPr="00EE6F81">
        <w:rPr>
          <w:rFonts w:ascii="Palatino Linotype" w:eastAsia="Palatino Linotype" w:hAnsi="Palatino Linotype" w:cs="Palatino Linotype"/>
        </w:rPr>
        <w:t xml:space="preserve">, por lo que, en términos del </w:t>
      </w:r>
      <w:r w:rsidRPr="00EE6F81">
        <w:rPr>
          <w:rFonts w:ascii="Palatino Linotype" w:eastAsia="Palatino Linotype" w:hAnsi="Palatino Linotype" w:cs="Palatino Linotype"/>
          <w:b/>
        </w:rPr>
        <w:t>Considerando Cuarto</w:t>
      </w:r>
      <w:r w:rsidRPr="00EE6F81">
        <w:rPr>
          <w:rFonts w:ascii="Palatino Linotype" w:eastAsia="Palatino Linotype" w:hAnsi="Palatino Linotype" w:cs="Palatino Linotype"/>
        </w:rPr>
        <w:t xml:space="preserve"> de esta resolución, se </w:t>
      </w:r>
      <w:r w:rsidR="00FF7973" w:rsidRPr="00EE6F81">
        <w:rPr>
          <w:rFonts w:ascii="Palatino Linotype" w:eastAsia="Palatino Linotype" w:hAnsi="Palatino Linotype" w:cs="Palatino Linotype"/>
          <w:b/>
        </w:rPr>
        <w:t>MODIFICA</w:t>
      </w:r>
      <w:r w:rsidRPr="00EE6F81">
        <w:rPr>
          <w:rFonts w:ascii="Palatino Linotype" w:eastAsia="Palatino Linotype" w:hAnsi="Palatino Linotype" w:cs="Palatino Linotype"/>
          <w:b/>
        </w:rPr>
        <w:t xml:space="preserve"> </w:t>
      </w:r>
      <w:r w:rsidRPr="00EE6F81">
        <w:rPr>
          <w:rFonts w:ascii="Palatino Linotype" w:eastAsia="Palatino Linotype" w:hAnsi="Palatino Linotype" w:cs="Palatino Linotype"/>
        </w:rPr>
        <w:t xml:space="preserve">la respuesta emitida por el </w:t>
      </w:r>
      <w:r w:rsidRPr="00EE6F81">
        <w:rPr>
          <w:rFonts w:ascii="Palatino Linotype" w:eastAsia="Palatino Linotype" w:hAnsi="Palatino Linotype" w:cs="Palatino Linotype"/>
          <w:b/>
        </w:rPr>
        <w:t>Sujeto Obligado</w:t>
      </w:r>
      <w:r w:rsidRPr="00EE6F81">
        <w:rPr>
          <w:rFonts w:ascii="Palatino Linotype" w:eastAsia="Palatino Linotype" w:hAnsi="Palatino Linotype" w:cs="Palatino Linotype"/>
        </w:rPr>
        <w:t>.</w:t>
      </w:r>
    </w:p>
    <w:p w14:paraId="357DFA42" w14:textId="77777777" w:rsidR="008928B7" w:rsidRPr="00EE6F81" w:rsidRDefault="008928B7" w:rsidP="00A43ADD">
      <w:pPr>
        <w:spacing w:after="0" w:line="360" w:lineRule="auto"/>
        <w:ind w:right="49"/>
        <w:jc w:val="both"/>
        <w:rPr>
          <w:rFonts w:ascii="Palatino Linotype" w:eastAsia="Palatino Linotype" w:hAnsi="Palatino Linotype" w:cs="Palatino Linotype"/>
        </w:rPr>
      </w:pPr>
    </w:p>
    <w:p w14:paraId="327DE7EE" w14:textId="1F5A7DFF" w:rsidR="00B953CD" w:rsidRPr="00EE6F81" w:rsidRDefault="007F0BAA" w:rsidP="00B953CD">
      <w:pPr>
        <w:spacing w:after="0" w:line="360" w:lineRule="auto"/>
        <w:ind w:right="49"/>
        <w:jc w:val="both"/>
        <w:rPr>
          <w:rFonts w:ascii="Palatino Linotype" w:eastAsia="Palatino Linotype" w:hAnsi="Palatino Linotype" w:cs="Palatino Linotype"/>
          <w:b/>
          <w:bCs/>
        </w:rPr>
      </w:pPr>
      <w:r w:rsidRPr="00EE6F81">
        <w:rPr>
          <w:rFonts w:ascii="Palatino Linotype" w:eastAsia="Palatino Linotype" w:hAnsi="Palatino Linotype" w:cs="Palatino Linotype"/>
          <w:b/>
        </w:rPr>
        <w:t>Segundo</w:t>
      </w:r>
      <w:r w:rsidRPr="00EE6F81">
        <w:rPr>
          <w:rFonts w:ascii="Palatino Linotype" w:eastAsia="Palatino Linotype" w:hAnsi="Palatino Linotype" w:cs="Palatino Linotype"/>
        </w:rPr>
        <w:t xml:space="preserve">. Se </w:t>
      </w:r>
      <w:r w:rsidRPr="00EE6F81">
        <w:rPr>
          <w:rFonts w:ascii="Palatino Linotype" w:eastAsia="Palatino Linotype" w:hAnsi="Palatino Linotype" w:cs="Palatino Linotype"/>
          <w:b/>
        </w:rPr>
        <w:t>ORDENA</w:t>
      </w:r>
      <w:r w:rsidRPr="00EE6F81">
        <w:rPr>
          <w:rFonts w:ascii="Palatino Linotype" w:eastAsia="Palatino Linotype" w:hAnsi="Palatino Linotype" w:cs="Palatino Linotype"/>
        </w:rPr>
        <w:t xml:space="preserve"> al </w:t>
      </w:r>
      <w:r w:rsidRPr="00EE6F81">
        <w:rPr>
          <w:rFonts w:ascii="Palatino Linotype" w:eastAsia="Palatino Linotype" w:hAnsi="Palatino Linotype" w:cs="Palatino Linotype"/>
          <w:b/>
        </w:rPr>
        <w:t xml:space="preserve">Sujeto Obligado </w:t>
      </w:r>
      <w:r w:rsidRPr="00EE6F81">
        <w:rPr>
          <w:rFonts w:ascii="Palatino Linotype" w:eastAsia="Palatino Linotype" w:hAnsi="Palatino Linotype" w:cs="Palatino Linotype"/>
        </w:rPr>
        <w:t xml:space="preserve">a que, en observancia de los </w:t>
      </w:r>
      <w:r w:rsidRPr="00EE6F81">
        <w:rPr>
          <w:rFonts w:ascii="Palatino Linotype" w:eastAsia="Palatino Linotype" w:hAnsi="Palatino Linotype" w:cs="Palatino Linotype"/>
          <w:b/>
        </w:rPr>
        <w:t>Considerandos Cuarto y Quinto</w:t>
      </w:r>
      <w:r w:rsidR="002565BF" w:rsidRPr="00EE6F81">
        <w:rPr>
          <w:rFonts w:ascii="Palatino Linotype" w:eastAsia="Palatino Linotype" w:hAnsi="Palatino Linotype" w:cs="Palatino Linotype"/>
        </w:rPr>
        <w:t>, haga</w:t>
      </w:r>
      <w:r w:rsidR="00867C3D" w:rsidRPr="00EE6F81">
        <w:rPr>
          <w:rFonts w:ascii="Palatino Linotype" w:eastAsia="Palatino Linotype" w:hAnsi="Palatino Linotype" w:cs="Palatino Linotype"/>
        </w:rPr>
        <w:t xml:space="preserve"> entrega</w:t>
      </w:r>
      <w:r w:rsidRPr="00EE6F81">
        <w:rPr>
          <w:rFonts w:ascii="Palatino Linotype" w:eastAsia="Palatino Linotype" w:hAnsi="Palatino Linotype" w:cs="Palatino Linotype"/>
        </w:rPr>
        <w:t xml:space="preserve">, vía Sistema de Acceso a la Información Mexiquense </w:t>
      </w:r>
      <w:r w:rsidRPr="00EE6F81">
        <w:rPr>
          <w:rFonts w:ascii="Palatino Linotype" w:eastAsia="Palatino Linotype" w:hAnsi="Palatino Linotype" w:cs="Palatino Linotype"/>
          <w:b/>
        </w:rPr>
        <w:t>(SAIMEX)</w:t>
      </w:r>
      <w:r w:rsidRPr="00EE6F81">
        <w:rPr>
          <w:rFonts w:ascii="Palatino Linotype" w:eastAsia="Palatino Linotype" w:hAnsi="Palatino Linotype" w:cs="Palatino Linotype"/>
        </w:rPr>
        <w:t xml:space="preserve">, </w:t>
      </w:r>
      <w:r w:rsidR="006A08CC" w:rsidRPr="00EE6F81">
        <w:rPr>
          <w:rFonts w:ascii="Palatino Linotype" w:eastAsia="Palatino Linotype" w:hAnsi="Palatino Linotype" w:cs="Palatino Linotype"/>
        </w:rPr>
        <w:t>en versión pública correcta</w:t>
      </w:r>
      <w:r w:rsidR="00FF7973" w:rsidRPr="00EE6F81">
        <w:rPr>
          <w:rFonts w:ascii="Palatino Linotype" w:eastAsia="Palatino Linotype" w:hAnsi="Palatino Linotype" w:cs="Palatino Linotype"/>
        </w:rPr>
        <w:t>,</w:t>
      </w:r>
      <w:r w:rsidR="00FF7973" w:rsidRPr="00EE6F81">
        <w:rPr>
          <w:rFonts w:ascii="Palatino Linotype" w:hAnsi="Palatino Linotype"/>
        </w:rPr>
        <w:t xml:space="preserve"> lo siguiente:</w:t>
      </w:r>
    </w:p>
    <w:p w14:paraId="3EC95A4D" w14:textId="77777777" w:rsidR="00FF7973" w:rsidRPr="00EE6F81" w:rsidRDefault="00FF7973" w:rsidP="00B953CD">
      <w:pPr>
        <w:spacing w:after="0" w:line="360" w:lineRule="auto"/>
        <w:ind w:right="49"/>
        <w:jc w:val="both"/>
        <w:rPr>
          <w:rFonts w:ascii="Palatino Linotype" w:hAnsi="Palatino Linotype"/>
        </w:rPr>
      </w:pPr>
    </w:p>
    <w:p w14:paraId="791D7341" w14:textId="6131D7A3" w:rsidR="005E773A" w:rsidRPr="00EE6F81" w:rsidRDefault="006A08CC" w:rsidP="00E05804">
      <w:pPr>
        <w:pStyle w:val="Prrafodelista"/>
        <w:numPr>
          <w:ilvl w:val="0"/>
          <w:numId w:val="31"/>
        </w:numPr>
        <w:spacing w:after="0" w:line="360" w:lineRule="auto"/>
        <w:ind w:right="560"/>
        <w:jc w:val="both"/>
        <w:rPr>
          <w:rFonts w:ascii="Palatino Linotype" w:hAnsi="Palatino Linotype"/>
        </w:rPr>
      </w:pPr>
      <w:r w:rsidRPr="00EE6F81">
        <w:rPr>
          <w:rFonts w:ascii="Palatino Linotype" w:hAnsi="Palatino Linotype"/>
        </w:rPr>
        <w:t xml:space="preserve">Formato Único de Movimientos de Personal remitido en respuesta. </w:t>
      </w:r>
    </w:p>
    <w:p w14:paraId="5AF6FC38" w14:textId="77777777" w:rsidR="00C83804" w:rsidRPr="00EE6F81" w:rsidRDefault="00C83804" w:rsidP="00C83804">
      <w:pPr>
        <w:pStyle w:val="Prrafodelista"/>
        <w:spacing w:after="0" w:line="360" w:lineRule="auto"/>
        <w:ind w:right="49"/>
        <w:jc w:val="both"/>
        <w:rPr>
          <w:rFonts w:ascii="Palatino Linotype" w:hAnsi="Palatino Linotype"/>
        </w:rPr>
      </w:pPr>
    </w:p>
    <w:p w14:paraId="6C959D06" w14:textId="77777777" w:rsidR="00C83804" w:rsidRPr="00EE6F81" w:rsidRDefault="00032561" w:rsidP="00E05804">
      <w:pPr>
        <w:spacing w:after="0"/>
        <w:ind w:left="567" w:right="560"/>
        <w:jc w:val="both"/>
        <w:rPr>
          <w:rFonts w:ascii="Palatino Linotype" w:eastAsia="Palatino Linotype" w:hAnsi="Palatino Linotype" w:cs="Palatino Linotype"/>
        </w:rPr>
      </w:pPr>
      <w:r w:rsidRPr="00EE6F81">
        <w:rPr>
          <w:rFonts w:ascii="Palatino Linotype" w:eastAsia="Palatino Linotype" w:hAnsi="Palatino Linotype" w:cs="Palatino Linotype"/>
          <w:i/>
        </w:rPr>
        <w:t xml:space="preserve">Deberá emitir el Acuerdo del Comité de Transparencia en términos de la Ley de Transparencia y Acceso a la Información Pública del Estado de México y Municipios, en el que funde y motive las razones sobre los datos que se supriman o eliminen y se ponga a disposición de </w:t>
      </w:r>
      <w:r w:rsidRPr="00EE6F81">
        <w:rPr>
          <w:rFonts w:ascii="Palatino Linotype" w:eastAsia="Palatino Linotype" w:hAnsi="Palatino Linotype" w:cs="Palatino Linotype"/>
          <w:b/>
          <w:i/>
        </w:rPr>
        <w:t>la parte Recurrente</w:t>
      </w:r>
      <w:r w:rsidRPr="00EE6F81">
        <w:rPr>
          <w:rFonts w:ascii="Palatino Linotype" w:eastAsia="Palatino Linotype" w:hAnsi="Palatino Linotype" w:cs="Palatino Linotype"/>
          <w:i/>
        </w:rPr>
        <w:t>.</w:t>
      </w:r>
    </w:p>
    <w:p w14:paraId="0689A000" w14:textId="77777777" w:rsidR="00FF7973" w:rsidRPr="00EE6F81" w:rsidRDefault="00FF7973" w:rsidP="00A43ADD">
      <w:pPr>
        <w:spacing w:after="0" w:line="360" w:lineRule="auto"/>
        <w:ind w:right="49"/>
        <w:jc w:val="both"/>
        <w:rPr>
          <w:rFonts w:ascii="Palatino Linotype" w:eastAsia="Palatino Linotype" w:hAnsi="Palatino Linotype" w:cs="Palatino Linotype"/>
          <w:bCs/>
          <w:i/>
          <w:iCs/>
        </w:rPr>
      </w:pPr>
    </w:p>
    <w:p w14:paraId="7EAC7922" w14:textId="16FC2D80" w:rsidR="00E05804" w:rsidRPr="00EE6F81" w:rsidRDefault="00E05804" w:rsidP="00E05804">
      <w:pPr>
        <w:spacing w:after="0" w:line="360" w:lineRule="auto"/>
        <w:ind w:right="49"/>
        <w:jc w:val="both"/>
        <w:rPr>
          <w:rFonts w:ascii="Palatino Linotype" w:eastAsia="Palatino Linotype" w:hAnsi="Palatino Linotype" w:cs="Palatino Linotype"/>
          <w:b/>
        </w:rPr>
      </w:pPr>
      <w:r w:rsidRPr="00EE6F81">
        <w:rPr>
          <w:rFonts w:ascii="Palatino Linotype" w:eastAsia="Palatino Linotype" w:hAnsi="Palatino Linotype" w:cs="Palatino Linotype"/>
          <w:b/>
        </w:rPr>
        <w:t xml:space="preserve">Tercero. Notifíquese vía SAIMEX </w:t>
      </w:r>
      <w:r w:rsidRPr="00EE6F81">
        <w:rPr>
          <w:rFonts w:ascii="Palatino Linotype" w:eastAsia="Palatino Linotype" w:hAnsi="Palatino Linotype" w:cs="Palatino Linotype"/>
          <w:bCs/>
        </w:rPr>
        <w:t xml:space="preserve">la presente resolución al </w:t>
      </w:r>
      <w:r w:rsidRPr="00EE6F81">
        <w:rPr>
          <w:rFonts w:ascii="Palatino Linotype" w:eastAsia="Palatino Linotype" w:hAnsi="Palatino Linotype" w:cs="Palatino Linotype"/>
          <w:b/>
        </w:rPr>
        <w:t>Titular de la Unidad de Transparencia del SUJETO OBLIGADO</w:t>
      </w:r>
      <w:r w:rsidRPr="00EE6F81">
        <w:rPr>
          <w:rFonts w:ascii="Palatino Linotype" w:eastAsia="Palatino Linotype" w:hAnsi="Palatino Linotype" w:cs="Palatino Linotype"/>
          <w:bC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EE6F81">
        <w:rPr>
          <w:rFonts w:ascii="Palatino Linotype" w:eastAsia="Palatino Linotype" w:hAnsi="Palatino Linotype" w:cs="Palatino Linotype"/>
          <w:b/>
        </w:rPr>
        <w:t>.</w:t>
      </w:r>
    </w:p>
    <w:p w14:paraId="39B0162C" w14:textId="77777777" w:rsidR="00E05804" w:rsidRPr="00EE6F81" w:rsidRDefault="00E05804" w:rsidP="00E05804">
      <w:pPr>
        <w:spacing w:after="0" w:line="360" w:lineRule="auto"/>
        <w:ind w:right="49"/>
        <w:jc w:val="both"/>
        <w:rPr>
          <w:rFonts w:ascii="Palatino Linotype" w:eastAsia="Palatino Linotype" w:hAnsi="Palatino Linotype" w:cs="Palatino Linotype"/>
          <w:bCs/>
        </w:rPr>
      </w:pPr>
      <w:r w:rsidRPr="00EE6F81">
        <w:rPr>
          <w:rFonts w:ascii="Palatino Linotype" w:eastAsia="Palatino Linotype" w:hAnsi="Palatino Linotype" w:cs="Palatino Linotype"/>
          <w:b/>
        </w:rPr>
        <w:t xml:space="preserve">Cuarto. Notifíquese vía SAIMEX </w:t>
      </w:r>
      <w:r w:rsidRPr="00EE6F81">
        <w:rPr>
          <w:rFonts w:ascii="Palatino Linotype" w:eastAsia="Palatino Linotype" w:hAnsi="Palatino Linotype" w:cs="Palatino Linotype"/>
          <w:bCs/>
        </w:rPr>
        <w:t>a la parte</w:t>
      </w:r>
      <w:r w:rsidRPr="00EE6F81">
        <w:rPr>
          <w:rFonts w:ascii="Palatino Linotype" w:eastAsia="Palatino Linotype" w:hAnsi="Palatino Linotype" w:cs="Palatino Linotype"/>
          <w:b/>
        </w:rPr>
        <w:t xml:space="preserve"> Recurrente </w:t>
      </w:r>
      <w:r w:rsidRPr="00EE6F81">
        <w:rPr>
          <w:rFonts w:ascii="Palatino Linotype" w:eastAsia="Palatino Linotype" w:hAnsi="Palatino Linotype" w:cs="Palatino Linotype"/>
          <w:bCs/>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334F6363" w14:textId="77777777" w:rsidR="00E05804" w:rsidRPr="00EE6F81" w:rsidRDefault="00E05804" w:rsidP="00E05804">
      <w:pPr>
        <w:spacing w:after="0" w:line="360" w:lineRule="auto"/>
        <w:ind w:right="49"/>
        <w:jc w:val="both"/>
        <w:rPr>
          <w:rFonts w:ascii="Palatino Linotype" w:eastAsia="Palatino Linotype" w:hAnsi="Palatino Linotype" w:cs="Palatino Linotype"/>
          <w:b/>
        </w:rPr>
      </w:pPr>
      <w:r w:rsidRPr="00EE6F81">
        <w:rPr>
          <w:rFonts w:ascii="Palatino Linotype" w:eastAsia="Palatino Linotype" w:hAnsi="Palatino Linotype" w:cs="Palatino Linotype"/>
          <w:b/>
        </w:rPr>
        <w:t xml:space="preserve"> </w:t>
      </w:r>
    </w:p>
    <w:p w14:paraId="07A498CC" w14:textId="77777777" w:rsidR="00E05804" w:rsidRPr="00EE6F81" w:rsidRDefault="00E05804" w:rsidP="00E05804">
      <w:pPr>
        <w:spacing w:after="0" w:line="360" w:lineRule="auto"/>
        <w:ind w:right="49"/>
        <w:jc w:val="both"/>
        <w:rPr>
          <w:rFonts w:ascii="Palatino Linotype" w:eastAsia="Palatino Linotype" w:hAnsi="Palatino Linotype" w:cs="Palatino Linotype"/>
          <w:bCs/>
        </w:rPr>
      </w:pPr>
      <w:r w:rsidRPr="00EE6F81">
        <w:rPr>
          <w:rFonts w:ascii="Palatino Linotype" w:eastAsia="Palatino Linotype" w:hAnsi="Palatino Linotype" w:cs="Palatino Linotype"/>
          <w:b/>
        </w:rPr>
        <w:t xml:space="preserve">Quinto. </w:t>
      </w:r>
      <w:r w:rsidRPr="00EE6F81">
        <w:rPr>
          <w:rFonts w:ascii="Palatino Linotype" w:eastAsia="Palatino Linotype" w:hAnsi="Palatino Linotype" w:cs="Palatino Linotype"/>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1E4DA54" w14:textId="77777777" w:rsidR="00E05804" w:rsidRPr="00EE6F81" w:rsidRDefault="00E05804" w:rsidP="00E05804">
      <w:pPr>
        <w:spacing w:after="0" w:line="360" w:lineRule="auto"/>
        <w:ind w:right="49"/>
        <w:jc w:val="both"/>
        <w:rPr>
          <w:rFonts w:ascii="Palatino Linotype" w:eastAsia="Palatino Linotype" w:hAnsi="Palatino Linotype" w:cs="Palatino Linotype"/>
          <w:b/>
        </w:rPr>
      </w:pPr>
    </w:p>
    <w:p w14:paraId="7081CF6B" w14:textId="3133A68C" w:rsidR="008928B7" w:rsidRPr="009A1DD1" w:rsidRDefault="00E05804" w:rsidP="00E05804">
      <w:pPr>
        <w:spacing w:after="0" w:line="360" w:lineRule="auto"/>
        <w:ind w:right="49"/>
        <w:jc w:val="both"/>
        <w:rPr>
          <w:rFonts w:ascii="Palatino Linotype" w:eastAsia="Palatino Linotype" w:hAnsi="Palatino Linotype" w:cs="Palatino Linotype"/>
          <w:bCs/>
        </w:rPr>
      </w:pPr>
      <w:r w:rsidRPr="00EE6F81">
        <w:rPr>
          <w:rFonts w:ascii="Palatino Linotype" w:eastAsia="Palatino Linotype" w:hAnsi="Palatino Linotype" w:cs="Palatino Linotype"/>
          <w:bC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DE FEBRERO DE DOS MIL VEINTISÉIS, ANTE EL SECRETARIO TÉCNICO DEL PLENO ALEXIS TAPIA RAMÍREZ.</w:t>
      </w:r>
    </w:p>
    <w:p w14:paraId="5EEA4B15" w14:textId="77777777" w:rsidR="008928B7" w:rsidRPr="009A1DD1" w:rsidRDefault="008928B7" w:rsidP="00A43ADD">
      <w:pPr>
        <w:spacing w:after="0" w:line="360" w:lineRule="auto"/>
        <w:ind w:right="49"/>
        <w:jc w:val="both"/>
        <w:rPr>
          <w:rFonts w:ascii="Palatino Linotype" w:eastAsia="Palatino Linotype" w:hAnsi="Palatino Linotype" w:cs="Palatino Linotype"/>
        </w:rPr>
      </w:pPr>
    </w:p>
    <w:p w14:paraId="5D4F43F0" w14:textId="6C114994" w:rsidR="008928B7" w:rsidRPr="009A1DD1" w:rsidRDefault="008928B7" w:rsidP="00A43ADD">
      <w:pPr>
        <w:spacing w:after="0" w:line="360" w:lineRule="auto"/>
        <w:ind w:right="49"/>
        <w:jc w:val="both"/>
        <w:rPr>
          <w:rFonts w:ascii="Palatino Linotype" w:eastAsia="Palatino Linotype" w:hAnsi="Palatino Linotype" w:cs="Palatino Linotype"/>
        </w:rPr>
      </w:pPr>
      <w:bookmarkStart w:id="3" w:name="_heading=h.2et92p0" w:colFirst="0" w:colLast="0"/>
      <w:bookmarkEnd w:id="3"/>
    </w:p>
    <w:p w14:paraId="6E4096B8" w14:textId="3EE2F6AC" w:rsidR="009836E8" w:rsidRPr="009A1DD1" w:rsidRDefault="009836E8" w:rsidP="00A43ADD">
      <w:pPr>
        <w:spacing w:after="0" w:line="360" w:lineRule="auto"/>
        <w:ind w:right="49"/>
        <w:jc w:val="both"/>
        <w:rPr>
          <w:rFonts w:ascii="Palatino Linotype" w:eastAsia="Palatino Linotype" w:hAnsi="Palatino Linotype" w:cs="Palatino Linotype"/>
        </w:rPr>
      </w:pPr>
    </w:p>
    <w:p w14:paraId="241DF8A2" w14:textId="2CD811A8" w:rsidR="009836E8" w:rsidRPr="009A1DD1" w:rsidRDefault="009836E8" w:rsidP="00A43ADD">
      <w:pPr>
        <w:spacing w:after="0" w:line="360" w:lineRule="auto"/>
        <w:ind w:right="49"/>
        <w:jc w:val="both"/>
        <w:rPr>
          <w:rFonts w:ascii="Palatino Linotype" w:eastAsia="Palatino Linotype" w:hAnsi="Palatino Linotype" w:cs="Palatino Linotype"/>
        </w:rPr>
      </w:pPr>
    </w:p>
    <w:p w14:paraId="782A1359" w14:textId="01353BD1" w:rsidR="009836E8" w:rsidRPr="009A1DD1" w:rsidRDefault="009836E8" w:rsidP="00A43ADD">
      <w:pPr>
        <w:spacing w:after="0" w:line="360" w:lineRule="auto"/>
        <w:ind w:right="49"/>
        <w:jc w:val="both"/>
        <w:rPr>
          <w:rFonts w:ascii="Palatino Linotype" w:eastAsia="Palatino Linotype" w:hAnsi="Palatino Linotype" w:cs="Palatino Linotype"/>
        </w:rPr>
      </w:pPr>
    </w:p>
    <w:p w14:paraId="7244656A" w14:textId="44F37EF5" w:rsidR="009836E8" w:rsidRPr="009A1DD1" w:rsidRDefault="009836E8" w:rsidP="00A43ADD">
      <w:pPr>
        <w:spacing w:after="0" w:line="360" w:lineRule="auto"/>
        <w:ind w:right="49"/>
        <w:jc w:val="both"/>
        <w:rPr>
          <w:rFonts w:ascii="Palatino Linotype" w:eastAsia="Palatino Linotype" w:hAnsi="Palatino Linotype" w:cs="Palatino Linotype"/>
        </w:rPr>
      </w:pPr>
    </w:p>
    <w:p w14:paraId="4C5A4E27" w14:textId="3F74FD25" w:rsidR="009836E8" w:rsidRPr="009A1DD1" w:rsidRDefault="009836E8" w:rsidP="00A43ADD">
      <w:pPr>
        <w:spacing w:after="0" w:line="360" w:lineRule="auto"/>
        <w:ind w:right="49"/>
        <w:jc w:val="both"/>
        <w:rPr>
          <w:rFonts w:ascii="Palatino Linotype" w:eastAsia="Palatino Linotype" w:hAnsi="Palatino Linotype" w:cs="Palatino Linotype"/>
        </w:rPr>
      </w:pPr>
    </w:p>
    <w:p w14:paraId="06203928" w14:textId="1D3D564D" w:rsidR="009836E8" w:rsidRPr="009A1DD1" w:rsidRDefault="009836E8" w:rsidP="00A43ADD">
      <w:pPr>
        <w:spacing w:after="0" w:line="360" w:lineRule="auto"/>
        <w:ind w:right="49"/>
        <w:jc w:val="both"/>
        <w:rPr>
          <w:rFonts w:ascii="Palatino Linotype" w:eastAsia="Palatino Linotype" w:hAnsi="Palatino Linotype" w:cs="Palatino Linotype"/>
        </w:rPr>
      </w:pPr>
    </w:p>
    <w:p w14:paraId="5524863D" w14:textId="753EA9D3" w:rsidR="009836E8" w:rsidRPr="009A1DD1" w:rsidRDefault="009836E8" w:rsidP="00A43ADD">
      <w:pPr>
        <w:spacing w:after="0" w:line="360" w:lineRule="auto"/>
        <w:ind w:right="49"/>
        <w:jc w:val="both"/>
        <w:rPr>
          <w:rFonts w:ascii="Palatino Linotype" w:eastAsia="Palatino Linotype" w:hAnsi="Palatino Linotype" w:cs="Palatino Linotype"/>
        </w:rPr>
      </w:pPr>
    </w:p>
    <w:p w14:paraId="0005F16D" w14:textId="7F0B9A1E" w:rsidR="009836E8" w:rsidRPr="009A1DD1" w:rsidRDefault="009836E8" w:rsidP="00A43ADD">
      <w:pPr>
        <w:spacing w:after="0" w:line="360" w:lineRule="auto"/>
        <w:ind w:right="49"/>
        <w:jc w:val="both"/>
        <w:rPr>
          <w:rFonts w:ascii="Palatino Linotype" w:eastAsia="Palatino Linotype" w:hAnsi="Palatino Linotype" w:cs="Palatino Linotype"/>
        </w:rPr>
      </w:pPr>
    </w:p>
    <w:p w14:paraId="7B246197" w14:textId="3DC0CCD3" w:rsidR="009836E8" w:rsidRPr="009A1DD1" w:rsidRDefault="009836E8" w:rsidP="00A43ADD">
      <w:pPr>
        <w:spacing w:after="0" w:line="360" w:lineRule="auto"/>
        <w:ind w:right="49"/>
        <w:jc w:val="both"/>
        <w:rPr>
          <w:rFonts w:ascii="Palatino Linotype" w:eastAsia="Palatino Linotype" w:hAnsi="Palatino Linotype" w:cs="Palatino Linotype"/>
        </w:rPr>
      </w:pPr>
    </w:p>
    <w:p w14:paraId="287E94F1" w14:textId="1B24B6AC" w:rsidR="009836E8" w:rsidRPr="009A1DD1" w:rsidRDefault="009836E8" w:rsidP="00A43ADD">
      <w:pPr>
        <w:spacing w:after="0" w:line="360" w:lineRule="auto"/>
        <w:ind w:right="49"/>
        <w:jc w:val="both"/>
        <w:rPr>
          <w:rFonts w:ascii="Palatino Linotype" w:eastAsia="Palatino Linotype" w:hAnsi="Palatino Linotype" w:cs="Palatino Linotype"/>
        </w:rPr>
      </w:pPr>
    </w:p>
    <w:p w14:paraId="6A80A525" w14:textId="644C7347" w:rsidR="009836E8" w:rsidRPr="009A1DD1" w:rsidRDefault="009836E8" w:rsidP="00A43ADD">
      <w:pPr>
        <w:spacing w:after="0" w:line="360" w:lineRule="auto"/>
        <w:ind w:right="49"/>
        <w:jc w:val="both"/>
        <w:rPr>
          <w:rFonts w:ascii="Palatino Linotype" w:eastAsia="Palatino Linotype" w:hAnsi="Palatino Linotype" w:cs="Palatino Linotype"/>
        </w:rPr>
      </w:pPr>
    </w:p>
    <w:p w14:paraId="63EF47C7" w14:textId="6DA18717" w:rsidR="009836E8" w:rsidRPr="009A1DD1" w:rsidRDefault="009836E8" w:rsidP="00A43ADD">
      <w:pPr>
        <w:spacing w:after="0" w:line="360" w:lineRule="auto"/>
        <w:ind w:right="49"/>
        <w:jc w:val="both"/>
        <w:rPr>
          <w:rFonts w:ascii="Palatino Linotype" w:eastAsia="Palatino Linotype" w:hAnsi="Palatino Linotype" w:cs="Palatino Linotype"/>
        </w:rPr>
      </w:pPr>
    </w:p>
    <w:p w14:paraId="68C8697A" w14:textId="77777777" w:rsidR="009836E8" w:rsidRPr="009A1DD1" w:rsidRDefault="009836E8" w:rsidP="00A43ADD">
      <w:pPr>
        <w:spacing w:after="0" w:line="360" w:lineRule="auto"/>
        <w:ind w:right="49"/>
        <w:jc w:val="both"/>
        <w:rPr>
          <w:rFonts w:ascii="Palatino Linotype" w:eastAsia="Palatino Linotype" w:hAnsi="Palatino Linotype" w:cs="Palatino Linotype"/>
        </w:rPr>
      </w:pPr>
    </w:p>
    <w:sectPr w:rsidR="009836E8" w:rsidRPr="009A1DD1">
      <w:headerReference w:type="default" r:id="rId8"/>
      <w:footerReference w:type="default" r:id="rId9"/>
      <w:headerReference w:type="first" r:id="rId10"/>
      <w:footerReference w:type="first" r:id="rId11"/>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48026" w14:textId="77777777" w:rsidR="00A205C3" w:rsidRDefault="00A205C3">
      <w:pPr>
        <w:spacing w:after="0" w:line="240" w:lineRule="auto"/>
      </w:pPr>
      <w:r>
        <w:separator/>
      </w:r>
    </w:p>
  </w:endnote>
  <w:endnote w:type="continuationSeparator" w:id="0">
    <w:p w14:paraId="0DA639B1" w14:textId="77777777" w:rsidR="00A205C3" w:rsidRDefault="00A20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D0040" w14:textId="6A8A87FA" w:rsidR="00756964" w:rsidRDefault="0075696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9463D">
      <w:rPr>
        <w:b/>
        <w:noProof/>
        <w:color w:val="000000"/>
        <w:sz w:val="24"/>
        <w:szCs w:val="24"/>
      </w:rPr>
      <w:t>20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9463D">
      <w:rPr>
        <w:b/>
        <w:noProof/>
        <w:color w:val="000000"/>
        <w:sz w:val="24"/>
        <w:szCs w:val="24"/>
      </w:rPr>
      <w:t>32</w:t>
    </w:r>
    <w:r>
      <w:rPr>
        <w:b/>
        <w:color w:val="000000"/>
        <w:sz w:val="24"/>
        <w:szCs w:val="24"/>
      </w:rPr>
      <w:fldChar w:fldCharType="end"/>
    </w:r>
  </w:p>
  <w:p w14:paraId="484F8B8A" w14:textId="77777777" w:rsidR="00756964" w:rsidRDefault="00756964">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1FFB1" w14:textId="4A346FC4" w:rsidR="00756964" w:rsidRDefault="0075696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9463D">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9463D">
      <w:rPr>
        <w:b/>
        <w:noProof/>
        <w:color w:val="000000"/>
        <w:sz w:val="24"/>
        <w:szCs w:val="24"/>
      </w:rPr>
      <w:t>32</w:t>
    </w:r>
    <w:r>
      <w:rPr>
        <w:b/>
        <w:color w:val="000000"/>
        <w:sz w:val="24"/>
        <w:szCs w:val="24"/>
      </w:rPr>
      <w:fldChar w:fldCharType="end"/>
    </w:r>
  </w:p>
  <w:p w14:paraId="153ACE2B" w14:textId="77777777" w:rsidR="00756964" w:rsidRDefault="0075696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CAF78" w14:textId="77777777" w:rsidR="00A205C3" w:rsidRDefault="00A205C3">
      <w:pPr>
        <w:spacing w:after="0" w:line="240" w:lineRule="auto"/>
      </w:pPr>
      <w:r>
        <w:separator/>
      </w:r>
    </w:p>
  </w:footnote>
  <w:footnote w:type="continuationSeparator" w:id="0">
    <w:p w14:paraId="65907918" w14:textId="77777777" w:rsidR="00A205C3" w:rsidRDefault="00A20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2A6E2" w14:textId="77777777" w:rsidR="00756964" w:rsidRDefault="00756964">
    <w:pPr>
      <w:widowControl w:val="0"/>
      <w:pBdr>
        <w:top w:val="nil"/>
        <w:left w:val="nil"/>
        <w:bottom w:val="nil"/>
        <w:right w:val="nil"/>
        <w:between w:val="nil"/>
      </w:pBdr>
      <w:spacing w:after="0"/>
      <w:rPr>
        <w:color w:val="000000"/>
      </w:rPr>
    </w:pPr>
    <w:r>
      <w:rPr>
        <w:noProof/>
        <w:lang w:eastAsia="es-MX"/>
      </w:rPr>
      <w:drawing>
        <wp:anchor distT="0" distB="0" distL="0" distR="0" simplePos="0" relativeHeight="251658240" behindDoc="1" locked="0" layoutInCell="1" hidden="0" allowOverlap="1" wp14:anchorId="05B2EBF4" wp14:editId="3C129136">
          <wp:simplePos x="0" y="0"/>
          <wp:positionH relativeFrom="column">
            <wp:posOffset>-716279</wp:posOffset>
          </wp:positionH>
          <wp:positionV relativeFrom="paragraph">
            <wp:posOffset>-401954</wp:posOffset>
          </wp:positionV>
          <wp:extent cx="7809876" cy="10165823"/>
          <wp:effectExtent l="0" t="0" r="0" b="0"/>
          <wp:wrapNone/>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2"/>
      <w:tblW w:w="5603" w:type="dxa"/>
      <w:tblInd w:w="3611" w:type="dxa"/>
      <w:tblLayout w:type="fixed"/>
      <w:tblLook w:val="0400" w:firstRow="0" w:lastRow="0" w:firstColumn="0" w:lastColumn="0" w:noHBand="0" w:noVBand="1"/>
    </w:tblPr>
    <w:tblGrid>
      <w:gridCol w:w="2551"/>
      <w:gridCol w:w="3052"/>
    </w:tblGrid>
    <w:tr w:rsidR="00756964" w14:paraId="2C5F36C7" w14:textId="77777777">
      <w:tc>
        <w:tcPr>
          <w:tcW w:w="2551" w:type="dxa"/>
          <w:vAlign w:val="center"/>
        </w:tcPr>
        <w:p w14:paraId="6268F3A8" w14:textId="77777777" w:rsidR="00756964" w:rsidRDefault="0075696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6F585FC7" w14:textId="57B8E2CC" w:rsidR="00756964" w:rsidRDefault="0075696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14439/INFOEM/IP/RR/2025</w:t>
          </w:r>
        </w:p>
      </w:tc>
    </w:tr>
    <w:tr w:rsidR="00756964" w14:paraId="72A2974B" w14:textId="77777777">
      <w:trPr>
        <w:trHeight w:val="217"/>
      </w:trPr>
      <w:tc>
        <w:tcPr>
          <w:tcW w:w="2551" w:type="dxa"/>
          <w:vAlign w:val="center"/>
        </w:tcPr>
        <w:p w14:paraId="36CBB94A" w14:textId="431195E9" w:rsidR="00756964" w:rsidRDefault="0075696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409015D6" w14:textId="0A7A8FAE" w:rsidR="00756964" w:rsidRDefault="00756964" w:rsidP="00B3099F">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rPr>
          </w:pPr>
          <w:r w:rsidRPr="00411ECC">
            <w:rPr>
              <w:rFonts w:ascii="Palatino Linotype" w:eastAsia="Palatino Linotype" w:hAnsi="Palatino Linotype" w:cs="Palatino Linotype"/>
              <w:b/>
              <w:color w:val="000000"/>
            </w:rPr>
            <w:t>Universidad Mexiquense de Seguridad</w:t>
          </w:r>
        </w:p>
      </w:tc>
    </w:tr>
    <w:tr w:rsidR="00756964" w14:paraId="43A10F60" w14:textId="77777777">
      <w:tc>
        <w:tcPr>
          <w:tcW w:w="2551" w:type="dxa"/>
          <w:vAlign w:val="center"/>
        </w:tcPr>
        <w:p w14:paraId="62930F4E" w14:textId="77777777" w:rsidR="00756964" w:rsidRDefault="0075696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3EBF154D" w14:textId="77777777" w:rsidR="00756964" w:rsidRDefault="0075696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14D7BF01" w14:textId="77777777" w:rsidR="00756964" w:rsidRDefault="00756964">
    <w:pPr>
      <w:pBdr>
        <w:top w:val="nil"/>
        <w:left w:val="nil"/>
        <w:bottom w:val="nil"/>
        <w:right w:val="nil"/>
        <w:between w:val="nil"/>
      </w:pBdr>
      <w:tabs>
        <w:tab w:val="left" w:pos="2805"/>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35657" w14:textId="77777777" w:rsidR="00756964" w:rsidRDefault="00756964">
    <w:pPr>
      <w:widowControl w:val="0"/>
      <w:pBdr>
        <w:top w:val="nil"/>
        <w:left w:val="nil"/>
        <w:bottom w:val="nil"/>
        <w:right w:val="nil"/>
        <w:between w:val="nil"/>
      </w:pBdr>
      <w:spacing w:after="0"/>
      <w:rPr>
        <w:rFonts w:ascii="Palatino Linotype" w:eastAsia="Palatino Linotype" w:hAnsi="Palatino Linotype" w:cs="Palatino Linotype"/>
        <w:sz w:val="24"/>
        <w:szCs w:val="24"/>
      </w:rPr>
    </w:pPr>
    <w:r>
      <w:rPr>
        <w:noProof/>
        <w:lang w:eastAsia="es-MX"/>
      </w:rPr>
      <w:drawing>
        <wp:anchor distT="0" distB="0" distL="0" distR="0" simplePos="0" relativeHeight="251659264" behindDoc="1" locked="0" layoutInCell="1" hidden="0" allowOverlap="1" wp14:anchorId="2F59867B" wp14:editId="2F41DA6A">
          <wp:simplePos x="0" y="0"/>
          <wp:positionH relativeFrom="column">
            <wp:posOffset>-654050</wp:posOffset>
          </wp:positionH>
          <wp:positionV relativeFrom="paragraph">
            <wp:posOffset>-191135</wp:posOffset>
          </wp:positionV>
          <wp:extent cx="7809865" cy="10165715"/>
          <wp:effectExtent l="0" t="0" r="0" b="0"/>
          <wp:wrapNone/>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3"/>
      <w:tblW w:w="5603" w:type="dxa"/>
      <w:tblInd w:w="3611" w:type="dxa"/>
      <w:tblLayout w:type="fixed"/>
      <w:tblLook w:val="0400" w:firstRow="0" w:lastRow="0" w:firstColumn="0" w:lastColumn="0" w:noHBand="0" w:noVBand="1"/>
    </w:tblPr>
    <w:tblGrid>
      <w:gridCol w:w="2551"/>
      <w:gridCol w:w="3052"/>
    </w:tblGrid>
    <w:tr w:rsidR="00756964" w14:paraId="2F98CD46" w14:textId="77777777">
      <w:tc>
        <w:tcPr>
          <w:tcW w:w="2551" w:type="dxa"/>
          <w:vAlign w:val="center"/>
        </w:tcPr>
        <w:p w14:paraId="264400A1" w14:textId="77777777" w:rsidR="00756964" w:rsidRDefault="0075696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19D8DCBC" w14:textId="26D13812" w:rsidR="00756964" w:rsidRDefault="00756964" w:rsidP="0096330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14439/INFOEM/IP/RR/2025</w:t>
          </w:r>
        </w:p>
      </w:tc>
    </w:tr>
    <w:tr w:rsidR="00756964" w14:paraId="21842A86" w14:textId="77777777">
      <w:tc>
        <w:tcPr>
          <w:tcW w:w="2551" w:type="dxa"/>
          <w:vAlign w:val="center"/>
        </w:tcPr>
        <w:p w14:paraId="1407BA05" w14:textId="77777777" w:rsidR="00756964" w:rsidRDefault="00756964">
          <w:pPr>
            <w:pBdr>
              <w:top w:val="nil"/>
              <w:left w:val="nil"/>
              <w:bottom w:val="nil"/>
              <w:right w:val="nil"/>
              <w:between w:val="nil"/>
            </w:pBdr>
            <w:tabs>
              <w:tab w:val="center" w:pos="4419"/>
              <w:tab w:val="right" w:pos="8838"/>
            </w:tabs>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52" w:type="dxa"/>
          <w:vAlign w:val="center"/>
        </w:tcPr>
        <w:p w14:paraId="0777FF27" w14:textId="2665EAAB" w:rsidR="00756964" w:rsidRDefault="0099463D">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XXXXX XXXX</w:t>
          </w:r>
        </w:p>
      </w:tc>
    </w:tr>
    <w:tr w:rsidR="00756964" w14:paraId="5E94811C" w14:textId="77777777">
      <w:trPr>
        <w:trHeight w:val="152"/>
      </w:trPr>
      <w:tc>
        <w:tcPr>
          <w:tcW w:w="2551" w:type="dxa"/>
          <w:vAlign w:val="center"/>
        </w:tcPr>
        <w:p w14:paraId="12073D71" w14:textId="7785B111" w:rsidR="00756964" w:rsidRDefault="00756964">
          <w:pP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3ACCD1AC" w14:textId="4B65C746" w:rsidR="00756964" w:rsidRDefault="00756964" w:rsidP="00B3099F">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rPr>
          </w:pPr>
          <w:r w:rsidRPr="00411ECC">
            <w:rPr>
              <w:rFonts w:ascii="Palatino Linotype" w:eastAsia="Palatino Linotype" w:hAnsi="Palatino Linotype" w:cs="Palatino Linotype"/>
              <w:b/>
              <w:color w:val="000000"/>
            </w:rPr>
            <w:t>Universidad Mexiquense de Seguridad</w:t>
          </w:r>
        </w:p>
      </w:tc>
    </w:tr>
    <w:tr w:rsidR="00756964" w14:paraId="034EC52D" w14:textId="77777777">
      <w:tc>
        <w:tcPr>
          <w:tcW w:w="2551" w:type="dxa"/>
          <w:vAlign w:val="center"/>
        </w:tcPr>
        <w:p w14:paraId="0229EFE9" w14:textId="77777777" w:rsidR="00756964" w:rsidRDefault="0075696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1DE55DDE" w14:textId="77777777" w:rsidR="00756964" w:rsidRDefault="0075696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7FEF0A50" w14:textId="77777777" w:rsidR="00756964" w:rsidRDefault="00756964">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306E5"/>
    <w:multiLevelType w:val="hybridMultilevel"/>
    <w:tmpl w:val="4CCCAE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B190084"/>
    <w:multiLevelType w:val="hybridMultilevel"/>
    <w:tmpl w:val="0532BB78"/>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C73FA3"/>
    <w:multiLevelType w:val="multilevel"/>
    <w:tmpl w:val="3154D33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0F3221E4"/>
    <w:multiLevelType w:val="hybridMultilevel"/>
    <w:tmpl w:val="6CBA99FC"/>
    <w:lvl w:ilvl="0" w:tplc="16F06614">
      <w:start w:val="10"/>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425745"/>
    <w:multiLevelType w:val="hybridMultilevel"/>
    <w:tmpl w:val="8042E3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8AD4809"/>
    <w:multiLevelType w:val="multilevel"/>
    <w:tmpl w:val="9DAC3C9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D64B85"/>
    <w:multiLevelType w:val="hybridMultilevel"/>
    <w:tmpl w:val="DEE6AB1E"/>
    <w:lvl w:ilvl="0" w:tplc="0BF8649A">
      <w:start w:val="10"/>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4D2D03"/>
    <w:multiLevelType w:val="multilevel"/>
    <w:tmpl w:val="685CF4F8"/>
    <w:lvl w:ilvl="0">
      <w:start w:val="1"/>
      <w:numFmt w:val="decimal"/>
      <w:lvlText w:val="%1."/>
      <w:lvlJc w:val="left"/>
      <w:pPr>
        <w:ind w:left="2062" w:hanging="360"/>
      </w:pPr>
      <w:rPr>
        <w:b/>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BA60E1"/>
    <w:multiLevelType w:val="hybridMultilevel"/>
    <w:tmpl w:val="24A644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5ED27AB"/>
    <w:multiLevelType w:val="hybridMultilevel"/>
    <w:tmpl w:val="E6CA5A0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11084C"/>
    <w:multiLevelType w:val="multilevel"/>
    <w:tmpl w:val="0B58B32E"/>
    <w:lvl w:ilvl="0">
      <w:start w:val="5"/>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36A208E"/>
    <w:multiLevelType w:val="hybridMultilevel"/>
    <w:tmpl w:val="64823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55C4BF3"/>
    <w:multiLevelType w:val="multilevel"/>
    <w:tmpl w:val="C41E5048"/>
    <w:lvl w:ilvl="0">
      <w:start w:val="1"/>
      <w:numFmt w:val="bullet"/>
      <w:lvlText w:val="●"/>
      <w:lvlJc w:val="left"/>
      <w:pPr>
        <w:ind w:left="928"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6E6464E"/>
    <w:multiLevelType w:val="hybridMultilevel"/>
    <w:tmpl w:val="BC5469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A4A58D4"/>
    <w:multiLevelType w:val="multilevel"/>
    <w:tmpl w:val="304670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E806946"/>
    <w:multiLevelType w:val="hybridMultilevel"/>
    <w:tmpl w:val="11CC3832"/>
    <w:lvl w:ilvl="0" w:tplc="159EB0AA">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F0903EE"/>
    <w:multiLevelType w:val="hybridMultilevel"/>
    <w:tmpl w:val="EB829F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CF87BFA"/>
    <w:multiLevelType w:val="hybridMultilevel"/>
    <w:tmpl w:val="AFC494EE"/>
    <w:lvl w:ilvl="0" w:tplc="6106BDD2">
      <w:start w:val="1"/>
      <w:numFmt w:val="bullet"/>
      <w:lvlText w:val="-"/>
      <w:lvlJc w:val="left"/>
      <w:pPr>
        <w:ind w:left="927" w:hanging="360"/>
      </w:pPr>
      <w:rPr>
        <w:rFonts w:ascii="Palatino Linotype" w:eastAsia="Times New Roman" w:hAnsi="Palatino Linotype" w:cs="Times New Roman"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8" w15:restartNumberingAfterBreak="0">
    <w:nsid w:val="505221A1"/>
    <w:multiLevelType w:val="hybridMultilevel"/>
    <w:tmpl w:val="8AC8C5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47B4A05"/>
    <w:multiLevelType w:val="hybridMultilevel"/>
    <w:tmpl w:val="409868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BAC1F43"/>
    <w:multiLevelType w:val="hybridMultilevel"/>
    <w:tmpl w:val="0180DA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BFE7AE2"/>
    <w:multiLevelType w:val="multilevel"/>
    <w:tmpl w:val="EC808BF0"/>
    <w:lvl w:ilvl="0">
      <w:start w:val="7"/>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562038"/>
    <w:multiLevelType w:val="hybridMultilevel"/>
    <w:tmpl w:val="132CD87C"/>
    <w:lvl w:ilvl="0" w:tplc="14C07BAC">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15:restartNumberingAfterBreak="0">
    <w:nsid w:val="5FDC471E"/>
    <w:multiLevelType w:val="hybridMultilevel"/>
    <w:tmpl w:val="1564E04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1402307"/>
    <w:multiLevelType w:val="hybridMultilevel"/>
    <w:tmpl w:val="DD386ECE"/>
    <w:lvl w:ilvl="0" w:tplc="AA3A2760">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4C1164D"/>
    <w:multiLevelType w:val="hybridMultilevel"/>
    <w:tmpl w:val="EFEE2F2A"/>
    <w:lvl w:ilvl="0" w:tplc="A52875A0">
      <w:start w:val="10"/>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5AC34D8"/>
    <w:multiLevelType w:val="hybridMultilevel"/>
    <w:tmpl w:val="EFAAE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6127FDB"/>
    <w:multiLevelType w:val="hybridMultilevel"/>
    <w:tmpl w:val="AB0C9A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7D92A5A"/>
    <w:multiLevelType w:val="multilevel"/>
    <w:tmpl w:val="0A221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B310094"/>
    <w:multiLevelType w:val="hybridMultilevel"/>
    <w:tmpl w:val="0F547F2C"/>
    <w:lvl w:ilvl="0" w:tplc="3D9634E8">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CCB652E"/>
    <w:multiLevelType w:val="multilevel"/>
    <w:tmpl w:val="A780625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1B3368F"/>
    <w:multiLevelType w:val="hybridMultilevel"/>
    <w:tmpl w:val="6EECB17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9324A03"/>
    <w:multiLevelType w:val="hybridMultilevel"/>
    <w:tmpl w:val="D6643BC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0"/>
  </w:num>
  <w:num w:numId="4">
    <w:abstractNumId w:val="22"/>
  </w:num>
  <w:num w:numId="5">
    <w:abstractNumId w:val="30"/>
  </w:num>
  <w:num w:numId="6">
    <w:abstractNumId w:val="28"/>
  </w:num>
  <w:num w:numId="7">
    <w:abstractNumId w:val="32"/>
  </w:num>
  <w:num w:numId="8">
    <w:abstractNumId w:val="5"/>
  </w:num>
  <w:num w:numId="9">
    <w:abstractNumId w:val="16"/>
  </w:num>
  <w:num w:numId="10">
    <w:abstractNumId w:val="18"/>
  </w:num>
  <w:num w:numId="11">
    <w:abstractNumId w:val="17"/>
  </w:num>
  <w:num w:numId="12">
    <w:abstractNumId w:val="3"/>
  </w:num>
  <w:num w:numId="13">
    <w:abstractNumId w:val="25"/>
  </w:num>
  <w:num w:numId="14">
    <w:abstractNumId w:val="6"/>
  </w:num>
  <w:num w:numId="15">
    <w:abstractNumId w:val="29"/>
  </w:num>
  <w:num w:numId="16">
    <w:abstractNumId w:val="23"/>
  </w:num>
  <w:num w:numId="17">
    <w:abstractNumId w:val="27"/>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4"/>
  </w:num>
  <w:num w:numId="21">
    <w:abstractNumId w:val="8"/>
  </w:num>
  <w:num w:numId="22">
    <w:abstractNumId w:val="11"/>
  </w:num>
  <w:num w:numId="23">
    <w:abstractNumId w:val="9"/>
  </w:num>
  <w:num w:numId="24">
    <w:abstractNumId w:val="19"/>
  </w:num>
  <w:num w:numId="25">
    <w:abstractNumId w:val="13"/>
  </w:num>
  <w:num w:numId="26">
    <w:abstractNumId w:val="26"/>
  </w:num>
  <w:num w:numId="27">
    <w:abstractNumId w:val="20"/>
  </w:num>
  <w:num w:numId="28">
    <w:abstractNumId w:val="33"/>
  </w:num>
  <w:num w:numId="29">
    <w:abstractNumId w:val="21"/>
  </w:num>
  <w:num w:numId="30">
    <w:abstractNumId w:val="2"/>
  </w:num>
  <w:num w:numId="31">
    <w:abstractNumId w:val="24"/>
  </w:num>
  <w:num w:numId="32">
    <w:abstractNumId w:val="15"/>
  </w:num>
  <w:num w:numId="33">
    <w:abstractNumId w:val="1"/>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8B7"/>
    <w:rsid w:val="000042FD"/>
    <w:rsid w:val="0000537C"/>
    <w:rsid w:val="0001170D"/>
    <w:rsid w:val="00032561"/>
    <w:rsid w:val="000E231B"/>
    <w:rsid w:val="000E6FE0"/>
    <w:rsid w:val="001118E8"/>
    <w:rsid w:val="0013475F"/>
    <w:rsid w:val="00145BCF"/>
    <w:rsid w:val="00150B2A"/>
    <w:rsid w:val="001E23F0"/>
    <w:rsid w:val="001F04AF"/>
    <w:rsid w:val="00214DA6"/>
    <w:rsid w:val="00232A56"/>
    <w:rsid w:val="00253030"/>
    <w:rsid w:val="002565BF"/>
    <w:rsid w:val="00275BBB"/>
    <w:rsid w:val="002B18DD"/>
    <w:rsid w:val="002B522B"/>
    <w:rsid w:val="002C63AB"/>
    <w:rsid w:val="002E79F2"/>
    <w:rsid w:val="003350CC"/>
    <w:rsid w:val="00362B22"/>
    <w:rsid w:val="00411ECC"/>
    <w:rsid w:val="00417126"/>
    <w:rsid w:val="00427248"/>
    <w:rsid w:val="0045508F"/>
    <w:rsid w:val="004571D7"/>
    <w:rsid w:val="00461A19"/>
    <w:rsid w:val="00486551"/>
    <w:rsid w:val="00487FD8"/>
    <w:rsid w:val="00497721"/>
    <w:rsid w:val="004A2192"/>
    <w:rsid w:val="004A5746"/>
    <w:rsid w:val="00584B16"/>
    <w:rsid w:val="00585D8D"/>
    <w:rsid w:val="005864DA"/>
    <w:rsid w:val="005A1ED6"/>
    <w:rsid w:val="005A4896"/>
    <w:rsid w:val="005C7698"/>
    <w:rsid w:val="005E773A"/>
    <w:rsid w:val="00601F71"/>
    <w:rsid w:val="00615E0A"/>
    <w:rsid w:val="00652508"/>
    <w:rsid w:val="0066136E"/>
    <w:rsid w:val="00665012"/>
    <w:rsid w:val="006839E8"/>
    <w:rsid w:val="00693C41"/>
    <w:rsid w:val="00695E14"/>
    <w:rsid w:val="006A08CC"/>
    <w:rsid w:val="006A1595"/>
    <w:rsid w:val="006A21AC"/>
    <w:rsid w:val="006A50AA"/>
    <w:rsid w:val="006A7C3C"/>
    <w:rsid w:val="007112AA"/>
    <w:rsid w:val="007117C7"/>
    <w:rsid w:val="00714FBE"/>
    <w:rsid w:val="007403ED"/>
    <w:rsid w:val="00745257"/>
    <w:rsid w:val="00755B8B"/>
    <w:rsid w:val="00756964"/>
    <w:rsid w:val="007A6455"/>
    <w:rsid w:val="007E2B0F"/>
    <w:rsid w:val="007F0BAA"/>
    <w:rsid w:val="007F0BCF"/>
    <w:rsid w:val="00826A10"/>
    <w:rsid w:val="00867C3D"/>
    <w:rsid w:val="0087019C"/>
    <w:rsid w:val="008928B7"/>
    <w:rsid w:val="008D09AE"/>
    <w:rsid w:val="00916C5C"/>
    <w:rsid w:val="00932B7B"/>
    <w:rsid w:val="00941F9D"/>
    <w:rsid w:val="00963305"/>
    <w:rsid w:val="009836E8"/>
    <w:rsid w:val="0099463D"/>
    <w:rsid w:val="009A0798"/>
    <w:rsid w:val="009A1DD1"/>
    <w:rsid w:val="009C6A23"/>
    <w:rsid w:val="009D469E"/>
    <w:rsid w:val="00A16834"/>
    <w:rsid w:val="00A205C3"/>
    <w:rsid w:val="00A25680"/>
    <w:rsid w:val="00A43ADD"/>
    <w:rsid w:val="00A81370"/>
    <w:rsid w:val="00A91231"/>
    <w:rsid w:val="00AD0B92"/>
    <w:rsid w:val="00AD29AB"/>
    <w:rsid w:val="00B12286"/>
    <w:rsid w:val="00B17FAA"/>
    <w:rsid w:val="00B25FC0"/>
    <w:rsid w:val="00B3099F"/>
    <w:rsid w:val="00B35B77"/>
    <w:rsid w:val="00B77DEE"/>
    <w:rsid w:val="00B953CD"/>
    <w:rsid w:val="00BA7A60"/>
    <w:rsid w:val="00BB07A6"/>
    <w:rsid w:val="00C37A5E"/>
    <w:rsid w:val="00C80EB4"/>
    <w:rsid w:val="00C83804"/>
    <w:rsid w:val="00D14720"/>
    <w:rsid w:val="00D51BC9"/>
    <w:rsid w:val="00D805C0"/>
    <w:rsid w:val="00D87CCB"/>
    <w:rsid w:val="00DB3F39"/>
    <w:rsid w:val="00DC6B44"/>
    <w:rsid w:val="00DD7CB4"/>
    <w:rsid w:val="00E05804"/>
    <w:rsid w:val="00E74E26"/>
    <w:rsid w:val="00E80453"/>
    <w:rsid w:val="00EE6F81"/>
    <w:rsid w:val="00EF486C"/>
    <w:rsid w:val="00F03D2F"/>
    <w:rsid w:val="00F328BC"/>
    <w:rsid w:val="00F81A78"/>
    <w:rsid w:val="00FB04E3"/>
    <w:rsid w:val="00FB3548"/>
    <w:rsid w:val="00FF79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C37B00"/>
  <w15:docId w15:val="{F10C97AF-6716-4FBC-A6BB-231EA5714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49F"/>
    <w:rPr>
      <w:rFonts w:eastAsia="Times New Roman" w:cs="Times New Roman"/>
      <w:lang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hAnsi="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character" w:customStyle="1" w:styleId="Mencinsinresolver3">
    <w:name w:val="Mención sin resolver3"/>
    <w:basedOn w:val="Fuentedeprrafopredeter"/>
    <w:uiPriority w:val="99"/>
    <w:semiHidden/>
    <w:unhideWhenUsed/>
    <w:rsid w:val="0036720C"/>
    <w:rPr>
      <w:color w:val="605E5C"/>
      <w:shd w:val="clear" w:color="auto" w:fill="E1DFDD"/>
    </w:rPr>
  </w:style>
  <w:style w:type="character" w:styleId="Hipervnculovisitado">
    <w:name w:val="FollowedHyperlink"/>
    <w:basedOn w:val="Fuentedeprrafopredeter"/>
    <w:uiPriority w:val="99"/>
    <w:semiHidden/>
    <w:unhideWhenUsed/>
    <w:rsid w:val="00996EF5"/>
    <w:rPr>
      <w:color w:val="954F72" w:themeColor="followedHyperlink"/>
      <w:u w:val="single"/>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top w:w="15" w:type="dxa"/>
        <w:left w:w="115" w:type="dxa"/>
        <w:bottom w:w="15" w:type="dxa"/>
        <w:right w:w="115" w:type="dxa"/>
      </w:tblCellMar>
    </w:tblPr>
  </w:style>
  <w:style w:type="table" w:customStyle="1" w:styleId="a1">
    <w:basedOn w:val="TableNormal1"/>
    <w:tblPr>
      <w:tblStyleRowBandSize w:val="1"/>
      <w:tblStyleColBandSize w:val="1"/>
      <w:tblCellMar>
        <w:top w:w="15" w:type="dxa"/>
        <w:left w:w="115" w:type="dxa"/>
        <w:bottom w:w="15" w:type="dxa"/>
        <w:right w:w="115" w:type="dxa"/>
      </w:tblCellMar>
    </w:tblPr>
  </w:style>
  <w:style w:type="paragraph" w:styleId="Textoindependiente">
    <w:name w:val="Body Text"/>
    <w:basedOn w:val="Normal"/>
    <w:link w:val="TextoindependienteCar"/>
    <w:uiPriority w:val="1"/>
    <w:qFormat/>
    <w:rsid w:val="008E7CA6"/>
    <w:pPr>
      <w:autoSpaceDE w:val="0"/>
      <w:autoSpaceDN w:val="0"/>
      <w:adjustRightInd w:val="0"/>
      <w:spacing w:after="0" w:line="240" w:lineRule="auto"/>
      <w:ind w:left="93"/>
    </w:pPr>
    <w:rPr>
      <w:rFonts w:ascii="Times New Roman" w:eastAsiaTheme="minorHAnsi" w:hAnsi="Times New Roman"/>
      <w:sz w:val="23"/>
      <w:szCs w:val="23"/>
    </w:rPr>
  </w:style>
  <w:style w:type="character" w:customStyle="1" w:styleId="TextoindependienteCar">
    <w:name w:val="Texto independiente Car"/>
    <w:basedOn w:val="Fuentedeprrafopredeter"/>
    <w:link w:val="Textoindependiente"/>
    <w:uiPriority w:val="1"/>
    <w:rsid w:val="008E7CA6"/>
    <w:rPr>
      <w:rFonts w:ascii="Times New Roman" w:eastAsiaTheme="minorHAnsi" w:hAnsi="Times New Roman" w:cs="Times New Roman"/>
      <w:sz w:val="23"/>
      <w:szCs w:val="23"/>
      <w:lang w:eastAsia="en-US"/>
    </w:rPr>
  </w:style>
  <w:style w:type="table" w:customStyle="1" w:styleId="a2">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3">
    <w:basedOn w:val="TableNormal0"/>
    <w:pPr>
      <w:spacing w:after="0" w:line="240" w:lineRule="auto"/>
    </w:pPr>
    <w:tblPr>
      <w:tblStyleRowBandSize w:val="1"/>
      <w:tblStyleColBandSize w:val="1"/>
      <w:tblCellMar>
        <w:top w:w="15" w:type="dxa"/>
        <w:left w:w="115" w:type="dxa"/>
        <w:bottom w:w="15" w:type="dxa"/>
        <w:right w:w="115"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1170D"/>
    <w:pPr>
      <w:spacing w:after="0" w:line="240" w:lineRule="auto"/>
    </w:pPr>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1170D"/>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117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9140">
      <w:bodyDiv w:val="1"/>
      <w:marLeft w:val="0"/>
      <w:marRight w:val="0"/>
      <w:marTop w:val="0"/>
      <w:marBottom w:val="0"/>
      <w:divBdr>
        <w:top w:val="none" w:sz="0" w:space="0" w:color="auto"/>
        <w:left w:val="none" w:sz="0" w:space="0" w:color="auto"/>
        <w:bottom w:val="none" w:sz="0" w:space="0" w:color="auto"/>
        <w:right w:val="none" w:sz="0" w:space="0" w:color="auto"/>
      </w:divBdr>
    </w:div>
    <w:div w:id="132718307">
      <w:bodyDiv w:val="1"/>
      <w:marLeft w:val="0"/>
      <w:marRight w:val="0"/>
      <w:marTop w:val="0"/>
      <w:marBottom w:val="0"/>
      <w:divBdr>
        <w:top w:val="none" w:sz="0" w:space="0" w:color="auto"/>
        <w:left w:val="none" w:sz="0" w:space="0" w:color="auto"/>
        <w:bottom w:val="none" w:sz="0" w:space="0" w:color="auto"/>
        <w:right w:val="none" w:sz="0" w:space="0" w:color="auto"/>
      </w:divBdr>
    </w:div>
    <w:div w:id="205873051">
      <w:bodyDiv w:val="1"/>
      <w:marLeft w:val="0"/>
      <w:marRight w:val="0"/>
      <w:marTop w:val="0"/>
      <w:marBottom w:val="0"/>
      <w:divBdr>
        <w:top w:val="none" w:sz="0" w:space="0" w:color="auto"/>
        <w:left w:val="none" w:sz="0" w:space="0" w:color="auto"/>
        <w:bottom w:val="none" w:sz="0" w:space="0" w:color="auto"/>
        <w:right w:val="none" w:sz="0" w:space="0" w:color="auto"/>
      </w:divBdr>
    </w:div>
    <w:div w:id="210003837">
      <w:bodyDiv w:val="1"/>
      <w:marLeft w:val="0"/>
      <w:marRight w:val="0"/>
      <w:marTop w:val="0"/>
      <w:marBottom w:val="0"/>
      <w:divBdr>
        <w:top w:val="none" w:sz="0" w:space="0" w:color="auto"/>
        <w:left w:val="none" w:sz="0" w:space="0" w:color="auto"/>
        <w:bottom w:val="none" w:sz="0" w:space="0" w:color="auto"/>
        <w:right w:val="none" w:sz="0" w:space="0" w:color="auto"/>
      </w:divBdr>
    </w:div>
    <w:div w:id="243074926">
      <w:bodyDiv w:val="1"/>
      <w:marLeft w:val="0"/>
      <w:marRight w:val="0"/>
      <w:marTop w:val="0"/>
      <w:marBottom w:val="0"/>
      <w:divBdr>
        <w:top w:val="none" w:sz="0" w:space="0" w:color="auto"/>
        <w:left w:val="none" w:sz="0" w:space="0" w:color="auto"/>
        <w:bottom w:val="none" w:sz="0" w:space="0" w:color="auto"/>
        <w:right w:val="none" w:sz="0" w:space="0" w:color="auto"/>
      </w:divBdr>
    </w:div>
    <w:div w:id="338311587">
      <w:bodyDiv w:val="1"/>
      <w:marLeft w:val="0"/>
      <w:marRight w:val="0"/>
      <w:marTop w:val="0"/>
      <w:marBottom w:val="0"/>
      <w:divBdr>
        <w:top w:val="none" w:sz="0" w:space="0" w:color="auto"/>
        <w:left w:val="none" w:sz="0" w:space="0" w:color="auto"/>
        <w:bottom w:val="none" w:sz="0" w:space="0" w:color="auto"/>
        <w:right w:val="none" w:sz="0" w:space="0" w:color="auto"/>
      </w:divBdr>
    </w:div>
    <w:div w:id="351805243">
      <w:bodyDiv w:val="1"/>
      <w:marLeft w:val="0"/>
      <w:marRight w:val="0"/>
      <w:marTop w:val="0"/>
      <w:marBottom w:val="0"/>
      <w:divBdr>
        <w:top w:val="none" w:sz="0" w:space="0" w:color="auto"/>
        <w:left w:val="none" w:sz="0" w:space="0" w:color="auto"/>
        <w:bottom w:val="none" w:sz="0" w:space="0" w:color="auto"/>
        <w:right w:val="none" w:sz="0" w:space="0" w:color="auto"/>
      </w:divBdr>
    </w:div>
    <w:div w:id="397552318">
      <w:bodyDiv w:val="1"/>
      <w:marLeft w:val="0"/>
      <w:marRight w:val="0"/>
      <w:marTop w:val="0"/>
      <w:marBottom w:val="0"/>
      <w:divBdr>
        <w:top w:val="none" w:sz="0" w:space="0" w:color="auto"/>
        <w:left w:val="none" w:sz="0" w:space="0" w:color="auto"/>
        <w:bottom w:val="none" w:sz="0" w:space="0" w:color="auto"/>
        <w:right w:val="none" w:sz="0" w:space="0" w:color="auto"/>
      </w:divBdr>
    </w:div>
    <w:div w:id="552233102">
      <w:bodyDiv w:val="1"/>
      <w:marLeft w:val="0"/>
      <w:marRight w:val="0"/>
      <w:marTop w:val="0"/>
      <w:marBottom w:val="0"/>
      <w:divBdr>
        <w:top w:val="none" w:sz="0" w:space="0" w:color="auto"/>
        <w:left w:val="none" w:sz="0" w:space="0" w:color="auto"/>
        <w:bottom w:val="none" w:sz="0" w:space="0" w:color="auto"/>
        <w:right w:val="none" w:sz="0" w:space="0" w:color="auto"/>
      </w:divBdr>
    </w:div>
    <w:div w:id="561060350">
      <w:bodyDiv w:val="1"/>
      <w:marLeft w:val="0"/>
      <w:marRight w:val="0"/>
      <w:marTop w:val="0"/>
      <w:marBottom w:val="0"/>
      <w:divBdr>
        <w:top w:val="none" w:sz="0" w:space="0" w:color="auto"/>
        <w:left w:val="none" w:sz="0" w:space="0" w:color="auto"/>
        <w:bottom w:val="none" w:sz="0" w:space="0" w:color="auto"/>
        <w:right w:val="none" w:sz="0" w:space="0" w:color="auto"/>
      </w:divBdr>
      <w:divsChild>
        <w:div w:id="276300778">
          <w:marLeft w:val="0"/>
          <w:marRight w:val="0"/>
          <w:marTop w:val="0"/>
          <w:marBottom w:val="0"/>
          <w:divBdr>
            <w:top w:val="none" w:sz="0" w:space="0" w:color="auto"/>
            <w:left w:val="none" w:sz="0" w:space="0" w:color="auto"/>
            <w:bottom w:val="none" w:sz="0" w:space="0" w:color="auto"/>
            <w:right w:val="none" w:sz="0" w:space="0" w:color="auto"/>
          </w:divBdr>
        </w:div>
      </w:divsChild>
    </w:div>
    <w:div w:id="583414991">
      <w:bodyDiv w:val="1"/>
      <w:marLeft w:val="0"/>
      <w:marRight w:val="0"/>
      <w:marTop w:val="0"/>
      <w:marBottom w:val="0"/>
      <w:divBdr>
        <w:top w:val="none" w:sz="0" w:space="0" w:color="auto"/>
        <w:left w:val="none" w:sz="0" w:space="0" w:color="auto"/>
        <w:bottom w:val="none" w:sz="0" w:space="0" w:color="auto"/>
        <w:right w:val="none" w:sz="0" w:space="0" w:color="auto"/>
      </w:divBdr>
    </w:div>
    <w:div w:id="613753110">
      <w:bodyDiv w:val="1"/>
      <w:marLeft w:val="0"/>
      <w:marRight w:val="0"/>
      <w:marTop w:val="0"/>
      <w:marBottom w:val="0"/>
      <w:divBdr>
        <w:top w:val="none" w:sz="0" w:space="0" w:color="auto"/>
        <w:left w:val="none" w:sz="0" w:space="0" w:color="auto"/>
        <w:bottom w:val="none" w:sz="0" w:space="0" w:color="auto"/>
        <w:right w:val="none" w:sz="0" w:space="0" w:color="auto"/>
      </w:divBdr>
    </w:div>
    <w:div w:id="658118795">
      <w:bodyDiv w:val="1"/>
      <w:marLeft w:val="0"/>
      <w:marRight w:val="0"/>
      <w:marTop w:val="0"/>
      <w:marBottom w:val="0"/>
      <w:divBdr>
        <w:top w:val="none" w:sz="0" w:space="0" w:color="auto"/>
        <w:left w:val="none" w:sz="0" w:space="0" w:color="auto"/>
        <w:bottom w:val="none" w:sz="0" w:space="0" w:color="auto"/>
        <w:right w:val="none" w:sz="0" w:space="0" w:color="auto"/>
      </w:divBdr>
    </w:div>
    <w:div w:id="695813726">
      <w:bodyDiv w:val="1"/>
      <w:marLeft w:val="0"/>
      <w:marRight w:val="0"/>
      <w:marTop w:val="0"/>
      <w:marBottom w:val="0"/>
      <w:divBdr>
        <w:top w:val="none" w:sz="0" w:space="0" w:color="auto"/>
        <w:left w:val="none" w:sz="0" w:space="0" w:color="auto"/>
        <w:bottom w:val="none" w:sz="0" w:space="0" w:color="auto"/>
        <w:right w:val="none" w:sz="0" w:space="0" w:color="auto"/>
      </w:divBdr>
    </w:div>
    <w:div w:id="698161385">
      <w:bodyDiv w:val="1"/>
      <w:marLeft w:val="0"/>
      <w:marRight w:val="0"/>
      <w:marTop w:val="0"/>
      <w:marBottom w:val="0"/>
      <w:divBdr>
        <w:top w:val="none" w:sz="0" w:space="0" w:color="auto"/>
        <w:left w:val="none" w:sz="0" w:space="0" w:color="auto"/>
        <w:bottom w:val="none" w:sz="0" w:space="0" w:color="auto"/>
        <w:right w:val="none" w:sz="0" w:space="0" w:color="auto"/>
      </w:divBdr>
    </w:div>
    <w:div w:id="761024194">
      <w:bodyDiv w:val="1"/>
      <w:marLeft w:val="0"/>
      <w:marRight w:val="0"/>
      <w:marTop w:val="0"/>
      <w:marBottom w:val="0"/>
      <w:divBdr>
        <w:top w:val="none" w:sz="0" w:space="0" w:color="auto"/>
        <w:left w:val="none" w:sz="0" w:space="0" w:color="auto"/>
        <w:bottom w:val="none" w:sz="0" w:space="0" w:color="auto"/>
        <w:right w:val="none" w:sz="0" w:space="0" w:color="auto"/>
      </w:divBdr>
    </w:div>
    <w:div w:id="780299570">
      <w:bodyDiv w:val="1"/>
      <w:marLeft w:val="0"/>
      <w:marRight w:val="0"/>
      <w:marTop w:val="0"/>
      <w:marBottom w:val="0"/>
      <w:divBdr>
        <w:top w:val="none" w:sz="0" w:space="0" w:color="auto"/>
        <w:left w:val="none" w:sz="0" w:space="0" w:color="auto"/>
        <w:bottom w:val="none" w:sz="0" w:space="0" w:color="auto"/>
        <w:right w:val="none" w:sz="0" w:space="0" w:color="auto"/>
      </w:divBdr>
    </w:div>
    <w:div w:id="789319431">
      <w:bodyDiv w:val="1"/>
      <w:marLeft w:val="0"/>
      <w:marRight w:val="0"/>
      <w:marTop w:val="0"/>
      <w:marBottom w:val="0"/>
      <w:divBdr>
        <w:top w:val="none" w:sz="0" w:space="0" w:color="auto"/>
        <w:left w:val="none" w:sz="0" w:space="0" w:color="auto"/>
        <w:bottom w:val="none" w:sz="0" w:space="0" w:color="auto"/>
        <w:right w:val="none" w:sz="0" w:space="0" w:color="auto"/>
      </w:divBdr>
    </w:div>
    <w:div w:id="890069560">
      <w:bodyDiv w:val="1"/>
      <w:marLeft w:val="0"/>
      <w:marRight w:val="0"/>
      <w:marTop w:val="0"/>
      <w:marBottom w:val="0"/>
      <w:divBdr>
        <w:top w:val="none" w:sz="0" w:space="0" w:color="auto"/>
        <w:left w:val="none" w:sz="0" w:space="0" w:color="auto"/>
        <w:bottom w:val="none" w:sz="0" w:space="0" w:color="auto"/>
        <w:right w:val="none" w:sz="0" w:space="0" w:color="auto"/>
      </w:divBdr>
    </w:div>
    <w:div w:id="953248725">
      <w:bodyDiv w:val="1"/>
      <w:marLeft w:val="0"/>
      <w:marRight w:val="0"/>
      <w:marTop w:val="0"/>
      <w:marBottom w:val="0"/>
      <w:divBdr>
        <w:top w:val="none" w:sz="0" w:space="0" w:color="auto"/>
        <w:left w:val="none" w:sz="0" w:space="0" w:color="auto"/>
        <w:bottom w:val="none" w:sz="0" w:space="0" w:color="auto"/>
        <w:right w:val="none" w:sz="0" w:space="0" w:color="auto"/>
      </w:divBdr>
    </w:div>
    <w:div w:id="969359134">
      <w:bodyDiv w:val="1"/>
      <w:marLeft w:val="0"/>
      <w:marRight w:val="0"/>
      <w:marTop w:val="0"/>
      <w:marBottom w:val="0"/>
      <w:divBdr>
        <w:top w:val="none" w:sz="0" w:space="0" w:color="auto"/>
        <w:left w:val="none" w:sz="0" w:space="0" w:color="auto"/>
        <w:bottom w:val="none" w:sz="0" w:space="0" w:color="auto"/>
        <w:right w:val="none" w:sz="0" w:space="0" w:color="auto"/>
      </w:divBdr>
    </w:div>
    <w:div w:id="1120103915">
      <w:bodyDiv w:val="1"/>
      <w:marLeft w:val="0"/>
      <w:marRight w:val="0"/>
      <w:marTop w:val="0"/>
      <w:marBottom w:val="0"/>
      <w:divBdr>
        <w:top w:val="none" w:sz="0" w:space="0" w:color="auto"/>
        <w:left w:val="none" w:sz="0" w:space="0" w:color="auto"/>
        <w:bottom w:val="none" w:sz="0" w:space="0" w:color="auto"/>
        <w:right w:val="none" w:sz="0" w:space="0" w:color="auto"/>
      </w:divBdr>
    </w:div>
    <w:div w:id="1228298663">
      <w:bodyDiv w:val="1"/>
      <w:marLeft w:val="0"/>
      <w:marRight w:val="0"/>
      <w:marTop w:val="0"/>
      <w:marBottom w:val="0"/>
      <w:divBdr>
        <w:top w:val="none" w:sz="0" w:space="0" w:color="auto"/>
        <w:left w:val="none" w:sz="0" w:space="0" w:color="auto"/>
        <w:bottom w:val="none" w:sz="0" w:space="0" w:color="auto"/>
        <w:right w:val="none" w:sz="0" w:space="0" w:color="auto"/>
      </w:divBdr>
    </w:div>
    <w:div w:id="1237744553">
      <w:bodyDiv w:val="1"/>
      <w:marLeft w:val="0"/>
      <w:marRight w:val="0"/>
      <w:marTop w:val="0"/>
      <w:marBottom w:val="0"/>
      <w:divBdr>
        <w:top w:val="none" w:sz="0" w:space="0" w:color="auto"/>
        <w:left w:val="none" w:sz="0" w:space="0" w:color="auto"/>
        <w:bottom w:val="none" w:sz="0" w:space="0" w:color="auto"/>
        <w:right w:val="none" w:sz="0" w:space="0" w:color="auto"/>
      </w:divBdr>
    </w:div>
    <w:div w:id="1571694014">
      <w:bodyDiv w:val="1"/>
      <w:marLeft w:val="0"/>
      <w:marRight w:val="0"/>
      <w:marTop w:val="0"/>
      <w:marBottom w:val="0"/>
      <w:divBdr>
        <w:top w:val="none" w:sz="0" w:space="0" w:color="auto"/>
        <w:left w:val="none" w:sz="0" w:space="0" w:color="auto"/>
        <w:bottom w:val="none" w:sz="0" w:space="0" w:color="auto"/>
        <w:right w:val="none" w:sz="0" w:space="0" w:color="auto"/>
      </w:divBdr>
    </w:div>
    <w:div w:id="1654681734">
      <w:bodyDiv w:val="1"/>
      <w:marLeft w:val="0"/>
      <w:marRight w:val="0"/>
      <w:marTop w:val="0"/>
      <w:marBottom w:val="0"/>
      <w:divBdr>
        <w:top w:val="none" w:sz="0" w:space="0" w:color="auto"/>
        <w:left w:val="none" w:sz="0" w:space="0" w:color="auto"/>
        <w:bottom w:val="none" w:sz="0" w:space="0" w:color="auto"/>
        <w:right w:val="none" w:sz="0" w:space="0" w:color="auto"/>
      </w:divBdr>
    </w:div>
    <w:div w:id="1658807291">
      <w:bodyDiv w:val="1"/>
      <w:marLeft w:val="0"/>
      <w:marRight w:val="0"/>
      <w:marTop w:val="0"/>
      <w:marBottom w:val="0"/>
      <w:divBdr>
        <w:top w:val="none" w:sz="0" w:space="0" w:color="auto"/>
        <w:left w:val="none" w:sz="0" w:space="0" w:color="auto"/>
        <w:bottom w:val="none" w:sz="0" w:space="0" w:color="auto"/>
        <w:right w:val="none" w:sz="0" w:space="0" w:color="auto"/>
      </w:divBdr>
    </w:div>
    <w:div w:id="1675918726">
      <w:bodyDiv w:val="1"/>
      <w:marLeft w:val="0"/>
      <w:marRight w:val="0"/>
      <w:marTop w:val="0"/>
      <w:marBottom w:val="0"/>
      <w:divBdr>
        <w:top w:val="none" w:sz="0" w:space="0" w:color="auto"/>
        <w:left w:val="none" w:sz="0" w:space="0" w:color="auto"/>
        <w:bottom w:val="none" w:sz="0" w:space="0" w:color="auto"/>
        <w:right w:val="none" w:sz="0" w:space="0" w:color="auto"/>
      </w:divBdr>
    </w:div>
    <w:div w:id="1770734839">
      <w:bodyDiv w:val="1"/>
      <w:marLeft w:val="0"/>
      <w:marRight w:val="0"/>
      <w:marTop w:val="0"/>
      <w:marBottom w:val="0"/>
      <w:divBdr>
        <w:top w:val="none" w:sz="0" w:space="0" w:color="auto"/>
        <w:left w:val="none" w:sz="0" w:space="0" w:color="auto"/>
        <w:bottom w:val="none" w:sz="0" w:space="0" w:color="auto"/>
        <w:right w:val="none" w:sz="0" w:space="0" w:color="auto"/>
      </w:divBdr>
    </w:div>
    <w:div w:id="1777556599">
      <w:bodyDiv w:val="1"/>
      <w:marLeft w:val="0"/>
      <w:marRight w:val="0"/>
      <w:marTop w:val="0"/>
      <w:marBottom w:val="0"/>
      <w:divBdr>
        <w:top w:val="none" w:sz="0" w:space="0" w:color="auto"/>
        <w:left w:val="none" w:sz="0" w:space="0" w:color="auto"/>
        <w:bottom w:val="none" w:sz="0" w:space="0" w:color="auto"/>
        <w:right w:val="none" w:sz="0" w:space="0" w:color="auto"/>
      </w:divBdr>
    </w:div>
    <w:div w:id="1783452463">
      <w:bodyDiv w:val="1"/>
      <w:marLeft w:val="0"/>
      <w:marRight w:val="0"/>
      <w:marTop w:val="0"/>
      <w:marBottom w:val="0"/>
      <w:divBdr>
        <w:top w:val="none" w:sz="0" w:space="0" w:color="auto"/>
        <w:left w:val="none" w:sz="0" w:space="0" w:color="auto"/>
        <w:bottom w:val="none" w:sz="0" w:space="0" w:color="auto"/>
        <w:right w:val="none" w:sz="0" w:space="0" w:color="auto"/>
      </w:divBdr>
    </w:div>
    <w:div w:id="1866938611">
      <w:bodyDiv w:val="1"/>
      <w:marLeft w:val="0"/>
      <w:marRight w:val="0"/>
      <w:marTop w:val="0"/>
      <w:marBottom w:val="0"/>
      <w:divBdr>
        <w:top w:val="none" w:sz="0" w:space="0" w:color="auto"/>
        <w:left w:val="none" w:sz="0" w:space="0" w:color="auto"/>
        <w:bottom w:val="none" w:sz="0" w:space="0" w:color="auto"/>
        <w:right w:val="none" w:sz="0" w:space="0" w:color="auto"/>
      </w:divBdr>
    </w:div>
    <w:div w:id="1993678645">
      <w:bodyDiv w:val="1"/>
      <w:marLeft w:val="0"/>
      <w:marRight w:val="0"/>
      <w:marTop w:val="0"/>
      <w:marBottom w:val="0"/>
      <w:divBdr>
        <w:top w:val="none" w:sz="0" w:space="0" w:color="auto"/>
        <w:left w:val="none" w:sz="0" w:space="0" w:color="auto"/>
        <w:bottom w:val="none" w:sz="0" w:space="0" w:color="auto"/>
        <w:right w:val="none" w:sz="0" w:space="0" w:color="auto"/>
      </w:divBdr>
    </w:div>
    <w:div w:id="2012294106">
      <w:bodyDiv w:val="1"/>
      <w:marLeft w:val="0"/>
      <w:marRight w:val="0"/>
      <w:marTop w:val="0"/>
      <w:marBottom w:val="0"/>
      <w:divBdr>
        <w:top w:val="none" w:sz="0" w:space="0" w:color="auto"/>
        <w:left w:val="none" w:sz="0" w:space="0" w:color="auto"/>
        <w:bottom w:val="none" w:sz="0" w:space="0" w:color="auto"/>
        <w:right w:val="none" w:sz="0" w:space="0" w:color="auto"/>
      </w:divBdr>
    </w:div>
    <w:div w:id="2041976720">
      <w:bodyDiv w:val="1"/>
      <w:marLeft w:val="0"/>
      <w:marRight w:val="0"/>
      <w:marTop w:val="0"/>
      <w:marBottom w:val="0"/>
      <w:divBdr>
        <w:top w:val="none" w:sz="0" w:space="0" w:color="auto"/>
        <w:left w:val="none" w:sz="0" w:space="0" w:color="auto"/>
        <w:bottom w:val="none" w:sz="0" w:space="0" w:color="auto"/>
        <w:right w:val="none" w:sz="0" w:space="0" w:color="auto"/>
      </w:divBdr>
    </w:div>
    <w:div w:id="2043166333">
      <w:bodyDiv w:val="1"/>
      <w:marLeft w:val="0"/>
      <w:marRight w:val="0"/>
      <w:marTop w:val="0"/>
      <w:marBottom w:val="0"/>
      <w:divBdr>
        <w:top w:val="none" w:sz="0" w:space="0" w:color="auto"/>
        <w:left w:val="none" w:sz="0" w:space="0" w:color="auto"/>
        <w:bottom w:val="none" w:sz="0" w:space="0" w:color="auto"/>
        <w:right w:val="none" w:sz="0" w:space="0" w:color="auto"/>
      </w:divBdr>
    </w:div>
    <w:div w:id="2087920237">
      <w:bodyDiv w:val="1"/>
      <w:marLeft w:val="0"/>
      <w:marRight w:val="0"/>
      <w:marTop w:val="0"/>
      <w:marBottom w:val="0"/>
      <w:divBdr>
        <w:top w:val="none" w:sz="0" w:space="0" w:color="auto"/>
        <w:left w:val="none" w:sz="0" w:space="0" w:color="auto"/>
        <w:bottom w:val="none" w:sz="0" w:space="0" w:color="auto"/>
        <w:right w:val="none" w:sz="0" w:space="0" w:color="auto"/>
      </w:divBdr>
    </w:div>
    <w:div w:id="2142573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m0rH09WQgjdsbwD1SYSnDKviiQ==">CgMxLjAyCWguM3pueXNoNzIJaC4zMGowemxsMgloLjJldDkycDA4AHIhMUZnTU5aY1ZYTG9zRjJVMU9iT2VFWWNxNEVwUFZYLWwx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8802</Words>
  <Characters>48415</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2026-02-09T16:45:00Z</cp:lastPrinted>
  <dcterms:created xsi:type="dcterms:W3CDTF">2026-03-24T18:29:00Z</dcterms:created>
  <dcterms:modified xsi:type="dcterms:W3CDTF">2026-03-24T18:29:00Z</dcterms:modified>
</cp:coreProperties>
</file>