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D86" w:rsidRPr="00101E4D" w:rsidRDefault="001E3125">
      <w:pPr>
        <w:spacing w:line="360" w:lineRule="auto"/>
        <w:jc w:val="both"/>
        <w:rPr>
          <w:rFonts w:ascii="Palatino Linotype" w:eastAsia="Palatino Linotype" w:hAnsi="Palatino Linotype" w:cs="Palatino Linotype"/>
          <w:b/>
        </w:rPr>
      </w:pPr>
      <w:bookmarkStart w:id="0" w:name="_GoBack"/>
      <w:bookmarkEnd w:id="0"/>
      <w:r w:rsidRPr="00101E4D">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101E4D">
        <w:rPr>
          <w:rFonts w:ascii="Palatino Linotype" w:eastAsia="Palatino Linotype" w:hAnsi="Palatino Linotype" w:cs="Palatino Linotype"/>
          <w:b/>
        </w:rPr>
        <w:t xml:space="preserve">de fecha </w:t>
      </w:r>
      <w:r w:rsidR="00D12E95" w:rsidRPr="00101E4D">
        <w:rPr>
          <w:rFonts w:ascii="Palatino Linotype" w:eastAsia="Palatino Linotype" w:hAnsi="Palatino Linotype" w:cs="Palatino Linotype"/>
          <w:b/>
        </w:rPr>
        <w:t>dieciocho</w:t>
      </w:r>
      <w:r w:rsidR="00101E4D" w:rsidRPr="00101E4D">
        <w:rPr>
          <w:rFonts w:ascii="Palatino Linotype" w:eastAsia="Palatino Linotype" w:hAnsi="Palatino Linotype" w:cs="Palatino Linotype"/>
          <w:b/>
        </w:rPr>
        <w:t xml:space="preserve"> (18)</w:t>
      </w:r>
      <w:r w:rsidR="00745CE2" w:rsidRPr="00101E4D">
        <w:rPr>
          <w:rFonts w:ascii="Palatino Linotype" w:eastAsia="Palatino Linotype" w:hAnsi="Palatino Linotype" w:cs="Palatino Linotype"/>
          <w:b/>
        </w:rPr>
        <w:t xml:space="preserve"> de </w:t>
      </w:r>
      <w:r w:rsidR="00D12E95" w:rsidRPr="00101E4D">
        <w:rPr>
          <w:rFonts w:ascii="Palatino Linotype" w:eastAsia="Palatino Linotype" w:hAnsi="Palatino Linotype" w:cs="Palatino Linotype"/>
          <w:b/>
        </w:rPr>
        <w:t>febrero de dos mil veintiséis</w:t>
      </w:r>
      <w:r w:rsidRPr="00101E4D">
        <w:rPr>
          <w:rFonts w:ascii="Palatino Linotype" w:eastAsia="Palatino Linotype" w:hAnsi="Palatino Linotype" w:cs="Palatino Linotype"/>
          <w:b/>
        </w:rPr>
        <w:t>.</w:t>
      </w:r>
    </w:p>
    <w:p w:rsidR="00E94D86" w:rsidRPr="00101E4D" w:rsidRDefault="00E94D86" w:rsidP="00C82ED1">
      <w:pPr>
        <w:jc w:val="both"/>
        <w:rPr>
          <w:rFonts w:ascii="Palatino Linotype" w:eastAsia="Palatino Linotype" w:hAnsi="Palatino Linotype" w:cs="Palatino Linotype"/>
        </w:rPr>
      </w:pPr>
    </w:p>
    <w:p w:rsidR="00E94D86" w:rsidRPr="00101E4D" w:rsidRDefault="001E3125">
      <w:pPr>
        <w:spacing w:line="360" w:lineRule="auto"/>
        <w:jc w:val="both"/>
        <w:rPr>
          <w:rFonts w:ascii="Palatino Linotype" w:eastAsia="Palatino Linotype" w:hAnsi="Palatino Linotype" w:cs="Palatino Linotype"/>
        </w:rPr>
      </w:pPr>
      <w:r w:rsidRPr="00101E4D">
        <w:rPr>
          <w:rFonts w:ascii="Palatino Linotype" w:eastAsia="Palatino Linotype" w:hAnsi="Palatino Linotype" w:cs="Palatino Linotype"/>
          <w:b/>
        </w:rPr>
        <w:t>VISTO</w:t>
      </w:r>
      <w:r w:rsidRPr="00101E4D">
        <w:rPr>
          <w:rFonts w:ascii="Palatino Linotype" w:eastAsia="Palatino Linotype" w:hAnsi="Palatino Linotype" w:cs="Palatino Linotype"/>
        </w:rPr>
        <w:t xml:space="preserve"> el expediente electrónico formado con motivo del recurso de revisión </w:t>
      </w:r>
      <w:r w:rsidR="00FA7747" w:rsidRPr="00101E4D">
        <w:rPr>
          <w:rFonts w:ascii="Palatino Linotype" w:eastAsia="Palatino Linotype" w:hAnsi="Palatino Linotype" w:cs="Palatino Linotype"/>
          <w:b/>
        </w:rPr>
        <w:t>12618</w:t>
      </w:r>
      <w:r w:rsidR="00126098" w:rsidRPr="00101E4D">
        <w:rPr>
          <w:rFonts w:ascii="Palatino Linotype" w:eastAsia="Palatino Linotype" w:hAnsi="Palatino Linotype" w:cs="Palatino Linotype"/>
          <w:b/>
        </w:rPr>
        <w:t>/INFOEM/IP/RR/2025</w:t>
      </w:r>
      <w:r w:rsidRPr="00101E4D">
        <w:rPr>
          <w:rFonts w:ascii="Palatino Linotype" w:eastAsia="Palatino Linotype" w:hAnsi="Palatino Linotype" w:cs="Palatino Linotype"/>
          <w:b/>
        </w:rPr>
        <w:t xml:space="preserve">, </w:t>
      </w:r>
      <w:r w:rsidRPr="00101E4D">
        <w:rPr>
          <w:rFonts w:ascii="Palatino Linotype" w:eastAsia="Palatino Linotype" w:hAnsi="Palatino Linotype" w:cs="Palatino Linotype"/>
        </w:rPr>
        <w:t>promovido por</w:t>
      </w:r>
      <w:r w:rsidR="004401C8" w:rsidRPr="00101E4D">
        <w:rPr>
          <w:rFonts w:ascii="Palatino Linotype" w:eastAsia="Palatino Linotype" w:hAnsi="Palatino Linotype" w:cs="Palatino Linotype"/>
        </w:rPr>
        <w:t xml:space="preserve"> </w:t>
      </w:r>
      <w:r w:rsidR="002633DD">
        <w:rPr>
          <w:rFonts w:ascii="Palatino Linotype" w:eastAsia="Palatino Linotype" w:hAnsi="Palatino Linotype" w:cs="Palatino Linotype"/>
          <w:b/>
        </w:rPr>
        <w:t>XXXX</w:t>
      </w:r>
      <w:r w:rsidRPr="00101E4D">
        <w:rPr>
          <w:rFonts w:ascii="Palatino Linotype" w:eastAsia="Palatino Linotype" w:hAnsi="Palatino Linotype" w:cs="Palatino Linotype"/>
          <w:b/>
        </w:rPr>
        <w:t>,</w:t>
      </w:r>
      <w:r w:rsidRPr="00101E4D">
        <w:rPr>
          <w:rFonts w:ascii="Palatino Linotype" w:eastAsia="Palatino Linotype" w:hAnsi="Palatino Linotype" w:cs="Palatino Linotype"/>
        </w:rPr>
        <w:t xml:space="preserve"> en contra de la respuesta de</w:t>
      </w:r>
      <w:r w:rsidR="003413B5" w:rsidRPr="00101E4D">
        <w:rPr>
          <w:rFonts w:ascii="Palatino Linotype" w:eastAsia="Palatino Linotype" w:hAnsi="Palatino Linotype" w:cs="Palatino Linotype"/>
        </w:rPr>
        <w:t>l</w:t>
      </w:r>
      <w:r w:rsidR="00745CE2" w:rsidRPr="00101E4D">
        <w:rPr>
          <w:rFonts w:ascii="Palatino Linotype" w:eastAsia="Palatino Linotype" w:hAnsi="Palatino Linotype" w:cs="Palatino Linotype"/>
          <w:b/>
        </w:rPr>
        <w:t xml:space="preserve"> </w:t>
      </w:r>
      <w:r w:rsidR="00FA7747" w:rsidRPr="00101E4D">
        <w:rPr>
          <w:rFonts w:ascii="Palatino Linotype" w:eastAsia="Palatino Linotype" w:hAnsi="Palatino Linotype" w:cs="Palatino Linotype"/>
          <w:b/>
        </w:rPr>
        <w:t>Ayuntamiento de Calimaya</w:t>
      </w:r>
      <w:r w:rsidRPr="00101E4D">
        <w:rPr>
          <w:rFonts w:ascii="Palatino Linotype" w:eastAsia="Palatino Linotype" w:hAnsi="Palatino Linotype" w:cs="Palatino Linotype"/>
          <w:b/>
        </w:rPr>
        <w:t xml:space="preserve">, </w:t>
      </w:r>
      <w:r w:rsidRPr="00101E4D">
        <w:rPr>
          <w:rFonts w:ascii="Palatino Linotype" w:eastAsia="Palatino Linotype" w:hAnsi="Palatino Linotype" w:cs="Palatino Linotype"/>
        </w:rPr>
        <w:t>en adelante el</w:t>
      </w:r>
      <w:r w:rsidRPr="00101E4D">
        <w:rPr>
          <w:rFonts w:ascii="Palatino Linotype" w:eastAsia="Palatino Linotype" w:hAnsi="Palatino Linotype" w:cs="Palatino Linotype"/>
          <w:b/>
        </w:rPr>
        <w:t xml:space="preserve"> SUJETO OBLIGADO</w:t>
      </w:r>
      <w:r w:rsidRPr="00101E4D">
        <w:rPr>
          <w:rFonts w:ascii="Palatino Linotype" w:eastAsia="Palatino Linotype" w:hAnsi="Palatino Linotype" w:cs="Palatino Linotype"/>
        </w:rPr>
        <w:t>, por lo que se procede a dictar la presente resolución, con base en los siguientes:</w:t>
      </w:r>
    </w:p>
    <w:p w:rsidR="00E94D86" w:rsidRPr="00101E4D" w:rsidRDefault="00E94D86" w:rsidP="00C82ED1">
      <w:pPr>
        <w:jc w:val="both"/>
        <w:rPr>
          <w:rFonts w:ascii="Palatino Linotype" w:eastAsia="Palatino Linotype" w:hAnsi="Palatino Linotype" w:cs="Palatino Linotype"/>
        </w:rPr>
      </w:pPr>
    </w:p>
    <w:p w:rsidR="00E94D86" w:rsidRPr="00101E4D" w:rsidRDefault="001E3125">
      <w:pPr>
        <w:keepNext/>
        <w:keepLines/>
        <w:spacing w:line="360" w:lineRule="auto"/>
        <w:jc w:val="center"/>
        <w:rPr>
          <w:rFonts w:ascii="Palatino Linotype" w:eastAsia="Palatino Linotype" w:hAnsi="Palatino Linotype" w:cs="Palatino Linotype"/>
          <w:b/>
        </w:rPr>
      </w:pPr>
      <w:r w:rsidRPr="00101E4D">
        <w:rPr>
          <w:rFonts w:ascii="Palatino Linotype" w:eastAsia="Palatino Linotype" w:hAnsi="Palatino Linotype" w:cs="Palatino Linotype"/>
          <w:b/>
        </w:rPr>
        <w:t>A N T E C E D E N T E S</w:t>
      </w:r>
    </w:p>
    <w:p w:rsidR="00E94D86" w:rsidRPr="00101E4D" w:rsidRDefault="00E94D86" w:rsidP="00C82ED1">
      <w:pPr>
        <w:rPr>
          <w:rFonts w:ascii="Palatino Linotype" w:eastAsia="Palatino Linotype" w:hAnsi="Palatino Linotype" w:cs="Palatino Linotype"/>
        </w:rPr>
      </w:pPr>
    </w:p>
    <w:p w:rsidR="00E94D86" w:rsidRPr="00101E4D" w:rsidRDefault="001E3125">
      <w:pPr>
        <w:numPr>
          <w:ilvl w:val="0"/>
          <w:numId w:val="1"/>
        </w:numPr>
        <w:spacing w:line="360" w:lineRule="auto"/>
        <w:ind w:left="0"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 xml:space="preserve">El </w:t>
      </w:r>
      <w:r w:rsidR="00FA7747" w:rsidRPr="00101E4D">
        <w:rPr>
          <w:rFonts w:ascii="Palatino Linotype" w:eastAsia="Palatino Linotype" w:hAnsi="Palatino Linotype" w:cs="Palatino Linotype"/>
        </w:rPr>
        <w:t>veinte de octubre</w:t>
      </w:r>
      <w:r w:rsidR="00126098" w:rsidRPr="00101E4D">
        <w:rPr>
          <w:rFonts w:ascii="Palatino Linotype" w:eastAsia="Palatino Linotype" w:hAnsi="Palatino Linotype" w:cs="Palatino Linotype"/>
        </w:rPr>
        <w:t xml:space="preserve"> de dos mil veinticinco</w:t>
      </w:r>
      <w:r w:rsidRPr="00101E4D">
        <w:rPr>
          <w:rFonts w:ascii="Palatino Linotype" w:eastAsia="Palatino Linotype" w:hAnsi="Palatino Linotype" w:cs="Palatino Linotype"/>
        </w:rPr>
        <w:t>, la</w:t>
      </w:r>
      <w:r w:rsidRPr="00101E4D">
        <w:rPr>
          <w:rFonts w:ascii="Palatino Linotype" w:eastAsia="Palatino Linotype" w:hAnsi="Palatino Linotype" w:cs="Palatino Linotype"/>
          <w:b/>
        </w:rPr>
        <w:t xml:space="preserve"> RECURRENTE </w:t>
      </w:r>
      <w:r w:rsidRPr="00101E4D">
        <w:rPr>
          <w:rFonts w:ascii="Palatino Linotype" w:eastAsia="Palatino Linotype" w:hAnsi="Palatino Linotype" w:cs="Palatino Linotype"/>
        </w:rPr>
        <w:t xml:space="preserve">presentó ante el </w:t>
      </w:r>
      <w:r w:rsidRPr="00101E4D">
        <w:rPr>
          <w:rFonts w:ascii="Palatino Linotype" w:eastAsia="Palatino Linotype" w:hAnsi="Palatino Linotype" w:cs="Palatino Linotype"/>
          <w:b/>
        </w:rPr>
        <w:t>SUJETO OBLIGADO,</w:t>
      </w:r>
      <w:r w:rsidRPr="00101E4D">
        <w:rPr>
          <w:rFonts w:ascii="Palatino Linotype" w:eastAsia="Palatino Linotype" w:hAnsi="Palatino Linotype" w:cs="Palatino Linotype"/>
        </w:rPr>
        <w:t xml:space="preserve"> a través del el Sistema de Acceso a la Información Mexiquense </w:t>
      </w:r>
      <w:r w:rsidRPr="00101E4D">
        <w:rPr>
          <w:rFonts w:ascii="Palatino Linotype" w:eastAsia="Palatino Linotype" w:hAnsi="Palatino Linotype" w:cs="Palatino Linotype"/>
          <w:b/>
        </w:rPr>
        <w:t>(SAIMEX),</w:t>
      </w:r>
      <w:r w:rsidRPr="00101E4D">
        <w:rPr>
          <w:rFonts w:ascii="Palatino Linotype" w:eastAsia="Palatino Linotype" w:hAnsi="Palatino Linotype" w:cs="Palatino Linotype"/>
        </w:rPr>
        <w:t xml:space="preserve"> la solicitud de información pública </w:t>
      </w:r>
      <w:r w:rsidR="00FA7747" w:rsidRPr="00101E4D">
        <w:rPr>
          <w:rFonts w:ascii="Palatino Linotype" w:eastAsia="Palatino Linotype" w:hAnsi="Palatino Linotype" w:cs="Palatino Linotype"/>
          <w:b/>
        </w:rPr>
        <w:t>00540</w:t>
      </w:r>
      <w:r w:rsidRPr="00101E4D">
        <w:rPr>
          <w:rFonts w:ascii="Palatino Linotype" w:eastAsia="Palatino Linotype" w:hAnsi="Palatino Linotype" w:cs="Palatino Linotype"/>
          <w:b/>
        </w:rPr>
        <w:t>/</w:t>
      </w:r>
      <w:r w:rsidR="00FA7747" w:rsidRPr="00101E4D">
        <w:rPr>
          <w:rFonts w:ascii="Palatino Linotype" w:eastAsia="Palatino Linotype" w:hAnsi="Palatino Linotype" w:cs="Palatino Linotype"/>
          <w:b/>
        </w:rPr>
        <w:t>CALIMAYA</w:t>
      </w:r>
      <w:r w:rsidRPr="00101E4D">
        <w:rPr>
          <w:rFonts w:ascii="Palatino Linotype" w:eastAsia="Palatino Linotype" w:hAnsi="Palatino Linotype" w:cs="Palatino Linotype"/>
          <w:b/>
        </w:rPr>
        <w:t>/I</w:t>
      </w:r>
      <w:r w:rsidR="00126098" w:rsidRPr="00101E4D">
        <w:rPr>
          <w:rFonts w:ascii="Palatino Linotype" w:eastAsia="Palatino Linotype" w:hAnsi="Palatino Linotype" w:cs="Palatino Linotype"/>
          <w:b/>
        </w:rPr>
        <w:t>P/2025</w:t>
      </w:r>
      <w:r w:rsidRPr="00101E4D">
        <w:rPr>
          <w:rFonts w:ascii="Palatino Linotype" w:eastAsia="Palatino Linotype" w:hAnsi="Palatino Linotype" w:cs="Palatino Linotype"/>
        </w:rPr>
        <w:t>, en la que solicitó:</w:t>
      </w:r>
    </w:p>
    <w:p w:rsidR="00E94D86" w:rsidRPr="00101E4D" w:rsidRDefault="00E94D86" w:rsidP="00745CE2">
      <w:pPr>
        <w:jc w:val="both"/>
        <w:rPr>
          <w:rFonts w:ascii="Palatino Linotype" w:eastAsia="Palatino Linotype" w:hAnsi="Palatino Linotype" w:cs="Palatino Linotype"/>
          <w:i/>
        </w:rPr>
      </w:pPr>
    </w:p>
    <w:p w:rsidR="006E5F99" w:rsidRPr="00101E4D" w:rsidRDefault="001E3125" w:rsidP="00745CE2">
      <w:pPr>
        <w:ind w:left="567" w:right="567"/>
        <w:jc w:val="both"/>
        <w:rPr>
          <w:rFonts w:ascii="Palatino Linotype" w:eastAsia="Palatino Linotype" w:hAnsi="Palatino Linotype" w:cs="Palatino Linotype"/>
          <w:i/>
          <w:color w:val="000000"/>
        </w:rPr>
      </w:pPr>
      <w:r w:rsidRPr="00101E4D">
        <w:rPr>
          <w:rFonts w:ascii="Palatino Linotype" w:eastAsia="Palatino Linotype" w:hAnsi="Palatino Linotype" w:cs="Palatino Linotype"/>
          <w:i/>
          <w:color w:val="000000"/>
        </w:rPr>
        <w:t>“</w:t>
      </w:r>
      <w:r w:rsidR="00FA7747" w:rsidRPr="00101E4D">
        <w:rPr>
          <w:rFonts w:ascii="Palatino Linotype" w:hAnsi="Palatino Linotype"/>
          <w:i/>
          <w:color w:val="000000"/>
        </w:rPr>
        <w:t>Toda la información pública del número de casetas de vigilancia que se construiran en todo el Municipio, dónde estarán ubicadas, su costo, que empresa las va a construir, los contratos y el proyecto o los expedientes técnicos.</w:t>
      </w:r>
      <w:r w:rsidRPr="00101E4D">
        <w:rPr>
          <w:rFonts w:ascii="Palatino Linotype" w:eastAsia="Palatino Linotype" w:hAnsi="Palatino Linotype" w:cs="Palatino Linotype"/>
          <w:i/>
          <w:color w:val="000000"/>
        </w:rPr>
        <w:t xml:space="preserve">” (Sic) </w:t>
      </w:r>
    </w:p>
    <w:p w:rsidR="00E94D86" w:rsidRDefault="00E94D86" w:rsidP="00AC67F7">
      <w:pPr>
        <w:pBdr>
          <w:top w:val="nil"/>
          <w:left w:val="nil"/>
          <w:bottom w:val="nil"/>
          <w:right w:val="nil"/>
          <w:between w:val="nil"/>
        </w:pBdr>
        <w:jc w:val="both"/>
        <w:rPr>
          <w:rFonts w:ascii="Palatino Linotype" w:eastAsia="Palatino Linotype" w:hAnsi="Palatino Linotype" w:cs="Palatino Linotype"/>
          <w:color w:val="000000"/>
        </w:rPr>
      </w:pPr>
    </w:p>
    <w:p w:rsidR="00101E4D" w:rsidRPr="00101E4D" w:rsidRDefault="00101E4D" w:rsidP="00AC67F7">
      <w:pPr>
        <w:pBdr>
          <w:top w:val="nil"/>
          <w:left w:val="nil"/>
          <w:bottom w:val="nil"/>
          <w:right w:val="nil"/>
          <w:between w:val="nil"/>
        </w:pBdr>
        <w:jc w:val="both"/>
        <w:rPr>
          <w:rFonts w:ascii="Palatino Linotype" w:eastAsia="Palatino Linotype" w:hAnsi="Palatino Linotype" w:cs="Palatino Linotype"/>
          <w:color w:val="000000"/>
        </w:rPr>
      </w:pPr>
    </w:p>
    <w:p w:rsidR="00E94D86" w:rsidRPr="00101E4D" w:rsidRDefault="001E3125">
      <w:pPr>
        <w:numPr>
          <w:ilvl w:val="0"/>
          <w:numId w:val="1"/>
        </w:numPr>
        <w:spacing w:line="360" w:lineRule="auto"/>
        <w:ind w:left="0"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 xml:space="preserve">Se hace constar que se señaló como modalidad de entrega de la información a través del </w:t>
      </w:r>
      <w:r w:rsidR="00126098" w:rsidRPr="00101E4D">
        <w:rPr>
          <w:rFonts w:ascii="Palatino Linotype" w:eastAsia="Palatino Linotype" w:hAnsi="Palatino Linotype" w:cs="Palatino Linotype"/>
          <w:b/>
        </w:rPr>
        <w:t>SAIMEX.</w:t>
      </w:r>
    </w:p>
    <w:p w:rsidR="00E94D86" w:rsidRPr="00101E4D" w:rsidRDefault="00E94D86" w:rsidP="00C82ED1">
      <w:pPr>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 xml:space="preserve">El </w:t>
      </w:r>
      <w:r w:rsidR="00FA7747" w:rsidRPr="00101E4D">
        <w:rPr>
          <w:rFonts w:ascii="Palatino Linotype" w:eastAsia="Palatino Linotype" w:hAnsi="Palatino Linotype" w:cs="Palatino Linotype"/>
        </w:rPr>
        <w:t>veintisiete de octubre</w:t>
      </w:r>
      <w:r w:rsidR="00126098" w:rsidRPr="00101E4D">
        <w:rPr>
          <w:rFonts w:ascii="Palatino Linotype" w:eastAsia="Palatino Linotype" w:hAnsi="Palatino Linotype" w:cs="Palatino Linotype"/>
        </w:rPr>
        <w:t xml:space="preserve"> de dos mil veinticinco</w:t>
      </w:r>
      <w:r w:rsidRPr="00101E4D">
        <w:rPr>
          <w:rFonts w:ascii="Palatino Linotype" w:eastAsia="Palatino Linotype" w:hAnsi="Palatino Linotype" w:cs="Palatino Linotype"/>
        </w:rPr>
        <w:t xml:space="preserve">, el </w:t>
      </w:r>
      <w:r w:rsidRPr="00101E4D">
        <w:rPr>
          <w:rFonts w:ascii="Palatino Linotype" w:eastAsia="Palatino Linotype" w:hAnsi="Palatino Linotype" w:cs="Palatino Linotype"/>
          <w:b/>
        </w:rPr>
        <w:t>SUJETO OBLIGADO</w:t>
      </w:r>
      <w:r w:rsidRPr="00101E4D">
        <w:rPr>
          <w:rFonts w:ascii="Palatino Linotype" w:eastAsia="Palatino Linotype" w:hAnsi="Palatino Linotype" w:cs="Palatino Linotype"/>
          <w:b/>
          <w:i/>
        </w:rPr>
        <w:t xml:space="preserve"> </w:t>
      </w:r>
      <w:r w:rsidRPr="00101E4D">
        <w:rPr>
          <w:rFonts w:ascii="Palatino Linotype" w:eastAsia="Palatino Linotype" w:hAnsi="Palatino Linotype" w:cs="Palatino Linotype"/>
        </w:rPr>
        <w:t>dio respuesta a la solicitud de información, en los siguientes términos:</w:t>
      </w:r>
    </w:p>
    <w:p w:rsidR="00E94D86" w:rsidRPr="00101E4D" w:rsidRDefault="00E94D86" w:rsidP="00C82ED1">
      <w:pPr>
        <w:ind w:right="-592"/>
        <w:jc w:val="both"/>
        <w:rPr>
          <w:rFonts w:ascii="Palatino Linotype" w:eastAsia="Palatino Linotype" w:hAnsi="Palatino Linotype" w:cs="Palatino Linotype"/>
          <w:i/>
        </w:rPr>
      </w:pPr>
    </w:p>
    <w:p w:rsidR="00E94D86" w:rsidRPr="00101E4D" w:rsidRDefault="00126098" w:rsidP="00745CE2">
      <w:pPr>
        <w:ind w:left="567" w:right="567"/>
        <w:jc w:val="both"/>
        <w:rPr>
          <w:rFonts w:ascii="Palatino Linotype" w:eastAsia="Palatino Linotype" w:hAnsi="Palatino Linotype" w:cs="Palatino Linotype"/>
          <w:i/>
          <w:color w:val="000000"/>
        </w:rPr>
      </w:pPr>
      <w:r w:rsidRPr="00101E4D">
        <w:rPr>
          <w:rFonts w:ascii="Palatino Linotype" w:hAnsi="Palatino Linotype"/>
          <w:i/>
          <w:color w:val="000000"/>
        </w:rPr>
        <w:t>“</w:t>
      </w:r>
      <w:r w:rsidR="00FA7747" w:rsidRPr="00101E4D">
        <w:rPr>
          <w:rFonts w:ascii="Palatino Linotype" w:hAnsi="Palatino Linotype"/>
          <w:i/>
          <w:color w:val="000000"/>
        </w:rPr>
        <w:t xml:space="preserve">ESTIMADO SOLICITANTE: EN ATENCIÓN A SU SOLICITUD DE INFORMACIÓN CON NÚMERO DE FOLIO 00540/CALIMAYA/IP/2025 POR ESTE MEDIO ME PERMITO HACER DE SU CONOCIMIENTO QUE SU SOLICITUD FUE TURNADA </w:t>
      </w:r>
      <w:r w:rsidR="00FA7747" w:rsidRPr="00101E4D">
        <w:rPr>
          <w:rFonts w:ascii="Palatino Linotype" w:hAnsi="Palatino Linotype"/>
          <w:i/>
          <w:color w:val="000000"/>
        </w:rPr>
        <w:lastRenderedPageBreak/>
        <w:t>AL SERVIDOR PÚBLICO HABILITADO QUE A CONTINUACIÓN SE ENLISTAN, QUIEN EMITIÓ LA SIGUIENTE RESPUESTA Y DOCUMENTOS ADJUNTOS QUE SE ENTREGAN A TRAVÉS DEL SAIMEX, DE CONFORMIDAD A LO ESTABLECIDO EN LOS ARTÍCULOS 53 FRACCIÓN II Y IV, 59, 158, 159, 161, 162 Y 163 DE LA LEY DE TRANSPARENCIA Y ACCESO A LA INFORMACIÓN PÚBLICA DEL ESTADO DE MÉXICO Y MUNICIPIOS: “SE HACE DEL CONOCIMIENTO DEL SOLICITANTE QUE MEDIANTE OFICIO NÚMERO PMC/DOP/890/2025 SE DIO RESPUESTA A LA SOLICITUD CON NÚMERO DE FOLIO 00540/CALIMAYA/IP/2025, SE ADJUNTA OFICIO DE RESPUESTA, PARA MAYOR REFERENCIA.” (DIRECCIÓN DE OBRAS PÚBLICAS DEL AYUNTAMIENTO). SIN OTRO ASUNTO, DEJANDO A SALVO SUS PRERROGATIVAS DE INCONFORMIDAD ESTABLECIDAS EN EL TÍTULO OCTAVO DE LA LEY DE TRANSPARENCIA Y ACCESO A LA INFORMACIÓN PÚBLICA DEL ESTADO DE MÉXICO Y MUNICIPIOS, INFORMANDO QUE CUENTA, EN SU CASO, CON 15 DÍAS PARA PROMOVERLA, QUEDO DE USTED.</w:t>
      </w:r>
      <w:r w:rsidRPr="00101E4D">
        <w:rPr>
          <w:rFonts w:ascii="Palatino Linotype" w:hAnsi="Palatino Linotype"/>
          <w:i/>
          <w:color w:val="000000"/>
        </w:rPr>
        <w:t>”</w:t>
      </w:r>
      <w:r w:rsidR="001E3125" w:rsidRPr="00101E4D">
        <w:rPr>
          <w:rFonts w:ascii="Palatino Linotype" w:eastAsia="Palatino Linotype" w:hAnsi="Palatino Linotype" w:cs="Palatino Linotype"/>
          <w:i/>
          <w:color w:val="000000"/>
        </w:rPr>
        <w:t xml:space="preserve"> (Sic)</w:t>
      </w:r>
      <w:r w:rsidR="00BE4003" w:rsidRPr="00101E4D">
        <w:rPr>
          <w:rFonts w:ascii="Palatino Linotype" w:eastAsia="Palatino Linotype" w:hAnsi="Palatino Linotype" w:cs="Palatino Linotype"/>
          <w:i/>
          <w:color w:val="000000"/>
        </w:rPr>
        <w:t xml:space="preserve"> </w:t>
      </w:r>
    </w:p>
    <w:p w:rsidR="00FC50EC" w:rsidRPr="00101E4D" w:rsidRDefault="00FC50EC" w:rsidP="00C82ED1">
      <w:pPr>
        <w:ind w:left="567" w:right="710"/>
        <w:jc w:val="both"/>
        <w:rPr>
          <w:rFonts w:ascii="Palatino Linotype" w:eastAsia="Palatino Linotype" w:hAnsi="Palatino Linotype" w:cs="Palatino Linotype"/>
          <w:i/>
          <w:color w:val="000000"/>
        </w:rPr>
      </w:pPr>
    </w:p>
    <w:p w:rsidR="003A1F84" w:rsidRPr="00101E4D" w:rsidRDefault="001E3125" w:rsidP="00E61883">
      <w:pPr>
        <w:ind w:right="567"/>
        <w:jc w:val="both"/>
        <w:rPr>
          <w:rFonts w:ascii="Palatino Linotype" w:eastAsia="Palatino Linotype" w:hAnsi="Palatino Linotype" w:cs="Palatino Linotype"/>
        </w:rPr>
      </w:pPr>
      <w:r w:rsidRPr="00101E4D">
        <w:rPr>
          <w:rFonts w:ascii="Palatino Linotype" w:eastAsia="Palatino Linotype" w:hAnsi="Palatino Linotype" w:cs="Palatino Linotype"/>
        </w:rPr>
        <w:t>Archivos electrónicos adjuntos:</w:t>
      </w:r>
    </w:p>
    <w:p w:rsidR="00E94D86" w:rsidRPr="00101E4D" w:rsidRDefault="00E94D86" w:rsidP="001577D2">
      <w:pPr>
        <w:ind w:right="567"/>
        <w:jc w:val="both"/>
        <w:rPr>
          <w:rFonts w:ascii="Palatino Linotype" w:eastAsia="Palatino Linotype" w:hAnsi="Palatino Linotype" w:cs="Palatino Linotype"/>
          <w:b/>
        </w:rPr>
      </w:pPr>
    </w:p>
    <w:p w:rsidR="00745CE2" w:rsidRPr="00101E4D" w:rsidRDefault="00CD4E6B" w:rsidP="00FA7747">
      <w:pPr>
        <w:ind w:left="567" w:right="567"/>
        <w:jc w:val="both"/>
        <w:rPr>
          <w:rFonts w:ascii="Palatino Linotype" w:hAnsi="Palatino Linotype"/>
        </w:rPr>
      </w:pPr>
      <w:hyperlink r:id="rId8" w:tgtFrame="_blank" w:history="1">
        <w:r w:rsidR="00FA7747" w:rsidRPr="00101E4D">
          <w:rPr>
            <w:rStyle w:val="Hipervnculo"/>
            <w:rFonts w:ascii="Palatino Linotype" w:hAnsi="Palatino Linotype" w:cs="Arial"/>
            <w:b/>
            <w:bCs/>
            <w:color w:val="auto"/>
            <w:u w:val="none"/>
          </w:rPr>
          <w:t>FOLIO 00540.pdf</w:t>
        </w:r>
      </w:hyperlink>
      <w:r w:rsidR="00FA7747" w:rsidRPr="00101E4D">
        <w:rPr>
          <w:rFonts w:ascii="Palatino Linotype" w:hAnsi="Palatino Linotype"/>
        </w:rPr>
        <w:t>: Oficio suscrito por la Directora de Obras Públicas, mediante el cual, informó que no se tiene programada la construcción de casetas de vigilancia en todo el municipio, por lo cual, no se cuenta con la información solicitada.</w:t>
      </w:r>
    </w:p>
    <w:p w:rsidR="00FA7747" w:rsidRPr="00101E4D" w:rsidRDefault="00FA7747" w:rsidP="00C82ED1">
      <w:pPr>
        <w:ind w:right="-592"/>
        <w:jc w:val="both"/>
        <w:rPr>
          <w:rFonts w:ascii="Palatino Linotype" w:eastAsia="Palatino Linotype" w:hAnsi="Palatino Linotype" w:cs="Palatino Linotype"/>
        </w:rPr>
      </w:pPr>
    </w:p>
    <w:p w:rsidR="00C82ED1" w:rsidRPr="00101E4D" w:rsidRDefault="001E3125" w:rsidP="00C82ED1">
      <w:pPr>
        <w:numPr>
          <w:ilvl w:val="0"/>
          <w:numId w:val="1"/>
        </w:numPr>
        <w:spacing w:line="360" w:lineRule="auto"/>
        <w:ind w:left="0" w:right="1"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 xml:space="preserve">El </w:t>
      </w:r>
      <w:r w:rsidR="00FA7747" w:rsidRPr="00101E4D">
        <w:rPr>
          <w:rFonts w:ascii="Palatino Linotype" w:eastAsia="Palatino Linotype" w:hAnsi="Palatino Linotype" w:cs="Palatino Linotype"/>
        </w:rPr>
        <w:t>tres de noviembre</w:t>
      </w:r>
      <w:r w:rsidR="00126098" w:rsidRPr="00101E4D">
        <w:rPr>
          <w:rFonts w:ascii="Palatino Linotype" w:eastAsia="Palatino Linotype" w:hAnsi="Palatino Linotype" w:cs="Palatino Linotype"/>
        </w:rPr>
        <w:t xml:space="preserve"> de dos mil veinticinco</w:t>
      </w:r>
      <w:r w:rsidRPr="00101E4D">
        <w:rPr>
          <w:rFonts w:ascii="Palatino Linotype" w:eastAsia="Palatino Linotype" w:hAnsi="Palatino Linotype" w:cs="Palatino Linotype"/>
        </w:rPr>
        <w:t>,</w:t>
      </w:r>
      <w:r w:rsidRPr="00101E4D">
        <w:rPr>
          <w:rFonts w:ascii="Palatino Linotype" w:eastAsia="Palatino Linotype" w:hAnsi="Palatino Linotype" w:cs="Palatino Linotype"/>
          <w:b/>
        </w:rPr>
        <w:t xml:space="preserve"> </w:t>
      </w:r>
      <w:r w:rsidRPr="00101E4D">
        <w:rPr>
          <w:rFonts w:ascii="Palatino Linotype" w:eastAsia="Palatino Linotype" w:hAnsi="Palatino Linotype" w:cs="Palatino Linotype"/>
        </w:rPr>
        <w:t xml:space="preserve">el </w:t>
      </w:r>
      <w:r w:rsidRPr="00101E4D">
        <w:rPr>
          <w:rFonts w:ascii="Palatino Linotype" w:eastAsia="Palatino Linotype" w:hAnsi="Palatino Linotype" w:cs="Palatino Linotype"/>
          <w:b/>
        </w:rPr>
        <w:t>RECURRENTE</w:t>
      </w:r>
      <w:r w:rsidRPr="00101E4D">
        <w:rPr>
          <w:rFonts w:ascii="Palatino Linotype" w:eastAsia="Palatino Linotype" w:hAnsi="Palatino Linotype" w:cs="Palatino Linotype"/>
        </w:rPr>
        <w:t xml:space="preserve"> interpuso el recurso de revisión en contra de la respuesta, señalando como:</w:t>
      </w:r>
    </w:p>
    <w:p w:rsidR="00C82ED1" w:rsidRPr="00101E4D" w:rsidRDefault="00C82ED1" w:rsidP="00C82ED1">
      <w:pPr>
        <w:ind w:right="1"/>
        <w:jc w:val="both"/>
        <w:rPr>
          <w:rFonts w:ascii="Palatino Linotype" w:eastAsia="Palatino Linotype" w:hAnsi="Palatino Linotype" w:cs="Palatino Linotype"/>
        </w:rPr>
      </w:pPr>
    </w:p>
    <w:p w:rsidR="00E94D86" w:rsidRPr="000F6CE9" w:rsidRDefault="000F6CE9" w:rsidP="000F6CE9">
      <w:pPr>
        <w:pStyle w:val="Prrafodelista"/>
        <w:numPr>
          <w:ilvl w:val="0"/>
          <w:numId w:val="30"/>
        </w:numPr>
        <w:ind w:right="567"/>
        <w:jc w:val="both"/>
        <w:rPr>
          <w:rFonts w:ascii="Palatino Linotype" w:hAnsi="Palatino Linotype"/>
          <w:i/>
          <w:sz w:val="24"/>
        </w:rPr>
      </w:pPr>
      <w:r w:rsidRPr="000F6CE9">
        <w:rPr>
          <w:rFonts w:ascii="Palatino Linotype" w:eastAsia="Palatino Linotype" w:hAnsi="Palatino Linotype" w:cs="Palatino Linotype"/>
          <w:b/>
          <w:sz w:val="24"/>
        </w:rPr>
        <w:t>ACTO IMPUGNADO</w:t>
      </w:r>
      <w:r w:rsidR="001E3125" w:rsidRPr="000F6CE9">
        <w:rPr>
          <w:rFonts w:ascii="Palatino Linotype" w:eastAsia="Palatino Linotype" w:hAnsi="Palatino Linotype" w:cs="Palatino Linotype"/>
          <w:b/>
          <w:i/>
          <w:sz w:val="24"/>
        </w:rPr>
        <w:t>:</w:t>
      </w:r>
      <w:r w:rsidR="001E3125" w:rsidRPr="000F6CE9">
        <w:rPr>
          <w:rFonts w:ascii="Palatino Linotype" w:eastAsia="Palatino Linotype" w:hAnsi="Palatino Linotype" w:cs="Palatino Linotype"/>
          <w:i/>
          <w:color w:val="000000"/>
          <w:sz w:val="24"/>
        </w:rPr>
        <w:t xml:space="preserve"> “</w:t>
      </w:r>
      <w:r w:rsidR="00FA7747" w:rsidRPr="000F6CE9">
        <w:rPr>
          <w:rFonts w:ascii="Palatino Linotype" w:hAnsi="Palatino Linotype"/>
          <w:i/>
          <w:color w:val="000000"/>
          <w:sz w:val="24"/>
        </w:rPr>
        <w:t>00540/CALIMAYA/IP/2025</w:t>
      </w:r>
      <w:r w:rsidR="001E3125" w:rsidRPr="000F6CE9">
        <w:rPr>
          <w:rFonts w:ascii="Palatino Linotype" w:eastAsia="Palatino Linotype" w:hAnsi="Palatino Linotype" w:cs="Palatino Linotype"/>
          <w:i/>
          <w:color w:val="000000"/>
          <w:sz w:val="24"/>
        </w:rPr>
        <w:t>” (Sic)</w:t>
      </w:r>
    </w:p>
    <w:p w:rsidR="00E94D86" w:rsidRPr="000F6CE9" w:rsidRDefault="00E94D86" w:rsidP="000F6CE9">
      <w:pPr>
        <w:ind w:right="567"/>
        <w:jc w:val="both"/>
        <w:rPr>
          <w:rFonts w:ascii="Palatino Linotype" w:eastAsia="Palatino Linotype" w:hAnsi="Palatino Linotype" w:cs="Palatino Linotype"/>
          <w:sz w:val="28"/>
        </w:rPr>
      </w:pPr>
    </w:p>
    <w:p w:rsidR="00E94D86" w:rsidRPr="000F6CE9" w:rsidRDefault="000F6CE9" w:rsidP="000F6CE9">
      <w:pPr>
        <w:pStyle w:val="Prrafodelista"/>
        <w:numPr>
          <w:ilvl w:val="0"/>
          <w:numId w:val="30"/>
        </w:numPr>
        <w:ind w:right="567"/>
        <w:jc w:val="both"/>
        <w:rPr>
          <w:rFonts w:ascii="Palatino Linotype" w:eastAsia="Palatino Linotype" w:hAnsi="Palatino Linotype" w:cs="Palatino Linotype"/>
          <w:i/>
          <w:color w:val="000000"/>
          <w:sz w:val="24"/>
        </w:rPr>
      </w:pPr>
      <w:r w:rsidRPr="000F6CE9">
        <w:rPr>
          <w:rFonts w:ascii="Palatino Linotype" w:eastAsia="Palatino Linotype" w:hAnsi="Palatino Linotype" w:cs="Palatino Linotype"/>
          <w:b/>
          <w:sz w:val="24"/>
        </w:rPr>
        <w:t>RAZONES O MOTIVOS DE INCONFORMIDAD</w:t>
      </w:r>
      <w:r w:rsidR="001E3125" w:rsidRPr="000F6CE9">
        <w:rPr>
          <w:rFonts w:ascii="Palatino Linotype" w:eastAsia="Palatino Linotype" w:hAnsi="Palatino Linotype" w:cs="Palatino Linotype"/>
          <w:b/>
          <w:sz w:val="24"/>
        </w:rPr>
        <w:t xml:space="preserve">: </w:t>
      </w:r>
      <w:r w:rsidR="006E5F99" w:rsidRPr="000F6CE9">
        <w:rPr>
          <w:rFonts w:ascii="Palatino Linotype" w:eastAsia="Palatino Linotype" w:hAnsi="Palatino Linotype" w:cs="Palatino Linotype"/>
          <w:i/>
          <w:color w:val="000000"/>
          <w:sz w:val="24"/>
        </w:rPr>
        <w:t>“</w:t>
      </w:r>
      <w:r w:rsidR="00FA7747" w:rsidRPr="000F6CE9">
        <w:rPr>
          <w:rFonts w:ascii="Palatino Linotype" w:hAnsi="Palatino Linotype"/>
          <w:i/>
          <w:color w:val="000000"/>
          <w:sz w:val="24"/>
        </w:rPr>
        <w:t>No se me da la información pública solicitada y que publicaron el 17 de octubre del año 2025 a través del su página de Facebook https://www.facebook.com/share/v/1MjMUascGz/</w:t>
      </w:r>
      <w:r w:rsidR="001E3125" w:rsidRPr="000F6CE9">
        <w:rPr>
          <w:rFonts w:ascii="Palatino Linotype" w:eastAsia="Palatino Linotype" w:hAnsi="Palatino Linotype" w:cs="Palatino Linotype"/>
          <w:i/>
          <w:color w:val="000000"/>
          <w:sz w:val="24"/>
        </w:rPr>
        <w:t>” (Sic)</w:t>
      </w:r>
    </w:p>
    <w:p w:rsidR="00E94D86" w:rsidRPr="00101E4D" w:rsidRDefault="00E94D86" w:rsidP="00C82ED1">
      <w:pPr>
        <w:ind w:right="568"/>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101E4D">
        <w:rPr>
          <w:rFonts w:ascii="Palatino Linotype" w:eastAsia="Palatino Linotype" w:hAnsi="Palatino Linotype" w:cs="Palatino Linotype"/>
          <w:b/>
        </w:rPr>
        <w:t xml:space="preserve">Ley de </w:t>
      </w:r>
      <w:r w:rsidRPr="00101E4D">
        <w:rPr>
          <w:rFonts w:ascii="Palatino Linotype" w:eastAsia="Palatino Linotype" w:hAnsi="Palatino Linotype" w:cs="Palatino Linotype"/>
          <w:b/>
        </w:rPr>
        <w:lastRenderedPageBreak/>
        <w:t xml:space="preserve">Transparencia y Acceso a la Información Pública del Estado de México y Municipios </w:t>
      </w:r>
      <w:r w:rsidRPr="00101E4D">
        <w:rPr>
          <w:rFonts w:ascii="Palatino Linotype" w:eastAsia="Palatino Linotype" w:hAnsi="Palatino Linotype" w:cs="Palatino Linotype"/>
        </w:rPr>
        <w:t xml:space="preserve">se turna a la </w:t>
      </w:r>
      <w:r w:rsidRPr="00101E4D">
        <w:rPr>
          <w:rFonts w:ascii="Palatino Linotype" w:eastAsia="Palatino Linotype" w:hAnsi="Palatino Linotype" w:cs="Palatino Linotype"/>
          <w:b/>
        </w:rPr>
        <w:t xml:space="preserve">Comisionada María del Rosario Mejía Ayala, </w:t>
      </w:r>
      <w:r w:rsidRPr="00101E4D">
        <w:rPr>
          <w:rFonts w:ascii="Palatino Linotype" w:eastAsia="Palatino Linotype" w:hAnsi="Palatino Linotype" w:cs="Palatino Linotype"/>
        </w:rPr>
        <w:t xml:space="preserve">para su análisis. </w:t>
      </w:r>
    </w:p>
    <w:p w:rsidR="00E94D86" w:rsidRPr="00101E4D" w:rsidRDefault="00E94D86" w:rsidP="00C82ED1">
      <w:pPr>
        <w:ind w:right="-592"/>
        <w:jc w:val="both"/>
        <w:rPr>
          <w:rFonts w:ascii="Palatino Linotype" w:eastAsia="Palatino Linotype" w:hAnsi="Palatino Linotype" w:cs="Palatino Linotype"/>
        </w:rPr>
      </w:pPr>
    </w:p>
    <w:p w:rsidR="00E94D86" w:rsidRPr="00101E4D" w:rsidRDefault="000F6CE9">
      <w:pPr>
        <w:numPr>
          <w:ilvl w:val="0"/>
          <w:numId w:val="1"/>
        </w:numPr>
        <w:spacing w:line="360" w:lineRule="auto"/>
        <w:ind w:left="0" w:right="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1E3125" w:rsidRPr="00101E4D">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FA7747" w:rsidRPr="00101E4D">
        <w:rPr>
          <w:rFonts w:ascii="Palatino Linotype" w:eastAsia="Palatino Linotype" w:hAnsi="Palatino Linotype" w:cs="Palatino Linotype"/>
        </w:rPr>
        <w:t>cinco de noviembre</w:t>
      </w:r>
      <w:r w:rsidR="00126098" w:rsidRPr="00101E4D">
        <w:rPr>
          <w:rFonts w:ascii="Palatino Linotype" w:eastAsia="Palatino Linotype" w:hAnsi="Palatino Linotype" w:cs="Palatino Linotype"/>
        </w:rPr>
        <w:t xml:space="preserve"> de dos mil veinticinco</w:t>
      </w:r>
      <w:r w:rsidR="001E3125" w:rsidRPr="00101E4D">
        <w:rPr>
          <w:rFonts w:ascii="Palatino Linotype" w:eastAsia="Palatino Linotype" w:hAnsi="Palatino Linotype" w:cs="Palatino Linotype"/>
        </w:rPr>
        <w:t xml:space="preserve">, puso a disposición de las partes el expediente electrónico vía </w:t>
      </w:r>
      <w:r w:rsidR="001E3125" w:rsidRPr="00101E4D">
        <w:rPr>
          <w:rFonts w:ascii="Palatino Linotype" w:eastAsia="Palatino Linotype" w:hAnsi="Palatino Linotype" w:cs="Palatino Linotype"/>
          <w:b/>
        </w:rPr>
        <w:t xml:space="preserve">SAIMEX </w:t>
      </w:r>
      <w:r w:rsidR="001E3125" w:rsidRPr="00101E4D">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1E3125" w:rsidRPr="00101E4D">
        <w:rPr>
          <w:rFonts w:ascii="Palatino Linotype" w:eastAsia="Palatino Linotype" w:hAnsi="Palatino Linotype" w:cs="Palatino Linotype"/>
          <w:b/>
        </w:rPr>
        <w:t>SUJETO OBLIGADO</w:t>
      </w:r>
      <w:r w:rsidR="001E3125" w:rsidRPr="00101E4D">
        <w:rPr>
          <w:rFonts w:ascii="Palatino Linotype" w:eastAsia="Palatino Linotype" w:hAnsi="Palatino Linotype" w:cs="Palatino Linotype"/>
        </w:rPr>
        <w:t xml:space="preserve"> presentará el informe justificado procedente. </w:t>
      </w:r>
    </w:p>
    <w:p w:rsidR="00E94D86" w:rsidRPr="00101E4D" w:rsidRDefault="00E94D86" w:rsidP="00C82ED1">
      <w:pPr>
        <w:ind w:right="-592"/>
        <w:rPr>
          <w:rFonts w:ascii="Palatino Linotype" w:eastAsia="Palatino Linotype" w:hAnsi="Palatino Linotype" w:cs="Palatino Linotype"/>
        </w:rPr>
      </w:pPr>
    </w:p>
    <w:p w:rsidR="00FA7747" w:rsidRPr="00101E4D" w:rsidRDefault="006E5F99" w:rsidP="00FA7747">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E</w:t>
      </w:r>
      <w:r w:rsidR="001E3125" w:rsidRPr="00101E4D">
        <w:rPr>
          <w:rFonts w:ascii="Palatino Linotype" w:eastAsia="Palatino Linotype" w:hAnsi="Palatino Linotype" w:cs="Palatino Linotype"/>
        </w:rPr>
        <w:t>l</w:t>
      </w:r>
      <w:r w:rsidR="004F5574" w:rsidRPr="00101E4D">
        <w:rPr>
          <w:rFonts w:ascii="Palatino Linotype" w:eastAsia="Palatino Linotype" w:hAnsi="Palatino Linotype" w:cs="Palatino Linotype"/>
        </w:rPr>
        <w:t xml:space="preserve"> </w:t>
      </w:r>
      <w:r w:rsidR="00126098" w:rsidRPr="00101E4D">
        <w:rPr>
          <w:rFonts w:ascii="Palatino Linotype" w:eastAsia="Palatino Linotype" w:hAnsi="Palatino Linotype" w:cs="Palatino Linotype"/>
          <w:b/>
        </w:rPr>
        <w:t>SUJETO OBLIGADO</w:t>
      </w:r>
      <w:r w:rsidR="00FA7747" w:rsidRPr="00101E4D">
        <w:rPr>
          <w:rFonts w:ascii="Palatino Linotype" w:eastAsia="Palatino Linotype" w:hAnsi="Palatino Linotype" w:cs="Palatino Linotype"/>
          <w:b/>
        </w:rPr>
        <w:t xml:space="preserve"> omitió</w:t>
      </w:r>
      <w:r w:rsidR="00126098" w:rsidRPr="00101E4D">
        <w:rPr>
          <w:rFonts w:ascii="Palatino Linotype" w:eastAsia="Palatino Linotype" w:hAnsi="Palatino Linotype" w:cs="Palatino Linotype"/>
        </w:rPr>
        <w:t xml:space="preserve"> r</w:t>
      </w:r>
      <w:r w:rsidR="00FA7747" w:rsidRPr="00101E4D">
        <w:rPr>
          <w:rFonts w:ascii="Palatino Linotype" w:eastAsia="Palatino Linotype" w:hAnsi="Palatino Linotype" w:cs="Palatino Linotype"/>
        </w:rPr>
        <w:t>endir</w:t>
      </w:r>
      <w:r w:rsidR="00126098" w:rsidRPr="00101E4D">
        <w:rPr>
          <w:rFonts w:ascii="Palatino Linotype" w:eastAsia="Palatino Linotype" w:hAnsi="Palatino Linotype" w:cs="Palatino Linotype"/>
        </w:rPr>
        <w:t xml:space="preserve"> el infor</w:t>
      </w:r>
      <w:r w:rsidR="00FA7747" w:rsidRPr="00101E4D">
        <w:rPr>
          <w:rFonts w:ascii="Palatino Linotype" w:eastAsia="Palatino Linotype" w:hAnsi="Palatino Linotype" w:cs="Palatino Linotype"/>
        </w:rPr>
        <w:t>me justificado correspondiente; por su parte, el</w:t>
      </w:r>
      <w:r w:rsidR="00FA7747" w:rsidRPr="00101E4D">
        <w:rPr>
          <w:rFonts w:ascii="Palatino Linotype" w:eastAsia="Palatino Linotype" w:hAnsi="Palatino Linotype" w:cs="Palatino Linotype"/>
          <w:b/>
        </w:rPr>
        <w:t xml:space="preserve"> RECURRENTE</w:t>
      </w:r>
      <w:r w:rsidR="00FA7747" w:rsidRPr="00101E4D">
        <w:rPr>
          <w:rFonts w:ascii="Palatino Linotype" w:eastAsia="Palatino Linotype" w:hAnsi="Palatino Linotype" w:cs="Palatino Linotype"/>
        </w:rPr>
        <w:t xml:space="preserve"> no presentó pruebas o alegatos que a su derecho convinieran.</w:t>
      </w:r>
    </w:p>
    <w:p w:rsidR="00FA7747" w:rsidRPr="00101E4D" w:rsidRDefault="00FA7747" w:rsidP="00FA7747">
      <w:pPr>
        <w:spacing w:line="360" w:lineRule="auto"/>
        <w:ind w:right="1"/>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 xml:space="preserve">La Comisionada Ponente decretó el cierre de instrucción mediante el acuerdo del </w:t>
      </w:r>
      <w:r w:rsidR="00FA7747" w:rsidRPr="00101E4D">
        <w:rPr>
          <w:rFonts w:ascii="Palatino Linotype" w:eastAsia="Palatino Linotype" w:hAnsi="Palatino Linotype" w:cs="Palatino Linotype"/>
        </w:rPr>
        <w:t>doce de febrero de dos mil veintiséis</w:t>
      </w:r>
    </w:p>
    <w:p w:rsidR="00E94D86" w:rsidRPr="00101E4D" w:rsidRDefault="00E94D86" w:rsidP="00C82ED1">
      <w:pPr>
        <w:rPr>
          <w:rFonts w:ascii="Palatino Linotype" w:eastAsia="Palatino Linotype" w:hAnsi="Palatino Linotype" w:cs="Palatino Linotype"/>
          <w:b/>
        </w:rPr>
      </w:pPr>
    </w:p>
    <w:p w:rsidR="00E94D86" w:rsidRPr="00101E4D" w:rsidRDefault="001E3125">
      <w:pPr>
        <w:keepNext/>
        <w:keepLines/>
        <w:spacing w:line="360" w:lineRule="auto"/>
        <w:ind w:right="-592"/>
        <w:jc w:val="center"/>
        <w:rPr>
          <w:rFonts w:ascii="Palatino Linotype" w:eastAsia="Palatino Linotype" w:hAnsi="Palatino Linotype" w:cs="Palatino Linotype"/>
          <w:b/>
        </w:rPr>
      </w:pPr>
      <w:r w:rsidRPr="00101E4D">
        <w:rPr>
          <w:rFonts w:ascii="Palatino Linotype" w:eastAsia="Palatino Linotype" w:hAnsi="Palatino Linotype" w:cs="Palatino Linotype"/>
          <w:b/>
        </w:rPr>
        <w:t xml:space="preserve">C O N S I D E R A N D O </w:t>
      </w:r>
    </w:p>
    <w:p w:rsidR="00E94D86" w:rsidRPr="00101E4D" w:rsidRDefault="00E94D86" w:rsidP="00C82ED1">
      <w:pPr>
        <w:keepNext/>
        <w:keepLines/>
        <w:ind w:right="-592"/>
        <w:rPr>
          <w:rFonts w:ascii="Palatino Linotype" w:eastAsia="Palatino Linotype" w:hAnsi="Palatino Linotype" w:cs="Palatino Linotype"/>
        </w:rPr>
      </w:pPr>
    </w:p>
    <w:p w:rsidR="00E94D86" w:rsidRPr="00101E4D" w:rsidRDefault="001E3125">
      <w:pPr>
        <w:keepNext/>
        <w:keepLines/>
        <w:spacing w:line="360" w:lineRule="auto"/>
        <w:ind w:right="-592"/>
        <w:rPr>
          <w:rFonts w:ascii="Palatino Linotype" w:eastAsia="Palatino Linotype" w:hAnsi="Palatino Linotype" w:cs="Palatino Linotype"/>
          <w:b/>
        </w:rPr>
      </w:pPr>
      <w:r w:rsidRPr="00101E4D">
        <w:rPr>
          <w:rFonts w:ascii="Palatino Linotype" w:eastAsia="Palatino Linotype" w:hAnsi="Palatino Linotype" w:cs="Palatino Linotype"/>
          <w:b/>
        </w:rPr>
        <w:t>PRIMERO. De la competencia.</w:t>
      </w:r>
    </w:p>
    <w:p w:rsidR="00E94D86" w:rsidRPr="00101E4D" w:rsidRDefault="001E3125" w:rsidP="00C82ED1">
      <w:pPr>
        <w:numPr>
          <w:ilvl w:val="0"/>
          <w:numId w:val="1"/>
        </w:numPr>
        <w:spacing w:line="360" w:lineRule="auto"/>
        <w:ind w:left="0" w:right="1" w:firstLine="0"/>
        <w:jc w:val="both"/>
        <w:rPr>
          <w:rFonts w:ascii="Palatino Linotype" w:eastAsia="Palatino Linotype" w:hAnsi="Palatino Linotype" w:cs="Palatino Linotype"/>
          <w:b/>
        </w:rPr>
      </w:pPr>
      <w:bookmarkStart w:id="1" w:name="_heading=h.3znysh7" w:colFirst="0" w:colLast="0"/>
      <w:bookmarkEnd w:id="1"/>
      <w:r w:rsidRPr="00101E4D">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w:t>
      </w:r>
      <w:r w:rsidRPr="00101E4D">
        <w:rPr>
          <w:rFonts w:ascii="Palatino Linotype" w:eastAsia="Palatino Linotype" w:hAnsi="Palatino Linotype" w:cs="Palatino Linotype"/>
        </w:rPr>
        <w:lastRenderedPageBreak/>
        <w:t>y 11 del Reglamento Interior del Instituto de Transparencia, Acceso a la Información Pública y Protección de Datos Personales del Estado de México y Municipios.</w:t>
      </w:r>
    </w:p>
    <w:p w:rsidR="00E94D86" w:rsidRPr="00101E4D" w:rsidRDefault="001E3125">
      <w:pPr>
        <w:keepNext/>
        <w:keepLines/>
        <w:spacing w:line="360" w:lineRule="auto"/>
        <w:ind w:right="1"/>
        <w:rPr>
          <w:rFonts w:ascii="Palatino Linotype" w:eastAsia="Palatino Linotype" w:hAnsi="Palatino Linotype" w:cs="Palatino Linotype"/>
          <w:b/>
        </w:rPr>
      </w:pPr>
      <w:r w:rsidRPr="00101E4D">
        <w:rPr>
          <w:rFonts w:ascii="Palatino Linotype" w:eastAsia="Palatino Linotype" w:hAnsi="Palatino Linotype" w:cs="Palatino Linotype"/>
          <w:b/>
        </w:rPr>
        <w:t>SEGUNDO. De la oportunidad y procedencia.</w:t>
      </w:r>
    </w:p>
    <w:p w:rsidR="00E94D86" w:rsidRPr="00101E4D" w:rsidRDefault="00E94D86" w:rsidP="00C82ED1">
      <w:pPr>
        <w:ind w:right="1"/>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bookmarkStart w:id="2" w:name="_heading=h.3dy6vkm" w:colFirst="0" w:colLast="0"/>
      <w:bookmarkEnd w:id="2"/>
      <w:r w:rsidRPr="00101E4D">
        <w:rPr>
          <w:rFonts w:ascii="Palatino Linotype" w:eastAsia="Palatino Linotype" w:hAnsi="Palatino Linotype" w:cs="Palatino Linotype"/>
        </w:rPr>
        <w:t xml:space="preserve">El medio de impugnación fue presentado a través del </w:t>
      </w:r>
      <w:r w:rsidRPr="00101E4D">
        <w:rPr>
          <w:rFonts w:ascii="Palatino Linotype" w:eastAsia="Palatino Linotype" w:hAnsi="Palatino Linotype" w:cs="Palatino Linotype"/>
          <w:b/>
        </w:rPr>
        <w:t>SAIMEX,</w:t>
      </w:r>
      <w:r w:rsidRPr="00101E4D">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101E4D">
        <w:rPr>
          <w:rFonts w:ascii="Palatino Linotype" w:eastAsia="Palatino Linotype" w:hAnsi="Palatino Linotype" w:cs="Palatino Linotype"/>
          <w:b/>
        </w:rPr>
        <w:t>SUJETO OBLIGADO</w:t>
      </w:r>
      <w:r w:rsidRPr="00101E4D">
        <w:rPr>
          <w:rFonts w:ascii="Palatino Linotype" w:eastAsia="Palatino Linotype" w:hAnsi="Palatino Linotype" w:cs="Palatino Linotype"/>
        </w:rPr>
        <w:t xml:space="preserve"> entregó respuesta el </w:t>
      </w:r>
      <w:r w:rsidR="00FA7747" w:rsidRPr="00101E4D">
        <w:rPr>
          <w:rFonts w:ascii="Palatino Linotype" w:eastAsia="Palatino Linotype" w:hAnsi="Palatino Linotype" w:cs="Palatino Linotype"/>
        </w:rPr>
        <w:t>veintisiete de octubre</w:t>
      </w:r>
      <w:r w:rsidR="005F2385" w:rsidRPr="00101E4D">
        <w:rPr>
          <w:rFonts w:ascii="Palatino Linotype" w:eastAsia="Palatino Linotype" w:hAnsi="Palatino Linotype" w:cs="Palatino Linotype"/>
        </w:rPr>
        <w:t xml:space="preserve"> </w:t>
      </w:r>
      <w:r w:rsidR="00126098" w:rsidRPr="00101E4D">
        <w:rPr>
          <w:rFonts w:ascii="Palatino Linotype" w:eastAsia="Palatino Linotype" w:hAnsi="Palatino Linotype" w:cs="Palatino Linotype"/>
        </w:rPr>
        <w:t>de dos mil veinticinco</w:t>
      </w:r>
      <w:r w:rsidRPr="00101E4D">
        <w:rPr>
          <w:rFonts w:ascii="Palatino Linotype" w:eastAsia="Palatino Linotype" w:hAnsi="Palatino Linotype" w:cs="Palatino Linotype"/>
        </w:rPr>
        <w:t xml:space="preserve">, de tal forma que el plazo para interponer el recurso de revisión transcurrió del </w:t>
      </w:r>
      <w:r w:rsidR="00FA7747" w:rsidRPr="00101E4D">
        <w:rPr>
          <w:rFonts w:ascii="Palatino Linotype" w:eastAsia="Palatino Linotype" w:hAnsi="Palatino Linotype" w:cs="Palatino Linotype"/>
        </w:rPr>
        <w:t>veintiocho de octubre</w:t>
      </w:r>
      <w:r w:rsidR="00AF2A58" w:rsidRPr="00101E4D">
        <w:rPr>
          <w:rFonts w:ascii="Palatino Linotype" w:eastAsia="Palatino Linotype" w:hAnsi="Palatino Linotype" w:cs="Palatino Linotype"/>
        </w:rPr>
        <w:t xml:space="preserve"> </w:t>
      </w:r>
      <w:r w:rsidRPr="00101E4D">
        <w:rPr>
          <w:rFonts w:ascii="Palatino Linotype" w:eastAsia="Palatino Linotype" w:hAnsi="Palatino Linotype" w:cs="Palatino Linotype"/>
        </w:rPr>
        <w:t xml:space="preserve">al </w:t>
      </w:r>
      <w:r w:rsidR="00FA7747" w:rsidRPr="00101E4D">
        <w:rPr>
          <w:rFonts w:ascii="Palatino Linotype" w:eastAsia="Palatino Linotype" w:hAnsi="Palatino Linotype" w:cs="Palatino Linotype"/>
        </w:rPr>
        <w:t>dieciocho de noviembre de</w:t>
      </w:r>
      <w:r w:rsidR="00126098" w:rsidRPr="00101E4D">
        <w:rPr>
          <w:rFonts w:ascii="Palatino Linotype" w:eastAsia="Palatino Linotype" w:hAnsi="Palatino Linotype" w:cs="Palatino Linotype"/>
        </w:rPr>
        <w:t xml:space="preserve"> dos mil veinticinco</w:t>
      </w:r>
      <w:r w:rsidRPr="00101E4D">
        <w:rPr>
          <w:rFonts w:ascii="Palatino Linotype" w:eastAsia="Palatino Linotype" w:hAnsi="Palatino Linotype" w:cs="Palatino Linotype"/>
        </w:rPr>
        <w:t xml:space="preserve">; en consecuencia, presentó su inconformidad el </w:t>
      </w:r>
      <w:r w:rsidR="00FA7747" w:rsidRPr="00101E4D">
        <w:rPr>
          <w:rFonts w:ascii="Palatino Linotype" w:eastAsia="Palatino Linotype" w:hAnsi="Palatino Linotype" w:cs="Palatino Linotype"/>
        </w:rPr>
        <w:t>tres de noviembre</w:t>
      </w:r>
      <w:r w:rsidR="00126098" w:rsidRPr="00101E4D">
        <w:rPr>
          <w:rFonts w:ascii="Palatino Linotype" w:eastAsia="Palatino Linotype" w:hAnsi="Palatino Linotype" w:cs="Palatino Linotype"/>
        </w:rPr>
        <w:t xml:space="preserve"> de dos mil veinticinco</w:t>
      </w:r>
      <w:r w:rsidRPr="00101E4D">
        <w:rPr>
          <w:rFonts w:ascii="Palatino Linotype" w:eastAsia="Palatino Linotype" w:hAnsi="Palatino Linotype" w:cs="Palatino Linotype"/>
        </w:rPr>
        <w:t xml:space="preserve">, por lo que se encuentra dentro de los márgenes temporales previstos en el artículo 178 de la </w:t>
      </w:r>
      <w:r w:rsidRPr="00101E4D">
        <w:rPr>
          <w:rFonts w:ascii="Palatino Linotype" w:eastAsia="Palatino Linotype" w:hAnsi="Palatino Linotype" w:cs="Palatino Linotype"/>
          <w:b/>
        </w:rPr>
        <w:t xml:space="preserve">Ley de Transparencia y Acceso a la Información Pública del Estado de México y Municipios </w:t>
      </w:r>
      <w:r w:rsidRPr="00101E4D">
        <w:rPr>
          <w:rFonts w:ascii="Palatino Linotype" w:eastAsia="Palatino Linotype" w:hAnsi="Palatino Linotype" w:cs="Palatino Linotype"/>
        </w:rPr>
        <w:t>vigente.</w:t>
      </w:r>
    </w:p>
    <w:p w:rsidR="00AF2A58" w:rsidRPr="00101E4D" w:rsidRDefault="00AF2A58" w:rsidP="00C82ED1">
      <w:pPr>
        <w:ind w:right="1"/>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94D86" w:rsidRPr="00101E4D" w:rsidRDefault="00E94D86" w:rsidP="00C82ED1">
      <w:pPr>
        <w:ind w:right="-592"/>
        <w:jc w:val="both"/>
        <w:rPr>
          <w:rFonts w:ascii="Palatino Linotype" w:eastAsia="Palatino Linotype" w:hAnsi="Palatino Linotype" w:cs="Palatino Linotype"/>
          <w:b/>
        </w:rPr>
      </w:pPr>
    </w:p>
    <w:p w:rsidR="00E94D86" w:rsidRPr="00101E4D" w:rsidRDefault="001E3125">
      <w:pPr>
        <w:spacing w:line="360" w:lineRule="auto"/>
        <w:ind w:right="-592"/>
        <w:jc w:val="both"/>
        <w:rPr>
          <w:rFonts w:ascii="Palatino Linotype" w:eastAsia="Palatino Linotype" w:hAnsi="Palatino Linotype" w:cs="Palatino Linotype"/>
          <w:b/>
        </w:rPr>
      </w:pPr>
      <w:r w:rsidRPr="00101E4D">
        <w:rPr>
          <w:rFonts w:ascii="Palatino Linotype" w:eastAsia="Palatino Linotype" w:hAnsi="Palatino Linotype" w:cs="Palatino Linotype"/>
          <w:b/>
        </w:rPr>
        <w:t>TERCERO. Planteamiento de la Litis.</w:t>
      </w:r>
    </w:p>
    <w:p w:rsidR="00FA7747" w:rsidRPr="00101E4D" w:rsidRDefault="001E3125" w:rsidP="00FA7747">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 xml:space="preserve">El </w:t>
      </w:r>
      <w:r w:rsidRPr="00101E4D">
        <w:rPr>
          <w:rFonts w:ascii="Palatino Linotype" w:eastAsia="Palatino Linotype" w:hAnsi="Palatino Linotype" w:cs="Palatino Linotype"/>
          <w:b/>
        </w:rPr>
        <w:t>RECURRENTE</w:t>
      </w:r>
      <w:r w:rsidR="00A42556" w:rsidRPr="00101E4D">
        <w:rPr>
          <w:rFonts w:ascii="Palatino Linotype" w:eastAsia="Palatino Linotype" w:hAnsi="Palatino Linotype" w:cs="Palatino Linotype"/>
          <w:b/>
        </w:rPr>
        <w:t xml:space="preserve"> </w:t>
      </w:r>
      <w:r w:rsidR="00A42556" w:rsidRPr="00101E4D">
        <w:rPr>
          <w:rFonts w:ascii="Palatino Linotype" w:eastAsia="Palatino Linotype" w:hAnsi="Palatino Linotype" w:cs="Palatino Linotype"/>
        </w:rPr>
        <w:t xml:space="preserve">solicitó </w:t>
      </w:r>
      <w:r w:rsidR="00624881" w:rsidRPr="00101E4D">
        <w:rPr>
          <w:rFonts w:ascii="Palatino Linotype" w:hAnsi="Palatino Linotype"/>
          <w:color w:val="000000"/>
        </w:rPr>
        <w:t xml:space="preserve">el </w:t>
      </w:r>
      <w:r w:rsidR="00FA7747" w:rsidRPr="00101E4D">
        <w:rPr>
          <w:rFonts w:ascii="Palatino Linotype" w:hAnsi="Palatino Linotype"/>
          <w:color w:val="000000"/>
        </w:rPr>
        <w:t>número de casetas de vigilancia que se construirán en todo el Municipio, dónde estarán ubicadas, su costo, que empresa las va a construir, los contratos y el proyecto o los expedientes técnicos al 20 de octubre de 2025.</w:t>
      </w:r>
    </w:p>
    <w:p w:rsidR="00FA7747" w:rsidRPr="00101E4D" w:rsidRDefault="00FA7747" w:rsidP="00FA7747">
      <w:pPr>
        <w:spacing w:line="360" w:lineRule="auto"/>
        <w:ind w:right="1"/>
        <w:jc w:val="both"/>
        <w:rPr>
          <w:rFonts w:ascii="Palatino Linotype" w:eastAsia="Palatino Linotype" w:hAnsi="Palatino Linotype" w:cs="Palatino Linotype"/>
          <w:b/>
        </w:rPr>
      </w:pPr>
    </w:p>
    <w:p w:rsidR="00FA7747" w:rsidRPr="00101E4D" w:rsidRDefault="001E3125" w:rsidP="00FA7747">
      <w:pPr>
        <w:numPr>
          <w:ilvl w:val="0"/>
          <w:numId w:val="1"/>
        </w:numPr>
        <w:spacing w:line="360" w:lineRule="auto"/>
        <w:ind w:left="0" w:right="1"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 xml:space="preserve">En respuesta, el </w:t>
      </w:r>
      <w:r w:rsidRPr="00101E4D">
        <w:rPr>
          <w:rFonts w:ascii="Palatino Linotype" w:eastAsia="Palatino Linotype" w:hAnsi="Palatino Linotype" w:cs="Palatino Linotype"/>
          <w:b/>
        </w:rPr>
        <w:t>SUJETO OBLIGADO</w:t>
      </w:r>
      <w:r w:rsidRPr="00101E4D">
        <w:rPr>
          <w:rFonts w:ascii="Palatino Linotype" w:eastAsia="Palatino Linotype" w:hAnsi="Palatino Linotype" w:cs="Palatino Linotype"/>
        </w:rPr>
        <w:t xml:space="preserve"> </w:t>
      </w:r>
      <w:r w:rsidR="00771942" w:rsidRPr="00101E4D">
        <w:rPr>
          <w:rFonts w:ascii="Palatino Linotype" w:eastAsia="Palatino Linotype" w:hAnsi="Palatino Linotype" w:cs="Palatino Linotype"/>
        </w:rPr>
        <w:t>por medio</w:t>
      </w:r>
      <w:r w:rsidR="00FA7747" w:rsidRPr="00101E4D">
        <w:rPr>
          <w:rFonts w:ascii="Palatino Linotype" w:eastAsia="Palatino Linotype" w:hAnsi="Palatino Linotype" w:cs="Palatino Linotype"/>
        </w:rPr>
        <w:t xml:space="preserve"> de </w:t>
      </w:r>
      <w:r w:rsidR="00FA7747" w:rsidRPr="00101E4D">
        <w:rPr>
          <w:rFonts w:ascii="Palatino Linotype" w:hAnsi="Palatino Linotype"/>
        </w:rPr>
        <w:t>la Directora de Obras Públicas, informó que no se tiene programada la construcción de casetas de vigilancia en todo el municipio, por lo cual, no se cuenta con la información solicitada.</w:t>
      </w: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lastRenderedPageBreak/>
        <w:t xml:space="preserve">Posteriormente, el </w:t>
      </w:r>
      <w:r w:rsidRPr="00101E4D">
        <w:rPr>
          <w:rFonts w:ascii="Palatino Linotype" w:eastAsia="Palatino Linotype" w:hAnsi="Palatino Linotype" w:cs="Palatino Linotype"/>
          <w:b/>
        </w:rPr>
        <w:t>RECURRENTE</w:t>
      </w:r>
      <w:r w:rsidR="00EC4B5E" w:rsidRPr="00101E4D">
        <w:rPr>
          <w:rFonts w:ascii="Palatino Linotype" w:eastAsia="Palatino Linotype" w:hAnsi="Palatino Linotype" w:cs="Palatino Linotype"/>
        </w:rPr>
        <w:t xml:space="preserve"> se inconformó porque no </w:t>
      </w:r>
      <w:r w:rsidR="00F74819" w:rsidRPr="00101E4D">
        <w:rPr>
          <w:rFonts w:ascii="Palatino Linotype" w:eastAsia="Palatino Linotype" w:hAnsi="Palatino Linotype" w:cs="Palatino Linotype"/>
        </w:rPr>
        <w:t>la negativa de la información solicitada.</w:t>
      </w:r>
    </w:p>
    <w:p w:rsidR="00E94D86" w:rsidRPr="00101E4D" w:rsidRDefault="00E94D86" w:rsidP="00C82ED1">
      <w:pPr>
        <w:ind w:right="1"/>
        <w:rPr>
          <w:rFonts w:ascii="Palatino Linotype" w:eastAsia="Palatino Linotype" w:hAnsi="Palatino Linotype" w:cs="Palatino Linotype"/>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bookmarkStart w:id="3" w:name="_heading=h.gjdgxs" w:colFirst="0" w:colLast="0"/>
      <w:bookmarkEnd w:id="3"/>
      <w:r w:rsidRPr="00101E4D">
        <w:rPr>
          <w:rFonts w:ascii="Palatino Linotype" w:eastAsia="Palatino Linotype" w:hAnsi="Palatino Linotype" w:cs="Palatino Linotype"/>
        </w:rPr>
        <w:t xml:space="preserve">En dichas condiciones, la </w:t>
      </w:r>
      <w:r w:rsidRPr="00101E4D">
        <w:rPr>
          <w:rFonts w:ascii="Palatino Linotype" w:eastAsia="Palatino Linotype" w:hAnsi="Palatino Linotype" w:cs="Palatino Linotype"/>
          <w:i/>
        </w:rPr>
        <w:t>Litis</w:t>
      </w:r>
      <w:r w:rsidRPr="00101E4D">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Pr="00101E4D">
        <w:rPr>
          <w:rFonts w:ascii="Palatino Linotype" w:eastAsia="Palatino Linotype" w:hAnsi="Palatino Linotype" w:cs="Palatino Linotype"/>
          <w:b/>
        </w:rPr>
        <w:t xml:space="preserve"> </w:t>
      </w:r>
      <w:r w:rsidR="00F74819" w:rsidRPr="00101E4D">
        <w:rPr>
          <w:rFonts w:ascii="Palatino Linotype" w:eastAsia="Palatino Linotype" w:hAnsi="Palatino Linotype" w:cs="Palatino Linotype"/>
          <w:b/>
        </w:rPr>
        <w:t xml:space="preserve">I </w:t>
      </w:r>
      <w:r w:rsidRPr="00101E4D">
        <w:rPr>
          <w:rFonts w:ascii="Palatino Linotype" w:eastAsia="Palatino Linotype" w:hAnsi="Palatino Linotype" w:cs="Palatino Linotype"/>
        </w:rPr>
        <w:t xml:space="preserve">de la </w:t>
      </w:r>
      <w:r w:rsidRPr="00101E4D">
        <w:rPr>
          <w:rFonts w:ascii="Palatino Linotype" w:eastAsia="Palatino Linotype" w:hAnsi="Palatino Linotype" w:cs="Palatino Linotype"/>
          <w:b/>
        </w:rPr>
        <w:t>Ley de Transparencia y Acceso a la Información Pública del Estado de México y Municipios</w:t>
      </w:r>
      <w:r w:rsidRPr="00101E4D">
        <w:rPr>
          <w:rFonts w:ascii="Palatino Linotype" w:eastAsia="Palatino Linotype" w:hAnsi="Palatino Linotype" w:cs="Palatino Linotype"/>
        </w:rPr>
        <w:t>.</w:t>
      </w:r>
    </w:p>
    <w:p w:rsidR="00E94D86" w:rsidRPr="00101E4D" w:rsidRDefault="00E94D86" w:rsidP="00C82ED1">
      <w:pPr>
        <w:ind w:right="1"/>
        <w:jc w:val="both"/>
        <w:rPr>
          <w:rFonts w:ascii="Palatino Linotype" w:eastAsia="Palatino Linotype" w:hAnsi="Palatino Linotype" w:cs="Palatino Linotype"/>
          <w:b/>
        </w:rPr>
      </w:pPr>
    </w:p>
    <w:p w:rsidR="00E94D86" w:rsidRPr="00101E4D" w:rsidRDefault="001E3125">
      <w:pPr>
        <w:pStyle w:val="Ttulo2"/>
        <w:spacing w:before="0" w:line="360" w:lineRule="auto"/>
        <w:ind w:right="1"/>
        <w:rPr>
          <w:rFonts w:ascii="Palatino Linotype" w:eastAsia="Palatino Linotype" w:hAnsi="Palatino Linotype" w:cs="Palatino Linotype"/>
          <w:b/>
          <w:color w:val="000000"/>
          <w:sz w:val="24"/>
          <w:szCs w:val="24"/>
        </w:rPr>
      </w:pPr>
      <w:r w:rsidRPr="00101E4D">
        <w:rPr>
          <w:rFonts w:ascii="Palatino Linotype" w:eastAsia="Palatino Linotype" w:hAnsi="Palatino Linotype" w:cs="Palatino Linotype"/>
          <w:b/>
          <w:color w:val="000000"/>
          <w:sz w:val="24"/>
          <w:szCs w:val="24"/>
        </w:rPr>
        <w:t>CUARTA. Estudio y resolución del asunto.</w:t>
      </w:r>
    </w:p>
    <w:p w:rsidR="00E94D86" w:rsidRPr="00101E4D" w:rsidRDefault="001E3125" w:rsidP="00831332">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b/>
        </w:rPr>
        <w:t xml:space="preserve"> </w:t>
      </w:r>
      <w:r w:rsidRPr="00101E4D">
        <w:rPr>
          <w:rFonts w:ascii="Palatino Linotype" w:eastAsia="Palatino Linotype" w:hAnsi="Palatino Linotype" w:cs="Palatino Linotype"/>
        </w:rPr>
        <w:t xml:space="preserve">El </w:t>
      </w:r>
      <w:r w:rsidRPr="00101E4D">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101E4D">
        <w:rPr>
          <w:rFonts w:ascii="Palatino Linotype" w:eastAsia="Palatino Linotype" w:hAnsi="Palatino Linotype" w:cs="Palatino Linotype"/>
        </w:rPr>
        <w:t>Particular</w:t>
      </w:r>
      <w:r w:rsidRPr="00101E4D">
        <w:rPr>
          <w:rFonts w:ascii="Palatino Linotype" w:eastAsia="Palatino Linotype" w:hAnsi="Palatino Linotype" w:cs="Palatino Linotype"/>
          <w:color w:val="000000"/>
        </w:rPr>
        <w:t xml:space="preserve"> del Estado de México.</w:t>
      </w:r>
    </w:p>
    <w:p w:rsidR="0042456D" w:rsidRPr="00101E4D" w:rsidRDefault="0042456D" w:rsidP="0042456D">
      <w:pPr>
        <w:spacing w:line="360" w:lineRule="auto"/>
        <w:ind w:right="1"/>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color w:val="000000"/>
        </w:rPr>
        <w:t xml:space="preserve">Definiendo </w:t>
      </w:r>
      <w:r w:rsidRPr="00101E4D">
        <w:rPr>
          <w:rFonts w:ascii="Palatino Linotype" w:eastAsia="Palatino Linotype" w:hAnsi="Palatino Linotype" w:cs="Palatino Linotype"/>
        </w:rPr>
        <w:t xml:space="preserve">el Derecho de Acceso a la Información Pública como: </w:t>
      </w:r>
      <w:r w:rsidRPr="00101E4D">
        <w:rPr>
          <w:rFonts w:ascii="Palatino Linotype" w:eastAsia="Palatino Linotype" w:hAnsi="Palatino Linotype" w:cs="Palatino Linotype"/>
          <w:i/>
          <w:color w:val="000000"/>
        </w:rPr>
        <w:t xml:space="preserve">La igualdad de </w:t>
      </w:r>
      <w:r w:rsidRPr="00101E4D">
        <w:rPr>
          <w:rFonts w:ascii="Palatino Linotype" w:eastAsia="Palatino Linotype" w:hAnsi="Palatino Linotype" w:cs="Palatino Linotype"/>
        </w:rPr>
        <w:t>oportunidades</w:t>
      </w:r>
      <w:r w:rsidRPr="00101E4D">
        <w:rPr>
          <w:rFonts w:ascii="Palatino Linotype" w:eastAsia="Palatino Linotype" w:hAnsi="Palatino Linotype" w:cs="Palatino Linotype"/>
          <w:i/>
          <w:color w:val="000000"/>
        </w:rPr>
        <w:t xml:space="preserve"> para recibir, buscar e impartir información</w:t>
      </w:r>
      <w:r w:rsidRPr="00101E4D">
        <w:rPr>
          <w:rFonts w:ascii="Palatino Linotype" w:eastAsia="Palatino Linotype" w:hAnsi="Palatino Linotype" w:cs="Palatino Linotype"/>
          <w:i/>
          <w:color w:val="000000"/>
          <w:vertAlign w:val="superscript"/>
        </w:rPr>
        <w:footnoteReference w:id="1"/>
      </w:r>
      <w:r w:rsidRPr="00101E4D">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01E4D">
        <w:rPr>
          <w:rFonts w:ascii="Palatino Linotype" w:eastAsia="Palatino Linotype" w:hAnsi="Palatino Linotype" w:cs="Palatino Linotype"/>
          <w:i/>
          <w:color w:val="000000"/>
          <w:vertAlign w:val="superscript"/>
        </w:rPr>
        <w:footnoteReference w:id="2"/>
      </w:r>
      <w:r w:rsidRPr="00101E4D">
        <w:rPr>
          <w:rFonts w:ascii="Palatino Linotype" w:eastAsia="Palatino Linotype" w:hAnsi="Palatino Linotype" w:cs="Palatino Linotype"/>
          <w:color w:val="000000"/>
        </w:rPr>
        <w:t>que se constituye como una herramienta fundamental para ejercer</w:t>
      </w:r>
      <w:r w:rsidRPr="00101E4D">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101E4D">
        <w:rPr>
          <w:rFonts w:ascii="Palatino Linotype" w:eastAsia="Palatino Linotype" w:hAnsi="Palatino Linotype" w:cs="Palatino Linotype"/>
          <w:i/>
          <w:color w:val="000000"/>
          <w:vertAlign w:val="superscript"/>
        </w:rPr>
        <w:footnoteReference w:id="3"/>
      </w:r>
      <w:r w:rsidRPr="00101E4D">
        <w:rPr>
          <w:rFonts w:ascii="Palatino Linotype" w:eastAsia="Palatino Linotype" w:hAnsi="Palatino Linotype" w:cs="Palatino Linotype"/>
          <w:color w:val="000000"/>
        </w:rPr>
        <w:t>fomentando</w:t>
      </w:r>
      <w:r w:rsidRPr="00101E4D">
        <w:rPr>
          <w:rFonts w:ascii="Palatino Linotype" w:eastAsia="Palatino Linotype" w:hAnsi="Palatino Linotype" w:cs="Palatino Linotype"/>
          <w:i/>
          <w:color w:val="000000"/>
        </w:rPr>
        <w:t xml:space="preserve"> la transparencia de las actividades estatales y </w:t>
      </w:r>
      <w:r w:rsidRPr="00101E4D">
        <w:rPr>
          <w:rFonts w:ascii="Palatino Linotype" w:eastAsia="Palatino Linotype" w:hAnsi="Palatino Linotype" w:cs="Palatino Linotype"/>
          <w:color w:val="000000"/>
        </w:rPr>
        <w:lastRenderedPageBreak/>
        <w:t>promoviendo</w:t>
      </w:r>
      <w:r w:rsidRPr="00101E4D">
        <w:rPr>
          <w:rFonts w:ascii="Palatino Linotype" w:eastAsia="Palatino Linotype" w:hAnsi="Palatino Linotype" w:cs="Palatino Linotype"/>
          <w:i/>
          <w:color w:val="000000"/>
        </w:rPr>
        <w:t xml:space="preserve"> la responsabilidad de los funcionarios sobre su gestión pública,</w:t>
      </w:r>
      <w:r w:rsidRPr="00101E4D">
        <w:rPr>
          <w:rFonts w:ascii="Palatino Linotype" w:eastAsia="Palatino Linotype" w:hAnsi="Palatino Linotype" w:cs="Palatino Linotype"/>
          <w:i/>
          <w:color w:val="000000"/>
          <w:vertAlign w:val="superscript"/>
        </w:rPr>
        <w:footnoteReference w:id="4"/>
      </w:r>
      <w:r w:rsidRPr="00101E4D">
        <w:rPr>
          <w:rFonts w:ascii="Palatino Linotype" w:eastAsia="Palatino Linotype" w:hAnsi="Palatino Linotype" w:cs="Palatino Linotype"/>
          <w:color w:val="000000"/>
        </w:rPr>
        <w:t>que permite</w:t>
      </w:r>
      <w:r w:rsidRPr="00101E4D">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E94D86" w:rsidRPr="00101E4D" w:rsidRDefault="00E94D86" w:rsidP="00827BFE">
      <w:pPr>
        <w:ind w:right="1"/>
        <w:rPr>
          <w:rFonts w:ascii="Palatino Linotype" w:eastAsia="Palatino Linotype" w:hAnsi="Palatino Linotype" w:cs="Palatino Linotype"/>
          <w:color w:val="000000"/>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color w:val="000000"/>
        </w:rPr>
        <w:t xml:space="preserve">En </w:t>
      </w:r>
      <w:r w:rsidRPr="00101E4D">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i/>
        </w:rPr>
        <w:t>“</w:t>
      </w:r>
      <w:r w:rsidRPr="00101E4D">
        <w:rPr>
          <w:rFonts w:ascii="Palatino Linotype" w:eastAsia="Palatino Linotype" w:hAnsi="Palatino Linotype" w:cs="Palatino Linotype"/>
          <w:b/>
          <w:i/>
        </w:rPr>
        <w:t>Artículo 1.-</w:t>
      </w:r>
      <w:r w:rsidRPr="00101E4D">
        <w:rPr>
          <w:rFonts w:ascii="Palatino Linotype" w:eastAsia="Palatino Linotype" w:hAnsi="Palatino Linotype" w:cs="Palatino Linotype"/>
          <w:i/>
        </w:rPr>
        <w:t xml:space="preserve"> </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i/>
        </w:rPr>
        <w:t>(…)</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i/>
        </w:rPr>
        <w:t>Todas las</w:t>
      </w:r>
      <w:r w:rsidRPr="00101E4D">
        <w:rPr>
          <w:rFonts w:ascii="Palatino Linotype" w:eastAsia="Palatino Linotype" w:hAnsi="Palatino Linotype" w:cs="Palatino Linotype"/>
        </w:rPr>
        <w:t xml:space="preserve"> </w:t>
      </w:r>
      <w:r w:rsidRPr="00101E4D">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E94D86" w:rsidRPr="00101E4D" w:rsidRDefault="001E3125">
      <w:pPr>
        <w:ind w:left="567" w:right="710"/>
        <w:jc w:val="both"/>
        <w:rPr>
          <w:rFonts w:ascii="Palatino Linotype" w:eastAsia="Palatino Linotype" w:hAnsi="Palatino Linotype" w:cs="Palatino Linotype"/>
        </w:rPr>
      </w:pPr>
      <w:r w:rsidRPr="00101E4D">
        <w:rPr>
          <w:rFonts w:ascii="Palatino Linotype" w:eastAsia="Palatino Linotype" w:hAnsi="Palatino Linotype" w:cs="Palatino Linotype"/>
          <w:i/>
        </w:rPr>
        <w:t>(…)</w:t>
      </w:r>
      <w:r w:rsidRPr="00101E4D">
        <w:rPr>
          <w:rFonts w:ascii="Palatino Linotype" w:eastAsia="Palatino Linotype" w:hAnsi="Palatino Linotype" w:cs="Palatino Linotype"/>
        </w:rPr>
        <w:t>”</w:t>
      </w:r>
    </w:p>
    <w:p w:rsidR="00E94D86" w:rsidRDefault="00E94D86" w:rsidP="000A31EF">
      <w:pPr>
        <w:ind w:right="-592"/>
        <w:jc w:val="both"/>
        <w:rPr>
          <w:rFonts w:ascii="Palatino Linotype" w:eastAsia="Palatino Linotype" w:hAnsi="Palatino Linotype" w:cs="Palatino Linotype"/>
          <w:b/>
        </w:rPr>
      </w:pPr>
    </w:p>
    <w:p w:rsidR="000F6CE9" w:rsidRPr="00101E4D" w:rsidRDefault="000F6CE9" w:rsidP="000A31EF">
      <w:pPr>
        <w:ind w:right="-592"/>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color w:val="000000"/>
        </w:rPr>
        <w:t xml:space="preserve">Por </w:t>
      </w:r>
      <w:r w:rsidRPr="00101E4D">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E94D86" w:rsidRPr="00101E4D" w:rsidRDefault="00E94D86" w:rsidP="000A31EF">
      <w:pPr>
        <w:ind w:right="1"/>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color w:val="000000"/>
        </w:rPr>
        <w:t xml:space="preserve">Así </w:t>
      </w:r>
      <w:r w:rsidRPr="00101E4D">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E94D86" w:rsidRPr="00101E4D" w:rsidRDefault="001E3125">
      <w:pPr>
        <w:ind w:left="567" w:right="710"/>
        <w:jc w:val="both"/>
        <w:rPr>
          <w:rFonts w:ascii="Palatino Linotype" w:eastAsia="Palatino Linotype" w:hAnsi="Palatino Linotype" w:cs="Palatino Linotype"/>
          <w:b/>
          <w:i/>
        </w:rPr>
      </w:pPr>
      <w:r w:rsidRPr="00101E4D">
        <w:rPr>
          <w:rFonts w:ascii="Palatino Linotype" w:eastAsia="Palatino Linotype" w:hAnsi="Palatino Linotype" w:cs="Palatino Linotype"/>
          <w:b/>
          <w:i/>
        </w:rPr>
        <w:lastRenderedPageBreak/>
        <w:t>Constitución Política de los Estados Unidos Mexicanos</w:t>
      </w:r>
    </w:p>
    <w:p w:rsidR="00E94D86" w:rsidRPr="00101E4D" w:rsidRDefault="00E94D86">
      <w:pPr>
        <w:ind w:left="567" w:right="710"/>
        <w:jc w:val="both"/>
        <w:rPr>
          <w:rFonts w:ascii="Palatino Linotype" w:eastAsia="Palatino Linotype" w:hAnsi="Palatino Linotype" w:cs="Palatino Linotype"/>
          <w:b/>
          <w:i/>
        </w:rPr>
      </w:pPr>
    </w:p>
    <w:p w:rsidR="00E94D86" w:rsidRPr="00101E4D" w:rsidRDefault="001E3125">
      <w:pPr>
        <w:ind w:left="567" w:right="710"/>
        <w:jc w:val="both"/>
        <w:rPr>
          <w:rFonts w:ascii="Palatino Linotype" w:eastAsia="Palatino Linotype" w:hAnsi="Palatino Linotype" w:cs="Palatino Linotype"/>
          <w:b/>
          <w:i/>
        </w:rPr>
      </w:pPr>
      <w:r w:rsidRPr="00101E4D">
        <w:rPr>
          <w:rFonts w:ascii="Palatino Linotype" w:eastAsia="Palatino Linotype" w:hAnsi="Palatino Linotype" w:cs="Palatino Linotype"/>
          <w:b/>
          <w:i/>
        </w:rPr>
        <w:t>“Artículo 6.</w:t>
      </w:r>
      <w:r w:rsidRPr="00101E4D">
        <w:rPr>
          <w:rFonts w:ascii="Palatino Linotype" w:eastAsia="Palatino Linotype" w:hAnsi="Palatino Linotype" w:cs="Palatino Linotype"/>
          <w:i/>
        </w:rPr>
        <w:t xml:space="preserve"> …</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i/>
        </w:rPr>
        <w:t>…</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i/>
        </w:rPr>
        <w:t>Para efectos de lo dispuesto en el presente artículo se observará lo siguiente:</w:t>
      </w:r>
    </w:p>
    <w:p w:rsidR="00E94D86" w:rsidRPr="00101E4D" w:rsidRDefault="001E3125">
      <w:pPr>
        <w:ind w:left="567" w:right="710"/>
        <w:jc w:val="both"/>
        <w:rPr>
          <w:rFonts w:ascii="Palatino Linotype" w:eastAsia="Palatino Linotype" w:hAnsi="Palatino Linotype" w:cs="Palatino Linotype"/>
          <w:b/>
          <w:i/>
        </w:rPr>
      </w:pPr>
      <w:r w:rsidRPr="00101E4D">
        <w:rPr>
          <w:rFonts w:ascii="Palatino Linotype" w:eastAsia="Palatino Linotype" w:hAnsi="Palatino Linotype" w:cs="Palatino Linotype"/>
          <w:b/>
          <w:i/>
        </w:rPr>
        <w:t>A</w:t>
      </w:r>
      <w:r w:rsidRPr="00101E4D">
        <w:rPr>
          <w:rFonts w:ascii="Palatino Linotype" w:eastAsia="Palatino Linotype" w:hAnsi="Palatino Linotype" w:cs="Palatino Linotype"/>
          <w:i/>
        </w:rPr>
        <w:t xml:space="preserve">. </w:t>
      </w:r>
      <w:r w:rsidRPr="00101E4D">
        <w:rPr>
          <w:rFonts w:ascii="Palatino Linotype" w:eastAsia="Palatino Linotype" w:hAnsi="Palatino Linotype" w:cs="Palatino Linotype"/>
          <w:b/>
          <w:i/>
        </w:rPr>
        <w:t>Para el ejercicio del derecho de acceso a la información</w:t>
      </w:r>
      <w:r w:rsidRPr="00101E4D">
        <w:rPr>
          <w:rFonts w:ascii="Palatino Linotype" w:eastAsia="Palatino Linotype" w:hAnsi="Palatino Linotype" w:cs="Palatino Linotype"/>
          <w:i/>
        </w:rPr>
        <w:t xml:space="preserve">, la Federación y </w:t>
      </w:r>
      <w:r w:rsidRPr="00101E4D">
        <w:rPr>
          <w:rFonts w:ascii="Palatino Linotype" w:eastAsia="Palatino Linotype" w:hAnsi="Palatino Linotype" w:cs="Palatino Linotype"/>
          <w:b/>
          <w:i/>
        </w:rPr>
        <w:t>las entidades federativas, en el ámbito de sus respectivas competencias, se regirán por los siguientes principios y bases:</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b/>
          <w:i/>
        </w:rPr>
        <w:t xml:space="preserve">I. </w:t>
      </w:r>
      <w:r w:rsidRPr="00101E4D">
        <w:rPr>
          <w:rFonts w:ascii="Palatino Linotype" w:eastAsia="Palatino Linotype" w:hAnsi="Palatino Linotype" w:cs="Palatino Linotype"/>
          <w:b/>
          <w:i/>
        </w:rPr>
        <w:tab/>
        <w:t>Toda la información en posesión de cualquier</w:t>
      </w:r>
      <w:r w:rsidRPr="00101E4D">
        <w:rPr>
          <w:rFonts w:ascii="Palatino Linotype" w:eastAsia="Palatino Linotype" w:hAnsi="Palatino Linotype" w:cs="Palatino Linotype"/>
          <w:i/>
        </w:rPr>
        <w:t xml:space="preserve"> </w:t>
      </w:r>
      <w:r w:rsidRPr="00101E4D">
        <w:rPr>
          <w:rFonts w:ascii="Palatino Linotype" w:eastAsia="Palatino Linotype" w:hAnsi="Palatino Linotype" w:cs="Palatino Linotype"/>
          <w:b/>
          <w:i/>
        </w:rPr>
        <w:t>autoridad</w:t>
      </w:r>
      <w:r w:rsidRPr="00101E4D">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01E4D">
        <w:rPr>
          <w:rFonts w:ascii="Palatino Linotype" w:eastAsia="Palatino Linotype" w:hAnsi="Palatino Linotype" w:cs="Palatino Linotype"/>
          <w:b/>
          <w:i/>
        </w:rPr>
        <w:t>municipal</w:t>
      </w:r>
      <w:r w:rsidRPr="00101E4D">
        <w:rPr>
          <w:rFonts w:ascii="Palatino Linotype" w:eastAsia="Palatino Linotype" w:hAnsi="Palatino Linotype" w:cs="Palatino Linotype"/>
          <w:i/>
        </w:rPr>
        <w:t xml:space="preserve">, </w:t>
      </w:r>
      <w:r w:rsidRPr="00101E4D">
        <w:rPr>
          <w:rFonts w:ascii="Palatino Linotype" w:eastAsia="Palatino Linotype" w:hAnsi="Palatino Linotype" w:cs="Palatino Linotype"/>
          <w:b/>
          <w:i/>
        </w:rPr>
        <w:t>es pública</w:t>
      </w:r>
      <w:r w:rsidRPr="00101E4D">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101E4D">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101E4D">
        <w:rPr>
          <w:rFonts w:ascii="Palatino Linotype" w:eastAsia="Palatino Linotype" w:hAnsi="Palatino Linotype" w:cs="Palatino Linotype"/>
          <w:i/>
        </w:rPr>
        <w:t>, la ley determinará los supuestos específicos bajo los cuales procederá la declaración de inexistencia de la información.”</w:t>
      </w:r>
    </w:p>
    <w:p w:rsidR="00E94D86" w:rsidRPr="00101E4D" w:rsidRDefault="00E94D86" w:rsidP="00831332">
      <w:pPr>
        <w:tabs>
          <w:tab w:val="left" w:pos="426"/>
          <w:tab w:val="left" w:pos="567"/>
        </w:tabs>
        <w:ind w:left="567" w:right="710"/>
        <w:jc w:val="both"/>
        <w:rPr>
          <w:rFonts w:ascii="Palatino Linotype" w:eastAsia="Palatino Linotype" w:hAnsi="Palatino Linotype" w:cs="Palatino Linotype"/>
          <w:color w:val="000000"/>
        </w:rPr>
      </w:pPr>
    </w:p>
    <w:p w:rsidR="00E94D86" w:rsidRPr="00101E4D" w:rsidRDefault="001E3125">
      <w:pPr>
        <w:ind w:left="567" w:right="710"/>
        <w:jc w:val="both"/>
        <w:rPr>
          <w:rFonts w:ascii="Palatino Linotype" w:eastAsia="Palatino Linotype" w:hAnsi="Palatino Linotype" w:cs="Palatino Linotype"/>
          <w:b/>
          <w:i/>
        </w:rPr>
      </w:pPr>
      <w:r w:rsidRPr="00101E4D">
        <w:rPr>
          <w:rFonts w:ascii="Palatino Linotype" w:eastAsia="Palatino Linotype" w:hAnsi="Palatino Linotype" w:cs="Palatino Linotype"/>
          <w:b/>
          <w:i/>
        </w:rPr>
        <w:t>Constitución Política del Estado Libre y Soberano de México</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b/>
          <w:i/>
        </w:rPr>
        <w:t>“Artículo 5</w:t>
      </w:r>
      <w:r w:rsidRPr="00101E4D">
        <w:rPr>
          <w:rFonts w:ascii="Palatino Linotype" w:eastAsia="Palatino Linotype" w:hAnsi="Palatino Linotype" w:cs="Palatino Linotype"/>
          <w:i/>
        </w:rPr>
        <w:t>.-…</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i/>
        </w:rPr>
        <w:t>…</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101E4D">
        <w:rPr>
          <w:rFonts w:ascii="Palatino Linotype" w:eastAsia="Palatino Linotype" w:hAnsi="Palatino Linotype" w:cs="Palatino Linotype"/>
          <w:i/>
        </w:rPr>
        <w:t>.</w:t>
      </w: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E94D86" w:rsidRPr="00101E4D" w:rsidRDefault="00E94D86">
      <w:pPr>
        <w:ind w:left="567" w:right="710"/>
        <w:jc w:val="both"/>
        <w:rPr>
          <w:rFonts w:ascii="Palatino Linotype" w:eastAsia="Palatino Linotype" w:hAnsi="Palatino Linotype" w:cs="Palatino Linotype"/>
          <w:i/>
        </w:rPr>
      </w:pPr>
    </w:p>
    <w:p w:rsidR="00E94D86" w:rsidRPr="00101E4D" w:rsidRDefault="001E3125">
      <w:pPr>
        <w:ind w:left="567" w:right="710"/>
        <w:jc w:val="both"/>
        <w:rPr>
          <w:rFonts w:ascii="Palatino Linotype" w:eastAsia="Palatino Linotype" w:hAnsi="Palatino Linotype" w:cs="Palatino Linotype"/>
          <w:i/>
        </w:rPr>
      </w:pPr>
      <w:r w:rsidRPr="00101E4D">
        <w:rPr>
          <w:rFonts w:ascii="Palatino Linotype" w:eastAsia="Palatino Linotype" w:hAnsi="Palatino Linotype" w:cs="Palatino Linotype"/>
          <w:b/>
          <w:i/>
        </w:rPr>
        <w:t>Este derecho se regirá por los principios y bases siguientes</w:t>
      </w:r>
      <w:r w:rsidRPr="00101E4D">
        <w:rPr>
          <w:rFonts w:ascii="Palatino Linotype" w:eastAsia="Palatino Linotype" w:hAnsi="Palatino Linotype" w:cs="Palatino Linotype"/>
          <w:i/>
        </w:rPr>
        <w:t>:</w:t>
      </w:r>
    </w:p>
    <w:p w:rsidR="00E94D86" w:rsidRPr="00101E4D" w:rsidRDefault="001E3125">
      <w:pPr>
        <w:ind w:left="567" w:right="710"/>
        <w:jc w:val="both"/>
        <w:rPr>
          <w:rFonts w:ascii="Palatino Linotype" w:eastAsia="Palatino Linotype" w:hAnsi="Palatino Linotype" w:cs="Palatino Linotype"/>
          <w:b/>
        </w:rPr>
      </w:pPr>
      <w:r w:rsidRPr="00101E4D">
        <w:rPr>
          <w:rFonts w:ascii="Palatino Linotype" w:eastAsia="Palatino Linotype" w:hAnsi="Palatino Linotype" w:cs="Palatino Linotype"/>
          <w:b/>
          <w:i/>
        </w:rPr>
        <w:t>Toda la información en posesión de cualquier autoridad, entidad, órgano y organismos de los</w:t>
      </w:r>
      <w:r w:rsidRPr="00101E4D">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101E4D">
        <w:rPr>
          <w:rFonts w:ascii="Palatino Linotype" w:eastAsia="Palatino Linotype" w:hAnsi="Palatino Linotype" w:cs="Palatino Linotype"/>
          <w:b/>
          <w:i/>
        </w:rPr>
        <w:t>municipales</w:t>
      </w:r>
      <w:r w:rsidRPr="00101E4D">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01E4D">
        <w:rPr>
          <w:rFonts w:ascii="Palatino Linotype" w:eastAsia="Palatino Linotype" w:hAnsi="Palatino Linotype" w:cs="Palatino Linotype"/>
          <w:b/>
          <w:i/>
        </w:rPr>
        <w:t>es pública</w:t>
      </w:r>
      <w:r w:rsidRPr="00101E4D">
        <w:rPr>
          <w:rFonts w:ascii="Palatino Linotype" w:eastAsia="Palatino Linotype" w:hAnsi="Palatino Linotype" w:cs="Palatino Linotype"/>
          <w:i/>
        </w:rPr>
        <w:t xml:space="preserve"> y sólo podrá ser </w:t>
      </w:r>
      <w:r w:rsidRPr="00101E4D">
        <w:rPr>
          <w:rFonts w:ascii="Palatino Linotype" w:eastAsia="Palatino Linotype" w:hAnsi="Palatino Linotype" w:cs="Palatino Linotype"/>
          <w:i/>
        </w:rPr>
        <w:lastRenderedPageBreak/>
        <w:t xml:space="preserve">reservada temporalmente por razones previstas en la Constitución Política de los Estados Unidos Mexicanos de interés público y seguridad, en los términos que fijen las leyes. </w:t>
      </w:r>
      <w:r w:rsidRPr="00101E4D">
        <w:rPr>
          <w:rFonts w:ascii="Palatino Linotype" w:eastAsia="Palatino Linotype" w:hAnsi="Palatino Linotype" w:cs="Palatino Linotype"/>
          <w:b/>
          <w:i/>
        </w:rPr>
        <w:t>En la interpretación de este derecho deberá prevalecer el principio de máxima publicidad</w:t>
      </w:r>
      <w:r w:rsidRPr="00101E4D">
        <w:rPr>
          <w:rFonts w:ascii="Palatino Linotype" w:eastAsia="Palatino Linotype" w:hAnsi="Palatino Linotype" w:cs="Palatino Linotype"/>
          <w:i/>
        </w:rPr>
        <w:t xml:space="preserve">. </w:t>
      </w:r>
      <w:r w:rsidRPr="00101E4D">
        <w:rPr>
          <w:rFonts w:ascii="Palatino Linotype" w:eastAsia="Palatino Linotype" w:hAnsi="Palatino Linotype" w:cs="Palatino Linotype"/>
          <w:b/>
          <w:i/>
        </w:rPr>
        <w:t>Los sujetos obligados deberán documentar todo acto que derive del ejercicio de sus facultades, competencias o funciones</w:t>
      </w:r>
      <w:r w:rsidRPr="00101E4D">
        <w:rPr>
          <w:rFonts w:ascii="Palatino Linotype" w:eastAsia="Palatino Linotype" w:hAnsi="Palatino Linotype" w:cs="Palatino Linotype"/>
          <w:i/>
        </w:rPr>
        <w:t>, la ley determinará los supuestos específicos bajo los cuales procederá la declaración de inexistencia de la información.”</w:t>
      </w:r>
    </w:p>
    <w:p w:rsidR="00E94D86" w:rsidRPr="00101E4D" w:rsidRDefault="00E94D86" w:rsidP="000A31EF">
      <w:pPr>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color w:val="000000"/>
        </w:rPr>
        <w:t xml:space="preserve">Según </w:t>
      </w:r>
      <w:r w:rsidRPr="00101E4D">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101E4D">
        <w:rPr>
          <w:rFonts w:ascii="Palatino Linotype" w:eastAsia="Palatino Linotype" w:hAnsi="Palatino Linotype" w:cs="Palatino Linotype"/>
          <w:i/>
        </w:rPr>
        <w:t>por los principios de simplicidad, rapidez gratuidad del procedimiento, auxilio y orientación a los particulares</w:t>
      </w:r>
      <w:r w:rsidRPr="00101E4D">
        <w:rPr>
          <w:rFonts w:ascii="Palatino Linotype" w:eastAsia="Palatino Linotype" w:hAnsi="Palatino Linotype" w:cs="Palatino Linotype"/>
        </w:rPr>
        <w:t>, contemplando el derecho de las personas con discapacidad y hablantes de lengua indígena.</w:t>
      </w:r>
    </w:p>
    <w:p w:rsidR="00E94D86" w:rsidRPr="00101E4D" w:rsidRDefault="00E94D86" w:rsidP="000A31EF">
      <w:pPr>
        <w:ind w:right="-592"/>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color w:val="000000"/>
        </w:rPr>
        <w:t xml:space="preserve">El </w:t>
      </w:r>
      <w:r w:rsidRPr="00101E4D">
        <w:rPr>
          <w:rFonts w:ascii="Palatino Linotype" w:eastAsia="Palatino Linotype" w:hAnsi="Palatino Linotype" w:cs="Palatino Linotype"/>
        </w:rPr>
        <w:t xml:space="preserve">Derecho de Acceso a la Información se garantiza y respeta oportunamente, y según lo que dispone la Ley, las </w:t>
      </w:r>
      <w:r w:rsidRPr="00101E4D">
        <w:rPr>
          <w:rFonts w:ascii="Palatino Linotype" w:eastAsia="Palatino Linotype" w:hAnsi="Palatino Linotype" w:cs="Palatino Linotype"/>
          <w:i/>
        </w:rPr>
        <w:t>solicitudes de acceso a la información</w:t>
      </w:r>
      <w:r w:rsidRPr="00101E4D">
        <w:rPr>
          <w:rFonts w:ascii="Palatino Linotype" w:eastAsia="Palatino Linotype" w:hAnsi="Palatino Linotype" w:cs="Palatino Linotype"/>
        </w:rPr>
        <w:t>.</w:t>
      </w:r>
    </w:p>
    <w:p w:rsidR="0033488B" w:rsidRPr="00101E4D" w:rsidRDefault="0033488B" w:rsidP="000A31EF">
      <w:pPr>
        <w:ind w:right="1"/>
        <w:jc w:val="both"/>
        <w:rPr>
          <w:rFonts w:ascii="Palatino Linotype" w:eastAsia="Palatino Linotype" w:hAnsi="Palatino Linotype" w:cs="Palatino Linotype"/>
          <w:b/>
        </w:rPr>
      </w:pP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color w:val="000000"/>
        </w:rPr>
        <w:t xml:space="preserve">Así </w:t>
      </w:r>
      <w:r w:rsidRPr="00101E4D">
        <w:rPr>
          <w:rFonts w:ascii="Palatino Linotype" w:eastAsia="Palatino Linotype" w:hAnsi="Palatino Linotype" w:cs="Palatino Linotype"/>
        </w:rPr>
        <w:t xml:space="preserve">entonces, se procede analizar, en primer lugar, si el </w:t>
      </w:r>
      <w:r w:rsidRPr="00101E4D">
        <w:rPr>
          <w:rFonts w:ascii="Palatino Linotype" w:eastAsia="Palatino Linotype" w:hAnsi="Palatino Linotype" w:cs="Palatino Linotype"/>
          <w:b/>
        </w:rPr>
        <w:t>SUJETO OBLIGADO</w:t>
      </w:r>
      <w:r w:rsidRPr="00101E4D">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E94D86" w:rsidRPr="00101E4D" w:rsidRDefault="00E94D86" w:rsidP="000A31EF">
      <w:pPr>
        <w:rPr>
          <w:rFonts w:ascii="Palatino Linotype" w:eastAsia="Palatino Linotype" w:hAnsi="Palatino Linotype" w:cs="Palatino Linotype"/>
          <w:b/>
        </w:rPr>
      </w:pPr>
    </w:p>
    <w:p w:rsidR="00E94D86" w:rsidRPr="00101E4D" w:rsidRDefault="001E3125">
      <w:pPr>
        <w:keepNext/>
        <w:keepLines/>
        <w:numPr>
          <w:ilvl w:val="1"/>
          <w:numId w:val="2"/>
        </w:numPr>
        <w:spacing w:line="360" w:lineRule="auto"/>
        <w:ind w:left="567" w:right="-592"/>
        <w:jc w:val="both"/>
        <w:rPr>
          <w:rFonts w:ascii="Palatino Linotype" w:eastAsia="Palatino Linotype" w:hAnsi="Palatino Linotype" w:cs="Palatino Linotype"/>
          <w:b/>
        </w:rPr>
      </w:pPr>
      <w:r w:rsidRPr="00101E4D">
        <w:rPr>
          <w:rFonts w:ascii="Palatino Linotype" w:eastAsia="Palatino Linotype" w:hAnsi="Palatino Linotype" w:cs="Palatino Linotype"/>
          <w:b/>
        </w:rPr>
        <w:t>De la información solicitada y la respuesta del SUJETO OBLIGADO.</w:t>
      </w:r>
    </w:p>
    <w:p w:rsidR="00E94D86" w:rsidRPr="00101E4D" w:rsidRDefault="001E3125">
      <w:pPr>
        <w:numPr>
          <w:ilvl w:val="0"/>
          <w:numId w:val="1"/>
        </w:numPr>
        <w:spacing w:line="360" w:lineRule="auto"/>
        <w:ind w:left="0" w:right="1" w:firstLine="0"/>
        <w:jc w:val="both"/>
        <w:rPr>
          <w:rFonts w:ascii="Palatino Linotype" w:eastAsia="Palatino Linotype" w:hAnsi="Palatino Linotype" w:cs="Palatino Linotype"/>
          <w:b/>
        </w:rPr>
      </w:pPr>
      <w:bookmarkStart w:id="4" w:name="_heading=h.30j0zll" w:colFirst="0" w:colLast="0"/>
      <w:bookmarkEnd w:id="4"/>
      <w:r w:rsidRPr="00101E4D">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F74819" w:rsidRPr="00101E4D" w:rsidRDefault="001E3125" w:rsidP="00F74819">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lastRenderedPageBreak/>
        <w:t xml:space="preserve">Así, </w:t>
      </w:r>
      <w:r w:rsidR="0042456D" w:rsidRPr="00101E4D">
        <w:rPr>
          <w:rFonts w:ascii="Palatino Linotype" w:eastAsia="Palatino Linotype" w:hAnsi="Palatino Linotype" w:cs="Palatino Linotype"/>
        </w:rPr>
        <w:t xml:space="preserve">resulta conveniente </w:t>
      </w:r>
      <w:r w:rsidR="003B2544" w:rsidRPr="00101E4D">
        <w:rPr>
          <w:rFonts w:ascii="Palatino Linotype" w:eastAsia="Palatino Linotype" w:hAnsi="Palatino Linotype" w:cs="Palatino Linotype"/>
        </w:rPr>
        <w:t xml:space="preserve">reiterar que el </w:t>
      </w:r>
      <w:r w:rsidR="003B2544" w:rsidRPr="00101E4D">
        <w:rPr>
          <w:rFonts w:ascii="Palatino Linotype" w:eastAsia="Palatino Linotype" w:hAnsi="Palatino Linotype" w:cs="Palatino Linotype"/>
          <w:b/>
        </w:rPr>
        <w:t xml:space="preserve">RECURRENTE </w:t>
      </w:r>
      <w:r w:rsidR="003B2544" w:rsidRPr="00101E4D">
        <w:rPr>
          <w:rFonts w:ascii="Palatino Linotype" w:eastAsia="Palatino Linotype" w:hAnsi="Palatino Linotype" w:cs="Palatino Linotype"/>
        </w:rPr>
        <w:t xml:space="preserve">solicitó </w:t>
      </w:r>
      <w:r w:rsidR="00F74819" w:rsidRPr="00101E4D">
        <w:rPr>
          <w:rFonts w:ascii="Palatino Linotype" w:hAnsi="Palatino Linotype"/>
          <w:color w:val="000000"/>
        </w:rPr>
        <w:t>el número de casetas de vigilancia que se construirán en todo el Municipio, dónde estarán ubicadas, su costo, que empresa las va a construir, los contratos y el proyecto o los expedientes técnicos al 20 de octubre de 2025.</w:t>
      </w:r>
    </w:p>
    <w:p w:rsidR="003B2544" w:rsidRPr="00101E4D" w:rsidRDefault="003B2544" w:rsidP="003B2544">
      <w:pPr>
        <w:spacing w:line="360" w:lineRule="auto"/>
        <w:ind w:right="1"/>
        <w:jc w:val="both"/>
        <w:rPr>
          <w:rFonts w:ascii="Palatino Linotype" w:eastAsia="Palatino Linotype" w:hAnsi="Palatino Linotype" w:cs="Palatino Linotype"/>
          <w:b/>
        </w:rPr>
      </w:pPr>
    </w:p>
    <w:p w:rsidR="00F74819" w:rsidRPr="00101E4D" w:rsidRDefault="003B2544" w:rsidP="00F74819">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 xml:space="preserve">En respuesta, el </w:t>
      </w:r>
      <w:r w:rsidRPr="00101E4D">
        <w:rPr>
          <w:rFonts w:ascii="Palatino Linotype" w:eastAsia="Palatino Linotype" w:hAnsi="Palatino Linotype" w:cs="Palatino Linotype"/>
          <w:b/>
        </w:rPr>
        <w:t>SUJETO OBLIGADO</w:t>
      </w:r>
      <w:r w:rsidRPr="00101E4D">
        <w:rPr>
          <w:rFonts w:ascii="Palatino Linotype" w:eastAsia="Palatino Linotype" w:hAnsi="Palatino Linotype" w:cs="Palatino Linotype"/>
        </w:rPr>
        <w:t xml:space="preserve"> </w:t>
      </w:r>
      <w:r w:rsidR="00EC4B5E" w:rsidRPr="00101E4D">
        <w:rPr>
          <w:rFonts w:ascii="Palatino Linotype" w:eastAsia="Palatino Linotype" w:hAnsi="Palatino Linotype" w:cs="Palatino Linotype"/>
        </w:rPr>
        <w:t xml:space="preserve">por medio </w:t>
      </w:r>
      <w:r w:rsidR="00F74819" w:rsidRPr="00101E4D">
        <w:rPr>
          <w:rFonts w:ascii="Palatino Linotype" w:eastAsia="Palatino Linotype" w:hAnsi="Palatino Linotype" w:cs="Palatino Linotype"/>
        </w:rPr>
        <w:t xml:space="preserve">de </w:t>
      </w:r>
      <w:r w:rsidR="00F74819" w:rsidRPr="00101E4D">
        <w:rPr>
          <w:rFonts w:ascii="Palatino Linotype" w:hAnsi="Palatino Linotype"/>
        </w:rPr>
        <w:t>la Directora de Obras Públicas, informó que no se tiene programada la construcción de casetas de vigilancia en todo el municipio, por lo cual, no se cuenta con la información solicitada.</w:t>
      </w:r>
    </w:p>
    <w:p w:rsidR="003B2544" w:rsidRPr="00101E4D" w:rsidRDefault="003B2544" w:rsidP="003B2544">
      <w:pPr>
        <w:rPr>
          <w:rFonts w:ascii="Palatino Linotype" w:eastAsia="Palatino Linotype" w:hAnsi="Palatino Linotype" w:cs="Palatino Linotype"/>
        </w:rPr>
      </w:pPr>
    </w:p>
    <w:p w:rsidR="003B2544" w:rsidRPr="00101E4D" w:rsidRDefault="003B2544" w:rsidP="003B2544">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Posteriormente, el</w:t>
      </w:r>
      <w:r w:rsidRPr="00101E4D">
        <w:rPr>
          <w:rFonts w:ascii="Palatino Linotype" w:eastAsia="Palatino Linotype" w:hAnsi="Palatino Linotype" w:cs="Palatino Linotype"/>
          <w:b/>
        </w:rPr>
        <w:t xml:space="preserve"> RECURRENTE</w:t>
      </w:r>
      <w:r w:rsidR="00EC4B5E" w:rsidRPr="00101E4D">
        <w:rPr>
          <w:rFonts w:ascii="Palatino Linotype" w:eastAsia="Palatino Linotype" w:hAnsi="Palatino Linotype" w:cs="Palatino Linotype"/>
        </w:rPr>
        <w:t xml:space="preserve"> se inconformó porque </w:t>
      </w:r>
      <w:r w:rsidR="00EC4B5E" w:rsidRPr="00101E4D">
        <w:rPr>
          <w:rFonts w:ascii="Palatino Linotype" w:eastAsia="Palatino Linotype" w:hAnsi="Palatino Linotype" w:cs="Palatino Linotype"/>
          <w:b/>
        </w:rPr>
        <w:t>no le fue proporcionad</w:t>
      </w:r>
      <w:r w:rsidR="00F74819" w:rsidRPr="00101E4D">
        <w:rPr>
          <w:rFonts w:ascii="Palatino Linotype" w:eastAsia="Palatino Linotype" w:hAnsi="Palatino Linotype" w:cs="Palatino Linotype"/>
          <w:b/>
        </w:rPr>
        <w:t>a la información solicitada.</w:t>
      </w:r>
    </w:p>
    <w:p w:rsidR="00B706D8" w:rsidRPr="00101E4D" w:rsidRDefault="00B706D8" w:rsidP="00D647DF">
      <w:pPr>
        <w:spacing w:line="360" w:lineRule="auto"/>
        <w:ind w:right="1"/>
        <w:jc w:val="both"/>
        <w:rPr>
          <w:rFonts w:ascii="Palatino Linotype" w:eastAsia="Palatino Linotype" w:hAnsi="Palatino Linotype" w:cs="Palatino Linotype"/>
        </w:rPr>
      </w:pPr>
    </w:p>
    <w:p w:rsidR="00BB205A" w:rsidRPr="00101E4D" w:rsidRDefault="00BB205A" w:rsidP="00BB205A">
      <w:pPr>
        <w:numPr>
          <w:ilvl w:val="0"/>
          <w:numId w:val="1"/>
        </w:numPr>
        <w:spacing w:line="360" w:lineRule="auto"/>
        <w:ind w:left="0" w:right="1"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 xml:space="preserve">Asimismo, mediante el recurso de revisión, el </w:t>
      </w:r>
      <w:r w:rsidRPr="00101E4D">
        <w:rPr>
          <w:rFonts w:ascii="Palatino Linotype" w:eastAsia="Palatino Linotype" w:hAnsi="Palatino Linotype" w:cs="Palatino Linotype"/>
          <w:b/>
        </w:rPr>
        <w:t>RECURRENTE</w:t>
      </w:r>
      <w:r w:rsidRPr="00101E4D">
        <w:rPr>
          <w:rFonts w:ascii="Palatino Linotype" w:eastAsia="Palatino Linotype" w:hAnsi="Palatino Linotype" w:cs="Palatino Linotype"/>
        </w:rPr>
        <w:t xml:space="preserve"> proporcionó un enlace electrónico, del cual se advierte no dirige a ningún tipo de información; como se puede consultar: </w:t>
      </w:r>
      <w:hyperlink r:id="rId9" w:history="1">
        <w:r w:rsidRPr="00101E4D">
          <w:rPr>
            <w:rStyle w:val="Hipervnculo"/>
            <w:rFonts w:ascii="Palatino Linotype" w:hAnsi="Palatino Linotype"/>
          </w:rPr>
          <w:t>https://www.facebook.com/share/v/1MjMUascGz/</w:t>
        </w:r>
      </w:hyperlink>
      <w:r w:rsidRPr="00101E4D">
        <w:rPr>
          <w:rFonts w:ascii="Palatino Linotype" w:hAnsi="Palatino Linotype"/>
          <w:color w:val="000000"/>
        </w:rPr>
        <w:t xml:space="preserve"> </w:t>
      </w:r>
    </w:p>
    <w:p w:rsidR="00BB205A" w:rsidRPr="00101E4D" w:rsidRDefault="00BB205A" w:rsidP="00BB205A">
      <w:pPr>
        <w:pStyle w:val="Prrafodelista"/>
        <w:rPr>
          <w:rFonts w:ascii="Palatino Linotype" w:eastAsia="Calibri" w:hAnsi="Palatino Linotype" w:cs="Arial"/>
          <w:color w:val="000000" w:themeColor="text1"/>
          <w:sz w:val="24"/>
          <w:lang w:val="es-ES"/>
        </w:rPr>
      </w:pPr>
    </w:p>
    <w:p w:rsidR="00D647DF" w:rsidRPr="00101E4D" w:rsidRDefault="00D647DF" w:rsidP="00B706D8">
      <w:pPr>
        <w:numPr>
          <w:ilvl w:val="0"/>
          <w:numId w:val="1"/>
        </w:numPr>
        <w:spacing w:line="360" w:lineRule="auto"/>
        <w:ind w:left="0" w:right="1" w:firstLine="0"/>
        <w:jc w:val="both"/>
        <w:rPr>
          <w:rFonts w:ascii="Palatino Linotype" w:eastAsia="Palatino Linotype" w:hAnsi="Palatino Linotype" w:cs="Palatino Linotype"/>
        </w:rPr>
      </w:pPr>
      <w:r w:rsidRPr="00101E4D">
        <w:rPr>
          <w:rFonts w:ascii="Palatino Linotype" w:eastAsia="Calibri" w:hAnsi="Palatino Linotype" w:cs="Arial"/>
          <w:color w:val="000000" w:themeColor="text1"/>
          <w:lang w:val="es-ES"/>
        </w:rPr>
        <w:t xml:space="preserve">En </w:t>
      </w:r>
      <w:r w:rsidR="00391744" w:rsidRPr="00101E4D">
        <w:rPr>
          <w:rFonts w:ascii="Palatino Linotype" w:eastAsia="Calibri" w:hAnsi="Palatino Linotype" w:cs="Arial"/>
          <w:color w:val="000000" w:themeColor="text1"/>
          <w:lang w:val="es-ES"/>
        </w:rPr>
        <w:t>atención a lo expuesto</w:t>
      </w:r>
      <w:r w:rsidRPr="00101E4D">
        <w:rPr>
          <w:rFonts w:ascii="Palatino Linotype" w:eastAsia="Calibri" w:hAnsi="Palatino Linotype" w:cs="Arial"/>
          <w:color w:val="000000" w:themeColor="text1"/>
          <w:lang w:val="es-ES"/>
        </w:rPr>
        <w:t xml:space="preserve">, </w:t>
      </w:r>
      <w:r w:rsidRPr="00101E4D">
        <w:rPr>
          <w:rFonts w:ascii="Palatino Linotype" w:hAnsi="Palatino Linotype"/>
        </w:rPr>
        <w:t xml:space="preserve">nos encontramos ante la presencia de un </w:t>
      </w:r>
      <w:r w:rsidRPr="00101E4D">
        <w:rPr>
          <w:rFonts w:ascii="Palatino Linotype" w:hAnsi="Palatino Linotype"/>
          <w:b/>
        </w:rPr>
        <w:t>hecho negativo</w:t>
      </w:r>
      <w:r w:rsidRPr="00101E4D">
        <w:rPr>
          <w:rFonts w:ascii="Palatino Linotype" w:hAnsi="Palatino Linotype"/>
        </w:rPr>
        <w:t xml:space="preserve">, en virtud de que la información solicitada no puede fácticamente obrar en los archivos del </w:t>
      </w:r>
      <w:r w:rsidRPr="00101E4D">
        <w:rPr>
          <w:rFonts w:ascii="Palatino Linotype" w:hAnsi="Palatino Linotype"/>
          <w:b/>
        </w:rPr>
        <w:t>SUJETO OBLIGADO</w:t>
      </w:r>
      <w:r w:rsidRPr="00101E4D">
        <w:rPr>
          <w:rFonts w:ascii="Palatino Linotype" w:hAnsi="Palatino Linotype"/>
        </w:rPr>
        <w:t xml:space="preserve">, ya que no puede probarse por ser lógica y materialmente imposible. </w:t>
      </w:r>
    </w:p>
    <w:p w:rsidR="009E0447" w:rsidRPr="00101E4D" w:rsidRDefault="009E0447" w:rsidP="009E0447">
      <w:pPr>
        <w:spacing w:line="360" w:lineRule="auto"/>
        <w:ind w:right="1"/>
        <w:jc w:val="both"/>
        <w:rPr>
          <w:rFonts w:ascii="Palatino Linotype" w:eastAsia="Palatino Linotype" w:hAnsi="Palatino Linotype" w:cs="Palatino Linotype"/>
        </w:rPr>
      </w:pPr>
    </w:p>
    <w:p w:rsidR="00D647DF" w:rsidRPr="00101E4D" w:rsidRDefault="00D647DF" w:rsidP="00D647DF">
      <w:pPr>
        <w:pStyle w:val="Prrafodelista"/>
        <w:numPr>
          <w:ilvl w:val="0"/>
          <w:numId w:val="1"/>
        </w:numPr>
        <w:tabs>
          <w:tab w:val="left" w:pos="426"/>
          <w:tab w:val="left" w:pos="567"/>
        </w:tabs>
        <w:spacing w:line="360" w:lineRule="auto"/>
        <w:ind w:left="0" w:right="1" w:firstLine="0"/>
        <w:jc w:val="both"/>
        <w:rPr>
          <w:rFonts w:ascii="Palatino Linotype" w:eastAsia="Calibri" w:hAnsi="Palatino Linotype" w:cs="Arial"/>
          <w:color w:val="000000" w:themeColor="text1"/>
          <w:sz w:val="24"/>
          <w:lang w:val="es-ES"/>
        </w:rPr>
      </w:pPr>
      <w:r w:rsidRPr="00101E4D">
        <w:rPr>
          <w:rFonts w:ascii="Palatino Linotype" w:hAnsi="Palatino Linotype"/>
          <w:sz w:val="24"/>
        </w:rPr>
        <w:t xml:space="preserve">Asimismo, no se trata de un caso por el cual la negación del hecho implique la afirmación de este, simplemente se está ante una notoria y evidente inexistencia de la información solicitada. En este contexto, nos encontramos ante la presencia de un hecho negativo, en virtud de que la información solicitada no puede fácticamente obrar en los archivos del Sujeto Obligado, ya que no puede probarse por ser lógica y materialmente imposible. </w:t>
      </w:r>
    </w:p>
    <w:p w:rsidR="00D647DF" w:rsidRPr="00101E4D" w:rsidRDefault="00D647DF" w:rsidP="00D647DF">
      <w:pPr>
        <w:pStyle w:val="Prrafodelista"/>
        <w:numPr>
          <w:ilvl w:val="0"/>
          <w:numId w:val="1"/>
        </w:numPr>
        <w:tabs>
          <w:tab w:val="left" w:pos="426"/>
          <w:tab w:val="left" w:pos="567"/>
        </w:tabs>
        <w:spacing w:line="360" w:lineRule="auto"/>
        <w:ind w:left="0" w:right="1" w:firstLine="0"/>
        <w:jc w:val="both"/>
        <w:rPr>
          <w:rFonts w:ascii="Palatino Linotype" w:eastAsia="Calibri" w:hAnsi="Palatino Linotype" w:cs="Arial"/>
          <w:color w:val="000000" w:themeColor="text1"/>
          <w:sz w:val="24"/>
          <w:lang w:val="es-ES"/>
        </w:rPr>
      </w:pPr>
      <w:r w:rsidRPr="00101E4D">
        <w:rPr>
          <w:rFonts w:ascii="Palatino Linotype" w:hAnsi="Palatino Linotype"/>
          <w:sz w:val="24"/>
        </w:rPr>
        <w:lastRenderedPageBreak/>
        <w:t xml:space="preserve">Es conveniente, invocar la tesis con número de registro 267287, de la Sexta Época, Instancia: Segunda Sala, publicada en el Semanario Judicial de la Federación, Volumen LII, Tercera Parte, Materia Común, que indica lo siguiente: </w:t>
      </w:r>
    </w:p>
    <w:p w:rsidR="00D647DF" w:rsidRPr="00101E4D" w:rsidRDefault="00D647DF" w:rsidP="00D647DF">
      <w:pPr>
        <w:ind w:left="567" w:right="567"/>
        <w:jc w:val="both"/>
        <w:rPr>
          <w:rFonts w:ascii="Palatino Linotype" w:eastAsia="Palatino Linotype" w:hAnsi="Palatino Linotype" w:cs="Palatino Linotype"/>
          <w:b/>
        </w:rPr>
      </w:pPr>
      <w:r w:rsidRPr="00101E4D">
        <w:rPr>
          <w:rFonts w:ascii="Palatino Linotype" w:hAnsi="Palatino Linotype"/>
          <w:i/>
        </w:rPr>
        <w:t>“</w:t>
      </w:r>
      <w:r w:rsidRPr="00101E4D">
        <w:rPr>
          <w:rFonts w:ascii="Palatino Linotype" w:hAnsi="Palatino Linotype"/>
          <w:b/>
          <w:i/>
        </w:rPr>
        <w:t>HECHOS NEGATIVOS, NO SON SUSCEPTIBLES DE DEMOSTRACION.</w:t>
      </w:r>
      <w:r w:rsidRPr="00101E4D">
        <w:rPr>
          <w:rFonts w:ascii="Palatino Linotype" w:hAnsi="Palatino Linotype"/>
          <w:i/>
        </w:rPr>
        <w:t xml:space="preserve"> Tratándose de un hecho negativo, el Juez no tiene por qué invocar prueba alguna de la que se desprenda, ya que es bien sabido que esta clase de hechos no son susceptibles de demostración.”</w:t>
      </w:r>
    </w:p>
    <w:p w:rsidR="00D647DF" w:rsidRPr="00101E4D" w:rsidRDefault="00D647DF" w:rsidP="00D647DF">
      <w:pPr>
        <w:spacing w:line="360" w:lineRule="auto"/>
        <w:ind w:right="1"/>
        <w:jc w:val="both"/>
        <w:rPr>
          <w:rFonts w:ascii="Palatino Linotype" w:eastAsia="Palatino Linotype" w:hAnsi="Palatino Linotype" w:cs="Palatino Linotype"/>
          <w:b/>
        </w:rPr>
      </w:pPr>
    </w:p>
    <w:p w:rsidR="009E0447" w:rsidRPr="00101E4D" w:rsidRDefault="009E0447" w:rsidP="009E0447">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Por otro lado, resulta conveniente mencionar que, conforme a la respuesta del</w:t>
      </w:r>
      <w:r w:rsidRPr="00101E4D">
        <w:rPr>
          <w:rFonts w:ascii="Palatino Linotype" w:eastAsia="Palatino Linotype" w:hAnsi="Palatino Linotype" w:cs="Palatino Linotype"/>
          <w:b/>
        </w:rPr>
        <w:t xml:space="preserve"> SUJETO OBLIGADO, </w:t>
      </w:r>
      <w:r w:rsidRPr="00101E4D">
        <w:rPr>
          <w:rFonts w:ascii="Palatino Linotype" w:eastAsia="Palatino Linotype" w:hAnsi="Palatino Linotype" w:cs="Palatino Linotype"/>
        </w:rPr>
        <w:t xml:space="preserve">la información solicitada se trata de </w:t>
      </w:r>
      <w:r w:rsidRPr="00101E4D">
        <w:rPr>
          <w:rFonts w:ascii="Palatino Linotype" w:eastAsia="Palatino Linotype" w:hAnsi="Palatino Linotype" w:cs="Palatino Linotype"/>
          <w:b/>
        </w:rPr>
        <w:t>Hechos Futuros</w:t>
      </w:r>
      <w:r w:rsidRPr="00101E4D">
        <w:rPr>
          <w:rFonts w:ascii="Palatino Linotype" w:eastAsia="Palatino Linotype" w:hAnsi="Palatino Linotype" w:cs="Palatino Linotype"/>
        </w:rPr>
        <w:t>, pues son documentos que a la fecha de la solicitud no se han generado, sirve como referencia la Jurisprudencia emitida por la Suprema Corte de Justicia de la Nación, que es del texto y rubro siguiente:</w:t>
      </w:r>
    </w:p>
    <w:p w:rsidR="009E0447" w:rsidRPr="00101E4D" w:rsidRDefault="009E0447" w:rsidP="009E0447">
      <w:pPr>
        <w:pStyle w:val="Prrafodelista"/>
        <w:autoSpaceDE w:val="0"/>
        <w:autoSpaceDN w:val="0"/>
        <w:adjustRightInd w:val="0"/>
        <w:spacing w:after="120"/>
        <w:ind w:left="567" w:right="565"/>
        <w:jc w:val="both"/>
        <w:rPr>
          <w:rFonts w:ascii="Palatino Linotype" w:hAnsi="Palatino Linotype"/>
          <w:i/>
          <w:sz w:val="24"/>
        </w:rPr>
      </w:pPr>
      <w:r w:rsidRPr="00101E4D">
        <w:rPr>
          <w:rFonts w:ascii="Palatino Linotype" w:hAnsi="Palatino Linotype"/>
          <w:b/>
          <w:i/>
          <w:color w:val="000000"/>
          <w:sz w:val="24"/>
        </w:rPr>
        <w:t>“</w:t>
      </w:r>
      <w:r w:rsidRPr="00101E4D">
        <w:rPr>
          <w:rFonts w:ascii="Palatino Linotype" w:hAnsi="Palatino Linotype"/>
          <w:b/>
          <w:i/>
          <w:sz w:val="24"/>
        </w:rPr>
        <w:t>DEMANDA DE AMPARO. LA RECLAMACIÓN DE UN ACTO FUTURO O INCIERTO, DEL CUAL NO PUEDA SABERSE CON EXACTITUD SI ES INMINENTE O SI LLEGARÁ O NO A MATERIALIZARSE, NO CONSTITUYE UN MOTIVO MANIFIESTO E INDUDABLE DE IMPROCEDENCIA, POR LO QUE EL JUEZ DE DISTRITO DEBE ADMITIRLA A TRÁMITE.</w:t>
      </w:r>
      <w:r w:rsidRPr="00101E4D">
        <w:rPr>
          <w:rFonts w:ascii="Palatino Linotype" w:hAnsi="Palatino Linotype"/>
          <w:i/>
          <w:sz w:val="24"/>
        </w:rPr>
        <w:t xml:space="preserve"> El artículo 145 de la Ley de Amparo faculta al Juez de Distrito para desechar la demanda de amparo indirecto cuando al examinarla aparezca un motivo manifiesto e indudable de improcedencia; sin embargo, esa potestad del Juez no es ilimitada, ni depende de un criterio puramente subjetivo, pues tal motivo debe estar plenamente demostrado, y advertirse en forma patente y absolutamente clara de la lectura del escrito de demanda, de los escritos aclaratorios o de los documentos que se anexen a esas promociones. De ahí que cuando se reclame un acto futuro e incierto y no pueda saberse con exactitud si es inminente, o bien, si llegará o no a materializarse, sino que es necesario contar con elementos de prueba que permitan una correcta conclusión, no debe considerarse que existe un motivo manifiesto e indudable de improcedencia que amerite aplicar el indicado artículo 145 para desechar de plano la demanda, por lo que el Juez de Distrito deberá admitirla a trámite. Lo anterior obedece a que para que el juzgador se encuentre en condiciones de saber si el acto reclamado, considerado como futuro, se realizará por parte de la autoridad, debe analizar los elementos probatorios existentes, y si estimara racionalmente que la responsable ya ordenó la realización del acto reclamado o que está a punto de hacerlo, deberá admitir la demanda, sin perjuicio de que durante la sustanciación del juicio quede plenamente probado que efectivamente se trata de un acto de ese tipo, o se tenga la certeza de la existencia de alguna otra causa de improcedencia regulada en el artículo </w:t>
      </w:r>
      <w:r w:rsidRPr="00101E4D">
        <w:rPr>
          <w:rFonts w:ascii="Palatino Linotype" w:hAnsi="Palatino Linotype"/>
          <w:i/>
          <w:sz w:val="24"/>
        </w:rPr>
        <w:lastRenderedPageBreak/>
        <w:t>73 de la citada ley, u otra prevista en diverso precepto legal relacionado con la fracción XVIII de este numeral.</w:t>
      </w:r>
      <w:r w:rsidRPr="00101E4D">
        <w:rPr>
          <w:rFonts w:ascii="Palatino Linotype" w:hAnsi="Palatino Linotype" w:cs="Arial"/>
          <w:i/>
          <w:sz w:val="24"/>
        </w:rPr>
        <w:t xml:space="preserve">No obstante, en términos del </w:t>
      </w:r>
      <w:r w:rsidRPr="00101E4D">
        <w:rPr>
          <w:rFonts w:ascii="Palatino Linotype" w:hAnsi="Palatino Linotype"/>
          <w:i/>
          <w:sz w:val="24"/>
        </w:rPr>
        <w:t xml:space="preserve">artículo 6 de la Constitución Política de los Estados Unidos Mexicanos, toda persona sin necesidad de acreditar interés alguno, tendrá acceso gratuito a la información pública </w:t>
      </w:r>
      <w:r w:rsidRPr="00101E4D">
        <w:rPr>
          <w:rFonts w:ascii="Palatino Linotype" w:hAnsi="Palatino Linotype"/>
          <w:b/>
          <w:i/>
          <w:sz w:val="24"/>
        </w:rPr>
        <w:t>en posesión</w:t>
      </w:r>
      <w:r w:rsidRPr="00101E4D">
        <w:rPr>
          <w:rFonts w:ascii="Palatino Linotype" w:hAnsi="Palatino Linotype"/>
          <w:i/>
          <w:sz w:val="24"/>
        </w:rPr>
        <w:t xml:space="preserve"> de cualquier autoridad, entidad, órgano y organismo federal, estatal y municipal, la cual sólo podrá ser reservada temporalmente por razones de interés público en los términos que fijen las leyes, debiendo prevalecer en la interpretación del derecho el principio de máxima publicidad, de ahí que los sujetos obligados deban conservar sus documentos en archivos administrados actualizados.”</w:t>
      </w:r>
    </w:p>
    <w:p w:rsidR="009E0447" w:rsidRPr="00101E4D" w:rsidRDefault="009E0447" w:rsidP="009E0447">
      <w:pPr>
        <w:spacing w:line="360" w:lineRule="auto"/>
        <w:ind w:right="1"/>
        <w:jc w:val="both"/>
        <w:rPr>
          <w:rFonts w:ascii="Palatino Linotype" w:eastAsia="Palatino Linotype" w:hAnsi="Palatino Linotype" w:cs="Palatino Linotype"/>
          <w:b/>
        </w:rPr>
      </w:pPr>
    </w:p>
    <w:p w:rsidR="009E0447" w:rsidRPr="00101E4D" w:rsidRDefault="009E0447" w:rsidP="009E0447">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 xml:space="preserve">Robustece </w:t>
      </w:r>
      <w:r w:rsidRPr="00101E4D">
        <w:rPr>
          <w:rFonts w:ascii="Palatino Linotype" w:hAnsi="Palatino Linotype" w:cs="Arial"/>
        </w:rPr>
        <w:t xml:space="preserve">lo anterior </w:t>
      </w:r>
      <w:r w:rsidRPr="00101E4D">
        <w:rPr>
          <w:rFonts w:ascii="Palatino Linotype" w:eastAsia="Palatino Linotype" w:hAnsi="Palatino Linotype" w:cs="Palatino Linotype"/>
          <w:color w:val="000000"/>
        </w:rPr>
        <w:t>los Criterios 1/2010 y 2/2010, emitidos por el “Comité de Acceso a la Información y Protección de Datos personales” de la Suprema Corte de Justicia de la Nación, que disponen: </w:t>
      </w:r>
    </w:p>
    <w:p w:rsidR="009E0447" w:rsidRPr="00101E4D" w:rsidRDefault="009E0447" w:rsidP="009E0447">
      <w:pPr>
        <w:pBdr>
          <w:top w:val="nil"/>
          <w:left w:val="nil"/>
          <w:bottom w:val="nil"/>
          <w:right w:val="nil"/>
          <w:between w:val="nil"/>
        </w:pBdr>
        <w:spacing w:line="276" w:lineRule="auto"/>
        <w:ind w:left="567" w:right="565"/>
        <w:rPr>
          <w:rFonts w:ascii="Palatino Linotype" w:hAnsi="Palatino Linotype"/>
          <w:color w:val="000000"/>
        </w:rPr>
      </w:pPr>
      <w:r w:rsidRPr="00101E4D">
        <w:rPr>
          <w:rFonts w:ascii="Palatino Linotype" w:eastAsia="Palatino Linotype" w:hAnsi="Palatino Linotype" w:cs="Palatino Linotype"/>
          <w:i/>
          <w:color w:val="000000"/>
        </w:rPr>
        <w:t> “</w:t>
      </w:r>
      <w:r w:rsidRPr="00101E4D">
        <w:rPr>
          <w:rFonts w:ascii="Palatino Linotype" w:eastAsia="Palatino Linotype" w:hAnsi="Palatino Linotype" w:cs="Palatino Linotype"/>
          <w:b/>
          <w:i/>
          <w:color w:val="000000"/>
        </w:rPr>
        <w:t>Criterio 1/2010</w:t>
      </w:r>
    </w:p>
    <w:p w:rsidR="009E0447" w:rsidRPr="00101E4D" w:rsidRDefault="009E0447" w:rsidP="009E0447">
      <w:pPr>
        <w:pBdr>
          <w:top w:val="nil"/>
          <w:left w:val="nil"/>
          <w:bottom w:val="nil"/>
          <w:right w:val="nil"/>
          <w:between w:val="nil"/>
        </w:pBdr>
        <w:spacing w:line="276" w:lineRule="auto"/>
        <w:ind w:left="567" w:right="565"/>
        <w:jc w:val="both"/>
        <w:rPr>
          <w:rFonts w:ascii="Palatino Linotype" w:hAnsi="Palatino Linotype"/>
          <w:color w:val="000000"/>
        </w:rPr>
      </w:pPr>
      <w:r w:rsidRPr="00101E4D">
        <w:rPr>
          <w:rFonts w:ascii="Palatino Linotype" w:eastAsia="Palatino Linotype" w:hAnsi="Palatino Linotype" w:cs="Palatino Linotype"/>
          <w:b/>
          <w:i/>
          <w:color w:val="000000"/>
        </w:rPr>
        <w:t>SOLICITUD DE ACCESO A LA INFORMACIÓN. SU OTORGAMIENTO ES RESPECTO DE AQUELLA QUE EXISTA Y SE HUBIESE GENERADO AL MOMENTO DE LA PETICIÓN.</w:t>
      </w:r>
    </w:p>
    <w:p w:rsidR="009E0447" w:rsidRPr="00101E4D" w:rsidRDefault="009E0447" w:rsidP="009E0447">
      <w:pPr>
        <w:pBdr>
          <w:top w:val="nil"/>
          <w:left w:val="nil"/>
          <w:bottom w:val="nil"/>
          <w:right w:val="nil"/>
          <w:between w:val="nil"/>
        </w:pBdr>
        <w:spacing w:line="276" w:lineRule="auto"/>
        <w:ind w:left="567" w:right="565"/>
        <w:jc w:val="both"/>
        <w:rPr>
          <w:rFonts w:ascii="Palatino Linotype" w:hAnsi="Palatino Linotype"/>
          <w:color w:val="000000"/>
        </w:rPr>
      </w:pPr>
      <w:r w:rsidRPr="00101E4D">
        <w:rPr>
          <w:rFonts w:ascii="Palatino Linotype" w:eastAsia="Palatino Linotype" w:hAnsi="Palatino Linotype" w:cs="Palatino Linotype"/>
          <w:b/>
          <w:i/>
          <w:color w:val="000000"/>
        </w:rPr>
        <w:t>El otorgamiento de la información procede respecto de aquella que sea existente y se encuentre en posesión del órgano de Estado, al momento de la solicitud</w:t>
      </w:r>
      <w:r w:rsidRPr="00101E4D">
        <w:rPr>
          <w:rFonts w:ascii="Palatino Linotype" w:eastAsia="Palatino Linotype" w:hAnsi="Palatino Linotype" w:cs="Palatino Linotype"/>
          <w:i/>
          <w:color w:val="000000"/>
        </w:rPr>
        <w:t xml:space="preserve">; por lo que </w:t>
      </w:r>
      <w:r w:rsidRPr="00101E4D">
        <w:rPr>
          <w:rFonts w:ascii="Palatino Linotype" w:eastAsia="Palatino Linotype" w:hAnsi="Palatino Linotype" w:cs="Palatino Linotype"/>
          <w:b/>
          <w:i/>
          <w:color w:val="000000"/>
        </w:rPr>
        <w:t>resulta inconducente otorgar la que se genere en fecha futura</w:t>
      </w:r>
      <w:r w:rsidRPr="00101E4D">
        <w:rPr>
          <w:rFonts w:ascii="Palatino Linotype" w:eastAsia="Palatino Linotype" w:hAnsi="Palatino Linotype" w:cs="Palatino Linotype"/>
          <w:i/>
          <w:color w:val="000000"/>
        </w:rPr>
        <w:t>, en tanto ningún órgano de Estado puede verse vinculado en el otorgamiento de información de tal naturaleza, al tenor del artículo 6° constitucional, que dispone que la garantía del acceso a la información lo es respecto de aquella que se encuentre en posesión de cualquier autoridad, entidad, órgano y organismo federal, estatal y municipal, principio que se reitera en el artículo 1° de la Ley Federal de Transparencia y Acceso a la Información Pública Gubernamental.</w:t>
      </w:r>
    </w:p>
    <w:p w:rsidR="009E0447" w:rsidRPr="00101E4D" w:rsidRDefault="009E0447" w:rsidP="009E0447">
      <w:pPr>
        <w:pBdr>
          <w:top w:val="nil"/>
          <w:left w:val="nil"/>
          <w:bottom w:val="nil"/>
          <w:right w:val="nil"/>
          <w:between w:val="nil"/>
        </w:pBdr>
        <w:spacing w:line="276" w:lineRule="auto"/>
        <w:ind w:left="567" w:right="565"/>
        <w:jc w:val="both"/>
        <w:rPr>
          <w:rFonts w:ascii="Palatino Linotype" w:hAnsi="Palatino Linotype"/>
          <w:color w:val="000000"/>
        </w:rPr>
      </w:pPr>
      <w:r w:rsidRPr="00101E4D">
        <w:rPr>
          <w:rFonts w:ascii="Palatino Linotype" w:eastAsia="Palatino Linotype" w:hAnsi="Palatino Linotype" w:cs="Palatino Linotype"/>
          <w:i/>
          <w:color w:val="000000"/>
        </w:rPr>
        <w:t>Clasificación de Información 69/2009-A. 30 de septiembre de 2009. Unanimidad de votos.”</w:t>
      </w:r>
    </w:p>
    <w:p w:rsidR="009E0447" w:rsidRPr="00101E4D" w:rsidRDefault="009E0447" w:rsidP="009E0447">
      <w:pPr>
        <w:pBdr>
          <w:top w:val="nil"/>
          <w:left w:val="nil"/>
          <w:bottom w:val="nil"/>
          <w:right w:val="nil"/>
          <w:between w:val="nil"/>
        </w:pBdr>
        <w:spacing w:line="276" w:lineRule="auto"/>
        <w:ind w:left="567" w:right="565"/>
        <w:rPr>
          <w:rFonts w:ascii="Palatino Linotype" w:hAnsi="Palatino Linotype"/>
          <w:color w:val="000000"/>
        </w:rPr>
      </w:pPr>
      <w:r w:rsidRPr="00101E4D">
        <w:rPr>
          <w:rFonts w:ascii="Palatino Linotype" w:eastAsia="Palatino Linotype" w:hAnsi="Palatino Linotype" w:cs="Palatino Linotype"/>
          <w:i/>
          <w:color w:val="000000"/>
        </w:rPr>
        <w:t>“</w:t>
      </w:r>
      <w:r w:rsidRPr="00101E4D">
        <w:rPr>
          <w:rFonts w:ascii="Palatino Linotype" w:eastAsia="Palatino Linotype" w:hAnsi="Palatino Linotype" w:cs="Palatino Linotype"/>
          <w:b/>
          <w:i/>
          <w:color w:val="000000"/>
        </w:rPr>
        <w:t>Criterio 2/2010.</w:t>
      </w:r>
    </w:p>
    <w:p w:rsidR="009E0447" w:rsidRPr="00101E4D" w:rsidRDefault="009E0447" w:rsidP="009E0447">
      <w:pPr>
        <w:pBdr>
          <w:top w:val="nil"/>
          <w:left w:val="nil"/>
          <w:bottom w:val="nil"/>
          <w:right w:val="nil"/>
          <w:between w:val="nil"/>
        </w:pBdr>
        <w:spacing w:line="276" w:lineRule="auto"/>
        <w:ind w:left="567" w:right="565"/>
        <w:jc w:val="both"/>
        <w:rPr>
          <w:rFonts w:ascii="Palatino Linotype" w:hAnsi="Palatino Linotype"/>
          <w:color w:val="000000"/>
        </w:rPr>
      </w:pPr>
      <w:r w:rsidRPr="00101E4D">
        <w:rPr>
          <w:rFonts w:ascii="Palatino Linotype" w:eastAsia="Palatino Linotype" w:hAnsi="Palatino Linotype" w:cs="Palatino Linotype"/>
          <w:b/>
          <w:i/>
          <w:color w:val="000000"/>
        </w:rPr>
        <w:t>SOLICITUD DE ACCESO A LA INFORMACIÓN. ES MATERIA DE ANÁLISIS Y OTORGAMIENTO LA GENERADA HASTA LA FECHA DE LA SOLICITUD EN CASO DE IMPRECISIÓN TEMPORAL. </w:t>
      </w:r>
    </w:p>
    <w:p w:rsidR="009E0447" w:rsidRPr="00101E4D" w:rsidRDefault="009E0447" w:rsidP="009E0447">
      <w:pPr>
        <w:pBdr>
          <w:top w:val="nil"/>
          <w:left w:val="nil"/>
          <w:bottom w:val="nil"/>
          <w:right w:val="nil"/>
          <w:between w:val="nil"/>
        </w:pBdr>
        <w:spacing w:line="276" w:lineRule="auto"/>
        <w:ind w:left="567" w:right="565"/>
        <w:jc w:val="both"/>
        <w:rPr>
          <w:rFonts w:ascii="Palatino Linotype" w:hAnsi="Palatino Linotype"/>
          <w:color w:val="000000"/>
        </w:rPr>
      </w:pPr>
      <w:r w:rsidRPr="00101E4D">
        <w:rPr>
          <w:rFonts w:ascii="Palatino Linotype" w:eastAsia="Palatino Linotype" w:hAnsi="Palatino Linotype" w:cs="Palatino Linotype"/>
          <w:i/>
          <w:color w:val="000000"/>
        </w:rPr>
        <w:t xml:space="preserve">La información que en todo caso debe ser materia de análisis y pronunciamiento sobre su naturaleza, disponibilidad y acceso, es aquélla que en términos del artículo 6° constitucional </w:t>
      </w:r>
      <w:r w:rsidRPr="00101E4D">
        <w:rPr>
          <w:rFonts w:ascii="Palatino Linotype" w:eastAsia="Palatino Linotype" w:hAnsi="Palatino Linotype" w:cs="Palatino Linotype"/>
          <w:i/>
          <w:color w:val="000000"/>
        </w:rPr>
        <w:lastRenderedPageBreak/>
        <w:t>y 1° de la Ley Federal de Transparencia y Acceso a la Información Pública Gubernamental, se encuentre en posesión de este Alto Tribunal; es decir, se hubiese ya generado y sea existente al momento del planteamiento de solicitud de acceso. Por ello, en caso de que se solicite información sin que se precise el término temporal, deberá entenderse que es aquella que se hubiese generado y se tenga en posesión al día de la fecha de la solicitud de acceso correspondiente.</w:t>
      </w:r>
    </w:p>
    <w:p w:rsidR="009E0447" w:rsidRPr="00101E4D" w:rsidRDefault="009E0447" w:rsidP="009E0447">
      <w:pPr>
        <w:spacing w:line="360" w:lineRule="auto"/>
        <w:ind w:left="567" w:right="565"/>
        <w:jc w:val="both"/>
        <w:rPr>
          <w:rFonts w:ascii="Palatino Linotype" w:eastAsia="Palatino Linotype" w:hAnsi="Palatino Linotype" w:cs="Palatino Linotype"/>
          <w:b/>
        </w:rPr>
      </w:pPr>
      <w:r w:rsidRPr="00101E4D">
        <w:rPr>
          <w:rFonts w:ascii="Palatino Linotype" w:eastAsia="Palatino Linotype" w:hAnsi="Palatino Linotype" w:cs="Palatino Linotype"/>
          <w:i/>
          <w:color w:val="000000"/>
        </w:rPr>
        <w:t>Clasificación de Información 69/2009-A. 30 de septiembre de 2009. Unanimidad de votos.”</w:t>
      </w:r>
    </w:p>
    <w:p w:rsidR="009E0447" w:rsidRPr="00101E4D" w:rsidRDefault="009E0447" w:rsidP="009E0447">
      <w:pPr>
        <w:spacing w:line="360" w:lineRule="auto"/>
        <w:ind w:right="1"/>
        <w:jc w:val="both"/>
        <w:rPr>
          <w:rFonts w:ascii="Palatino Linotype" w:eastAsia="Palatino Linotype" w:hAnsi="Palatino Linotype" w:cs="Palatino Linotype"/>
          <w:b/>
        </w:rPr>
      </w:pPr>
    </w:p>
    <w:p w:rsidR="00D647DF" w:rsidRPr="00101E4D" w:rsidRDefault="00D647DF" w:rsidP="00D647D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 xml:space="preserve">Ahora bien, </w:t>
      </w:r>
      <w:r w:rsidRPr="00101E4D">
        <w:rPr>
          <w:rFonts w:ascii="Palatino Linotype" w:eastAsia="Calibri" w:hAnsi="Palatino Linotype" w:cs="Arial"/>
          <w:color w:val="000000" w:themeColor="text1"/>
          <w:lang w:val="es-ES"/>
        </w:rPr>
        <w:t xml:space="preserve">cabe </w:t>
      </w:r>
      <w:r w:rsidRPr="00101E4D">
        <w:rPr>
          <w:rFonts w:ascii="Palatino Linotype" w:hAnsi="Palatino Linotype"/>
          <w:color w:val="000000" w:themeColor="text1"/>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D647DF" w:rsidRPr="00101E4D" w:rsidRDefault="00D647DF" w:rsidP="00D647DF">
      <w:pPr>
        <w:spacing w:line="360" w:lineRule="auto"/>
        <w:ind w:right="1"/>
        <w:jc w:val="both"/>
        <w:rPr>
          <w:rFonts w:ascii="Palatino Linotype" w:eastAsia="Palatino Linotype" w:hAnsi="Palatino Linotype" w:cs="Palatino Linotype"/>
          <w:b/>
        </w:rPr>
      </w:pPr>
    </w:p>
    <w:p w:rsidR="00D647DF" w:rsidRPr="00101E4D" w:rsidRDefault="00D647DF" w:rsidP="00D647D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En </w:t>
      </w:r>
      <w:r w:rsidRPr="00101E4D">
        <w:rPr>
          <w:rFonts w:ascii="Palatino Linotype" w:hAnsi="Palatino Linotype"/>
          <w:color w:val="000000" w:themeColor="text1"/>
        </w:rPr>
        <w:t xml:space="preserve">este sentido, para </w:t>
      </w:r>
      <w:r w:rsidRPr="00101E4D">
        <w:rPr>
          <w:rFonts w:ascii="Palatino Linotype" w:hAnsi="Palatino Linotype" w:cs="Arial"/>
        </w:rPr>
        <w:t>atender las solicitudes de información, los Sujetos Obligados contarán con un área denominada Unidad de Transparencia</w:t>
      </w:r>
      <w:r w:rsidRPr="00101E4D">
        <w:rPr>
          <w:rFonts w:ascii="Palatino Linotype" w:hAnsi="Palatino Linotype"/>
          <w:vertAlign w:val="superscript"/>
        </w:rPr>
        <w:footnoteReference w:id="5"/>
      </w:r>
      <w:r w:rsidRPr="00101E4D">
        <w:rPr>
          <w:rFonts w:ascii="Palatino Linotype" w:hAnsi="Palatino Linotype" w:cs="Arial"/>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101E4D">
        <w:rPr>
          <w:rFonts w:ascii="Palatino Linotype" w:hAnsi="Palatino Linotype" w:cs="Arial"/>
          <w:b/>
          <w:bCs/>
        </w:rPr>
        <w:t xml:space="preserve"> </w:t>
      </w:r>
      <w:r w:rsidRPr="00101E4D">
        <w:rPr>
          <w:rFonts w:ascii="Palatino Linotype" w:hAnsi="Palatino Linotype" w:cs="Arial"/>
        </w:rPr>
        <w:t>en los términos de la Ley General y la Ley de Transparencia y Acceso a la Información Pública del Estado de México y Municipios</w:t>
      </w:r>
      <w:r w:rsidRPr="00101E4D">
        <w:rPr>
          <w:rFonts w:ascii="Palatino Linotype" w:hAnsi="Palatino Linotype"/>
          <w:vertAlign w:val="superscript"/>
        </w:rPr>
        <w:footnoteReference w:id="6"/>
      </w:r>
      <w:r w:rsidRPr="00101E4D">
        <w:rPr>
          <w:rFonts w:ascii="Palatino Linotype" w:hAnsi="Palatino Linotype" w:cs="Arial"/>
        </w:rPr>
        <w:t>.</w:t>
      </w:r>
    </w:p>
    <w:p w:rsidR="00D647DF" w:rsidRPr="00101E4D" w:rsidRDefault="00D647DF" w:rsidP="00D647DF">
      <w:pPr>
        <w:rPr>
          <w:rFonts w:ascii="Palatino Linotype" w:eastAsia="Calibri" w:hAnsi="Palatino Linotype" w:cs="Arial"/>
          <w:color w:val="000000" w:themeColor="text1"/>
          <w:lang w:val="es-ES"/>
        </w:rPr>
      </w:pPr>
    </w:p>
    <w:p w:rsidR="00D647DF" w:rsidRPr="00101E4D" w:rsidRDefault="00D647DF" w:rsidP="00D647D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lastRenderedPageBreak/>
        <w:t xml:space="preserve">De </w:t>
      </w:r>
      <w:r w:rsidRPr="00101E4D">
        <w:rPr>
          <w:rFonts w:ascii="Palatino Linotype" w:hAnsi="Palatino Linotype" w:cs="Arial"/>
          <w:color w:val="000000" w:themeColor="text1"/>
        </w:rPr>
        <w:t>conformidad con lo dispuesto en la Ley de Transparencia y Acceso a la Información Pública del Estado de México y Municipios, las Unidades de Transparencia tendrán, entre sus atribuciones, las siguientes:</w:t>
      </w:r>
    </w:p>
    <w:p w:rsidR="00D647DF" w:rsidRPr="00101E4D" w:rsidRDefault="00D647DF" w:rsidP="00D647DF">
      <w:pPr>
        <w:pStyle w:val="Prrafodelista"/>
        <w:numPr>
          <w:ilvl w:val="1"/>
          <w:numId w:val="16"/>
        </w:numPr>
        <w:spacing w:before="240" w:after="240"/>
        <w:ind w:left="709" w:right="616" w:hanging="142"/>
        <w:jc w:val="both"/>
        <w:rPr>
          <w:rFonts w:ascii="Palatino Linotype" w:hAnsi="Palatino Linotype" w:cs="Arial"/>
          <w:color w:val="000000" w:themeColor="text1"/>
          <w:sz w:val="24"/>
        </w:rPr>
      </w:pPr>
      <w:r w:rsidRPr="00101E4D">
        <w:rPr>
          <w:rFonts w:ascii="Palatino Linotype" w:hAnsi="Palatino Linotype" w:cs="Arial"/>
          <w:color w:val="000000" w:themeColor="text1"/>
          <w:sz w:val="24"/>
        </w:rPr>
        <w:t>Recibir, tramitar y dar respuesta a las solicitudes de acceso a la información;</w:t>
      </w:r>
    </w:p>
    <w:p w:rsidR="00D647DF" w:rsidRPr="00101E4D" w:rsidRDefault="00D647DF" w:rsidP="00D647DF">
      <w:pPr>
        <w:pStyle w:val="Prrafodelista"/>
        <w:numPr>
          <w:ilvl w:val="1"/>
          <w:numId w:val="16"/>
        </w:numPr>
        <w:spacing w:before="240" w:after="240"/>
        <w:ind w:left="709" w:right="616" w:hanging="142"/>
        <w:jc w:val="both"/>
        <w:rPr>
          <w:rFonts w:ascii="Palatino Linotype" w:hAnsi="Palatino Linotype" w:cs="Arial"/>
          <w:color w:val="000000" w:themeColor="text1"/>
          <w:sz w:val="24"/>
        </w:rPr>
      </w:pPr>
      <w:r w:rsidRPr="00101E4D">
        <w:rPr>
          <w:rFonts w:ascii="Palatino Linotype" w:hAnsi="Palatino Linotype" w:cs="Arial"/>
          <w:color w:val="000000" w:themeColor="text1"/>
          <w:sz w:val="24"/>
        </w:rPr>
        <w:t xml:space="preserve">Realizar, con efectividad, los trámites internos necesarios para la atención de las solicitudes de acceso a la información; </w:t>
      </w:r>
    </w:p>
    <w:p w:rsidR="00D647DF" w:rsidRPr="00101E4D" w:rsidRDefault="00D647DF" w:rsidP="00D647DF">
      <w:pPr>
        <w:pStyle w:val="Prrafodelista"/>
        <w:numPr>
          <w:ilvl w:val="1"/>
          <w:numId w:val="16"/>
        </w:numPr>
        <w:spacing w:before="240" w:after="240"/>
        <w:ind w:left="709" w:right="616" w:hanging="142"/>
        <w:jc w:val="both"/>
        <w:rPr>
          <w:rFonts w:ascii="Palatino Linotype" w:hAnsi="Palatino Linotype" w:cs="Arial"/>
          <w:color w:val="000000" w:themeColor="text1"/>
          <w:sz w:val="24"/>
        </w:rPr>
      </w:pPr>
      <w:r w:rsidRPr="00101E4D">
        <w:rPr>
          <w:rFonts w:ascii="Palatino Linotype" w:hAnsi="Palatino Linotype" w:cs="Arial"/>
          <w:color w:val="000000" w:themeColor="text1"/>
          <w:sz w:val="24"/>
        </w:rPr>
        <w:t xml:space="preserve">Entregar, en su caso, a los particulares la información solicitada; y </w:t>
      </w:r>
    </w:p>
    <w:p w:rsidR="00D647DF" w:rsidRPr="00101E4D" w:rsidRDefault="00D647DF" w:rsidP="00D647DF">
      <w:pPr>
        <w:pStyle w:val="Prrafodelista"/>
        <w:numPr>
          <w:ilvl w:val="1"/>
          <w:numId w:val="16"/>
        </w:numPr>
        <w:spacing w:before="240" w:after="240"/>
        <w:ind w:left="709" w:right="616" w:hanging="142"/>
        <w:jc w:val="both"/>
        <w:rPr>
          <w:rFonts w:ascii="Palatino Linotype" w:hAnsi="Palatino Linotype"/>
          <w:color w:val="000000" w:themeColor="text1"/>
          <w:sz w:val="24"/>
        </w:rPr>
      </w:pPr>
      <w:r w:rsidRPr="00101E4D">
        <w:rPr>
          <w:rFonts w:ascii="Palatino Linotype" w:hAnsi="Palatino Linotype" w:cs="Arial"/>
          <w:color w:val="000000" w:themeColor="text1"/>
          <w:sz w:val="24"/>
        </w:rPr>
        <w:t>Efectuar las notificaciones a los solicitantes.</w:t>
      </w:r>
    </w:p>
    <w:p w:rsidR="00D647DF" w:rsidRPr="00101E4D" w:rsidRDefault="00D647DF" w:rsidP="009A1CC1">
      <w:pPr>
        <w:spacing w:before="240" w:after="240"/>
        <w:ind w:right="616"/>
        <w:jc w:val="both"/>
        <w:rPr>
          <w:rFonts w:ascii="Palatino Linotype" w:hAnsi="Palatino Linotype"/>
          <w:color w:val="000000" w:themeColor="text1"/>
        </w:rPr>
      </w:pPr>
    </w:p>
    <w:p w:rsidR="00D647DF" w:rsidRPr="00101E4D" w:rsidRDefault="00D647DF" w:rsidP="00D647D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Otros </w:t>
      </w:r>
      <w:r w:rsidRPr="00101E4D">
        <w:rPr>
          <w:rFonts w:ascii="Palatino Linotype" w:hAnsi="Palatino Linotype" w:cs="Arial"/>
          <w:color w:val="000000" w:themeColor="text1"/>
        </w:rPr>
        <w:t xml:space="preserve">sujetos del proceso de atención a las solicitudes de información son los servidores públicos habilitados, quienes serán designados por el titular del </w:t>
      </w:r>
      <w:r w:rsidRPr="00101E4D">
        <w:rPr>
          <w:rFonts w:ascii="Palatino Linotype" w:hAnsi="Palatino Linotype" w:cs="Arial"/>
          <w:b/>
          <w:color w:val="000000" w:themeColor="text1"/>
        </w:rPr>
        <w:t xml:space="preserve">SUJETO OBLIGADO </w:t>
      </w:r>
      <w:r w:rsidRPr="00101E4D">
        <w:rPr>
          <w:rFonts w:ascii="Palatino Linotype" w:hAnsi="Palatino Linotype" w:cs="Arial"/>
          <w:color w:val="000000" w:themeColor="text1"/>
        </w:rPr>
        <w:t>a propuesta del responsable de la Unidad de Transparencia</w:t>
      </w:r>
      <w:r w:rsidRPr="00101E4D">
        <w:rPr>
          <w:rStyle w:val="Refdenotaalpie"/>
          <w:rFonts w:ascii="Palatino Linotype" w:hAnsi="Palatino Linotype" w:cs="Arial"/>
          <w:color w:val="000000" w:themeColor="text1"/>
        </w:rPr>
        <w:footnoteReference w:id="7"/>
      </w:r>
      <w:r w:rsidRPr="00101E4D">
        <w:rPr>
          <w:rFonts w:ascii="Palatino Linotype" w:hAnsi="Palatino Linotype" w:cs="Arial"/>
          <w:color w:val="000000" w:themeColor="text1"/>
        </w:rPr>
        <w:t xml:space="preserve"> y tendrán, entre sus atribuciones, las siguientes</w:t>
      </w:r>
      <w:r w:rsidRPr="00101E4D">
        <w:rPr>
          <w:rStyle w:val="Refdenotaalpie"/>
          <w:rFonts w:ascii="Palatino Linotype" w:hAnsi="Palatino Linotype" w:cs="Arial"/>
          <w:color w:val="000000" w:themeColor="text1"/>
        </w:rPr>
        <w:footnoteReference w:id="8"/>
      </w:r>
      <w:r w:rsidRPr="00101E4D">
        <w:rPr>
          <w:rFonts w:ascii="Palatino Linotype" w:hAnsi="Palatino Linotype" w:cs="Arial"/>
          <w:color w:val="000000" w:themeColor="text1"/>
        </w:rPr>
        <w:t>:</w:t>
      </w:r>
    </w:p>
    <w:p w:rsidR="00D647DF" w:rsidRPr="00101E4D" w:rsidRDefault="00D647DF" w:rsidP="00D647DF">
      <w:pPr>
        <w:pStyle w:val="Prrafodelista"/>
        <w:numPr>
          <w:ilvl w:val="1"/>
          <w:numId w:val="17"/>
        </w:numPr>
        <w:spacing w:before="240" w:after="240"/>
        <w:ind w:left="709" w:right="565" w:hanging="142"/>
        <w:jc w:val="both"/>
        <w:rPr>
          <w:rFonts w:ascii="Palatino Linotype" w:hAnsi="Palatino Linotype" w:cs="Arial"/>
          <w:color w:val="000000" w:themeColor="text1"/>
          <w:sz w:val="24"/>
        </w:rPr>
      </w:pPr>
      <w:r w:rsidRPr="00101E4D">
        <w:rPr>
          <w:rFonts w:ascii="Palatino Linotype" w:hAnsi="Palatino Linotype" w:cs="Arial"/>
          <w:color w:val="000000" w:themeColor="text1"/>
          <w:sz w:val="24"/>
        </w:rPr>
        <w:t>Localizar la información que le solicite la Unidad de Transparencia; y</w:t>
      </w:r>
    </w:p>
    <w:p w:rsidR="00D647DF" w:rsidRPr="00101E4D" w:rsidRDefault="00D647DF" w:rsidP="00D647DF">
      <w:pPr>
        <w:pStyle w:val="Prrafodelista"/>
        <w:numPr>
          <w:ilvl w:val="1"/>
          <w:numId w:val="17"/>
        </w:numPr>
        <w:spacing w:before="240" w:after="240"/>
        <w:ind w:left="709" w:right="565" w:hanging="142"/>
        <w:jc w:val="both"/>
        <w:rPr>
          <w:rFonts w:ascii="Palatino Linotype" w:hAnsi="Palatino Linotype"/>
          <w:color w:val="000000" w:themeColor="text1"/>
          <w:sz w:val="24"/>
        </w:rPr>
      </w:pPr>
      <w:r w:rsidRPr="00101E4D">
        <w:rPr>
          <w:rFonts w:ascii="Palatino Linotype" w:hAnsi="Palatino Linotype" w:cs="Arial"/>
          <w:color w:val="000000" w:themeColor="text1"/>
          <w:sz w:val="24"/>
        </w:rPr>
        <w:t>Proporcionar la información que obre en los archivos y que le sea solicitada por la Unidad de Transparencia.</w:t>
      </w:r>
    </w:p>
    <w:p w:rsidR="00D647DF" w:rsidRPr="00101E4D" w:rsidRDefault="00D647DF" w:rsidP="009A1CC1">
      <w:pPr>
        <w:ind w:right="1"/>
        <w:jc w:val="both"/>
        <w:rPr>
          <w:rFonts w:ascii="Palatino Linotype" w:eastAsia="Palatino Linotype" w:hAnsi="Palatino Linotype" w:cs="Palatino Linotype"/>
          <w:b/>
        </w:rPr>
      </w:pPr>
    </w:p>
    <w:p w:rsidR="00D647DF" w:rsidRPr="00101E4D" w:rsidRDefault="00D647DF" w:rsidP="00D647D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hAnsi="Palatino Linotype"/>
          <w:color w:val="000000" w:themeColor="text1"/>
        </w:rPr>
        <w:t xml:space="preserve">De </w:t>
      </w:r>
      <w:r w:rsidRPr="00101E4D">
        <w:rPr>
          <w:rFonts w:ascii="Palatino Linotype" w:hAnsi="Palatino Linotype" w:cs="Arial"/>
          <w:color w:val="000000" w:themeColor="text1"/>
        </w:rPr>
        <w:t xml:space="preserve">tal manera que cada una de las áreas administrativas del </w:t>
      </w:r>
      <w:r w:rsidRPr="00101E4D">
        <w:rPr>
          <w:rFonts w:ascii="Palatino Linotype" w:hAnsi="Palatino Linotype" w:cs="Arial"/>
          <w:b/>
          <w:bCs/>
          <w:color w:val="000000" w:themeColor="text1"/>
        </w:rPr>
        <w:t>SUJETO OBLIGADO</w:t>
      </w:r>
      <w:r w:rsidRPr="00101E4D">
        <w:rPr>
          <w:rFonts w:ascii="Palatino Linotype" w:hAnsi="Palatino Linotype" w:cs="Arial"/>
          <w:color w:val="000000" w:themeColor="text1"/>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9A1CC1" w:rsidRPr="00101E4D" w:rsidRDefault="009A1CC1" w:rsidP="009A1CC1">
      <w:pPr>
        <w:spacing w:line="360" w:lineRule="auto"/>
        <w:ind w:right="1"/>
        <w:jc w:val="both"/>
        <w:rPr>
          <w:rFonts w:ascii="Palatino Linotype" w:eastAsia="Palatino Linotype" w:hAnsi="Palatino Linotype" w:cs="Palatino Linotype"/>
          <w:b/>
        </w:rPr>
      </w:pPr>
    </w:p>
    <w:p w:rsidR="00D647DF" w:rsidRPr="00101E4D" w:rsidRDefault="00D647DF" w:rsidP="00D647D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lastRenderedPageBreak/>
        <w:t xml:space="preserve">Aunado a lo anterior, </w:t>
      </w:r>
      <w:r w:rsidRPr="00101E4D">
        <w:rPr>
          <w:rFonts w:ascii="Palatino Linotype" w:hAnsi="Palatino Linotype"/>
          <w:color w:val="000000" w:themeColor="text1"/>
        </w:rPr>
        <w:t>la Ley de Transparencia y Acceso a la Información Pública del Estado de México y Municipios, en su artículo 53, establece las funciones correspondientes a esta Unidad; mismas que se inserta a continuación:</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b/>
          <w:bCs/>
          <w:i/>
          <w:iCs/>
          <w:sz w:val="24"/>
        </w:rPr>
        <w:t>“Artículo 53</w:t>
      </w:r>
      <w:r w:rsidRPr="00101E4D">
        <w:rPr>
          <w:rFonts w:ascii="Palatino Linotype" w:hAnsi="Palatino Linotype"/>
          <w:i/>
          <w:iCs/>
          <w:sz w:val="24"/>
        </w:rPr>
        <w:t xml:space="preserve">. Las Unidades de Transparencia tendrán las siguientes funciones: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D647DF" w:rsidRPr="00101E4D" w:rsidRDefault="00D647DF" w:rsidP="00D647DF">
      <w:pPr>
        <w:pStyle w:val="Prrafodelista"/>
        <w:tabs>
          <w:tab w:val="left" w:pos="426"/>
        </w:tabs>
        <w:spacing w:before="240" w:after="240"/>
        <w:ind w:left="567" w:right="616"/>
        <w:jc w:val="both"/>
        <w:rPr>
          <w:rFonts w:ascii="Palatino Linotype" w:hAnsi="Palatino Linotype"/>
          <w:b/>
          <w:bCs/>
          <w:i/>
          <w:iCs/>
          <w:sz w:val="24"/>
        </w:rPr>
      </w:pPr>
      <w:r w:rsidRPr="00101E4D">
        <w:rPr>
          <w:rFonts w:ascii="Palatino Linotype" w:hAnsi="Palatino Linotype"/>
          <w:b/>
          <w:bCs/>
          <w:i/>
          <w:iCs/>
          <w:sz w:val="24"/>
        </w:rPr>
        <w:t xml:space="preserve">II. Recibir, tramitar y dar respuesta a las solicitudes de acceso a la información;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III. Auxiliar a los particulares en la elaboración de solicitudes de acceso a la información y, en su caso, orientarlos sobre los sujetos obligados competentes conforme a la normatividad aplicable; </w:t>
      </w:r>
    </w:p>
    <w:p w:rsidR="00D647DF" w:rsidRPr="00101E4D" w:rsidRDefault="00D647DF" w:rsidP="00D647DF">
      <w:pPr>
        <w:pStyle w:val="Prrafodelista"/>
        <w:tabs>
          <w:tab w:val="left" w:pos="426"/>
        </w:tabs>
        <w:spacing w:before="240" w:after="240"/>
        <w:ind w:left="567" w:right="616"/>
        <w:jc w:val="both"/>
        <w:rPr>
          <w:rFonts w:ascii="Palatino Linotype" w:hAnsi="Palatino Linotype"/>
          <w:b/>
          <w:bCs/>
          <w:i/>
          <w:iCs/>
          <w:sz w:val="24"/>
        </w:rPr>
      </w:pPr>
      <w:r w:rsidRPr="00101E4D">
        <w:rPr>
          <w:rFonts w:ascii="Palatino Linotype" w:hAnsi="Palatino Linotype"/>
          <w:b/>
          <w:bCs/>
          <w:i/>
          <w:iCs/>
          <w:sz w:val="24"/>
        </w:rPr>
        <w:t xml:space="preserve">IV. Realizar, con efectividad, los trámites internos necesarios para la atención de las solicitudes de acceso a la información;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V. Entregar, en su caso, a los particulares la información solicitada;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VI. Efectuar las notificaciones a los solicitantes;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VII. Proponer al Comité de Transparencia, los procedimientos internos que aseguren la mayor eficiencia en la gestión de las solicitudes de acceso a la información, conforme a la normatividad aplicable;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VIII. Proponer a quien preside el Comité de Transparencia, personal habilitado que sea necesario para recibir y dar trámite a las solicitudes de acceso a la información; </w:t>
      </w:r>
    </w:p>
    <w:p w:rsidR="00D647DF" w:rsidRPr="00101E4D" w:rsidRDefault="00D647DF" w:rsidP="00D647DF">
      <w:pPr>
        <w:pStyle w:val="Prrafodelista"/>
        <w:tabs>
          <w:tab w:val="left" w:pos="426"/>
        </w:tabs>
        <w:spacing w:before="240" w:after="240"/>
        <w:ind w:left="567" w:right="616"/>
        <w:jc w:val="both"/>
        <w:rPr>
          <w:rFonts w:ascii="Palatino Linotype" w:hAnsi="Palatino Linotype"/>
          <w:b/>
          <w:bCs/>
          <w:i/>
          <w:iCs/>
          <w:sz w:val="24"/>
        </w:rPr>
      </w:pPr>
      <w:r w:rsidRPr="00101E4D">
        <w:rPr>
          <w:rFonts w:ascii="Palatino Linotype" w:hAnsi="Palatino Linotype"/>
          <w:b/>
          <w:bCs/>
          <w:i/>
          <w:iCs/>
          <w:sz w:val="24"/>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X. Presentar ante el Comité, el proyecto de clasificación de información;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XI. Promover e implementar políticas de transparencia proactiva procurando su accesibilidad;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 xml:space="preserve">XII. Fomentar la transparencia y accesibilidad al interior del sujeto obligado; </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XIII. Hacer del conocimiento de la instancia competente la probable responsabilidad por el incumplimiento de las obligaciones previstas en la presente Ley; y</w:t>
      </w:r>
    </w:p>
    <w:p w:rsidR="00D647DF" w:rsidRPr="00101E4D" w:rsidRDefault="00D647DF" w:rsidP="00D647DF">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t>XIV. Las demás que resulten necesarias para facilitar el acceso a la información y aquellas que se desprenden de la presente Ley y demás disposiciones jurídicas aplicables. (…)</w:t>
      </w:r>
    </w:p>
    <w:p w:rsidR="00D647DF" w:rsidRPr="00101E4D" w:rsidRDefault="00D647DF" w:rsidP="009A1CC1">
      <w:pPr>
        <w:pStyle w:val="Prrafodelista"/>
        <w:tabs>
          <w:tab w:val="left" w:pos="426"/>
        </w:tabs>
        <w:spacing w:before="240" w:after="240"/>
        <w:ind w:left="567" w:right="616"/>
        <w:jc w:val="both"/>
        <w:rPr>
          <w:rFonts w:ascii="Palatino Linotype" w:hAnsi="Palatino Linotype"/>
          <w:i/>
          <w:iCs/>
          <w:sz w:val="24"/>
        </w:rPr>
      </w:pPr>
      <w:r w:rsidRPr="00101E4D">
        <w:rPr>
          <w:rFonts w:ascii="Palatino Linotype" w:hAnsi="Palatino Linotype"/>
          <w:i/>
          <w:iCs/>
          <w:sz w:val="24"/>
        </w:rPr>
        <w:lastRenderedPageBreak/>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D647DF" w:rsidRPr="00101E4D" w:rsidRDefault="00D647DF" w:rsidP="00D647D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De </w:t>
      </w:r>
      <w:r w:rsidRPr="00101E4D">
        <w:rPr>
          <w:rFonts w:ascii="Palatino Linotype" w:hAnsi="Palatino Linotype"/>
          <w:color w:val="000000" w:themeColor="text1"/>
        </w:rPr>
        <w:t xml:space="preserve">lo expuesto y con relación a lo solicitado, se tiene que, en efecto, la Unidad de Transparencia es la encargada de </w:t>
      </w:r>
      <w:r w:rsidRPr="00101E4D">
        <w:rPr>
          <w:rFonts w:ascii="Palatino Linotype" w:hAnsi="Palatino Linotype"/>
        </w:rPr>
        <w:t>recibir, tramitar y dar respuesta a las solicitudes de acceso a la información</w:t>
      </w:r>
      <w:r w:rsidR="00125384" w:rsidRPr="00101E4D">
        <w:rPr>
          <w:rFonts w:ascii="Palatino Linotype" w:hAnsi="Palatino Linotype"/>
        </w:rPr>
        <w:t>.</w:t>
      </w:r>
    </w:p>
    <w:p w:rsidR="00125384" w:rsidRPr="00101E4D" w:rsidRDefault="00125384" w:rsidP="00125384">
      <w:pPr>
        <w:spacing w:line="360" w:lineRule="auto"/>
        <w:ind w:right="1"/>
        <w:jc w:val="both"/>
        <w:rPr>
          <w:rFonts w:ascii="Palatino Linotype" w:eastAsia="Palatino Linotype" w:hAnsi="Palatino Linotype" w:cs="Palatino Linotype"/>
          <w:b/>
        </w:rPr>
      </w:pPr>
    </w:p>
    <w:p w:rsidR="00B706D8" w:rsidRPr="00101E4D" w:rsidRDefault="00D647DF" w:rsidP="00D6124E">
      <w:pPr>
        <w:numPr>
          <w:ilvl w:val="0"/>
          <w:numId w:val="1"/>
        </w:numPr>
        <w:spacing w:line="360" w:lineRule="auto"/>
        <w:ind w:left="0" w:right="1" w:firstLine="0"/>
        <w:jc w:val="both"/>
        <w:rPr>
          <w:rFonts w:ascii="Palatino Linotype" w:eastAsia="Palatino Linotype" w:hAnsi="Palatino Linotype" w:cs="Palatino Linotype"/>
        </w:rPr>
      </w:pPr>
      <w:r w:rsidRPr="00101E4D">
        <w:rPr>
          <w:rFonts w:ascii="Palatino Linotype" w:eastAsia="Calibri" w:hAnsi="Palatino Linotype" w:cs="Arial"/>
          <w:color w:val="000000" w:themeColor="text1"/>
          <w:lang w:val="es-ES"/>
        </w:rPr>
        <w:t xml:space="preserve">En atención a lo anterior, se advierte </w:t>
      </w:r>
      <w:r w:rsidRPr="00101E4D">
        <w:rPr>
          <w:rFonts w:ascii="Palatino Linotype" w:hAnsi="Palatino Linotype"/>
        </w:rPr>
        <w:t xml:space="preserve">el </w:t>
      </w:r>
      <w:r w:rsidRPr="00101E4D">
        <w:rPr>
          <w:rFonts w:ascii="Palatino Linotype" w:hAnsi="Palatino Linotype"/>
          <w:b/>
          <w:bCs/>
        </w:rPr>
        <w:t>SUJETO OBLIGADO</w:t>
      </w:r>
      <w:r w:rsidR="00125384" w:rsidRPr="00101E4D">
        <w:rPr>
          <w:rFonts w:ascii="Palatino Linotype" w:hAnsi="Palatino Linotype"/>
        </w:rPr>
        <w:t xml:space="preserve"> se pronunció por medio del </w:t>
      </w:r>
      <w:r w:rsidRPr="00101E4D">
        <w:rPr>
          <w:rFonts w:ascii="Palatino Linotype" w:hAnsi="Palatino Linotype"/>
        </w:rPr>
        <w:t>Servidor Público Habilitado competente, en el presente caso</w:t>
      </w:r>
      <w:r w:rsidR="00B706D8" w:rsidRPr="00101E4D">
        <w:rPr>
          <w:rFonts w:ascii="Palatino Linotype" w:hAnsi="Palatino Linotype"/>
        </w:rPr>
        <w:t>,</w:t>
      </w:r>
      <w:r w:rsidRPr="00101E4D">
        <w:rPr>
          <w:rFonts w:ascii="Palatino Linotype" w:hAnsi="Palatino Linotype"/>
        </w:rPr>
        <w:t xml:space="preserve"> </w:t>
      </w:r>
      <w:r w:rsidR="00F74819" w:rsidRPr="00101E4D">
        <w:rPr>
          <w:rFonts w:ascii="Palatino Linotype" w:hAnsi="Palatino Linotype"/>
          <w:b/>
        </w:rPr>
        <w:t>la Directora de Obras Públicas.</w:t>
      </w:r>
    </w:p>
    <w:p w:rsidR="00F74819" w:rsidRPr="00101E4D" w:rsidRDefault="00F74819" w:rsidP="00F74819">
      <w:pPr>
        <w:pStyle w:val="Prrafodelista"/>
        <w:rPr>
          <w:rFonts w:ascii="Palatino Linotype" w:eastAsia="Palatino Linotype" w:hAnsi="Palatino Linotype" w:cs="Palatino Linotype"/>
          <w:sz w:val="24"/>
        </w:rPr>
      </w:pPr>
    </w:p>
    <w:p w:rsidR="00F74819" w:rsidRPr="00101E4D" w:rsidRDefault="00F74819" w:rsidP="00F74819">
      <w:pPr>
        <w:numPr>
          <w:ilvl w:val="0"/>
          <w:numId w:val="1"/>
        </w:numPr>
        <w:spacing w:line="360" w:lineRule="auto"/>
        <w:ind w:left="0" w:right="1"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 xml:space="preserve">Al respecto, el Bando Municipal Vigente del Ayuntamiento de Calimaya, establece en su artículo 77 que la Dirección de Obras Públicas es </w:t>
      </w:r>
      <w:r w:rsidRPr="00101E4D">
        <w:rPr>
          <w:rFonts w:ascii="Palatino Linotype" w:eastAsia="Palatino Linotype" w:hAnsi="Palatino Linotype" w:cs="Palatino Linotype"/>
          <w:b/>
        </w:rPr>
        <w:t xml:space="preserve">la encargada de planear, programar, mantener y ejecutar la obra pública de infraestructura, equipamiento urbano y rural que satisfagan los requerimientos de la sociedad, </w:t>
      </w:r>
      <w:r w:rsidRPr="00101E4D">
        <w:rPr>
          <w:rFonts w:ascii="Palatino Linotype" w:eastAsia="Palatino Linotype" w:hAnsi="Palatino Linotype" w:cs="Palatino Linotype"/>
        </w:rPr>
        <w:t xml:space="preserve">tanto con recursos propios, como con las participaciones de Programas Estatales y Federales, incluyendo la participación ciudadana. Promoverá acciones que conlleven a un desarrollo integral del Municipio, para mejorar la calidad de vida de la población, con un aprovechamiento óptimo en el manejo de los recursos asignados, cumpliendo con los principios de eficiencia, eficacia y transparencia dentro del marco legal existente. </w:t>
      </w:r>
    </w:p>
    <w:p w:rsidR="00F74819" w:rsidRPr="00101E4D" w:rsidRDefault="00F74819" w:rsidP="00F74819">
      <w:pPr>
        <w:pStyle w:val="Prrafodelista"/>
        <w:rPr>
          <w:rFonts w:ascii="Palatino Linotype" w:eastAsia="Palatino Linotype" w:hAnsi="Palatino Linotype" w:cs="Palatino Linotype"/>
          <w:sz w:val="24"/>
        </w:rPr>
      </w:pPr>
    </w:p>
    <w:p w:rsidR="00F74819" w:rsidRPr="00101E4D" w:rsidRDefault="00F74819" w:rsidP="00F74819">
      <w:pPr>
        <w:numPr>
          <w:ilvl w:val="0"/>
          <w:numId w:val="1"/>
        </w:numPr>
        <w:spacing w:line="360" w:lineRule="auto"/>
        <w:ind w:left="0" w:right="1" w:firstLine="0"/>
        <w:jc w:val="both"/>
        <w:rPr>
          <w:rFonts w:ascii="Palatino Linotype" w:eastAsia="Palatino Linotype" w:hAnsi="Palatino Linotype" w:cs="Palatino Linotype"/>
        </w:rPr>
      </w:pPr>
      <w:r w:rsidRPr="00101E4D">
        <w:rPr>
          <w:rFonts w:ascii="Palatino Linotype" w:eastAsia="Palatino Linotype" w:hAnsi="Palatino Linotype" w:cs="Palatino Linotype"/>
        </w:rPr>
        <w:t>Correlativo a lo anterior, el artículo 96Bis de la Ley Orgánica Municipal, establece que la el Director de Obras Públicas cuenta con las siguientes atribuciones:</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lastRenderedPageBreak/>
        <w:t xml:space="preserve">I. Realizar la programación y ejecución de las obras públicas y servicios relacionados, que por orden expresa del Ayuntamiento requieran prioridad;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II. Planear y coordinar los proyectos de obras públicas y servicios relacionados con las mismas que autorice el Ayuntamiento, una vez que se cumplan los requisitos de licitación y otros que determine la ley de la materia;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III. Proyectar las obras públicas y servicios relacionados, que realice el Municipio, incluyendo la conservación y mantenimiento de edificios, monumentos, calles, parques y jardines;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IV. Construir y ejecutar todas aquellas obras públicas y servicios relacionados, que aumenten y mantengan la infraestructura municipal y que estén consideradas en el programa respectivo;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V. Determinar y cuantificar los materiales y trabajos necesarios para programas de construcción y mantenimiento de obras públicas y servicios relacionados;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VI. Vigilar que se cumplan y lleven a cabo los programas de construcción y mantenimiento de obras públicas y servicios relacionados;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VII. Cuidar que las obras públicas y servicios relacionados cumplan con los requisitos de seguridad y observen las normas de construcción y términos establecidos;</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VIII. Vigilar la construcción en las obras por contrato y por administración que hayan sido adjudicadas a los contratistas;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IX. Administrar y ejercer, en el ámbito de su competencia, de manera coordinada con el Tesorero municipal, los recursos públicos destinados a la planeación, programación, presupuestación, adjudicación, contratación, ejecución y control de la obra pública, conforme a las disposiciones legales aplicables y en congruencia con los planes, programas, especificaciones técnicas, controles y procedimientos administrativos aprobados;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 Verificar que las obras públicas y los servicios relacionados con la misma, hayan sido programadas, presupuestadas, ejecutadas, adquiridas y contratadas en estricto apego a las disposiciones legales aplicables;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XI. Integrar y verificar que se elaboren de manera correcta y completa las bitácoras y/o expedientes abiertos con motivo de la obra pública y servicios relacionados con la misma, conforme a lo establecido en las disposiciones legales aplicables;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XII. Promover la construcción de urbanización, infraestructura y equipamiento urbano;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XIII. Formular y conducir la política municipal en materia de obras públicas e infraestructura para el desarrollo;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XIV. Cumplir y hacer cumplir la legislación y normatividad en materia de obra pública;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XV. Proyectar, formular y proponer al Presidente Municipal, el Programa General de Obras Públicas, para la construcción y mejoramiento de las mismas, de acuerdo a la normatividad aplicable y en congruencia con el Plan de Desarrollo Municipal y con la política, objetivos y prioridades del Municipio y vigilar su ejecución;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lastRenderedPageBreak/>
        <w:t xml:space="preserve">XVI. Dictar las normas generales y ejecutar las obras de reparación, adaptación y demolición de inmuebles propiedad del municipio que le sean asignadas;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XVII. Ejecutar y mantener las obras públicas que acuerde el Ayuntamiento, de acuerdo a la legislación y normatividad aplicable, a los planes, presupuestos y programas previamente establecidos, coordinándose, en su caso, previo acuerdo con el Presidente Municipal, con las autoridades Federales, Estatales y municipales concurrentes;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XVIII. Vigilar que la ejecución de la obra pública adjudicada y los servicios relacionados con ésta, se sujeten a las condiciones contratadas;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XIX. Establecer los lineamientos para la realización de estudios y proyectos de construcción de obras públicas;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XX. Autorizar para su pago, previa validación del avance y calidad de las obras, los presupuestos y estimaciones que presenten los contratistas de obras públicas municipales;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XXI. Formular el inventario de la maquinaria y equipo de construcción a su cuidado o de su propiedad, manteniéndolo en óptimas condiciones de uso; </w:t>
      </w:r>
    </w:p>
    <w:p w:rsidR="00F74819"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XXII. Coordinar y supervisar que todo el proceso de las obras públicas que se realicen en el municipio se realice conforme a la legislación y normatividad en materia de obra pública;</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XXIII. Controlar y vigilar el inventario de materiales para construcción;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XXIV. Integrar y autorizar con su firma, la documentación que en materia de obra pública, deba presentarse al Órgano Superior de Fiscalización del Estado de México;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 xml:space="preserve">XXV. Formular las bases y expedir la convocatoria a los concursos para la realización de las obras públicas municipales, de acuerdo con los requisitos que para dichos actos señale la legislación y normatividad respectiva, vigilando su correcta ejecución; y </w:t>
      </w:r>
    </w:p>
    <w:p w:rsidR="00BB205A" w:rsidRPr="00101E4D" w:rsidRDefault="00BB205A" w:rsidP="00BB205A">
      <w:pPr>
        <w:ind w:left="567" w:right="567"/>
        <w:jc w:val="both"/>
        <w:rPr>
          <w:rFonts w:ascii="Palatino Linotype" w:eastAsia="Palatino Linotype" w:hAnsi="Palatino Linotype" w:cs="Palatino Linotype"/>
          <w:i/>
        </w:rPr>
      </w:pPr>
      <w:r w:rsidRPr="00101E4D">
        <w:rPr>
          <w:rFonts w:ascii="Palatino Linotype" w:eastAsia="Palatino Linotype" w:hAnsi="Palatino Linotype" w:cs="Palatino Linotype"/>
          <w:i/>
        </w:rPr>
        <w:t>XXVI. Las demás que les señalen las disposiciones aplicables.</w:t>
      </w:r>
    </w:p>
    <w:p w:rsidR="00BB205A" w:rsidRPr="00101E4D" w:rsidRDefault="00BB205A" w:rsidP="00F74819">
      <w:pPr>
        <w:spacing w:line="360" w:lineRule="auto"/>
        <w:ind w:right="1"/>
        <w:jc w:val="both"/>
        <w:rPr>
          <w:rFonts w:ascii="Palatino Linotype" w:eastAsia="Palatino Linotype" w:hAnsi="Palatino Linotype" w:cs="Palatino Linotype"/>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rPr>
        <w:t xml:space="preserve">Expuesto </w:t>
      </w:r>
      <w:r w:rsidRPr="00101E4D">
        <w:rPr>
          <w:rFonts w:ascii="Palatino Linotype" w:hAnsi="Palatino Linotype"/>
          <w:color w:val="000000" w:themeColor="text1"/>
        </w:rPr>
        <w:t>lo anterior</w:t>
      </w:r>
      <w:r w:rsidRPr="00101E4D">
        <w:rPr>
          <w:rFonts w:ascii="Palatino Linotype" w:eastAsia="Calibri" w:hAnsi="Palatino Linotype" w:cs="Arial"/>
          <w:color w:val="000000" w:themeColor="text1"/>
          <w:lang w:val="es-ES"/>
        </w:rPr>
        <w:t xml:space="preserve">, </w:t>
      </w:r>
      <w:r w:rsidRPr="00101E4D">
        <w:rPr>
          <w:rFonts w:ascii="Palatino Linotype" w:hAnsi="Palatino Linotype" w:cs="Arial"/>
          <w:bCs/>
        </w:rPr>
        <w:t xml:space="preserve">es dable sostener que, al haber existido un pronunciamiento por parte del </w:t>
      </w:r>
      <w:r w:rsidRPr="00101E4D">
        <w:rPr>
          <w:rFonts w:ascii="Palatino Linotype" w:hAnsi="Palatino Linotype" w:cs="Arial"/>
          <w:b/>
          <w:bCs/>
        </w:rPr>
        <w:t xml:space="preserve">SUJETO OBLIGADO, </w:t>
      </w:r>
      <w:r w:rsidRPr="00101E4D">
        <w:rPr>
          <w:rFonts w:ascii="Palatino Linotype" w:hAnsi="Palatino Linotype" w:cs="Arial"/>
          <w:bCs/>
        </w:rPr>
        <w:t>aún más del Servidor Público Habilitado correspondiente, este Instituto no está facultado para manifestarse sobre la veracidad de este, pues no existe precepto legal alguno en la Ley de la materia que lo faculte para que, vía recurso de revisión, pueda pronunciarse al respecto.</w:t>
      </w:r>
    </w:p>
    <w:p w:rsidR="007D70DD" w:rsidRPr="00101E4D" w:rsidRDefault="007D70DD" w:rsidP="007D70DD">
      <w:pPr>
        <w:spacing w:line="360" w:lineRule="auto"/>
        <w:ind w:right="1"/>
        <w:jc w:val="both"/>
        <w:rPr>
          <w:rFonts w:ascii="Palatino Linotype" w:eastAsia="Palatino Linotype" w:hAnsi="Palatino Linotype" w:cs="Palatino Linotype"/>
          <w:b/>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Ahora bien, </w:t>
      </w:r>
      <w:r w:rsidRPr="00101E4D">
        <w:rPr>
          <w:rFonts w:ascii="Palatino Linotype" w:hAnsi="Palatino Linotype"/>
        </w:rPr>
        <w:t>es importante señalar que el artículo 4, párrafo segundo de la Ley de Transparencia y Acceso a la Información Pública del Estado de México y Municipios, dispone:</w:t>
      </w:r>
    </w:p>
    <w:p w:rsidR="00FD0C3F" w:rsidRPr="00101E4D" w:rsidRDefault="00FD0C3F" w:rsidP="00FD0C3F">
      <w:pPr>
        <w:pStyle w:val="Prrafodelista"/>
        <w:tabs>
          <w:tab w:val="left" w:pos="426"/>
          <w:tab w:val="left" w:pos="567"/>
        </w:tabs>
        <w:ind w:left="567" w:right="565"/>
        <w:jc w:val="both"/>
        <w:rPr>
          <w:rFonts w:ascii="Palatino Linotype" w:hAnsi="Palatino Linotype"/>
          <w:i/>
          <w:sz w:val="24"/>
        </w:rPr>
      </w:pPr>
      <w:r w:rsidRPr="00101E4D">
        <w:rPr>
          <w:rFonts w:ascii="Palatino Linotype" w:hAnsi="Palatino Linotype"/>
          <w:i/>
          <w:sz w:val="24"/>
        </w:rPr>
        <w:lastRenderedPageBreak/>
        <w:t>“</w:t>
      </w:r>
      <w:r w:rsidRPr="00101E4D">
        <w:rPr>
          <w:rFonts w:ascii="Palatino Linotype" w:hAnsi="Palatino Linotype"/>
          <w:b/>
          <w:i/>
          <w:sz w:val="24"/>
        </w:rPr>
        <w:t>Artículo 4. …</w:t>
      </w:r>
    </w:p>
    <w:p w:rsidR="00FD0C3F" w:rsidRPr="00101E4D" w:rsidRDefault="00FD0C3F" w:rsidP="009A1CC1">
      <w:pPr>
        <w:pStyle w:val="Prrafodelista"/>
        <w:tabs>
          <w:tab w:val="left" w:pos="426"/>
          <w:tab w:val="left" w:pos="567"/>
        </w:tabs>
        <w:ind w:left="567" w:right="565"/>
        <w:jc w:val="both"/>
        <w:rPr>
          <w:rFonts w:ascii="Palatino Linotype" w:hAnsi="Palatino Linotype"/>
          <w:i/>
          <w:sz w:val="24"/>
        </w:rPr>
      </w:pPr>
      <w:r w:rsidRPr="00101E4D">
        <w:rPr>
          <w:rFonts w:ascii="Palatino Linotype" w:hAnsi="Palatino Linotype"/>
          <w:i/>
          <w:sz w:val="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A1CC1" w:rsidRPr="00101E4D" w:rsidRDefault="009A1CC1" w:rsidP="009A1CC1">
      <w:pPr>
        <w:tabs>
          <w:tab w:val="left" w:pos="426"/>
          <w:tab w:val="left" w:pos="567"/>
        </w:tabs>
        <w:ind w:right="565"/>
        <w:jc w:val="both"/>
        <w:rPr>
          <w:rFonts w:ascii="Palatino Linotype" w:hAnsi="Palatino Linotype"/>
          <w:i/>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De lo anterior, se desprende </w:t>
      </w:r>
      <w:r w:rsidRPr="00101E4D">
        <w:rPr>
          <w:rFonts w:ascii="Palatino Linotype" w:hAnsi="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rsidR="00FD0C3F" w:rsidRPr="00101E4D" w:rsidRDefault="00FD0C3F" w:rsidP="00FD0C3F">
      <w:pPr>
        <w:spacing w:line="360" w:lineRule="auto"/>
        <w:ind w:right="1"/>
        <w:jc w:val="both"/>
        <w:rPr>
          <w:rFonts w:ascii="Palatino Linotype" w:eastAsia="Palatino Linotype" w:hAnsi="Palatino Linotype" w:cs="Palatino Linotype"/>
          <w:b/>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hAnsi="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FD0C3F" w:rsidRPr="00101E4D" w:rsidRDefault="00FD0C3F" w:rsidP="00FD0C3F">
      <w:pPr>
        <w:pStyle w:val="Prrafodelista"/>
        <w:tabs>
          <w:tab w:val="left" w:pos="1134"/>
        </w:tabs>
        <w:ind w:left="567" w:right="565"/>
        <w:jc w:val="both"/>
        <w:rPr>
          <w:rFonts w:ascii="Palatino Linotype" w:hAnsi="Palatino Linotype"/>
          <w:i/>
          <w:sz w:val="24"/>
        </w:rPr>
      </w:pPr>
      <w:r w:rsidRPr="00101E4D">
        <w:rPr>
          <w:rFonts w:ascii="Palatino Linotype" w:hAnsi="Palatino Linotype"/>
          <w:i/>
          <w:sz w:val="24"/>
        </w:rPr>
        <w:t>“</w:t>
      </w:r>
      <w:r w:rsidRPr="00101E4D">
        <w:rPr>
          <w:rFonts w:ascii="Palatino Linotype" w:hAnsi="Palatino Linotype"/>
          <w:b/>
          <w:i/>
          <w:sz w:val="24"/>
        </w:rPr>
        <w:t>Artículo 12.</w:t>
      </w:r>
      <w:r w:rsidRPr="00101E4D">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 </w:t>
      </w:r>
    </w:p>
    <w:p w:rsidR="00FD0C3F" w:rsidRPr="00101E4D" w:rsidRDefault="00FD0C3F" w:rsidP="00FD0C3F">
      <w:pPr>
        <w:pStyle w:val="Prrafodelista"/>
        <w:tabs>
          <w:tab w:val="left" w:pos="1134"/>
        </w:tabs>
        <w:ind w:left="567" w:right="565"/>
        <w:jc w:val="both"/>
        <w:rPr>
          <w:rFonts w:ascii="Palatino Linotype" w:hAnsi="Palatino Linotype"/>
          <w:i/>
          <w:sz w:val="24"/>
        </w:rPr>
      </w:pPr>
    </w:p>
    <w:p w:rsidR="00FD0C3F" w:rsidRPr="00101E4D" w:rsidRDefault="00FD0C3F" w:rsidP="009E0447">
      <w:pPr>
        <w:tabs>
          <w:tab w:val="left" w:pos="1134"/>
        </w:tabs>
        <w:ind w:left="567" w:right="565"/>
        <w:jc w:val="both"/>
        <w:rPr>
          <w:rFonts w:ascii="Palatino Linotype" w:hAnsi="Palatino Linotype"/>
          <w:i/>
        </w:rPr>
      </w:pPr>
      <w:r w:rsidRPr="00101E4D">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D70DD" w:rsidRPr="00101E4D" w:rsidRDefault="007D70DD" w:rsidP="007D70DD">
      <w:pPr>
        <w:tabs>
          <w:tab w:val="left" w:pos="1134"/>
        </w:tabs>
        <w:ind w:right="565"/>
        <w:jc w:val="both"/>
        <w:rPr>
          <w:rFonts w:ascii="Palatino Linotype" w:hAnsi="Palatino Linotype"/>
          <w:i/>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En síntesis, </w:t>
      </w:r>
      <w:r w:rsidRPr="00101E4D">
        <w:rPr>
          <w:rFonts w:ascii="Palatino Linotype" w:hAnsi="Palatino Linotype"/>
        </w:rPr>
        <w:t xml:space="preserve">el derecho de acceso a la información pública se satisface en aquellos casos en que se entregue el soporte documental en que conste la información pública, toda vez que, </w:t>
      </w:r>
      <w:r w:rsidRPr="00101E4D">
        <w:rPr>
          <w:rFonts w:ascii="Palatino Linotype" w:hAnsi="Palatino Linotype"/>
        </w:rPr>
        <w:lastRenderedPageBreak/>
        <w:t xml:space="preserve">los Sujetos Obligados no tienen el deber de generar, poseer o administrar la información pública con el grado de detalle solicitado; esto es, que no tienen el deber de generar un documento ad hoc, para satisfacer el derecho de acceso a la información pública. </w:t>
      </w:r>
    </w:p>
    <w:p w:rsidR="00FD0C3F" w:rsidRPr="00101E4D" w:rsidRDefault="00FD0C3F" w:rsidP="00FD0C3F">
      <w:pPr>
        <w:spacing w:line="360" w:lineRule="auto"/>
        <w:ind w:right="1"/>
        <w:jc w:val="both"/>
        <w:rPr>
          <w:rFonts w:ascii="Palatino Linotype" w:eastAsia="Palatino Linotype" w:hAnsi="Palatino Linotype" w:cs="Palatino Linotype"/>
          <w:b/>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hAnsi="Palatino Linotype"/>
        </w:rPr>
        <w:t xml:space="preserve">Como apoyo a lo anterior, es aplicable el Criterio 03-17, emitido por el Instituto Nacional de Transparencia, Acceso a la Información y Protección de Datos Personales, que dice: </w:t>
      </w:r>
    </w:p>
    <w:p w:rsidR="00FD0C3F" w:rsidRPr="00101E4D" w:rsidRDefault="00FD0C3F" w:rsidP="00FD0C3F">
      <w:pPr>
        <w:pStyle w:val="Prrafodelista"/>
        <w:tabs>
          <w:tab w:val="left" w:pos="709"/>
          <w:tab w:val="left" w:pos="1985"/>
        </w:tabs>
        <w:ind w:left="567" w:right="565"/>
        <w:jc w:val="both"/>
        <w:rPr>
          <w:rFonts w:ascii="Palatino Linotype" w:hAnsi="Palatino Linotype"/>
          <w:i/>
          <w:sz w:val="24"/>
        </w:rPr>
      </w:pPr>
      <w:r w:rsidRPr="00101E4D">
        <w:rPr>
          <w:rFonts w:ascii="Palatino Linotype" w:hAnsi="Palatino Linotype"/>
          <w:b/>
          <w:i/>
          <w:sz w:val="24"/>
        </w:rPr>
        <w:t>“No existe obligación de elaborar documentos ad hoc para atender las solicitudes de acceso a la información.</w:t>
      </w:r>
      <w:r w:rsidRPr="00101E4D">
        <w:rPr>
          <w:rFonts w:ascii="Palatino Linotype" w:hAnsi="Palatino Linotype"/>
          <w:i/>
          <w:sz w:val="24"/>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FD0C3F" w:rsidRPr="00101E4D" w:rsidRDefault="00FD0C3F" w:rsidP="00FD0C3F">
      <w:pPr>
        <w:pStyle w:val="Prrafodelista"/>
        <w:tabs>
          <w:tab w:val="left" w:pos="709"/>
          <w:tab w:val="left" w:pos="1985"/>
        </w:tabs>
        <w:ind w:left="567" w:right="565"/>
        <w:jc w:val="both"/>
        <w:rPr>
          <w:rFonts w:ascii="Palatino Linotype" w:hAnsi="Palatino Linotype"/>
          <w:i/>
          <w:sz w:val="24"/>
        </w:rPr>
      </w:pPr>
    </w:p>
    <w:p w:rsidR="00FD0C3F" w:rsidRPr="00101E4D" w:rsidRDefault="00FD0C3F" w:rsidP="00FD0C3F">
      <w:pPr>
        <w:pStyle w:val="Prrafodelista"/>
        <w:tabs>
          <w:tab w:val="left" w:pos="709"/>
          <w:tab w:val="left" w:pos="1985"/>
        </w:tabs>
        <w:ind w:left="567" w:right="565"/>
        <w:jc w:val="both"/>
        <w:rPr>
          <w:rFonts w:ascii="Palatino Linotype" w:hAnsi="Palatino Linotype"/>
          <w:i/>
          <w:sz w:val="24"/>
        </w:rPr>
      </w:pPr>
      <w:r w:rsidRPr="00101E4D">
        <w:rPr>
          <w:rFonts w:ascii="Palatino Linotype" w:hAnsi="Palatino Linotype"/>
          <w:i/>
          <w:sz w:val="24"/>
        </w:rPr>
        <w:t xml:space="preserve">Resoluciones: </w:t>
      </w:r>
    </w:p>
    <w:p w:rsidR="00FD0C3F" w:rsidRPr="00101E4D" w:rsidRDefault="00FD0C3F" w:rsidP="00FD0C3F">
      <w:pPr>
        <w:pStyle w:val="Prrafodelista"/>
        <w:tabs>
          <w:tab w:val="left" w:pos="709"/>
          <w:tab w:val="left" w:pos="1985"/>
        </w:tabs>
        <w:ind w:left="567" w:right="565"/>
        <w:jc w:val="both"/>
        <w:rPr>
          <w:rFonts w:ascii="Palatino Linotype" w:hAnsi="Palatino Linotype"/>
          <w:i/>
          <w:sz w:val="24"/>
        </w:rPr>
      </w:pPr>
      <w:r w:rsidRPr="00101E4D">
        <w:rPr>
          <w:rFonts w:ascii="Palatino Linotype" w:hAnsi="Palatino Linotype"/>
          <w:i/>
          <w:sz w:val="24"/>
        </w:rPr>
        <w:sym w:font="Symbol" w:char="F0B7"/>
      </w:r>
      <w:r w:rsidRPr="00101E4D">
        <w:rPr>
          <w:rFonts w:ascii="Palatino Linotype" w:hAnsi="Palatino Linotype"/>
          <w:i/>
          <w:sz w:val="24"/>
        </w:rPr>
        <w:t xml:space="preserve"> RRA 0050/16. Instituto Nacional para la Evaluación de la Educación. 13 julio de 2016. Por unanimidad. Comisionado Ponente: Francisco Javier Acuña Llamas. </w:t>
      </w:r>
    </w:p>
    <w:p w:rsidR="00FD0C3F" w:rsidRPr="00101E4D" w:rsidRDefault="00FD0C3F" w:rsidP="00FD0C3F">
      <w:pPr>
        <w:pStyle w:val="Prrafodelista"/>
        <w:tabs>
          <w:tab w:val="left" w:pos="709"/>
          <w:tab w:val="left" w:pos="1985"/>
        </w:tabs>
        <w:ind w:left="567" w:right="565"/>
        <w:jc w:val="both"/>
        <w:rPr>
          <w:rFonts w:ascii="Palatino Linotype" w:hAnsi="Palatino Linotype"/>
          <w:i/>
          <w:sz w:val="24"/>
        </w:rPr>
      </w:pPr>
      <w:r w:rsidRPr="00101E4D">
        <w:rPr>
          <w:rFonts w:ascii="Palatino Linotype" w:hAnsi="Palatino Linotype"/>
          <w:i/>
          <w:sz w:val="24"/>
        </w:rPr>
        <w:sym w:font="Symbol" w:char="F0B7"/>
      </w:r>
      <w:r w:rsidRPr="00101E4D">
        <w:rPr>
          <w:rFonts w:ascii="Palatino Linotype" w:hAnsi="Palatino Linotype"/>
          <w:i/>
          <w:sz w:val="24"/>
        </w:rPr>
        <w:t xml:space="preserve"> RRA 0310/16. Instituto Nacional de Transparencia, Acceso a la Información y Protección de Datos Personales. 10 de agosto de 2016. Por unanimidad. Comisionada Ponente. Areli Cano Guadiana. </w:t>
      </w:r>
    </w:p>
    <w:p w:rsidR="00FD0C3F" w:rsidRPr="00101E4D" w:rsidRDefault="00FD0C3F" w:rsidP="00FD0C3F">
      <w:pPr>
        <w:tabs>
          <w:tab w:val="left" w:pos="709"/>
          <w:tab w:val="left" w:pos="1985"/>
        </w:tabs>
        <w:ind w:left="567" w:right="565"/>
        <w:jc w:val="both"/>
        <w:rPr>
          <w:rFonts w:ascii="Palatino Linotype" w:eastAsia="Calibri" w:hAnsi="Palatino Linotype" w:cs="Arial"/>
          <w:color w:val="000000" w:themeColor="text1"/>
          <w:lang w:val="es-ES"/>
        </w:rPr>
      </w:pPr>
      <w:r w:rsidRPr="00101E4D">
        <w:rPr>
          <w:rFonts w:ascii="Palatino Linotype" w:hAnsi="Palatino Linotype"/>
          <w:i/>
        </w:rPr>
        <w:sym w:font="Symbol" w:char="F0B7"/>
      </w:r>
      <w:r w:rsidRPr="00101E4D">
        <w:rPr>
          <w:rFonts w:ascii="Palatino Linotype" w:hAnsi="Palatino Linotype"/>
          <w:i/>
        </w:rPr>
        <w:t xml:space="preserve"> RRA 1889/16. Secretaría de Hacienda y Crédito Público. 05 de octubre de 2016. Por unanimidad. Comisionada Ponente. Ximena Puente de la Mora.”</w:t>
      </w:r>
    </w:p>
    <w:p w:rsidR="00FD0C3F" w:rsidRPr="00101E4D" w:rsidRDefault="00FD0C3F" w:rsidP="00FD0C3F">
      <w:pPr>
        <w:spacing w:line="360" w:lineRule="auto"/>
        <w:ind w:right="1"/>
        <w:jc w:val="both"/>
        <w:rPr>
          <w:rFonts w:ascii="Palatino Linotype" w:eastAsia="Palatino Linotype" w:hAnsi="Palatino Linotype" w:cs="Palatino Linotype"/>
          <w:b/>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Asimos, </w:t>
      </w:r>
      <w:r w:rsidRPr="00101E4D">
        <w:rPr>
          <w:rFonts w:ascii="Palatino Linotype" w:hAnsi="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hAnsi="Palatino Linotype"/>
        </w:rPr>
        <w:lastRenderedPageBreak/>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FD0C3F" w:rsidRPr="00101E4D" w:rsidRDefault="00FD0C3F" w:rsidP="00FD0C3F">
      <w:pPr>
        <w:pStyle w:val="Prrafodelista"/>
        <w:tabs>
          <w:tab w:val="left" w:pos="426"/>
          <w:tab w:val="left" w:pos="567"/>
        </w:tabs>
        <w:ind w:left="567" w:right="565"/>
        <w:jc w:val="both"/>
        <w:rPr>
          <w:rFonts w:ascii="Palatino Linotype" w:hAnsi="Palatino Linotype"/>
          <w:i/>
          <w:sz w:val="24"/>
        </w:rPr>
      </w:pPr>
      <w:r w:rsidRPr="00101E4D">
        <w:rPr>
          <w:rFonts w:ascii="Palatino Linotype" w:hAnsi="Palatino Linotype"/>
          <w:b/>
          <w:i/>
          <w:sz w:val="24"/>
        </w:rPr>
        <w:t>“Artículo 3.</w:t>
      </w:r>
      <w:r w:rsidRPr="00101E4D">
        <w:rPr>
          <w:rFonts w:ascii="Palatino Linotype" w:hAnsi="Palatino Linotype"/>
          <w:i/>
          <w:sz w:val="24"/>
        </w:rPr>
        <w:t xml:space="preserve"> Para los efectos de la presente Ley se entenderá por: </w:t>
      </w:r>
    </w:p>
    <w:p w:rsidR="00FD0C3F" w:rsidRPr="00101E4D" w:rsidRDefault="00FD0C3F" w:rsidP="00FD0C3F">
      <w:pPr>
        <w:pStyle w:val="Prrafodelista"/>
        <w:tabs>
          <w:tab w:val="left" w:pos="426"/>
          <w:tab w:val="left" w:pos="567"/>
        </w:tabs>
        <w:ind w:left="567" w:right="565"/>
        <w:jc w:val="both"/>
        <w:rPr>
          <w:rFonts w:ascii="Palatino Linotype" w:hAnsi="Palatino Linotype"/>
          <w:i/>
          <w:sz w:val="24"/>
        </w:rPr>
      </w:pPr>
      <w:r w:rsidRPr="00101E4D">
        <w:rPr>
          <w:rFonts w:ascii="Palatino Linotype" w:hAnsi="Palatino Linotype"/>
          <w:i/>
          <w:sz w:val="24"/>
        </w:rPr>
        <w:t xml:space="preserve">(…) </w:t>
      </w:r>
    </w:p>
    <w:p w:rsidR="00FD0C3F" w:rsidRPr="00101E4D" w:rsidRDefault="00FD0C3F" w:rsidP="00FD0C3F">
      <w:pPr>
        <w:pStyle w:val="Prrafodelista"/>
        <w:tabs>
          <w:tab w:val="left" w:pos="426"/>
          <w:tab w:val="left" w:pos="567"/>
        </w:tabs>
        <w:ind w:left="567" w:right="565"/>
        <w:jc w:val="both"/>
        <w:rPr>
          <w:rFonts w:ascii="Palatino Linotype" w:hAnsi="Palatino Linotype"/>
          <w:b/>
          <w:i/>
          <w:sz w:val="24"/>
        </w:rPr>
      </w:pPr>
      <w:r w:rsidRPr="00101E4D">
        <w:rPr>
          <w:rFonts w:ascii="Palatino Linotype" w:hAnsi="Palatino Linotype"/>
          <w:b/>
          <w:i/>
          <w:sz w:val="24"/>
        </w:rPr>
        <w:t>XI. Documento:</w:t>
      </w:r>
      <w:r w:rsidRPr="00101E4D">
        <w:rPr>
          <w:rFonts w:ascii="Palatino Linotype" w:hAnsi="Palatino Linotype"/>
          <w:i/>
          <w:sz w:val="24"/>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101E4D">
        <w:rPr>
          <w:rFonts w:ascii="Palatino Linotype" w:hAnsi="Palatino Linotype"/>
          <w:b/>
          <w:i/>
          <w:sz w:val="24"/>
        </w:rPr>
        <w:t xml:space="preserve">Los documentos podrán estar en cualquier medio, sea escrito, impreso, sonoro, visual, electrónico, informático u holográfico; </w:t>
      </w:r>
    </w:p>
    <w:p w:rsidR="00FD0C3F" w:rsidRPr="00101E4D" w:rsidRDefault="00FD0C3F" w:rsidP="00FD0C3F">
      <w:pPr>
        <w:pStyle w:val="Prrafodelista"/>
        <w:tabs>
          <w:tab w:val="left" w:pos="426"/>
          <w:tab w:val="left" w:pos="567"/>
        </w:tabs>
        <w:ind w:left="567" w:right="565"/>
        <w:jc w:val="both"/>
        <w:rPr>
          <w:rFonts w:ascii="Palatino Linotype" w:eastAsia="Calibri" w:hAnsi="Palatino Linotype" w:cs="Arial"/>
          <w:i/>
          <w:color w:val="000000" w:themeColor="text1"/>
          <w:sz w:val="24"/>
          <w:lang w:val="es-ES"/>
        </w:rPr>
      </w:pPr>
      <w:r w:rsidRPr="00101E4D">
        <w:rPr>
          <w:rFonts w:ascii="Palatino Linotype" w:hAnsi="Palatino Linotype"/>
          <w:i/>
          <w:sz w:val="24"/>
        </w:rPr>
        <w:t>(…)”</w:t>
      </w:r>
    </w:p>
    <w:p w:rsidR="00FD0C3F" w:rsidRPr="00101E4D" w:rsidRDefault="00FD0C3F" w:rsidP="00FD0C3F">
      <w:pPr>
        <w:spacing w:line="360" w:lineRule="auto"/>
        <w:ind w:right="1"/>
        <w:jc w:val="both"/>
        <w:rPr>
          <w:rFonts w:ascii="Palatino Linotype" w:eastAsia="Palatino Linotype" w:hAnsi="Palatino Linotype" w:cs="Palatino Linotype"/>
          <w:b/>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Siendo </w:t>
      </w:r>
      <w:r w:rsidRPr="00101E4D">
        <w:rPr>
          <w:rFonts w:ascii="Palatino Linotype" w:hAnsi="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FD0C3F" w:rsidRPr="00101E4D" w:rsidRDefault="00FD0C3F" w:rsidP="00FD0C3F">
      <w:pPr>
        <w:pStyle w:val="Prrafodelista"/>
        <w:tabs>
          <w:tab w:val="left" w:pos="426"/>
          <w:tab w:val="left" w:pos="567"/>
        </w:tabs>
        <w:ind w:left="567" w:right="565"/>
        <w:jc w:val="both"/>
        <w:rPr>
          <w:rFonts w:ascii="Palatino Linotype" w:hAnsi="Palatino Linotype"/>
          <w:i/>
          <w:sz w:val="24"/>
        </w:rPr>
      </w:pPr>
      <w:r w:rsidRPr="00101E4D">
        <w:rPr>
          <w:rFonts w:ascii="Palatino Linotype" w:hAnsi="Palatino Linotype"/>
          <w:i/>
          <w:sz w:val="24"/>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w:t>
      </w:r>
      <w:r w:rsidRPr="00101E4D">
        <w:rPr>
          <w:rFonts w:ascii="Palatino Linotype" w:hAnsi="Palatino Linotype"/>
          <w:i/>
          <w:sz w:val="24"/>
        </w:rPr>
        <w:lastRenderedPageBreak/>
        <w:t>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FD0C3F" w:rsidRPr="00101E4D" w:rsidRDefault="00FD0C3F" w:rsidP="00FD0C3F">
      <w:pPr>
        <w:spacing w:line="360" w:lineRule="auto"/>
        <w:ind w:right="1"/>
        <w:jc w:val="both"/>
        <w:rPr>
          <w:rFonts w:ascii="Palatino Linotype" w:eastAsia="Palatino Linotype" w:hAnsi="Palatino Linotype" w:cs="Palatino Linotype"/>
          <w:b/>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Calibri" w:hAnsi="Palatino Linotype" w:cs="Arial"/>
          <w:color w:val="000000" w:themeColor="text1"/>
          <w:lang w:val="es-ES"/>
        </w:rPr>
        <w:t xml:space="preserve">Bajo este contexto, </w:t>
      </w:r>
      <w:r w:rsidRPr="00101E4D">
        <w:rPr>
          <w:rFonts w:ascii="Palatino Linotype" w:hAnsi="Palatino Linotype"/>
        </w:rPr>
        <w:t xml:space="preserve">se considera que, con el pronunciamiento realizado por parte del </w:t>
      </w:r>
      <w:r w:rsidRPr="00101E4D">
        <w:rPr>
          <w:rFonts w:ascii="Palatino Linotype" w:hAnsi="Palatino Linotype"/>
          <w:b/>
        </w:rPr>
        <w:t>SUJETO OBLIGADO,</w:t>
      </w:r>
      <w:r w:rsidRPr="00101E4D">
        <w:rPr>
          <w:rFonts w:ascii="Palatino Linotype" w:hAnsi="Palatino Linotype"/>
        </w:rPr>
        <w:t xml:space="preserve"> mediante respuesta a la solicitud de información número </w:t>
      </w:r>
      <w:r w:rsidR="00BB205A" w:rsidRPr="00101E4D">
        <w:rPr>
          <w:rFonts w:ascii="Palatino Linotype" w:hAnsi="Palatino Linotype" w:cs="Arial"/>
          <w:b/>
          <w:lang w:val="es-ES"/>
        </w:rPr>
        <w:t>00540</w:t>
      </w:r>
      <w:r w:rsidR="007D70DD" w:rsidRPr="00101E4D">
        <w:rPr>
          <w:rFonts w:ascii="Palatino Linotype" w:hAnsi="Palatino Linotype" w:cs="Arial"/>
          <w:b/>
          <w:lang w:val="es-ES"/>
        </w:rPr>
        <w:t>/</w:t>
      </w:r>
      <w:r w:rsidR="00BB205A" w:rsidRPr="00101E4D">
        <w:rPr>
          <w:rFonts w:ascii="Palatino Linotype" w:hAnsi="Palatino Linotype" w:cs="Arial"/>
          <w:b/>
          <w:lang w:val="es-ES"/>
        </w:rPr>
        <w:t>CALIMAYA</w:t>
      </w:r>
      <w:r w:rsidR="007D70DD" w:rsidRPr="00101E4D">
        <w:rPr>
          <w:rFonts w:ascii="Palatino Linotype" w:hAnsi="Palatino Linotype" w:cs="Arial"/>
          <w:b/>
          <w:lang w:val="es-ES"/>
        </w:rPr>
        <w:t>/IP/2025</w:t>
      </w:r>
      <w:r w:rsidRPr="00101E4D">
        <w:rPr>
          <w:rFonts w:ascii="Palatino Linotype" w:hAnsi="Palatino Linotype"/>
        </w:rPr>
        <w:t xml:space="preserve">, colma en su totalidad con lo requerido por el </w:t>
      </w:r>
      <w:r w:rsidRPr="00101E4D">
        <w:rPr>
          <w:rFonts w:ascii="Palatino Linotype" w:hAnsi="Palatino Linotype"/>
          <w:b/>
        </w:rPr>
        <w:t>RECURRENTE.</w:t>
      </w:r>
    </w:p>
    <w:p w:rsidR="00FD0C3F" w:rsidRPr="00101E4D" w:rsidRDefault="00FD0C3F" w:rsidP="00FD0C3F">
      <w:pPr>
        <w:spacing w:line="360" w:lineRule="auto"/>
        <w:ind w:right="1"/>
        <w:jc w:val="both"/>
        <w:rPr>
          <w:rFonts w:ascii="Palatino Linotype" w:eastAsia="Palatino Linotype" w:hAnsi="Palatino Linotype" w:cs="Palatino Linotype"/>
          <w:b/>
        </w:rPr>
      </w:pPr>
    </w:p>
    <w:p w:rsidR="00FD0C3F" w:rsidRPr="00101E4D" w:rsidRDefault="00FD0C3F" w:rsidP="00FD0C3F">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hAnsi="Palatino Linotype"/>
          <w:color w:val="000000" w:themeColor="text1"/>
        </w:rPr>
        <w:t xml:space="preserve">Por </w:t>
      </w:r>
      <w:r w:rsidRPr="00101E4D">
        <w:rPr>
          <w:rFonts w:ascii="Palatino Linotype" w:hAnsi="Palatino Linotype" w:cs="Arial"/>
          <w:lang w:val="es-ES"/>
        </w:rPr>
        <w:t xml:space="preserve">lo tanto, este Organismo Garante considera procedente </w:t>
      </w:r>
      <w:r w:rsidRPr="00101E4D">
        <w:rPr>
          <w:rFonts w:ascii="Palatino Linotype" w:hAnsi="Palatino Linotype" w:cs="Arial"/>
          <w:b/>
          <w:bCs/>
          <w:lang w:val="es-ES"/>
        </w:rPr>
        <w:t xml:space="preserve">CONFIRMAR </w:t>
      </w:r>
      <w:r w:rsidRPr="00101E4D">
        <w:rPr>
          <w:rFonts w:ascii="Palatino Linotype" w:hAnsi="Palatino Linotype" w:cs="Arial"/>
          <w:lang w:val="es-ES"/>
        </w:rPr>
        <w:t xml:space="preserve">la respuesta otorgada por </w:t>
      </w:r>
      <w:r w:rsidR="00BB205A" w:rsidRPr="00101E4D">
        <w:rPr>
          <w:rFonts w:ascii="Palatino Linotype" w:hAnsi="Palatino Linotype" w:cs="Arial"/>
          <w:b/>
          <w:lang w:val="es-ES"/>
        </w:rPr>
        <w:t>el Ayuntamiento de Calimaya</w:t>
      </w:r>
      <w:r w:rsidRPr="00101E4D">
        <w:rPr>
          <w:rFonts w:ascii="Palatino Linotype" w:eastAsia="Palatino Linotype" w:hAnsi="Palatino Linotype" w:cs="Palatino Linotype"/>
          <w:b/>
        </w:rPr>
        <w:t xml:space="preserve">, </w:t>
      </w:r>
      <w:r w:rsidRPr="00101E4D">
        <w:rPr>
          <w:rFonts w:ascii="Palatino Linotype" w:hAnsi="Palatino Linotype" w:cs="Arial"/>
          <w:lang w:val="es-ES"/>
        </w:rPr>
        <w:t>a la solicitud de información</w:t>
      </w:r>
      <w:r w:rsidR="007D70DD" w:rsidRPr="00101E4D">
        <w:rPr>
          <w:rFonts w:ascii="Palatino Linotype" w:hAnsi="Palatino Linotype" w:cs="Arial"/>
          <w:b/>
          <w:lang w:val="es-ES"/>
        </w:rPr>
        <w:t xml:space="preserve"> </w:t>
      </w:r>
      <w:r w:rsidR="00BB205A" w:rsidRPr="00101E4D">
        <w:rPr>
          <w:rFonts w:ascii="Palatino Linotype" w:hAnsi="Palatino Linotype" w:cs="Arial"/>
          <w:b/>
          <w:lang w:val="es-ES"/>
        </w:rPr>
        <w:t>00540/CALIMAYA/IP/2025.</w:t>
      </w:r>
    </w:p>
    <w:p w:rsidR="00FD0C3F" w:rsidRPr="00101E4D" w:rsidRDefault="00FD0C3F" w:rsidP="000A31EF">
      <w:pPr>
        <w:spacing w:line="360" w:lineRule="auto"/>
        <w:ind w:right="1"/>
        <w:jc w:val="both"/>
        <w:rPr>
          <w:rFonts w:ascii="Palatino Linotype" w:eastAsia="Palatino Linotype" w:hAnsi="Palatino Linotype" w:cs="Palatino Linotype"/>
          <w:b/>
        </w:rPr>
      </w:pPr>
    </w:p>
    <w:p w:rsidR="00E94D86" w:rsidRPr="00101E4D" w:rsidRDefault="001E3125" w:rsidP="00FD2459">
      <w:pPr>
        <w:numPr>
          <w:ilvl w:val="0"/>
          <w:numId w:val="1"/>
        </w:numPr>
        <w:spacing w:line="360" w:lineRule="auto"/>
        <w:ind w:left="0" w:right="1" w:firstLine="0"/>
        <w:jc w:val="both"/>
        <w:rPr>
          <w:rFonts w:ascii="Palatino Linotype" w:eastAsia="Palatino Linotype" w:hAnsi="Palatino Linotype" w:cs="Palatino Linotype"/>
          <w:b/>
        </w:rPr>
      </w:pPr>
      <w:r w:rsidRPr="00101E4D">
        <w:rPr>
          <w:rFonts w:ascii="Palatino Linotype" w:eastAsia="Palatino Linotype" w:hAnsi="Palatino Linotype" w:cs="Palatino Linotype"/>
          <w:color w:val="222222"/>
        </w:rPr>
        <w:t xml:space="preserve">Por lo anteriormente expuesto y fundado, este </w:t>
      </w:r>
      <w:r w:rsidRPr="00101E4D">
        <w:rPr>
          <w:rFonts w:ascii="Palatino Linotype" w:eastAsia="Palatino Linotype" w:hAnsi="Palatino Linotype" w:cs="Palatino Linotype"/>
          <w:b/>
          <w:color w:val="222222"/>
        </w:rPr>
        <w:t>ÓRGANO GARANTE</w:t>
      </w:r>
      <w:r w:rsidRPr="00101E4D">
        <w:rPr>
          <w:rFonts w:ascii="Palatino Linotype" w:eastAsia="Palatino Linotype" w:hAnsi="Palatino Linotype" w:cs="Palatino Linotype"/>
          <w:color w:val="222222"/>
        </w:rPr>
        <w:t xml:space="preserve"> emite los siguientes:</w:t>
      </w:r>
    </w:p>
    <w:p w:rsidR="00B706D8" w:rsidRPr="00101E4D" w:rsidRDefault="00B706D8" w:rsidP="00B706D8">
      <w:pPr>
        <w:spacing w:line="360" w:lineRule="auto"/>
        <w:ind w:right="1"/>
        <w:jc w:val="both"/>
        <w:rPr>
          <w:rFonts w:ascii="Palatino Linotype" w:eastAsia="Palatino Linotype" w:hAnsi="Palatino Linotype" w:cs="Palatino Linotype"/>
          <w:b/>
        </w:rPr>
      </w:pPr>
    </w:p>
    <w:p w:rsidR="00E94D86" w:rsidRPr="00101E4D" w:rsidRDefault="001E3125">
      <w:pPr>
        <w:keepNext/>
        <w:keepLines/>
        <w:spacing w:line="360" w:lineRule="auto"/>
        <w:ind w:right="-592"/>
        <w:jc w:val="center"/>
        <w:rPr>
          <w:rFonts w:ascii="Palatino Linotype" w:eastAsia="Palatino Linotype" w:hAnsi="Palatino Linotype" w:cs="Palatino Linotype"/>
          <w:b/>
          <w:color w:val="000000"/>
        </w:rPr>
      </w:pPr>
      <w:r w:rsidRPr="00101E4D">
        <w:rPr>
          <w:rFonts w:ascii="Palatino Linotype" w:eastAsia="Palatino Linotype" w:hAnsi="Palatino Linotype" w:cs="Palatino Linotype"/>
          <w:b/>
          <w:color w:val="000000"/>
        </w:rPr>
        <w:t>R E S O L U T I V O S</w:t>
      </w:r>
    </w:p>
    <w:p w:rsidR="00B706D8" w:rsidRPr="00101E4D" w:rsidRDefault="00B706D8" w:rsidP="00B706D8">
      <w:pPr>
        <w:keepNext/>
        <w:keepLines/>
        <w:spacing w:line="360" w:lineRule="auto"/>
        <w:ind w:right="-592"/>
        <w:rPr>
          <w:rFonts w:ascii="Palatino Linotype" w:eastAsia="Palatino Linotype" w:hAnsi="Palatino Linotype" w:cs="Palatino Linotype"/>
          <w:b/>
          <w:color w:val="000000"/>
        </w:rPr>
      </w:pPr>
    </w:p>
    <w:p w:rsidR="009A1CC1" w:rsidRPr="00101E4D" w:rsidRDefault="00FD0C3F" w:rsidP="00FD0C3F">
      <w:pPr>
        <w:spacing w:line="360" w:lineRule="auto"/>
        <w:jc w:val="both"/>
        <w:rPr>
          <w:rFonts w:ascii="Palatino Linotype" w:hAnsi="Palatino Linotype"/>
        </w:rPr>
      </w:pPr>
      <w:r w:rsidRPr="00101E4D">
        <w:rPr>
          <w:rFonts w:ascii="Palatino Linotype" w:hAnsi="Palatino Linotype" w:cs="Arial"/>
          <w:b/>
        </w:rPr>
        <w:t xml:space="preserve">PRIMERO. </w:t>
      </w:r>
      <w:r w:rsidRPr="00101E4D">
        <w:rPr>
          <w:rFonts w:ascii="Palatino Linotype" w:hAnsi="Palatino Linotype" w:cs="Arial"/>
        </w:rPr>
        <w:t>Resultan infundadas las</w:t>
      </w:r>
      <w:r w:rsidRPr="00101E4D">
        <w:rPr>
          <w:rFonts w:ascii="Palatino Linotype" w:hAnsi="Palatino Linotype" w:cs="Arial"/>
          <w:b/>
        </w:rPr>
        <w:t xml:space="preserve"> </w:t>
      </w:r>
      <w:r w:rsidRPr="00101E4D">
        <w:rPr>
          <w:rFonts w:ascii="Palatino Linotype" w:hAnsi="Palatino Linotype" w:cs="Arial"/>
          <w:lang w:val="es-ES"/>
        </w:rPr>
        <w:t xml:space="preserve">razones o motivos de inconformidad hechos valer </w:t>
      </w:r>
      <w:r w:rsidRPr="00101E4D">
        <w:rPr>
          <w:rFonts w:ascii="Palatino Linotype" w:eastAsia="Calibri" w:hAnsi="Palatino Linotype" w:cs="Arial"/>
          <w:lang w:val="es-ES"/>
        </w:rPr>
        <w:t xml:space="preserve">en el recurso de revisión </w:t>
      </w:r>
      <w:r w:rsidR="00BB205A" w:rsidRPr="00101E4D">
        <w:rPr>
          <w:rFonts w:ascii="Palatino Linotype" w:hAnsi="Palatino Linotype"/>
          <w:b/>
        </w:rPr>
        <w:t>12618</w:t>
      </w:r>
      <w:r w:rsidR="00B706D8" w:rsidRPr="00101E4D">
        <w:rPr>
          <w:rFonts w:ascii="Palatino Linotype" w:hAnsi="Palatino Linotype"/>
          <w:b/>
        </w:rPr>
        <w:t xml:space="preserve">/INFOEM/IP/RR/2025 </w:t>
      </w:r>
      <w:r w:rsidRPr="00101E4D">
        <w:rPr>
          <w:rFonts w:ascii="Palatino Linotype" w:hAnsi="Palatino Linotype"/>
        </w:rPr>
        <w:t>en términos del</w:t>
      </w:r>
      <w:r w:rsidRPr="00101E4D">
        <w:rPr>
          <w:rFonts w:ascii="Palatino Linotype" w:hAnsi="Palatino Linotype"/>
          <w:b/>
          <w:bCs/>
        </w:rPr>
        <w:t xml:space="preserve"> Considerando</w:t>
      </w:r>
      <w:r w:rsidRPr="00101E4D">
        <w:rPr>
          <w:rFonts w:ascii="Palatino Linotype" w:hAnsi="Palatino Linotype"/>
        </w:rPr>
        <w:t xml:space="preserve"> </w:t>
      </w:r>
      <w:r w:rsidRPr="00101E4D">
        <w:rPr>
          <w:rFonts w:ascii="Palatino Linotype" w:hAnsi="Palatino Linotype"/>
          <w:b/>
        </w:rPr>
        <w:t>CUARTO</w:t>
      </w:r>
      <w:r w:rsidRPr="00101E4D">
        <w:rPr>
          <w:rFonts w:ascii="Palatino Linotype" w:hAnsi="Palatino Linotype"/>
        </w:rPr>
        <w:t xml:space="preserve"> de la presente resolución.</w:t>
      </w:r>
    </w:p>
    <w:p w:rsidR="009A1CC1" w:rsidRPr="00101E4D" w:rsidRDefault="009A1CC1" w:rsidP="00FD0C3F">
      <w:pPr>
        <w:spacing w:line="360" w:lineRule="auto"/>
        <w:jc w:val="both"/>
        <w:rPr>
          <w:rFonts w:ascii="Palatino Linotype" w:hAnsi="Palatino Linotype"/>
        </w:rPr>
      </w:pPr>
    </w:p>
    <w:p w:rsidR="00FD0C3F" w:rsidRPr="00101E4D" w:rsidRDefault="00FD0C3F" w:rsidP="00FD0C3F">
      <w:pPr>
        <w:spacing w:line="360" w:lineRule="auto"/>
        <w:contextualSpacing/>
        <w:jc w:val="both"/>
        <w:rPr>
          <w:rFonts w:ascii="Palatino Linotype" w:hAnsi="Palatino Linotype" w:cs="Arial"/>
          <w:b/>
          <w:lang w:val="es-ES"/>
        </w:rPr>
      </w:pPr>
      <w:r w:rsidRPr="00101E4D">
        <w:rPr>
          <w:rFonts w:ascii="Palatino Linotype" w:eastAsia="Calibri" w:hAnsi="Palatino Linotype" w:cs="Arial"/>
          <w:b/>
          <w:bCs/>
          <w:lang w:val="es-ES"/>
        </w:rPr>
        <w:lastRenderedPageBreak/>
        <w:t xml:space="preserve">SEGUNDO. </w:t>
      </w:r>
      <w:r w:rsidRPr="00101E4D">
        <w:rPr>
          <w:rFonts w:ascii="Palatino Linotype" w:eastAsia="Calibri" w:hAnsi="Palatino Linotype" w:cs="Arial"/>
          <w:lang w:val="es-ES"/>
        </w:rPr>
        <w:t xml:space="preserve">Se </w:t>
      </w:r>
      <w:r w:rsidRPr="00101E4D">
        <w:rPr>
          <w:rFonts w:ascii="Palatino Linotype" w:eastAsia="Calibri" w:hAnsi="Palatino Linotype" w:cs="Arial"/>
          <w:b/>
          <w:lang w:val="es-ES"/>
        </w:rPr>
        <w:t>CONFIRMA</w:t>
      </w:r>
      <w:r w:rsidRPr="00101E4D">
        <w:rPr>
          <w:rFonts w:ascii="Palatino Linotype" w:eastAsia="Calibri" w:hAnsi="Palatino Linotype" w:cs="Arial"/>
          <w:lang w:val="es-ES"/>
        </w:rPr>
        <w:t xml:space="preserve"> la respuesta emitida </w:t>
      </w:r>
      <w:r w:rsidR="00BB205A" w:rsidRPr="00101E4D">
        <w:rPr>
          <w:rFonts w:ascii="Palatino Linotype" w:eastAsia="Calibri" w:hAnsi="Palatino Linotype" w:cs="Arial"/>
          <w:lang w:val="es-ES"/>
        </w:rPr>
        <w:t xml:space="preserve">por el </w:t>
      </w:r>
      <w:r w:rsidR="00BB205A" w:rsidRPr="00101E4D">
        <w:rPr>
          <w:rFonts w:ascii="Palatino Linotype" w:eastAsia="Calibri" w:hAnsi="Palatino Linotype" w:cs="Arial"/>
          <w:b/>
          <w:lang w:val="es-ES"/>
        </w:rPr>
        <w:t>Ayuntamiento de Calimaya</w:t>
      </w:r>
      <w:r w:rsidRPr="00101E4D">
        <w:rPr>
          <w:rFonts w:ascii="Palatino Linotype" w:eastAsia="Palatino Linotype" w:hAnsi="Palatino Linotype" w:cs="Palatino Linotype"/>
          <w:b/>
        </w:rPr>
        <w:t xml:space="preserve">, </w:t>
      </w:r>
      <w:r w:rsidRPr="00101E4D">
        <w:rPr>
          <w:rFonts w:ascii="Palatino Linotype" w:eastAsia="Calibri" w:hAnsi="Palatino Linotype" w:cs="Arial"/>
          <w:bCs/>
        </w:rPr>
        <w:t xml:space="preserve">a la solicitud </w:t>
      </w:r>
      <w:bookmarkStart w:id="5" w:name="_Toc460947013"/>
      <w:r w:rsidR="00BB205A" w:rsidRPr="00101E4D">
        <w:rPr>
          <w:rFonts w:ascii="Palatino Linotype" w:hAnsi="Palatino Linotype" w:cs="Arial"/>
          <w:b/>
          <w:lang w:val="es-ES"/>
        </w:rPr>
        <w:t>00540/CALIMAYA/IP/2025.</w:t>
      </w:r>
    </w:p>
    <w:p w:rsidR="009E0447" w:rsidRPr="00101E4D" w:rsidRDefault="009E0447" w:rsidP="00FD0C3F">
      <w:pPr>
        <w:spacing w:line="360" w:lineRule="auto"/>
        <w:contextualSpacing/>
        <w:jc w:val="both"/>
        <w:rPr>
          <w:rFonts w:ascii="Palatino Linotype" w:hAnsi="Palatino Linotype" w:cs="Arial"/>
          <w:b/>
          <w:lang w:val="es-ES"/>
        </w:rPr>
      </w:pPr>
    </w:p>
    <w:p w:rsidR="00FD0C3F" w:rsidRPr="00101E4D" w:rsidRDefault="00FD0C3F" w:rsidP="00FD0C3F">
      <w:pPr>
        <w:tabs>
          <w:tab w:val="left" w:pos="8080"/>
        </w:tabs>
        <w:spacing w:line="360" w:lineRule="auto"/>
        <w:ind w:right="49"/>
        <w:contextualSpacing/>
        <w:jc w:val="both"/>
        <w:rPr>
          <w:rFonts w:ascii="Palatino Linotype" w:eastAsia="Palatino Linotype" w:hAnsi="Palatino Linotype" w:cs="Palatino Linotype"/>
          <w:b/>
        </w:rPr>
      </w:pPr>
      <w:r w:rsidRPr="00101E4D">
        <w:rPr>
          <w:rFonts w:ascii="Palatino Linotype" w:eastAsia="MS Mincho" w:hAnsi="Palatino Linotype"/>
          <w:b/>
          <w:color w:val="000000"/>
        </w:rPr>
        <w:t>TERCERO.</w:t>
      </w:r>
      <w:r w:rsidRPr="00101E4D">
        <w:rPr>
          <w:rFonts w:ascii="Palatino Linotype" w:eastAsia="MS Mincho" w:hAnsi="Palatino Linotype"/>
          <w:color w:val="000000"/>
        </w:rPr>
        <w:t xml:space="preserve"> </w:t>
      </w:r>
      <w:bookmarkEnd w:id="5"/>
      <w:r w:rsidRPr="00101E4D">
        <w:rPr>
          <w:rFonts w:ascii="Palatino Linotype" w:eastAsia="Palatino Linotype" w:hAnsi="Palatino Linotype" w:cs="Palatino Linotype"/>
          <w:b/>
        </w:rPr>
        <w:t xml:space="preserve">Notifíquese, </w:t>
      </w:r>
      <w:r w:rsidRPr="00101E4D">
        <w:rPr>
          <w:rFonts w:ascii="Palatino Linotype" w:eastAsia="Palatino Linotype" w:hAnsi="Palatino Linotype" w:cs="Palatino Linotype"/>
        </w:rPr>
        <w:t xml:space="preserve">vía Sistema de Acceso a la Información Mexiquense </w:t>
      </w:r>
      <w:r w:rsidRPr="00101E4D">
        <w:rPr>
          <w:rFonts w:ascii="Palatino Linotype" w:eastAsia="Palatino Linotype" w:hAnsi="Palatino Linotype" w:cs="Palatino Linotype"/>
          <w:b/>
        </w:rPr>
        <w:t>(SAIMEX),</w:t>
      </w:r>
      <w:r w:rsidRPr="00101E4D">
        <w:rPr>
          <w:rFonts w:ascii="Palatino Linotype" w:eastAsia="Palatino Linotype" w:hAnsi="Palatino Linotype" w:cs="Palatino Linotype"/>
        </w:rPr>
        <w:t xml:space="preserve"> la presente resolución al Titular de la Unidad de Transparencia del </w:t>
      </w:r>
      <w:r w:rsidRPr="00101E4D">
        <w:rPr>
          <w:rFonts w:ascii="Palatino Linotype" w:eastAsia="Palatino Linotype" w:hAnsi="Palatino Linotype" w:cs="Palatino Linotype"/>
          <w:b/>
        </w:rPr>
        <w:t>SUJETO OBLIGADO.</w:t>
      </w:r>
    </w:p>
    <w:p w:rsidR="00FD0C3F" w:rsidRPr="00101E4D" w:rsidRDefault="00FD0C3F" w:rsidP="00FD0C3F">
      <w:pPr>
        <w:tabs>
          <w:tab w:val="left" w:pos="8080"/>
        </w:tabs>
        <w:spacing w:line="360" w:lineRule="auto"/>
        <w:ind w:right="49"/>
        <w:contextualSpacing/>
        <w:jc w:val="both"/>
        <w:rPr>
          <w:rFonts w:ascii="Palatino Linotype" w:eastAsia="Palatino Linotype" w:hAnsi="Palatino Linotype" w:cs="Palatino Linotype"/>
          <w:b/>
        </w:rPr>
      </w:pPr>
    </w:p>
    <w:p w:rsidR="00FD0C3F" w:rsidRPr="00101E4D" w:rsidRDefault="00FD0C3F" w:rsidP="00FD0C3F">
      <w:pPr>
        <w:shd w:val="clear" w:color="auto" w:fill="FFFFFF"/>
        <w:spacing w:line="360" w:lineRule="auto"/>
        <w:jc w:val="both"/>
        <w:rPr>
          <w:rFonts w:ascii="Palatino Linotype" w:hAnsi="Palatino Linotype"/>
        </w:rPr>
      </w:pPr>
      <w:r w:rsidRPr="00101E4D">
        <w:rPr>
          <w:rFonts w:ascii="Palatino Linotype" w:hAnsi="Palatino Linotype" w:cs="Arial"/>
          <w:b/>
        </w:rPr>
        <w:t xml:space="preserve">CUARTO. </w:t>
      </w:r>
      <w:r w:rsidRPr="00101E4D">
        <w:rPr>
          <w:rFonts w:ascii="Palatino Linotype" w:hAnsi="Palatino Linotype"/>
          <w:b/>
          <w:bCs/>
          <w:color w:val="222222"/>
          <w:lang w:val="es-ES"/>
        </w:rPr>
        <w:t>Notifíquese al</w:t>
      </w:r>
      <w:r w:rsidRPr="00101E4D">
        <w:rPr>
          <w:rFonts w:ascii="Palatino Linotype" w:hAnsi="Palatino Linotype"/>
          <w:b/>
        </w:rPr>
        <w:t xml:space="preserve"> RECURRENTE</w:t>
      </w:r>
      <w:r w:rsidRPr="00101E4D">
        <w:rPr>
          <w:rFonts w:ascii="Palatino Linotype" w:hAnsi="Palatino Linotype"/>
        </w:rPr>
        <w:t xml:space="preserve"> la presente resolución, </w:t>
      </w:r>
      <w:r w:rsidRPr="00101E4D">
        <w:rPr>
          <w:rFonts w:ascii="Palatino Linotype" w:eastAsia="Palatino Linotype" w:hAnsi="Palatino Linotype" w:cs="Palatino Linotype"/>
        </w:rPr>
        <w:t xml:space="preserve">vía Sistema de Acceso a la Información Mexiquense </w:t>
      </w:r>
      <w:r w:rsidRPr="00101E4D">
        <w:rPr>
          <w:rFonts w:ascii="Palatino Linotype" w:eastAsia="Palatino Linotype" w:hAnsi="Palatino Linotype" w:cs="Palatino Linotype"/>
          <w:b/>
        </w:rPr>
        <w:t>(SAIMEX)</w:t>
      </w:r>
      <w:r w:rsidR="00B706D8" w:rsidRPr="00101E4D">
        <w:rPr>
          <w:rFonts w:ascii="Palatino Linotype" w:eastAsia="Palatino Linotype" w:hAnsi="Palatino Linotype" w:cs="Palatino Linotype"/>
          <w:b/>
        </w:rPr>
        <w:t>.</w:t>
      </w:r>
    </w:p>
    <w:p w:rsidR="00FD0C3F" w:rsidRPr="00101E4D" w:rsidRDefault="00FD0C3F" w:rsidP="00FD0C3F">
      <w:pPr>
        <w:shd w:val="clear" w:color="auto" w:fill="FFFFFF"/>
        <w:spacing w:line="360" w:lineRule="auto"/>
        <w:jc w:val="both"/>
        <w:rPr>
          <w:rFonts w:ascii="Palatino Linotype" w:hAnsi="Palatino Linotype"/>
        </w:rPr>
      </w:pPr>
    </w:p>
    <w:p w:rsidR="00F46C8E" w:rsidRPr="00101E4D" w:rsidRDefault="00FD0C3F" w:rsidP="00FD0C3F">
      <w:pPr>
        <w:pStyle w:val="Textoindependiente"/>
        <w:spacing w:line="360" w:lineRule="auto"/>
        <w:rPr>
          <w:rFonts w:ascii="Palatino Linotype" w:hAnsi="Palatino Linotype"/>
          <w:b/>
          <w:szCs w:val="24"/>
        </w:rPr>
      </w:pPr>
      <w:r w:rsidRPr="00101E4D">
        <w:rPr>
          <w:rFonts w:ascii="Palatino Linotype" w:eastAsia="MS Mincho" w:hAnsi="Palatino Linotype"/>
          <w:b/>
          <w:szCs w:val="24"/>
        </w:rPr>
        <w:t>QUINTO.</w:t>
      </w:r>
      <w:r w:rsidRPr="00101E4D">
        <w:rPr>
          <w:rFonts w:ascii="Palatino Linotype" w:eastAsia="MS Mincho" w:hAnsi="Palatino Linotype"/>
          <w:szCs w:val="24"/>
        </w:rPr>
        <w:t xml:space="preserve"> </w:t>
      </w:r>
      <w:r w:rsidRPr="00101E4D">
        <w:rPr>
          <w:rFonts w:ascii="Palatino Linotype" w:eastAsia="MS Mincho" w:hAnsi="Palatino Linotype"/>
          <w:szCs w:val="24"/>
          <w:lang w:val="es-ES"/>
        </w:rPr>
        <w:t xml:space="preserve">Se hace del conocimiento del </w:t>
      </w:r>
      <w:r w:rsidRPr="00101E4D">
        <w:rPr>
          <w:rFonts w:ascii="Palatino Linotype" w:eastAsia="MS Mincho" w:hAnsi="Palatino Linotype"/>
          <w:b/>
          <w:szCs w:val="24"/>
          <w:lang w:val="es-ES"/>
        </w:rPr>
        <w:t>RECURRENTE</w:t>
      </w:r>
      <w:r w:rsidRPr="00101E4D">
        <w:rPr>
          <w:rFonts w:ascii="Palatino Linotype" w:eastAsia="MS Mincho" w:hAnsi="Palatino Linotype"/>
          <w:szCs w:val="24"/>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101E4D">
        <w:rPr>
          <w:rFonts w:ascii="Palatino Linotype" w:eastAsia="MS Mincho" w:hAnsi="Palatino Linotype"/>
          <w:bCs/>
          <w:szCs w:val="24"/>
          <w:lang w:val="es-ES"/>
        </w:rPr>
        <w:t>vía juicio de amparo</w:t>
      </w:r>
      <w:r w:rsidRPr="00101E4D">
        <w:rPr>
          <w:rFonts w:ascii="Palatino Linotype" w:eastAsia="MS Mincho" w:hAnsi="Palatino Linotype"/>
          <w:szCs w:val="24"/>
          <w:lang w:val="es-ES"/>
        </w:rPr>
        <w:t xml:space="preserve"> en los términos de las leyes aplicables.</w:t>
      </w:r>
    </w:p>
    <w:p w:rsidR="00F46C8E" w:rsidRPr="00101E4D" w:rsidRDefault="00F46C8E" w:rsidP="00F46C8E">
      <w:pPr>
        <w:jc w:val="both"/>
        <w:rPr>
          <w:rFonts w:ascii="Palatino Linotype" w:eastAsiaTheme="minorHAnsi" w:hAnsi="Palatino Linotype" w:cstheme="minorBidi"/>
          <w:lang w:eastAsia="es-ES_tradnl"/>
        </w:rPr>
      </w:pPr>
    </w:p>
    <w:p w:rsidR="00D12E95" w:rsidRPr="00101E4D" w:rsidRDefault="00D12E95" w:rsidP="00D12E95">
      <w:pPr>
        <w:spacing w:before="240" w:after="240" w:line="360" w:lineRule="auto"/>
        <w:ind w:firstLine="1"/>
        <w:jc w:val="both"/>
        <w:rPr>
          <w:rFonts w:ascii="Palatino Linotype" w:hAnsi="Palatino Linotype"/>
        </w:rPr>
      </w:pPr>
      <w:bookmarkStart w:id="6" w:name="_Hlk99014733"/>
      <w:r w:rsidRPr="00101E4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101E4D">
        <w:rPr>
          <w:rFonts w:ascii="Palatino Linotype" w:hAnsi="Palatino Linotype" w:cs="Palatino Linotype"/>
          <w:color w:val="000000" w:themeColor="text1"/>
        </w:rPr>
        <w:t>ALEXIS TAPIA RAMÍREZ.</w:t>
      </w:r>
    </w:p>
    <w:bookmarkEnd w:id="6"/>
    <w:p w:rsidR="00E94D86" w:rsidRPr="00101E4D" w:rsidRDefault="00E94D86">
      <w:pPr>
        <w:spacing w:line="360" w:lineRule="auto"/>
        <w:ind w:right="-592"/>
        <w:jc w:val="both"/>
        <w:rPr>
          <w:rFonts w:ascii="Palatino Linotype" w:eastAsia="Palatino Linotype" w:hAnsi="Palatino Linotype" w:cs="Palatino Linotype"/>
        </w:rPr>
      </w:pPr>
    </w:p>
    <w:p w:rsidR="00E94D86" w:rsidRPr="00101E4D" w:rsidRDefault="00E94D86">
      <w:pPr>
        <w:spacing w:line="360" w:lineRule="auto"/>
        <w:ind w:right="-592"/>
        <w:jc w:val="both"/>
        <w:rPr>
          <w:rFonts w:ascii="Palatino Linotype" w:eastAsia="Palatino Linotype" w:hAnsi="Palatino Linotype" w:cs="Palatino Linotype"/>
        </w:rPr>
      </w:pPr>
    </w:p>
    <w:p w:rsidR="00E94D86" w:rsidRPr="00101E4D" w:rsidRDefault="00E94D86">
      <w:pPr>
        <w:spacing w:line="360" w:lineRule="auto"/>
        <w:ind w:right="-592"/>
        <w:jc w:val="both"/>
        <w:rPr>
          <w:rFonts w:ascii="Palatino Linotype" w:eastAsia="Palatino Linotype" w:hAnsi="Palatino Linotype" w:cs="Palatino Linotype"/>
        </w:rPr>
      </w:pPr>
    </w:p>
    <w:p w:rsidR="00E94D86" w:rsidRPr="00101E4D" w:rsidRDefault="00E94D86">
      <w:pPr>
        <w:spacing w:line="360" w:lineRule="auto"/>
        <w:ind w:right="-592"/>
        <w:rPr>
          <w:rFonts w:ascii="Palatino Linotype" w:eastAsia="Palatino Linotype" w:hAnsi="Palatino Linotype" w:cs="Palatino Linotype"/>
        </w:rPr>
      </w:pPr>
    </w:p>
    <w:p w:rsidR="00E94D86" w:rsidRPr="00101E4D" w:rsidRDefault="00E94D86">
      <w:pPr>
        <w:spacing w:line="360" w:lineRule="auto"/>
        <w:ind w:right="-592"/>
        <w:rPr>
          <w:rFonts w:ascii="Palatino Linotype" w:eastAsia="Palatino Linotype" w:hAnsi="Palatino Linotype" w:cs="Palatino Linotype"/>
        </w:rPr>
      </w:pPr>
    </w:p>
    <w:p w:rsidR="00E94D86" w:rsidRPr="00101E4D" w:rsidRDefault="00E94D86">
      <w:pPr>
        <w:spacing w:line="360" w:lineRule="auto"/>
        <w:ind w:right="-592"/>
        <w:rPr>
          <w:rFonts w:ascii="Palatino Linotype" w:eastAsia="Palatino Linotype" w:hAnsi="Palatino Linotype" w:cs="Palatino Linotype"/>
        </w:rPr>
      </w:pPr>
    </w:p>
    <w:p w:rsidR="00E94D86" w:rsidRPr="00101E4D" w:rsidRDefault="00E94D86">
      <w:pPr>
        <w:spacing w:line="360" w:lineRule="auto"/>
        <w:ind w:right="-592"/>
        <w:rPr>
          <w:rFonts w:ascii="Palatino Linotype" w:eastAsia="Palatino Linotype" w:hAnsi="Palatino Linotype" w:cs="Palatino Linotype"/>
        </w:rPr>
      </w:pPr>
    </w:p>
    <w:p w:rsidR="00E94D86" w:rsidRPr="00101E4D" w:rsidRDefault="00E94D86">
      <w:pPr>
        <w:spacing w:line="360" w:lineRule="auto"/>
        <w:ind w:right="-592"/>
        <w:rPr>
          <w:rFonts w:ascii="Palatino Linotype" w:eastAsia="Palatino Linotype" w:hAnsi="Palatino Linotype" w:cs="Palatino Linotype"/>
        </w:rPr>
      </w:pPr>
    </w:p>
    <w:p w:rsidR="00E94D86" w:rsidRPr="00101E4D" w:rsidRDefault="00E94D86">
      <w:pPr>
        <w:spacing w:line="360" w:lineRule="auto"/>
        <w:ind w:right="-592"/>
        <w:rPr>
          <w:rFonts w:ascii="Palatino Linotype" w:eastAsia="Palatino Linotype" w:hAnsi="Palatino Linotype" w:cs="Palatino Linotype"/>
        </w:rPr>
      </w:pPr>
    </w:p>
    <w:p w:rsidR="00E94D86" w:rsidRPr="00101E4D" w:rsidRDefault="00E94D86">
      <w:pPr>
        <w:ind w:right="-592"/>
        <w:rPr>
          <w:rFonts w:ascii="Palatino Linotype" w:eastAsia="Palatino Linotype" w:hAnsi="Palatino Linotype" w:cs="Palatino Linotype"/>
        </w:rPr>
      </w:pPr>
    </w:p>
    <w:p w:rsidR="00647AFA" w:rsidRPr="00101E4D" w:rsidRDefault="00647AFA">
      <w:pPr>
        <w:ind w:right="-592"/>
        <w:rPr>
          <w:rFonts w:ascii="Palatino Linotype" w:eastAsia="Palatino Linotype" w:hAnsi="Palatino Linotype" w:cs="Palatino Linotype"/>
        </w:rPr>
      </w:pPr>
    </w:p>
    <w:p w:rsidR="001E3608" w:rsidRPr="00101E4D" w:rsidRDefault="001E3608">
      <w:pPr>
        <w:ind w:right="-592"/>
        <w:rPr>
          <w:rFonts w:ascii="Palatino Linotype" w:eastAsia="Palatino Linotype" w:hAnsi="Palatino Linotype" w:cs="Palatino Linotype"/>
        </w:rPr>
      </w:pPr>
    </w:p>
    <w:p w:rsidR="00EC4B5E" w:rsidRPr="00101E4D" w:rsidRDefault="00EC4B5E">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p w:rsidR="00D801DB" w:rsidRPr="00101E4D" w:rsidRDefault="00D801DB">
      <w:pPr>
        <w:ind w:right="-592"/>
        <w:rPr>
          <w:rFonts w:ascii="Palatino Linotype" w:eastAsia="Palatino Linotype" w:hAnsi="Palatino Linotype" w:cs="Palatino Linotype"/>
        </w:rPr>
      </w:pPr>
    </w:p>
    <w:sectPr w:rsidR="00D801DB" w:rsidRPr="00101E4D" w:rsidSect="00101E4D">
      <w:headerReference w:type="even" r:id="rId10"/>
      <w:headerReference w:type="default" r:id="rId11"/>
      <w:footerReference w:type="default" r:id="rId12"/>
      <w:headerReference w:type="first" r:id="rId13"/>
      <w:footerReference w:type="first" r:id="rId14"/>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E6B" w:rsidRDefault="00CD4E6B">
      <w:r>
        <w:separator/>
      </w:r>
    </w:p>
  </w:endnote>
  <w:endnote w:type="continuationSeparator" w:id="0">
    <w:p w:rsidR="00CD4E6B" w:rsidRDefault="00CD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747" w:rsidRPr="00101E4D" w:rsidRDefault="00FA7747">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101E4D">
      <w:rPr>
        <w:rFonts w:ascii="Palatino Linotype" w:hAnsi="Palatino Linotype"/>
        <w:b/>
        <w:color w:val="000000"/>
        <w:sz w:val="22"/>
      </w:rPr>
      <w:t xml:space="preserve">Página </w:t>
    </w:r>
    <w:r w:rsidRPr="00101E4D">
      <w:rPr>
        <w:rFonts w:ascii="Palatino Linotype" w:hAnsi="Palatino Linotype"/>
        <w:b/>
        <w:color w:val="000000"/>
        <w:sz w:val="22"/>
      </w:rPr>
      <w:fldChar w:fldCharType="begin"/>
    </w:r>
    <w:r w:rsidRPr="00101E4D">
      <w:rPr>
        <w:rFonts w:ascii="Palatino Linotype" w:hAnsi="Palatino Linotype"/>
        <w:b/>
        <w:color w:val="000000"/>
        <w:sz w:val="22"/>
      </w:rPr>
      <w:instrText>PAGE</w:instrText>
    </w:r>
    <w:r w:rsidRPr="00101E4D">
      <w:rPr>
        <w:rFonts w:ascii="Palatino Linotype" w:hAnsi="Palatino Linotype"/>
        <w:b/>
        <w:color w:val="000000"/>
        <w:sz w:val="22"/>
      </w:rPr>
      <w:fldChar w:fldCharType="separate"/>
    </w:r>
    <w:r w:rsidR="002633DD">
      <w:rPr>
        <w:rFonts w:ascii="Palatino Linotype" w:hAnsi="Palatino Linotype"/>
        <w:b/>
        <w:noProof/>
        <w:color w:val="000000"/>
        <w:sz w:val="22"/>
      </w:rPr>
      <w:t>21</w:t>
    </w:r>
    <w:r w:rsidRPr="00101E4D">
      <w:rPr>
        <w:rFonts w:ascii="Palatino Linotype" w:hAnsi="Palatino Linotype"/>
        <w:b/>
        <w:color w:val="000000"/>
        <w:sz w:val="22"/>
      </w:rPr>
      <w:fldChar w:fldCharType="end"/>
    </w:r>
    <w:r w:rsidRPr="00101E4D">
      <w:rPr>
        <w:rFonts w:ascii="Palatino Linotype" w:hAnsi="Palatino Linotype"/>
        <w:b/>
        <w:color w:val="000000"/>
        <w:sz w:val="22"/>
      </w:rPr>
      <w:t xml:space="preserve"> de </w:t>
    </w:r>
    <w:r w:rsidRPr="00101E4D">
      <w:rPr>
        <w:rFonts w:ascii="Palatino Linotype" w:hAnsi="Palatino Linotype"/>
        <w:b/>
        <w:color w:val="000000"/>
        <w:sz w:val="22"/>
      </w:rPr>
      <w:fldChar w:fldCharType="begin"/>
    </w:r>
    <w:r w:rsidRPr="00101E4D">
      <w:rPr>
        <w:rFonts w:ascii="Palatino Linotype" w:hAnsi="Palatino Linotype"/>
        <w:b/>
        <w:color w:val="000000"/>
        <w:sz w:val="22"/>
      </w:rPr>
      <w:instrText>NUMPAGES</w:instrText>
    </w:r>
    <w:r w:rsidRPr="00101E4D">
      <w:rPr>
        <w:rFonts w:ascii="Palatino Linotype" w:hAnsi="Palatino Linotype"/>
        <w:b/>
        <w:color w:val="000000"/>
        <w:sz w:val="22"/>
      </w:rPr>
      <w:fldChar w:fldCharType="separate"/>
    </w:r>
    <w:r w:rsidR="002633DD">
      <w:rPr>
        <w:rFonts w:ascii="Palatino Linotype" w:hAnsi="Palatino Linotype"/>
        <w:b/>
        <w:noProof/>
        <w:color w:val="000000"/>
        <w:sz w:val="22"/>
      </w:rPr>
      <w:t>23</w:t>
    </w:r>
    <w:r w:rsidRPr="00101E4D">
      <w:rPr>
        <w:rFonts w:ascii="Palatino Linotype" w:hAnsi="Palatino Linotype"/>
        <w:b/>
        <w:color w:val="000000"/>
        <w:sz w:val="22"/>
      </w:rPr>
      <w:fldChar w:fldCharType="end"/>
    </w:r>
  </w:p>
  <w:p w:rsidR="00FA7747" w:rsidRDefault="00FA774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747" w:rsidRPr="00101E4D" w:rsidRDefault="00FA7747">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101E4D">
      <w:rPr>
        <w:rFonts w:ascii="Palatino Linotype" w:hAnsi="Palatino Linotype"/>
        <w:b/>
        <w:color w:val="000000"/>
        <w:sz w:val="22"/>
      </w:rPr>
      <w:t xml:space="preserve">Página </w:t>
    </w:r>
    <w:r w:rsidRPr="00101E4D">
      <w:rPr>
        <w:rFonts w:ascii="Palatino Linotype" w:hAnsi="Palatino Linotype"/>
        <w:b/>
        <w:color w:val="000000"/>
        <w:sz w:val="22"/>
      </w:rPr>
      <w:fldChar w:fldCharType="begin"/>
    </w:r>
    <w:r w:rsidRPr="00101E4D">
      <w:rPr>
        <w:rFonts w:ascii="Palatino Linotype" w:hAnsi="Palatino Linotype"/>
        <w:b/>
        <w:color w:val="000000"/>
        <w:sz w:val="22"/>
      </w:rPr>
      <w:instrText>PAGE</w:instrText>
    </w:r>
    <w:r w:rsidRPr="00101E4D">
      <w:rPr>
        <w:rFonts w:ascii="Palatino Linotype" w:hAnsi="Palatino Linotype"/>
        <w:b/>
        <w:color w:val="000000"/>
        <w:sz w:val="22"/>
      </w:rPr>
      <w:fldChar w:fldCharType="separate"/>
    </w:r>
    <w:r w:rsidR="002633DD">
      <w:rPr>
        <w:rFonts w:ascii="Palatino Linotype" w:hAnsi="Palatino Linotype"/>
        <w:b/>
        <w:noProof/>
        <w:color w:val="000000"/>
        <w:sz w:val="22"/>
      </w:rPr>
      <w:t>1</w:t>
    </w:r>
    <w:r w:rsidRPr="00101E4D">
      <w:rPr>
        <w:rFonts w:ascii="Palatino Linotype" w:hAnsi="Palatino Linotype"/>
        <w:b/>
        <w:color w:val="000000"/>
        <w:sz w:val="22"/>
      </w:rPr>
      <w:fldChar w:fldCharType="end"/>
    </w:r>
    <w:r w:rsidRPr="00101E4D">
      <w:rPr>
        <w:rFonts w:ascii="Palatino Linotype" w:hAnsi="Palatino Linotype"/>
        <w:b/>
        <w:color w:val="000000"/>
        <w:sz w:val="22"/>
      </w:rPr>
      <w:t xml:space="preserve"> de </w:t>
    </w:r>
    <w:r w:rsidRPr="00101E4D">
      <w:rPr>
        <w:rFonts w:ascii="Palatino Linotype" w:hAnsi="Palatino Linotype"/>
        <w:b/>
        <w:color w:val="000000"/>
        <w:sz w:val="22"/>
      </w:rPr>
      <w:fldChar w:fldCharType="begin"/>
    </w:r>
    <w:r w:rsidRPr="00101E4D">
      <w:rPr>
        <w:rFonts w:ascii="Palatino Linotype" w:hAnsi="Palatino Linotype"/>
        <w:b/>
        <w:color w:val="000000"/>
        <w:sz w:val="22"/>
      </w:rPr>
      <w:instrText>NUMPAGES</w:instrText>
    </w:r>
    <w:r w:rsidRPr="00101E4D">
      <w:rPr>
        <w:rFonts w:ascii="Palatino Linotype" w:hAnsi="Palatino Linotype"/>
        <w:b/>
        <w:color w:val="000000"/>
        <w:sz w:val="22"/>
      </w:rPr>
      <w:fldChar w:fldCharType="separate"/>
    </w:r>
    <w:r w:rsidR="002633DD">
      <w:rPr>
        <w:rFonts w:ascii="Palatino Linotype" w:hAnsi="Palatino Linotype"/>
        <w:b/>
        <w:noProof/>
        <w:color w:val="000000"/>
        <w:sz w:val="22"/>
      </w:rPr>
      <w:t>23</w:t>
    </w:r>
    <w:r w:rsidRPr="00101E4D">
      <w:rPr>
        <w:rFonts w:ascii="Palatino Linotype" w:hAnsi="Palatino Linotype"/>
        <w:b/>
        <w:color w:val="000000"/>
        <w:sz w:val="22"/>
      </w:rPr>
      <w:fldChar w:fldCharType="end"/>
    </w:r>
  </w:p>
  <w:p w:rsidR="00FA7747" w:rsidRDefault="00FA774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E6B" w:rsidRDefault="00CD4E6B">
      <w:r>
        <w:separator/>
      </w:r>
    </w:p>
  </w:footnote>
  <w:footnote w:type="continuationSeparator" w:id="0">
    <w:p w:rsidR="00CD4E6B" w:rsidRDefault="00CD4E6B">
      <w:r>
        <w:continuationSeparator/>
      </w:r>
    </w:p>
  </w:footnote>
  <w:footnote w:id="1">
    <w:p w:rsidR="00FA7747" w:rsidRDefault="00FA7747">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FA7747" w:rsidRDefault="00FA7747">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FA7747" w:rsidRDefault="00FA7747">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FA7747" w:rsidRDefault="00FA7747">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FA7747" w:rsidRDefault="00FA7747" w:rsidP="00D647DF">
      <w:pPr>
        <w:pStyle w:val="Textonotapie"/>
      </w:pPr>
      <w:r>
        <w:rPr>
          <w:rStyle w:val="Refdenotaalpie"/>
        </w:rPr>
        <w:footnoteRef/>
      </w:r>
      <w:r>
        <w:t xml:space="preserve"> Artículo 50, Ley de Transparencia y Acceso a la Información Pública del Estado de México y Municipios.</w:t>
      </w:r>
    </w:p>
  </w:footnote>
  <w:footnote w:id="6">
    <w:p w:rsidR="00FA7747" w:rsidRDefault="00FA7747" w:rsidP="00D647DF">
      <w:pPr>
        <w:pStyle w:val="Textonotapie"/>
      </w:pPr>
      <w:r>
        <w:rPr>
          <w:rStyle w:val="Refdenotaalpie"/>
        </w:rPr>
        <w:footnoteRef/>
      </w:r>
      <w:r>
        <w:t xml:space="preserve"> Artículo 51, Ídem.</w:t>
      </w:r>
    </w:p>
  </w:footnote>
  <w:footnote w:id="7">
    <w:p w:rsidR="00FA7747" w:rsidRDefault="00FA7747" w:rsidP="00D647DF">
      <w:pPr>
        <w:pStyle w:val="Textonotapie"/>
      </w:pPr>
      <w:r>
        <w:rPr>
          <w:rStyle w:val="Refdenotaalpie"/>
        </w:rPr>
        <w:footnoteRef/>
      </w:r>
      <w:r>
        <w:t xml:space="preserve"> Artículo 58, Ley de Transparencia y Acceso a la Información Pública del Estado de México y Municipios.</w:t>
      </w:r>
    </w:p>
  </w:footnote>
  <w:footnote w:id="8">
    <w:p w:rsidR="00FA7747" w:rsidRDefault="00FA7747" w:rsidP="00D647DF">
      <w:pPr>
        <w:pStyle w:val="Textonotapie"/>
      </w:pPr>
      <w:r>
        <w:rPr>
          <w:rStyle w:val="Refdenotaalpie"/>
        </w:rPr>
        <w:footnoteRef/>
      </w:r>
      <w: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747" w:rsidRDefault="00CD4E6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9923" w:type="dxa"/>
      <w:tblInd w:w="0" w:type="dxa"/>
      <w:tblLayout w:type="fixed"/>
      <w:tblLook w:val="0400" w:firstRow="0" w:lastRow="0" w:firstColumn="0" w:lastColumn="0" w:noHBand="0" w:noVBand="1"/>
    </w:tblPr>
    <w:tblGrid>
      <w:gridCol w:w="2268"/>
      <w:gridCol w:w="7655"/>
    </w:tblGrid>
    <w:tr w:rsidR="00FA7747" w:rsidRPr="004401C8" w:rsidTr="00101E4D">
      <w:trPr>
        <w:trHeight w:val="1435"/>
      </w:trPr>
      <w:tc>
        <w:tcPr>
          <w:tcW w:w="2268" w:type="dxa"/>
          <w:shd w:val="clear" w:color="auto" w:fill="auto"/>
        </w:tcPr>
        <w:p w:rsidR="00FA7747" w:rsidRDefault="00FA7747">
          <w:pPr>
            <w:tabs>
              <w:tab w:val="right" w:pos="4273"/>
            </w:tabs>
            <w:rPr>
              <w:rFonts w:ascii="Garamond" w:eastAsia="Garamond" w:hAnsi="Garamond" w:cs="Garamond"/>
              <w:sz w:val="16"/>
              <w:szCs w:val="16"/>
            </w:rPr>
          </w:pPr>
        </w:p>
      </w:tc>
      <w:tc>
        <w:tcPr>
          <w:tcW w:w="7655" w:type="dxa"/>
          <w:shd w:val="clear" w:color="auto" w:fill="auto"/>
        </w:tcPr>
        <w:tbl>
          <w:tblPr>
            <w:tblStyle w:val="a6"/>
            <w:tblW w:w="7358" w:type="dxa"/>
            <w:tblInd w:w="311" w:type="dxa"/>
            <w:tblLayout w:type="fixed"/>
            <w:tblLook w:val="0400" w:firstRow="0" w:lastRow="0" w:firstColumn="0" w:lastColumn="0" w:noHBand="0" w:noVBand="1"/>
          </w:tblPr>
          <w:tblGrid>
            <w:gridCol w:w="3673"/>
            <w:gridCol w:w="3685"/>
          </w:tblGrid>
          <w:tr w:rsidR="00FA7747" w:rsidRPr="004401C8" w:rsidTr="00101E4D">
            <w:trPr>
              <w:trHeight w:val="150"/>
            </w:trPr>
            <w:tc>
              <w:tcPr>
                <w:tcW w:w="3673" w:type="dxa"/>
                <w:shd w:val="clear" w:color="auto" w:fill="auto"/>
              </w:tcPr>
              <w:p w:rsidR="00FA7747" w:rsidRPr="00101E4D" w:rsidRDefault="00FA7747" w:rsidP="004401C8">
                <w:pPr>
                  <w:tabs>
                    <w:tab w:val="right" w:pos="8838"/>
                  </w:tabs>
                  <w:ind w:left="850" w:right="-105"/>
                  <w:jc w:val="both"/>
                  <w:rPr>
                    <w:rFonts w:ascii="Palatino Linotype" w:eastAsia="Palatino Linotype" w:hAnsi="Palatino Linotype" w:cs="Palatino Linotype"/>
                    <w:b/>
                    <w:szCs w:val="22"/>
                  </w:rPr>
                </w:pPr>
                <w:r w:rsidRPr="00101E4D">
                  <w:rPr>
                    <w:rFonts w:ascii="Palatino Linotype" w:eastAsia="Palatino Linotype" w:hAnsi="Palatino Linotype" w:cs="Palatino Linotype"/>
                    <w:b/>
                    <w:szCs w:val="22"/>
                  </w:rPr>
                  <w:t>Recurso de Revisión:</w:t>
                </w:r>
              </w:p>
            </w:tc>
            <w:tc>
              <w:tcPr>
                <w:tcW w:w="3685" w:type="dxa"/>
                <w:shd w:val="clear" w:color="auto" w:fill="auto"/>
              </w:tcPr>
              <w:p w:rsidR="00FA7747" w:rsidRPr="00101E4D" w:rsidRDefault="00FA7747" w:rsidP="004401C8">
                <w:pPr>
                  <w:tabs>
                    <w:tab w:val="right" w:pos="8838"/>
                  </w:tabs>
                  <w:ind w:right="-781"/>
                  <w:jc w:val="both"/>
                  <w:rPr>
                    <w:rFonts w:ascii="Palatino Linotype" w:eastAsia="Palatino Linotype" w:hAnsi="Palatino Linotype" w:cs="Palatino Linotype"/>
                    <w:szCs w:val="22"/>
                  </w:rPr>
                </w:pPr>
                <w:r w:rsidRPr="00101E4D">
                  <w:rPr>
                    <w:rFonts w:ascii="Palatino Linotype" w:eastAsia="Palatino Linotype" w:hAnsi="Palatino Linotype" w:cs="Palatino Linotype"/>
                    <w:szCs w:val="22"/>
                  </w:rPr>
                  <w:t>12618/INFOEM/IP/RR/2025</w:t>
                </w:r>
              </w:p>
            </w:tc>
          </w:tr>
          <w:tr w:rsidR="00FA7747" w:rsidRPr="004401C8" w:rsidTr="00101E4D">
            <w:trPr>
              <w:trHeight w:val="295"/>
            </w:trPr>
            <w:tc>
              <w:tcPr>
                <w:tcW w:w="3673" w:type="dxa"/>
                <w:shd w:val="clear" w:color="auto" w:fill="auto"/>
              </w:tcPr>
              <w:p w:rsidR="00FA7747" w:rsidRPr="00101E4D" w:rsidRDefault="00FA7747" w:rsidP="004401C8">
                <w:pPr>
                  <w:tabs>
                    <w:tab w:val="right" w:pos="8838"/>
                  </w:tabs>
                  <w:ind w:left="850" w:right="-105"/>
                  <w:jc w:val="both"/>
                  <w:rPr>
                    <w:rFonts w:ascii="Palatino Linotype" w:eastAsia="Palatino Linotype" w:hAnsi="Palatino Linotype" w:cs="Palatino Linotype"/>
                    <w:b/>
                    <w:szCs w:val="22"/>
                  </w:rPr>
                </w:pPr>
                <w:r w:rsidRPr="00101E4D">
                  <w:rPr>
                    <w:rFonts w:ascii="Palatino Linotype" w:eastAsia="Palatino Linotype" w:hAnsi="Palatino Linotype" w:cs="Palatino Linotype"/>
                    <w:b/>
                    <w:szCs w:val="22"/>
                  </w:rPr>
                  <w:t>Sujeto Obligado:</w:t>
                </w:r>
              </w:p>
            </w:tc>
            <w:tc>
              <w:tcPr>
                <w:tcW w:w="3685" w:type="dxa"/>
                <w:shd w:val="clear" w:color="auto" w:fill="auto"/>
              </w:tcPr>
              <w:p w:rsidR="00FA7747" w:rsidRPr="00101E4D" w:rsidRDefault="00FA7747" w:rsidP="00745CE2">
                <w:pPr>
                  <w:tabs>
                    <w:tab w:val="left" w:pos="2834"/>
                    <w:tab w:val="right" w:pos="8838"/>
                  </w:tabs>
                  <w:ind w:right="-1552"/>
                  <w:jc w:val="both"/>
                  <w:rPr>
                    <w:rFonts w:ascii="Palatino Linotype" w:eastAsia="Palatino Linotype" w:hAnsi="Palatino Linotype" w:cs="Palatino Linotype"/>
                    <w:szCs w:val="22"/>
                  </w:rPr>
                </w:pPr>
                <w:r w:rsidRPr="00101E4D">
                  <w:rPr>
                    <w:rFonts w:ascii="Palatino Linotype" w:eastAsia="Palatino Linotype" w:hAnsi="Palatino Linotype" w:cs="Palatino Linotype"/>
                    <w:szCs w:val="22"/>
                  </w:rPr>
                  <w:t>Ayuntamiento de Calimaya</w:t>
                </w:r>
              </w:p>
            </w:tc>
          </w:tr>
          <w:tr w:rsidR="00FA7747" w:rsidRPr="004401C8" w:rsidTr="00101E4D">
            <w:trPr>
              <w:trHeight w:val="295"/>
            </w:trPr>
            <w:tc>
              <w:tcPr>
                <w:tcW w:w="3673" w:type="dxa"/>
                <w:shd w:val="clear" w:color="auto" w:fill="auto"/>
              </w:tcPr>
              <w:p w:rsidR="00FA7747" w:rsidRPr="00101E4D" w:rsidRDefault="00FA7747" w:rsidP="004401C8">
                <w:pPr>
                  <w:tabs>
                    <w:tab w:val="right" w:pos="8838"/>
                  </w:tabs>
                  <w:ind w:left="850" w:right="-105"/>
                  <w:jc w:val="both"/>
                  <w:rPr>
                    <w:rFonts w:ascii="Palatino Linotype" w:eastAsia="Palatino Linotype" w:hAnsi="Palatino Linotype" w:cs="Palatino Linotype"/>
                    <w:b/>
                    <w:szCs w:val="22"/>
                  </w:rPr>
                </w:pPr>
                <w:r w:rsidRPr="00101E4D">
                  <w:rPr>
                    <w:rFonts w:ascii="Palatino Linotype" w:eastAsia="Palatino Linotype" w:hAnsi="Palatino Linotype" w:cs="Palatino Linotype"/>
                    <w:b/>
                    <w:szCs w:val="22"/>
                  </w:rPr>
                  <w:t>Comisionada ponente:</w:t>
                </w:r>
              </w:p>
            </w:tc>
            <w:tc>
              <w:tcPr>
                <w:tcW w:w="3685" w:type="dxa"/>
                <w:shd w:val="clear" w:color="auto" w:fill="auto"/>
              </w:tcPr>
              <w:p w:rsidR="00FA7747" w:rsidRPr="00101E4D" w:rsidRDefault="00FA7747" w:rsidP="004401C8">
                <w:pPr>
                  <w:tabs>
                    <w:tab w:val="right" w:pos="8838"/>
                  </w:tabs>
                  <w:ind w:right="-781"/>
                  <w:jc w:val="both"/>
                  <w:rPr>
                    <w:rFonts w:ascii="Palatino Linotype" w:eastAsia="Palatino Linotype" w:hAnsi="Palatino Linotype" w:cs="Palatino Linotype"/>
                    <w:szCs w:val="22"/>
                  </w:rPr>
                </w:pPr>
                <w:r w:rsidRPr="00101E4D">
                  <w:rPr>
                    <w:rFonts w:ascii="Palatino Linotype" w:eastAsia="Palatino Linotype" w:hAnsi="Palatino Linotype" w:cs="Palatino Linotype"/>
                    <w:szCs w:val="22"/>
                  </w:rPr>
                  <w:t>María del Rosario Mejía Ayala</w:t>
                </w:r>
              </w:p>
              <w:p w:rsidR="00FA7747" w:rsidRPr="00101E4D" w:rsidRDefault="00FA7747" w:rsidP="004401C8">
                <w:pPr>
                  <w:tabs>
                    <w:tab w:val="right" w:pos="8838"/>
                  </w:tabs>
                  <w:ind w:left="141" w:right="-781"/>
                  <w:jc w:val="both"/>
                  <w:rPr>
                    <w:rFonts w:ascii="Palatino Linotype" w:eastAsia="Palatino Linotype" w:hAnsi="Palatino Linotype" w:cs="Palatino Linotype"/>
                    <w:szCs w:val="22"/>
                  </w:rPr>
                </w:pPr>
              </w:p>
            </w:tc>
          </w:tr>
        </w:tbl>
        <w:p w:rsidR="00FA7747" w:rsidRPr="004401C8" w:rsidRDefault="00FA7747" w:rsidP="004401C8">
          <w:pPr>
            <w:tabs>
              <w:tab w:val="right" w:pos="8838"/>
            </w:tabs>
            <w:ind w:left="-28"/>
            <w:jc w:val="both"/>
            <w:rPr>
              <w:rFonts w:ascii="Arial" w:eastAsia="Arial" w:hAnsi="Arial" w:cs="Arial"/>
              <w:b/>
              <w:sz w:val="18"/>
              <w:szCs w:val="22"/>
            </w:rPr>
          </w:pPr>
        </w:p>
      </w:tc>
    </w:tr>
  </w:tbl>
  <w:p w:rsidR="00FA7747" w:rsidRDefault="00CD4E6B">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10490" w:type="dxa"/>
      <w:tblInd w:w="0" w:type="dxa"/>
      <w:tblLayout w:type="fixed"/>
      <w:tblLook w:val="0400" w:firstRow="0" w:lastRow="0" w:firstColumn="0" w:lastColumn="0" w:noHBand="0" w:noVBand="1"/>
    </w:tblPr>
    <w:tblGrid>
      <w:gridCol w:w="3969"/>
      <w:gridCol w:w="6521"/>
    </w:tblGrid>
    <w:tr w:rsidR="00FA7747" w:rsidTr="00101E4D">
      <w:trPr>
        <w:trHeight w:val="1435"/>
      </w:trPr>
      <w:tc>
        <w:tcPr>
          <w:tcW w:w="3969" w:type="dxa"/>
          <w:shd w:val="clear" w:color="auto" w:fill="auto"/>
        </w:tcPr>
        <w:p w:rsidR="00FA7747" w:rsidRDefault="00FA7747" w:rsidP="00101E4D">
          <w:pPr>
            <w:rPr>
              <w:rFonts w:ascii="Garamond" w:eastAsia="Garamond" w:hAnsi="Garamond" w:cs="Garamond"/>
              <w:sz w:val="22"/>
              <w:szCs w:val="22"/>
            </w:rPr>
          </w:pPr>
        </w:p>
      </w:tc>
      <w:tc>
        <w:tcPr>
          <w:tcW w:w="6521" w:type="dxa"/>
          <w:shd w:val="clear" w:color="auto" w:fill="auto"/>
        </w:tcPr>
        <w:tbl>
          <w:tblPr>
            <w:tblStyle w:val="a8"/>
            <w:tblW w:w="7640" w:type="dxa"/>
            <w:tblInd w:w="0" w:type="dxa"/>
            <w:tblLayout w:type="fixed"/>
            <w:tblLook w:val="0400" w:firstRow="0" w:lastRow="0" w:firstColumn="0" w:lastColumn="0" w:noHBand="0" w:noVBand="1"/>
          </w:tblPr>
          <w:tblGrid>
            <w:gridCol w:w="2720"/>
            <w:gridCol w:w="4920"/>
          </w:tblGrid>
          <w:tr w:rsidR="00FA7747" w:rsidTr="00101E4D">
            <w:trPr>
              <w:trHeight w:val="144"/>
            </w:trPr>
            <w:tc>
              <w:tcPr>
                <w:tcW w:w="2720" w:type="dxa"/>
                <w:shd w:val="clear" w:color="auto" w:fill="auto"/>
              </w:tcPr>
              <w:p w:rsidR="00FA7747" w:rsidRPr="00101E4D" w:rsidRDefault="00FA7747" w:rsidP="004401C8">
                <w:pPr>
                  <w:tabs>
                    <w:tab w:val="right" w:pos="8838"/>
                  </w:tabs>
                  <w:ind w:left="-264" w:right="-105" w:firstLine="195"/>
                  <w:rPr>
                    <w:rFonts w:ascii="Palatino Linotype" w:eastAsia="Palatino Linotype" w:hAnsi="Palatino Linotype" w:cs="Palatino Linotype"/>
                    <w:b/>
                    <w:szCs w:val="22"/>
                  </w:rPr>
                </w:pPr>
                <w:r w:rsidRPr="00101E4D">
                  <w:rPr>
                    <w:rFonts w:ascii="Palatino Linotype" w:eastAsia="Palatino Linotype" w:hAnsi="Palatino Linotype" w:cs="Palatino Linotype"/>
                    <w:b/>
                    <w:szCs w:val="22"/>
                  </w:rPr>
                  <w:t>Recurso de Revisión:</w:t>
                </w:r>
              </w:p>
            </w:tc>
            <w:tc>
              <w:tcPr>
                <w:tcW w:w="4920" w:type="dxa"/>
                <w:shd w:val="clear" w:color="auto" w:fill="auto"/>
              </w:tcPr>
              <w:p w:rsidR="00FA7747" w:rsidRPr="00101E4D" w:rsidRDefault="00FA7747" w:rsidP="00FA7747">
                <w:pPr>
                  <w:tabs>
                    <w:tab w:val="right" w:pos="8838"/>
                  </w:tabs>
                  <w:ind w:right="-1552"/>
                  <w:rPr>
                    <w:rFonts w:ascii="Palatino Linotype" w:eastAsia="Palatino Linotype" w:hAnsi="Palatino Linotype" w:cs="Palatino Linotype"/>
                    <w:szCs w:val="22"/>
                  </w:rPr>
                </w:pPr>
                <w:r w:rsidRPr="00101E4D">
                  <w:rPr>
                    <w:rFonts w:ascii="Palatino Linotype" w:eastAsia="Palatino Linotype" w:hAnsi="Palatino Linotype" w:cs="Palatino Linotype"/>
                    <w:szCs w:val="22"/>
                  </w:rPr>
                  <w:t>12618/INFOEM/IP/RR/2025</w:t>
                </w:r>
              </w:p>
            </w:tc>
          </w:tr>
          <w:tr w:rsidR="00FA7747" w:rsidTr="00101E4D">
            <w:trPr>
              <w:trHeight w:val="144"/>
            </w:trPr>
            <w:tc>
              <w:tcPr>
                <w:tcW w:w="2720" w:type="dxa"/>
                <w:shd w:val="clear" w:color="auto" w:fill="auto"/>
              </w:tcPr>
              <w:p w:rsidR="00FA7747" w:rsidRPr="00101E4D" w:rsidRDefault="00FA7747" w:rsidP="004401C8">
                <w:pPr>
                  <w:tabs>
                    <w:tab w:val="right" w:pos="8838"/>
                  </w:tabs>
                  <w:ind w:left="-74" w:right="-105"/>
                  <w:rPr>
                    <w:rFonts w:ascii="Palatino Linotype" w:eastAsia="Palatino Linotype" w:hAnsi="Palatino Linotype" w:cs="Palatino Linotype"/>
                    <w:b/>
                    <w:szCs w:val="22"/>
                  </w:rPr>
                </w:pPr>
                <w:r w:rsidRPr="00101E4D">
                  <w:rPr>
                    <w:rFonts w:ascii="Palatino Linotype" w:eastAsia="Palatino Linotype" w:hAnsi="Palatino Linotype" w:cs="Palatino Linotype"/>
                    <w:b/>
                    <w:szCs w:val="22"/>
                  </w:rPr>
                  <w:t>Recurrente:</w:t>
                </w:r>
              </w:p>
            </w:tc>
            <w:tc>
              <w:tcPr>
                <w:tcW w:w="4920" w:type="dxa"/>
                <w:shd w:val="clear" w:color="auto" w:fill="auto"/>
              </w:tcPr>
              <w:p w:rsidR="00FA7747" w:rsidRPr="00101E4D" w:rsidRDefault="002633DD" w:rsidP="00126098">
                <w:pPr>
                  <w:tabs>
                    <w:tab w:val="left" w:pos="3122"/>
                    <w:tab w:val="right" w:pos="8838"/>
                  </w:tabs>
                  <w:ind w:right="-1552"/>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FA7747" w:rsidTr="00101E4D">
            <w:trPr>
              <w:trHeight w:val="80"/>
            </w:trPr>
            <w:tc>
              <w:tcPr>
                <w:tcW w:w="2720" w:type="dxa"/>
                <w:shd w:val="clear" w:color="auto" w:fill="auto"/>
              </w:tcPr>
              <w:p w:rsidR="00FA7747" w:rsidRPr="00101E4D" w:rsidRDefault="00FA7747" w:rsidP="004401C8">
                <w:pPr>
                  <w:tabs>
                    <w:tab w:val="right" w:pos="8838"/>
                  </w:tabs>
                  <w:ind w:left="-74" w:right="-105"/>
                  <w:rPr>
                    <w:rFonts w:ascii="Palatino Linotype" w:eastAsia="Palatino Linotype" w:hAnsi="Palatino Linotype" w:cs="Palatino Linotype"/>
                    <w:b/>
                    <w:szCs w:val="22"/>
                  </w:rPr>
                </w:pPr>
                <w:r w:rsidRPr="00101E4D">
                  <w:rPr>
                    <w:rFonts w:ascii="Palatino Linotype" w:eastAsia="Palatino Linotype" w:hAnsi="Palatino Linotype" w:cs="Palatino Linotype"/>
                    <w:b/>
                    <w:szCs w:val="22"/>
                  </w:rPr>
                  <w:t>Sujeto Obligado:</w:t>
                </w:r>
              </w:p>
            </w:tc>
            <w:tc>
              <w:tcPr>
                <w:tcW w:w="4920" w:type="dxa"/>
                <w:shd w:val="clear" w:color="auto" w:fill="auto"/>
              </w:tcPr>
              <w:p w:rsidR="00FA7747" w:rsidRPr="00101E4D" w:rsidRDefault="00FA7747" w:rsidP="00126098">
                <w:pPr>
                  <w:tabs>
                    <w:tab w:val="left" w:pos="2834"/>
                    <w:tab w:val="right" w:pos="8838"/>
                  </w:tabs>
                  <w:ind w:right="-1552"/>
                  <w:rPr>
                    <w:rFonts w:ascii="Palatino Linotype" w:eastAsia="Palatino Linotype" w:hAnsi="Palatino Linotype" w:cs="Palatino Linotype"/>
                    <w:szCs w:val="22"/>
                  </w:rPr>
                </w:pPr>
                <w:r w:rsidRPr="00101E4D">
                  <w:rPr>
                    <w:rFonts w:ascii="Palatino Linotype" w:eastAsia="Palatino Linotype" w:hAnsi="Palatino Linotype" w:cs="Palatino Linotype"/>
                    <w:szCs w:val="22"/>
                  </w:rPr>
                  <w:t xml:space="preserve">Ayuntamiento de Calimaya </w:t>
                </w:r>
              </w:p>
            </w:tc>
          </w:tr>
          <w:tr w:rsidR="00FA7747" w:rsidTr="00101E4D">
            <w:trPr>
              <w:trHeight w:val="283"/>
            </w:trPr>
            <w:tc>
              <w:tcPr>
                <w:tcW w:w="2720" w:type="dxa"/>
                <w:shd w:val="clear" w:color="auto" w:fill="auto"/>
              </w:tcPr>
              <w:p w:rsidR="00FA7747" w:rsidRPr="00101E4D" w:rsidRDefault="00FA7747" w:rsidP="00101E4D">
                <w:pPr>
                  <w:tabs>
                    <w:tab w:val="right" w:pos="8838"/>
                  </w:tabs>
                  <w:ind w:left="-88" w:right="-105"/>
                  <w:rPr>
                    <w:rFonts w:ascii="Palatino Linotype" w:eastAsia="Palatino Linotype" w:hAnsi="Palatino Linotype" w:cs="Palatino Linotype"/>
                    <w:b/>
                    <w:szCs w:val="22"/>
                  </w:rPr>
                </w:pPr>
                <w:r w:rsidRPr="00101E4D">
                  <w:rPr>
                    <w:rFonts w:ascii="Palatino Linotype" w:eastAsia="Palatino Linotype" w:hAnsi="Palatino Linotype" w:cs="Palatino Linotype"/>
                    <w:b/>
                    <w:szCs w:val="22"/>
                  </w:rPr>
                  <w:t>Comisionada ponente:</w:t>
                </w:r>
              </w:p>
            </w:tc>
            <w:tc>
              <w:tcPr>
                <w:tcW w:w="4920" w:type="dxa"/>
                <w:shd w:val="clear" w:color="auto" w:fill="auto"/>
              </w:tcPr>
              <w:p w:rsidR="00FA7747" w:rsidRPr="00101E4D" w:rsidRDefault="00FA7747" w:rsidP="004401C8">
                <w:pPr>
                  <w:tabs>
                    <w:tab w:val="right" w:pos="8838"/>
                  </w:tabs>
                  <w:ind w:right="-1552"/>
                  <w:rPr>
                    <w:rFonts w:ascii="Palatino Linotype" w:eastAsia="Palatino Linotype" w:hAnsi="Palatino Linotype" w:cs="Palatino Linotype"/>
                    <w:szCs w:val="22"/>
                  </w:rPr>
                </w:pPr>
                <w:r w:rsidRPr="00101E4D">
                  <w:rPr>
                    <w:rFonts w:ascii="Palatino Linotype" w:eastAsia="Palatino Linotype" w:hAnsi="Palatino Linotype" w:cs="Palatino Linotype"/>
                    <w:szCs w:val="22"/>
                  </w:rPr>
                  <w:t>María del Rosario Mejía Ayala</w:t>
                </w:r>
              </w:p>
              <w:p w:rsidR="00FA7747" w:rsidRPr="00101E4D" w:rsidRDefault="00FA7747" w:rsidP="004401C8">
                <w:pPr>
                  <w:tabs>
                    <w:tab w:val="right" w:pos="8838"/>
                  </w:tabs>
                  <w:ind w:right="-1552"/>
                  <w:rPr>
                    <w:rFonts w:ascii="Palatino Linotype" w:eastAsia="Palatino Linotype" w:hAnsi="Palatino Linotype" w:cs="Palatino Linotype"/>
                    <w:szCs w:val="22"/>
                  </w:rPr>
                </w:pPr>
              </w:p>
            </w:tc>
          </w:tr>
        </w:tbl>
        <w:p w:rsidR="00FA7747" w:rsidRDefault="00FA7747">
          <w:pPr>
            <w:tabs>
              <w:tab w:val="right" w:pos="8838"/>
            </w:tabs>
            <w:ind w:left="-28"/>
            <w:jc w:val="both"/>
            <w:rPr>
              <w:rFonts w:ascii="Arial" w:eastAsia="Arial" w:hAnsi="Arial" w:cs="Arial"/>
              <w:b/>
              <w:sz w:val="22"/>
              <w:szCs w:val="22"/>
            </w:rPr>
          </w:pPr>
        </w:p>
      </w:tc>
    </w:tr>
  </w:tbl>
  <w:p w:rsidR="00FA7747" w:rsidRDefault="00CD4E6B">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68E"/>
    <w:multiLevelType w:val="hybridMultilevel"/>
    <w:tmpl w:val="4EF463E4"/>
    <w:lvl w:ilvl="0" w:tplc="E2BE5898">
      <w:start w:val="1"/>
      <w:numFmt w:val="lowerLetter"/>
      <w:lvlText w:val="%1)"/>
      <w:lvlJc w:val="left"/>
      <w:pPr>
        <w:ind w:left="1069" w:hanging="360"/>
      </w:pPr>
      <w:rPr>
        <w:rFonts w:hint="default"/>
      </w:rPr>
    </w:lvl>
    <w:lvl w:ilvl="1" w:tplc="DB1C5A80">
      <w:start w:val="1"/>
      <w:numFmt w:val="lowerLetter"/>
      <w:lvlText w:val="%2)"/>
      <w:lvlJc w:val="left"/>
      <w:pPr>
        <w:ind w:left="1789" w:hanging="360"/>
      </w:pPr>
      <w:rPr>
        <w:rFonts w:eastAsia="Calibri" w:hint="default"/>
        <w:i w:val="0"/>
        <w:u w:val="none"/>
      </w:r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0A905BCE"/>
    <w:multiLevelType w:val="hybridMultilevel"/>
    <w:tmpl w:val="91863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B6500F"/>
    <w:multiLevelType w:val="hybridMultilevel"/>
    <w:tmpl w:val="23864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255F78"/>
    <w:multiLevelType w:val="hybridMultilevel"/>
    <w:tmpl w:val="97D0A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992483"/>
    <w:multiLevelType w:val="multilevel"/>
    <w:tmpl w:val="E14A59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047B1B"/>
    <w:multiLevelType w:val="hybridMultilevel"/>
    <w:tmpl w:val="69AE91D0"/>
    <w:lvl w:ilvl="0" w:tplc="069E2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E3780E"/>
    <w:multiLevelType w:val="multilevel"/>
    <w:tmpl w:val="E924C958"/>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384755"/>
    <w:multiLevelType w:val="multilevel"/>
    <w:tmpl w:val="9BFE07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39176D"/>
    <w:multiLevelType w:val="hybridMultilevel"/>
    <w:tmpl w:val="D3CCC1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422093"/>
    <w:multiLevelType w:val="hybridMultilevel"/>
    <w:tmpl w:val="A314A7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DE58F3"/>
    <w:multiLevelType w:val="hybridMultilevel"/>
    <w:tmpl w:val="34448B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F40F66"/>
    <w:multiLevelType w:val="hybridMultilevel"/>
    <w:tmpl w:val="E460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4317490"/>
    <w:multiLevelType w:val="hybridMultilevel"/>
    <w:tmpl w:val="66DA59C0"/>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EAF4D13"/>
    <w:multiLevelType w:val="multilevel"/>
    <w:tmpl w:val="21BEFE22"/>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53180F32"/>
    <w:multiLevelType w:val="hybridMultilevel"/>
    <w:tmpl w:val="547CB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560839D1"/>
    <w:multiLevelType w:val="hybridMultilevel"/>
    <w:tmpl w:val="7C262A1E"/>
    <w:lvl w:ilvl="0" w:tplc="C302A056">
      <w:start w:val="1"/>
      <w:numFmt w:val="decimal"/>
      <w:lvlText w:val="%1."/>
      <w:lvlJc w:val="left"/>
      <w:pPr>
        <w:ind w:left="928" w:hanging="360"/>
      </w:pPr>
      <w:rPr>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C5866BE"/>
    <w:multiLevelType w:val="hybridMultilevel"/>
    <w:tmpl w:val="5EB841DC"/>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06853C6"/>
    <w:multiLevelType w:val="hybridMultilevel"/>
    <w:tmpl w:val="77848FCC"/>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1400D09"/>
    <w:multiLevelType w:val="hybridMultilevel"/>
    <w:tmpl w:val="C30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20B7BEC"/>
    <w:multiLevelType w:val="hybridMultilevel"/>
    <w:tmpl w:val="AA7E37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90B08FE"/>
    <w:multiLevelType w:val="hybridMultilevel"/>
    <w:tmpl w:val="65525C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D74F29"/>
    <w:multiLevelType w:val="multilevel"/>
    <w:tmpl w:val="34646FB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AF071A"/>
    <w:multiLevelType w:val="multilevel"/>
    <w:tmpl w:val="4D9A91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5C4DFB"/>
    <w:multiLevelType w:val="multilevel"/>
    <w:tmpl w:val="C5D040BC"/>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4692663"/>
    <w:multiLevelType w:val="multilevel"/>
    <w:tmpl w:val="BBB4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136A0"/>
    <w:multiLevelType w:val="hybridMultilevel"/>
    <w:tmpl w:val="F072DB56"/>
    <w:lvl w:ilvl="0" w:tplc="080A000F">
      <w:start w:val="1"/>
      <w:numFmt w:val="decimal"/>
      <w:lvlText w:val="%1."/>
      <w:lvlJc w:val="left"/>
      <w:pPr>
        <w:ind w:left="2629"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C6D22AA"/>
    <w:multiLevelType w:val="multilevel"/>
    <w:tmpl w:val="3EC431A6"/>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FA10539"/>
    <w:multiLevelType w:val="hybridMultilevel"/>
    <w:tmpl w:val="F48A1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8"/>
  </w:num>
  <w:num w:numId="4">
    <w:abstractNumId w:val="15"/>
  </w:num>
  <w:num w:numId="5">
    <w:abstractNumId w:val="5"/>
  </w:num>
  <w:num w:numId="6">
    <w:abstractNumId w:val="27"/>
  </w:num>
  <w:num w:numId="7">
    <w:abstractNumId w:val="20"/>
  </w:num>
  <w:num w:numId="8">
    <w:abstractNumId w:val="17"/>
  </w:num>
  <w:num w:numId="9">
    <w:abstractNumId w:val="16"/>
  </w:num>
  <w:num w:numId="10">
    <w:abstractNumId w:val="7"/>
  </w:num>
  <w:num w:numId="11">
    <w:abstractNumId w:val="1"/>
  </w:num>
  <w:num w:numId="12">
    <w:abstractNumId w:val="22"/>
  </w:num>
  <w:num w:numId="13">
    <w:abstractNumId w:val="6"/>
  </w:num>
  <w:num w:numId="14">
    <w:abstractNumId w:val="3"/>
  </w:num>
  <w:num w:numId="15">
    <w:abstractNumId w:val="11"/>
  </w:num>
  <w:num w:numId="16">
    <w:abstractNumId w:val="18"/>
  </w:num>
  <w:num w:numId="17">
    <w:abstractNumId w:val="19"/>
  </w:num>
  <w:num w:numId="18">
    <w:abstractNumId w:val="10"/>
  </w:num>
  <w:num w:numId="19">
    <w:abstractNumId w:val="9"/>
  </w:num>
  <w:num w:numId="20">
    <w:abstractNumId w:val="12"/>
  </w:num>
  <w:num w:numId="21">
    <w:abstractNumId w:val="23"/>
  </w:num>
  <w:num w:numId="22">
    <w:abstractNumId w:val="13"/>
  </w:num>
  <w:num w:numId="23">
    <w:abstractNumId w:val="24"/>
  </w:num>
  <w:num w:numId="24">
    <w:abstractNumId w:val="21"/>
  </w:num>
  <w:num w:numId="25">
    <w:abstractNumId w:val="4"/>
  </w:num>
  <w:num w:numId="26">
    <w:abstractNumId w:val="25"/>
  </w:num>
  <w:num w:numId="27">
    <w:abstractNumId w:val="14"/>
  </w:num>
  <w:num w:numId="28">
    <w:abstractNumId w:val="0"/>
  </w:num>
  <w:num w:numId="29">
    <w:abstractNumId w:val="2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D86"/>
    <w:rsid w:val="00001708"/>
    <w:rsid w:val="00021087"/>
    <w:rsid w:val="00042FAE"/>
    <w:rsid w:val="00055A1A"/>
    <w:rsid w:val="00060AE6"/>
    <w:rsid w:val="00071244"/>
    <w:rsid w:val="00073512"/>
    <w:rsid w:val="000A31EF"/>
    <w:rsid w:val="000A6B82"/>
    <w:rsid w:val="000C0976"/>
    <w:rsid w:val="000F1397"/>
    <w:rsid w:val="000F6CE9"/>
    <w:rsid w:val="00101E4D"/>
    <w:rsid w:val="00105645"/>
    <w:rsid w:val="00111C7B"/>
    <w:rsid w:val="00125384"/>
    <w:rsid w:val="00126098"/>
    <w:rsid w:val="00143950"/>
    <w:rsid w:val="00145D84"/>
    <w:rsid w:val="00154636"/>
    <w:rsid w:val="001577D2"/>
    <w:rsid w:val="001E3125"/>
    <w:rsid w:val="001E3608"/>
    <w:rsid w:val="00244DA9"/>
    <w:rsid w:val="00246FC0"/>
    <w:rsid w:val="00251F21"/>
    <w:rsid w:val="002633DD"/>
    <w:rsid w:val="002748F7"/>
    <w:rsid w:val="00280C8D"/>
    <w:rsid w:val="002B0131"/>
    <w:rsid w:val="002C3B1F"/>
    <w:rsid w:val="002C7271"/>
    <w:rsid w:val="00302FE8"/>
    <w:rsid w:val="00305C25"/>
    <w:rsid w:val="00327CB5"/>
    <w:rsid w:val="00327D76"/>
    <w:rsid w:val="0033488B"/>
    <w:rsid w:val="003413B5"/>
    <w:rsid w:val="00350878"/>
    <w:rsid w:val="003843C2"/>
    <w:rsid w:val="00391744"/>
    <w:rsid w:val="003A1F84"/>
    <w:rsid w:val="003B2544"/>
    <w:rsid w:val="003D39FD"/>
    <w:rsid w:val="00415A07"/>
    <w:rsid w:val="0042456D"/>
    <w:rsid w:val="004401C8"/>
    <w:rsid w:val="004512E5"/>
    <w:rsid w:val="00475288"/>
    <w:rsid w:val="004C53D4"/>
    <w:rsid w:val="004D20C3"/>
    <w:rsid w:val="004D4CAA"/>
    <w:rsid w:val="004E66BD"/>
    <w:rsid w:val="004E7B76"/>
    <w:rsid w:val="004F326F"/>
    <w:rsid w:val="004F5574"/>
    <w:rsid w:val="00503E63"/>
    <w:rsid w:val="0051644E"/>
    <w:rsid w:val="0052423A"/>
    <w:rsid w:val="005626F4"/>
    <w:rsid w:val="00571F2A"/>
    <w:rsid w:val="005F2385"/>
    <w:rsid w:val="00600A77"/>
    <w:rsid w:val="00613DF7"/>
    <w:rsid w:val="00624881"/>
    <w:rsid w:val="00647AFA"/>
    <w:rsid w:val="00651426"/>
    <w:rsid w:val="00663C8A"/>
    <w:rsid w:val="0066562E"/>
    <w:rsid w:val="006729BF"/>
    <w:rsid w:val="006769AF"/>
    <w:rsid w:val="006800B9"/>
    <w:rsid w:val="00681958"/>
    <w:rsid w:val="006977DF"/>
    <w:rsid w:val="006B7FF0"/>
    <w:rsid w:val="006E5F99"/>
    <w:rsid w:val="006F08C4"/>
    <w:rsid w:val="00702785"/>
    <w:rsid w:val="007322F6"/>
    <w:rsid w:val="00735470"/>
    <w:rsid w:val="00745CE2"/>
    <w:rsid w:val="0075718F"/>
    <w:rsid w:val="00771942"/>
    <w:rsid w:val="007B4642"/>
    <w:rsid w:val="007C0126"/>
    <w:rsid w:val="007D70DD"/>
    <w:rsid w:val="00827BFE"/>
    <w:rsid w:val="00831332"/>
    <w:rsid w:val="00850EB3"/>
    <w:rsid w:val="00860381"/>
    <w:rsid w:val="008A3F74"/>
    <w:rsid w:val="008A4128"/>
    <w:rsid w:val="008A7695"/>
    <w:rsid w:val="008B2665"/>
    <w:rsid w:val="008B68CE"/>
    <w:rsid w:val="008D5425"/>
    <w:rsid w:val="008D6B9E"/>
    <w:rsid w:val="009060A0"/>
    <w:rsid w:val="0090631B"/>
    <w:rsid w:val="009144F5"/>
    <w:rsid w:val="00956C4F"/>
    <w:rsid w:val="009669CB"/>
    <w:rsid w:val="009A1CC1"/>
    <w:rsid w:val="009B7760"/>
    <w:rsid w:val="009C5E65"/>
    <w:rsid w:val="009E0447"/>
    <w:rsid w:val="00A42556"/>
    <w:rsid w:val="00A54ACB"/>
    <w:rsid w:val="00A64061"/>
    <w:rsid w:val="00A807B4"/>
    <w:rsid w:val="00A83CED"/>
    <w:rsid w:val="00A974B1"/>
    <w:rsid w:val="00AA0813"/>
    <w:rsid w:val="00AA23EF"/>
    <w:rsid w:val="00AA6962"/>
    <w:rsid w:val="00AB686B"/>
    <w:rsid w:val="00AC67F7"/>
    <w:rsid w:val="00AE262A"/>
    <w:rsid w:val="00AF2038"/>
    <w:rsid w:val="00AF2A58"/>
    <w:rsid w:val="00B06C82"/>
    <w:rsid w:val="00B706D8"/>
    <w:rsid w:val="00B81ACA"/>
    <w:rsid w:val="00B82092"/>
    <w:rsid w:val="00BB205A"/>
    <w:rsid w:val="00BD000C"/>
    <w:rsid w:val="00BE4003"/>
    <w:rsid w:val="00C0252F"/>
    <w:rsid w:val="00C07A2E"/>
    <w:rsid w:val="00C61F17"/>
    <w:rsid w:val="00C806D4"/>
    <w:rsid w:val="00C82ED1"/>
    <w:rsid w:val="00CB6ECF"/>
    <w:rsid w:val="00CD4E6B"/>
    <w:rsid w:val="00D063C3"/>
    <w:rsid w:val="00D12E95"/>
    <w:rsid w:val="00D647DF"/>
    <w:rsid w:val="00D77678"/>
    <w:rsid w:val="00D801DB"/>
    <w:rsid w:val="00D84840"/>
    <w:rsid w:val="00D857BB"/>
    <w:rsid w:val="00E17201"/>
    <w:rsid w:val="00E36F4C"/>
    <w:rsid w:val="00E61883"/>
    <w:rsid w:val="00E84299"/>
    <w:rsid w:val="00E94D86"/>
    <w:rsid w:val="00E94DFC"/>
    <w:rsid w:val="00EC4B5E"/>
    <w:rsid w:val="00F10800"/>
    <w:rsid w:val="00F32383"/>
    <w:rsid w:val="00F46C8E"/>
    <w:rsid w:val="00F5723F"/>
    <w:rsid w:val="00F703A3"/>
    <w:rsid w:val="00F74819"/>
    <w:rsid w:val="00FA59C9"/>
    <w:rsid w:val="00FA7747"/>
    <w:rsid w:val="00FC50EC"/>
    <w:rsid w:val="00FC7F8F"/>
    <w:rsid w:val="00FD0C3F"/>
    <w:rsid w:val="00FD12F2"/>
    <w:rsid w:val="00FD24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6498ABD-94B4-4EEC-98A2-D0C50C174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EC8"/>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835EC8"/>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906027">
      <w:bodyDiv w:val="1"/>
      <w:marLeft w:val="0"/>
      <w:marRight w:val="0"/>
      <w:marTop w:val="0"/>
      <w:marBottom w:val="0"/>
      <w:divBdr>
        <w:top w:val="none" w:sz="0" w:space="0" w:color="auto"/>
        <w:left w:val="none" w:sz="0" w:space="0" w:color="auto"/>
        <w:bottom w:val="none" w:sz="0" w:space="0" w:color="auto"/>
        <w:right w:val="none" w:sz="0" w:space="0" w:color="auto"/>
      </w:divBdr>
    </w:div>
    <w:div w:id="1241863263">
      <w:bodyDiv w:val="1"/>
      <w:marLeft w:val="0"/>
      <w:marRight w:val="0"/>
      <w:marTop w:val="0"/>
      <w:marBottom w:val="0"/>
      <w:divBdr>
        <w:top w:val="none" w:sz="0" w:space="0" w:color="auto"/>
        <w:left w:val="none" w:sz="0" w:space="0" w:color="auto"/>
        <w:bottom w:val="none" w:sz="0" w:space="0" w:color="auto"/>
        <w:right w:val="none" w:sz="0" w:space="0" w:color="auto"/>
      </w:divBdr>
    </w:div>
    <w:div w:id="1564558815">
      <w:bodyDiv w:val="1"/>
      <w:marLeft w:val="0"/>
      <w:marRight w:val="0"/>
      <w:marTop w:val="0"/>
      <w:marBottom w:val="0"/>
      <w:divBdr>
        <w:top w:val="none" w:sz="0" w:space="0" w:color="auto"/>
        <w:left w:val="none" w:sz="0" w:space="0" w:color="auto"/>
        <w:bottom w:val="none" w:sz="0" w:space="0" w:color="auto"/>
        <w:right w:val="none" w:sz="0" w:space="0" w:color="auto"/>
      </w:divBdr>
    </w:div>
    <w:div w:id="1644894978">
      <w:bodyDiv w:val="1"/>
      <w:marLeft w:val="0"/>
      <w:marRight w:val="0"/>
      <w:marTop w:val="0"/>
      <w:marBottom w:val="0"/>
      <w:divBdr>
        <w:top w:val="none" w:sz="0" w:space="0" w:color="auto"/>
        <w:left w:val="none" w:sz="0" w:space="0" w:color="auto"/>
        <w:bottom w:val="none" w:sz="0" w:space="0" w:color="auto"/>
        <w:right w:val="none" w:sz="0" w:space="0" w:color="auto"/>
      </w:divBdr>
    </w:div>
    <w:div w:id="1989049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00923.pag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share/v/1MjMUascG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e6ks4f2mhNuWpQ3GfcRWGbCdTg==">CgMxLjAyCWguM3pueXNoNzIJaC4zZHk2dmttMghoLmdqZGd4czIJaC4zMGowemxsMghoLnR5amN3dDIJaC4xdDNoNXNmMgloLjFmb2I5dGU4AHIhMTR3MDl2bHZHS3lndWdreWcxTVhydzN3b3lza1gycGFl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23</Pages>
  <Words>6589</Words>
  <Characters>36243</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9</cp:revision>
  <cp:lastPrinted>2026-02-20T16:10:00Z</cp:lastPrinted>
  <dcterms:created xsi:type="dcterms:W3CDTF">2026-02-12T21:11:00Z</dcterms:created>
  <dcterms:modified xsi:type="dcterms:W3CDTF">2026-02-27T00:12:00Z</dcterms:modified>
</cp:coreProperties>
</file>