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F03B424" w14:textId="458F250F" w:rsidR="00A83B4F" w:rsidRPr="00273DCE" w:rsidRDefault="0029071C" w:rsidP="00464375">
      <w:pPr>
        <w:shd w:val="clear" w:color="auto" w:fill="FFFFFF"/>
        <w:spacing w:line="360" w:lineRule="auto"/>
        <w:jc w:val="both"/>
        <w:rPr>
          <w:rFonts w:ascii="Palatino Linotype" w:hAnsi="Palatino Linotype" w:cs="Arial"/>
          <w:color w:val="000000"/>
        </w:rPr>
      </w:pPr>
      <w:r w:rsidRPr="00273DCE">
        <w:rPr>
          <w:rFonts w:ascii="Palatino Linotype" w:hAnsi="Palatino Linotype" w:cs="Arial"/>
          <w:color w:val="000000"/>
        </w:rPr>
        <w:t>Resolución del Pleno del Instituto de Transparencia, Acceso a la Información Pública y Protección de Datos Personales del Estado de México y Municipios, con domicilio en Metepec, Estado de México, a</w:t>
      </w:r>
      <w:r w:rsidR="0098478D" w:rsidRPr="00273DCE">
        <w:rPr>
          <w:rFonts w:ascii="Palatino Linotype" w:hAnsi="Palatino Linotype" w:cs="Arial"/>
          <w:color w:val="000000"/>
        </w:rPr>
        <w:t xml:space="preserve"> </w:t>
      </w:r>
      <w:r w:rsidR="003D7B37" w:rsidRPr="00273DCE">
        <w:rPr>
          <w:rFonts w:ascii="Palatino Linotype" w:hAnsi="Palatino Linotype" w:cs="Arial"/>
          <w:color w:val="000000"/>
        </w:rPr>
        <w:t>veinticinco de junio de dos mil veintiséis</w:t>
      </w:r>
      <w:r w:rsidRPr="00273DCE">
        <w:rPr>
          <w:rFonts w:ascii="Palatino Linotype" w:hAnsi="Palatino Linotype" w:cs="Arial"/>
          <w:color w:val="000000"/>
        </w:rPr>
        <w:t>.</w:t>
      </w:r>
    </w:p>
    <w:p w14:paraId="5C22A337" w14:textId="77777777" w:rsidR="004309A2" w:rsidRPr="00273DCE" w:rsidRDefault="004309A2" w:rsidP="00464375">
      <w:pPr>
        <w:shd w:val="clear" w:color="auto" w:fill="FFFFFF"/>
        <w:spacing w:line="360" w:lineRule="auto"/>
        <w:jc w:val="both"/>
        <w:rPr>
          <w:rFonts w:ascii="Palatino Linotype" w:hAnsi="Palatino Linotype" w:cs="Arial"/>
          <w:color w:val="000000"/>
        </w:rPr>
      </w:pPr>
    </w:p>
    <w:p w14:paraId="37DC6287" w14:textId="2BA3B5E6" w:rsidR="009E0E89" w:rsidRPr="00273DCE" w:rsidRDefault="0029071C" w:rsidP="00464375">
      <w:pPr>
        <w:tabs>
          <w:tab w:val="left" w:pos="1701"/>
        </w:tabs>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b/>
          <w:lang w:eastAsia="en-US"/>
        </w:rPr>
        <w:t>VISTO</w:t>
      </w:r>
      <w:r w:rsidRPr="00273DCE">
        <w:rPr>
          <w:rFonts w:ascii="Palatino Linotype" w:eastAsiaTheme="minorHAnsi" w:hAnsi="Palatino Linotype" w:cs="Arial"/>
          <w:lang w:eastAsia="en-US"/>
        </w:rPr>
        <w:t xml:space="preserve"> el expediente electrónico formado con motivo del recurso de revisión número </w:t>
      </w:r>
      <w:bookmarkStart w:id="0" w:name="_GoBack"/>
      <w:r w:rsidR="004366E3" w:rsidRPr="00273DCE">
        <w:rPr>
          <w:rFonts w:ascii="Palatino Linotype" w:eastAsiaTheme="minorHAnsi" w:hAnsi="Palatino Linotype" w:cs="Arial"/>
          <w:b/>
          <w:lang w:eastAsia="en-US"/>
        </w:rPr>
        <w:t>11250</w:t>
      </w:r>
      <w:r w:rsidR="00C93390" w:rsidRPr="00273DCE">
        <w:rPr>
          <w:rFonts w:ascii="Palatino Linotype" w:eastAsiaTheme="minorHAnsi" w:hAnsi="Palatino Linotype" w:cs="Arial"/>
          <w:b/>
          <w:lang w:eastAsia="en-US"/>
        </w:rPr>
        <w:t>/INFOEM/IP/RR/2025</w:t>
      </w:r>
      <w:bookmarkEnd w:id="0"/>
      <w:r w:rsidRPr="00273DCE">
        <w:rPr>
          <w:rFonts w:ascii="Palatino Linotype" w:eastAsiaTheme="minorHAnsi" w:hAnsi="Palatino Linotype" w:cs="Arial"/>
          <w:lang w:eastAsia="en-US"/>
        </w:rPr>
        <w:t xml:space="preserve">, </w:t>
      </w:r>
      <w:r w:rsidR="0098478D" w:rsidRPr="00273DCE">
        <w:rPr>
          <w:rFonts w:ascii="Palatino Linotype" w:eastAsia="Palatino Linotype" w:hAnsi="Palatino Linotype" w:cs="Palatino Linotype"/>
          <w:color w:val="000000"/>
        </w:rPr>
        <w:t xml:space="preserve">interpuesto por </w:t>
      </w:r>
      <w:r w:rsidR="004366E3" w:rsidRPr="00273DCE">
        <w:rPr>
          <w:rFonts w:ascii="Palatino Linotype" w:eastAsia="Palatino Linotype" w:hAnsi="Palatino Linotype" w:cs="Palatino Linotype"/>
          <w:color w:val="000000"/>
        </w:rPr>
        <w:t>un ciudadano que no proporcionó datos de identificación</w:t>
      </w:r>
      <w:r w:rsidR="0098478D" w:rsidRPr="00273DCE">
        <w:rPr>
          <w:rFonts w:ascii="Palatino Linotype" w:eastAsia="Palatino Linotype" w:hAnsi="Palatino Linotype" w:cs="Palatino Linotype"/>
          <w:color w:val="000000"/>
        </w:rPr>
        <w:t xml:space="preserve">, en lo sucesivo el </w:t>
      </w:r>
      <w:r w:rsidR="0098478D" w:rsidRPr="00273DCE">
        <w:rPr>
          <w:rFonts w:ascii="Palatino Linotype" w:eastAsia="Palatino Linotype" w:hAnsi="Palatino Linotype" w:cs="Palatino Linotype"/>
          <w:b/>
          <w:color w:val="000000"/>
        </w:rPr>
        <w:t>Recurrente</w:t>
      </w:r>
      <w:r w:rsidRPr="00273DCE">
        <w:rPr>
          <w:rFonts w:ascii="Palatino Linotype" w:eastAsiaTheme="minorHAnsi" w:hAnsi="Palatino Linotype" w:cs="Arial"/>
          <w:lang w:eastAsia="en-US"/>
        </w:rPr>
        <w:t>, en contra de la respuesta de</w:t>
      </w:r>
      <w:r w:rsidR="004366E3" w:rsidRPr="00273DCE">
        <w:rPr>
          <w:rFonts w:ascii="Palatino Linotype" w:eastAsiaTheme="minorHAnsi" w:hAnsi="Palatino Linotype" w:cs="Arial"/>
          <w:lang w:eastAsia="en-US"/>
        </w:rPr>
        <w:t>l</w:t>
      </w:r>
      <w:r w:rsidRPr="00273DCE">
        <w:rPr>
          <w:rFonts w:ascii="Palatino Linotype" w:eastAsiaTheme="minorHAnsi" w:hAnsi="Palatino Linotype" w:cs="Arial"/>
          <w:lang w:eastAsia="en-US"/>
        </w:rPr>
        <w:t xml:space="preserve"> </w:t>
      </w:r>
      <w:r w:rsidR="004366E3" w:rsidRPr="00273DCE">
        <w:rPr>
          <w:rFonts w:ascii="Palatino Linotype" w:eastAsiaTheme="minorHAnsi" w:hAnsi="Palatino Linotype" w:cs="Arial"/>
          <w:b/>
          <w:lang w:eastAsia="en-US"/>
        </w:rPr>
        <w:t>Ayuntamiento de Toluca</w:t>
      </w:r>
      <w:r w:rsidRPr="00273DCE">
        <w:rPr>
          <w:rFonts w:ascii="Palatino Linotype" w:eastAsiaTheme="minorHAnsi" w:hAnsi="Palatino Linotype" w:cs="Arial"/>
          <w:lang w:eastAsia="en-US"/>
        </w:rPr>
        <w:t>,</w:t>
      </w:r>
      <w:r w:rsidRPr="00273DCE">
        <w:rPr>
          <w:rFonts w:ascii="Palatino Linotype" w:eastAsiaTheme="minorHAnsi" w:hAnsi="Palatino Linotype" w:cs="Arial"/>
          <w:b/>
          <w:lang w:eastAsia="en-US"/>
        </w:rPr>
        <w:t xml:space="preserve"> </w:t>
      </w:r>
      <w:r w:rsidRPr="00273DCE">
        <w:rPr>
          <w:rFonts w:ascii="Palatino Linotype" w:eastAsiaTheme="minorHAnsi" w:hAnsi="Palatino Linotype" w:cs="Arial"/>
          <w:lang w:eastAsia="en-US"/>
        </w:rPr>
        <w:t>en lo subsecuente</w:t>
      </w:r>
      <w:r w:rsidRPr="00273DCE">
        <w:rPr>
          <w:rFonts w:ascii="Palatino Linotype" w:eastAsiaTheme="minorHAnsi" w:hAnsi="Palatino Linotype" w:cs="Arial"/>
          <w:b/>
          <w:lang w:eastAsia="en-US"/>
        </w:rPr>
        <w:t xml:space="preserve"> El Sujeto Obligado, </w:t>
      </w:r>
      <w:r w:rsidRPr="00273DCE">
        <w:rPr>
          <w:rFonts w:ascii="Palatino Linotype" w:eastAsiaTheme="minorHAnsi" w:hAnsi="Palatino Linotype" w:cs="Arial"/>
          <w:lang w:eastAsia="en-US"/>
        </w:rPr>
        <w:t>se procede a dictar la presente resolución.</w:t>
      </w:r>
    </w:p>
    <w:p w14:paraId="1CBC9DF3" w14:textId="77777777" w:rsidR="00C753C2" w:rsidRPr="00273DCE" w:rsidRDefault="00C753C2" w:rsidP="00464375">
      <w:pPr>
        <w:tabs>
          <w:tab w:val="left" w:pos="1701"/>
        </w:tabs>
        <w:spacing w:line="360" w:lineRule="auto"/>
        <w:jc w:val="both"/>
        <w:rPr>
          <w:rFonts w:ascii="Palatino Linotype" w:eastAsiaTheme="minorHAnsi" w:hAnsi="Palatino Linotype" w:cs="Arial"/>
          <w:b/>
          <w:sz w:val="20"/>
          <w:lang w:eastAsia="en-US"/>
        </w:rPr>
      </w:pPr>
    </w:p>
    <w:p w14:paraId="0B044301" w14:textId="77777777" w:rsidR="00C753C2" w:rsidRPr="00273DCE" w:rsidRDefault="0029071C" w:rsidP="00464375">
      <w:pPr>
        <w:spacing w:line="360" w:lineRule="auto"/>
        <w:jc w:val="center"/>
        <w:rPr>
          <w:rFonts w:ascii="Palatino Linotype" w:eastAsiaTheme="minorHAnsi" w:hAnsi="Palatino Linotype" w:cs="Arial"/>
          <w:b/>
          <w:sz w:val="28"/>
          <w:lang w:eastAsia="en-US"/>
        </w:rPr>
      </w:pPr>
      <w:r w:rsidRPr="00273DCE">
        <w:rPr>
          <w:rFonts w:ascii="Palatino Linotype" w:eastAsiaTheme="minorHAnsi" w:hAnsi="Palatino Linotype" w:cs="Arial"/>
          <w:b/>
          <w:sz w:val="28"/>
          <w:lang w:eastAsia="en-US"/>
        </w:rPr>
        <w:t>A N T E C E D E N T E S</w:t>
      </w:r>
    </w:p>
    <w:p w14:paraId="3D8B3B08" w14:textId="77777777" w:rsidR="00521A38" w:rsidRPr="00273DCE" w:rsidRDefault="00521A38" w:rsidP="00464375">
      <w:pPr>
        <w:spacing w:line="360" w:lineRule="auto"/>
        <w:jc w:val="center"/>
        <w:rPr>
          <w:rFonts w:ascii="Palatino Linotype" w:eastAsiaTheme="minorHAnsi" w:hAnsi="Palatino Linotype" w:cs="Arial"/>
          <w:b/>
          <w:lang w:eastAsia="en-US"/>
        </w:rPr>
      </w:pPr>
    </w:p>
    <w:p w14:paraId="21646831" w14:textId="77777777" w:rsidR="0029071C" w:rsidRPr="00273DCE" w:rsidRDefault="0029071C" w:rsidP="00464375">
      <w:pPr>
        <w:spacing w:line="360" w:lineRule="auto"/>
        <w:jc w:val="both"/>
        <w:rPr>
          <w:rFonts w:ascii="Palatino Linotype" w:eastAsiaTheme="minorHAnsi" w:hAnsi="Palatino Linotype" w:cs="Arial"/>
          <w:b/>
          <w:sz w:val="28"/>
          <w:lang w:eastAsia="en-US"/>
        </w:rPr>
      </w:pPr>
      <w:r w:rsidRPr="00273DCE">
        <w:rPr>
          <w:rFonts w:ascii="Palatino Linotype" w:eastAsiaTheme="minorHAnsi" w:hAnsi="Palatino Linotype" w:cs="Arial"/>
          <w:b/>
          <w:sz w:val="28"/>
          <w:lang w:eastAsia="en-US"/>
        </w:rPr>
        <w:t>PRIMERO. De la solicitud de información.</w:t>
      </w:r>
    </w:p>
    <w:p w14:paraId="5D763432" w14:textId="06FA81A7" w:rsidR="005573EA" w:rsidRPr="00273DCE" w:rsidRDefault="005573EA" w:rsidP="00464375">
      <w:pPr>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 xml:space="preserve">En fecha </w:t>
      </w:r>
      <w:r w:rsidR="004366E3" w:rsidRPr="00273DCE">
        <w:rPr>
          <w:rFonts w:ascii="Palatino Linotype" w:eastAsiaTheme="minorHAnsi" w:hAnsi="Palatino Linotype" w:cs="Arial"/>
          <w:lang w:eastAsia="en-US"/>
        </w:rPr>
        <w:t>diecinueve de agosto</w:t>
      </w:r>
      <w:r w:rsidRPr="00273DCE">
        <w:rPr>
          <w:rFonts w:ascii="Palatino Linotype" w:eastAsiaTheme="minorHAnsi" w:hAnsi="Palatino Linotype" w:cs="Arial"/>
          <w:lang w:eastAsia="en-US"/>
        </w:rPr>
        <w:t xml:space="preserve"> de dos mil veinticinco, el </w:t>
      </w:r>
      <w:r w:rsidRPr="00273DCE">
        <w:rPr>
          <w:rFonts w:ascii="Palatino Linotype" w:eastAsiaTheme="minorHAnsi" w:hAnsi="Palatino Linotype" w:cs="Arial"/>
          <w:b/>
          <w:lang w:eastAsia="en-US"/>
        </w:rPr>
        <w:t>Recurrente</w:t>
      </w:r>
      <w:r w:rsidRPr="00273DCE">
        <w:rPr>
          <w:rFonts w:ascii="Palatino Linotype" w:eastAsiaTheme="minorHAnsi" w:hAnsi="Palatino Linotype" w:cs="Arial"/>
          <w:lang w:eastAsia="en-US"/>
        </w:rPr>
        <w:t xml:space="preserve">, presentó a través del Sistema de Acceso a la Información Mexiquense </w:t>
      </w:r>
      <w:r w:rsidRPr="00273DCE">
        <w:rPr>
          <w:rFonts w:ascii="Palatino Linotype" w:eastAsiaTheme="minorHAnsi" w:hAnsi="Palatino Linotype" w:cs="Arial"/>
          <w:b/>
          <w:lang w:eastAsia="en-US"/>
        </w:rPr>
        <w:t>(SAIMEX),</w:t>
      </w:r>
      <w:r w:rsidRPr="00273DCE">
        <w:rPr>
          <w:rFonts w:ascii="Palatino Linotype" w:eastAsiaTheme="minorHAnsi" w:hAnsi="Palatino Linotype" w:cs="Arial"/>
          <w:lang w:eastAsia="en-US"/>
        </w:rPr>
        <w:t xml:space="preserve"> ante el </w:t>
      </w:r>
      <w:r w:rsidRPr="00273DCE">
        <w:rPr>
          <w:rFonts w:ascii="Palatino Linotype" w:eastAsiaTheme="minorHAnsi" w:hAnsi="Palatino Linotype" w:cs="Arial"/>
          <w:b/>
          <w:lang w:eastAsia="en-US"/>
        </w:rPr>
        <w:t>Sujeto Obligado</w:t>
      </w:r>
      <w:r w:rsidRPr="00273DCE">
        <w:rPr>
          <w:rFonts w:ascii="Palatino Linotype" w:eastAsiaTheme="minorHAnsi" w:hAnsi="Palatino Linotype" w:cs="Arial"/>
          <w:lang w:eastAsia="en-US"/>
        </w:rPr>
        <w:t xml:space="preserve">, la solicitud de acceso a la información pública, a la que se le asignó el número de expediente </w:t>
      </w:r>
      <w:r w:rsidR="004366E3" w:rsidRPr="00273DCE">
        <w:rPr>
          <w:rFonts w:ascii="Palatino Linotype" w:eastAsiaTheme="minorHAnsi" w:hAnsi="Palatino Linotype" w:cs="Arial"/>
          <w:b/>
          <w:lang w:eastAsia="en-US"/>
        </w:rPr>
        <w:t>04242/TOLUCA/IP/2025</w:t>
      </w:r>
      <w:r w:rsidRPr="00273DCE">
        <w:rPr>
          <w:rFonts w:ascii="Palatino Linotype" w:eastAsiaTheme="minorHAnsi" w:hAnsi="Palatino Linotype" w:cs="Arial"/>
          <w:lang w:eastAsia="en-US"/>
        </w:rPr>
        <w:t>, mediante la cual solicitó lo siguiente:</w:t>
      </w:r>
    </w:p>
    <w:p w14:paraId="1ABD4CA4" w14:textId="77777777" w:rsidR="005573EA" w:rsidRPr="00273DCE" w:rsidRDefault="005573EA" w:rsidP="00464375">
      <w:pPr>
        <w:rPr>
          <w:rFonts w:eastAsiaTheme="minorHAnsi"/>
          <w:lang w:eastAsia="en-US"/>
        </w:rPr>
      </w:pPr>
    </w:p>
    <w:p w14:paraId="6B31E753" w14:textId="5AF8962B" w:rsidR="005573EA" w:rsidRPr="00273DCE" w:rsidRDefault="00C93390" w:rsidP="00464375">
      <w:pPr>
        <w:spacing w:line="276" w:lineRule="auto"/>
        <w:ind w:left="567" w:right="567"/>
        <w:jc w:val="both"/>
        <w:rPr>
          <w:rFonts w:ascii="Palatino Linotype" w:eastAsia="Calibri" w:hAnsi="Palatino Linotype" w:cs="Calibri"/>
          <w:i/>
          <w:sz w:val="22"/>
          <w:szCs w:val="22"/>
        </w:rPr>
      </w:pPr>
      <w:r w:rsidRPr="00273DCE">
        <w:rPr>
          <w:rFonts w:ascii="Palatino Linotype" w:eastAsia="Calibri" w:hAnsi="Palatino Linotype" w:cs="Calibri"/>
          <w:i/>
          <w:sz w:val="22"/>
          <w:szCs w:val="22"/>
        </w:rPr>
        <w:t>“</w:t>
      </w:r>
      <w:r w:rsidR="004366E3" w:rsidRPr="00273DCE">
        <w:rPr>
          <w:rFonts w:ascii="Palatino Linotype" w:eastAsia="Calibri" w:hAnsi="Palatino Linotype" w:cs="Calibri"/>
          <w:i/>
          <w:sz w:val="22"/>
          <w:szCs w:val="22"/>
        </w:rPr>
        <w:t>Solicitó la siguiente información: -Gastos ejercidos de enero 2025 a la fecha para pavimentación -Gastos ejercidos de enero 2025 a la fecha para bacheo -Contratos con empresas privadas que se hayan celebrado en lo que va de enero 2025 a la fecha para pavimentación y/o bacheo -Especificaciones técnicas con las que se realiza el bacheo en Toluca ya sea a través de personal del ayuntamiento o servicio privado -Reporte, informe o documento donde conste el avance de las obras de pavimentación y las obras de bacheo que se han realizado en lo que va del año, así como los respectivos costos.</w:t>
      </w:r>
      <w:r w:rsidR="005573EA" w:rsidRPr="00273DCE">
        <w:rPr>
          <w:rFonts w:ascii="Palatino Linotype" w:eastAsia="Calibri" w:hAnsi="Palatino Linotype" w:cs="Calibri"/>
          <w:i/>
          <w:sz w:val="22"/>
          <w:szCs w:val="22"/>
        </w:rPr>
        <w:t>” (Sic).</w:t>
      </w:r>
    </w:p>
    <w:p w14:paraId="0FC0BCB6" w14:textId="77777777" w:rsidR="005573EA" w:rsidRPr="00273DCE" w:rsidRDefault="005573EA" w:rsidP="00464375">
      <w:pPr>
        <w:spacing w:line="259" w:lineRule="auto"/>
        <w:rPr>
          <w:rFonts w:ascii="Calibri" w:eastAsia="Calibri" w:hAnsi="Calibri" w:cs="Calibri"/>
          <w:sz w:val="22"/>
          <w:szCs w:val="22"/>
        </w:rPr>
      </w:pPr>
    </w:p>
    <w:p w14:paraId="70145660" w14:textId="77777777" w:rsidR="005573EA" w:rsidRPr="00273DCE" w:rsidRDefault="005573EA" w:rsidP="00464375">
      <w:pPr>
        <w:tabs>
          <w:tab w:val="left" w:pos="5647"/>
        </w:tabs>
        <w:spacing w:line="360" w:lineRule="auto"/>
        <w:ind w:right="850"/>
        <w:jc w:val="both"/>
        <w:rPr>
          <w:rFonts w:ascii="Palatino Linotype" w:eastAsiaTheme="minorHAnsi" w:hAnsi="Palatino Linotype" w:cstheme="minorBidi"/>
          <w:color w:val="000000"/>
          <w:lang w:eastAsia="en-US"/>
        </w:rPr>
      </w:pPr>
      <w:r w:rsidRPr="00273DCE">
        <w:rPr>
          <w:rFonts w:ascii="Palatino Linotype" w:hAnsi="Palatino Linotype"/>
          <w:b/>
          <w:lang w:eastAsia="es-ES"/>
        </w:rPr>
        <w:t>MODALIDAD DE ENTREGA:</w:t>
      </w:r>
      <w:r w:rsidRPr="00273DCE">
        <w:rPr>
          <w:rFonts w:ascii="Palatino Linotype" w:hAnsi="Palatino Linotype"/>
          <w:lang w:eastAsia="es-ES"/>
        </w:rPr>
        <w:t xml:space="preserve"> </w:t>
      </w:r>
      <w:r w:rsidRPr="00273DCE">
        <w:rPr>
          <w:rFonts w:ascii="Palatino Linotype" w:eastAsiaTheme="minorHAnsi" w:hAnsi="Palatino Linotype" w:cstheme="minorBidi"/>
          <w:color w:val="000000"/>
          <w:lang w:eastAsia="en-US"/>
        </w:rPr>
        <w:t xml:space="preserve">A través del </w:t>
      </w:r>
      <w:r w:rsidRPr="00273DCE">
        <w:rPr>
          <w:rFonts w:ascii="Palatino Linotype" w:eastAsiaTheme="minorHAnsi" w:hAnsi="Palatino Linotype" w:cstheme="minorBidi"/>
          <w:b/>
          <w:color w:val="000000"/>
          <w:lang w:eastAsia="en-US"/>
        </w:rPr>
        <w:t>SAIMEX</w:t>
      </w:r>
      <w:r w:rsidRPr="00273DCE">
        <w:rPr>
          <w:rFonts w:ascii="Palatino Linotype" w:eastAsiaTheme="minorHAnsi" w:hAnsi="Palatino Linotype" w:cstheme="minorBidi"/>
          <w:color w:val="000000"/>
          <w:lang w:eastAsia="en-US"/>
        </w:rPr>
        <w:t>.</w:t>
      </w:r>
    </w:p>
    <w:p w14:paraId="44FF330E" w14:textId="77777777" w:rsidR="00C93390" w:rsidRPr="00273DCE" w:rsidRDefault="00C93390" w:rsidP="00464375">
      <w:pPr>
        <w:tabs>
          <w:tab w:val="left" w:pos="5647"/>
        </w:tabs>
        <w:spacing w:line="360" w:lineRule="auto"/>
        <w:ind w:right="850"/>
        <w:jc w:val="both"/>
        <w:rPr>
          <w:rFonts w:ascii="Palatino Linotype" w:eastAsiaTheme="minorHAnsi" w:hAnsi="Palatino Linotype" w:cstheme="minorBidi"/>
          <w:color w:val="000000"/>
          <w:lang w:eastAsia="en-US"/>
        </w:rPr>
      </w:pPr>
    </w:p>
    <w:p w14:paraId="08E2F826" w14:textId="63710C35" w:rsidR="0029071C" w:rsidRPr="00273DCE" w:rsidRDefault="00EC4D60" w:rsidP="00464375">
      <w:pPr>
        <w:spacing w:line="360" w:lineRule="auto"/>
        <w:jc w:val="both"/>
        <w:rPr>
          <w:rFonts w:ascii="Palatino Linotype" w:eastAsiaTheme="minorHAnsi" w:hAnsi="Palatino Linotype" w:cs="Arial"/>
          <w:b/>
          <w:sz w:val="28"/>
          <w:lang w:eastAsia="en-US"/>
        </w:rPr>
      </w:pPr>
      <w:r w:rsidRPr="00273DCE">
        <w:rPr>
          <w:rFonts w:ascii="Palatino Linotype" w:eastAsiaTheme="minorHAnsi" w:hAnsi="Palatino Linotype" w:cs="Arial"/>
          <w:b/>
          <w:sz w:val="28"/>
          <w:lang w:eastAsia="en-US"/>
        </w:rPr>
        <w:t>SEGUND</w:t>
      </w:r>
      <w:r w:rsidR="00E250C8" w:rsidRPr="00273DCE">
        <w:rPr>
          <w:rFonts w:ascii="Palatino Linotype" w:eastAsiaTheme="minorHAnsi" w:hAnsi="Palatino Linotype" w:cs="Arial"/>
          <w:b/>
          <w:sz w:val="28"/>
          <w:lang w:eastAsia="en-US"/>
        </w:rPr>
        <w:t>O</w:t>
      </w:r>
      <w:r w:rsidR="0029071C" w:rsidRPr="00273DCE">
        <w:rPr>
          <w:rFonts w:ascii="Palatino Linotype" w:eastAsiaTheme="minorHAnsi" w:hAnsi="Palatino Linotype" w:cs="Arial"/>
          <w:b/>
          <w:sz w:val="28"/>
          <w:lang w:eastAsia="en-US"/>
        </w:rPr>
        <w:t xml:space="preserve">. De la respuesta del Sujeto Obligado. </w:t>
      </w:r>
    </w:p>
    <w:p w14:paraId="06567651" w14:textId="2FFDB9C4" w:rsidR="0029071C" w:rsidRPr="00273DCE" w:rsidRDefault="0029071C" w:rsidP="00464375">
      <w:pPr>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 xml:space="preserve">De las constancias que obran en el sistema SAIMEX, se advierte que en fecha </w:t>
      </w:r>
      <w:r w:rsidR="004366E3" w:rsidRPr="00273DCE">
        <w:rPr>
          <w:rFonts w:ascii="Palatino Linotype" w:eastAsiaTheme="minorHAnsi" w:hAnsi="Palatino Linotype" w:cs="Arial"/>
          <w:lang w:eastAsia="en-US"/>
        </w:rPr>
        <w:t>nueve de septiembre</w:t>
      </w:r>
      <w:r w:rsidR="00765E7A" w:rsidRPr="00273DCE">
        <w:rPr>
          <w:rFonts w:ascii="Palatino Linotype" w:eastAsiaTheme="minorHAnsi" w:hAnsi="Palatino Linotype" w:cs="Arial"/>
          <w:lang w:eastAsia="en-US"/>
        </w:rPr>
        <w:t xml:space="preserve"> </w:t>
      </w:r>
      <w:r w:rsidR="00FE24A3" w:rsidRPr="00273DCE">
        <w:rPr>
          <w:rFonts w:ascii="Palatino Linotype" w:eastAsiaTheme="minorHAnsi" w:hAnsi="Palatino Linotype" w:cs="Arial"/>
          <w:lang w:eastAsia="en-US"/>
        </w:rPr>
        <w:t>d</w:t>
      </w:r>
      <w:r w:rsidR="00765E7A" w:rsidRPr="00273DCE">
        <w:rPr>
          <w:rFonts w:ascii="Palatino Linotype" w:eastAsiaTheme="minorHAnsi" w:hAnsi="Palatino Linotype" w:cs="Arial"/>
          <w:lang w:eastAsia="en-US"/>
        </w:rPr>
        <w:t>e</w:t>
      </w:r>
      <w:r w:rsidR="00FE24A3" w:rsidRPr="00273DCE">
        <w:rPr>
          <w:rFonts w:ascii="Palatino Linotype" w:eastAsiaTheme="minorHAnsi" w:hAnsi="Palatino Linotype" w:cs="Arial"/>
          <w:lang w:eastAsia="en-US"/>
        </w:rPr>
        <w:t xml:space="preserve"> dos mil </w:t>
      </w:r>
      <w:r w:rsidR="005573EA" w:rsidRPr="00273DCE">
        <w:rPr>
          <w:rFonts w:ascii="Palatino Linotype" w:eastAsiaTheme="minorHAnsi" w:hAnsi="Palatino Linotype" w:cs="Arial"/>
          <w:lang w:eastAsia="en-US"/>
        </w:rPr>
        <w:t>veinticinco</w:t>
      </w:r>
      <w:r w:rsidRPr="00273DCE">
        <w:rPr>
          <w:rFonts w:ascii="Palatino Linotype" w:eastAsiaTheme="minorHAnsi" w:hAnsi="Palatino Linotype" w:cs="Arial"/>
          <w:lang w:eastAsia="en-US"/>
        </w:rPr>
        <w:t xml:space="preserve">, </w:t>
      </w:r>
      <w:r w:rsidRPr="00273DCE">
        <w:rPr>
          <w:rFonts w:ascii="Palatino Linotype" w:eastAsiaTheme="minorHAnsi" w:hAnsi="Palatino Linotype" w:cs="Arial"/>
          <w:b/>
          <w:lang w:eastAsia="en-US"/>
        </w:rPr>
        <w:t>El Sujeto Obligado</w:t>
      </w:r>
      <w:r w:rsidRPr="00273DCE">
        <w:rPr>
          <w:rFonts w:ascii="Palatino Linotype" w:eastAsiaTheme="minorHAnsi" w:hAnsi="Palatino Linotype" w:cs="Arial"/>
          <w:lang w:eastAsia="en-US"/>
        </w:rPr>
        <w:t xml:space="preserve"> emitió </w:t>
      </w:r>
      <w:r w:rsidR="00FE24A3" w:rsidRPr="00273DCE">
        <w:rPr>
          <w:rFonts w:ascii="Palatino Linotype" w:eastAsiaTheme="minorHAnsi" w:hAnsi="Palatino Linotype" w:cs="Arial"/>
          <w:lang w:eastAsia="en-US"/>
        </w:rPr>
        <w:t>su</w:t>
      </w:r>
      <w:r w:rsidRPr="00273DCE">
        <w:rPr>
          <w:rFonts w:ascii="Palatino Linotype" w:eastAsiaTheme="minorHAnsi" w:hAnsi="Palatino Linotype" w:cs="Arial"/>
          <w:lang w:eastAsia="en-US"/>
        </w:rPr>
        <w:t xml:space="preserve"> respuesta</w:t>
      </w:r>
      <w:r w:rsidR="00FE24A3" w:rsidRPr="00273DCE">
        <w:rPr>
          <w:rFonts w:ascii="Palatino Linotype" w:eastAsiaTheme="minorHAnsi" w:hAnsi="Palatino Linotype" w:cs="Arial"/>
          <w:lang w:eastAsia="en-US"/>
        </w:rPr>
        <w:t xml:space="preserve"> </w:t>
      </w:r>
      <w:r w:rsidRPr="00273DCE">
        <w:rPr>
          <w:rFonts w:ascii="Palatino Linotype" w:eastAsiaTheme="minorHAnsi" w:hAnsi="Palatino Linotype" w:cs="Arial"/>
          <w:lang w:eastAsia="en-US"/>
        </w:rPr>
        <w:t>en los siguientes términos:</w:t>
      </w:r>
    </w:p>
    <w:p w14:paraId="3E05B0DB" w14:textId="77777777" w:rsidR="0029071C" w:rsidRPr="00273DCE" w:rsidRDefault="0029071C" w:rsidP="00464375"/>
    <w:p w14:paraId="7055FA25" w14:textId="77777777" w:rsidR="004366E3" w:rsidRPr="00273DCE" w:rsidRDefault="0029071C" w:rsidP="00464375">
      <w:pPr>
        <w:spacing w:line="276" w:lineRule="auto"/>
        <w:ind w:left="567" w:right="567"/>
        <w:jc w:val="right"/>
        <w:rPr>
          <w:rFonts w:ascii="Palatino Linotype" w:hAnsi="Palatino Linotype"/>
          <w:i/>
          <w:sz w:val="22"/>
          <w:szCs w:val="22"/>
        </w:rPr>
      </w:pPr>
      <w:r w:rsidRPr="00273DCE">
        <w:rPr>
          <w:rFonts w:ascii="Palatino Linotype" w:hAnsi="Palatino Linotype"/>
          <w:i/>
          <w:sz w:val="22"/>
          <w:szCs w:val="22"/>
        </w:rPr>
        <w:t>“</w:t>
      </w:r>
      <w:r w:rsidR="004366E3" w:rsidRPr="00273DCE">
        <w:rPr>
          <w:rFonts w:ascii="Palatino Linotype" w:hAnsi="Palatino Linotype"/>
          <w:i/>
          <w:sz w:val="22"/>
          <w:szCs w:val="22"/>
        </w:rPr>
        <w:t>Folio de la solicitud: 04242/TOLUCA/IP/2025</w:t>
      </w:r>
    </w:p>
    <w:p w14:paraId="249717A4" w14:textId="77777777" w:rsidR="004366E3" w:rsidRPr="00273DCE" w:rsidRDefault="004366E3" w:rsidP="00464375">
      <w:pPr>
        <w:spacing w:line="276" w:lineRule="auto"/>
        <w:ind w:left="567" w:right="567"/>
        <w:jc w:val="both"/>
        <w:rPr>
          <w:rFonts w:ascii="Palatino Linotype" w:hAnsi="Palatino Linotype"/>
          <w:i/>
          <w:sz w:val="22"/>
          <w:szCs w:val="22"/>
        </w:rPr>
      </w:pPr>
    </w:p>
    <w:p w14:paraId="2D6A53E8" w14:textId="77777777" w:rsidR="004366E3" w:rsidRPr="00273DCE" w:rsidRDefault="004366E3" w:rsidP="00464375">
      <w:pPr>
        <w:spacing w:line="276" w:lineRule="auto"/>
        <w:ind w:left="567" w:right="567"/>
        <w:jc w:val="both"/>
        <w:rPr>
          <w:rFonts w:ascii="Palatino Linotype" w:hAnsi="Palatino Linotype"/>
          <w:i/>
          <w:sz w:val="22"/>
          <w:szCs w:val="22"/>
        </w:rPr>
      </w:pPr>
      <w:r w:rsidRPr="00273DCE">
        <w:rPr>
          <w:rFonts w:ascii="Palatino Linotype" w:hAnsi="Palatino Linotype"/>
          <w:i/>
          <w:sz w:val="22"/>
          <w:szCs w:val="22"/>
        </w:rPr>
        <w:t>En respuesta a la solicitud recibida, nos permitimos hacer de su conocimiento que con fundamento en el artículo 53, Fracciones: II, V y VI de la Ley de Transparencia y Acceso a la Información Pública del Estado de México y Municipios, le contestamos que:</w:t>
      </w:r>
    </w:p>
    <w:p w14:paraId="5372B070" w14:textId="77777777" w:rsidR="004366E3" w:rsidRPr="00273DCE" w:rsidRDefault="004366E3" w:rsidP="00464375">
      <w:pPr>
        <w:spacing w:line="276" w:lineRule="auto"/>
        <w:ind w:left="567" w:right="567"/>
        <w:jc w:val="both"/>
        <w:rPr>
          <w:rFonts w:ascii="Palatino Linotype" w:hAnsi="Palatino Linotype"/>
          <w:i/>
          <w:sz w:val="22"/>
          <w:szCs w:val="22"/>
        </w:rPr>
      </w:pPr>
    </w:p>
    <w:p w14:paraId="6321A580" w14:textId="77777777" w:rsidR="004366E3" w:rsidRPr="00273DCE" w:rsidRDefault="004366E3" w:rsidP="00464375">
      <w:pPr>
        <w:spacing w:line="276" w:lineRule="auto"/>
        <w:ind w:left="567" w:right="567"/>
        <w:jc w:val="both"/>
        <w:rPr>
          <w:rFonts w:ascii="Palatino Linotype" w:hAnsi="Palatino Linotype"/>
          <w:i/>
          <w:sz w:val="22"/>
          <w:szCs w:val="22"/>
        </w:rPr>
      </w:pPr>
      <w:r w:rsidRPr="00273DCE">
        <w:rPr>
          <w:rFonts w:ascii="Palatino Linotype" w:hAnsi="Palatino Linotype"/>
          <w:i/>
          <w:sz w:val="22"/>
          <w:szCs w:val="22"/>
        </w:rPr>
        <w:t>En atención a la solicitud con folio 04242/TOLUCA/IP/2025, me permito adjuntar al presente la respuesta correspondiente, Sin más por el momento, reciba un saludo.</w:t>
      </w:r>
    </w:p>
    <w:p w14:paraId="71E7ABED" w14:textId="77777777" w:rsidR="004366E3" w:rsidRPr="00273DCE" w:rsidRDefault="004366E3" w:rsidP="00464375">
      <w:pPr>
        <w:spacing w:line="276" w:lineRule="auto"/>
        <w:ind w:left="567" w:right="567"/>
        <w:jc w:val="both"/>
        <w:rPr>
          <w:rFonts w:ascii="Palatino Linotype" w:hAnsi="Palatino Linotype"/>
          <w:i/>
          <w:sz w:val="22"/>
          <w:szCs w:val="22"/>
        </w:rPr>
      </w:pPr>
    </w:p>
    <w:p w14:paraId="1CD6FE83" w14:textId="77777777" w:rsidR="004366E3" w:rsidRPr="00273DCE" w:rsidRDefault="004366E3" w:rsidP="00464375">
      <w:pPr>
        <w:spacing w:line="276" w:lineRule="auto"/>
        <w:ind w:left="567" w:right="567"/>
        <w:jc w:val="both"/>
        <w:rPr>
          <w:rFonts w:ascii="Palatino Linotype" w:hAnsi="Palatino Linotype"/>
          <w:i/>
          <w:sz w:val="22"/>
          <w:szCs w:val="22"/>
        </w:rPr>
      </w:pPr>
      <w:r w:rsidRPr="00273DCE">
        <w:rPr>
          <w:rFonts w:ascii="Palatino Linotype" w:hAnsi="Palatino Linotype"/>
          <w:i/>
          <w:sz w:val="22"/>
          <w:szCs w:val="22"/>
        </w:rPr>
        <w:t>ATENTAMENTE</w:t>
      </w:r>
    </w:p>
    <w:p w14:paraId="6892948E" w14:textId="7EEEA75A" w:rsidR="0029071C" w:rsidRPr="00273DCE" w:rsidRDefault="004366E3" w:rsidP="00464375">
      <w:pPr>
        <w:spacing w:line="276" w:lineRule="auto"/>
        <w:ind w:left="567" w:right="567"/>
        <w:jc w:val="both"/>
        <w:rPr>
          <w:rFonts w:ascii="Palatino Linotype" w:hAnsi="Palatino Linotype"/>
          <w:i/>
          <w:sz w:val="22"/>
          <w:szCs w:val="22"/>
        </w:rPr>
      </w:pPr>
      <w:r w:rsidRPr="00273DCE">
        <w:rPr>
          <w:rFonts w:ascii="Palatino Linotype" w:hAnsi="Palatino Linotype"/>
          <w:i/>
          <w:sz w:val="22"/>
          <w:szCs w:val="22"/>
        </w:rPr>
        <w:t>Dr. Nahum Miguel Mendoza Morales</w:t>
      </w:r>
      <w:r w:rsidR="00E74701" w:rsidRPr="00273DCE">
        <w:rPr>
          <w:rFonts w:ascii="Palatino Linotype" w:hAnsi="Palatino Linotype"/>
          <w:i/>
          <w:sz w:val="22"/>
          <w:szCs w:val="22"/>
        </w:rPr>
        <w:t>” (Sic).</w:t>
      </w:r>
    </w:p>
    <w:p w14:paraId="5A59FB14" w14:textId="77777777" w:rsidR="00DC1583" w:rsidRPr="00273DCE" w:rsidRDefault="00DC1583" w:rsidP="00464375">
      <w:pPr>
        <w:ind w:right="567"/>
        <w:jc w:val="both"/>
        <w:rPr>
          <w:rFonts w:ascii="Palatino Linotype" w:hAnsi="Palatino Linotype"/>
          <w:i/>
          <w:sz w:val="14"/>
          <w:szCs w:val="22"/>
        </w:rPr>
      </w:pPr>
    </w:p>
    <w:p w14:paraId="490212E5" w14:textId="77777777" w:rsidR="00B250D7" w:rsidRPr="00273DCE" w:rsidRDefault="00B250D7" w:rsidP="00464375">
      <w:pPr>
        <w:pStyle w:val="Sinespaciado"/>
        <w:rPr>
          <w:lang w:val="es-ES_tradnl" w:eastAsia="es-MX"/>
        </w:rPr>
      </w:pPr>
    </w:p>
    <w:p w14:paraId="6F9BB2DB" w14:textId="567DBDAD" w:rsidR="004B2314" w:rsidRPr="00273DCE" w:rsidRDefault="00CF1DF5" w:rsidP="00464375">
      <w:pPr>
        <w:spacing w:line="360" w:lineRule="auto"/>
        <w:jc w:val="both"/>
        <w:rPr>
          <w:rFonts w:ascii="Palatino Linotype" w:eastAsiaTheme="minorHAnsi" w:hAnsi="Palatino Linotype" w:cs="Arial"/>
          <w:i/>
          <w:lang w:eastAsia="en-US"/>
        </w:rPr>
      </w:pPr>
      <w:r w:rsidRPr="00273DCE">
        <w:rPr>
          <w:rFonts w:ascii="Palatino Linotype" w:eastAsiaTheme="minorHAnsi" w:hAnsi="Palatino Linotype" w:cs="Arial"/>
          <w:lang w:eastAsia="en-US"/>
        </w:rPr>
        <w:t xml:space="preserve">El </w:t>
      </w:r>
      <w:r w:rsidRPr="00273DCE">
        <w:rPr>
          <w:rFonts w:ascii="Palatino Linotype" w:eastAsiaTheme="minorHAnsi" w:hAnsi="Palatino Linotype" w:cs="Arial"/>
          <w:b/>
          <w:lang w:eastAsia="en-US"/>
        </w:rPr>
        <w:t>Sujeto Obligado</w:t>
      </w:r>
      <w:r w:rsidRPr="00273DCE">
        <w:rPr>
          <w:rFonts w:ascii="Palatino Linotype" w:eastAsiaTheme="minorHAnsi" w:hAnsi="Palatino Linotype" w:cs="Arial"/>
          <w:lang w:eastAsia="en-US"/>
        </w:rPr>
        <w:t xml:space="preserve"> adjuntó</w:t>
      </w:r>
      <w:r w:rsidR="005F1F89" w:rsidRPr="00273DCE">
        <w:rPr>
          <w:rFonts w:ascii="Palatino Linotype" w:eastAsiaTheme="minorHAnsi" w:hAnsi="Palatino Linotype" w:cs="Arial"/>
          <w:lang w:eastAsia="en-US"/>
        </w:rPr>
        <w:t xml:space="preserve"> a su respuesta</w:t>
      </w:r>
      <w:r w:rsidR="00DC1583" w:rsidRPr="00273DCE">
        <w:rPr>
          <w:rFonts w:ascii="Palatino Linotype" w:eastAsiaTheme="minorHAnsi" w:hAnsi="Palatino Linotype" w:cs="Arial"/>
          <w:lang w:eastAsia="en-US"/>
        </w:rPr>
        <w:t>,</w:t>
      </w:r>
      <w:r w:rsidR="00F513C7" w:rsidRPr="00273DCE">
        <w:rPr>
          <w:rFonts w:ascii="Palatino Linotype" w:eastAsiaTheme="minorHAnsi" w:hAnsi="Palatino Linotype" w:cs="Arial"/>
          <w:lang w:eastAsia="en-US"/>
        </w:rPr>
        <w:t xml:space="preserve"> </w:t>
      </w:r>
      <w:r w:rsidR="004366E3" w:rsidRPr="00273DCE">
        <w:rPr>
          <w:rFonts w:ascii="Palatino Linotype" w:eastAsiaTheme="minorHAnsi" w:hAnsi="Palatino Linotype" w:cs="Arial"/>
          <w:lang w:eastAsia="en-US"/>
        </w:rPr>
        <w:t>los archivos electrónicos denominados</w:t>
      </w:r>
      <w:r w:rsidR="004309A2" w:rsidRPr="00273DCE">
        <w:rPr>
          <w:rFonts w:ascii="Palatino Linotype" w:eastAsiaTheme="minorHAnsi" w:hAnsi="Palatino Linotype" w:cs="Arial"/>
          <w:lang w:eastAsia="en-US"/>
        </w:rPr>
        <w:t xml:space="preserve"> </w:t>
      </w:r>
      <w:r w:rsidR="00184176" w:rsidRPr="00273DCE">
        <w:rPr>
          <w:rFonts w:ascii="Palatino Linotype" w:eastAsiaTheme="minorHAnsi" w:hAnsi="Palatino Linotype" w:cs="Arial"/>
          <w:i/>
          <w:lang w:eastAsia="en-US"/>
        </w:rPr>
        <w:t>“</w:t>
      </w:r>
      <w:r w:rsidR="004366E3" w:rsidRPr="00273DCE">
        <w:rPr>
          <w:rFonts w:ascii="Palatino Linotype" w:eastAsiaTheme="minorHAnsi" w:hAnsi="Palatino Linotype" w:cs="Arial"/>
          <w:b/>
          <w:bCs/>
          <w:i/>
          <w:lang w:eastAsia="en-US"/>
        </w:rPr>
        <w:t>04242.pdf”, “EST-ANALI-EJERC-PRES-EG-OBJETO-DEL-GASTO-CAP-Y-CONC-DEL-1-DE-ENERO-AL-30-DE-JUNIO-2025 (1).pdf”, “SAIMEX 4242.pdf”, “Respuesta saimex 04242.pdf”, “Anexo 1 Saimex 04242.pdf” y “Anexo 2 Saimex 04242.pdf”</w:t>
      </w:r>
      <w:r w:rsidR="00DC1583" w:rsidRPr="00273DCE">
        <w:rPr>
          <w:rFonts w:ascii="Palatino Linotype" w:eastAsiaTheme="minorHAnsi" w:hAnsi="Palatino Linotype" w:cs="Arial"/>
          <w:i/>
          <w:lang w:eastAsia="en-US"/>
        </w:rPr>
        <w:t>;</w:t>
      </w:r>
      <w:r w:rsidR="00DC1583" w:rsidRPr="00273DCE">
        <w:rPr>
          <w:rFonts w:ascii="Palatino Linotype" w:eastAsiaTheme="minorHAnsi" w:hAnsi="Palatino Linotype" w:cs="Arial"/>
          <w:lang w:eastAsia="en-US"/>
        </w:rPr>
        <w:t xml:space="preserve"> cuyo contenido no se inserta por ser del conocim</w:t>
      </w:r>
      <w:r w:rsidR="00521A38" w:rsidRPr="00273DCE">
        <w:rPr>
          <w:rFonts w:ascii="Palatino Linotype" w:eastAsiaTheme="minorHAnsi" w:hAnsi="Palatino Linotype" w:cs="Arial"/>
          <w:lang w:eastAsia="en-US"/>
        </w:rPr>
        <w:t>iento de las partes;</w:t>
      </w:r>
      <w:r w:rsidR="001D2DE0" w:rsidRPr="00273DCE">
        <w:rPr>
          <w:rFonts w:ascii="Palatino Linotype" w:eastAsiaTheme="minorHAnsi" w:hAnsi="Palatino Linotype" w:cs="Arial"/>
          <w:lang w:eastAsia="en-US"/>
        </w:rPr>
        <w:t xml:space="preserve"> sin embargo, será</w:t>
      </w:r>
      <w:r w:rsidR="005F1F89" w:rsidRPr="00273DCE">
        <w:rPr>
          <w:rFonts w:ascii="Palatino Linotype" w:eastAsiaTheme="minorHAnsi" w:hAnsi="Palatino Linotype" w:cs="Arial"/>
          <w:lang w:eastAsia="en-US"/>
        </w:rPr>
        <w:t>n</w:t>
      </w:r>
      <w:r w:rsidR="00DC1583" w:rsidRPr="00273DCE">
        <w:rPr>
          <w:rFonts w:ascii="Palatino Linotype" w:eastAsiaTheme="minorHAnsi" w:hAnsi="Palatino Linotype" w:cs="Arial"/>
          <w:lang w:eastAsia="en-US"/>
        </w:rPr>
        <w:t xml:space="preserve"> motivo de estudio en el Considerado respectivo. </w:t>
      </w:r>
    </w:p>
    <w:p w14:paraId="43296954" w14:textId="77777777" w:rsidR="004309A2" w:rsidRPr="00273DCE" w:rsidRDefault="004309A2" w:rsidP="00464375">
      <w:pPr>
        <w:spacing w:line="360" w:lineRule="auto"/>
        <w:jc w:val="both"/>
        <w:rPr>
          <w:rFonts w:ascii="Palatino Linotype" w:hAnsi="Palatino Linotype"/>
          <w:szCs w:val="22"/>
        </w:rPr>
      </w:pPr>
    </w:p>
    <w:p w14:paraId="26BA9967" w14:textId="054D562C" w:rsidR="0029071C" w:rsidRPr="00273DCE" w:rsidRDefault="00EC4D60" w:rsidP="00464375">
      <w:pPr>
        <w:spacing w:line="360" w:lineRule="auto"/>
        <w:jc w:val="both"/>
        <w:rPr>
          <w:rFonts w:ascii="Palatino Linotype" w:eastAsiaTheme="minorHAnsi" w:hAnsi="Palatino Linotype" w:cs="Arial"/>
          <w:b/>
          <w:sz w:val="28"/>
          <w:lang w:eastAsia="en-US"/>
        </w:rPr>
      </w:pPr>
      <w:r w:rsidRPr="00273DCE">
        <w:rPr>
          <w:rFonts w:ascii="Palatino Linotype" w:eastAsiaTheme="minorHAnsi" w:hAnsi="Palatino Linotype" w:cs="Arial"/>
          <w:b/>
          <w:sz w:val="28"/>
          <w:lang w:eastAsia="en-US"/>
        </w:rPr>
        <w:t>TERCERO.</w:t>
      </w:r>
      <w:r w:rsidR="0029071C" w:rsidRPr="00273DCE">
        <w:rPr>
          <w:rFonts w:ascii="Palatino Linotype" w:eastAsiaTheme="minorHAnsi" w:hAnsi="Palatino Linotype" w:cs="Arial"/>
          <w:b/>
          <w:sz w:val="28"/>
          <w:lang w:eastAsia="en-US"/>
        </w:rPr>
        <w:t xml:space="preserve"> Del recurso de revisión.</w:t>
      </w:r>
    </w:p>
    <w:p w14:paraId="5F9BCEBF" w14:textId="600EA69A" w:rsidR="00CC0B81" w:rsidRPr="00273DCE" w:rsidRDefault="0029071C" w:rsidP="00464375">
      <w:pPr>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 xml:space="preserve">Inconforme con la respuesta por parte del </w:t>
      </w:r>
      <w:r w:rsidRPr="00273DCE">
        <w:rPr>
          <w:rFonts w:ascii="Palatino Linotype" w:eastAsiaTheme="minorHAnsi" w:hAnsi="Palatino Linotype" w:cs="Arial"/>
          <w:b/>
          <w:lang w:eastAsia="en-US"/>
        </w:rPr>
        <w:t>Sujeto Obligado</w:t>
      </w:r>
      <w:r w:rsidRPr="00273DCE">
        <w:rPr>
          <w:rFonts w:ascii="Palatino Linotype" w:eastAsiaTheme="minorHAnsi" w:hAnsi="Palatino Linotype" w:cs="Arial"/>
          <w:lang w:eastAsia="en-US"/>
        </w:rPr>
        <w:t xml:space="preserve">, </w:t>
      </w:r>
      <w:r w:rsidR="00E250C8" w:rsidRPr="00273DCE">
        <w:rPr>
          <w:rFonts w:ascii="Palatino Linotype" w:eastAsiaTheme="minorHAnsi" w:hAnsi="Palatino Linotype" w:cs="Arial"/>
          <w:lang w:eastAsia="en-US"/>
        </w:rPr>
        <w:t>el</w:t>
      </w:r>
      <w:r w:rsidRPr="00273DCE">
        <w:rPr>
          <w:rFonts w:ascii="Palatino Linotype" w:eastAsiaTheme="minorHAnsi" w:hAnsi="Palatino Linotype" w:cs="Arial"/>
          <w:lang w:eastAsia="en-US"/>
        </w:rPr>
        <w:t xml:space="preserve"> ahora </w:t>
      </w:r>
      <w:r w:rsidRPr="00273DCE">
        <w:rPr>
          <w:rFonts w:ascii="Palatino Linotype" w:eastAsiaTheme="minorHAnsi" w:hAnsi="Palatino Linotype" w:cs="Arial"/>
          <w:b/>
          <w:lang w:eastAsia="en-US"/>
        </w:rPr>
        <w:t>Recurrente</w:t>
      </w:r>
      <w:r w:rsidRPr="00273DCE">
        <w:rPr>
          <w:rFonts w:ascii="Palatino Linotype" w:eastAsiaTheme="minorHAnsi" w:hAnsi="Palatino Linotype" w:cs="Arial"/>
          <w:lang w:eastAsia="en-US"/>
        </w:rPr>
        <w:t xml:space="preserve"> interpuso el presente recurso de revisión en fecha </w:t>
      </w:r>
      <w:r w:rsidR="004366E3" w:rsidRPr="00273DCE">
        <w:rPr>
          <w:rFonts w:ascii="Palatino Linotype" w:eastAsiaTheme="minorHAnsi" w:hAnsi="Palatino Linotype" w:cs="Arial"/>
          <w:lang w:eastAsia="en-US"/>
        </w:rPr>
        <w:t>primero</w:t>
      </w:r>
      <w:r w:rsidR="00F513C7" w:rsidRPr="00273DCE">
        <w:rPr>
          <w:rFonts w:ascii="Palatino Linotype" w:eastAsiaTheme="minorHAnsi" w:hAnsi="Palatino Linotype" w:cs="Arial"/>
          <w:lang w:eastAsia="en-US"/>
        </w:rPr>
        <w:t xml:space="preserve"> de octubre</w:t>
      </w:r>
      <w:r w:rsidR="005573EA" w:rsidRPr="00273DCE">
        <w:rPr>
          <w:rFonts w:ascii="Palatino Linotype" w:eastAsiaTheme="minorHAnsi" w:hAnsi="Palatino Linotype" w:cs="Arial"/>
          <w:lang w:eastAsia="en-US"/>
        </w:rPr>
        <w:t xml:space="preserve"> de dos mil </w:t>
      </w:r>
      <w:r w:rsidR="005573EA" w:rsidRPr="00273DCE">
        <w:rPr>
          <w:rFonts w:ascii="Palatino Linotype" w:eastAsiaTheme="minorHAnsi" w:hAnsi="Palatino Linotype" w:cs="Arial"/>
          <w:lang w:eastAsia="en-US"/>
        </w:rPr>
        <w:lastRenderedPageBreak/>
        <w:t>veinticinco</w:t>
      </w:r>
      <w:r w:rsidRPr="00273DCE">
        <w:rPr>
          <w:rFonts w:ascii="Palatino Linotype" w:eastAsiaTheme="minorHAnsi" w:hAnsi="Palatino Linotype" w:cs="Arial"/>
          <w:lang w:eastAsia="en-US"/>
        </w:rPr>
        <w:t>, el cual fue registrado</w:t>
      </w:r>
      <w:r w:rsidRPr="00273DCE">
        <w:rPr>
          <w:rFonts w:ascii="Palatino Linotype" w:eastAsiaTheme="minorHAnsi" w:hAnsi="Palatino Linotype" w:cs="Arial"/>
          <w:b/>
          <w:lang w:eastAsia="en-US"/>
        </w:rPr>
        <w:t xml:space="preserve"> </w:t>
      </w:r>
      <w:r w:rsidRPr="00273DCE">
        <w:rPr>
          <w:rFonts w:ascii="Palatino Linotype" w:eastAsiaTheme="minorHAnsi" w:hAnsi="Palatino Linotype" w:cs="Arial"/>
          <w:lang w:eastAsia="en-US"/>
        </w:rPr>
        <w:t xml:space="preserve">en el sistema electrónico con el expediente número </w:t>
      </w:r>
      <w:r w:rsidR="004366E3" w:rsidRPr="00273DCE">
        <w:rPr>
          <w:rFonts w:ascii="Palatino Linotype" w:eastAsiaTheme="minorHAnsi" w:hAnsi="Palatino Linotype" w:cs="Arial"/>
          <w:b/>
          <w:bCs/>
        </w:rPr>
        <w:t>11250</w:t>
      </w:r>
      <w:r w:rsidR="00F513C7" w:rsidRPr="00273DCE">
        <w:rPr>
          <w:rFonts w:ascii="Palatino Linotype" w:eastAsiaTheme="minorHAnsi" w:hAnsi="Palatino Linotype" w:cs="Arial"/>
          <w:b/>
          <w:bCs/>
        </w:rPr>
        <w:t>/INFOEM/IP/RR/2025</w:t>
      </w:r>
      <w:r w:rsidRPr="00273DCE">
        <w:rPr>
          <w:rFonts w:ascii="Palatino Linotype" w:eastAsiaTheme="minorHAnsi" w:hAnsi="Palatino Linotype" w:cs="Arial"/>
          <w:lang w:eastAsia="en-US"/>
        </w:rPr>
        <w:t>, en el cual aduce, las siguientes manifestaciones:</w:t>
      </w:r>
    </w:p>
    <w:p w14:paraId="7757566A" w14:textId="77777777" w:rsidR="00676631" w:rsidRPr="00273DCE" w:rsidRDefault="00676631" w:rsidP="00464375">
      <w:pPr>
        <w:spacing w:line="360" w:lineRule="auto"/>
        <w:jc w:val="both"/>
        <w:rPr>
          <w:rFonts w:ascii="Palatino Linotype" w:eastAsiaTheme="minorHAnsi" w:hAnsi="Palatino Linotype" w:cs="Arial"/>
          <w:lang w:eastAsia="en-US"/>
        </w:rPr>
      </w:pPr>
    </w:p>
    <w:p w14:paraId="6C9B2953" w14:textId="63B14F0D" w:rsidR="004309A2" w:rsidRPr="00273DCE" w:rsidRDefault="0029071C" w:rsidP="00464375">
      <w:pPr>
        <w:numPr>
          <w:ilvl w:val="0"/>
          <w:numId w:val="1"/>
        </w:numPr>
        <w:spacing w:line="259" w:lineRule="auto"/>
        <w:jc w:val="both"/>
        <w:rPr>
          <w:rFonts w:ascii="Palatino Linotype" w:hAnsi="Palatino Linotype" w:cs="Arial"/>
          <w:b/>
          <w:sz w:val="26"/>
          <w:szCs w:val="26"/>
        </w:rPr>
      </w:pPr>
      <w:r w:rsidRPr="00273DCE">
        <w:rPr>
          <w:rFonts w:ascii="Palatino Linotype" w:hAnsi="Palatino Linotype" w:cs="Arial"/>
          <w:b/>
          <w:sz w:val="26"/>
          <w:szCs w:val="26"/>
        </w:rPr>
        <w:t>Acto Impugnado:</w:t>
      </w:r>
      <w:r w:rsidR="0003609F" w:rsidRPr="00273DCE">
        <w:rPr>
          <w:rFonts w:ascii="Palatino Linotype" w:hAnsi="Palatino Linotype" w:cs="Arial"/>
          <w:b/>
          <w:sz w:val="26"/>
          <w:szCs w:val="26"/>
        </w:rPr>
        <w:t xml:space="preserve"> </w:t>
      </w:r>
      <w:r w:rsidRPr="00273DCE">
        <w:rPr>
          <w:rFonts w:ascii="Palatino Linotype" w:eastAsiaTheme="minorHAnsi" w:hAnsi="Palatino Linotype" w:cstheme="minorBidi"/>
          <w:i/>
          <w:color w:val="000000"/>
          <w:sz w:val="22"/>
          <w:szCs w:val="22"/>
          <w:lang w:eastAsia="en-US"/>
        </w:rPr>
        <w:t>“</w:t>
      </w:r>
      <w:r w:rsidR="004366E3" w:rsidRPr="00273DCE">
        <w:rPr>
          <w:rFonts w:ascii="Palatino Linotype" w:eastAsiaTheme="minorHAnsi" w:hAnsi="Palatino Linotype" w:cstheme="minorBidi"/>
          <w:i/>
          <w:color w:val="000000"/>
          <w:sz w:val="22"/>
          <w:szCs w:val="22"/>
          <w:lang w:eastAsia="en-US"/>
        </w:rPr>
        <w:t>no atendieron la solicitud no entregaron lo solicitado</w:t>
      </w:r>
      <w:r w:rsidRPr="00273DCE">
        <w:rPr>
          <w:rFonts w:ascii="Palatino Linotype" w:eastAsiaTheme="minorHAnsi" w:hAnsi="Palatino Linotype" w:cstheme="minorBidi"/>
          <w:i/>
          <w:color w:val="000000"/>
          <w:sz w:val="22"/>
          <w:szCs w:val="22"/>
          <w:lang w:eastAsia="en-US"/>
        </w:rPr>
        <w:t>” (Sic).</w:t>
      </w:r>
    </w:p>
    <w:p w14:paraId="178D4912" w14:textId="77777777" w:rsidR="00521A38" w:rsidRPr="00273DCE" w:rsidRDefault="00521A38" w:rsidP="00464375">
      <w:pPr>
        <w:spacing w:line="259" w:lineRule="auto"/>
        <w:ind w:left="720"/>
        <w:jc w:val="both"/>
        <w:rPr>
          <w:rFonts w:ascii="Palatino Linotype" w:hAnsi="Palatino Linotype" w:cs="Arial"/>
          <w:b/>
          <w:sz w:val="26"/>
          <w:szCs w:val="26"/>
        </w:rPr>
      </w:pPr>
    </w:p>
    <w:p w14:paraId="03467F7F" w14:textId="0F3F981C" w:rsidR="005573EA" w:rsidRPr="00273DCE" w:rsidRDefault="0029071C" w:rsidP="00464375">
      <w:pPr>
        <w:numPr>
          <w:ilvl w:val="0"/>
          <w:numId w:val="1"/>
        </w:numPr>
        <w:spacing w:line="259" w:lineRule="auto"/>
        <w:jc w:val="both"/>
        <w:rPr>
          <w:rFonts w:ascii="Palatino Linotype" w:hAnsi="Palatino Linotype" w:cs="Arial"/>
          <w:b/>
          <w:sz w:val="26"/>
          <w:szCs w:val="26"/>
        </w:rPr>
      </w:pPr>
      <w:r w:rsidRPr="00273DCE">
        <w:rPr>
          <w:rFonts w:ascii="Palatino Linotype" w:hAnsi="Palatino Linotype" w:cs="Arial"/>
          <w:b/>
          <w:sz w:val="26"/>
          <w:szCs w:val="26"/>
        </w:rPr>
        <w:t>Razones o Motivos de Inconformidad</w:t>
      </w:r>
      <w:r w:rsidR="0003609F" w:rsidRPr="00273DCE">
        <w:rPr>
          <w:rFonts w:ascii="Palatino Linotype" w:hAnsi="Palatino Linotype" w:cs="Arial"/>
          <w:sz w:val="26"/>
          <w:szCs w:val="26"/>
        </w:rPr>
        <w:t xml:space="preserve">: </w:t>
      </w:r>
      <w:r w:rsidR="005573EA" w:rsidRPr="00273DCE">
        <w:rPr>
          <w:rFonts w:ascii="Palatino Linotype" w:eastAsiaTheme="minorHAnsi" w:hAnsi="Palatino Linotype" w:cstheme="minorBidi"/>
          <w:i/>
          <w:color w:val="000000"/>
          <w:sz w:val="22"/>
          <w:szCs w:val="22"/>
          <w:lang w:eastAsia="en-US"/>
        </w:rPr>
        <w:t>“</w:t>
      </w:r>
      <w:r w:rsidR="00AF0EA5" w:rsidRPr="00273DCE">
        <w:rPr>
          <w:rFonts w:ascii="Palatino Linotype" w:eastAsiaTheme="minorHAnsi" w:hAnsi="Palatino Linotype" w:cstheme="minorBidi"/>
          <w:i/>
          <w:color w:val="000000"/>
          <w:sz w:val="22"/>
          <w:szCs w:val="22"/>
          <w:lang w:eastAsia="en-US"/>
        </w:rPr>
        <w:t>no atendieron la solicitud no entregaron lo solicitado</w:t>
      </w:r>
      <w:r w:rsidR="005573EA" w:rsidRPr="00273DCE">
        <w:rPr>
          <w:rFonts w:ascii="Palatino Linotype" w:eastAsiaTheme="minorHAnsi" w:hAnsi="Palatino Linotype" w:cstheme="minorBidi"/>
          <w:i/>
          <w:color w:val="000000"/>
          <w:sz w:val="22"/>
          <w:szCs w:val="22"/>
          <w:lang w:eastAsia="en-US"/>
        </w:rPr>
        <w:t>” (Sic).</w:t>
      </w:r>
    </w:p>
    <w:p w14:paraId="7C9CCA1F" w14:textId="77777777" w:rsidR="004309A2" w:rsidRPr="00273DCE" w:rsidRDefault="004309A2" w:rsidP="00464375">
      <w:pPr>
        <w:spacing w:line="360" w:lineRule="auto"/>
        <w:jc w:val="both"/>
        <w:rPr>
          <w:rFonts w:ascii="Palatino Linotype" w:eastAsiaTheme="minorHAnsi" w:hAnsi="Palatino Linotype" w:cs="Arial"/>
          <w:b/>
          <w:lang w:eastAsia="en-US"/>
        </w:rPr>
      </w:pPr>
    </w:p>
    <w:p w14:paraId="06873AED" w14:textId="77777777" w:rsidR="00765E7A" w:rsidRPr="00273DCE" w:rsidRDefault="00765E7A" w:rsidP="00464375">
      <w:pPr>
        <w:spacing w:line="360" w:lineRule="auto"/>
        <w:jc w:val="both"/>
        <w:rPr>
          <w:rFonts w:ascii="Palatino Linotype" w:eastAsiaTheme="minorHAnsi" w:hAnsi="Palatino Linotype" w:cs="Arial"/>
          <w:b/>
          <w:lang w:eastAsia="en-US"/>
        </w:rPr>
      </w:pPr>
    </w:p>
    <w:p w14:paraId="26030704" w14:textId="385CF4D9" w:rsidR="0029071C" w:rsidRPr="00273DCE" w:rsidRDefault="00EC4D60" w:rsidP="00464375">
      <w:pPr>
        <w:spacing w:line="360" w:lineRule="auto"/>
        <w:jc w:val="both"/>
        <w:rPr>
          <w:rFonts w:ascii="Palatino Linotype" w:eastAsiaTheme="minorHAnsi" w:hAnsi="Palatino Linotype" w:cs="Arial"/>
          <w:b/>
          <w:sz w:val="28"/>
          <w:lang w:eastAsia="en-US"/>
        </w:rPr>
      </w:pPr>
      <w:r w:rsidRPr="00273DCE">
        <w:rPr>
          <w:rFonts w:ascii="Palatino Linotype" w:eastAsiaTheme="minorHAnsi" w:hAnsi="Palatino Linotype" w:cs="Arial"/>
          <w:b/>
          <w:sz w:val="28"/>
          <w:lang w:eastAsia="en-US"/>
        </w:rPr>
        <w:t>CUAR</w:t>
      </w:r>
      <w:r w:rsidR="00B250D7" w:rsidRPr="00273DCE">
        <w:rPr>
          <w:rFonts w:ascii="Palatino Linotype" w:eastAsiaTheme="minorHAnsi" w:hAnsi="Palatino Linotype" w:cs="Arial"/>
          <w:b/>
          <w:sz w:val="28"/>
          <w:lang w:eastAsia="en-US"/>
        </w:rPr>
        <w:t>T</w:t>
      </w:r>
      <w:r w:rsidR="0029071C" w:rsidRPr="00273DCE">
        <w:rPr>
          <w:rFonts w:ascii="Palatino Linotype" w:eastAsiaTheme="minorHAnsi" w:hAnsi="Palatino Linotype" w:cs="Arial"/>
          <w:b/>
          <w:sz w:val="28"/>
          <w:lang w:eastAsia="en-US"/>
        </w:rPr>
        <w:t>O. Del turno del recurso de revisión.</w:t>
      </w:r>
    </w:p>
    <w:p w14:paraId="5D30F2C0" w14:textId="15938EE7" w:rsidR="00B250D7" w:rsidRPr="00273DCE" w:rsidRDefault="0029071C" w:rsidP="00464375">
      <w:pPr>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 xml:space="preserve">Medio de impugnación </w:t>
      </w:r>
      <w:r w:rsidR="00E74701" w:rsidRPr="00273DCE">
        <w:rPr>
          <w:rFonts w:ascii="Palatino Linotype" w:eastAsiaTheme="minorHAnsi" w:hAnsi="Palatino Linotype" w:cs="Arial"/>
          <w:lang w:eastAsia="en-US"/>
        </w:rPr>
        <w:t>que le fue turnado al</w:t>
      </w:r>
      <w:r w:rsidRPr="00273DCE">
        <w:rPr>
          <w:rFonts w:ascii="Palatino Linotype" w:eastAsiaTheme="minorHAnsi" w:hAnsi="Palatino Linotype" w:cs="Arial"/>
          <w:lang w:eastAsia="en-US"/>
        </w:rPr>
        <w:t xml:space="preserve"> </w:t>
      </w:r>
      <w:r w:rsidR="00E74701" w:rsidRPr="00273DCE">
        <w:rPr>
          <w:rFonts w:ascii="Palatino Linotype" w:eastAsiaTheme="minorHAnsi" w:hAnsi="Palatino Linotype" w:cs="Arial"/>
          <w:lang w:eastAsia="en-US"/>
        </w:rPr>
        <w:t>Comisionado Presidente</w:t>
      </w:r>
      <w:r w:rsidRPr="00273DCE">
        <w:rPr>
          <w:rFonts w:ascii="Palatino Linotype" w:eastAsiaTheme="minorHAnsi" w:hAnsi="Palatino Linotype" w:cs="Arial"/>
          <w:lang w:eastAsia="en-US"/>
        </w:rPr>
        <w:t xml:space="preserve"> </w:t>
      </w:r>
      <w:r w:rsidR="00E74701" w:rsidRPr="00273DCE">
        <w:rPr>
          <w:rFonts w:ascii="Palatino Linotype" w:eastAsiaTheme="minorHAnsi" w:hAnsi="Palatino Linotype" w:cs="Arial"/>
          <w:b/>
          <w:lang w:eastAsia="en-US"/>
        </w:rPr>
        <w:t>José Martínez Vilchis</w:t>
      </w:r>
      <w:r w:rsidRPr="00273DCE">
        <w:rPr>
          <w:rFonts w:ascii="Palatino Linotype" w:eastAsiaTheme="minorHAnsi" w:hAnsi="Palatino Linotype" w:cs="Arial"/>
          <w:lang w:eastAsia="en-US"/>
        </w:rPr>
        <w:t xml:space="preserve">, por medio del sistema electrónico, en términos del arábigo 185, fracción I, de la Ley de Transparencia y Acceso a la información Pública del Estado de México y Municipios, del cual recayó acuerdo de admisión en fecha </w:t>
      </w:r>
      <w:r w:rsidR="00AF0EA5" w:rsidRPr="00273DCE">
        <w:rPr>
          <w:rFonts w:ascii="Palatino Linotype" w:eastAsiaTheme="minorHAnsi" w:hAnsi="Palatino Linotype" w:cs="Arial"/>
          <w:lang w:eastAsia="en-US"/>
        </w:rPr>
        <w:t>seis de octubre</w:t>
      </w:r>
      <w:r w:rsidR="008D4F13" w:rsidRPr="00273DCE">
        <w:rPr>
          <w:rFonts w:ascii="Palatino Linotype" w:eastAsiaTheme="minorHAnsi" w:hAnsi="Palatino Linotype" w:cs="Arial"/>
          <w:lang w:eastAsia="en-US"/>
        </w:rPr>
        <w:t xml:space="preserve"> de dos mil </w:t>
      </w:r>
      <w:r w:rsidR="005573EA" w:rsidRPr="00273DCE">
        <w:rPr>
          <w:rFonts w:ascii="Palatino Linotype" w:eastAsiaTheme="minorHAnsi" w:hAnsi="Palatino Linotype" w:cs="Arial"/>
          <w:lang w:eastAsia="en-US"/>
        </w:rPr>
        <w:t>veinticinco</w:t>
      </w:r>
      <w:r w:rsidRPr="00273DCE">
        <w:rPr>
          <w:rFonts w:ascii="Palatino Linotype" w:eastAsiaTheme="minorHAnsi" w:hAnsi="Palatino Linotype" w:cs="Arial"/>
          <w:lang w:eastAsia="en-US"/>
        </w:rPr>
        <w:t>, determinándose en él, un plazo de siete días para que las partes manifestaran lo que a su derecho corresponda en términos del numeral ya citado.</w:t>
      </w:r>
    </w:p>
    <w:p w14:paraId="39DDA8D6" w14:textId="77777777" w:rsidR="00BA27FC" w:rsidRPr="00273DCE" w:rsidRDefault="00BA27FC" w:rsidP="00464375">
      <w:pPr>
        <w:spacing w:line="360" w:lineRule="auto"/>
        <w:jc w:val="both"/>
        <w:rPr>
          <w:rFonts w:ascii="Palatino Linotype" w:eastAsiaTheme="minorHAnsi" w:hAnsi="Palatino Linotype" w:cs="Arial"/>
          <w:lang w:eastAsia="en-US"/>
        </w:rPr>
      </w:pPr>
    </w:p>
    <w:p w14:paraId="07A2E19A" w14:textId="211E7AFF" w:rsidR="0029071C" w:rsidRPr="00273DCE" w:rsidRDefault="00EC4D60" w:rsidP="00464375">
      <w:pPr>
        <w:spacing w:line="360" w:lineRule="auto"/>
        <w:jc w:val="both"/>
        <w:rPr>
          <w:rFonts w:ascii="Palatino Linotype" w:eastAsiaTheme="minorHAnsi" w:hAnsi="Palatino Linotype" w:cs="Arial"/>
          <w:b/>
          <w:sz w:val="28"/>
          <w:lang w:eastAsia="en-US"/>
        </w:rPr>
      </w:pPr>
      <w:r w:rsidRPr="00273DCE">
        <w:rPr>
          <w:rFonts w:ascii="Palatino Linotype" w:eastAsiaTheme="minorHAnsi" w:hAnsi="Palatino Linotype" w:cs="Arial"/>
          <w:b/>
          <w:sz w:val="28"/>
          <w:lang w:eastAsia="en-US"/>
        </w:rPr>
        <w:t>QUIN</w:t>
      </w:r>
      <w:r w:rsidR="00B250D7" w:rsidRPr="00273DCE">
        <w:rPr>
          <w:rFonts w:ascii="Palatino Linotype" w:eastAsiaTheme="minorHAnsi" w:hAnsi="Palatino Linotype" w:cs="Arial"/>
          <w:b/>
          <w:sz w:val="28"/>
          <w:lang w:eastAsia="en-US"/>
        </w:rPr>
        <w:t>T</w:t>
      </w:r>
      <w:r w:rsidR="0029071C" w:rsidRPr="00273DCE">
        <w:rPr>
          <w:rFonts w:ascii="Palatino Linotype" w:eastAsiaTheme="minorHAnsi" w:hAnsi="Palatino Linotype" w:cs="Arial"/>
          <w:b/>
          <w:sz w:val="28"/>
          <w:lang w:eastAsia="en-US"/>
        </w:rPr>
        <w:t>O. De la etapa de manifestaciones y/o alegatos.</w:t>
      </w:r>
    </w:p>
    <w:p w14:paraId="78F00DE2" w14:textId="703F86A8" w:rsidR="00765E7A" w:rsidRPr="00273DCE" w:rsidRDefault="00CF1DF5" w:rsidP="00464375">
      <w:pPr>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U</w:t>
      </w:r>
      <w:r w:rsidR="0029071C" w:rsidRPr="00273DCE">
        <w:rPr>
          <w:rFonts w:ascii="Palatino Linotype" w:eastAsiaTheme="minorHAnsi" w:hAnsi="Palatino Linotype" w:cs="Arial"/>
          <w:lang w:eastAsia="en-US"/>
        </w:rPr>
        <w:t>na vez transcurrido el término legal referido se destaca que</w:t>
      </w:r>
      <w:r w:rsidR="00267458" w:rsidRPr="00273DCE">
        <w:rPr>
          <w:rFonts w:ascii="Palatino Linotype" w:eastAsiaTheme="minorHAnsi" w:hAnsi="Palatino Linotype" w:cs="Arial"/>
          <w:lang w:eastAsia="en-US"/>
        </w:rPr>
        <w:t>,</w:t>
      </w:r>
      <w:r w:rsidR="004309A2" w:rsidRPr="00273DCE">
        <w:rPr>
          <w:rFonts w:ascii="Palatino Linotype" w:eastAsiaTheme="minorHAnsi" w:hAnsi="Palatino Linotype" w:cs="Arial"/>
          <w:lang w:eastAsia="en-US"/>
        </w:rPr>
        <w:t xml:space="preserve"> en fecha </w:t>
      </w:r>
      <w:r w:rsidR="00F513C7" w:rsidRPr="00273DCE">
        <w:rPr>
          <w:rFonts w:ascii="Palatino Linotype" w:eastAsiaTheme="minorHAnsi" w:hAnsi="Palatino Linotype" w:cs="Arial"/>
          <w:lang w:eastAsia="en-US"/>
        </w:rPr>
        <w:t>trece de noviembre</w:t>
      </w:r>
      <w:r w:rsidR="008D4F13" w:rsidRPr="00273DCE">
        <w:rPr>
          <w:rFonts w:ascii="Palatino Linotype" w:eastAsiaTheme="minorHAnsi" w:hAnsi="Palatino Linotype" w:cs="Arial"/>
          <w:lang w:eastAsia="en-US"/>
        </w:rPr>
        <w:t xml:space="preserve"> de dos mil </w:t>
      </w:r>
      <w:r w:rsidR="005573EA" w:rsidRPr="00273DCE">
        <w:rPr>
          <w:rFonts w:ascii="Palatino Linotype" w:eastAsiaTheme="minorHAnsi" w:hAnsi="Palatino Linotype" w:cs="Arial"/>
          <w:lang w:eastAsia="en-US"/>
        </w:rPr>
        <w:t>veinticinco</w:t>
      </w:r>
      <w:r w:rsidR="004309A2" w:rsidRPr="00273DCE">
        <w:rPr>
          <w:rFonts w:ascii="Palatino Linotype" w:eastAsiaTheme="minorHAnsi" w:hAnsi="Palatino Linotype" w:cs="Arial"/>
          <w:lang w:eastAsia="en-US"/>
        </w:rPr>
        <w:t>,</w:t>
      </w:r>
      <w:r w:rsidR="0029071C" w:rsidRPr="00273DCE">
        <w:rPr>
          <w:rFonts w:ascii="Palatino Linotype" w:eastAsiaTheme="minorHAnsi" w:hAnsi="Palatino Linotype" w:cs="Arial"/>
          <w:lang w:eastAsia="en-US"/>
        </w:rPr>
        <w:t xml:space="preserve"> </w:t>
      </w:r>
      <w:r w:rsidR="0029071C" w:rsidRPr="00273DCE">
        <w:rPr>
          <w:rFonts w:ascii="Palatino Linotype" w:eastAsiaTheme="minorHAnsi" w:hAnsi="Palatino Linotype" w:cs="Arial"/>
          <w:b/>
          <w:lang w:eastAsia="en-US"/>
        </w:rPr>
        <w:t>El Sujeto Obligado</w:t>
      </w:r>
      <w:r w:rsidR="0029071C" w:rsidRPr="00273DCE">
        <w:rPr>
          <w:rFonts w:ascii="Palatino Linotype" w:eastAsiaTheme="minorHAnsi" w:hAnsi="Palatino Linotype" w:cs="Arial"/>
          <w:lang w:eastAsia="en-US"/>
        </w:rPr>
        <w:t xml:space="preserve"> </w:t>
      </w:r>
      <w:r w:rsidR="004309A2" w:rsidRPr="00273DCE">
        <w:rPr>
          <w:rFonts w:ascii="Palatino Linotype" w:eastAsiaTheme="minorHAnsi" w:hAnsi="Palatino Linotype" w:cs="Arial"/>
          <w:lang w:eastAsia="en-US"/>
        </w:rPr>
        <w:t>rindió</w:t>
      </w:r>
      <w:r w:rsidR="00386D38" w:rsidRPr="00273DCE">
        <w:rPr>
          <w:rFonts w:ascii="Palatino Linotype" w:eastAsiaTheme="minorHAnsi" w:hAnsi="Palatino Linotype" w:cs="Arial"/>
          <w:lang w:eastAsia="en-US"/>
        </w:rPr>
        <w:t xml:space="preserve"> </w:t>
      </w:r>
      <w:r w:rsidR="00267458" w:rsidRPr="00273DCE">
        <w:rPr>
          <w:rFonts w:ascii="Palatino Linotype" w:eastAsiaTheme="minorHAnsi" w:hAnsi="Palatino Linotype" w:cs="Arial"/>
          <w:lang w:eastAsia="en-US"/>
        </w:rPr>
        <w:t xml:space="preserve">su </w:t>
      </w:r>
      <w:r w:rsidR="00BA27FC" w:rsidRPr="00273DCE">
        <w:rPr>
          <w:rFonts w:ascii="Palatino Linotype" w:eastAsiaTheme="minorHAnsi" w:hAnsi="Palatino Linotype" w:cs="Arial"/>
          <w:lang w:eastAsia="en-US"/>
        </w:rPr>
        <w:t>informe justificado</w:t>
      </w:r>
      <w:r w:rsidR="004309A2" w:rsidRPr="00273DCE">
        <w:rPr>
          <w:rFonts w:ascii="Palatino Linotype" w:eastAsiaTheme="minorHAnsi" w:hAnsi="Palatino Linotype" w:cs="Arial"/>
          <w:lang w:eastAsia="en-US"/>
        </w:rPr>
        <w:t xml:space="preserve"> mediante </w:t>
      </w:r>
      <w:r w:rsidR="009E68A1" w:rsidRPr="00273DCE">
        <w:rPr>
          <w:rFonts w:ascii="Palatino Linotype" w:eastAsiaTheme="minorHAnsi" w:hAnsi="Palatino Linotype" w:cs="Arial"/>
          <w:lang w:eastAsia="en-US"/>
        </w:rPr>
        <w:t>los archivos electrónicos denominados</w:t>
      </w:r>
      <w:r w:rsidR="004309A2" w:rsidRPr="00273DCE">
        <w:rPr>
          <w:rFonts w:ascii="Palatino Linotype" w:eastAsiaTheme="minorHAnsi" w:hAnsi="Palatino Linotype" w:cs="Arial"/>
          <w:lang w:eastAsia="en-US"/>
        </w:rPr>
        <w:t xml:space="preserve"> </w:t>
      </w:r>
      <w:r w:rsidR="004309A2" w:rsidRPr="00273DCE">
        <w:rPr>
          <w:rFonts w:ascii="Palatino Linotype" w:eastAsiaTheme="minorHAnsi" w:hAnsi="Palatino Linotype" w:cs="Arial"/>
          <w:i/>
          <w:lang w:eastAsia="en-US"/>
        </w:rPr>
        <w:t>“</w:t>
      </w:r>
      <w:r w:rsidR="009E68A1" w:rsidRPr="00273DCE">
        <w:rPr>
          <w:rFonts w:ascii="Palatino Linotype" w:eastAsiaTheme="minorHAnsi" w:hAnsi="Palatino Linotype" w:cs="Arial"/>
          <w:i/>
          <w:lang w:eastAsia="en-US"/>
        </w:rPr>
        <w:t>Ratificación 11250.pdf”, “</w:t>
      </w:r>
      <w:r w:rsidR="00464375" w:rsidRPr="00273DCE">
        <w:rPr>
          <w:rFonts w:ascii="Palatino Linotype" w:eastAsiaTheme="minorHAnsi" w:hAnsi="Palatino Linotype" w:cs="Arial"/>
          <w:i/>
          <w:lang w:eastAsia="en-US"/>
        </w:rPr>
        <w:t>ANEXOS 11250-2025.pdf”, “ANEXOS 11250-2025_1.1.pdf</w:t>
      </w:r>
      <w:r w:rsidR="00676631" w:rsidRPr="00273DCE">
        <w:rPr>
          <w:rFonts w:ascii="Palatino Linotype" w:eastAsiaTheme="minorHAnsi" w:hAnsi="Palatino Linotype" w:cs="Arial"/>
          <w:i/>
          <w:lang w:eastAsia="en-US"/>
        </w:rPr>
        <w:t>”</w:t>
      </w:r>
      <w:r w:rsidR="00574FDC" w:rsidRPr="00273DCE">
        <w:rPr>
          <w:rFonts w:ascii="Palatino Linotype" w:eastAsiaTheme="minorHAnsi" w:hAnsi="Palatino Linotype" w:cs="Arial"/>
          <w:lang w:eastAsia="en-US"/>
        </w:rPr>
        <w:t>,</w:t>
      </w:r>
      <w:r w:rsidR="004309A2" w:rsidRPr="00273DCE">
        <w:rPr>
          <w:rFonts w:ascii="Palatino Linotype" w:eastAsiaTheme="minorHAnsi" w:hAnsi="Palatino Linotype" w:cs="Arial"/>
          <w:lang w:eastAsia="en-US"/>
        </w:rPr>
        <w:t xml:space="preserve"> mismo</w:t>
      </w:r>
      <w:r w:rsidR="00464375" w:rsidRPr="00273DCE">
        <w:rPr>
          <w:rFonts w:ascii="Palatino Linotype" w:eastAsiaTheme="minorHAnsi" w:hAnsi="Palatino Linotype" w:cs="Arial"/>
          <w:lang w:eastAsia="en-US"/>
        </w:rPr>
        <w:t>s</w:t>
      </w:r>
      <w:r w:rsidR="004309A2" w:rsidRPr="00273DCE">
        <w:rPr>
          <w:rFonts w:ascii="Palatino Linotype" w:eastAsiaTheme="minorHAnsi" w:hAnsi="Palatino Linotype" w:cs="Arial"/>
          <w:lang w:eastAsia="en-US"/>
        </w:rPr>
        <w:t xml:space="preserve"> que fue</w:t>
      </w:r>
      <w:r w:rsidR="00464375" w:rsidRPr="00273DCE">
        <w:rPr>
          <w:rFonts w:ascii="Palatino Linotype" w:eastAsiaTheme="minorHAnsi" w:hAnsi="Palatino Linotype" w:cs="Arial"/>
          <w:lang w:eastAsia="en-US"/>
        </w:rPr>
        <w:t>ron</w:t>
      </w:r>
      <w:r w:rsidR="004309A2" w:rsidRPr="00273DCE">
        <w:rPr>
          <w:rFonts w:ascii="Palatino Linotype" w:eastAsiaTheme="minorHAnsi" w:hAnsi="Palatino Linotype" w:cs="Arial"/>
          <w:lang w:eastAsia="en-US"/>
        </w:rPr>
        <w:t xml:space="preserve"> puesto</w:t>
      </w:r>
      <w:r w:rsidR="00464375" w:rsidRPr="00273DCE">
        <w:rPr>
          <w:rFonts w:ascii="Palatino Linotype" w:eastAsiaTheme="minorHAnsi" w:hAnsi="Palatino Linotype" w:cs="Arial"/>
          <w:lang w:eastAsia="en-US"/>
        </w:rPr>
        <w:t>s</w:t>
      </w:r>
      <w:r w:rsidR="004309A2" w:rsidRPr="00273DCE">
        <w:rPr>
          <w:rFonts w:ascii="Palatino Linotype" w:eastAsiaTheme="minorHAnsi" w:hAnsi="Palatino Linotype" w:cs="Arial"/>
          <w:lang w:eastAsia="en-US"/>
        </w:rPr>
        <w:t xml:space="preserve"> a la vista del particular mediante Acuerdo de fecha </w:t>
      </w:r>
      <w:r w:rsidR="00464375" w:rsidRPr="00273DCE">
        <w:rPr>
          <w:rFonts w:ascii="Palatino Linotype" w:eastAsiaTheme="minorHAnsi" w:hAnsi="Palatino Linotype" w:cs="Arial"/>
          <w:lang w:eastAsia="en-US"/>
        </w:rPr>
        <w:t>quince de junio de dos mil veintiséis</w:t>
      </w:r>
      <w:r w:rsidR="00574FDC" w:rsidRPr="00273DCE">
        <w:rPr>
          <w:rFonts w:ascii="Palatino Linotype" w:eastAsiaTheme="minorHAnsi" w:hAnsi="Palatino Linotype" w:cs="Arial"/>
          <w:lang w:eastAsia="en-US"/>
        </w:rPr>
        <w:t>;</w:t>
      </w:r>
      <w:r w:rsidR="00AE78CA" w:rsidRPr="00273DCE">
        <w:rPr>
          <w:rFonts w:ascii="Palatino Linotype" w:eastAsiaTheme="minorHAnsi" w:hAnsi="Palatino Linotype" w:cs="Arial"/>
          <w:lang w:eastAsia="en-US"/>
        </w:rPr>
        <w:t xml:space="preserve"> </w:t>
      </w:r>
      <w:r w:rsidR="002D6E4B" w:rsidRPr="00273DCE">
        <w:rPr>
          <w:rFonts w:ascii="Palatino Linotype" w:eastAsiaTheme="minorHAnsi" w:hAnsi="Palatino Linotype" w:cs="Arial"/>
          <w:lang w:eastAsia="en-US"/>
        </w:rPr>
        <w:t>asimismo</w:t>
      </w:r>
      <w:r w:rsidR="00267458" w:rsidRPr="00273DCE">
        <w:rPr>
          <w:rFonts w:ascii="Palatino Linotype" w:eastAsiaTheme="minorHAnsi" w:hAnsi="Palatino Linotype" w:cs="Arial"/>
          <w:lang w:eastAsia="en-US"/>
        </w:rPr>
        <w:t>,</w:t>
      </w:r>
      <w:r w:rsidR="00B96A17" w:rsidRPr="00273DCE">
        <w:rPr>
          <w:rFonts w:ascii="Palatino Linotype" w:eastAsiaTheme="minorHAnsi" w:hAnsi="Palatino Linotype" w:cs="Arial"/>
          <w:lang w:eastAsia="en-US"/>
        </w:rPr>
        <w:t xml:space="preserve"> </w:t>
      </w:r>
      <w:r w:rsidR="00F513C7" w:rsidRPr="00273DCE">
        <w:rPr>
          <w:rFonts w:ascii="Palatino Linotype" w:eastAsiaTheme="minorHAnsi" w:hAnsi="Palatino Linotype" w:cs="Arial"/>
          <w:lang w:eastAsia="en-US"/>
        </w:rPr>
        <w:t xml:space="preserve">se aprecia que la parte </w:t>
      </w:r>
      <w:r w:rsidR="00F513C7" w:rsidRPr="00273DCE">
        <w:rPr>
          <w:rFonts w:ascii="Palatino Linotype" w:eastAsiaTheme="minorHAnsi" w:hAnsi="Palatino Linotype" w:cs="Arial"/>
          <w:b/>
          <w:lang w:eastAsia="en-US"/>
        </w:rPr>
        <w:t>Recurrente</w:t>
      </w:r>
      <w:r w:rsidR="00F513C7" w:rsidRPr="00273DCE">
        <w:rPr>
          <w:rFonts w:ascii="Palatino Linotype" w:eastAsiaTheme="minorHAnsi" w:hAnsi="Palatino Linotype" w:cs="Arial"/>
          <w:lang w:eastAsia="en-US"/>
        </w:rPr>
        <w:t xml:space="preserve"> no realizó alegatos, ni ofreció pruebas o manifestaciones.</w:t>
      </w:r>
    </w:p>
    <w:p w14:paraId="7C2D0257" w14:textId="77777777" w:rsidR="004D2536" w:rsidRPr="00273DCE" w:rsidRDefault="004D2536" w:rsidP="00464375">
      <w:pPr>
        <w:spacing w:line="360" w:lineRule="auto"/>
        <w:jc w:val="both"/>
        <w:rPr>
          <w:rFonts w:ascii="Palatino Linotype" w:eastAsiaTheme="minorHAnsi" w:hAnsi="Palatino Linotype" w:cs="Arial"/>
          <w:lang w:eastAsia="en-US"/>
        </w:rPr>
      </w:pPr>
    </w:p>
    <w:p w14:paraId="107FAF2D" w14:textId="77777777" w:rsidR="00464375" w:rsidRPr="00273DCE" w:rsidRDefault="00464375" w:rsidP="00464375">
      <w:pPr>
        <w:spacing w:line="360" w:lineRule="auto"/>
        <w:jc w:val="both"/>
        <w:rPr>
          <w:rFonts w:ascii="Palatino Linotype" w:eastAsiaTheme="minorHAnsi" w:hAnsi="Palatino Linotype" w:cs="Arial"/>
          <w:b/>
          <w:sz w:val="28"/>
          <w:lang w:eastAsia="en-US"/>
        </w:rPr>
      </w:pPr>
      <w:r w:rsidRPr="00273DCE">
        <w:rPr>
          <w:rFonts w:ascii="Palatino Linotype" w:eastAsiaTheme="minorHAnsi" w:hAnsi="Palatino Linotype" w:cs="Arial"/>
          <w:b/>
          <w:sz w:val="28"/>
          <w:lang w:eastAsia="en-US"/>
        </w:rPr>
        <w:lastRenderedPageBreak/>
        <w:t>SÉPTIMO. De la ampliación del término para resolver.</w:t>
      </w:r>
    </w:p>
    <w:p w14:paraId="32882B75" w14:textId="0E0715E1" w:rsidR="00464375" w:rsidRPr="00273DCE" w:rsidRDefault="00464375" w:rsidP="00464375">
      <w:pPr>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De las constancias que integran el expediente electrónico, se advierte que ha transcurrido el término de Ley para la emisión de la resolución en el presente recurso de revisión, por lo que el veinticuatro de febrero de dos mil veintiséis, se notificó a las partes el acuerdo por el que se ordena ampliar el plazo para la emisión de la resolución, en términos del artículo 181 párrafo tercero de la Ley de Transparencia y Acceso a la Información Pública del Estado de México y Municipios, ordenándose turnar los expedientes a la resolución que en derecho proceda.</w:t>
      </w:r>
    </w:p>
    <w:p w14:paraId="1CBDEC9B" w14:textId="77777777" w:rsidR="00464375" w:rsidRPr="00273DCE" w:rsidRDefault="00464375" w:rsidP="00464375">
      <w:pPr>
        <w:spacing w:line="360" w:lineRule="auto"/>
        <w:jc w:val="both"/>
        <w:rPr>
          <w:rFonts w:ascii="Palatino Linotype" w:eastAsiaTheme="minorHAnsi" w:hAnsi="Palatino Linotype" w:cs="Arial"/>
          <w:lang w:eastAsia="en-US"/>
        </w:rPr>
      </w:pPr>
    </w:p>
    <w:p w14:paraId="72EC34D8" w14:textId="08B16211" w:rsidR="0029071C" w:rsidRPr="00273DCE" w:rsidRDefault="00464375" w:rsidP="00464375">
      <w:pPr>
        <w:tabs>
          <w:tab w:val="left" w:pos="3206"/>
        </w:tabs>
        <w:spacing w:line="360" w:lineRule="auto"/>
        <w:jc w:val="both"/>
        <w:rPr>
          <w:rFonts w:ascii="Palatino Linotype" w:eastAsiaTheme="minorHAnsi" w:hAnsi="Palatino Linotype" w:cs="Arial"/>
          <w:b/>
          <w:sz w:val="28"/>
          <w:lang w:eastAsia="en-US"/>
        </w:rPr>
      </w:pPr>
      <w:r w:rsidRPr="00273DCE">
        <w:rPr>
          <w:rFonts w:ascii="Palatino Linotype" w:eastAsiaTheme="minorHAnsi" w:hAnsi="Palatino Linotype" w:cs="Arial"/>
          <w:b/>
          <w:sz w:val="28"/>
          <w:lang w:eastAsia="en-US"/>
        </w:rPr>
        <w:t>OCTAVO</w:t>
      </w:r>
      <w:r w:rsidR="0029071C" w:rsidRPr="00273DCE">
        <w:rPr>
          <w:rFonts w:ascii="Palatino Linotype" w:eastAsiaTheme="minorHAnsi" w:hAnsi="Palatino Linotype" w:cs="Arial"/>
          <w:b/>
          <w:sz w:val="28"/>
          <w:lang w:eastAsia="en-US"/>
        </w:rPr>
        <w:t>. Del cierre de instrucción.</w:t>
      </w:r>
      <w:r w:rsidR="0029071C" w:rsidRPr="00273DCE">
        <w:rPr>
          <w:rFonts w:ascii="Palatino Linotype" w:eastAsiaTheme="minorHAnsi" w:hAnsi="Palatino Linotype" w:cs="Arial"/>
          <w:b/>
          <w:sz w:val="28"/>
          <w:lang w:eastAsia="en-US"/>
        </w:rPr>
        <w:tab/>
      </w:r>
    </w:p>
    <w:p w14:paraId="6AB435C8" w14:textId="678C0C57" w:rsidR="0029071C" w:rsidRPr="00273DCE" w:rsidRDefault="0029071C" w:rsidP="00464375">
      <w:pPr>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 xml:space="preserve">Así, una vez transcurrido el término legal, </w:t>
      </w:r>
      <w:r w:rsidR="00DC1583" w:rsidRPr="00273DCE">
        <w:rPr>
          <w:rFonts w:ascii="Palatino Linotype" w:eastAsiaTheme="minorHAnsi" w:hAnsi="Palatino Linotype" w:cs="Arial"/>
          <w:lang w:eastAsia="en-US"/>
        </w:rPr>
        <w:t>permitió decretarse</w:t>
      </w:r>
      <w:r w:rsidRPr="00273DCE">
        <w:rPr>
          <w:rFonts w:ascii="Palatino Linotype" w:eastAsiaTheme="minorHAnsi" w:hAnsi="Palatino Linotype" w:cs="Arial"/>
          <w:lang w:eastAsia="en-US"/>
        </w:rPr>
        <w:t xml:space="preserve"> el cierre de instrucción en fecha </w:t>
      </w:r>
      <w:r w:rsidR="00464375" w:rsidRPr="00273DCE">
        <w:rPr>
          <w:rFonts w:ascii="Palatino Linotype" w:eastAsiaTheme="minorHAnsi" w:hAnsi="Palatino Linotype" w:cs="Arial"/>
          <w:lang w:eastAsia="en-US"/>
        </w:rPr>
        <w:t>diecinueve de junio de dos mil veintiséis</w:t>
      </w:r>
      <w:r w:rsidRPr="00273DCE">
        <w:rPr>
          <w:rFonts w:ascii="Palatino Linotype" w:eastAsiaTheme="minorHAnsi" w:hAnsi="Palatino Linotype" w:cs="Arial"/>
          <w:lang w:eastAsia="en-US"/>
        </w:rPr>
        <w:t>, en términos del artículo 185, Fracción VI, de la Ley de Transparencia y Acceso a la Información Pública del Estado de México y Municipios, iniciando el término legal para dictar resolución definitiva del asunto.</w:t>
      </w:r>
    </w:p>
    <w:p w14:paraId="1E80287A" w14:textId="77777777" w:rsidR="00676631" w:rsidRPr="00273DCE" w:rsidRDefault="00676631" w:rsidP="00464375">
      <w:pPr>
        <w:spacing w:line="360" w:lineRule="auto"/>
        <w:jc w:val="both"/>
        <w:rPr>
          <w:rFonts w:ascii="Palatino Linotype" w:eastAsiaTheme="minorHAnsi" w:hAnsi="Palatino Linotype" w:cs="Arial"/>
          <w:lang w:eastAsia="en-US"/>
        </w:rPr>
      </w:pPr>
    </w:p>
    <w:p w14:paraId="51B977F6" w14:textId="77777777" w:rsidR="00E74701" w:rsidRPr="00273DCE" w:rsidRDefault="00E74701" w:rsidP="00464375">
      <w:pPr>
        <w:spacing w:line="360" w:lineRule="auto"/>
        <w:jc w:val="center"/>
        <w:rPr>
          <w:rFonts w:ascii="Palatino Linotype" w:eastAsiaTheme="minorHAnsi" w:hAnsi="Palatino Linotype" w:cs="Arial"/>
          <w:b/>
          <w:sz w:val="28"/>
          <w:lang w:eastAsia="en-US"/>
        </w:rPr>
      </w:pPr>
      <w:r w:rsidRPr="00273DCE">
        <w:rPr>
          <w:rFonts w:ascii="Palatino Linotype" w:eastAsiaTheme="minorHAnsi" w:hAnsi="Palatino Linotype" w:cs="Arial"/>
          <w:b/>
          <w:sz w:val="28"/>
          <w:lang w:eastAsia="en-US"/>
        </w:rPr>
        <w:t>C O N S I D E R A N</w:t>
      </w:r>
      <w:r w:rsidR="00D57F74" w:rsidRPr="00273DCE">
        <w:rPr>
          <w:rFonts w:ascii="Palatino Linotype" w:eastAsiaTheme="minorHAnsi" w:hAnsi="Palatino Linotype" w:cs="Arial"/>
          <w:b/>
          <w:sz w:val="28"/>
          <w:lang w:eastAsia="en-US"/>
        </w:rPr>
        <w:t xml:space="preserve"> D O </w:t>
      </w:r>
    </w:p>
    <w:p w14:paraId="02C2558D" w14:textId="77777777" w:rsidR="00464375" w:rsidRPr="00273DCE" w:rsidRDefault="00464375" w:rsidP="00464375">
      <w:pPr>
        <w:spacing w:line="360" w:lineRule="auto"/>
        <w:jc w:val="center"/>
        <w:rPr>
          <w:rFonts w:ascii="Palatino Linotype" w:eastAsiaTheme="minorHAnsi" w:hAnsi="Palatino Linotype" w:cs="Arial"/>
          <w:b/>
          <w:sz w:val="28"/>
          <w:lang w:eastAsia="en-US"/>
        </w:rPr>
      </w:pPr>
    </w:p>
    <w:p w14:paraId="533BE65E" w14:textId="77777777" w:rsidR="00D57F74" w:rsidRPr="00273DCE" w:rsidRDefault="00D57F74" w:rsidP="00464375">
      <w:pPr>
        <w:spacing w:line="360" w:lineRule="auto"/>
        <w:jc w:val="center"/>
        <w:rPr>
          <w:rFonts w:ascii="Palatino Linotype" w:eastAsiaTheme="minorHAnsi" w:hAnsi="Palatino Linotype" w:cs="Arial"/>
          <w:b/>
          <w:sz w:val="6"/>
          <w:lang w:eastAsia="en-US"/>
        </w:rPr>
      </w:pPr>
    </w:p>
    <w:p w14:paraId="3C01815C" w14:textId="77777777" w:rsidR="0029071C" w:rsidRPr="00273DCE" w:rsidRDefault="0029071C" w:rsidP="00464375">
      <w:pPr>
        <w:spacing w:line="360" w:lineRule="auto"/>
        <w:jc w:val="both"/>
        <w:rPr>
          <w:rFonts w:ascii="Palatino Linotype" w:eastAsiaTheme="minorHAnsi" w:hAnsi="Palatino Linotype" w:cs="Arial"/>
          <w:sz w:val="28"/>
          <w:lang w:eastAsia="en-US"/>
        </w:rPr>
      </w:pPr>
      <w:r w:rsidRPr="00273DCE">
        <w:rPr>
          <w:rFonts w:ascii="Palatino Linotype" w:eastAsiaTheme="minorHAnsi" w:hAnsi="Palatino Linotype" w:cs="Arial"/>
          <w:b/>
          <w:sz w:val="28"/>
          <w:lang w:eastAsia="en-US"/>
        </w:rPr>
        <w:t>PRIMERO. De la competencia</w:t>
      </w:r>
      <w:r w:rsidRPr="00273DCE">
        <w:rPr>
          <w:rFonts w:ascii="Palatino Linotype" w:eastAsiaTheme="minorHAnsi" w:hAnsi="Palatino Linotype" w:cs="Arial"/>
          <w:sz w:val="28"/>
          <w:lang w:eastAsia="en-US"/>
        </w:rPr>
        <w:t>.</w:t>
      </w:r>
    </w:p>
    <w:p w14:paraId="20CC7EC4" w14:textId="123A0D48" w:rsidR="00761AC9" w:rsidRPr="00273DCE" w:rsidRDefault="00F513C7" w:rsidP="00464375">
      <w:pPr>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 xml:space="preserve">Este Instituto de Transparencia, Acceso a la Información Pública y Protección de Datos Personales del Estado de México y Municipios es competente para conocer y resolver el presente Recurso de Revisión, conforme a lo dispuesto en el artículo 5o párrafos trigésimo tercero, trigésimo noveno, cuadragésimo y cuadragésimo primero, fracción VIII de la Constitución Política del Estado Libre y Soberano de México; ordinal 2, fracción II, 13, 29, 36, fracciones I y II, 176, 178, 179, 181 párrafo tercero y 185 de la Ley </w:t>
      </w:r>
      <w:r w:rsidRPr="00273DCE">
        <w:rPr>
          <w:rFonts w:ascii="Palatino Linotype" w:eastAsiaTheme="minorHAnsi" w:hAnsi="Palatino Linotype" w:cs="Arial"/>
          <w:lang w:eastAsia="en-US"/>
        </w:rPr>
        <w:lastRenderedPageBreak/>
        <w:t>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6027DE99" w14:textId="77777777" w:rsidR="00406A7D" w:rsidRPr="00273DCE" w:rsidRDefault="00406A7D" w:rsidP="00464375">
      <w:pPr>
        <w:spacing w:line="360" w:lineRule="auto"/>
        <w:jc w:val="both"/>
        <w:rPr>
          <w:rFonts w:ascii="Palatino Linotype" w:eastAsiaTheme="minorHAnsi" w:hAnsi="Palatino Linotype" w:cs="Arial"/>
          <w:lang w:eastAsia="en-US"/>
        </w:rPr>
      </w:pPr>
    </w:p>
    <w:p w14:paraId="749372AA" w14:textId="77777777" w:rsidR="0029071C" w:rsidRPr="00273DCE" w:rsidRDefault="0029071C" w:rsidP="00464375">
      <w:pPr>
        <w:autoSpaceDE w:val="0"/>
        <w:autoSpaceDN w:val="0"/>
        <w:adjustRightInd w:val="0"/>
        <w:spacing w:line="360" w:lineRule="auto"/>
        <w:jc w:val="both"/>
        <w:rPr>
          <w:rFonts w:ascii="Palatino Linotype" w:eastAsiaTheme="minorHAnsi" w:hAnsi="Palatino Linotype" w:cs="Arial"/>
          <w:b/>
          <w:sz w:val="28"/>
          <w:lang w:eastAsia="en-US"/>
        </w:rPr>
      </w:pPr>
      <w:r w:rsidRPr="00273DCE">
        <w:rPr>
          <w:rFonts w:ascii="Palatino Linotype" w:eastAsiaTheme="minorHAnsi" w:hAnsi="Palatino Linotype" w:cs="Arial"/>
          <w:b/>
          <w:sz w:val="28"/>
          <w:lang w:eastAsia="en-US"/>
        </w:rPr>
        <w:t xml:space="preserve">SEGUNDO. De los alcances del Recurso de Revisión. </w:t>
      </w:r>
    </w:p>
    <w:p w14:paraId="7D349485" w14:textId="3DE76849" w:rsidR="00995B19" w:rsidRPr="00273DCE" w:rsidRDefault="0029071C" w:rsidP="00464375">
      <w:pPr>
        <w:autoSpaceDE w:val="0"/>
        <w:autoSpaceDN w:val="0"/>
        <w:adjustRightInd w:val="0"/>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Anterior a todo debe destacarse que el recurso de revisión tiene el fin y alcance que señalan los numerales 176, 179, 181 párrafo cuarto, 194 y 195 y demás aplicables de la Ley de Transparencia y Acceso a la Información Pública del Estado de México y Municipios vigente y será analizado conforme a las actuaciones que obren en el expediente electrónico con la finalidad de reparar cualquier posible afectación al derecho de acceso a la información pública y garantizando el principio rector de máxima publicidad.</w:t>
      </w:r>
    </w:p>
    <w:p w14:paraId="1907B605" w14:textId="77777777" w:rsidR="00F513C7" w:rsidRPr="00273DCE" w:rsidRDefault="00F513C7" w:rsidP="00464375">
      <w:pPr>
        <w:autoSpaceDE w:val="0"/>
        <w:autoSpaceDN w:val="0"/>
        <w:adjustRightInd w:val="0"/>
        <w:spacing w:line="360" w:lineRule="auto"/>
        <w:jc w:val="both"/>
        <w:rPr>
          <w:rFonts w:ascii="Palatino Linotype" w:eastAsiaTheme="minorHAnsi" w:hAnsi="Palatino Linotype" w:cs="Arial"/>
          <w:lang w:eastAsia="en-US"/>
        </w:rPr>
      </w:pPr>
    </w:p>
    <w:p w14:paraId="0CCCE883" w14:textId="77777777" w:rsidR="00F513C7" w:rsidRPr="00273DCE" w:rsidRDefault="00F513C7" w:rsidP="00464375">
      <w:pPr>
        <w:pBdr>
          <w:top w:val="nil"/>
          <w:left w:val="nil"/>
          <w:bottom w:val="nil"/>
          <w:right w:val="nil"/>
          <w:between w:val="nil"/>
        </w:pBdr>
        <w:spacing w:line="360" w:lineRule="auto"/>
        <w:jc w:val="both"/>
        <w:rPr>
          <w:rFonts w:ascii="Palatino Linotype" w:eastAsia="Palatino Linotype" w:hAnsi="Palatino Linotype" w:cs="Palatino Linotype"/>
          <w:b/>
          <w:color w:val="000000"/>
          <w:sz w:val="28"/>
          <w:szCs w:val="28"/>
        </w:rPr>
      </w:pPr>
      <w:r w:rsidRPr="00273DCE">
        <w:rPr>
          <w:rFonts w:ascii="Palatino Linotype" w:eastAsia="Palatino Linotype" w:hAnsi="Palatino Linotype" w:cs="Palatino Linotype"/>
          <w:b/>
          <w:color w:val="000000"/>
          <w:sz w:val="28"/>
          <w:szCs w:val="28"/>
        </w:rPr>
        <w:t>TERCERO. Cuestiones de previo y especial pronunciamiento.</w:t>
      </w:r>
    </w:p>
    <w:p w14:paraId="2C0099D8" w14:textId="77777777" w:rsidR="00F513C7" w:rsidRPr="00273DCE" w:rsidRDefault="00F513C7" w:rsidP="00464375">
      <w:pPr>
        <w:spacing w:line="360" w:lineRule="auto"/>
        <w:jc w:val="both"/>
        <w:rPr>
          <w:rFonts w:ascii="Palatino Linotype" w:eastAsiaTheme="minorHAnsi" w:hAnsi="Palatino Linotype" w:cs="Palatino Linotype"/>
        </w:rPr>
      </w:pPr>
      <w:r w:rsidRPr="00273DCE">
        <w:rPr>
          <w:rFonts w:ascii="Palatino Linotype" w:eastAsiaTheme="minorHAnsi" w:hAnsi="Palatino Linotype" w:cs="Palatino Linotype"/>
        </w:rPr>
        <w:t>El recurso de revisión en estudio contiene los elementos normativos de validez exigidos en la Ley de Transparencia y Acceso a la Información Pública del Estado de México y Municipios, establecidos en el artículo 180 que enuncia:</w:t>
      </w:r>
    </w:p>
    <w:p w14:paraId="2E1ACC69" w14:textId="77777777" w:rsidR="00F513C7" w:rsidRPr="00273DCE" w:rsidRDefault="00F513C7" w:rsidP="00464375">
      <w:pPr>
        <w:spacing w:line="360" w:lineRule="auto"/>
        <w:contextualSpacing/>
        <w:jc w:val="both"/>
        <w:rPr>
          <w:rFonts w:ascii="Palatino Linotype" w:eastAsiaTheme="minorHAnsi" w:hAnsi="Palatino Linotype" w:cs="Palatino Linotype"/>
          <w:sz w:val="22"/>
          <w:szCs w:val="22"/>
          <w:lang w:eastAsia="en-US"/>
        </w:rPr>
      </w:pPr>
    </w:p>
    <w:p w14:paraId="5520A2EC"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b/>
          <w:i/>
          <w:sz w:val="22"/>
          <w:szCs w:val="22"/>
          <w:lang w:eastAsia="en-US"/>
        </w:rPr>
        <w:t xml:space="preserve">Artículo 180. </w:t>
      </w:r>
      <w:r w:rsidRPr="00273DCE">
        <w:rPr>
          <w:rFonts w:ascii="Palatino Linotype" w:eastAsiaTheme="minorHAnsi" w:hAnsi="Palatino Linotype" w:cs="Palatino Linotype"/>
          <w:i/>
          <w:sz w:val="22"/>
          <w:szCs w:val="22"/>
          <w:lang w:eastAsia="en-US"/>
        </w:rPr>
        <w:t>El recurso de revisión contendrá:</w:t>
      </w:r>
    </w:p>
    <w:p w14:paraId="60171C36"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p>
    <w:p w14:paraId="71A233B5"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I. El sujeto obligado ante la cual se presentó la solicitud;</w:t>
      </w:r>
    </w:p>
    <w:p w14:paraId="76A69CC3"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b/>
          <w:i/>
          <w:sz w:val="22"/>
          <w:szCs w:val="22"/>
          <w:lang w:eastAsia="en-US"/>
        </w:rPr>
        <w:t>II. El nombre del solicitante que recurre</w:t>
      </w:r>
      <w:r w:rsidRPr="00273DCE">
        <w:rPr>
          <w:rFonts w:ascii="Palatino Linotype" w:eastAsiaTheme="minorHAnsi" w:hAnsi="Palatino Linotype" w:cs="Palatino Linotype"/>
          <w:i/>
          <w:sz w:val="22"/>
          <w:szCs w:val="22"/>
          <w:lang w:eastAsia="en-US"/>
        </w:rPr>
        <w:t xml:space="preserve"> o de su representante y, en su caso, del tercero interesado, así como la dirección o medio que señale para recibir notificaciones;</w:t>
      </w:r>
    </w:p>
    <w:p w14:paraId="70D8E856"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III. El número de folio de respuesta de la solicitud de acceso;</w:t>
      </w:r>
    </w:p>
    <w:p w14:paraId="4C56230D"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IV. La fecha en que fue notificada la respuesta al solicitante o tuvo conocimiento del acto reclamado, o de presentación de la solicitud, en caso de falta de respuesta;</w:t>
      </w:r>
    </w:p>
    <w:p w14:paraId="1F8B94A6"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V. El acto que se recurre;</w:t>
      </w:r>
    </w:p>
    <w:p w14:paraId="48D25F7F"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lastRenderedPageBreak/>
        <w:t>VI. Las razones o motivos de inconformidad;</w:t>
      </w:r>
    </w:p>
    <w:p w14:paraId="49A67802"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VII. La copia de la respuesta que se impugna y, en su caso, de la notificación correspondiente, en el caso de respuesta de la solicitud; y</w:t>
      </w:r>
    </w:p>
    <w:p w14:paraId="1256BBA6"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VIII. Firma del recurrente, en su caso, cuando se presente por escrito, requisito sin el cual se dará trámite al recurso.</w:t>
      </w:r>
    </w:p>
    <w:p w14:paraId="24697765"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p>
    <w:p w14:paraId="7D1617FB"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Adicionalmente, se podrán anexar las pruebas y demás elementos que considere procedentes someter a juicio del Instituto.</w:t>
      </w:r>
    </w:p>
    <w:p w14:paraId="53A30486"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p>
    <w:p w14:paraId="2FF16AC3"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En ningún caso será necesario que el particular ratifique el recurso de revisión interpuesto.</w:t>
      </w:r>
    </w:p>
    <w:p w14:paraId="5B998BC3"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p>
    <w:p w14:paraId="2C939846"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iCs/>
          <w:sz w:val="22"/>
          <w:szCs w:val="22"/>
          <w:lang w:eastAsia="en-US"/>
        </w:rPr>
      </w:pPr>
      <w:r w:rsidRPr="00273DCE">
        <w:rPr>
          <w:rFonts w:ascii="Palatino Linotype" w:eastAsiaTheme="minorHAnsi" w:hAnsi="Palatino Linotype" w:cs="Palatino Linotype"/>
          <w:b/>
          <w:bCs/>
          <w:i/>
          <w:iCs/>
          <w:sz w:val="22"/>
          <w:szCs w:val="22"/>
          <w:lang w:eastAsia="en-US"/>
        </w:rPr>
        <w:t>En caso de que el recurso se interponga de manera electrónica no será indispensable que contengan los requisitos establecidos en las fracciones II</w:t>
      </w:r>
      <w:r w:rsidRPr="00273DCE">
        <w:rPr>
          <w:rFonts w:ascii="Palatino Linotype" w:eastAsiaTheme="minorHAnsi" w:hAnsi="Palatino Linotype" w:cs="Palatino Linotype"/>
          <w:i/>
          <w:iCs/>
          <w:sz w:val="22"/>
          <w:szCs w:val="22"/>
          <w:lang w:eastAsia="en-US"/>
        </w:rPr>
        <w:t>, IV, VII y VIII.</w:t>
      </w:r>
    </w:p>
    <w:p w14:paraId="35458681" w14:textId="77777777" w:rsidR="00F513C7" w:rsidRPr="00273DCE" w:rsidRDefault="00F513C7" w:rsidP="00464375">
      <w:pPr>
        <w:spacing w:line="360" w:lineRule="auto"/>
        <w:contextualSpacing/>
        <w:jc w:val="both"/>
        <w:rPr>
          <w:rFonts w:ascii="Palatino Linotype" w:eastAsiaTheme="minorHAnsi" w:hAnsi="Palatino Linotype" w:cs="Palatino Linotype"/>
          <w:bCs/>
          <w:iCs/>
          <w:sz w:val="22"/>
          <w:szCs w:val="22"/>
          <w:lang w:eastAsia="en-US"/>
        </w:rPr>
      </w:pPr>
    </w:p>
    <w:p w14:paraId="4745CADF" w14:textId="4CDAD81D" w:rsidR="00F513C7" w:rsidRPr="00273DCE" w:rsidRDefault="00F513C7" w:rsidP="00464375">
      <w:pPr>
        <w:spacing w:line="360" w:lineRule="auto"/>
        <w:contextualSpacing/>
        <w:jc w:val="both"/>
        <w:rPr>
          <w:rFonts w:ascii="Palatino Linotype" w:eastAsiaTheme="minorHAnsi" w:hAnsi="Palatino Linotype" w:cs="Palatino Linotype"/>
          <w:lang w:eastAsia="en-US"/>
        </w:rPr>
      </w:pPr>
      <w:r w:rsidRPr="00273DCE">
        <w:rPr>
          <w:rFonts w:ascii="Palatino Linotype" w:eastAsiaTheme="minorHAnsi" w:hAnsi="Palatino Linotype" w:cs="Palatino Linotype"/>
          <w:lang w:eastAsia="en-US"/>
        </w:rPr>
        <w:t xml:space="preserve">Cabe señalar que el hoy Recurrente </w:t>
      </w:r>
      <w:r w:rsidRPr="00273DCE">
        <w:rPr>
          <w:rFonts w:ascii="Palatino Linotype" w:eastAsiaTheme="minorHAnsi" w:hAnsi="Palatino Linotype" w:cstheme="minorBidi"/>
          <w:lang w:eastAsia="en-US"/>
        </w:rPr>
        <w:t>en ejercicio de su derecho de acceso a la información pública,</w:t>
      </w:r>
      <w:r w:rsidR="008575ED" w:rsidRPr="00273DCE">
        <w:rPr>
          <w:rFonts w:ascii="Palatino Linotype" w:eastAsiaTheme="minorHAnsi" w:hAnsi="Palatino Linotype" w:cstheme="minorBidi"/>
          <w:lang w:eastAsia="en-US"/>
        </w:rPr>
        <w:t xml:space="preserve"> no proporcionó datos de identificación</w:t>
      </w:r>
      <w:r w:rsidRPr="00273DCE">
        <w:rPr>
          <w:rFonts w:ascii="Palatino Linotype" w:eastAsiaTheme="minorHAnsi" w:hAnsi="Palatino Linotype" w:cstheme="minorBidi"/>
          <w:lang w:eastAsia="en-US"/>
        </w:rPr>
        <w:t>; por lo que no tiene certeza sobre su identidad</w:t>
      </w:r>
      <w:r w:rsidRPr="00273DCE">
        <w:rPr>
          <w:rFonts w:ascii="Palatino Linotype" w:eastAsiaTheme="minorHAnsi" w:hAnsi="Palatino Linotype" w:cs="Palatino Linotype"/>
          <w:lang w:eastAsia="en-US"/>
        </w:rPr>
        <w:t>; no obstante, proporcionar el nombre incompleto, seudónimo o realizar la solicitud de manera anónima, no es motivo para desechar las solicitudes de acceso a la información pública conforme a lo previsto en el artículo 155, penúltimo párrafo de la Ley de Transparencia y Acceso a la Información Pública del Estado de México y Municipios que señala lo siguiente:</w:t>
      </w:r>
    </w:p>
    <w:p w14:paraId="5B8495D7" w14:textId="77777777" w:rsidR="00F513C7" w:rsidRPr="00273DCE" w:rsidRDefault="00F513C7" w:rsidP="00464375">
      <w:pPr>
        <w:spacing w:line="360" w:lineRule="auto"/>
        <w:contextualSpacing/>
        <w:jc w:val="both"/>
        <w:rPr>
          <w:rFonts w:ascii="Palatino Linotype" w:eastAsiaTheme="minorHAnsi" w:hAnsi="Palatino Linotype" w:cs="Palatino Linotype"/>
          <w:sz w:val="22"/>
          <w:szCs w:val="22"/>
          <w:lang w:eastAsia="en-US"/>
        </w:rPr>
      </w:pPr>
    </w:p>
    <w:p w14:paraId="0875483A"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b/>
          <w:i/>
          <w:sz w:val="22"/>
          <w:szCs w:val="22"/>
          <w:lang w:eastAsia="en-US"/>
        </w:rPr>
        <w:t>Artículo 155.</w:t>
      </w:r>
      <w:r w:rsidRPr="00273DCE">
        <w:rPr>
          <w:rFonts w:ascii="Palatino Linotype" w:eastAsiaTheme="minorHAnsi" w:hAnsi="Palatino Linotype" w:cs="Palatino Linotype"/>
          <w:i/>
          <w:sz w:val="22"/>
          <w:szCs w:val="22"/>
          <w:lang w:eastAsia="en-US"/>
        </w:rPr>
        <w:t xml:space="preserve"> […]</w:t>
      </w:r>
    </w:p>
    <w:p w14:paraId="16609ADC"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p>
    <w:p w14:paraId="1321AFD5"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b/>
          <w:i/>
          <w:sz w:val="22"/>
          <w:szCs w:val="22"/>
          <w:lang w:eastAsia="en-US"/>
        </w:rPr>
        <w:t>Las solicitudes anónimas</w:t>
      </w:r>
      <w:r w:rsidRPr="00273DCE">
        <w:rPr>
          <w:rFonts w:ascii="Palatino Linotype" w:eastAsiaTheme="minorHAnsi" w:hAnsi="Palatino Linotype" w:cs="Palatino Linotype"/>
          <w:i/>
          <w:sz w:val="22"/>
          <w:szCs w:val="22"/>
          <w:lang w:eastAsia="en-US"/>
        </w:rPr>
        <w:t xml:space="preserve">, con nombre incompleto o seudónimo </w:t>
      </w:r>
      <w:r w:rsidRPr="00273DCE">
        <w:rPr>
          <w:rFonts w:ascii="Palatino Linotype" w:eastAsiaTheme="minorHAnsi" w:hAnsi="Palatino Linotype" w:cs="Palatino Linotype"/>
          <w:b/>
          <w:i/>
          <w:sz w:val="22"/>
          <w:szCs w:val="22"/>
          <w:lang w:eastAsia="en-US"/>
        </w:rPr>
        <w:t>serán procedentes para su trámite</w:t>
      </w:r>
      <w:r w:rsidRPr="00273DCE">
        <w:rPr>
          <w:rFonts w:ascii="Palatino Linotype" w:eastAsiaTheme="minorHAnsi" w:hAnsi="Palatino Linotype" w:cs="Palatino Linotype"/>
          <w:i/>
          <w:sz w:val="22"/>
          <w:szCs w:val="22"/>
          <w:lang w:eastAsia="en-US"/>
        </w:rPr>
        <w:t xml:space="preserve"> por parte del sujeto obligado ante quien se presente. No podrá requerirse información adicional con motivo del nombre proporcionado por el solicitante.</w:t>
      </w:r>
    </w:p>
    <w:p w14:paraId="0E6343EA" w14:textId="77777777" w:rsidR="00F513C7" w:rsidRPr="00273DCE" w:rsidRDefault="00F513C7" w:rsidP="00464375">
      <w:pPr>
        <w:spacing w:line="360" w:lineRule="auto"/>
        <w:contextualSpacing/>
        <w:jc w:val="both"/>
        <w:rPr>
          <w:rFonts w:ascii="Palatino Linotype" w:eastAsiaTheme="minorHAnsi" w:hAnsi="Palatino Linotype" w:cs="Palatino Linotype"/>
          <w:sz w:val="22"/>
          <w:szCs w:val="22"/>
          <w:lang w:eastAsia="en-US"/>
        </w:rPr>
      </w:pPr>
    </w:p>
    <w:p w14:paraId="11313111" w14:textId="77777777" w:rsidR="00F513C7" w:rsidRPr="00273DCE" w:rsidRDefault="00F513C7" w:rsidP="00464375">
      <w:pPr>
        <w:spacing w:line="360" w:lineRule="auto"/>
        <w:contextualSpacing/>
        <w:jc w:val="both"/>
        <w:rPr>
          <w:rFonts w:ascii="Palatino Linotype" w:eastAsiaTheme="minorHAnsi" w:hAnsi="Palatino Linotype" w:cs="Palatino Linotype"/>
          <w:lang w:eastAsia="en-US"/>
        </w:rPr>
      </w:pPr>
      <w:r w:rsidRPr="00273DCE">
        <w:rPr>
          <w:rFonts w:ascii="Palatino Linotype" w:eastAsiaTheme="minorHAnsi" w:hAnsi="Palatino Linotype" w:cs="Palatino Linotype"/>
          <w:lang w:eastAsia="en-US"/>
        </w:rPr>
        <w:t>Robusteciendo lo anterior se encuentra lo dispuesto en los artículos 6, Apartado A, fracciones III y IV de la Constitución Política de los Estados Unidos Mexicanos y 5 párrafos vigésimo, vigésimo primero y vigésimo segundo, de la Constitución Política del Estado Libre y Soberano de México, se establece lo siguiente:</w:t>
      </w:r>
    </w:p>
    <w:p w14:paraId="2734107A" w14:textId="77777777" w:rsidR="00F513C7" w:rsidRPr="00273DCE" w:rsidRDefault="00F513C7" w:rsidP="00464375">
      <w:pPr>
        <w:spacing w:line="360" w:lineRule="auto"/>
        <w:contextualSpacing/>
        <w:jc w:val="both"/>
        <w:rPr>
          <w:rFonts w:ascii="Palatino Linotype" w:eastAsiaTheme="minorHAnsi" w:hAnsi="Palatino Linotype" w:cs="Palatino Linotype"/>
          <w:sz w:val="22"/>
          <w:szCs w:val="22"/>
          <w:lang w:eastAsia="en-US"/>
        </w:rPr>
      </w:pPr>
    </w:p>
    <w:p w14:paraId="1368CDBF" w14:textId="77777777" w:rsidR="00F513C7" w:rsidRPr="00273DCE" w:rsidRDefault="00F513C7" w:rsidP="00464375">
      <w:pPr>
        <w:spacing w:line="259" w:lineRule="auto"/>
        <w:ind w:left="567" w:right="567"/>
        <w:contextualSpacing/>
        <w:jc w:val="center"/>
        <w:rPr>
          <w:rFonts w:ascii="Palatino Linotype" w:eastAsiaTheme="minorHAnsi" w:hAnsi="Palatino Linotype" w:cs="Palatino Linotype"/>
          <w:b/>
          <w:i/>
          <w:sz w:val="22"/>
          <w:szCs w:val="22"/>
          <w:u w:val="single"/>
          <w:lang w:eastAsia="en-US"/>
        </w:rPr>
      </w:pPr>
      <w:r w:rsidRPr="00273DCE">
        <w:rPr>
          <w:rFonts w:ascii="Palatino Linotype" w:eastAsiaTheme="minorHAnsi" w:hAnsi="Palatino Linotype" w:cs="Palatino Linotype"/>
          <w:b/>
          <w:i/>
          <w:sz w:val="22"/>
          <w:szCs w:val="22"/>
          <w:u w:val="single"/>
          <w:lang w:eastAsia="en-US"/>
        </w:rPr>
        <w:t>Constitución Política de los Estados Unidos Mexicanos</w:t>
      </w:r>
    </w:p>
    <w:p w14:paraId="36A9DF6B"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iCs/>
          <w:sz w:val="22"/>
          <w:szCs w:val="22"/>
          <w:lang w:eastAsia="en-US"/>
        </w:rPr>
      </w:pPr>
      <w:r w:rsidRPr="00273DCE">
        <w:rPr>
          <w:rFonts w:ascii="Palatino Linotype" w:eastAsiaTheme="minorHAnsi" w:hAnsi="Palatino Linotype" w:cs="Palatino Linotype"/>
          <w:b/>
          <w:bCs/>
          <w:i/>
          <w:iCs/>
          <w:sz w:val="22"/>
          <w:szCs w:val="22"/>
          <w:lang w:eastAsia="en-US"/>
        </w:rPr>
        <w:t xml:space="preserve">Artículo 6.- </w:t>
      </w:r>
      <w:r w:rsidRPr="00273DCE">
        <w:rPr>
          <w:rFonts w:ascii="Palatino Linotype" w:eastAsiaTheme="minorHAnsi" w:hAnsi="Palatino Linotype" w:cs="Palatino Linotype"/>
          <w:i/>
          <w:iCs/>
          <w:sz w:val="22"/>
          <w:szCs w:val="22"/>
          <w:lang w:eastAsia="en-US"/>
        </w:rPr>
        <w:t>La manifestación de las ideas no será objeto de ninguna inquisición judicial o administrativa, sino en el caso de que ataque a la moral, la vida privada o los derechos de terceros, provoque algún delito, o perturbe el orden público; el derecho de réplica será ejercido en los términos dispuestos por la ley. El derecho a la información será garantizado por el Estado.</w:t>
      </w:r>
    </w:p>
    <w:p w14:paraId="2DECED34"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w:t>
      </w:r>
    </w:p>
    <w:p w14:paraId="7554BBDA"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 xml:space="preserve">Para efectos de lo dispuesto en el presente artículo se observará lo siguiente: </w:t>
      </w:r>
    </w:p>
    <w:p w14:paraId="4EB7A3D7"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p>
    <w:p w14:paraId="76153C81"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A. Para el ejercicio del derecho de acceso a la información, la Federación y las entidades federativas, en el ámbito de sus respectivas competencias, se regirán por los siguientes principios y bases:</w:t>
      </w:r>
    </w:p>
    <w:p w14:paraId="27BF130E"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w:t>
      </w:r>
    </w:p>
    <w:p w14:paraId="684AD308"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iCs/>
          <w:sz w:val="22"/>
          <w:szCs w:val="22"/>
          <w:lang w:eastAsia="en-US"/>
        </w:rPr>
      </w:pPr>
      <w:r w:rsidRPr="00273DCE">
        <w:rPr>
          <w:rFonts w:ascii="Palatino Linotype" w:eastAsiaTheme="minorHAnsi" w:hAnsi="Palatino Linotype" w:cs="Palatino Linotype"/>
          <w:i/>
          <w:iCs/>
          <w:sz w:val="22"/>
          <w:szCs w:val="22"/>
          <w:lang w:eastAsia="en-US"/>
        </w:rPr>
        <w:t xml:space="preserve">III. Toda persona, sin necesidad de acreditar interés alguno o justificar su utilización, tendrá acceso gratuito a la información pública, a sus datos personales o a la rectificación de éstos. </w:t>
      </w:r>
    </w:p>
    <w:p w14:paraId="198EB6AC"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IV. Se establecerán mecanismos de acceso a la información pública y procedimientos de revisión expeditos que se sustanciarán ante las instancias competentes en los términos que fija esta Constitución y las leyes.</w:t>
      </w:r>
    </w:p>
    <w:p w14:paraId="13029305"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p>
    <w:p w14:paraId="64CED293" w14:textId="77777777" w:rsidR="00F513C7" w:rsidRPr="00273DCE" w:rsidRDefault="00F513C7" w:rsidP="00464375">
      <w:pPr>
        <w:spacing w:line="259" w:lineRule="auto"/>
        <w:ind w:left="567" w:right="567"/>
        <w:contextualSpacing/>
        <w:jc w:val="center"/>
        <w:rPr>
          <w:rFonts w:ascii="Palatino Linotype" w:eastAsiaTheme="minorHAnsi" w:hAnsi="Palatino Linotype" w:cs="Palatino Linotype"/>
          <w:b/>
          <w:i/>
          <w:sz w:val="22"/>
          <w:szCs w:val="22"/>
          <w:u w:val="single"/>
          <w:lang w:eastAsia="en-US"/>
        </w:rPr>
      </w:pPr>
      <w:r w:rsidRPr="00273DCE">
        <w:rPr>
          <w:rFonts w:ascii="Palatino Linotype" w:eastAsiaTheme="minorHAnsi" w:hAnsi="Palatino Linotype" w:cs="Palatino Linotype"/>
          <w:b/>
          <w:i/>
          <w:sz w:val="22"/>
          <w:szCs w:val="22"/>
          <w:u w:val="single"/>
          <w:lang w:eastAsia="en-US"/>
        </w:rPr>
        <w:t>Constitución Política del Estado Libre y Soberano de México</w:t>
      </w:r>
    </w:p>
    <w:p w14:paraId="6D712E3C"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b/>
          <w:i/>
          <w:sz w:val="22"/>
          <w:szCs w:val="22"/>
          <w:lang w:eastAsia="en-US"/>
        </w:rPr>
        <w:t>Artículo 5</w:t>
      </w:r>
      <w:r w:rsidRPr="00273DCE">
        <w:rPr>
          <w:rFonts w:ascii="Palatino Linotype" w:eastAsiaTheme="minorHAnsi" w:hAnsi="Palatino Linotype" w:cs="Palatino Linotype"/>
          <w:i/>
          <w:sz w:val="22"/>
          <w:szCs w:val="22"/>
          <w:lang w:eastAsia="en-US"/>
        </w:rPr>
        <w:t>.- En el Estado de México todas las personas gozarán de los derechos humanos reconocidos en la Constitución Política de los Estados Unidos Mexicanos, en los tratados internacionales en los que el Estado mexicano sea parte, en esta Constitución y en las leyes que de ésta emanen, por lo que gozarán de las garantías para su protección, las cuales no podrán restringirse ni suspenderse salvo en los casos y bajo las condiciones que la Constitución Política de los Estados Unidos Mexicanos establece.</w:t>
      </w:r>
    </w:p>
    <w:p w14:paraId="2A07B606"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w:t>
      </w:r>
    </w:p>
    <w:p w14:paraId="04DED255"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iCs/>
          <w:sz w:val="22"/>
          <w:szCs w:val="22"/>
          <w:lang w:eastAsia="en-US"/>
        </w:rPr>
      </w:pPr>
      <w:r w:rsidRPr="00273DCE">
        <w:rPr>
          <w:rFonts w:ascii="Palatino Linotype" w:eastAsiaTheme="minorHAnsi" w:hAnsi="Palatino Linotype" w:cs="Palatino Linotype"/>
          <w:i/>
          <w:iCs/>
          <w:sz w:val="22"/>
          <w:szCs w:val="22"/>
          <w:lang w:eastAsia="en-US"/>
        </w:rPr>
        <w:t>Toda persona en el Estado de México, tiene derecho al libre acceso a la información plural y oportuna, así como a buscar recibir y difundir información e ideas de toda índole por cualquier medio de expresión.</w:t>
      </w:r>
    </w:p>
    <w:p w14:paraId="7337CBA9"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w:t>
      </w:r>
    </w:p>
    <w:p w14:paraId="3E8D08DB"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 xml:space="preserve">El derecho a la información será garantizado por el Estado. La ley establecerá las previsiones que permitan asegurar la protección, el respeto y la difusión de este derecho. </w:t>
      </w:r>
    </w:p>
    <w:p w14:paraId="43999A24"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p>
    <w:p w14:paraId="76BB3616"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iCs/>
          <w:sz w:val="22"/>
          <w:szCs w:val="22"/>
          <w:lang w:eastAsia="en-US"/>
        </w:rPr>
      </w:pPr>
      <w:r w:rsidRPr="00273DCE">
        <w:rPr>
          <w:rFonts w:ascii="Palatino Linotype" w:eastAsiaTheme="minorHAnsi" w:hAnsi="Palatino Linotype" w:cs="Palatino Linotype"/>
          <w:i/>
          <w:iCs/>
          <w:sz w:val="22"/>
          <w:szCs w:val="22"/>
          <w:lang w:eastAsia="en-US"/>
        </w:rPr>
        <w:t xml:space="preserve">Para garantizar el ejercicio del derecho de transparencia, acceso a la información pública y protección de datos personales, los poderes públicos y los organismos autónomos, </w:t>
      </w:r>
      <w:r w:rsidRPr="00273DCE">
        <w:rPr>
          <w:rFonts w:ascii="Palatino Linotype" w:eastAsiaTheme="minorHAnsi" w:hAnsi="Palatino Linotype" w:cs="Palatino Linotype"/>
          <w:i/>
          <w:iCs/>
          <w:sz w:val="22"/>
          <w:szCs w:val="22"/>
          <w:lang w:eastAsia="en-US"/>
        </w:rPr>
        <w:lastRenderedPageBreak/>
        <w:t xml:space="preserve">transparentarán sus acciones, en términos de las disposiciones aplicables, la información será oportuna, clara, veraz y de fácil acceso. </w:t>
      </w:r>
    </w:p>
    <w:p w14:paraId="0716D020"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p>
    <w:p w14:paraId="113AFEEB"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Este derecho se regirá por los principios y bases siguientes:</w:t>
      </w:r>
    </w:p>
    <w:p w14:paraId="1F52460E"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w:t>
      </w:r>
    </w:p>
    <w:p w14:paraId="325641E8"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b/>
          <w:i/>
          <w:sz w:val="22"/>
          <w:szCs w:val="22"/>
          <w:lang w:eastAsia="en-US"/>
        </w:rPr>
        <w:t>III.</w:t>
      </w:r>
      <w:r w:rsidRPr="00273DCE">
        <w:rPr>
          <w:rFonts w:ascii="Palatino Linotype" w:eastAsiaTheme="minorHAnsi" w:hAnsi="Palatino Linotype" w:cs="Palatino Linotype"/>
          <w:i/>
          <w:sz w:val="22"/>
          <w:szCs w:val="22"/>
          <w:lang w:eastAsia="en-US"/>
        </w:rPr>
        <w:t xml:space="preserve"> Toda persona, sin necesidad de acreditar interés alguno o justificar su utilización, tendrá acceso gratuito a la información pública, a sus datos personales o a la rectificación de éstos;</w:t>
      </w:r>
    </w:p>
    <w:p w14:paraId="322B2B50"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b/>
          <w:i/>
          <w:sz w:val="22"/>
          <w:szCs w:val="22"/>
          <w:lang w:eastAsia="en-US"/>
        </w:rPr>
        <w:t>IV.</w:t>
      </w:r>
      <w:r w:rsidRPr="00273DCE">
        <w:rPr>
          <w:rFonts w:ascii="Palatino Linotype" w:eastAsiaTheme="minorHAnsi" w:hAnsi="Palatino Linotype" w:cs="Palatino Linotype"/>
          <w:i/>
          <w:sz w:val="22"/>
          <w:szCs w:val="22"/>
          <w:lang w:eastAsia="en-US"/>
        </w:rPr>
        <w:t xml:space="preserve"> Se establecerán mecanismos de acceso a la información y procedimientos de revisión expeditos que se sustanciarán ante el organismo autónomo especializado e imparcial que establece esta Constitución.</w:t>
      </w:r>
    </w:p>
    <w:p w14:paraId="3D296139"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w:t>
      </w:r>
    </w:p>
    <w:p w14:paraId="77839448"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b/>
          <w:i/>
          <w:sz w:val="22"/>
          <w:szCs w:val="22"/>
          <w:lang w:eastAsia="en-US"/>
        </w:rPr>
        <w:t>VIII.</w:t>
      </w:r>
      <w:r w:rsidRPr="00273DCE">
        <w:rPr>
          <w:rFonts w:ascii="Palatino Linotype" w:eastAsiaTheme="minorHAnsi" w:hAnsi="Palatino Linotype" w:cs="Palatino Linotype"/>
          <w:i/>
          <w:sz w:val="22"/>
          <w:szCs w:val="22"/>
          <w:lang w:eastAsia="en-US"/>
        </w:rPr>
        <w:t xml:space="preserve"> El Estado contará con un organismo autónomo, especializado, imparcial, colegiado, con personalidad jurídica y patrimonio propio, con plena autonomía técnica y de gestión, con capacidad para decidir sobre el ejercicio de su presupuesto y determinar su organización interna, responsable de garantizar el cumplimiento del derecho de transparencia, acceso a la información pública y a la protección de datos personales en posesión de los sujetos obligados en los términos que establezca la ley. </w:t>
      </w:r>
    </w:p>
    <w:p w14:paraId="0DDC806D"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i/>
          <w:sz w:val="22"/>
          <w:szCs w:val="22"/>
          <w:lang w:eastAsia="en-US"/>
        </w:rPr>
        <w:t>[…]</w:t>
      </w:r>
    </w:p>
    <w:p w14:paraId="5F378939" w14:textId="77777777" w:rsidR="00F513C7" w:rsidRPr="00273DCE" w:rsidRDefault="00F513C7" w:rsidP="00464375">
      <w:pPr>
        <w:spacing w:line="360" w:lineRule="auto"/>
        <w:ind w:left="567" w:right="567"/>
        <w:contextualSpacing/>
        <w:jc w:val="both"/>
        <w:rPr>
          <w:rFonts w:ascii="Palatino Linotype" w:eastAsiaTheme="minorHAnsi" w:hAnsi="Palatino Linotype" w:cs="Palatino Linotype"/>
          <w:sz w:val="22"/>
          <w:szCs w:val="22"/>
          <w:lang w:eastAsia="en-US"/>
        </w:rPr>
      </w:pPr>
    </w:p>
    <w:p w14:paraId="70982F50" w14:textId="77777777" w:rsidR="00F513C7" w:rsidRPr="00273DCE" w:rsidRDefault="00F513C7" w:rsidP="00464375">
      <w:pPr>
        <w:spacing w:line="360" w:lineRule="auto"/>
        <w:ind w:right="49"/>
        <w:contextualSpacing/>
        <w:jc w:val="both"/>
        <w:rPr>
          <w:rFonts w:ascii="Palatino Linotype" w:eastAsiaTheme="minorHAnsi" w:hAnsi="Palatino Linotype" w:cs="Palatino Linotype"/>
          <w:lang w:eastAsia="en-US"/>
        </w:rPr>
      </w:pPr>
      <w:r w:rsidRPr="00273DCE">
        <w:rPr>
          <w:rFonts w:ascii="Palatino Linotype" w:eastAsiaTheme="minorHAnsi" w:hAnsi="Palatino Linotype" w:cs="Palatino Linotype"/>
          <w:lang w:eastAsia="en-US"/>
        </w:rPr>
        <w:t>Por otra parte, del contenido del artículo 1 de la Constitución Política de los Estados Unidos Mexicanos, se destaca lo siguiente:</w:t>
      </w:r>
    </w:p>
    <w:p w14:paraId="195C0793" w14:textId="77777777" w:rsidR="00F513C7" w:rsidRPr="00273DCE" w:rsidRDefault="00F513C7" w:rsidP="00464375">
      <w:pPr>
        <w:spacing w:line="360" w:lineRule="auto"/>
        <w:ind w:right="49"/>
        <w:contextualSpacing/>
        <w:jc w:val="both"/>
        <w:rPr>
          <w:rFonts w:ascii="Palatino Linotype" w:eastAsiaTheme="minorHAnsi" w:hAnsi="Palatino Linotype" w:cs="Palatino Linotype"/>
          <w:sz w:val="22"/>
          <w:szCs w:val="22"/>
          <w:lang w:eastAsia="en-US"/>
        </w:rPr>
      </w:pPr>
    </w:p>
    <w:p w14:paraId="7A9B6173"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r w:rsidRPr="00273DCE">
        <w:rPr>
          <w:rFonts w:ascii="Palatino Linotype" w:eastAsiaTheme="minorHAnsi" w:hAnsi="Palatino Linotype" w:cs="Palatino Linotype"/>
          <w:b/>
          <w:i/>
          <w:sz w:val="22"/>
          <w:szCs w:val="22"/>
          <w:lang w:eastAsia="en-US"/>
        </w:rPr>
        <w:t>Artículo 1o</w:t>
      </w:r>
      <w:r w:rsidRPr="00273DCE">
        <w:rPr>
          <w:rFonts w:ascii="Palatino Linotype" w:eastAsiaTheme="minorHAnsi" w:hAnsi="Palatino Linotype" w:cs="Palatino Linotype"/>
          <w:i/>
          <w:sz w:val="22"/>
          <w:szCs w:val="22"/>
          <w:lang w:eastAsia="en-US"/>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w:t>
      </w:r>
    </w:p>
    <w:p w14:paraId="35F66AD2"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p>
    <w:p w14:paraId="496CBF73"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iCs/>
          <w:sz w:val="22"/>
          <w:szCs w:val="22"/>
          <w:lang w:eastAsia="en-US"/>
        </w:rPr>
      </w:pPr>
      <w:r w:rsidRPr="00273DCE">
        <w:rPr>
          <w:rFonts w:ascii="Palatino Linotype" w:eastAsiaTheme="minorHAnsi" w:hAnsi="Palatino Linotype" w:cs="Palatino Linotype"/>
          <w:i/>
          <w:iCs/>
          <w:sz w:val="22"/>
          <w:szCs w:val="22"/>
          <w:lang w:eastAsia="en-US"/>
        </w:rPr>
        <w:t>Las normas relativas a los derechos humanos se interpretarán de conformidad con esta Constitución y con los tratados internacionales de la materia favoreciendo en todo tiempo a las personas la protección más amplia.</w:t>
      </w:r>
    </w:p>
    <w:p w14:paraId="6BF96B5A"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sz w:val="22"/>
          <w:szCs w:val="22"/>
          <w:lang w:eastAsia="en-US"/>
        </w:rPr>
      </w:pPr>
    </w:p>
    <w:p w14:paraId="5A984DF6" w14:textId="77777777" w:rsidR="00F513C7" w:rsidRPr="00273DCE" w:rsidRDefault="00F513C7" w:rsidP="00464375">
      <w:pPr>
        <w:spacing w:line="259" w:lineRule="auto"/>
        <w:ind w:left="567" w:right="567"/>
        <w:contextualSpacing/>
        <w:jc w:val="both"/>
        <w:rPr>
          <w:rFonts w:ascii="Palatino Linotype" w:eastAsiaTheme="minorHAnsi" w:hAnsi="Palatino Linotype" w:cs="Palatino Linotype"/>
          <w:i/>
          <w:iCs/>
          <w:sz w:val="22"/>
          <w:szCs w:val="22"/>
          <w:lang w:eastAsia="en-US"/>
        </w:rPr>
      </w:pPr>
      <w:r w:rsidRPr="00273DCE">
        <w:rPr>
          <w:rFonts w:ascii="Palatino Linotype" w:eastAsiaTheme="minorHAnsi" w:hAnsi="Palatino Linotype" w:cs="Palatino Linotype"/>
          <w:i/>
          <w:iCs/>
          <w:sz w:val="22"/>
          <w:szCs w:val="22"/>
          <w:lang w:eastAsia="en-US"/>
        </w:rPr>
        <w:t xml:space="preserve">Todas las autoridades, en el ámbito de sus competencias, tienen la obligación de promover, respetar, proteger y garantizar los derechos humanos de conformidad con los principios de universalidad, interdependencia, indivisibilidad y progresividad. En consecuencia, el </w:t>
      </w:r>
      <w:r w:rsidRPr="00273DCE">
        <w:rPr>
          <w:rFonts w:ascii="Palatino Linotype" w:eastAsiaTheme="minorHAnsi" w:hAnsi="Palatino Linotype" w:cs="Palatino Linotype"/>
          <w:i/>
          <w:iCs/>
          <w:sz w:val="22"/>
          <w:szCs w:val="22"/>
          <w:lang w:eastAsia="en-US"/>
        </w:rPr>
        <w:lastRenderedPageBreak/>
        <w:t>Estado deberá prevenir, investigar, sancionar y reparar las violaciones a los derechos humanos, en los términos que establezca la ley.</w:t>
      </w:r>
    </w:p>
    <w:p w14:paraId="1FF3B05C" w14:textId="77777777" w:rsidR="00F513C7" w:rsidRPr="00273DCE" w:rsidRDefault="00F513C7" w:rsidP="00464375">
      <w:pPr>
        <w:spacing w:line="360" w:lineRule="auto"/>
        <w:jc w:val="both"/>
        <w:rPr>
          <w:rFonts w:ascii="Palatino Linotype" w:eastAsiaTheme="minorHAnsi" w:hAnsi="Palatino Linotype" w:cs="Calibri"/>
          <w:sz w:val="22"/>
          <w:szCs w:val="22"/>
          <w:lang w:eastAsia="en-US"/>
        </w:rPr>
      </w:pPr>
    </w:p>
    <w:p w14:paraId="62C172AA" w14:textId="77777777" w:rsidR="00F513C7" w:rsidRPr="00273DCE" w:rsidRDefault="00F513C7" w:rsidP="00464375">
      <w:pPr>
        <w:spacing w:line="360" w:lineRule="auto"/>
        <w:jc w:val="both"/>
        <w:rPr>
          <w:rFonts w:ascii="Palatino Linotype" w:eastAsiaTheme="minorHAnsi" w:hAnsi="Palatino Linotype" w:cs="Palatino Linotype"/>
          <w:lang w:eastAsia="en-US"/>
        </w:rPr>
      </w:pPr>
      <w:r w:rsidRPr="00273DCE">
        <w:rPr>
          <w:rFonts w:ascii="Palatino Linotype" w:eastAsiaTheme="minorHAnsi" w:hAnsi="Palatino Linotype" w:cs="Palatino Linotype"/>
          <w:lang w:eastAsia="en-US"/>
        </w:rPr>
        <w:t>Por lo cual, de una interpretación sistemática, conforme y progresiva del derecho humano de acceso a la información pública se aprecia que toda persona, sin necesidad de acreditar interés alguno o justificar su utilización, deberá tener acceso a la información pública, es decir, dicho derecho fundamental exime a quien lo ejerce, de acreditar su legitimación en la causa o su interés en el asunto, lo que permite la posibilidad de que, incluso, la solicitud de acceso a la información pueda ser anónima o no contener un nombre que identifique al solicitante o que permita tener certeza sobre su identidad.</w:t>
      </w:r>
    </w:p>
    <w:p w14:paraId="3258DB45" w14:textId="77777777" w:rsidR="00F513C7" w:rsidRPr="00273DCE" w:rsidRDefault="00F513C7" w:rsidP="00464375">
      <w:pPr>
        <w:spacing w:line="360" w:lineRule="auto"/>
        <w:jc w:val="both"/>
        <w:rPr>
          <w:rFonts w:ascii="Palatino Linotype" w:eastAsiaTheme="minorHAnsi" w:hAnsi="Palatino Linotype" w:cs="Palatino Linotype"/>
          <w:lang w:eastAsia="en-US"/>
        </w:rPr>
      </w:pPr>
    </w:p>
    <w:p w14:paraId="1C332705" w14:textId="3C0BA2FE" w:rsidR="00761AC9" w:rsidRPr="00273DCE" w:rsidRDefault="00F513C7" w:rsidP="00464375">
      <w:pPr>
        <w:autoSpaceDE w:val="0"/>
        <w:autoSpaceDN w:val="0"/>
        <w:adjustRightInd w:val="0"/>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Palatino Linotype"/>
          <w:color w:val="000000"/>
          <w:lang w:eastAsia="en-US"/>
        </w:rPr>
        <w:t>En conclusión, se cubrieron los requisitos de procedencia y procedibilidad y conforme a las constancias que obran en el expediente.</w:t>
      </w:r>
    </w:p>
    <w:p w14:paraId="02A1A74F" w14:textId="77777777" w:rsidR="008575ED" w:rsidRPr="00273DCE" w:rsidRDefault="008575ED" w:rsidP="00464375">
      <w:pPr>
        <w:autoSpaceDE w:val="0"/>
        <w:autoSpaceDN w:val="0"/>
        <w:adjustRightInd w:val="0"/>
        <w:spacing w:line="360" w:lineRule="auto"/>
        <w:jc w:val="both"/>
        <w:rPr>
          <w:rFonts w:ascii="Palatino Linotype" w:eastAsiaTheme="minorHAnsi" w:hAnsi="Palatino Linotype" w:cs="Arial"/>
          <w:b/>
          <w:sz w:val="28"/>
          <w:lang w:eastAsia="en-US"/>
        </w:rPr>
      </w:pPr>
    </w:p>
    <w:p w14:paraId="716CACE7" w14:textId="4B07BF38" w:rsidR="00E3048E" w:rsidRPr="00273DCE" w:rsidRDefault="00F513C7" w:rsidP="00464375">
      <w:pPr>
        <w:autoSpaceDE w:val="0"/>
        <w:autoSpaceDN w:val="0"/>
        <w:adjustRightInd w:val="0"/>
        <w:spacing w:line="360" w:lineRule="auto"/>
        <w:jc w:val="both"/>
        <w:rPr>
          <w:rFonts w:ascii="Palatino Linotype" w:eastAsiaTheme="minorHAnsi" w:hAnsi="Palatino Linotype" w:cs="Arial"/>
          <w:b/>
          <w:sz w:val="28"/>
          <w:lang w:eastAsia="en-US"/>
        </w:rPr>
      </w:pPr>
      <w:r w:rsidRPr="00273DCE">
        <w:rPr>
          <w:rFonts w:ascii="Palatino Linotype" w:eastAsiaTheme="minorHAnsi" w:hAnsi="Palatino Linotype" w:cs="Arial"/>
          <w:b/>
          <w:sz w:val="28"/>
          <w:lang w:eastAsia="en-US"/>
        </w:rPr>
        <w:t>CUARTO</w:t>
      </w:r>
      <w:r w:rsidR="00E3048E" w:rsidRPr="00273DCE">
        <w:rPr>
          <w:rFonts w:ascii="Palatino Linotype" w:eastAsiaTheme="minorHAnsi" w:hAnsi="Palatino Linotype" w:cs="Arial"/>
          <w:b/>
          <w:sz w:val="28"/>
          <w:lang w:eastAsia="en-US"/>
        </w:rPr>
        <w:t xml:space="preserve">. Del estudio de las causas de improcedencia. </w:t>
      </w:r>
    </w:p>
    <w:p w14:paraId="7131FBB2" w14:textId="77777777" w:rsidR="00E3048E" w:rsidRPr="00273DCE" w:rsidRDefault="00E3048E" w:rsidP="00464375">
      <w:pPr>
        <w:autoSpaceDE w:val="0"/>
        <w:autoSpaceDN w:val="0"/>
        <w:adjustRightInd w:val="0"/>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 xml:space="preserve">El estudio de las causas de improcedencia que se hagan valer por las partes o que se advierta de oficio por este Resolutor debe ser objeto de análisis previo al estudio de fondo del asunto ya que el estudio de los presupuestos procesales sobre el inicio o trámite de un proceso genera eficacia jurídica de las resoluciones, más aún que se trata de una figura procesal adoptada en la ley de la materia la cual impide su estudio y resolución cuando una vez admitido el recurso de revisión se advierta una causa de improcedencia que permita sobreseer el recurso de revisión sin estudiar el fondo del asunto; circunstancias anteriores que no son incompatibles con el derecho de acceso a </w:t>
      </w:r>
      <w:r w:rsidRPr="00273DCE">
        <w:rPr>
          <w:rFonts w:ascii="Palatino Linotype" w:eastAsiaTheme="minorHAnsi" w:hAnsi="Palatino Linotype" w:cs="Arial"/>
          <w:lang w:eastAsia="en-US"/>
        </w:rPr>
        <w:lastRenderedPageBreak/>
        <w:t>la justicia, ya que éste no se coarta por regular causas de improcedencia y sobreseimiento con tales fines</w:t>
      </w:r>
      <w:r w:rsidRPr="00273DCE">
        <w:rPr>
          <w:rStyle w:val="Refdenotaalpie"/>
          <w:rFonts w:ascii="Palatino Linotype" w:eastAsiaTheme="minorHAnsi" w:hAnsi="Palatino Linotype" w:cs="Arial"/>
          <w:lang w:eastAsia="en-US"/>
        </w:rPr>
        <w:footnoteReference w:id="1"/>
      </w:r>
      <w:r w:rsidRPr="00273DCE">
        <w:rPr>
          <w:rFonts w:ascii="Palatino Linotype" w:eastAsiaTheme="minorHAnsi" w:hAnsi="Palatino Linotype" w:cs="Arial"/>
          <w:lang w:eastAsia="en-US"/>
        </w:rPr>
        <w:t>.</w:t>
      </w:r>
    </w:p>
    <w:p w14:paraId="2591DD84" w14:textId="77777777" w:rsidR="00E3048E" w:rsidRPr="00273DCE" w:rsidRDefault="00E3048E" w:rsidP="00464375">
      <w:pPr>
        <w:autoSpaceDE w:val="0"/>
        <w:autoSpaceDN w:val="0"/>
        <w:adjustRightInd w:val="0"/>
        <w:spacing w:line="360" w:lineRule="auto"/>
        <w:jc w:val="both"/>
        <w:rPr>
          <w:rFonts w:ascii="Palatino Linotype" w:eastAsiaTheme="minorHAnsi" w:hAnsi="Palatino Linotype" w:cs="Arial"/>
          <w:lang w:eastAsia="en-US"/>
        </w:rPr>
      </w:pPr>
    </w:p>
    <w:p w14:paraId="67EBE28C" w14:textId="77777777" w:rsidR="00E3048E" w:rsidRPr="00273DCE" w:rsidRDefault="00E3048E" w:rsidP="00464375">
      <w:pPr>
        <w:autoSpaceDE w:val="0"/>
        <w:autoSpaceDN w:val="0"/>
        <w:adjustRightInd w:val="0"/>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Por lo que una vez que se analizó el expediente en estudio se cae en la cuenta de que no se actualiza ninguna de las casuales a continuación transcritas:</w:t>
      </w:r>
    </w:p>
    <w:p w14:paraId="5F5F0DA4" w14:textId="77777777" w:rsidR="00E3048E" w:rsidRPr="00273DCE" w:rsidRDefault="00E3048E" w:rsidP="00464375"/>
    <w:p w14:paraId="5C9B4549" w14:textId="77777777" w:rsidR="00E3048E" w:rsidRPr="00273DCE" w:rsidRDefault="00E3048E" w:rsidP="00464375">
      <w:pPr>
        <w:autoSpaceDE w:val="0"/>
        <w:autoSpaceDN w:val="0"/>
        <w:adjustRightInd w:val="0"/>
        <w:ind w:left="708" w:right="850"/>
        <w:jc w:val="both"/>
        <w:rPr>
          <w:rFonts w:ascii="Palatino Linotype" w:hAnsi="Palatino Linotype" w:cs="Arial"/>
          <w:i/>
          <w:sz w:val="22"/>
          <w:szCs w:val="22"/>
        </w:rPr>
      </w:pPr>
      <w:r w:rsidRPr="00273DCE">
        <w:rPr>
          <w:rFonts w:ascii="Palatino Linotype" w:hAnsi="Palatino Linotype" w:cs="Arial"/>
          <w:i/>
          <w:sz w:val="22"/>
          <w:szCs w:val="22"/>
        </w:rPr>
        <w:t>“</w:t>
      </w:r>
      <w:r w:rsidRPr="00273DCE">
        <w:rPr>
          <w:rFonts w:ascii="Palatino Linotype" w:hAnsi="Palatino Linotype" w:cs="Arial"/>
          <w:b/>
          <w:i/>
          <w:sz w:val="22"/>
          <w:szCs w:val="22"/>
        </w:rPr>
        <w:t>Artículo 191.</w:t>
      </w:r>
      <w:r w:rsidRPr="00273DCE">
        <w:rPr>
          <w:rFonts w:ascii="Palatino Linotype" w:hAnsi="Palatino Linotype" w:cs="Arial"/>
          <w:i/>
          <w:sz w:val="22"/>
          <w:szCs w:val="22"/>
        </w:rPr>
        <w:t xml:space="preserve"> El recurso será desechado por improcedente cuando:  </w:t>
      </w:r>
    </w:p>
    <w:p w14:paraId="4BBDF343" w14:textId="77777777" w:rsidR="00E3048E" w:rsidRPr="00273DCE" w:rsidRDefault="00E3048E" w:rsidP="00464375">
      <w:pPr>
        <w:autoSpaceDE w:val="0"/>
        <w:autoSpaceDN w:val="0"/>
        <w:adjustRightInd w:val="0"/>
        <w:ind w:left="708" w:right="850"/>
        <w:jc w:val="both"/>
        <w:rPr>
          <w:rFonts w:ascii="Palatino Linotype" w:hAnsi="Palatino Linotype" w:cs="Arial"/>
          <w:i/>
          <w:sz w:val="22"/>
          <w:szCs w:val="22"/>
        </w:rPr>
      </w:pPr>
      <w:r w:rsidRPr="00273DCE">
        <w:rPr>
          <w:rFonts w:ascii="Palatino Linotype" w:hAnsi="Palatino Linotype" w:cs="Arial"/>
          <w:i/>
          <w:sz w:val="22"/>
          <w:szCs w:val="22"/>
        </w:rPr>
        <w:t xml:space="preserve">I. Sea extemporáneo por haber transcurrido el plazo establecido en la presente Ley, a partir de la respuesta;  </w:t>
      </w:r>
    </w:p>
    <w:p w14:paraId="512A20D7" w14:textId="77777777" w:rsidR="00E3048E" w:rsidRPr="00273DCE" w:rsidRDefault="00E3048E" w:rsidP="00464375">
      <w:pPr>
        <w:autoSpaceDE w:val="0"/>
        <w:autoSpaceDN w:val="0"/>
        <w:adjustRightInd w:val="0"/>
        <w:ind w:left="708" w:right="850"/>
        <w:jc w:val="both"/>
        <w:rPr>
          <w:rFonts w:ascii="Palatino Linotype" w:hAnsi="Palatino Linotype" w:cs="Arial"/>
          <w:i/>
          <w:sz w:val="22"/>
          <w:szCs w:val="22"/>
        </w:rPr>
      </w:pPr>
      <w:r w:rsidRPr="00273DCE">
        <w:rPr>
          <w:rFonts w:ascii="Palatino Linotype" w:hAnsi="Palatino Linotype" w:cs="Arial"/>
          <w:i/>
          <w:sz w:val="22"/>
          <w:szCs w:val="22"/>
        </w:rPr>
        <w:t xml:space="preserve">II. Se esté tramitando ante el Poder Judicial de la Federación algún recurso o medio de defensa interpuesto por el recurrente;  </w:t>
      </w:r>
    </w:p>
    <w:p w14:paraId="583AA73B" w14:textId="77777777" w:rsidR="00E3048E" w:rsidRPr="00273DCE" w:rsidRDefault="00E3048E" w:rsidP="00464375">
      <w:pPr>
        <w:autoSpaceDE w:val="0"/>
        <w:autoSpaceDN w:val="0"/>
        <w:adjustRightInd w:val="0"/>
        <w:ind w:left="708" w:right="850"/>
        <w:jc w:val="both"/>
        <w:rPr>
          <w:rFonts w:ascii="Palatino Linotype" w:hAnsi="Palatino Linotype" w:cs="Arial"/>
          <w:i/>
          <w:sz w:val="22"/>
          <w:szCs w:val="22"/>
        </w:rPr>
      </w:pPr>
      <w:r w:rsidRPr="00273DCE">
        <w:rPr>
          <w:rFonts w:ascii="Palatino Linotype" w:hAnsi="Palatino Linotype" w:cs="Arial"/>
          <w:i/>
          <w:sz w:val="22"/>
          <w:szCs w:val="22"/>
        </w:rPr>
        <w:t xml:space="preserve">III. No actualice alguno de los supuestos previstos en la presente Ley;  </w:t>
      </w:r>
    </w:p>
    <w:p w14:paraId="5D2E5514" w14:textId="77777777" w:rsidR="00E3048E" w:rsidRPr="00273DCE" w:rsidRDefault="00E3048E" w:rsidP="00464375">
      <w:pPr>
        <w:autoSpaceDE w:val="0"/>
        <w:autoSpaceDN w:val="0"/>
        <w:adjustRightInd w:val="0"/>
        <w:ind w:left="708" w:right="850"/>
        <w:jc w:val="both"/>
        <w:rPr>
          <w:rFonts w:ascii="Palatino Linotype" w:hAnsi="Palatino Linotype" w:cs="Arial"/>
          <w:i/>
          <w:sz w:val="22"/>
          <w:szCs w:val="22"/>
        </w:rPr>
      </w:pPr>
      <w:r w:rsidRPr="00273DCE">
        <w:rPr>
          <w:rFonts w:ascii="Palatino Linotype" w:hAnsi="Palatino Linotype" w:cs="Arial"/>
          <w:i/>
          <w:sz w:val="22"/>
          <w:szCs w:val="22"/>
        </w:rPr>
        <w:t>IV. No se haya desahogado la prevención en los términos establecidos en la presente Ley;</w:t>
      </w:r>
    </w:p>
    <w:p w14:paraId="5582C784" w14:textId="77777777" w:rsidR="00E3048E" w:rsidRPr="00273DCE" w:rsidRDefault="00E3048E" w:rsidP="00464375">
      <w:pPr>
        <w:autoSpaceDE w:val="0"/>
        <w:autoSpaceDN w:val="0"/>
        <w:adjustRightInd w:val="0"/>
        <w:ind w:left="708" w:right="850"/>
        <w:jc w:val="both"/>
        <w:rPr>
          <w:rFonts w:ascii="Palatino Linotype" w:hAnsi="Palatino Linotype" w:cs="Arial"/>
          <w:i/>
          <w:sz w:val="22"/>
          <w:szCs w:val="22"/>
        </w:rPr>
      </w:pPr>
      <w:r w:rsidRPr="00273DCE">
        <w:rPr>
          <w:rFonts w:ascii="Palatino Linotype" w:hAnsi="Palatino Linotype" w:cs="Arial"/>
          <w:i/>
          <w:sz w:val="22"/>
          <w:szCs w:val="22"/>
        </w:rPr>
        <w:t xml:space="preserve">V. Se impugne la veracidad de la información proporcionada;  </w:t>
      </w:r>
    </w:p>
    <w:p w14:paraId="152CF856" w14:textId="77777777" w:rsidR="00E3048E" w:rsidRPr="00273DCE" w:rsidRDefault="00E3048E" w:rsidP="00464375">
      <w:pPr>
        <w:autoSpaceDE w:val="0"/>
        <w:autoSpaceDN w:val="0"/>
        <w:adjustRightInd w:val="0"/>
        <w:ind w:left="708" w:right="850"/>
        <w:jc w:val="both"/>
        <w:rPr>
          <w:rFonts w:ascii="Palatino Linotype" w:hAnsi="Palatino Linotype" w:cs="Arial"/>
          <w:i/>
          <w:sz w:val="22"/>
          <w:szCs w:val="22"/>
        </w:rPr>
      </w:pPr>
      <w:r w:rsidRPr="00273DCE">
        <w:rPr>
          <w:rFonts w:ascii="Palatino Linotype" w:hAnsi="Palatino Linotype" w:cs="Arial"/>
          <w:i/>
          <w:sz w:val="22"/>
          <w:szCs w:val="22"/>
        </w:rPr>
        <w:t xml:space="preserve">VI. Se trate de una consulta, o trámite en específico; y  </w:t>
      </w:r>
    </w:p>
    <w:p w14:paraId="793FA580" w14:textId="77777777" w:rsidR="00E3048E" w:rsidRPr="00273DCE" w:rsidRDefault="00E3048E" w:rsidP="00464375">
      <w:pPr>
        <w:autoSpaceDE w:val="0"/>
        <w:autoSpaceDN w:val="0"/>
        <w:adjustRightInd w:val="0"/>
        <w:ind w:left="708" w:right="850"/>
        <w:jc w:val="both"/>
        <w:rPr>
          <w:rFonts w:ascii="Palatino Linotype" w:hAnsi="Palatino Linotype" w:cs="Arial"/>
          <w:i/>
          <w:sz w:val="22"/>
          <w:szCs w:val="22"/>
        </w:rPr>
      </w:pPr>
      <w:r w:rsidRPr="00273DCE">
        <w:rPr>
          <w:rFonts w:ascii="Palatino Linotype" w:hAnsi="Palatino Linotype" w:cs="Arial"/>
          <w:i/>
          <w:sz w:val="22"/>
          <w:szCs w:val="22"/>
        </w:rPr>
        <w:t>VII. El recurrente amplíe su solicitud en el recurso de revisión, únicamente respecto de los nuevos contenidos.”</w:t>
      </w:r>
    </w:p>
    <w:p w14:paraId="19BD0A6D" w14:textId="77777777" w:rsidR="00E3048E" w:rsidRPr="00273DCE" w:rsidRDefault="00E3048E" w:rsidP="00464375">
      <w:pPr>
        <w:autoSpaceDE w:val="0"/>
        <w:autoSpaceDN w:val="0"/>
        <w:adjustRightInd w:val="0"/>
        <w:spacing w:line="360" w:lineRule="auto"/>
        <w:ind w:left="708" w:right="850"/>
        <w:jc w:val="both"/>
        <w:rPr>
          <w:rFonts w:ascii="Palatino Linotype" w:hAnsi="Palatino Linotype" w:cs="Arial"/>
          <w:i/>
        </w:rPr>
      </w:pPr>
    </w:p>
    <w:p w14:paraId="0445B2DF" w14:textId="77777777" w:rsidR="00E3048E" w:rsidRPr="00273DCE" w:rsidRDefault="00E3048E" w:rsidP="00464375">
      <w:pPr>
        <w:autoSpaceDE w:val="0"/>
        <w:autoSpaceDN w:val="0"/>
        <w:adjustRightInd w:val="0"/>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 xml:space="preserve">Ya que no fue interpuesto de forma extemporánea, no se está tramitando ante el Poder Judicial Federal, no es una consulta, o trámite en específico, ni tampoco se advierte que </w:t>
      </w:r>
      <w:r w:rsidRPr="00273DCE">
        <w:rPr>
          <w:rFonts w:ascii="Palatino Linotype" w:eastAsiaTheme="minorHAnsi" w:hAnsi="Palatino Linotype" w:cs="Arial"/>
          <w:lang w:eastAsia="en-US"/>
        </w:rPr>
        <w:lastRenderedPageBreak/>
        <w:t>el recurrente amplíe su solicitud en el recurso de revisión, por lo que al no existir causas de improcedencia invocadas por las partes ni advertidas de oficio, este Órgano Garante de la Transparencia se avoca al análisis del fondo del asunto que nos ocupa.</w:t>
      </w:r>
    </w:p>
    <w:p w14:paraId="00EBBC21" w14:textId="77777777" w:rsidR="00E3048E" w:rsidRPr="00273DCE" w:rsidRDefault="00E3048E" w:rsidP="00464375">
      <w:pPr>
        <w:autoSpaceDE w:val="0"/>
        <w:autoSpaceDN w:val="0"/>
        <w:adjustRightInd w:val="0"/>
        <w:spacing w:line="360" w:lineRule="auto"/>
        <w:jc w:val="both"/>
        <w:rPr>
          <w:rFonts w:ascii="Palatino Linotype" w:hAnsi="Palatino Linotype" w:cs="Arial"/>
        </w:rPr>
      </w:pPr>
    </w:p>
    <w:p w14:paraId="6E9CEA6B" w14:textId="77777777" w:rsidR="00E3048E" w:rsidRPr="00273DCE" w:rsidRDefault="00E3048E" w:rsidP="00464375">
      <w:pPr>
        <w:autoSpaceDE w:val="0"/>
        <w:autoSpaceDN w:val="0"/>
        <w:adjustRightInd w:val="0"/>
        <w:spacing w:line="360" w:lineRule="auto"/>
        <w:jc w:val="both"/>
        <w:rPr>
          <w:rFonts w:ascii="Palatino Linotype" w:hAnsi="Palatino Linotype" w:cs="Arial"/>
        </w:rPr>
      </w:pPr>
      <w:r w:rsidRPr="00273DCE">
        <w:rPr>
          <w:rFonts w:ascii="Palatino Linotype" w:hAnsi="Palatino Linotype" w:cs="Arial"/>
        </w:rPr>
        <w:t>Así las cosas, al no existir causas de improcedencia invocadas por las partes ni advertidas de oficio por este Resolutor, se procede al análisis del fondo de los asuntos en los siguientes términos.</w:t>
      </w:r>
    </w:p>
    <w:p w14:paraId="14DA0010" w14:textId="77777777" w:rsidR="00E3048E" w:rsidRPr="00273DCE" w:rsidRDefault="00E3048E" w:rsidP="00464375">
      <w:pPr>
        <w:autoSpaceDE w:val="0"/>
        <w:autoSpaceDN w:val="0"/>
        <w:adjustRightInd w:val="0"/>
        <w:spacing w:line="360" w:lineRule="auto"/>
        <w:jc w:val="both"/>
        <w:rPr>
          <w:rFonts w:ascii="Palatino Linotype" w:hAnsi="Palatino Linotype" w:cs="Arial"/>
        </w:rPr>
      </w:pPr>
    </w:p>
    <w:p w14:paraId="0A412821" w14:textId="60F44FF3" w:rsidR="00E3048E" w:rsidRPr="00273DCE" w:rsidRDefault="00F513C7" w:rsidP="00464375">
      <w:pPr>
        <w:autoSpaceDE w:val="0"/>
        <w:autoSpaceDN w:val="0"/>
        <w:adjustRightInd w:val="0"/>
        <w:spacing w:line="360" w:lineRule="auto"/>
        <w:jc w:val="both"/>
        <w:rPr>
          <w:rFonts w:ascii="Palatino Linotype" w:hAnsi="Palatino Linotype" w:cs="Arial"/>
          <w:sz w:val="28"/>
        </w:rPr>
      </w:pPr>
      <w:r w:rsidRPr="00273DCE">
        <w:rPr>
          <w:rFonts w:ascii="Palatino Linotype" w:hAnsi="Palatino Linotype" w:cs="Arial"/>
          <w:b/>
          <w:sz w:val="28"/>
        </w:rPr>
        <w:t>QUINTO</w:t>
      </w:r>
      <w:r w:rsidR="00E3048E" w:rsidRPr="00273DCE">
        <w:rPr>
          <w:rFonts w:ascii="Palatino Linotype" w:hAnsi="Palatino Linotype" w:cs="Arial"/>
          <w:b/>
          <w:sz w:val="28"/>
        </w:rPr>
        <w:t>. Del estudio y resolución del asunto.</w:t>
      </w:r>
      <w:r w:rsidR="00E3048E" w:rsidRPr="00273DCE">
        <w:rPr>
          <w:rFonts w:ascii="Palatino Linotype" w:hAnsi="Palatino Linotype" w:cs="Arial"/>
          <w:sz w:val="28"/>
        </w:rPr>
        <w:t xml:space="preserve"> </w:t>
      </w:r>
    </w:p>
    <w:p w14:paraId="00AD23F4" w14:textId="77777777" w:rsidR="00E3048E" w:rsidRPr="00273DCE" w:rsidRDefault="00E3048E" w:rsidP="00464375">
      <w:pPr>
        <w:autoSpaceDE w:val="0"/>
        <w:autoSpaceDN w:val="0"/>
        <w:adjustRightInd w:val="0"/>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eastAsia="en-US"/>
        </w:rPr>
        <w:t>Ahora bien, se procede al análisis del presente recurso, así como al contenido íntegro de las actuaciones que obran en el expediente electrónico, para así estar en posibilidad este Órgano Colegiado de dictar el fallo correspondiente conforme a derecho, tomando en consideración los elementos aportados por las partes y apegándose en todo momento al principio de máxima publicidad consagrado en nuestra Constitución Federal, Local y demás leyes aplicables en la materia, así como en los tratados internacionales en los que el Estado Mexicano sea parte, en concordancia con el artículo 8, de la Ley de Transparencia local.</w:t>
      </w:r>
    </w:p>
    <w:p w14:paraId="0D48F055" w14:textId="77777777" w:rsidR="00FE046B" w:rsidRPr="00273DCE" w:rsidRDefault="00FE046B" w:rsidP="00464375">
      <w:pPr>
        <w:spacing w:line="360" w:lineRule="auto"/>
        <w:ind w:right="141"/>
        <w:jc w:val="both"/>
        <w:rPr>
          <w:rFonts w:ascii="Palatino Linotype" w:eastAsiaTheme="minorHAnsi" w:hAnsi="Palatino Linotype" w:cstheme="minorBidi"/>
        </w:rPr>
      </w:pPr>
    </w:p>
    <w:p w14:paraId="42389232" w14:textId="77777777" w:rsidR="00574FDC" w:rsidRPr="00273DCE" w:rsidRDefault="0029071C" w:rsidP="00464375">
      <w:pPr>
        <w:spacing w:line="360" w:lineRule="auto"/>
        <w:ind w:right="141"/>
        <w:jc w:val="both"/>
        <w:rPr>
          <w:rFonts w:ascii="Palatino Linotype" w:eastAsiaTheme="minorHAnsi" w:hAnsi="Palatino Linotype" w:cstheme="minorBidi"/>
        </w:rPr>
      </w:pPr>
      <w:r w:rsidRPr="00273DCE">
        <w:rPr>
          <w:rFonts w:ascii="Palatino Linotype" w:eastAsiaTheme="minorHAnsi" w:hAnsi="Palatino Linotype" w:cstheme="minorBidi"/>
        </w:rPr>
        <w:t>En este sentido nuestro estudio versará en determinar si la información remitida mediante respuesta, colma el derecho de acceso a la información solicitado por la</w:t>
      </w:r>
      <w:r w:rsidRPr="00273DCE">
        <w:rPr>
          <w:rFonts w:ascii="Palatino Linotype" w:eastAsiaTheme="minorHAnsi" w:hAnsi="Palatino Linotype" w:cstheme="minorBidi"/>
          <w:b/>
        </w:rPr>
        <w:t xml:space="preserve"> </w:t>
      </w:r>
      <w:r w:rsidRPr="00273DCE">
        <w:rPr>
          <w:rFonts w:ascii="Palatino Linotype" w:eastAsiaTheme="minorHAnsi" w:hAnsi="Palatino Linotype" w:cstheme="minorBidi"/>
        </w:rPr>
        <w:t>parte</w:t>
      </w:r>
      <w:r w:rsidR="001D2DE0" w:rsidRPr="00273DCE">
        <w:rPr>
          <w:rFonts w:ascii="Palatino Linotype" w:eastAsiaTheme="minorHAnsi" w:hAnsi="Palatino Linotype" w:cstheme="minorBidi"/>
          <w:b/>
        </w:rPr>
        <w:t xml:space="preserve"> </w:t>
      </w:r>
      <w:r w:rsidRPr="00273DCE">
        <w:rPr>
          <w:rFonts w:ascii="Palatino Linotype" w:eastAsiaTheme="minorHAnsi" w:hAnsi="Palatino Linotype" w:cstheme="minorBidi"/>
          <w:b/>
        </w:rPr>
        <w:t>Recurrente</w:t>
      </w:r>
      <w:r w:rsidRPr="00273DCE">
        <w:rPr>
          <w:rFonts w:ascii="Palatino Linotype" w:eastAsiaTheme="minorHAnsi" w:hAnsi="Palatino Linotype" w:cstheme="minorBidi"/>
        </w:rPr>
        <w:t xml:space="preserve">, para ello analizaremos lo solicitado </w:t>
      </w:r>
      <w:r w:rsidR="00574FDC" w:rsidRPr="00273DCE">
        <w:rPr>
          <w:rFonts w:ascii="Palatino Linotype" w:eastAsiaTheme="minorHAnsi" w:hAnsi="Palatino Linotype" w:cstheme="minorBidi"/>
        </w:rPr>
        <w:t>y la información proporcionada.</w:t>
      </w:r>
    </w:p>
    <w:p w14:paraId="0F4D58AE" w14:textId="77777777" w:rsidR="00814FA1" w:rsidRPr="00273DCE" w:rsidRDefault="00814FA1" w:rsidP="00464375">
      <w:pPr>
        <w:spacing w:line="360" w:lineRule="auto"/>
        <w:ind w:right="141"/>
        <w:jc w:val="both"/>
        <w:rPr>
          <w:rFonts w:ascii="Palatino Linotype" w:eastAsiaTheme="minorHAnsi" w:hAnsi="Palatino Linotype" w:cstheme="minorBidi"/>
        </w:rPr>
      </w:pPr>
    </w:p>
    <w:p w14:paraId="254FB22D" w14:textId="77777777" w:rsidR="00132924" w:rsidRPr="00273DCE" w:rsidRDefault="0029071C" w:rsidP="00464375">
      <w:pPr>
        <w:spacing w:line="360" w:lineRule="auto"/>
        <w:ind w:right="141"/>
        <w:jc w:val="both"/>
        <w:rPr>
          <w:rFonts w:ascii="Palatino Linotype" w:eastAsiaTheme="minorHAnsi" w:hAnsi="Palatino Linotype" w:cstheme="minorBidi"/>
          <w:b/>
          <w:szCs w:val="22"/>
        </w:rPr>
      </w:pPr>
      <w:r w:rsidRPr="00273DCE">
        <w:rPr>
          <w:rFonts w:ascii="Palatino Linotype" w:eastAsiaTheme="minorHAnsi" w:hAnsi="Palatino Linotype" w:cstheme="minorBidi"/>
          <w:b/>
          <w:szCs w:val="22"/>
        </w:rPr>
        <w:t>REQUERIMIENTOS SOLICITADOS:</w:t>
      </w:r>
      <w:r w:rsidR="00A26BD8" w:rsidRPr="00273DCE">
        <w:rPr>
          <w:rFonts w:ascii="Palatino Linotype" w:eastAsiaTheme="minorHAnsi" w:hAnsi="Palatino Linotype" w:cstheme="minorBidi"/>
          <w:b/>
          <w:szCs w:val="22"/>
        </w:rPr>
        <w:t xml:space="preserve"> </w:t>
      </w:r>
    </w:p>
    <w:p w14:paraId="1CDC83E0" w14:textId="016DC96A" w:rsidR="00D349EA" w:rsidRPr="00273DCE" w:rsidRDefault="008575ED" w:rsidP="008575ED">
      <w:pPr>
        <w:pStyle w:val="Prrafodelista"/>
        <w:numPr>
          <w:ilvl w:val="0"/>
          <w:numId w:val="10"/>
        </w:numPr>
        <w:spacing w:line="360" w:lineRule="auto"/>
        <w:ind w:right="141"/>
        <w:jc w:val="both"/>
        <w:rPr>
          <w:rFonts w:ascii="Palatino Linotype" w:eastAsiaTheme="minorHAnsi" w:hAnsi="Palatino Linotype" w:cstheme="minorBidi"/>
          <w:szCs w:val="22"/>
        </w:rPr>
      </w:pPr>
      <w:r w:rsidRPr="00273DCE">
        <w:rPr>
          <w:rFonts w:ascii="Palatino Linotype" w:eastAsiaTheme="minorHAnsi" w:hAnsi="Palatino Linotype" w:cstheme="minorBidi"/>
          <w:szCs w:val="22"/>
        </w:rPr>
        <w:t>Gastos ejercidos de enero 2025 a la fecha para pavimentación</w:t>
      </w:r>
      <w:r w:rsidR="009B345F" w:rsidRPr="00273DCE">
        <w:rPr>
          <w:rFonts w:ascii="Palatino Linotype" w:eastAsiaTheme="minorHAnsi" w:hAnsi="Palatino Linotype" w:cstheme="minorBidi"/>
          <w:szCs w:val="22"/>
        </w:rPr>
        <w:t>.</w:t>
      </w:r>
    </w:p>
    <w:p w14:paraId="6BD4A04D" w14:textId="77215A3E" w:rsidR="008575ED" w:rsidRPr="00273DCE" w:rsidRDefault="008575ED" w:rsidP="008575ED">
      <w:pPr>
        <w:pStyle w:val="Prrafodelista"/>
        <w:numPr>
          <w:ilvl w:val="0"/>
          <w:numId w:val="10"/>
        </w:numPr>
        <w:spacing w:line="360" w:lineRule="auto"/>
        <w:ind w:right="141"/>
        <w:jc w:val="both"/>
        <w:rPr>
          <w:rFonts w:ascii="Palatino Linotype" w:eastAsiaTheme="minorHAnsi" w:hAnsi="Palatino Linotype" w:cstheme="minorBidi"/>
          <w:szCs w:val="22"/>
        </w:rPr>
      </w:pPr>
      <w:r w:rsidRPr="00273DCE">
        <w:rPr>
          <w:rFonts w:ascii="Palatino Linotype" w:eastAsiaTheme="minorHAnsi" w:hAnsi="Palatino Linotype" w:cstheme="minorBidi"/>
          <w:szCs w:val="22"/>
        </w:rPr>
        <w:lastRenderedPageBreak/>
        <w:t>Gastos ejercidos de enero 2025 a la fecha para bacheo.</w:t>
      </w:r>
    </w:p>
    <w:p w14:paraId="6EAC6F43" w14:textId="51D257DA" w:rsidR="00820F91" w:rsidRPr="00273DCE" w:rsidRDefault="00820F91" w:rsidP="00820F91">
      <w:pPr>
        <w:pStyle w:val="Prrafodelista"/>
        <w:numPr>
          <w:ilvl w:val="0"/>
          <w:numId w:val="10"/>
        </w:numPr>
        <w:spacing w:line="360" w:lineRule="auto"/>
        <w:ind w:right="141"/>
        <w:jc w:val="both"/>
        <w:rPr>
          <w:rFonts w:ascii="Palatino Linotype" w:eastAsiaTheme="minorHAnsi" w:hAnsi="Palatino Linotype" w:cstheme="minorBidi"/>
          <w:szCs w:val="22"/>
        </w:rPr>
      </w:pPr>
      <w:r w:rsidRPr="00273DCE">
        <w:rPr>
          <w:rFonts w:ascii="Palatino Linotype" w:eastAsiaTheme="minorHAnsi" w:hAnsi="Palatino Linotype" w:cstheme="minorBidi"/>
          <w:szCs w:val="22"/>
        </w:rPr>
        <w:t>Contratos con empresas privadas que se hayan celebrado en lo que va de enero 2025 a la fecha para pavimentación y/o bacheo.</w:t>
      </w:r>
    </w:p>
    <w:p w14:paraId="0D811FBD" w14:textId="4BD4A68F" w:rsidR="00820F91" w:rsidRPr="00273DCE" w:rsidRDefault="00820F91" w:rsidP="00820F91">
      <w:pPr>
        <w:pStyle w:val="Prrafodelista"/>
        <w:numPr>
          <w:ilvl w:val="0"/>
          <w:numId w:val="10"/>
        </w:numPr>
        <w:spacing w:line="360" w:lineRule="auto"/>
        <w:ind w:right="141"/>
        <w:jc w:val="both"/>
        <w:rPr>
          <w:rFonts w:ascii="Palatino Linotype" w:eastAsiaTheme="minorHAnsi" w:hAnsi="Palatino Linotype" w:cstheme="minorBidi"/>
          <w:szCs w:val="22"/>
        </w:rPr>
      </w:pPr>
      <w:r w:rsidRPr="00273DCE">
        <w:rPr>
          <w:rFonts w:ascii="Palatino Linotype" w:eastAsiaTheme="minorHAnsi" w:hAnsi="Palatino Linotype" w:cstheme="minorBidi"/>
          <w:szCs w:val="22"/>
        </w:rPr>
        <w:t>Especificaciones técnicas con las que se realiza el bacheo en Toluca ya sea a través de personal del ayuntamiento o servicio privado.</w:t>
      </w:r>
    </w:p>
    <w:p w14:paraId="3806A812" w14:textId="353EEBAE" w:rsidR="00820F91" w:rsidRPr="00273DCE" w:rsidRDefault="00820F91" w:rsidP="00820F91">
      <w:pPr>
        <w:pStyle w:val="Prrafodelista"/>
        <w:numPr>
          <w:ilvl w:val="0"/>
          <w:numId w:val="10"/>
        </w:numPr>
        <w:spacing w:line="360" w:lineRule="auto"/>
        <w:ind w:right="141"/>
        <w:jc w:val="both"/>
        <w:rPr>
          <w:rFonts w:ascii="Palatino Linotype" w:eastAsiaTheme="minorHAnsi" w:hAnsi="Palatino Linotype" w:cstheme="minorBidi"/>
          <w:szCs w:val="22"/>
        </w:rPr>
      </w:pPr>
      <w:r w:rsidRPr="00273DCE">
        <w:rPr>
          <w:rFonts w:ascii="Palatino Linotype" w:eastAsiaTheme="minorHAnsi" w:hAnsi="Palatino Linotype" w:cstheme="minorBidi"/>
          <w:szCs w:val="22"/>
        </w:rPr>
        <w:t>Reporte, informe o documento donde conste el avance de las obras de pavimentación y las obras de bacheo que se han realizado en lo que va del año, así como los respectivos costos.</w:t>
      </w:r>
    </w:p>
    <w:p w14:paraId="290AEE0C" w14:textId="77777777" w:rsidR="00E3048E" w:rsidRPr="00273DCE" w:rsidRDefault="00E3048E" w:rsidP="00464375">
      <w:pPr>
        <w:spacing w:line="360" w:lineRule="auto"/>
        <w:ind w:right="49"/>
        <w:jc w:val="both"/>
        <w:rPr>
          <w:rFonts w:ascii="Palatino Linotype" w:eastAsiaTheme="minorHAnsi" w:hAnsi="Palatino Linotype" w:cstheme="minorBidi"/>
        </w:rPr>
      </w:pPr>
    </w:p>
    <w:p w14:paraId="652D9286" w14:textId="33FF96CD" w:rsidR="008258C6" w:rsidRPr="00273DCE" w:rsidRDefault="008258C6" w:rsidP="00464375">
      <w:pPr>
        <w:pStyle w:val="Prrafodelista"/>
        <w:autoSpaceDE w:val="0"/>
        <w:autoSpaceDN w:val="0"/>
        <w:adjustRightInd w:val="0"/>
        <w:spacing w:line="360" w:lineRule="auto"/>
        <w:ind w:left="0"/>
        <w:jc w:val="both"/>
        <w:rPr>
          <w:rFonts w:ascii="Palatino Linotype" w:hAnsi="Palatino Linotype" w:cs="Arial"/>
        </w:rPr>
      </w:pPr>
      <w:r w:rsidRPr="00273DCE">
        <w:rPr>
          <w:rFonts w:ascii="Palatino Linotype" w:hAnsi="Palatino Linotype" w:cs="Arial"/>
        </w:rPr>
        <w:t xml:space="preserve">Consecuentemente, el </w:t>
      </w:r>
      <w:r w:rsidRPr="00273DCE">
        <w:rPr>
          <w:rFonts w:ascii="Palatino Linotype" w:hAnsi="Palatino Linotype" w:cs="Arial"/>
          <w:b/>
          <w:bCs/>
        </w:rPr>
        <w:t>Sujeto Obligado</w:t>
      </w:r>
      <w:r w:rsidRPr="00273DCE">
        <w:rPr>
          <w:rFonts w:ascii="Palatino Linotype" w:hAnsi="Palatino Linotype" w:cs="Arial"/>
        </w:rPr>
        <w:t xml:space="preserve"> en fecha </w:t>
      </w:r>
      <w:r w:rsidR="00F05BF4" w:rsidRPr="00273DCE">
        <w:rPr>
          <w:rFonts w:ascii="Palatino Linotype" w:hAnsi="Palatino Linotype" w:cs="Arial"/>
        </w:rPr>
        <w:t>dieciséis de octubre</w:t>
      </w:r>
      <w:r w:rsidR="00E94B5C" w:rsidRPr="00273DCE">
        <w:rPr>
          <w:rFonts w:ascii="Palatino Linotype" w:hAnsi="Palatino Linotype" w:cs="Arial"/>
        </w:rPr>
        <w:t xml:space="preserve"> de dos mil veinticinco</w:t>
      </w:r>
      <w:r w:rsidRPr="00273DCE">
        <w:rPr>
          <w:rFonts w:ascii="Palatino Linotype" w:hAnsi="Palatino Linotype" w:cs="Arial"/>
        </w:rPr>
        <w:t>, emitió su respuesta a través de</w:t>
      </w:r>
      <w:r w:rsidR="00F05BF4" w:rsidRPr="00273DCE">
        <w:rPr>
          <w:rFonts w:ascii="Palatino Linotype" w:hAnsi="Palatino Linotype" w:cs="Arial"/>
        </w:rPr>
        <w:t>l</w:t>
      </w:r>
      <w:r w:rsidR="00D349EA" w:rsidRPr="00273DCE">
        <w:rPr>
          <w:rFonts w:ascii="Palatino Linotype" w:hAnsi="Palatino Linotype" w:cs="Arial"/>
        </w:rPr>
        <w:t xml:space="preserve"> </w:t>
      </w:r>
      <w:r w:rsidRPr="00273DCE">
        <w:rPr>
          <w:rFonts w:ascii="Palatino Linotype" w:hAnsi="Palatino Linotype" w:cs="Arial"/>
        </w:rPr>
        <w:t xml:space="preserve">archivo electrónico de nombre y contenido siguiente: </w:t>
      </w:r>
    </w:p>
    <w:p w14:paraId="205B1824" w14:textId="77777777" w:rsidR="008258C6" w:rsidRPr="00273DCE" w:rsidRDefault="008258C6" w:rsidP="00464375">
      <w:pPr>
        <w:autoSpaceDE w:val="0"/>
        <w:autoSpaceDN w:val="0"/>
        <w:adjustRightInd w:val="0"/>
        <w:spacing w:line="360" w:lineRule="auto"/>
        <w:jc w:val="both"/>
        <w:rPr>
          <w:rFonts w:ascii="Palatino Linotype" w:hAnsi="Palatino Linotype" w:cs="Arial"/>
        </w:rPr>
      </w:pPr>
    </w:p>
    <w:p w14:paraId="7E065942" w14:textId="5D138018" w:rsidR="00B228F1" w:rsidRPr="00273DCE" w:rsidRDefault="00820F91" w:rsidP="00820F91">
      <w:pPr>
        <w:pStyle w:val="Prrafodelista"/>
        <w:numPr>
          <w:ilvl w:val="0"/>
          <w:numId w:val="27"/>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hAnsi="Palatino Linotype" w:cs="Arial"/>
          <w:b/>
          <w:bCs/>
        </w:rPr>
        <w:t>04242.pdf</w:t>
      </w:r>
      <w:r w:rsidR="008258C6" w:rsidRPr="00273DCE">
        <w:rPr>
          <w:rFonts w:ascii="Palatino Linotype" w:hAnsi="Palatino Linotype" w:cs="Arial"/>
          <w:b/>
          <w:bCs/>
        </w:rPr>
        <w:t xml:space="preserve">: </w:t>
      </w:r>
      <w:r w:rsidR="008258C6" w:rsidRPr="00273DCE">
        <w:rPr>
          <w:rFonts w:ascii="Palatino Linotype" w:hAnsi="Palatino Linotype" w:cs="Arial"/>
        </w:rPr>
        <w:t xml:space="preserve">Archivo electrónico que contiene el oficio número </w:t>
      </w:r>
      <w:r w:rsidRPr="00273DCE">
        <w:rPr>
          <w:rFonts w:ascii="Palatino Linotype" w:hAnsi="Palatino Linotype" w:cs="Arial"/>
        </w:rPr>
        <w:t xml:space="preserve">202010000/02983/2025, Tesorero Municipal, mediante el cual refiere que </w:t>
      </w:r>
      <w:r w:rsidR="00B228F1" w:rsidRPr="00273DCE">
        <w:rPr>
          <w:rFonts w:ascii="Palatino Linotype" w:hAnsi="Palatino Linotype" w:cs="Arial"/>
        </w:rPr>
        <w:t>con el fin de garantizar el derecho de acceso a la información pública de la persona solicitante se adjunta el Estado analítico del Presupuesto de Egresos Clasificación por Objeto del Gasto (enero-junio de 2025), derivado de lo anterior, refiere que la información se encuentra integrada de forma general y no de forma particular, asimismo refiere que dicha información se encuentra pública en la página oficial del Ayuntamiento de Toluca, para lo cual adjunta una liga electrónica en datos abiertos la cual dirige a la página del Ayuntamiento, tal como se observa en la siguiente captura de pantalla:</w:t>
      </w:r>
    </w:p>
    <w:p w14:paraId="16563ACD" w14:textId="6E4CA0BB" w:rsidR="00B228F1" w:rsidRPr="00273DCE" w:rsidRDefault="00B228F1" w:rsidP="00B228F1">
      <w:pPr>
        <w:autoSpaceDE w:val="0"/>
        <w:autoSpaceDN w:val="0"/>
        <w:adjustRightInd w:val="0"/>
        <w:spacing w:line="360" w:lineRule="auto"/>
        <w:ind w:right="141"/>
        <w:jc w:val="center"/>
        <w:rPr>
          <w:rFonts w:ascii="Palatino Linotype" w:eastAsiaTheme="minorHAnsi" w:hAnsi="Palatino Linotype" w:cs="Arial"/>
          <w:bCs/>
          <w:lang w:eastAsia="en-US"/>
        </w:rPr>
      </w:pPr>
      <w:r w:rsidRPr="00273DCE">
        <w:rPr>
          <w:rFonts w:ascii="Palatino Linotype" w:eastAsiaTheme="minorHAnsi" w:hAnsi="Palatino Linotype" w:cs="Arial"/>
          <w:bCs/>
          <w:noProof/>
          <w:lang w:val="es-MX"/>
        </w:rPr>
        <w:lastRenderedPageBreak/>
        <w:drawing>
          <wp:inline distT="0" distB="0" distL="0" distR="0" wp14:anchorId="0CBF0E2A" wp14:editId="3ACC447A">
            <wp:extent cx="5219234" cy="3171825"/>
            <wp:effectExtent l="190500" t="190500" r="191135" b="180975"/>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226213" cy="3176066"/>
                    </a:xfrm>
                    <a:prstGeom prst="rect">
                      <a:avLst/>
                    </a:prstGeom>
                    <a:ln>
                      <a:noFill/>
                    </a:ln>
                    <a:effectLst>
                      <a:outerShdw blurRad="190500" algn="tl" rotWithShape="0">
                        <a:srgbClr val="000000">
                          <a:alpha val="70000"/>
                        </a:srgbClr>
                      </a:outerShdw>
                    </a:effectLst>
                  </pic:spPr>
                </pic:pic>
              </a:graphicData>
            </a:graphic>
          </wp:inline>
        </w:drawing>
      </w:r>
    </w:p>
    <w:p w14:paraId="502608BC" w14:textId="1906250B" w:rsidR="00B228F1" w:rsidRPr="00273DCE" w:rsidRDefault="00B228F1" w:rsidP="00B228F1">
      <w:pPr>
        <w:tabs>
          <w:tab w:val="left" w:pos="8789"/>
        </w:tabs>
        <w:autoSpaceDE w:val="0"/>
        <w:autoSpaceDN w:val="0"/>
        <w:adjustRightInd w:val="0"/>
        <w:spacing w:line="360" w:lineRule="auto"/>
        <w:ind w:left="709"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Asimismo refiere que el recurso ejercido hasta la fecha (29 de agosto de 2025), se encuentras publicado hasta el mes de junio de 2025, ya que los meses de julio y agosto forman parte de la integración del tercer informe trimestral de 2025, dicha integración es normada por los Lineamientos del Órgano Superior de Fiscalización del Estado de México en materia de integración, presentación y envío de los informes trimestrales del ejercicio fiscal 2025, de las entidades fiscalizables del Estado de México; los cuales ya fueron emitidos por el OSFEM el día 01 de abril de 2025. Asimismo, se anexa el link directo de la página oficial del Órgano Superior de Fiscalización del Estado de México, en el apartado de Lineamientos, componentes informes trimestrales, Acuerdo 7/2025.</w:t>
      </w:r>
    </w:p>
    <w:p w14:paraId="59663F31" w14:textId="51624145" w:rsidR="009C543A" w:rsidRPr="00273DCE" w:rsidRDefault="00B228F1" w:rsidP="00B228F1">
      <w:pPr>
        <w:pStyle w:val="Prrafodelista"/>
        <w:numPr>
          <w:ilvl w:val="0"/>
          <w:numId w:val="27"/>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hAnsi="Palatino Linotype" w:cs="Arial"/>
          <w:b/>
          <w:bCs/>
        </w:rPr>
        <w:t xml:space="preserve">EST-ANALI-EJERC-PRES-EG-OBJETO-DEL-GASTO-CAP-Y-CONC-DEL-1-DE-ENERO-AL-30-DE-JUNIO-2025 (1).pdf: </w:t>
      </w:r>
      <w:r w:rsidRPr="00273DCE">
        <w:rPr>
          <w:rFonts w:ascii="Palatino Linotype" w:hAnsi="Palatino Linotype" w:cs="Arial"/>
        </w:rPr>
        <w:t xml:space="preserve">Consta del </w:t>
      </w:r>
      <w:r w:rsidR="00DD286F" w:rsidRPr="00273DCE">
        <w:rPr>
          <w:rFonts w:ascii="Palatino Linotype" w:hAnsi="Palatino Linotype" w:cs="Arial"/>
        </w:rPr>
        <w:t xml:space="preserve">estado analítico del ejercicio del presupuesto de egresos clasificación por objeto del gasto (capitulo </w:t>
      </w:r>
      <w:r w:rsidR="00DD286F" w:rsidRPr="00273DCE">
        <w:rPr>
          <w:rFonts w:ascii="Palatino Linotype" w:hAnsi="Palatino Linotype" w:cs="Arial"/>
        </w:rPr>
        <w:lastRenderedPageBreak/>
        <w:t>y concepto) correspondiente al periodo comprendido del primero de enero al treinta de junio de dos mil veinticinco.</w:t>
      </w:r>
    </w:p>
    <w:p w14:paraId="416EE07D" w14:textId="570D5123" w:rsidR="00DD286F" w:rsidRPr="00273DCE" w:rsidRDefault="00DD286F" w:rsidP="00DD286F">
      <w:pPr>
        <w:pStyle w:val="Prrafodelista"/>
        <w:numPr>
          <w:ilvl w:val="0"/>
          <w:numId w:val="27"/>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
          <w:bCs/>
          <w:lang w:eastAsia="en-US"/>
        </w:rPr>
        <w:t>SAIMEX 4242.pdf</w:t>
      </w:r>
      <w:r w:rsidRPr="00273DCE">
        <w:rPr>
          <w:rFonts w:ascii="Palatino Linotype" w:eastAsiaTheme="minorHAnsi" w:hAnsi="Palatino Linotype" w:cs="Arial"/>
          <w:bCs/>
          <w:lang w:eastAsia="en-US"/>
        </w:rPr>
        <w:t>: Consta del oficio número 208010000/0886/2025, signado por el Director General de Servicios Públicos, mediante el cual refiere que se anexan las notas informativas DA/034/2025 y 208013000/167/2025, signadas por la Delegada Administrativa y el Director de Mantenimiento Urbano en las cuales se da respuesta a su solicitud. Aunado a lo anterior se adjuntan las notas informativas referidas anteriormente</w:t>
      </w:r>
    </w:p>
    <w:p w14:paraId="72AB03B8" w14:textId="2B416417" w:rsidR="00DD286F" w:rsidRPr="00273DCE" w:rsidRDefault="00DD286F" w:rsidP="00162E1B">
      <w:pPr>
        <w:pStyle w:val="Prrafodelista"/>
        <w:numPr>
          <w:ilvl w:val="0"/>
          <w:numId w:val="42"/>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DA/034/</w:t>
      </w:r>
      <w:r w:rsidR="00163975" w:rsidRPr="00273DCE">
        <w:rPr>
          <w:rFonts w:ascii="Palatino Linotype" w:eastAsiaTheme="minorHAnsi" w:hAnsi="Palatino Linotype" w:cs="Arial"/>
          <w:bCs/>
          <w:lang w:eastAsia="en-US"/>
        </w:rPr>
        <w:t>2025: Signado por la Delegada Administrativa, mediante el cual refiere que una vez realizada una revisión minuciosa a su contenido, le informo que</w:t>
      </w:r>
      <w:r w:rsidR="00163975" w:rsidRPr="00273DCE">
        <w:t xml:space="preserve"> </w:t>
      </w:r>
      <w:r w:rsidR="00163975" w:rsidRPr="00273DCE">
        <w:rPr>
          <w:rFonts w:ascii="Palatino Linotype" w:eastAsiaTheme="minorHAnsi" w:hAnsi="Palatino Linotype" w:cs="Arial"/>
          <w:bCs/>
          <w:lang w:eastAsia="en-US"/>
        </w:rPr>
        <w:t>la Dirección de Administración a través de la Dirección de Recursos Materiales, la responsable de autorizar y suscribir los pedido-contratos que se finquen relativos a procedimientos de adquisiciones y compras de bienes, materiales y suministros, así como de elaborar los contratos de adquisición de los bienes y servicios y de arrendamiento.</w:t>
      </w:r>
    </w:p>
    <w:p w14:paraId="0520256B" w14:textId="09A09F69" w:rsidR="00162E1B" w:rsidRPr="00273DCE" w:rsidRDefault="00162E1B" w:rsidP="00162E1B">
      <w:pPr>
        <w:pStyle w:val="Prrafodelista"/>
        <w:numPr>
          <w:ilvl w:val="0"/>
          <w:numId w:val="42"/>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 xml:space="preserve">208013000/167/2025, signado por el Director de Mantenimiento Urbano, mediante el cual refiere que adjunta la descripción del proceso y/o especificaciones técnicas con las que se realiza el bacheo de mezcla asfáltica en caliente y en frio, así como el reporte donde se indica el avance de las obras, realizados por el Departamento de Bacheo y Señalamiento Vial de enero de 2025 a la fecha. Referente a los gastos y contratos me permito informar que no se cuenta con la información, por no haberse generado, poseído o administrado dichos datos y/o por no estar dentro de las atribuciones de esta Dirección. </w:t>
      </w:r>
    </w:p>
    <w:p w14:paraId="7210468C" w14:textId="035EA24C" w:rsidR="00162E1B" w:rsidRPr="00273DCE" w:rsidRDefault="00162E1B" w:rsidP="00162E1B">
      <w:pPr>
        <w:pStyle w:val="Prrafodelista"/>
        <w:numPr>
          <w:ilvl w:val="0"/>
          <w:numId w:val="42"/>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lastRenderedPageBreak/>
        <w:t>Bacheo en vialidades urbanas, Descripción del proceso de mezcla asfáltica en caliente.</w:t>
      </w:r>
    </w:p>
    <w:p w14:paraId="6084FE32" w14:textId="2248BE41" w:rsidR="00162E1B" w:rsidRPr="00273DCE" w:rsidRDefault="00162E1B" w:rsidP="005741CC">
      <w:pPr>
        <w:pStyle w:val="Prrafodelista"/>
        <w:numPr>
          <w:ilvl w:val="0"/>
          <w:numId w:val="42"/>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 xml:space="preserve">Nota informática 208013001/719/2025 Signada por el Departamento de Bacheo y Señalamiento Vial, mediante el cual refiere que </w:t>
      </w:r>
      <w:r w:rsidR="00530412" w:rsidRPr="00273DCE">
        <w:rPr>
          <w:rFonts w:ascii="Palatino Linotype" w:eastAsiaTheme="minorHAnsi" w:hAnsi="Palatino Linotype" w:cs="Arial"/>
          <w:bCs/>
          <w:lang w:eastAsia="en-US"/>
        </w:rPr>
        <w:t>adjunta la descripción del proceso y/o especificaciones técnicas con las que se realiza el bacheo de mezcla asfáltica en caliente y en frio, así como el reporte donde se indica el avance de las obras, realizados por el Departamento de Bacheo y Señalamiento Vial de enero de 2025 a la fecha. Referente a los gastos y contratos me permito informar que no se cuenta con la información, por no haberse generado, poseído o administrado dichos datos y/o por no estar dentro de las atribuciones de este Departamento.</w:t>
      </w:r>
    </w:p>
    <w:p w14:paraId="5BB78493" w14:textId="31DCF0CB" w:rsidR="00530412" w:rsidRPr="00273DCE" w:rsidRDefault="00530412" w:rsidP="005741CC">
      <w:pPr>
        <w:pStyle w:val="Prrafodelista"/>
        <w:numPr>
          <w:ilvl w:val="0"/>
          <w:numId w:val="42"/>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Se adjunta una tabla reporte donde se indica el avance de las obras, realizados por el Departamento de Bacheo y Señalamiento Vial de enero de 2025 a la fecha.</w:t>
      </w:r>
    </w:p>
    <w:p w14:paraId="34EE9F68" w14:textId="60584890" w:rsidR="00DD286F" w:rsidRPr="00273DCE" w:rsidRDefault="00530412" w:rsidP="00530412">
      <w:pPr>
        <w:pStyle w:val="Prrafodelista"/>
        <w:numPr>
          <w:ilvl w:val="0"/>
          <w:numId w:val="27"/>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
          <w:bCs/>
          <w:lang w:eastAsia="en-US"/>
        </w:rPr>
        <w:t xml:space="preserve">Respuesta saimex 04242.pdf: </w:t>
      </w:r>
      <w:r w:rsidR="00565EAD" w:rsidRPr="00273DCE">
        <w:rPr>
          <w:rFonts w:ascii="Palatino Linotype" w:eastAsiaTheme="minorHAnsi" w:hAnsi="Palatino Linotype" w:cs="Arial"/>
          <w:bCs/>
          <w:lang w:eastAsia="en-US"/>
        </w:rPr>
        <w:t>consta del oficio 210010000/2331/2025, UT/DGOP/00279/2025, signado por el Director General de Obras Públicas, mediante el cual refiere que:</w:t>
      </w:r>
    </w:p>
    <w:p w14:paraId="35E4B4F3" w14:textId="6364EB85" w:rsidR="00565EAD" w:rsidRPr="00273DCE" w:rsidRDefault="00565EAD" w:rsidP="005741CC">
      <w:pPr>
        <w:pStyle w:val="Prrafodelista"/>
        <w:numPr>
          <w:ilvl w:val="0"/>
          <w:numId w:val="43"/>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 xml:space="preserve">Respecto de "..-Gastos ejercidos de enero 2025 a la fecha para pavimentación -Gastos ejercidos de enero 2025 a la fecha para bacheo.." (sic), es preciso puntualizar que conformidad con lo establecido en el artículo 3.40 del Código Reglamentario Municipal de Toluca vigente así como en el artículo 92, fracción X del Bando Municipal Tolucа 2025, у de lo estipulado en el Manual General de Organización del Sector Central de la Administración Pública Municipal de Toluca vigente en la </w:t>
      </w:r>
      <w:r w:rsidRPr="00273DCE">
        <w:rPr>
          <w:rFonts w:ascii="Palatino Linotype" w:eastAsiaTheme="minorHAnsi" w:hAnsi="Palatino Linotype" w:cs="Arial"/>
          <w:bCs/>
          <w:lang w:eastAsia="en-US"/>
        </w:rPr>
        <w:lastRenderedPageBreak/>
        <w:t>codificación 209014000, no es competencia, ni atribución de esta Dirección General, generar ni administrar expresión documental que dé cuenta de lo solicitado, y de la mencionada búsqueda se concluyó que no se localizó expresión documental en la que se contenga la información solicitada, por no generarla, ni administrarla.</w:t>
      </w:r>
    </w:p>
    <w:p w14:paraId="6DDD34EC" w14:textId="09062BD0" w:rsidR="00565EAD" w:rsidRPr="00273DCE" w:rsidRDefault="00565EAD" w:rsidP="00565EAD">
      <w:pPr>
        <w:pStyle w:val="Prrafodelista"/>
        <w:numPr>
          <w:ilvl w:val="0"/>
          <w:numId w:val="43"/>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 xml:space="preserve">En relación a los "..-Contratos con empresas privadas que se hayan celebrado en lo que va de enero 2025 a la fecha para pavimentación y/o bacheo..." (sic), de la mencionada búsqueda, se concluyó que en la temporalidad indicada por el solicitante en esta área administrativa se han signado los contratos de obra pública a precios unitarios </w:t>
      </w:r>
      <w:r w:rsidR="00001467" w:rsidRPr="00273DCE">
        <w:rPr>
          <w:rFonts w:ascii="Palatino Linotype" w:eastAsiaTheme="minorHAnsi" w:hAnsi="Palatino Linotype" w:cs="Arial"/>
          <w:bCs/>
          <w:lang w:eastAsia="en-US"/>
        </w:rPr>
        <w:t>de los cuales se</w:t>
      </w:r>
      <w:r w:rsidRPr="00273DCE">
        <w:rPr>
          <w:rFonts w:ascii="Palatino Linotype" w:eastAsiaTheme="minorHAnsi" w:hAnsi="Palatino Linotype" w:cs="Arial"/>
          <w:bCs/>
          <w:lang w:eastAsia="en-US"/>
        </w:rPr>
        <w:t xml:space="preserve"> </w:t>
      </w:r>
      <w:r w:rsidR="00001467" w:rsidRPr="00273DCE">
        <w:rPr>
          <w:rFonts w:ascii="Palatino Linotype" w:eastAsiaTheme="minorHAnsi" w:hAnsi="Palatino Linotype" w:cs="Arial"/>
          <w:bCs/>
          <w:lang w:eastAsia="en-US"/>
        </w:rPr>
        <w:t>adjunta una lista</w:t>
      </w:r>
      <w:r w:rsidRPr="00273DCE">
        <w:rPr>
          <w:rFonts w:ascii="Palatino Linotype" w:eastAsiaTheme="minorHAnsi" w:hAnsi="Palatino Linotype" w:cs="Arial"/>
          <w:bCs/>
          <w:lang w:eastAsia="en-US"/>
        </w:rPr>
        <w:t>.</w:t>
      </w:r>
    </w:p>
    <w:p w14:paraId="31AC2DD3" w14:textId="5FCB7B1E" w:rsidR="00565EAD" w:rsidRPr="00273DCE" w:rsidRDefault="00565EAD" w:rsidP="005741CC">
      <w:pPr>
        <w:pStyle w:val="Prrafodelista"/>
        <w:numPr>
          <w:ilvl w:val="0"/>
          <w:numId w:val="43"/>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En cuanto a las ..-Especificaciones técnicas con las que se realiza el bacheo en Toluca ya sea a través de personal del ayuntamiento o servicio privado..” (sic), se informa que se atiende lo establecido en la norma técnica de la Secretaría de Comunicaciones y Transportes número N-CSV-CAR-2- 02-003/16.</w:t>
      </w:r>
    </w:p>
    <w:p w14:paraId="15932F17" w14:textId="53D1151C" w:rsidR="00565EAD" w:rsidRPr="00273DCE" w:rsidRDefault="00565EAD" w:rsidP="005741CC">
      <w:pPr>
        <w:pStyle w:val="Prrafodelista"/>
        <w:numPr>
          <w:ilvl w:val="0"/>
          <w:numId w:val="43"/>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Con respecto al ..-Reporte, informe o documento donde conste el avance de las obras de pavimentación y las obras de bacheo que se han realizado en lo que va del año, así como los respectivos costos.", se adjunta al presente:</w:t>
      </w:r>
    </w:p>
    <w:p w14:paraId="6B53ACA8" w14:textId="77777777" w:rsidR="00565EAD" w:rsidRPr="00273DCE" w:rsidRDefault="00565EAD" w:rsidP="00565EAD">
      <w:pPr>
        <w:pStyle w:val="Prrafodelista"/>
        <w:numPr>
          <w:ilvl w:val="0"/>
          <w:numId w:val="45"/>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Documento que proporciona la Coordinación de Obras Por administración directa, en el que se observan las delegaciones del municipio de Toluca en las que se han realizado trabajos de bacheo.</w:t>
      </w:r>
    </w:p>
    <w:p w14:paraId="1C3F092A" w14:textId="036B3A35" w:rsidR="00565EAD" w:rsidRPr="00273DCE" w:rsidRDefault="00565EAD" w:rsidP="005741CC">
      <w:pPr>
        <w:pStyle w:val="Prrafodelista"/>
        <w:numPr>
          <w:ilvl w:val="0"/>
          <w:numId w:val="43"/>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lastRenderedPageBreak/>
        <w:t>Documento que proporciona la Dirección de Obras Públicas que contiene, nombre de la obra pública contratada y avance físico.</w:t>
      </w:r>
    </w:p>
    <w:p w14:paraId="1137F740" w14:textId="3FFBAF08" w:rsidR="00530412" w:rsidRPr="00273DCE" w:rsidRDefault="00530412" w:rsidP="00530412">
      <w:pPr>
        <w:pStyle w:val="Prrafodelista"/>
        <w:numPr>
          <w:ilvl w:val="0"/>
          <w:numId w:val="27"/>
        </w:numPr>
        <w:autoSpaceDE w:val="0"/>
        <w:autoSpaceDN w:val="0"/>
        <w:adjustRightInd w:val="0"/>
        <w:spacing w:line="360" w:lineRule="auto"/>
        <w:ind w:right="141"/>
        <w:jc w:val="both"/>
        <w:rPr>
          <w:rFonts w:ascii="Palatino Linotype" w:eastAsiaTheme="minorHAnsi" w:hAnsi="Palatino Linotype" w:cs="Arial"/>
          <w:b/>
          <w:bCs/>
          <w:lang w:eastAsia="en-US"/>
        </w:rPr>
      </w:pPr>
      <w:r w:rsidRPr="00273DCE">
        <w:rPr>
          <w:rFonts w:ascii="Palatino Linotype" w:eastAsiaTheme="minorHAnsi" w:hAnsi="Palatino Linotype" w:cs="Arial"/>
          <w:b/>
          <w:bCs/>
          <w:lang w:eastAsia="en-US"/>
        </w:rPr>
        <w:t>Anexo 1 Saimex 04242.pdf:</w:t>
      </w:r>
      <w:r w:rsidR="00565EAD" w:rsidRPr="00273DCE">
        <w:rPr>
          <w:rFonts w:ascii="Palatino Linotype" w:eastAsiaTheme="minorHAnsi" w:hAnsi="Palatino Linotype" w:cs="Arial"/>
          <w:b/>
          <w:bCs/>
          <w:lang w:eastAsia="en-US"/>
        </w:rPr>
        <w:t xml:space="preserve"> </w:t>
      </w:r>
      <w:r w:rsidR="00565EAD" w:rsidRPr="00273DCE">
        <w:rPr>
          <w:rFonts w:ascii="Palatino Linotype" w:eastAsiaTheme="minorHAnsi" w:hAnsi="Palatino Linotype" w:cs="Arial"/>
          <w:bCs/>
          <w:lang w:eastAsia="en-US"/>
        </w:rPr>
        <w:t>Documento en formato pdf, consta de una tabla en la que se observa el concepto y la delegación y/o localidad.</w:t>
      </w:r>
    </w:p>
    <w:p w14:paraId="5E441237" w14:textId="3E8B77AB" w:rsidR="00530412" w:rsidRPr="00273DCE" w:rsidRDefault="00530412" w:rsidP="00530412">
      <w:pPr>
        <w:pStyle w:val="Prrafodelista"/>
        <w:numPr>
          <w:ilvl w:val="0"/>
          <w:numId w:val="27"/>
        </w:numPr>
        <w:autoSpaceDE w:val="0"/>
        <w:autoSpaceDN w:val="0"/>
        <w:adjustRightInd w:val="0"/>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
          <w:bCs/>
          <w:lang w:eastAsia="en-US"/>
        </w:rPr>
        <w:t>Anexo 2 Saimex 04242.pdf</w:t>
      </w:r>
      <w:r w:rsidRPr="00273DCE">
        <w:rPr>
          <w:rFonts w:ascii="Palatino Linotype" w:eastAsiaTheme="minorHAnsi" w:hAnsi="Palatino Linotype" w:cs="Arial"/>
          <w:bCs/>
          <w:lang w:eastAsia="en-US"/>
        </w:rPr>
        <w:t>:</w:t>
      </w:r>
      <w:r w:rsidR="00565EAD" w:rsidRPr="00273DCE">
        <w:rPr>
          <w:rFonts w:ascii="Palatino Linotype" w:eastAsiaTheme="minorHAnsi" w:hAnsi="Palatino Linotype" w:cs="Arial"/>
          <w:bCs/>
          <w:lang w:eastAsia="en-US"/>
        </w:rPr>
        <w:t xml:space="preserve"> Contiene el estatus de obras públicas 2025.</w:t>
      </w:r>
    </w:p>
    <w:p w14:paraId="6B633E0B" w14:textId="77777777" w:rsidR="00530412" w:rsidRPr="00273DCE" w:rsidRDefault="00530412" w:rsidP="00464375">
      <w:pPr>
        <w:spacing w:line="360" w:lineRule="auto"/>
        <w:ind w:right="141"/>
        <w:jc w:val="both"/>
        <w:rPr>
          <w:rFonts w:ascii="Palatino Linotype" w:eastAsiaTheme="minorHAnsi" w:hAnsi="Palatino Linotype" w:cs="Arial"/>
          <w:bCs/>
          <w:lang w:eastAsia="en-US"/>
        </w:rPr>
      </w:pPr>
    </w:p>
    <w:p w14:paraId="5C46C957" w14:textId="5AC3D546" w:rsidR="00F30C1D" w:rsidRPr="00273DCE" w:rsidRDefault="00E11B18" w:rsidP="00464375">
      <w:pPr>
        <w:spacing w:line="360" w:lineRule="auto"/>
        <w:ind w:right="141"/>
        <w:jc w:val="both"/>
        <w:rPr>
          <w:rFonts w:ascii="Palatino Linotype" w:eastAsiaTheme="minorHAnsi" w:hAnsi="Palatino Linotype" w:cs="Arial"/>
          <w:bCs/>
          <w:i/>
          <w:lang w:eastAsia="en-US"/>
        </w:rPr>
      </w:pPr>
      <w:r w:rsidRPr="00273DCE">
        <w:rPr>
          <w:rFonts w:ascii="Palatino Linotype" w:eastAsiaTheme="minorHAnsi" w:hAnsi="Palatino Linotype" w:cs="Arial"/>
          <w:bCs/>
          <w:lang w:eastAsia="en-US"/>
        </w:rPr>
        <w:t xml:space="preserve">Es así que derivado de la respuesta emitida por </w:t>
      </w:r>
      <w:r w:rsidRPr="00273DCE">
        <w:rPr>
          <w:rFonts w:ascii="Palatino Linotype" w:eastAsiaTheme="minorHAnsi" w:hAnsi="Palatino Linotype" w:cs="Arial"/>
          <w:b/>
          <w:bCs/>
          <w:lang w:eastAsia="en-US"/>
        </w:rPr>
        <w:t>El Sujeto Obligado</w:t>
      </w:r>
      <w:r w:rsidRPr="00273DCE">
        <w:rPr>
          <w:rFonts w:ascii="Palatino Linotype" w:eastAsiaTheme="minorHAnsi" w:hAnsi="Palatino Linotype" w:cs="Arial"/>
          <w:bCs/>
          <w:lang w:eastAsia="en-US"/>
        </w:rPr>
        <w:t xml:space="preserve">, </w:t>
      </w:r>
      <w:r w:rsidRPr="00273DCE">
        <w:rPr>
          <w:rFonts w:ascii="Palatino Linotype" w:eastAsiaTheme="minorHAnsi" w:hAnsi="Palatino Linotype" w:cs="Arial"/>
          <w:b/>
          <w:bCs/>
          <w:lang w:eastAsia="en-US"/>
        </w:rPr>
        <w:t>El Recurrente</w:t>
      </w:r>
      <w:r w:rsidRPr="00273DCE">
        <w:rPr>
          <w:rFonts w:ascii="Palatino Linotype" w:eastAsiaTheme="minorHAnsi" w:hAnsi="Palatino Linotype" w:cs="Arial"/>
          <w:bCs/>
          <w:lang w:eastAsia="en-US"/>
        </w:rPr>
        <w:t>, interpuso el presente recurso de revisión, señalando sustancialmente como sus razones o motivos de inconformidad, lo siguiente:</w:t>
      </w:r>
      <w:r w:rsidR="00E9680B" w:rsidRPr="00273DCE">
        <w:rPr>
          <w:rFonts w:ascii="Palatino Linotype" w:eastAsiaTheme="minorHAnsi" w:hAnsi="Palatino Linotype" w:cs="Arial"/>
          <w:bCs/>
          <w:lang w:eastAsia="en-US"/>
        </w:rPr>
        <w:t xml:space="preserve"> </w:t>
      </w:r>
      <w:r w:rsidRPr="00273DCE">
        <w:rPr>
          <w:rFonts w:ascii="Palatino Linotype" w:eastAsiaTheme="minorHAnsi" w:hAnsi="Palatino Linotype" w:cs="Arial"/>
          <w:bCs/>
          <w:i/>
          <w:lang w:eastAsia="en-US"/>
        </w:rPr>
        <w:t>“</w:t>
      </w:r>
      <w:r w:rsidR="00334B68" w:rsidRPr="00273DCE">
        <w:rPr>
          <w:rFonts w:ascii="Palatino Linotype" w:eastAsiaTheme="minorHAnsi" w:hAnsi="Palatino Linotype" w:cs="Arial"/>
          <w:bCs/>
          <w:i/>
          <w:lang w:eastAsia="en-US"/>
        </w:rPr>
        <w:t>no atendieron la solicitud no entregaron lo solicitado</w:t>
      </w:r>
      <w:r w:rsidR="001C603B" w:rsidRPr="00273DCE">
        <w:rPr>
          <w:rFonts w:ascii="Palatino Linotype" w:eastAsiaTheme="minorHAnsi" w:hAnsi="Palatino Linotype" w:cs="Arial"/>
          <w:bCs/>
          <w:i/>
          <w:lang w:eastAsia="en-US"/>
        </w:rPr>
        <w:t>”</w:t>
      </w:r>
      <w:r w:rsidRPr="00273DCE">
        <w:rPr>
          <w:rFonts w:ascii="Palatino Linotype" w:eastAsiaTheme="minorHAnsi" w:hAnsi="Palatino Linotype" w:cs="Arial"/>
          <w:bCs/>
          <w:i/>
          <w:lang w:eastAsia="en-US"/>
        </w:rPr>
        <w:t xml:space="preserve"> (Sic).</w:t>
      </w:r>
    </w:p>
    <w:p w14:paraId="41C9B599" w14:textId="77777777" w:rsidR="009B6126" w:rsidRPr="00273DCE" w:rsidRDefault="009B6126" w:rsidP="00464375">
      <w:pPr>
        <w:spacing w:line="360" w:lineRule="auto"/>
        <w:ind w:right="141"/>
        <w:jc w:val="both"/>
        <w:rPr>
          <w:rFonts w:ascii="Palatino Linotype" w:eastAsiaTheme="minorHAnsi" w:hAnsi="Palatino Linotype" w:cs="Arial"/>
          <w:bCs/>
          <w:lang w:eastAsia="en-US"/>
        </w:rPr>
      </w:pPr>
    </w:p>
    <w:p w14:paraId="5E71479A" w14:textId="77777777" w:rsidR="00334B68" w:rsidRPr="00273DCE" w:rsidRDefault="006800B5" w:rsidP="00464375">
      <w:pPr>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Por lo que, en la etapa de manifestaciones</w:t>
      </w:r>
      <w:r w:rsidR="00F930F7" w:rsidRPr="00273DCE">
        <w:rPr>
          <w:rFonts w:ascii="Palatino Linotype" w:eastAsiaTheme="minorHAnsi" w:hAnsi="Palatino Linotype" w:cs="Arial"/>
          <w:bCs/>
          <w:lang w:eastAsia="en-US"/>
        </w:rPr>
        <w:t>, el</w:t>
      </w:r>
      <w:r w:rsidR="00581DC8" w:rsidRPr="00273DCE">
        <w:rPr>
          <w:rFonts w:ascii="Palatino Linotype" w:eastAsiaTheme="minorHAnsi" w:hAnsi="Palatino Linotype" w:cs="Arial"/>
          <w:bCs/>
          <w:lang w:eastAsia="en-US"/>
        </w:rPr>
        <w:t xml:space="preserve"> </w:t>
      </w:r>
      <w:r w:rsidR="00581DC8" w:rsidRPr="00273DCE">
        <w:rPr>
          <w:rFonts w:ascii="Palatino Linotype" w:eastAsiaTheme="minorHAnsi" w:hAnsi="Palatino Linotype" w:cs="Arial"/>
          <w:b/>
          <w:bCs/>
          <w:lang w:eastAsia="en-US"/>
        </w:rPr>
        <w:t>Sujeto Obligado</w:t>
      </w:r>
      <w:r w:rsidR="004D31B0" w:rsidRPr="00273DCE">
        <w:rPr>
          <w:rFonts w:ascii="Palatino Linotype" w:eastAsiaTheme="minorHAnsi" w:hAnsi="Palatino Linotype" w:cs="Arial"/>
          <w:b/>
          <w:bCs/>
          <w:lang w:eastAsia="en-US"/>
        </w:rPr>
        <w:t xml:space="preserve"> </w:t>
      </w:r>
      <w:r w:rsidR="004D31B0" w:rsidRPr="00273DCE">
        <w:rPr>
          <w:rFonts w:ascii="Palatino Linotype" w:eastAsiaTheme="minorHAnsi" w:hAnsi="Palatino Linotype" w:cs="Arial"/>
          <w:lang w:eastAsia="en-US"/>
        </w:rPr>
        <w:t>rindió</w:t>
      </w:r>
      <w:r w:rsidR="00407CC4" w:rsidRPr="00273DCE">
        <w:rPr>
          <w:rFonts w:ascii="Palatino Linotype" w:eastAsiaTheme="minorHAnsi" w:hAnsi="Palatino Linotype" w:cs="Arial"/>
          <w:bCs/>
          <w:lang w:eastAsia="en-US"/>
        </w:rPr>
        <w:t xml:space="preserve"> </w:t>
      </w:r>
      <w:r w:rsidR="004D31B0" w:rsidRPr="00273DCE">
        <w:rPr>
          <w:rFonts w:ascii="Palatino Linotype" w:eastAsiaTheme="minorHAnsi" w:hAnsi="Palatino Linotype" w:cs="Arial"/>
          <w:bCs/>
          <w:lang w:eastAsia="en-US"/>
        </w:rPr>
        <w:t xml:space="preserve">su </w:t>
      </w:r>
      <w:r w:rsidR="00581DC8" w:rsidRPr="00273DCE">
        <w:rPr>
          <w:rFonts w:ascii="Palatino Linotype" w:eastAsiaTheme="minorHAnsi" w:hAnsi="Palatino Linotype" w:cs="Arial"/>
          <w:bCs/>
          <w:lang w:eastAsia="en-US"/>
        </w:rPr>
        <w:t>informe justi</w:t>
      </w:r>
      <w:r w:rsidR="00407CC4" w:rsidRPr="00273DCE">
        <w:rPr>
          <w:rFonts w:ascii="Palatino Linotype" w:eastAsiaTheme="minorHAnsi" w:hAnsi="Palatino Linotype" w:cs="Arial"/>
          <w:bCs/>
          <w:lang w:eastAsia="en-US"/>
        </w:rPr>
        <w:t>ficado</w:t>
      </w:r>
      <w:r w:rsidR="004D31B0" w:rsidRPr="00273DCE">
        <w:rPr>
          <w:rFonts w:ascii="Palatino Linotype" w:eastAsiaTheme="minorHAnsi" w:hAnsi="Palatino Linotype" w:cs="Arial"/>
          <w:bCs/>
          <w:lang w:eastAsia="en-US"/>
        </w:rPr>
        <w:t xml:space="preserve"> a través </w:t>
      </w:r>
      <w:r w:rsidR="00334B68" w:rsidRPr="00273DCE">
        <w:rPr>
          <w:rFonts w:ascii="Palatino Linotype" w:eastAsiaTheme="minorHAnsi" w:hAnsi="Palatino Linotype" w:cs="Arial"/>
          <w:bCs/>
          <w:lang w:eastAsia="en-US"/>
        </w:rPr>
        <w:t>los documentos electrónicos denominados:</w:t>
      </w:r>
    </w:p>
    <w:p w14:paraId="41DD5751" w14:textId="3AE1257A" w:rsidR="001C603B" w:rsidRPr="00273DCE" w:rsidRDefault="00334B68" w:rsidP="005741CC">
      <w:pPr>
        <w:pStyle w:val="Prrafodelista"/>
        <w:numPr>
          <w:ilvl w:val="0"/>
          <w:numId w:val="46"/>
        </w:numPr>
        <w:spacing w:line="360" w:lineRule="auto"/>
        <w:ind w:right="141"/>
        <w:jc w:val="both"/>
        <w:rPr>
          <w:rFonts w:ascii="Palatino Linotype" w:eastAsiaTheme="minorHAnsi" w:hAnsi="Palatino Linotype" w:cs="Arial"/>
          <w:b/>
          <w:bCs/>
          <w:lang w:eastAsia="en-US"/>
        </w:rPr>
      </w:pPr>
      <w:r w:rsidRPr="00273DCE">
        <w:rPr>
          <w:rFonts w:ascii="Palatino Linotype" w:eastAsiaTheme="minorHAnsi" w:hAnsi="Palatino Linotype" w:cs="Arial"/>
          <w:b/>
          <w:bCs/>
          <w:lang w:eastAsia="en-US"/>
        </w:rPr>
        <w:t xml:space="preserve">Ratificación 11250.pdf: </w:t>
      </w:r>
      <w:r w:rsidRPr="00273DCE">
        <w:rPr>
          <w:rFonts w:ascii="Palatino Linotype" w:eastAsiaTheme="minorHAnsi" w:hAnsi="Palatino Linotype" w:cs="Arial"/>
          <w:bCs/>
          <w:lang w:eastAsia="en-US"/>
        </w:rPr>
        <w:t>consta de un documento remitido por el Titular de la Unidad de Transparencia, mediante el cual ratifica a la respuesta emitida por la TESORERÍA MUNICIPAL; DIRECCIÓN GENERAL DE SERVICIOS PÚBLICOS; DIRECCIÓN GENERAL DE OBRAS PÚBLICAS y Servidores Públicos Habilitados del 09 septiembre de 2025, a la solicitud 04242/TOLUCA/IP/2025, relacionada con el Recurso de Revisión 11250/INFOEM/IP/RR/2025.</w:t>
      </w:r>
    </w:p>
    <w:p w14:paraId="42D2DFC9" w14:textId="29728196" w:rsidR="00334B68" w:rsidRPr="00273DCE" w:rsidRDefault="00334B68" w:rsidP="00334B68">
      <w:pPr>
        <w:pStyle w:val="Prrafodelista"/>
        <w:numPr>
          <w:ilvl w:val="0"/>
          <w:numId w:val="46"/>
        </w:numPr>
        <w:spacing w:line="360" w:lineRule="auto"/>
        <w:ind w:right="141"/>
        <w:jc w:val="both"/>
        <w:rPr>
          <w:rFonts w:ascii="Palatino Linotype" w:eastAsiaTheme="minorHAnsi" w:hAnsi="Palatino Linotype" w:cs="Arial"/>
          <w:b/>
          <w:bCs/>
          <w:lang w:eastAsia="en-US"/>
        </w:rPr>
      </w:pPr>
      <w:r w:rsidRPr="00273DCE">
        <w:rPr>
          <w:rFonts w:ascii="Palatino Linotype" w:eastAsiaTheme="minorHAnsi" w:hAnsi="Palatino Linotype" w:cs="Arial"/>
          <w:b/>
          <w:bCs/>
          <w:lang w:eastAsia="en-US"/>
        </w:rPr>
        <w:t xml:space="preserve">ANEXOS 11250-2025.pdf: </w:t>
      </w:r>
      <w:r w:rsidRPr="00273DCE">
        <w:rPr>
          <w:rFonts w:ascii="Palatino Linotype" w:eastAsiaTheme="minorHAnsi" w:hAnsi="Palatino Linotype" w:cs="Arial"/>
          <w:bCs/>
          <w:lang w:eastAsia="en-US"/>
        </w:rPr>
        <w:t xml:space="preserve">Consta del oficio número 202010000/03380/2025, signado por el Tesorero Municipal mediante el cual ratifica la respuesta inicial. Oficio número 210010000/2915/2025 EC/DGOP/01975/2025, </w:t>
      </w:r>
      <w:r w:rsidR="00A97C28" w:rsidRPr="00273DCE">
        <w:rPr>
          <w:rFonts w:ascii="Palatino Linotype" w:eastAsiaTheme="minorHAnsi" w:hAnsi="Palatino Linotype" w:cs="Arial"/>
          <w:bCs/>
          <w:lang w:eastAsia="en-US"/>
        </w:rPr>
        <w:t>Signado por el Director General de Obras Públicas, mediante el cual refiere que ratifica la respuesta inicial.</w:t>
      </w:r>
    </w:p>
    <w:p w14:paraId="3E4737BC" w14:textId="7463DC8E" w:rsidR="00334B68" w:rsidRPr="00273DCE" w:rsidRDefault="00334B68" w:rsidP="00334B68">
      <w:pPr>
        <w:pStyle w:val="Prrafodelista"/>
        <w:numPr>
          <w:ilvl w:val="0"/>
          <w:numId w:val="46"/>
        </w:numPr>
        <w:spacing w:line="360" w:lineRule="auto"/>
        <w:ind w:right="141"/>
        <w:jc w:val="both"/>
        <w:rPr>
          <w:rFonts w:ascii="Palatino Linotype" w:eastAsiaTheme="minorHAnsi" w:hAnsi="Palatino Linotype" w:cs="Arial"/>
          <w:b/>
          <w:bCs/>
          <w:lang w:eastAsia="en-US"/>
        </w:rPr>
      </w:pPr>
      <w:r w:rsidRPr="00273DCE">
        <w:rPr>
          <w:rFonts w:ascii="Palatino Linotype" w:eastAsiaTheme="minorHAnsi" w:hAnsi="Palatino Linotype" w:cs="Arial"/>
          <w:b/>
          <w:bCs/>
          <w:lang w:eastAsia="en-US"/>
        </w:rPr>
        <w:lastRenderedPageBreak/>
        <w:t xml:space="preserve">ANEXOS 11250-2025_1.1.pdf: </w:t>
      </w:r>
      <w:r w:rsidR="00A97C28" w:rsidRPr="00273DCE">
        <w:rPr>
          <w:rFonts w:ascii="Palatino Linotype" w:eastAsiaTheme="minorHAnsi" w:hAnsi="Palatino Linotype" w:cs="Arial"/>
          <w:bCs/>
          <w:lang w:eastAsia="en-US"/>
        </w:rPr>
        <w:t>Oficio número 208010000/01013/2025, signado por el Director General de Servicios Públicos mediante el cual medularmente, ratifica su respuesta inicial.</w:t>
      </w:r>
    </w:p>
    <w:p w14:paraId="124D47AE" w14:textId="58CCAFAE" w:rsidR="00507622" w:rsidRPr="00273DCE" w:rsidRDefault="00507622" w:rsidP="00464375">
      <w:pPr>
        <w:spacing w:line="360" w:lineRule="auto"/>
        <w:ind w:right="141"/>
        <w:jc w:val="both"/>
        <w:rPr>
          <w:rFonts w:ascii="Palatino Linotype" w:eastAsiaTheme="minorHAnsi" w:hAnsi="Palatino Linotype" w:cs="Arial"/>
          <w:bCs/>
          <w:lang w:eastAsia="en-US"/>
        </w:rPr>
      </w:pPr>
      <w:r w:rsidRPr="00273DCE">
        <w:rPr>
          <w:rFonts w:ascii="Palatino Linotype" w:eastAsiaTheme="minorHAnsi" w:hAnsi="Palatino Linotype" w:cs="Arial"/>
          <w:bCs/>
          <w:lang w:eastAsia="en-US"/>
        </w:rPr>
        <w:tab/>
      </w:r>
    </w:p>
    <w:p w14:paraId="68B33661" w14:textId="314A90CF" w:rsidR="008A12CF" w:rsidRPr="00273DCE" w:rsidRDefault="00F10B01" w:rsidP="00464375">
      <w:pPr>
        <w:tabs>
          <w:tab w:val="left" w:pos="709"/>
        </w:tabs>
        <w:spacing w:line="360" w:lineRule="auto"/>
        <w:contextualSpacing/>
        <w:jc w:val="both"/>
        <w:rPr>
          <w:rFonts w:ascii="Palatino Linotype" w:hAnsi="Palatino Linotype" w:cs="Arial"/>
        </w:rPr>
      </w:pPr>
      <w:r w:rsidRPr="00273DCE">
        <w:rPr>
          <w:rFonts w:ascii="Palatino Linotype" w:hAnsi="Palatino Linotype" w:cs="Arial"/>
        </w:rPr>
        <w:t>Precisado lo anterior</w:t>
      </w:r>
      <w:r w:rsidR="008A12CF" w:rsidRPr="00273DCE">
        <w:rPr>
          <w:rFonts w:ascii="Palatino Linotype" w:hAnsi="Palatino Linotype" w:cs="Arial"/>
        </w:rPr>
        <w:t>, es de señalar que el artículo 4, párrafo segundo de la Ley de Transparencia y Acceso a la Información Pública del Estado de México y Municipios, dispone:</w:t>
      </w:r>
    </w:p>
    <w:p w14:paraId="3E3A15AF" w14:textId="77777777" w:rsidR="008A12CF" w:rsidRPr="00273DCE" w:rsidRDefault="008A12CF" w:rsidP="00464375">
      <w:pPr>
        <w:pStyle w:val="Sinespaciado"/>
        <w:rPr>
          <w:lang w:val="es-ES_tradnl"/>
        </w:rPr>
      </w:pPr>
    </w:p>
    <w:p w14:paraId="555EAA5F" w14:textId="77777777" w:rsidR="008A12CF" w:rsidRPr="00273DCE" w:rsidRDefault="008A12CF" w:rsidP="00464375">
      <w:pPr>
        <w:ind w:left="567" w:right="616"/>
        <w:jc w:val="both"/>
        <w:rPr>
          <w:rFonts w:ascii="Palatino Linotype" w:hAnsi="Palatino Linotype" w:cs="Arial"/>
          <w:i/>
          <w:sz w:val="22"/>
        </w:rPr>
      </w:pPr>
      <w:r w:rsidRPr="00273DCE">
        <w:rPr>
          <w:rFonts w:ascii="Palatino Linotype" w:hAnsi="Palatino Linotype" w:cs="Arial"/>
          <w:i/>
          <w:sz w:val="22"/>
        </w:rPr>
        <w:t>“</w:t>
      </w:r>
      <w:r w:rsidRPr="00273DCE">
        <w:rPr>
          <w:rFonts w:ascii="Palatino Linotype" w:hAnsi="Palatino Linotype" w:cs="Arial"/>
          <w:b/>
          <w:i/>
          <w:sz w:val="22"/>
        </w:rPr>
        <w:t xml:space="preserve">Artículo 4. </w:t>
      </w:r>
      <w:r w:rsidRPr="00273DCE">
        <w:rPr>
          <w:rFonts w:ascii="Palatino Linotype" w:hAnsi="Palatino Linotype" w:cs="Arial"/>
          <w:i/>
          <w:sz w:val="22"/>
        </w:rPr>
        <w:t xml:space="preserve">… </w:t>
      </w:r>
    </w:p>
    <w:p w14:paraId="2BBAE983" w14:textId="77777777" w:rsidR="008A12CF" w:rsidRPr="00273DCE" w:rsidRDefault="008A12CF" w:rsidP="00464375">
      <w:pPr>
        <w:ind w:left="567" w:right="616"/>
        <w:jc w:val="both"/>
        <w:rPr>
          <w:rFonts w:ascii="Palatino Linotype" w:hAnsi="Palatino Linotype" w:cs="Arial"/>
          <w:i/>
          <w:sz w:val="22"/>
        </w:rPr>
      </w:pPr>
      <w:r w:rsidRPr="00273DCE">
        <w:rPr>
          <w:rFonts w:ascii="Palatino Linotype" w:hAnsi="Palatino Linotype" w:cs="Arial"/>
          <w:i/>
          <w:sz w:val="22"/>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w:t>
      </w:r>
      <w:r w:rsidR="00FC1FC5" w:rsidRPr="00273DCE">
        <w:rPr>
          <w:rFonts w:ascii="Palatino Linotype" w:hAnsi="Palatino Linotype" w:cs="Arial"/>
          <w:i/>
          <w:sz w:val="22"/>
        </w:rPr>
        <w:t>evistas por esta Ley.</w:t>
      </w:r>
      <w:r w:rsidRPr="00273DCE">
        <w:rPr>
          <w:rFonts w:ascii="Palatino Linotype" w:hAnsi="Palatino Linotype" w:cs="Arial"/>
          <w:i/>
          <w:sz w:val="22"/>
        </w:rPr>
        <w:t>”</w:t>
      </w:r>
    </w:p>
    <w:p w14:paraId="3C9D08C1" w14:textId="77777777" w:rsidR="00E9680B" w:rsidRPr="00273DCE" w:rsidRDefault="00E9680B" w:rsidP="00464375">
      <w:pPr>
        <w:tabs>
          <w:tab w:val="left" w:pos="709"/>
        </w:tabs>
        <w:spacing w:line="360" w:lineRule="auto"/>
        <w:contextualSpacing/>
        <w:jc w:val="both"/>
        <w:rPr>
          <w:rFonts w:ascii="Palatino Linotype" w:hAnsi="Palatino Linotype" w:cs="Arial"/>
        </w:rPr>
      </w:pPr>
    </w:p>
    <w:p w14:paraId="6F65967F" w14:textId="77777777" w:rsidR="008A12CF" w:rsidRPr="00273DCE" w:rsidRDefault="008A12CF" w:rsidP="00464375">
      <w:pPr>
        <w:tabs>
          <w:tab w:val="left" w:pos="709"/>
        </w:tabs>
        <w:spacing w:line="360" w:lineRule="auto"/>
        <w:contextualSpacing/>
        <w:jc w:val="both"/>
        <w:rPr>
          <w:rFonts w:ascii="Palatino Linotype" w:hAnsi="Palatino Linotype" w:cs="Arial"/>
        </w:rPr>
      </w:pPr>
      <w:r w:rsidRPr="00273DCE">
        <w:rPr>
          <w:rFonts w:ascii="Palatino Linotype" w:hAnsi="Palatino Linotype" w:cs="Arial"/>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274B83CB" w14:textId="77777777" w:rsidR="008A12CF" w:rsidRPr="00273DCE" w:rsidRDefault="008A12CF" w:rsidP="00464375">
      <w:pPr>
        <w:tabs>
          <w:tab w:val="left" w:pos="709"/>
        </w:tabs>
        <w:spacing w:line="360" w:lineRule="auto"/>
        <w:contextualSpacing/>
        <w:jc w:val="both"/>
        <w:rPr>
          <w:rFonts w:ascii="Palatino Linotype" w:hAnsi="Palatino Linotype" w:cs="Arial"/>
        </w:rPr>
      </w:pPr>
    </w:p>
    <w:p w14:paraId="170BCDC1" w14:textId="77777777" w:rsidR="008A12CF" w:rsidRPr="00273DCE" w:rsidRDefault="008A12CF" w:rsidP="00464375">
      <w:pPr>
        <w:tabs>
          <w:tab w:val="left" w:pos="709"/>
        </w:tabs>
        <w:spacing w:line="360" w:lineRule="auto"/>
        <w:contextualSpacing/>
        <w:jc w:val="both"/>
        <w:rPr>
          <w:rFonts w:ascii="Palatino Linotype" w:hAnsi="Palatino Linotype" w:cs="Arial"/>
        </w:rPr>
      </w:pPr>
      <w:r w:rsidRPr="00273DCE">
        <w:rPr>
          <w:rFonts w:ascii="Palatino Linotype" w:hAnsi="Palatino Linotype" w:cs="Arial"/>
        </w:rPr>
        <w:t xml:space="preserve">Por su parte, el artículo 12, de la Ley de la materia establece que los Sujetos Obligados sólo proporcionarán la información que generen, recopilen, administren, manejen, procesen, archiven o conserven, y sólo facilitarán las que se les requiera y obre en sus archivos, en el estado en el que se encuentre, sin la obligación de generarla, resumirla, efectuar cálculos o practicar investigaciones; tal y como se señala a continuación: </w:t>
      </w:r>
    </w:p>
    <w:p w14:paraId="3AE111C5" w14:textId="77777777" w:rsidR="008A12CF" w:rsidRPr="00273DCE" w:rsidRDefault="008A12CF" w:rsidP="00464375">
      <w:pPr>
        <w:pStyle w:val="Sinespaciado"/>
        <w:rPr>
          <w:lang w:val="es-ES_tradnl"/>
        </w:rPr>
      </w:pPr>
    </w:p>
    <w:p w14:paraId="6773964B" w14:textId="77777777" w:rsidR="008A12CF" w:rsidRPr="00273DCE" w:rsidRDefault="008A12CF" w:rsidP="00464375">
      <w:pPr>
        <w:pStyle w:val="Sinespaciado"/>
        <w:rPr>
          <w:sz w:val="16"/>
          <w:lang w:val="es-ES_tradnl"/>
        </w:rPr>
      </w:pPr>
    </w:p>
    <w:p w14:paraId="5859B262" w14:textId="77777777" w:rsidR="008A12CF" w:rsidRPr="00273DCE" w:rsidRDefault="008A12CF" w:rsidP="00464375">
      <w:pPr>
        <w:ind w:left="567" w:right="616"/>
        <w:jc w:val="both"/>
        <w:rPr>
          <w:rFonts w:ascii="Palatino Linotype" w:hAnsi="Palatino Linotype" w:cs="Arial"/>
          <w:i/>
          <w:sz w:val="22"/>
        </w:rPr>
      </w:pPr>
      <w:r w:rsidRPr="00273DCE">
        <w:rPr>
          <w:rFonts w:ascii="Palatino Linotype" w:hAnsi="Palatino Linotype" w:cs="Arial"/>
          <w:i/>
          <w:sz w:val="22"/>
        </w:rPr>
        <w:lastRenderedPageBreak/>
        <w:t>“</w:t>
      </w:r>
      <w:r w:rsidRPr="00273DCE">
        <w:rPr>
          <w:rFonts w:ascii="Palatino Linotype" w:hAnsi="Palatino Linotype" w:cs="Arial"/>
          <w:b/>
          <w:i/>
          <w:sz w:val="22"/>
        </w:rPr>
        <w:t>Artículo 12.</w:t>
      </w:r>
      <w:r w:rsidRPr="00273DCE">
        <w:rPr>
          <w:rFonts w:ascii="Palatino Linotype" w:hAnsi="Palatino Linotype" w:cs="Arial"/>
          <w:i/>
          <w:sz w:val="22"/>
        </w:rPr>
        <w:t xml:space="preserve"> Quienes generen, recopilen, administren, manejen, procesen, archiven o conserven información pública serán responsables de la misma en los términos de las disposiciones jurídicas aplicables. </w:t>
      </w:r>
    </w:p>
    <w:p w14:paraId="041D2C1A" w14:textId="77777777" w:rsidR="008A12CF" w:rsidRPr="00273DCE" w:rsidRDefault="008A12CF" w:rsidP="00464375">
      <w:pPr>
        <w:ind w:left="567" w:right="616"/>
        <w:jc w:val="both"/>
        <w:rPr>
          <w:rFonts w:ascii="Palatino Linotype" w:hAnsi="Palatino Linotype" w:cs="Arial"/>
          <w:i/>
          <w:sz w:val="22"/>
        </w:rPr>
      </w:pPr>
    </w:p>
    <w:p w14:paraId="6E319465" w14:textId="77777777" w:rsidR="00CC2630" w:rsidRPr="00273DCE" w:rsidRDefault="008A12CF" w:rsidP="00464375">
      <w:pPr>
        <w:ind w:left="567" w:right="616"/>
        <w:jc w:val="both"/>
        <w:rPr>
          <w:rFonts w:ascii="Palatino Linotype" w:hAnsi="Palatino Linotype" w:cs="Arial"/>
          <w:i/>
          <w:sz w:val="22"/>
        </w:rPr>
      </w:pPr>
      <w:r w:rsidRPr="00273DCE">
        <w:rPr>
          <w:rFonts w:ascii="Palatino Linotype" w:hAnsi="Palatino Linotype" w:cs="Arial"/>
          <w:i/>
          <w:sz w:val="22"/>
        </w:rPr>
        <w:t>Los sujetos obligados sólo proporcionarán la información pública que se les requiera y que obre en sus archivos y en el estado en que ésta se encuentre. La obligación de proporcionar información no comprende el procesamiento de la misma, ni el presentarla conforme al interés del solicitante; no estarán obligados a generarla, resumirla, efectuar cálculos o practicar investigaciones.”</w:t>
      </w:r>
    </w:p>
    <w:p w14:paraId="2931C2E7" w14:textId="77777777" w:rsidR="00CC4D5E" w:rsidRPr="00273DCE" w:rsidRDefault="00CC4D5E" w:rsidP="00464375">
      <w:pPr>
        <w:tabs>
          <w:tab w:val="left" w:pos="709"/>
        </w:tabs>
        <w:spacing w:line="360" w:lineRule="auto"/>
        <w:contextualSpacing/>
        <w:jc w:val="both"/>
        <w:rPr>
          <w:rFonts w:ascii="Palatino Linotype" w:hAnsi="Palatino Linotype" w:cs="Arial"/>
        </w:rPr>
      </w:pPr>
    </w:p>
    <w:p w14:paraId="7F16D44F" w14:textId="3F7C9375" w:rsidR="008A12CF" w:rsidRPr="00273DCE" w:rsidRDefault="008A12CF" w:rsidP="00464375">
      <w:pPr>
        <w:tabs>
          <w:tab w:val="left" w:pos="709"/>
        </w:tabs>
        <w:spacing w:line="360" w:lineRule="auto"/>
        <w:contextualSpacing/>
        <w:jc w:val="both"/>
        <w:rPr>
          <w:rFonts w:ascii="Palatino Linotype" w:hAnsi="Palatino Linotype" w:cs="Arial"/>
        </w:rPr>
      </w:pPr>
      <w:r w:rsidRPr="00273DCE">
        <w:rPr>
          <w:rFonts w:ascii="Palatino Linotype" w:hAnsi="Palatino Linotype" w:cs="Arial"/>
        </w:rPr>
        <w:t>En síntesis, el derecho de acceso a la información pública se satisface en aquellos casos en que se entregue el soporte documental en que conste la información pública, asimismo, el artículo 24, de la Ley de la materia, dispone que los Sujetos Obligados sólo proporcionarán la información pública que generen, administren o posean en el ejercicio de sus atribuciones; por consiguiente, la información pública se encuentra a disposición de cualquier persona, lo que implica que es deber de los Sujetos Obligados, garantizar el derecho de acceso a la información pública.</w:t>
      </w:r>
    </w:p>
    <w:p w14:paraId="29DBD103" w14:textId="77777777" w:rsidR="008A12CF" w:rsidRPr="00273DCE" w:rsidRDefault="008A12CF" w:rsidP="00464375">
      <w:pPr>
        <w:tabs>
          <w:tab w:val="left" w:pos="709"/>
        </w:tabs>
        <w:spacing w:line="360" w:lineRule="auto"/>
        <w:contextualSpacing/>
        <w:jc w:val="both"/>
        <w:rPr>
          <w:rFonts w:ascii="Palatino Linotype" w:hAnsi="Palatino Linotype" w:cs="Arial"/>
        </w:rPr>
      </w:pPr>
    </w:p>
    <w:p w14:paraId="70EE32BC" w14:textId="77777777" w:rsidR="008A12CF" w:rsidRPr="00273DCE" w:rsidRDefault="008A12CF" w:rsidP="00464375">
      <w:pPr>
        <w:tabs>
          <w:tab w:val="left" w:pos="709"/>
        </w:tabs>
        <w:spacing w:line="360" w:lineRule="auto"/>
        <w:contextualSpacing/>
        <w:jc w:val="both"/>
        <w:rPr>
          <w:rFonts w:ascii="Palatino Linotype" w:hAnsi="Palatino Linotype" w:cs="Arial"/>
        </w:rPr>
      </w:pPr>
      <w:r w:rsidRPr="00273DCE">
        <w:rPr>
          <w:rFonts w:ascii="Palatino Linotype" w:hAnsi="Palatino Linotype" w:cs="Arial"/>
        </w:rPr>
        <w:t xml:space="preserve">En esta misma tesitura, el derecho de acceso a la información pública, consiste en que la información solicitada conste en un soporte documental en cualquiera de sus formas, a saber: </w:t>
      </w:r>
      <w:r w:rsidRPr="00273DCE">
        <w:rPr>
          <w:rFonts w:ascii="Palatino Linotype" w:hAnsi="Palatino Linotype" w:cs="Arial"/>
          <w:b/>
          <w:u w:val="single"/>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273DCE">
        <w:rPr>
          <w:rFonts w:ascii="Palatino Linotype" w:hAnsi="Palatino Linotype" w:cs="Arial"/>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7D1D3D8B" w14:textId="77777777" w:rsidR="008A12CF" w:rsidRPr="00273DCE" w:rsidRDefault="008A12CF" w:rsidP="00464375">
      <w:pPr>
        <w:pStyle w:val="Sinespaciado"/>
        <w:rPr>
          <w:lang w:val="es-ES_tradnl"/>
        </w:rPr>
      </w:pPr>
    </w:p>
    <w:p w14:paraId="65CF0963" w14:textId="77777777" w:rsidR="008A12CF" w:rsidRPr="00273DCE" w:rsidRDefault="008A12CF" w:rsidP="00464375">
      <w:pPr>
        <w:ind w:left="567" w:right="616"/>
        <w:jc w:val="both"/>
        <w:rPr>
          <w:rFonts w:ascii="Palatino Linotype" w:hAnsi="Palatino Linotype" w:cs="Arial"/>
          <w:i/>
          <w:sz w:val="22"/>
        </w:rPr>
      </w:pPr>
      <w:r w:rsidRPr="00273DCE">
        <w:rPr>
          <w:rFonts w:ascii="Palatino Linotype" w:hAnsi="Palatino Linotype" w:cs="Arial"/>
          <w:i/>
          <w:sz w:val="22"/>
        </w:rPr>
        <w:t>“</w:t>
      </w:r>
      <w:r w:rsidRPr="00273DCE">
        <w:rPr>
          <w:rFonts w:ascii="Palatino Linotype" w:hAnsi="Palatino Linotype" w:cs="Arial"/>
          <w:b/>
          <w:i/>
          <w:sz w:val="22"/>
        </w:rPr>
        <w:t xml:space="preserve">Artículo 3. </w:t>
      </w:r>
      <w:r w:rsidRPr="00273DCE">
        <w:rPr>
          <w:rFonts w:ascii="Palatino Linotype" w:hAnsi="Palatino Linotype" w:cs="Arial"/>
          <w:i/>
          <w:sz w:val="22"/>
        </w:rPr>
        <w:t>Para los efectos de la presente Ley se entenderá por:</w:t>
      </w:r>
    </w:p>
    <w:p w14:paraId="52A7F999" w14:textId="77777777" w:rsidR="008A12CF" w:rsidRPr="00273DCE" w:rsidRDefault="008A12CF" w:rsidP="00464375">
      <w:pPr>
        <w:ind w:left="567" w:right="616"/>
        <w:jc w:val="both"/>
        <w:rPr>
          <w:rFonts w:ascii="Palatino Linotype" w:hAnsi="Palatino Linotype" w:cs="Arial"/>
          <w:i/>
          <w:sz w:val="22"/>
        </w:rPr>
      </w:pPr>
      <w:r w:rsidRPr="00273DCE">
        <w:rPr>
          <w:rFonts w:ascii="Palatino Linotype" w:hAnsi="Palatino Linotype" w:cs="Arial"/>
          <w:i/>
          <w:sz w:val="22"/>
        </w:rPr>
        <w:t>(…)</w:t>
      </w:r>
    </w:p>
    <w:p w14:paraId="111F4C3C" w14:textId="77777777" w:rsidR="008A12CF" w:rsidRPr="00273DCE" w:rsidRDefault="008A12CF" w:rsidP="00464375">
      <w:pPr>
        <w:ind w:left="567" w:right="616"/>
        <w:jc w:val="both"/>
        <w:rPr>
          <w:rFonts w:ascii="Palatino Linotype" w:hAnsi="Palatino Linotype" w:cs="Arial"/>
          <w:i/>
          <w:sz w:val="22"/>
        </w:rPr>
      </w:pPr>
      <w:r w:rsidRPr="00273DCE">
        <w:rPr>
          <w:rFonts w:ascii="Palatino Linotype" w:hAnsi="Palatino Linotype" w:cs="Arial"/>
          <w:b/>
          <w:i/>
          <w:sz w:val="22"/>
        </w:rPr>
        <w:lastRenderedPageBreak/>
        <w:t>XI. Documento:</w:t>
      </w:r>
      <w:r w:rsidRPr="00273DCE">
        <w:rPr>
          <w:rFonts w:ascii="Palatino Linotype" w:hAnsi="Palatino Linotype" w:cs="Arial"/>
          <w:i/>
          <w:sz w:val="22"/>
        </w:rPr>
        <w:t xml:space="preserve"> Los expedientes, reportes, estudios, actas, resoluciones, oficios, correspondencia, acuerdos, directivas, directrices, circulares, contratos, convenios, instructivos, notas, memorandos, estadísticas o bien, cualquier otro </w:t>
      </w:r>
      <w:r w:rsidRPr="00273DCE">
        <w:rPr>
          <w:rFonts w:ascii="Palatino Linotype" w:hAnsi="Palatino Linotype" w:cs="Arial"/>
          <w:b/>
          <w:i/>
          <w:sz w:val="22"/>
          <w:u w:val="single"/>
        </w:rPr>
        <w:t>registro que documente el ejercicio de las facultades, funciones y competencias de los sujetos obligados</w:t>
      </w:r>
      <w:r w:rsidRPr="00273DCE">
        <w:rPr>
          <w:rFonts w:ascii="Palatino Linotype" w:hAnsi="Palatino Linotype" w:cs="Arial"/>
          <w:i/>
          <w:sz w:val="22"/>
          <w:u w:val="single"/>
        </w:rPr>
        <w:t>,</w:t>
      </w:r>
      <w:r w:rsidRPr="00273DCE">
        <w:rPr>
          <w:rFonts w:ascii="Palatino Linotype" w:hAnsi="Palatino Linotype" w:cs="Arial"/>
          <w:i/>
          <w:sz w:val="22"/>
        </w:rPr>
        <w:t xml:space="preserve"> sus servidores públicos e integrantes, </w:t>
      </w:r>
      <w:r w:rsidRPr="00273DCE">
        <w:rPr>
          <w:rFonts w:ascii="Palatino Linotype" w:hAnsi="Palatino Linotype" w:cs="Arial"/>
          <w:b/>
          <w:i/>
          <w:sz w:val="22"/>
          <w:u w:val="single"/>
        </w:rPr>
        <w:t>sin importar su fuente o fecha de elaboración.</w:t>
      </w:r>
      <w:r w:rsidRPr="00273DCE">
        <w:rPr>
          <w:rFonts w:ascii="Palatino Linotype" w:hAnsi="Palatino Linotype" w:cs="Arial"/>
          <w:i/>
          <w:sz w:val="22"/>
        </w:rPr>
        <w:t xml:space="preserve"> Los documentos podrán estar en cualquier medio, sea escrito, impreso, sonoro, visual, electrónico, informático u holográfico;</w:t>
      </w:r>
    </w:p>
    <w:p w14:paraId="78BC519E" w14:textId="77777777" w:rsidR="008A12CF" w:rsidRPr="00273DCE" w:rsidRDefault="008A12CF" w:rsidP="00464375">
      <w:pPr>
        <w:ind w:left="567" w:right="616"/>
        <w:jc w:val="both"/>
        <w:rPr>
          <w:rFonts w:ascii="Palatino Linotype" w:hAnsi="Palatino Linotype" w:cs="Arial"/>
          <w:i/>
          <w:sz w:val="22"/>
        </w:rPr>
      </w:pPr>
      <w:r w:rsidRPr="00273DCE">
        <w:rPr>
          <w:rFonts w:ascii="Palatino Linotype" w:hAnsi="Palatino Linotype" w:cs="Arial"/>
          <w:i/>
          <w:sz w:val="22"/>
        </w:rPr>
        <w:t>(…)”</w:t>
      </w:r>
    </w:p>
    <w:p w14:paraId="6B940099" w14:textId="77777777" w:rsidR="008A12CF" w:rsidRPr="00273DCE" w:rsidRDefault="008A12CF" w:rsidP="00464375">
      <w:pPr>
        <w:rPr>
          <w:sz w:val="14"/>
        </w:rPr>
      </w:pPr>
    </w:p>
    <w:p w14:paraId="27E7E47F" w14:textId="77777777" w:rsidR="008A12CF" w:rsidRPr="00273DCE" w:rsidRDefault="008A12CF" w:rsidP="00464375"/>
    <w:p w14:paraId="063599CE" w14:textId="77777777" w:rsidR="008A12CF" w:rsidRPr="00273DCE" w:rsidRDefault="008A12CF" w:rsidP="00464375">
      <w:pPr>
        <w:spacing w:line="360" w:lineRule="auto"/>
        <w:ind w:right="49"/>
        <w:contextualSpacing/>
        <w:jc w:val="both"/>
        <w:rPr>
          <w:rFonts w:ascii="Palatino Linotype" w:hAnsi="Palatino Linotype" w:cs="Arial"/>
        </w:rPr>
      </w:pPr>
      <w:r w:rsidRPr="00273DCE">
        <w:rPr>
          <w:rFonts w:ascii="Palatino Linotype" w:hAnsi="Palatino Linotype" w:cs="Arial"/>
        </w:rPr>
        <w:t xml:space="preserve">Además, </w:t>
      </w:r>
      <w:r w:rsidRPr="00273DCE">
        <w:rPr>
          <w:rFonts w:ascii="Palatino Linotype" w:eastAsia="MS Mincho" w:hAnsi="Palatino Linotype"/>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515A3A1E" w14:textId="77777777" w:rsidR="008A12CF" w:rsidRPr="00273DCE" w:rsidRDefault="008A12CF" w:rsidP="00464375">
      <w:pPr>
        <w:spacing w:line="360" w:lineRule="auto"/>
        <w:ind w:right="49"/>
        <w:contextualSpacing/>
        <w:jc w:val="both"/>
        <w:rPr>
          <w:rFonts w:ascii="Palatino Linotype" w:hAnsi="Palatino Linotype" w:cs="Arial"/>
        </w:rPr>
      </w:pPr>
    </w:p>
    <w:p w14:paraId="0D747947" w14:textId="77777777" w:rsidR="008A12CF" w:rsidRPr="00273DCE" w:rsidRDefault="008A12CF" w:rsidP="00464375">
      <w:pPr>
        <w:spacing w:line="360" w:lineRule="auto"/>
        <w:ind w:right="49"/>
        <w:contextualSpacing/>
        <w:jc w:val="both"/>
        <w:rPr>
          <w:rFonts w:ascii="Palatino Linotype" w:eastAsia="MS Mincho" w:hAnsi="Palatino Linotype" w:cs="Tahoma"/>
        </w:rPr>
      </w:pPr>
      <w:r w:rsidRPr="00273DCE">
        <w:rPr>
          <w:rFonts w:ascii="Palatino Linotype" w:hAnsi="Palatino Linotype" w:cs="Arial"/>
        </w:rPr>
        <w:t xml:space="preserve">De la misma forma, </w:t>
      </w:r>
      <w:r w:rsidRPr="00273DCE">
        <w:rPr>
          <w:rFonts w:ascii="Palatino Linotype" w:eastAsia="MS Mincho" w:hAnsi="Palatino Linotype"/>
        </w:rPr>
        <w:t>de acuerdo al contenido del artículo 160,</w:t>
      </w:r>
      <w:r w:rsidRPr="00273DCE">
        <w:rPr>
          <w:rFonts w:ascii="Palatino Linotype" w:hAnsi="Palatino Linotype" w:cs="Arial"/>
        </w:rPr>
        <w:t xml:space="preserve"> de la Ley </w:t>
      </w:r>
      <w:r w:rsidRPr="00273DCE">
        <w:rPr>
          <w:rFonts w:ascii="Palatino Linotype" w:eastAsia="MS Mincho" w:hAnsi="Palatino Linotype" w:cs="Tahoma"/>
        </w:rPr>
        <w:t>General de Transparencia y Acceso a la Información Pública que a la letra dispone:</w:t>
      </w:r>
    </w:p>
    <w:p w14:paraId="485D4D3E" w14:textId="77777777" w:rsidR="008A12CF" w:rsidRPr="00273DCE" w:rsidRDefault="008A12CF" w:rsidP="00464375"/>
    <w:p w14:paraId="3E69230F" w14:textId="77777777" w:rsidR="008A12CF" w:rsidRPr="00273DCE" w:rsidRDefault="008A12CF" w:rsidP="00464375">
      <w:pPr>
        <w:ind w:left="567" w:right="616"/>
        <w:contextualSpacing/>
        <w:jc w:val="both"/>
        <w:rPr>
          <w:rFonts w:ascii="Palatino Linotype" w:hAnsi="Palatino Linotype" w:cs="Arial"/>
          <w:i/>
          <w:sz w:val="22"/>
          <w:lang w:eastAsia="gl-ES"/>
        </w:rPr>
      </w:pPr>
      <w:r w:rsidRPr="00273DCE">
        <w:rPr>
          <w:rFonts w:ascii="Palatino Linotype" w:hAnsi="Palatino Linotype" w:cs="Arial"/>
          <w:b/>
          <w:i/>
          <w:sz w:val="22"/>
          <w:lang w:eastAsia="gl-ES"/>
        </w:rPr>
        <w:t>Artículo 160</w:t>
      </w:r>
      <w:r w:rsidRPr="00273DCE">
        <w:rPr>
          <w:rFonts w:ascii="Palatino Linotype" w:hAnsi="Palatino Linotype" w:cs="Arial"/>
          <w:i/>
          <w:sz w:val="22"/>
          <w:lang w:eastAsia="gl-ES"/>
        </w:rPr>
        <w:t>. Los sujetos obligados deberán otorgar acceso a los documentos que se encuentren en sus archivos o que estén obligados a documentar de acuerdo con sus facultades, competencias o funciones en el formato que el solicitante manifieste, de entre aquellos formatos existentes, conforme a las características físicas de la información o del lugar donde se encuentre así lo permita.</w:t>
      </w:r>
    </w:p>
    <w:p w14:paraId="6272C0A0" w14:textId="77777777" w:rsidR="008A12CF" w:rsidRPr="00273DCE" w:rsidRDefault="008A12CF" w:rsidP="00464375">
      <w:pPr>
        <w:ind w:left="851" w:right="616"/>
        <w:contextualSpacing/>
        <w:jc w:val="both"/>
        <w:rPr>
          <w:rFonts w:ascii="Palatino Linotype" w:hAnsi="Palatino Linotype" w:cs="Arial"/>
          <w:i/>
          <w:sz w:val="22"/>
          <w:lang w:eastAsia="gl-ES"/>
        </w:rPr>
      </w:pPr>
    </w:p>
    <w:p w14:paraId="6754B395" w14:textId="77777777" w:rsidR="008A12CF" w:rsidRPr="00273DCE" w:rsidRDefault="008A12CF" w:rsidP="00464375">
      <w:pPr>
        <w:ind w:left="851" w:right="616"/>
        <w:contextualSpacing/>
        <w:jc w:val="both"/>
        <w:rPr>
          <w:rFonts w:ascii="Palatino Linotype" w:hAnsi="Palatino Linotype" w:cs="Arial"/>
          <w:i/>
          <w:sz w:val="14"/>
          <w:lang w:eastAsia="gl-ES"/>
        </w:rPr>
      </w:pPr>
    </w:p>
    <w:p w14:paraId="377A45D4" w14:textId="77777777" w:rsidR="008A12CF" w:rsidRPr="00273DCE" w:rsidRDefault="008A12CF" w:rsidP="00464375">
      <w:pPr>
        <w:spacing w:line="360" w:lineRule="auto"/>
        <w:jc w:val="both"/>
        <w:rPr>
          <w:rFonts w:ascii="Palatino Linotype" w:hAnsi="Palatino Linotype" w:cs="Arial"/>
          <w:color w:val="222222"/>
          <w:szCs w:val="19"/>
        </w:rPr>
      </w:pPr>
      <w:r w:rsidRPr="00273DCE">
        <w:rPr>
          <w:rFonts w:ascii="Palatino Linotype" w:hAnsi="Palatino Linotype"/>
          <w:color w:val="000000"/>
        </w:rPr>
        <w:lastRenderedPageBreak/>
        <w:t xml:space="preserve">Sirve como apoyo </w:t>
      </w:r>
      <w:r w:rsidRPr="00273DCE">
        <w:rPr>
          <w:rFonts w:ascii="Palatino Linotype" w:hAnsi="Palatino Linotype" w:cs="Arial"/>
          <w:color w:val="222222"/>
          <w:szCs w:val="19"/>
        </w:rPr>
        <w:t>a lo anterior, el criterio 09-10, emitido por el Pleno del entonces Instituto Federal de Acceso a la Información y Protección de Datos, que a la letra dice:</w:t>
      </w:r>
    </w:p>
    <w:p w14:paraId="68D5A2AA" w14:textId="77777777" w:rsidR="008A12CF" w:rsidRPr="00273DCE" w:rsidRDefault="008A12CF" w:rsidP="00464375">
      <w:pPr>
        <w:pStyle w:val="Sinespaciado"/>
        <w:rPr>
          <w:lang w:val="es-ES_tradnl" w:eastAsia="es-MX"/>
        </w:rPr>
      </w:pPr>
    </w:p>
    <w:p w14:paraId="66CE4CFD" w14:textId="77777777" w:rsidR="008A12CF" w:rsidRPr="00273DCE" w:rsidRDefault="008A12CF" w:rsidP="00464375">
      <w:pPr>
        <w:shd w:val="clear" w:color="auto" w:fill="FFFFFF"/>
        <w:tabs>
          <w:tab w:val="left" w:pos="8647"/>
        </w:tabs>
        <w:ind w:left="567" w:right="616"/>
        <w:jc w:val="both"/>
        <w:rPr>
          <w:rFonts w:ascii="Palatino Linotype" w:hAnsi="Palatino Linotype" w:cs="Arial"/>
          <w:i/>
          <w:iCs/>
          <w:color w:val="222222"/>
          <w:sz w:val="22"/>
        </w:rPr>
      </w:pPr>
      <w:r w:rsidRPr="00273DCE">
        <w:rPr>
          <w:rFonts w:ascii="Palatino Linotype" w:hAnsi="Palatino Linotype" w:cs="Arial"/>
          <w:b/>
          <w:bCs/>
          <w:i/>
          <w:iCs/>
          <w:color w:val="222222"/>
          <w:sz w:val="22"/>
        </w:rPr>
        <w:t>“Las dependencias y entidades no están obligadas a generar documentos ad hoc para responder una solicitud de acceso a la información. </w:t>
      </w:r>
      <w:r w:rsidRPr="00273DCE">
        <w:rPr>
          <w:rFonts w:ascii="Palatino Linotype" w:hAnsi="Palatino Linotype" w:cs="Arial"/>
          <w:i/>
          <w:iCs/>
          <w:color w:val="222222"/>
          <w:sz w:val="22"/>
        </w:rPr>
        <w:t>Tomando en consideración lo establecido por el artículo 42 de la Ley Federal de Transparencia y Acceso a la Información Pública Gubernamental, que establece que las dependencias y entidades sólo estarán obligadas a entregar documentos que se encuentren en sus archivos, las dependencias y entidades no están obligadas a elaborar documentos ad hoc para atender las solicitudes de información, sino que deben garantizar el acceso a la información con la que cuentan en el formato que la misma así lo permita o se encuentre, en aras de dar satisfacción a la solicitud presentada.” (Sic)</w:t>
      </w:r>
    </w:p>
    <w:p w14:paraId="136C8212" w14:textId="77777777" w:rsidR="008A12CF" w:rsidRPr="00273DCE" w:rsidRDefault="008A12CF" w:rsidP="00464375">
      <w:pPr>
        <w:pStyle w:val="Sinespaciado"/>
        <w:rPr>
          <w:lang w:val="es-ES_tradnl"/>
        </w:rPr>
      </w:pPr>
    </w:p>
    <w:p w14:paraId="44C69F31" w14:textId="77777777" w:rsidR="008A12CF" w:rsidRPr="00273DCE" w:rsidRDefault="008A12CF" w:rsidP="00464375">
      <w:pPr>
        <w:pStyle w:val="Sinespaciado"/>
        <w:rPr>
          <w:lang w:val="es-ES_tradnl"/>
        </w:rPr>
      </w:pPr>
    </w:p>
    <w:p w14:paraId="12D5EC8D" w14:textId="77777777" w:rsidR="008A12CF" w:rsidRPr="00273DCE" w:rsidRDefault="008A12CF" w:rsidP="00464375">
      <w:pPr>
        <w:spacing w:line="360" w:lineRule="auto"/>
        <w:contextualSpacing/>
        <w:jc w:val="both"/>
        <w:rPr>
          <w:rFonts w:ascii="Palatino Linotype" w:hAnsi="Palatino Linotype" w:cs="Arial"/>
        </w:rPr>
      </w:pPr>
      <w:r w:rsidRPr="00273DCE">
        <w:rPr>
          <w:rFonts w:ascii="Palatino Linotype" w:hAnsi="Palatino Linotype" w:cs="Arial"/>
          <w:bCs/>
        </w:rPr>
        <w:t xml:space="preserve">Además, </w:t>
      </w:r>
      <w:r w:rsidRPr="00273DCE">
        <w:rPr>
          <w:rFonts w:ascii="Palatino Linotype" w:hAnsi="Palatino Linotype" w:cs="Arial"/>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33E09738" w14:textId="77777777" w:rsidR="00581DC8" w:rsidRPr="00273DCE" w:rsidRDefault="00581DC8" w:rsidP="00464375">
      <w:pPr>
        <w:pStyle w:val="Sinespaciado"/>
        <w:rPr>
          <w:lang w:val="es-ES_tradnl"/>
        </w:rPr>
      </w:pPr>
    </w:p>
    <w:p w14:paraId="4A160973" w14:textId="77777777" w:rsidR="00581DC8" w:rsidRPr="00273DCE" w:rsidRDefault="00581DC8" w:rsidP="00464375">
      <w:pPr>
        <w:ind w:left="567" w:right="616"/>
        <w:contextualSpacing/>
        <w:jc w:val="both"/>
        <w:rPr>
          <w:rFonts w:ascii="Palatino Linotype" w:hAnsi="Palatino Linotype" w:cs="Arial"/>
          <w:i/>
          <w:sz w:val="22"/>
        </w:rPr>
      </w:pPr>
      <w:r w:rsidRPr="00273DCE">
        <w:rPr>
          <w:rFonts w:ascii="Palatino Linotype" w:hAnsi="Palatino Linotype" w:cs="Arial"/>
          <w:b/>
          <w:i/>
          <w:sz w:val="22"/>
        </w:rPr>
        <w:t>Artículo 23.</w:t>
      </w:r>
      <w:r w:rsidRPr="00273DCE">
        <w:rPr>
          <w:rFonts w:ascii="Palatino Linotype" w:hAnsi="Palatino Linotype" w:cs="Arial"/>
          <w:i/>
          <w:sz w:val="22"/>
        </w:rPr>
        <w:t xml:space="preserve"> Son sujetos obligados a transparentar y permitir el acceso a su información y proteger los datos personales que obren en su poder:</w:t>
      </w:r>
    </w:p>
    <w:p w14:paraId="4A754CE7" w14:textId="392463F2" w:rsidR="00F930F7" w:rsidRPr="00273DCE" w:rsidRDefault="00F930F7" w:rsidP="00464375">
      <w:pPr>
        <w:ind w:left="567" w:right="616"/>
        <w:contextualSpacing/>
        <w:jc w:val="both"/>
        <w:rPr>
          <w:rFonts w:ascii="Palatino Linotype" w:hAnsi="Palatino Linotype" w:cs="Arial"/>
          <w:i/>
          <w:sz w:val="22"/>
        </w:rPr>
      </w:pPr>
    </w:p>
    <w:p w14:paraId="111428BD" w14:textId="5D7C6758" w:rsidR="00F930F7" w:rsidRPr="00273DCE" w:rsidRDefault="004D31B0" w:rsidP="00464375">
      <w:pPr>
        <w:ind w:left="567" w:right="616"/>
        <w:contextualSpacing/>
        <w:jc w:val="both"/>
        <w:rPr>
          <w:rFonts w:ascii="Palatino Linotype" w:eastAsiaTheme="minorHAnsi" w:hAnsi="Palatino Linotype" w:cs="Bookman Old Style"/>
          <w:i/>
          <w:color w:val="000000"/>
          <w:sz w:val="22"/>
          <w:szCs w:val="20"/>
          <w:lang w:eastAsia="en-US"/>
        </w:rPr>
      </w:pPr>
      <w:r w:rsidRPr="00273DCE">
        <w:rPr>
          <w:rFonts w:ascii="Palatino Linotype" w:eastAsiaTheme="minorHAnsi" w:hAnsi="Palatino Linotype" w:cs="Bookman Old Style"/>
          <w:b/>
          <w:bCs/>
          <w:i/>
          <w:color w:val="000000"/>
          <w:sz w:val="22"/>
          <w:szCs w:val="20"/>
          <w:lang w:eastAsia="en-US"/>
        </w:rPr>
        <w:t xml:space="preserve">I. </w:t>
      </w:r>
      <w:r w:rsidR="00393727" w:rsidRPr="00273DCE">
        <w:rPr>
          <w:rFonts w:ascii="Palatino Linotype" w:eastAsiaTheme="minorHAnsi" w:hAnsi="Palatino Linotype" w:cs="Bookman Old Style"/>
          <w:i/>
          <w:color w:val="000000"/>
          <w:sz w:val="22"/>
          <w:szCs w:val="20"/>
          <w:lang w:eastAsia="en-US"/>
        </w:rPr>
        <w:t>El Poder Ejecutivo del Estado de México, las dependencias, organismos auxiliares, órganos, entidades, fideicomisos y fondos públicos, así como la Fiscalía General de Justicia del Estado de México;</w:t>
      </w:r>
    </w:p>
    <w:p w14:paraId="6C2CF2A6" w14:textId="71FF0B77" w:rsidR="00393727" w:rsidRPr="00273DCE" w:rsidRDefault="00393727" w:rsidP="00464375">
      <w:pPr>
        <w:ind w:left="567" w:right="616"/>
        <w:contextualSpacing/>
        <w:jc w:val="both"/>
        <w:rPr>
          <w:rFonts w:ascii="Palatino Linotype" w:eastAsiaTheme="minorHAnsi" w:hAnsi="Palatino Linotype" w:cs="Bookman Old Style"/>
          <w:b/>
          <w:bCs/>
          <w:i/>
          <w:color w:val="000000"/>
          <w:sz w:val="22"/>
          <w:szCs w:val="20"/>
          <w:lang w:eastAsia="en-US"/>
        </w:rPr>
      </w:pPr>
      <w:r w:rsidRPr="00273DCE">
        <w:rPr>
          <w:rFonts w:ascii="Palatino Linotype" w:eastAsiaTheme="minorHAnsi" w:hAnsi="Palatino Linotype" w:cs="Bookman Old Style"/>
          <w:b/>
          <w:bCs/>
          <w:i/>
          <w:color w:val="000000"/>
          <w:sz w:val="22"/>
          <w:szCs w:val="20"/>
          <w:lang w:eastAsia="en-US"/>
        </w:rPr>
        <w:t>(…)</w:t>
      </w:r>
    </w:p>
    <w:p w14:paraId="4D6BA6F0" w14:textId="77777777" w:rsidR="00031EFF" w:rsidRPr="00273DCE" w:rsidRDefault="00031EFF" w:rsidP="00464375">
      <w:pPr>
        <w:spacing w:line="360" w:lineRule="auto"/>
        <w:jc w:val="both"/>
        <w:rPr>
          <w:rFonts w:ascii="Palatino Linotype" w:hAnsi="Palatino Linotype" w:cs="Arial"/>
        </w:rPr>
      </w:pPr>
    </w:p>
    <w:p w14:paraId="74DD238E" w14:textId="77777777" w:rsidR="005741CC" w:rsidRPr="00273DCE" w:rsidRDefault="005741CC" w:rsidP="005741CC">
      <w:pPr>
        <w:spacing w:line="360" w:lineRule="auto"/>
        <w:jc w:val="both"/>
        <w:rPr>
          <w:rFonts w:ascii="Palatino Linotype" w:hAnsi="Palatino Linotype" w:cs="Arial"/>
        </w:rPr>
      </w:pPr>
      <w:r w:rsidRPr="00273DCE">
        <w:rPr>
          <w:rFonts w:ascii="Palatino Linotype" w:hAnsi="Palatino Linotype" w:cs="Arial"/>
        </w:rPr>
        <w:t xml:space="preserve">Por lo que, de la respuesta emitida por parte de la Unidad de Transparencia del </w:t>
      </w:r>
      <w:r w:rsidRPr="00273DCE">
        <w:rPr>
          <w:rFonts w:ascii="Palatino Linotype" w:hAnsi="Palatino Linotype" w:cs="Arial"/>
          <w:b/>
        </w:rPr>
        <w:t>Sujeto Obligado</w:t>
      </w:r>
      <w:r w:rsidRPr="00273DCE">
        <w:rPr>
          <w:rFonts w:ascii="Palatino Linotype" w:hAnsi="Palatino Linotype" w:cs="Arial"/>
        </w:rPr>
        <w:t xml:space="preserve"> generó, se enuncia cada una de las respuestas proporcionadas, con la finalidad de saber si se da cumplimiento a todos los requerimientos y si lo motivos de inconformidad resultan procedentes, de conformidad con lo siguiente:</w:t>
      </w:r>
    </w:p>
    <w:p w14:paraId="62A9F545" w14:textId="4C58DB08" w:rsidR="005741CC" w:rsidRPr="00273DCE" w:rsidRDefault="005741CC" w:rsidP="00464375">
      <w:pPr>
        <w:spacing w:line="360" w:lineRule="auto"/>
        <w:jc w:val="both"/>
        <w:rPr>
          <w:rFonts w:ascii="Palatino Linotype" w:eastAsiaTheme="minorHAnsi" w:hAnsi="Palatino Linotype" w:cs="Arial"/>
          <w:szCs w:val="22"/>
          <w:lang w:eastAsia="en-US"/>
        </w:rPr>
      </w:pPr>
    </w:p>
    <w:p w14:paraId="07D78D23" w14:textId="6479916F" w:rsidR="005741CC" w:rsidRPr="00273DCE" w:rsidRDefault="005741CC" w:rsidP="00464375">
      <w:pPr>
        <w:spacing w:line="360" w:lineRule="auto"/>
        <w:jc w:val="both"/>
        <w:rPr>
          <w:rFonts w:ascii="Palatino Linotype" w:eastAsiaTheme="minorHAnsi" w:hAnsi="Palatino Linotype" w:cs="Arial"/>
          <w:szCs w:val="22"/>
          <w:lang w:eastAsia="en-US"/>
        </w:rPr>
      </w:pPr>
      <w:r w:rsidRPr="00273DCE">
        <w:rPr>
          <w:rFonts w:ascii="Palatino Linotype" w:eastAsiaTheme="minorHAnsi" w:hAnsi="Palatino Linotype" w:cs="Arial"/>
          <w:szCs w:val="22"/>
          <w:lang w:eastAsia="en-US"/>
        </w:rPr>
        <w:lastRenderedPageBreak/>
        <w:t>Respecto al punto uno y dos, relacionados con los gastos ejercidos de enero al diecinueve de agosto de dos mil veinticinco, para pavimentación y para bacheo, el Sujeto Obligado tuvo a bien adjuntar el Estado Analítico del Presupuesto de Egresos Clasificación por Objeto del Gasto (enero-junio 2025)</w:t>
      </w:r>
      <w:r w:rsidR="00367584" w:rsidRPr="00273DCE">
        <w:rPr>
          <w:rFonts w:ascii="Palatino Linotype" w:eastAsiaTheme="minorHAnsi" w:hAnsi="Palatino Linotype" w:cs="Arial"/>
          <w:szCs w:val="22"/>
          <w:lang w:eastAsia="en-US"/>
        </w:rPr>
        <w:t xml:space="preserve">, sin embargo la información remitida únicamente corresponde del mes de enero al mes de junio, </w:t>
      </w:r>
      <w:r w:rsidR="00D9608B" w:rsidRPr="00273DCE">
        <w:rPr>
          <w:rFonts w:ascii="Palatino Linotype" w:eastAsiaTheme="minorHAnsi" w:hAnsi="Palatino Linotype" w:cs="Arial"/>
          <w:szCs w:val="22"/>
          <w:lang w:eastAsia="en-US"/>
        </w:rPr>
        <w:t>sin embargo la información fue requerida a la fecha de la solicitud, por lo tanto se ordena la información faltante</w:t>
      </w:r>
      <w:r w:rsidR="00E26E43" w:rsidRPr="00273DCE">
        <w:rPr>
          <w:rFonts w:ascii="Palatino Linotype" w:eastAsiaTheme="minorHAnsi" w:hAnsi="Palatino Linotype" w:cs="Arial"/>
          <w:szCs w:val="22"/>
          <w:lang w:eastAsia="en-US"/>
        </w:rPr>
        <w:t>.</w:t>
      </w:r>
    </w:p>
    <w:p w14:paraId="144BF391" w14:textId="77777777" w:rsidR="00E26E43" w:rsidRPr="00273DCE" w:rsidRDefault="00E26E43" w:rsidP="00464375">
      <w:pPr>
        <w:spacing w:line="360" w:lineRule="auto"/>
        <w:jc w:val="both"/>
        <w:rPr>
          <w:rFonts w:ascii="Palatino Linotype" w:eastAsiaTheme="minorHAnsi" w:hAnsi="Palatino Linotype" w:cs="Arial"/>
          <w:szCs w:val="22"/>
          <w:lang w:eastAsia="en-US"/>
        </w:rPr>
      </w:pPr>
    </w:p>
    <w:p w14:paraId="40CBC2A4" w14:textId="0B09027A" w:rsidR="00E26E43" w:rsidRPr="00273DCE" w:rsidRDefault="00E26E43" w:rsidP="00464375">
      <w:pPr>
        <w:spacing w:line="360" w:lineRule="auto"/>
        <w:jc w:val="both"/>
        <w:rPr>
          <w:rFonts w:ascii="Palatino Linotype" w:eastAsiaTheme="minorHAnsi" w:hAnsi="Palatino Linotype" w:cs="Arial"/>
          <w:szCs w:val="22"/>
          <w:lang w:eastAsia="en-US"/>
        </w:rPr>
      </w:pPr>
      <w:r w:rsidRPr="00273DCE">
        <w:rPr>
          <w:rFonts w:ascii="Palatino Linotype" w:eastAsiaTheme="minorHAnsi" w:hAnsi="Palatino Linotype" w:cs="Arial"/>
          <w:szCs w:val="22"/>
          <w:lang w:eastAsia="en-US"/>
        </w:rPr>
        <w:t xml:space="preserve">Respecto al punto tres, el cual corresponde a los contratos, el Sujeto Obligado refirió que </w:t>
      </w:r>
      <w:r w:rsidR="00DA7BEE" w:rsidRPr="00273DCE">
        <w:rPr>
          <w:rFonts w:ascii="Palatino Linotype" w:eastAsiaTheme="minorHAnsi" w:hAnsi="Palatino Linotype" w:cs="Arial"/>
          <w:szCs w:val="22"/>
          <w:lang w:eastAsia="en-US"/>
        </w:rPr>
        <w:t>la Dirección de Recursos Materiales es la responsable de autorizar y suscribir los pedido-contratos, que se finquen relativos a procedimientos de adquisiciones y compras de bienes, materiales y suministros, así como de elaborar los contratos de adquisición de los bienes y servicios y de arrendamiento. Aunado a lo anterior, el Director General de Obras Públicas refiere que búsqueda, se concluyó que en la temporalidad indicada por el solicitante en esta área administrativa se han signado los contratos de obra pública a precios unitarios de los cuales se adjunta una lista, la cual se inserta amanera de ejemplo:</w:t>
      </w:r>
    </w:p>
    <w:p w14:paraId="73B0C72D" w14:textId="088A471E" w:rsidR="00DA7BEE" w:rsidRPr="00273DCE" w:rsidRDefault="00DA7BEE" w:rsidP="00DA7BEE">
      <w:pPr>
        <w:spacing w:line="360" w:lineRule="auto"/>
        <w:jc w:val="center"/>
        <w:rPr>
          <w:rFonts w:ascii="Palatino Linotype" w:eastAsiaTheme="minorHAnsi" w:hAnsi="Palatino Linotype" w:cs="Arial"/>
          <w:szCs w:val="22"/>
          <w:lang w:eastAsia="en-US"/>
        </w:rPr>
      </w:pPr>
      <w:r w:rsidRPr="00273DCE">
        <w:rPr>
          <w:rFonts w:ascii="Palatino Linotype" w:eastAsiaTheme="minorHAnsi" w:hAnsi="Palatino Linotype" w:cs="Arial"/>
          <w:noProof/>
          <w:szCs w:val="22"/>
          <w:lang w:val="es-MX"/>
        </w:rPr>
        <w:drawing>
          <wp:inline distT="0" distB="0" distL="0" distR="0" wp14:anchorId="3BD6FB20" wp14:editId="735EC109">
            <wp:extent cx="4420870" cy="2219325"/>
            <wp:effectExtent l="190500" t="190500" r="189230" b="20002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4427675" cy="2222741"/>
                    </a:xfrm>
                    <a:prstGeom prst="rect">
                      <a:avLst/>
                    </a:prstGeom>
                    <a:ln>
                      <a:noFill/>
                    </a:ln>
                    <a:effectLst>
                      <a:outerShdw blurRad="190500" algn="tl" rotWithShape="0">
                        <a:srgbClr val="000000">
                          <a:alpha val="70000"/>
                        </a:srgbClr>
                      </a:outerShdw>
                    </a:effectLst>
                  </pic:spPr>
                </pic:pic>
              </a:graphicData>
            </a:graphic>
          </wp:inline>
        </w:drawing>
      </w:r>
    </w:p>
    <w:p w14:paraId="35609264" w14:textId="77777777" w:rsidR="002B25BC" w:rsidRPr="00273DCE" w:rsidRDefault="002B25BC" w:rsidP="002B25BC">
      <w:pPr>
        <w:spacing w:line="360" w:lineRule="auto"/>
        <w:jc w:val="both"/>
        <w:rPr>
          <w:rFonts w:ascii="Palatino Linotype" w:eastAsiaTheme="minorHAnsi" w:hAnsi="Palatino Linotype" w:cs="Arial"/>
          <w:szCs w:val="22"/>
          <w:lang w:eastAsia="en-US"/>
        </w:rPr>
      </w:pPr>
      <w:r w:rsidRPr="00273DCE">
        <w:rPr>
          <w:rFonts w:ascii="Palatino Linotype" w:eastAsiaTheme="minorHAnsi" w:hAnsi="Palatino Linotype" w:cs="Arial"/>
          <w:szCs w:val="22"/>
          <w:lang w:eastAsia="en-US"/>
        </w:rPr>
        <w:lastRenderedPageBreak/>
        <w:t>Sobre el tema, López Olvera, Miguel Alejandro Cancino Gómez, Rodolfo. (2020). “La</w:t>
      </w:r>
    </w:p>
    <w:p w14:paraId="05B73FDA" w14:textId="3734DE4D" w:rsidR="002B25BC" w:rsidRPr="00273DCE" w:rsidRDefault="002B25BC" w:rsidP="002B25BC">
      <w:pPr>
        <w:spacing w:line="360" w:lineRule="auto"/>
        <w:jc w:val="both"/>
        <w:rPr>
          <w:rFonts w:ascii="Palatino Linotype" w:eastAsiaTheme="minorHAnsi" w:hAnsi="Palatino Linotype" w:cs="Arial"/>
          <w:szCs w:val="22"/>
          <w:lang w:eastAsia="en-US"/>
        </w:rPr>
      </w:pPr>
      <w:r w:rsidRPr="00273DCE">
        <w:rPr>
          <w:rFonts w:ascii="Palatino Linotype" w:eastAsiaTheme="minorHAnsi" w:hAnsi="Palatino Linotype" w:cs="Arial"/>
          <w:szCs w:val="22"/>
          <w:lang w:eastAsia="en-US"/>
        </w:rPr>
        <w:t>Contratación Pública y el Sistema Nacional Anticorrupción”. (p. 4) la contratación pública, es el procedimiento de carácter administrativo, por medio del cual, un ente público selecciona y posteriormente, celebra un acuerdo de voluntades, con una persona física o jurídica colectiva, para que ésta, preste algún servicio público o lleve a cabo la ejecución de una obra pública, con recursos públicos del Estado y en beneficio de la colectividad.</w:t>
      </w:r>
    </w:p>
    <w:p w14:paraId="60C4B1CD" w14:textId="77777777" w:rsidR="002B25BC" w:rsidRPr="00273DCE" w:rsidRDefault="002B25BC" w:rsidP="002B25BC">
      <w:pPr>
        <w:spacing w:line="360" w:lineRule="auto"/>
        <w:jc w:val="both"/>
        <w:rPr>
          <w:rFonts w:ascii="Palatino Linotype" w:eastAsiaTheme="minorHAnsi" w:hAnsi="Palatino Linotype" w:cs="Arial"/>
          <w:szCs w:val="22"/>
          <w:lang w:eastAsia="en-US"/>
        </w:rPr>
      </w:pPr>
    </w:p>
    <w:p w14:paraId="3749E1A7" w14:textId="1164BD73" w:rsidR="002B25BC" w:rsidRPr="00273DCE" w:rsidRDefault="002B25BC" w:rsidP="002B25BC">
      <w:pPr>
        <w:spacing w:line="360" w:lineRule="auto"/>
        <w:jc w:val="both"/>
        <w:rPr>
          <w:rFonts w:ascii="Palatino Linotype" w:eastAsiaTheme="minorHAnsi" w:hAnsi="Palatino Linotype" w:cs="Arial"/>
          <w:szCs w:val="22"/>
          <w:lang w:eastAsia="en-US"/>
        </w:rPr>
      </w:pPr>
      <w:r w:rsidRPr="00273DCE">
        <w:rPr>
          <w:rFonts w:ascii="Palatino Linotype" w:eastAsiaTheme="minorHAnsi" w:hAnsi="Palatino Linotype" w:cs="Arial"/>
          <w:szCs w:val="22"/>
          <w:lang w:eastAsia="en-US"/>
        </w:rPr>
        <w:t>Conforme a lo anterior, el artículo 12.4 del Código Administrativo del Estado de México, establece que las obras públicas son aquellas cuyo objeto principal sea construir, instalar, ampliar, adecuar, remodelar, restaurar, conservar, mantener, modificar o demoler bienes inmuebles de los municipios con cargo a recursos públicos estatales y municipales; así como los trabajos de exploración, localización y perforación, mejoramiento de suelo y subsuelo, la infraestructura agropecuaria e hidroagrícola, entre otros. Además, conforme al artículo 12.6 de dicho ordenamiento jurídico, uno de los entes que pueden llevar a cabo contratos de obra pública o servicios relacionados con la misma, son las Dependencias.</w:t>
      </w:r>
    </w:p>
    <w:p w14:paraId="3E1BE88B" w14:textId="77777777" w:rsidR="002B25BC" w:rsidRPr="00273DCE" w:rsidRDefault="002B25BC" w:rsidP="002B25BC">
      <w:pPr>
        <w:spacing w:line="360" w:lineRule="auto"/>
        <w:jc w:val="both"/>
        <w:rPr>
          <w:rFonts w:ascii="Palatino Linotype" w:eastAsiaTheme="minorHAnsi" w:hAnsi="Palatino Linotype" w:cs="Arial"/>
          <w:szCs w:val="22"/>
          <w:lang w:eastAsia="en-US"/>
        </w:rPr>
      </w:pPr>
    </w:p>
    <w:p w14:paraId="652DD7F8" w14:textId="14C3FF0A" w:rsidR="005741CC" w:rsidRPr="00273DCE" w:rsidRDefault="002B25BC" w:rsidP="002B25BC">
      <w:pPr>
        <w:spacing w:line="360" w:lineRule="auto"/>
        <w:jc w:val="both"/>
        <w:rPr>
          <w:rFonts w:ascii="Palatino Linotype" w:eastAsiaTheme="minorHAnsi" w:hAnsi="Palatino Linotype" w:cs="Arial"/>
          <w:szCs w:val="22"/>
          <w:lang w:eastAsia="en-US"/>
        </w:rPr>
      </w:pPr>
      <w:r w:rsidRPr="00273DCE">
        <w:rPr>
          <w:rFonts w:ascii="Palatino Linotype" w:eastAsiaTheme="minorHAnsi" w:hAnsi="Palatino Linotype" w:cs="Arial"/>
          <w:szCs w:val="22"/>
          <w:lang w:eastAsia="en-US"/>
        </w:rPr>
        <w:t>En ese orden de ideas, es responsabilidad de las Dependencias ejecutar la obra pública respectiva, mediante contrato con terceros o por administración directa; dicho acto jurídico, será adjudicado a través de licitaciones públicas, invitación restringida o adjudicación directa, conforme a los artículos 12.8, 12.20 y 12.21 del Código mencionado.</w:t>
      </w:r>
    </w:p>
    <w:p w14:paraId="10DA78A3" w14:textId="77777777" w:rsidR="002B25BC" w:rsidRPr="00273DCE" w:rsidRDefault="002B25BC" w:rsidP="002B25BC">
      <w:pPr>
        <w:spacing w:line="360" w:lineRule="auto"/>
        <w:jc w:val="both"/>
        <w:rPr>
          <w:rFonts w:ascii="Palatino Linotype" w:eastAsiaTheme="minorHAnsi" w:hAnsi="Palatino Linotype" w:cs="Arial"/>
          <w:szCs w:val="22"/>
          <w:lang w:eastAsia="en-US"/>
        </w:rPr>
      </w:pPr>
    </w:p>
    <w:p w14:paraId="3AE9A254" w14:textId="0FC78E40" w:rsidR="002B25BC" w:rsidRPr="00273DCE" w:rsidRDefault="002B25BC" w:rsidP="002B25BC">
      <w:pPr>
        <w:spacing w:line="360" w:lineRule="auto"/>
        <w:jc w:val="both"/>
        <w:rPr>
          <w:rFonts w:ascii="Palatino Linotype" w:eastAsiaTheme="minorHAnsi" w:hAnsi="Palatino Linotype" w:cs="Arial"/>
          <w:szCs w:val="22"/>
          <w:lang w:eastAsia="en-US"/>
        </w:rPr>
      </w:pPr>
      <w:r w:rsidRPr="00273DCE">
        <w:rPr>
          <w:rFonts w:ascii="Palatino Linotype" w:eastAsiaTheme="minorHAnsi" w:hAnsi="Palatino Linotype" w:cs="Arial"/>
          <w:szCs w:val="22"/>
          <w:lang w:eastAsia="en-US"/>
        </w:rPr>
        <w:lastRenderedPageBreak/>
        <w:t xml:space="preserve">Por otra parte, los artículos 1°, fracción I, y 4°de la Ley de la de Contratación Pública del Estado de México y Municipios, especifica que las Dependencias, serán las encargados de realizar los actos relativos a la planeación, programación, presupuestación, ejecución y control de la adquisición (bienes muebles e inmuebles), arrendamiento (bienes muebles e inmuebles), y </w:t>
      </w:r>
      <w:r w:rsidRPr="00273DCE">
        <w:rPr>
          <w:rFonts w:ascii="Palatino Linotype" w:eastAsiaTheme="minorHAnsi" w:hAnsi="Palatino Linotype" w:cs="Arial"/>
          <w:b/>
          <w:szCs w:val="22"/>
          <w:u w:val="single"/>
          <w:lang w:eastAsia="en-US"/>
        </w:rPr>
        <w:t>la contratación de servicios de cualquier naturaleza</w:t>
      </w:r>
      <w:r w:rsidRPr="00273DCE">
        <w:rPr>
          <w:rFonts w:ascii="Palatino Linotype" w:eastAsiaTheme="minorHAnsi" w:hAnsi="Palatino Linotype" w:cs="Arial"/>
          <w:szCs w:val="22"/>
          <w:lang w:eastAsia="en-US"/>
        </w:rPr>
        <w:t>.</w:t>
      </w:r>
    </w:p>
    <w:p w14:paraId="4C956753" w14:textId="77777777" w:rsidR="002B25BC" w:rsidRPr="00273DCE" w:rsidRDefault="002B25BC" w:rsidP="002B25BC">
      <w:pPr>
        <w:spacing w:line="360" w:lineRule="auto"/>
        <w:jc w:val="both"/>
        <w:rPr>
          <w:rFonts w:ascii="Palatino Linotype" w:eastAsiaTheme="minorHAnsi" w:hAnsi="Palatino Linotype" w:cs="Arial"/>
          <w:szCs w:val="22"/>
          <w:lang w:eastAsia="en-US"/>
        </w:rPr>
      </w:pPr>
    </w:p>
    <w:p w14:paraId="36B3028F" w14:textId="729155CC" w:rsidR="002B25BC" w:rsidRPr="00273DCE" w:rsidRDefault="002B25BC" w:rsidP="002B25BC">
      <w:pPr>
        <w:spacing w:line="360" w:lineRule="auto"/>
        <w:jc w:val="both"/>
        <w:rPr>
          <w:rFonts w:ascii="Palatino Linotype" w:eastAsiaTheme="minorHAnsi" w:hAnsi="Palatino Linotype" w:cs="Arial"/>
          <w:szCs w:val="22"/>
          <w:lang w:eastAsia="en-US"/>
        </w:rPr>
      </w:pPr>
      <w:r w:rsidRPr="00273DCE">
        <w:rPr>
          <w:rFonts w:ascii="Palatino Linotype" w:eastAsiaTheme="minorHAnsi" w:hAnsi="Palatino Linotype" w:cs="Arial"/>
          <w:szCs w:val="22"/>
          <w:lang w:eastAsia="en-US"/>
        </w:rPr>
        <w:t xml:space="preserve">En ese contexto, conforme a los artículos 26 y 27 de dicho ordenamiento jurídico, </w:t>
      </w:r>
      <w:r w:rsidRPr="00273DCE">
        <w:rPr>
          <w:rFonts w:ascii="Palatino Linotype" w:eastAsiaTheme="minorHAnsi" w:hAnsi="Palatino Linotype" w:cs="Arial"/>
          <w:b/>
          <w:szCs w:val="22"/>
          <w:lang w:eastAsia="en-US"/>
        </w:rPr>
        <w:t>las adquisiciones, arrendamientos y servicios, se adjudicarán a través de procedimientos de licitación pública, invitación restringida y adjudicación directa.</w:t>
      </w:r>
    </w:p>
    <w:p w14:paraId="75A8E944" w14:textId="77777777" w:rsidR="002B25BC" w:rsidRPr="00273DCE" w:rsidRDefault="002B25BC" w:rsidP="002B25BC">
      <w:pPr>
        <w:spacing w:line="360" w:lineRule="auto"/>
        <w:jc w:val="both"/>
        <w:rPr>
          <w:rFonts w:ascii="Palatino Linotype" w:eastAsiaTheme="minorHAnsi" w:hAnsi="Palatino Linotype" w:cs="Arial"/>
          <w:szCs w:val="22"/>
          <w:lang w:eastAsia="en-US"/>
        </w:rPr>
      </w:pPr>
    </w:p>
    <w:p w14:paraId="2148983E" w14:textId="3C64B1FB" w:rsidR="002B25BC" w:rsidRPr="00273DCE" w:rsidRDefault="002B25BC" w:rsidP="002B25BC">
      <w:pPr>
        <w:spacing w:line="360" w:lineRule="auto"/>
        <w:jc w:val="both"/>
        <w:rPr>
          <w:rFonts w:ascii="Palatino Linotype" w:eastAsiaTheme="minorHAnsi" w:hAnsi="Palatino Linotype" w:cs="Arial"/>
          <w:szCs w:val="22"/>
          <w:lang w:eastAsia="en-US"/>
        </w:rPr>
      </w:pPr>
      <w:r w:rsidRPr="00273DCE">
        <w:rPr>
          <w:rFonts w:ascii="Palatino Linotype" w:eastAsiaTheme="minorHAnsi" w:hAnsi="Palatino Linotype" w:cs="Arial"/>
          <w:szCs w:val="22"/>
          <w:lang w:eastAsia="en-US"/>
        </w:rPr>
        <w:t>Ahora bien, el artículo 12.38 del Código Administrativo del Estado de México y el 65 de la Ley de Contratación Pública del Estado de México y Municipios, que establecen que la adjudicación de un procedimiento de adquisición y arrendamiento de bienes, contratación de servicios y ejecución de obra, se realizará mediante la suscripción de un contrato, entre el Ayuntamiento y la persona a la cual haya ganado el procedimiento licitatorio, dentro de los diez días hábiles siguientes a la notificación del fallo.</w:t>
      </w:r>
    </w:p>
    <w:p w14:paraId="4BA0E4C6" w14:textId="77777777" w:rsidR="002B25BC" w:rsidRPr="00273DCE" w:rsidRDefault="002B25BC" w:rsidP="002B25BC">
      <w:pPr>
        <w:spacing w:line="360" w:lineRule="auto"/>
        <w:jc w:val="both"/>
        <w:rPr>
          <w:rFonts w:ascii="Palatino Linotype" w:eastAsiaTheme="minorHAnsi" w:hAnsi="Palatino Linotype" w:cs="Arial"/>
          <w:szCs w:val="22"/>
          <w:lang w:eastAsia="en-US"/>
        </w:rPr>
      </w:pPr>
    </w:p>
    <w:p w14:paraId="129B0C1B" w14:textId="233EC5BE" w:rsidR="002B25BC" w:rsidRPr="00273DCE" w:rsidRDefault="002B25BC" w:rsidP="002B25BC">
      <w:pPr>
        <w:spacing w:line="360" w:lineRule="auto"/>
        <w:jc w:val="both"/>
        <w:rPr>
          <w:rFonts w:ascii="Palatino Linotype" w:eastAsiaTheme="minorHAnsi" w:hAnsi="Palatino Linotype" w:cs="Arial"/>
          <w:szCs w:val="22"/>
          <w:lang w:eastAsia="en-US"/>
        </w:rPr>
      </w:pPr>
      <w:r w:rsidRPr="00273DCE">
        <w:rPr>
          <w:rFonts w:ascii="Palatino Linotype" w:eastAsiaTheme="minorHAnsi" w:hAnsi="Palatino Linotype" w:cs="Arial"/>
          <w:szCs w:val="22"/>
          <w:lang w:eastAsia="en-US"/>
        </w:rPr>
        <w:t>Además, que conforme al artículo 120 del Reglamento de la Ley de Contratación Pública del Estado de México y Municipios y diverso 104 el Reglamento del Libro Décimo Segundo del Código Administrativo del Estado de México, dichos actos jurídicos se conforman por diversos datos, entre los cuales, se encuentran los datos de identificación de las partes y del contrato, así como el importe total.</w:t>
      </w:r>
    </w:p>
    <w:p w14:paraId="0566F6E0" w14:textId="77777777" w:rsidR="002B25BC" w:rsidRPr="00273DCE" w:rsidRDefault="002B25BC" w:rsidP="002B25BC">
      <w:pPr>
        <w:spacing w:line="360" w:lineRule="auto"/>
        <w:jc w:val="both"/>
        <w:rPr>
          <w:rFonts w:ascii="Palatino Linotype" w:eastAsiaTheme="minorHAnsi" w:hAnsi="Palatino Linotype" w:cs="Arial"/>
          <w:szCs w:val="22"/>
          <w:lang w:eastAsia="en-US"/>
        </w:rPr>
      </w:pPr>
    </w:p>
    <w:p w14:paraId="129A9E0E" w14:textId="77777777" w:rsidR="00577A09" w:rsidRPr="00273DCE" w:rsidRDefault="00577A09" w:rsidP="00577A09">
      <w:pPr>
        <w:spacing w:after="160" w:line="360" w:lineRule="auto"/>
        <w:jc w:val="both"/>
        <w:rPr>
          <w:rFonts w:ascii="Palatino Linotype" w:eastAsia="Palatino Linotype" w:hAnsi="Palatino Linotype" w:cs="Palatino Linotype"/>
          <w:lang w:val="es-MX"/>
        </w:rPr>
      </w:pPr>
      <w:r w:rsidRPr="00273DCE">
        <w:rPr>
          <w:rFonts w:ascii="Palatino Linotype" w:eastAsia="Palatino Linotype" w:hAnsi="Palatino Linotype" w:cs="Palatino Linotype"/>
          <w:lang w:val="es-MX"/>
        </w:rPr>
        <w:lastRenderedPageBreak/>
        <w:t xml:space="preserve">De lo anterior la Ley de Transparencia en su numeral 92 en su fracción XXIX establece como obligación de transparencia común la información sobre los procesos y resultados de procedimientos de adjudicación directa, invitación restringida y licitación de cualquier naturaleza, en los términos siguientes; </w:t>
      </w:r>
    </w:p>
    <w:p w14:paraId="033F63EF" w14:textId="77777777" w:rsidR="00534D12" w:rsidRPr="00273DCE" w:rsidRDefault="00534D12" w:rsidP="00577A09">
      <w:pPr>
        <w:spacing w:after="160" w:line="360" w:lineRule="auto"/>
        <w:jc w:val="both"/>
        <w:rPr>
          <w:rFonts w:ascii="Palatino Linotype" w:eastAsia="Palatino Linotype" w:hAnsi="Palatino Linotype" w:cs="Palatino Linotype"/>
          <w:lang w:val="es-MX"/>
        </w:rPr>
      </w:pPr>
    </w:p>
    <w:p w14:paraId="50AE4BF6" w14:textId="77777777" w:rsidR="00577A09" w:rsidRPr="00273DCE" w:rsidRDefault="00577A09" w:rsidP="00577A09">
      <w:pPr>
        <w:spacing w:after="160" w:line="259" w:lineRule="auto"/>
        <w:ind w:left="416"/>
        <w:jc w:val="center"/>
        <w:rPr>
          <w:rFonts w:ascii="Palatino Linotype" w:eastAsia="Palatino Linotype" w:hAnsi="Palatino Linotype" w:cs="Palatino Linotype"/>
          <w:b/>
          <w:i/>
          <w:sz w:val="22"/>
          <w:szCs w:val="22"/>
          <w:lang w:val="es-MX"/>
        </w:rPr>
      </w:pPr>
      <w:r w:rsidRPr="00273DCE">
        <w:rPr>
          <w:rFonts w:ascii="Palatino Linotype" w:eastAsia="Palatino Linotype" w:hAnsi="Palatino Linotype" w:cs="Palatino Linotype"/>
          <w:b/>
          <w:i/>
          <w:sz w:val="22"/>
          <w:szCs w:val="22"/>
          <w:lang w:val="es-MX"/>
        </w:rPr>
        <w:t>Capítulo II De las Obligaciones de Transparencia Comunes</w:t>
      </w:r>
    </w:p>
    <w:p w14:paraId="49A50425" w14:textId="77777777" w:rsidR="00577A09" w:rsidRPr="00273DCE" w:rsidRDefault="00577A09" w:rsidP="00577A09">
      <w:pPr>
        <w:spacing w:after="160" w:line="259" w:lineRule="auto"/>
        <w:ind w:left="416"/>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b/>
          <w:i/>
          <w:sz w:val="22"/>
          <w:szCs w:val="22"/>
          <w:lang w:val="es-MX"/>
        </w:rPr>
        <w:t>Artículo 92.</w:t>
      </w:r>
      <w:r w:rsidRPr="00273DCE">
        <w:rPr>
          <w:rFonts w:ascii="Palatino Linotype" w:eastAsia="Palatino Linotype" w:hAnsi="Palatino Linotype" w:cs="Palatino Linotype"/>
          <w:i/>
          <w:sz w:val="22"/>
          <w:szCs w:val="22"/>
          <w:lang w:val="es-MX"/>
        </w:rPr>
        <w:t xml:space="preserve">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w:t>
      </w:r>
    </w:p>
    <w:p w14:paraId="5A9CC8DF" w14:textId="77777777" w:rsidR="00577A09" w:rsidRPr="00273DCE" w:rsidRDefault="00577A09" w:rsidP="00577A09">
      <w:pPr>
        <w:spacing w:after="160" w:line="259" w:lineRule="auto"/>
        <w:jc w:val="both"/>
        <w:rPr>
          <w:rFonts w:ascii="Palatino Linotype" w:eastAsia="Palatino Linotype" w:hAnsi="Palatino Linotype" w:cs="Palatino Linotype"/>
          <w:sz w:val="22"/>
          <w:szCs w:val="22"/>
          <w:lang w:val="es-MX"/>
        </w:rPr>
      </w:pPr>
    </w:p>
    <w:p w14:paraId="4BD2ED26" w14:textId="77777777" w:rsidR="00577A09" w:rsidRPr="00273DCE" w:rsidRDefault="00577A09" w:rsidP="00577A09">
      <w:pPr>
        <w:spacing w:after="160" w:line="259" w:lineRule="auto"/>
        <w:ind w:left="416"/>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b/>
          <w:i/>
          <w:sz w:val="22"/>
          <w:szCs w:val="22"/>
          <w:lang w:val="es-MX"/>
        </w:rPr>
        <w:t>XXIX.</w:t>
      </w:r>
      <w:r w:rsidRPr="00273DCE">
        <w:rPr>
          <w:rFonts w:ascii="Palatino Linotype" w:eastAsia="Palatino Linotype" w:hAnsi="Palatino Linotype" w:cs="Palatino Linotype"/>
          <w:i/>
          <w:sz w:val="22"/>
          <w:szCs w:val="22"/>
          <w:lang w:val="es-MX"/>
        </w:rPr>
        <w:t xml:space="preserve"> La información sobre los procesos y resultados sobre procedimientos de adjudicación directa, invitación restringida y licitación de cualquier naturaleza, incluyendo la versión pública del expediente respectivo y </w:t>
      </w:r>
      <w:r w:rsidRPr="00273DCE">
        <w:rPr>
          <w:rFonts w:ascii="Palatino Linotype" w:eastAsia="Palatino Linotype" w:hAnsi="Palatino Linotype" w:cs="Palatino Linotype"/>
          <w:b/>
          <w:i/>
          <w:sz w:val="22"/>
          <w:szCs w:val="22"/>
          <w:u w:val="single"/>
          <w:lang w:val="es-MX"/>
        </w:rPr>
        <w:t>de los contratos celebrados</w:t>
      </w:r>
      <w:r w:rsidRPr="00273DCE">
        <w:rPr>
          <w:rFonts w:ascii="Palatino Linotype" w:eastAsia="Palatino Linotype" w:hAnsi="Palatino Linotype" w:cs="Palatino Linotype"/>
          <w:i/>
          <w:sz w:val="22"/>
          <w:szCs w:val="22"/>
          <w:lang w:val="es-MX"/>
        </w:rPr>
        <w:t>, que deberán contener, por los menos, lo siguiente:</w:t>
      </w:r>
    </w:p>
    <w:p w14:paraId="75E0B859" w14:textId="77777777" w:rsidR="00577A09" w:rsidRPr="00273DCE" w:rsidRDefault="00577A09" w:rsidP="00577A09">
      <w:pPr>
        <w:spacing w:after="160" w:line="259" w:lineRule="auto"/>
        <w:jc w:val="both"/>
        <w:rPr>
          <w:rFonts w:ascii="Palatino Linotype" w:eastAsia="Palatino Linotype" w:hAnsi="Palatino Linotype" w:cs="Palatino Linotype"/>
          <w:i/>
          <w:sz w:val="22"/>
          <w:szCs w:val="22"/>
          <w:lang w:val="es-MX"/>
        </w:rPr>
      </w:pPr>
    </w:p>
    <w:p w14:paraId="490D1D9A" w14:textId="77777777" w:rsidR="00577A09" w:rsidRPr="00273DCE" w:rsidRDefault="00577A09" w:rsidP="00577A09">
      <w:pPr>
        <w:spacing w:after="160" w:line="259" w:lineRule="auto"/>
        <w:ind w:left="416"/>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a) De licitaciones públicas o procedimientos de invitación restringida: </w:t>
      </w:r>
    </w:p>
    <w:p w14:paraId="17356CBF"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1) La convocatoria o invitación emitida, así como los fundamentos legales aplicados para llevarla a cabo; </w:t>
      </w:r>
    </w:p>
    <w:p w14:paraId="7799A005"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2) Los nombres de los participantes o invitados; </w:t>
      </w:r>
    </w:p>
    <w:p w14:paraId="5B9CC857"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3) El nombre del ganador y las razones que lo justifican; </w:t>
      </w:r>
    </w:p>
    <w:p w14:paraId="28BE9A6F"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4) El área solicitante y la responsable de su ejecución; </w:t>
      </w:r>
    </w:p>
    <w:p w14:paraId="33374C39"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5) Las convocatorias e invitaciones emitidas; </w:t>
      </w:r>
    </w:p>
    <w:p w14:paraId="6B73ED83" w14:textId="77777777" w:rsidR="00577A09" w:rsidRPr="00273DCE" w:rsidRDefault="00577A09" w:rsidP="00577A09">
      <w:pPr>
        <w:spacing w:after="160" w:line="259" w:lineRule="auto"/>
        <w:ind w:left="708"/>
        <w:jc w:val="both"/>
        <w:rPr>
          <w:rFonts w:ascii="Calibri" w:eastAsia="Calibri" w:hAnsi="Calibri" w:cs="Calibri"/>
          <w:sz w:val="22"/>
          <w:szCs w:val="22"/>
          <w:lang w:val="es-MX"/>
        </w:rPr>
      </w:pPr>
      <w:r w:rsidRPr="00273DCE">
        <w:rPr>
          <w:rFonts w:ascii="Palatino Linotype" w:eastAsia="Palatino Linotype" w:hAnsi="Palatino Linotype" w:cs="Palatino Linotype"/>
          <w:i/>
          <w:sz w:val="22"/>
          <w:szCs w:val="22"/>
          <w:lang w:val="es-MX"/>
        </w:rPr>
        <w:t>6) Los dictámenes y fallo de adjudicación;</w:t>
      </w:r>
      <w:r w:rsidRPr="00273DCE">
        <w:rPr>
          <w:rFonts w:ascii="Calibri" w:eastAsia="Calibri" w:hAnsi="Calibri" w:cs="Calibri"/>
          <w:sz w:val="22"/>
          <w:szCs w:val="22"/>
          <w:lang w:val="es-MX"/>
        </w:rPr>
        <w:t xml:space="preserve"> </w:t>
      </w:r>
    </w:p>
    <w:p w14:paraId="596BAD61"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7) </w:t>
      </w:r>
      <w:r w:rsidRPr="00273DCE">
        <w:rPr>
          <w:rFonts w:ascii="Palatino Linotype" w:eastAsia="Palatino Linotype" w:hAnsi="Palatino Linotype" w:cs="Palatino Linotype"/>
          <w:b/>
          <w:i/>
          <w:sz w:val="22"/>
          <w:szCs w:val="22"/>
          <w:u w:val="single"/>
          <w:lang w:val="es-MX"/>
        </w:rPr>
        <w:t>El contrato y, en su caso, sus anexos</w:t>
      </w:r>
      <w:r w:rsidRPr="00273DCE">
        <w:rPr>
          <w:rFonts w:ascii="Palatino Linotype" w:eastAsia="Palatino Linotype" w:hAnsi="Palatino Linotype" w:cs="Palatino Linotype"/>
          <w:i/>
          <w:sz w:val="22"/>
          <w:szCs w:val="22"/>
          <w:lang w:val="es-MX"/>
        </w:rPr>
        <w:t>;</w:t>
      </w:r>
    </w:p>
    <w:p w14:paraId="12E74692"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 8) Los mecanismos de vigilancia y supervisión, incluyendo en su caso, los estudios de impacto urbano y ambiental, según corresponda; </w:t>
      </w:r>
    </w:p>
    <w:p w14:paraId="4D8B0AD5"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lastRenderedPageBreak/>
        <w:t xml:space="preserve">9) La partida presupuestal, de conformidad con el clasificador por objeto del gasto, en el caso de ser aplicable; </w:t>
      </w:r>
    </w:p>
    <w:p w14:paraId="6A2B6544"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10) Origen de los recursos especificando si son federales, estatales o municipales, así como el tipo de fondo de participación o aportación respectiva; </w:t>
      </w:r>
    </w:p>
    <w:p w14:paraId="1DD8E461"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11) Los convenios modificatorios que, en su caso, sean firmados, precisando el objeto y la fecha de celebración; </w:t>
      </w:r>
    </w:p>
    <w:p w14:paraId="24BE2EB0"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12) Los informes de avance físico y financiero sobre las obras o servicios contratados; </w:t>
      </w:r>
    </w:p>
    <w:p w14:paraId="2F11DA6C"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13) El convenio de terminación; y </w:t>
      </w:r>
    </w:p>
    <w:p w14:paraId="5AF53BD2" w14:textId="77777777" w:rsidR="00577A09" w:rsidRPr="00273DCE" w:rsidRDefault="00577A09" w:rsidP="00577A09">
      <w:pPr>
        <w:spacing w:after="160" w:line="259" w:lineRule="auto"/>
        <w:ind w:left="708"/>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14) El finiquito</w:t>
      </w:r>
      <w:r w:rsidRPr="00273DCE">
        <w:rPr>
          <w:rFonts w:ascii="Calibri" w:eastAsia="Calibri" w:hAnsi="Calibri" w:cs="Calibri"/>
          <w:sz w:val="22"/>
          <w:szCs w:val="22"/>
          <w:lang w:val="es-MX"/>
        </w:rPr>
        <w:t>.</w:t>
      </w:r>
    </w:p>
    <w:p w14:paraId="0D04D849" w14:textId="77777777" w:rsidR="00577A09" w:rsidRPr="00273DCE" w:rsidRDefault="00577A09" w:rsidP="00577A09">
      <w:pPr>
        <w:spacing w:after="160" w:line="259" w:lineRule="auto"/>
        <w:ind w:firstLine="416"/>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b) De las adjudicaciones directas:</w:t>
      </w:r>
    </w:p>
    <w:p w14:paraId="0DEA18B4" w14:textId="77777777" w:rsidR="00577A09" w:rsidRPr="00273DCE" w:rsidRDefault="00577A09" w:rsidP="00577A09">
      <w:pPr>
        <w:spacing w:after="160" w:line="259" w:lineRule="auto"/>
        <w:ind w:left="416" w:firstLine="284"/>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1) La propuesta enviada por el participante;</w:t>
      </w:r>
    </w:p>
    <w:p w14:paraId="68C25CFF" w14:textId="77777777" w:rsidR="00577A09" w:rsidRPr="00273DCE" w:rsidRDefault="00577A09" w:rsidP="00577A09">
      <w:pPr>
        <w:spacing w:after="160" w:line="259" w:lineRule="auto"/>
        <w:ind w:left="416" w:firstLine="284"/>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 2) Los motivos y fundamentos legales aplicados para llevarla a cabo; </w:t>
      </w:r>
    </w:p>
    <w:p w14:paraId="037697E7" w14:textId="77777777" w:rsidR="00577A09" w:rsidRPr="00273DCE" w:rsidRDefault="00577A09" w:rsidP="00577A09">
      <w:pPr>
        <w:spacing w:after="160" w:line="259" w:lineRule="auto"/>
        <w:ind w:left="416" w:firstLine="284"/>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3) La autorización del ejercicio de la opción; </w:t>
      </w:r>
    </w:p>
    <w:p w14:paraId="77AE36A8" w14:textId="77777777" w:rsidR="00577A09" w:rsidRPr="00273DCE" w:rsidRDefault="00577A09" w:rsidP="00577A09">
      <w:pPr>
        <w:spacing w:after="160" w:line="259" w:lineRule="auto"/>
        <w:ind w:left="701"/>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4) En su caso, las cotizaciones consideradas, especificando los nombres de los proveedores y sus montos;</w:t>
      </w:r>
    </w:p>
    <w:p w14:paraId="7173BEA5" w14:textId="77777777" w:rsidR="00577A09" w:rsidRPr="00273DCE" w:rsidRDefault="00577A09" w:rsidP="00577A09">
      <w:pPr>
        <w:spacing w:after="160" w:line="259" w:lineRule="auto"/>
        <w:ind w:left="416" w:firstLine="284"/>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 5) El nombre de la persona física o jurídica colectiva adjudicada; </w:t>
      </w:r>
    </w:p>
    <w:p w14:paraId="0065A446" w14:textId="77777777" w:rsidR="00577A09" w:rsidRPr="00273DCE" w:rsidRDefault="00577A09" w:rsidP="00577A09">
      <w:pPr>
        <w:spacing w:after="160" w:line="259" w:lineRule="auto"/>
        <w:ind w:left="416" w:firstLine="284"/>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6) La unidad administrativa solicitante y la responsable de su ejecución; </w:t>
      </w:r>
    </w:p>
    <w:p w14:paraId="565BCD4C" w14:textId="77777777" w:rsidR="00577A09" w:rsidRPr="00273DCE" w:rsidRDefault="00577A09" w:rsidP="00577A09">
      <w:pPr>
        <w:spacing w:after="160" w:line="259" w:lineRule="auto"/>
        <w:ind w:left="701"/>
        <w:jc w:val="both"/>
        <w:rPr>
          <w:rFonts w:ascii="Palatino Linotype" w:eastAsia="Palatino Linotype" w:hAnsi="Palatino Linotype" w:cs="Palatino Linotype"/>
          <w:b/>
          <w:i/>
          <w:sz w:val="22"/>
          <w:szCs w:val="22"/>
          <w:lang w:val="es-MX"/>
        </w:rPr>
      </w:pPr>
      <w:r w:rsidRPr="00273DCE">
        <w:rPr>
          <w:rFonts w:ascii="Palatino Linotype" w:eastAsia="Palatino Linotype" w:hAnsi="Palatino Linotype" w:cs="Palatino Linotype"/>
          <w:i/>
          <w:sz w:val="22"/>
          <w:szCs w:val="22"/>
          <w:lang w:val="es-MX"/>
        </w:rPr>
        <w:t xml:space="preserve">7) El número, fecha, el monto </w:t>
      </w:r>
      <w:r w:rsidRPr="00273DCE">
        <w:rPr>
          <w:rFonts w:ascii="Palatino Linotype" w:eastAsia="Palatino Linotype" w:hAnsi="Palatino Linotype" w:cs="Palatino Linotype"/>
          <w:b/>
          <w:i/>
          <w:sz w:val="22"/>
          <w:szCs w:val="22"/>
          <w:lang w:val="es-MX"/>
        </w:rPr>
        <w:t xml:space="preserve">del contrato y el plazo de entrega o de ejecución de los servicios u obra; </w:t>
      </w:r>
    </w:p>
    <w:p w14:paraId="1ADFBB79" w14:textId="77777777" w:rsidR="00577A09" w:rsidRPr="00273DCE" w:rsidRDefault="00577A09" w:rsidP="00577A09">
      <w:pPr>
        <w:spacing w:after="160" w:line="259" w:lineRule="auto"/>
        <w:ind w:left="701"/>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8) Los mecanismos de vigilancia y supervisión, incluyendo, en su caso, los estudios de impacto urbano y ambiental, según corresponda; </w:t>
      </w:r>
    </w:p>
    <w:p w14:paraId="1427D12C" w14:textId="77777777" w:rsidR="00577A09" w:rsidRPr="00273DCE" w:rsidRDefault="00577A09" w:rsidP="00577A09">
      <w:pPr>
        <w:spacing w:after="160" w:line="259" w:lineRule="auto"/>
        <w:ind w:left="701"/>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9) Los informes de avance sobre las obras o servicios contratados; </w:t>
      </w:r>
    </w:p>
    <w:p w14:paraId="56905202" w14:textId="77777777" w:rsidR="00577A09" w:rsidRPr="00273DCE" w:rsidRDefault="00577A09" w:rsidP="00577A09">
      <w:pPr>
        <w:spacing w:after="160" w:line="259" w:lineRule="auto"/>
        <w:ind w:left="701"/>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 xml:space="preserve">10) El convenio de terminación; y </w:t>
      </w:r>
    </w:p>
    <w:p w14:paraId="79A70C70" w14:textId="77777777" w:rsidR="00577A09" w:rsidRPr="00273DCE" w:rsidRDefault="00577A09" w:rsidP="00577A09">
      <w:pPr>
        <w:spacing w:after="160" w:line="259" w:lineRule="auto"/>
        <w:ind w:left="701"/>
        <w:jc w:val="both"/>
        <w:rPr>
          <w:rFonts w:ascii="Palatino Linotype" w:eastAsia="Palatino Linotype" w:hAnsi="Palatino Linotype" w:cs="Palatino Linotype"/>
          <w:i/>
          <w:sz w:val="22"/>
          <w:szCs w:val="22"/>
          <w:lang w:val="es-MX"/>
        </w:rPr>
      </w:pPr>
      <w:r w:rsidRPr="00273DCE">
        <w:rPr>
          <w:rFonts w:ascii="Palatino Linotype" w:eastAsia="Palatino Linotype" w:hAnsi="Palatino Linotype" w:cs="Palatino Linotype"/>
          <w:i/>
          <w:sz w:val="22"/>
          <w:szCs w:val="22"/>
          <w:lang w:val="es-MX"/>
        </w:rPr>
        <w:t>11) El finiquito</w:t>
      </w:r>
    </w:p>
    <w:p w14:paraId="18950C3E" w14:textId="77777777" w:rsidR="00577A09" w:rsidRPr="00273DCE" w:rsidRDefault="00577A09" w:rsidP="00577A09">
      <w:pPr>
        <w:spacing w:line="360" w:lineRule="auto"/>
        <w:jc w:val="both"/>
        <w:rPr>
          <w:rFonts w:ascii="Palatino Linotype" w:eastAsia="Palatino Linotype" w:hAnsi="Palatino Linotype" w:cs="Palatino Linotype"/>
          <w:lang w:val="es-MX"/>
        </w:rPr>
      </w:pPr>
    </w:p>
    <w:p w14:paraId="0410C6F1" w14:textId="3C5A871C" w:rsidR="002B25BC" w:rsidRPr="00273DCE" w:rsidRDefault="00577A09" w:rsidP="002B25BC">
      <w:pPr>
        <w:spacing w:line="360" w:lineRule="auto"/>
        <w:jc w:val="both"/>
        <w:rPr>
          <w:rFonts w:ascii="Palatino Linotype" w:eastAsiaTheme="minorHAnsi" w:hAnsi="Palatino Linotype" w:cs="Arial"/>
          <w:szCs w:val="22"/>
          <w:lang w:eastAsia="en-US"/>
        </w:rPr>
      </w:pPr>
      <w:r w:rsidRPr="00273DCE">
        <w:rPr>
          <w:rFonts w:ascii="Palatino Linotype" w:eastAsia="Calibri" w:hAnsi="Palatino Linotype" w:cs="Calibri"/>
          <w:lang w:val="es-MX"/>
        </w:rPr>
        <w:t>Por lo vertido en líneas anteriores resulta dable ordenar de ser procedente en versión pública los contratos enlistados en respuesta.</w:t>
      </w:r>
    </w:p>
    <w:p w14:paraId="12ACBBE2" w14:textId="77777777" w:rsidR="002B25BC" w:rsidRPr="00273DCE" w:rsidRDefault="002B25BC" w:rsidP="002B25BC">
      <w:pPr>
        <w:spacing w:line="360" w:lineRule="auto"/>
        <w:jc w:val="both"/>
        <w:rPr>
          <w:rFonts w:ascii="Palatino Linotype" w:eastAsiaTheme="minorHAnsi" w:hAnsi="Palatino Linotype" w:cs="Arial"/>
          <w:szCs w:val="22"/>
          <w:lang w:eastAsia="en-US"/>
        </w:rPr>
      </w:pPr>
    </w:p>
    <w:p w14:paraId="07B086A6" w14:textId="77777777" w:rsidR="002B25BC" w:rsidRPr="00273DCE" w:rsidRDefault="002B25BC" w:rsidP="002B25BC">
      <w:pPr>
        <w:spacing w:line="360" w:lineRule="auto"/>
        <w:jc w:val="both"/>
        <w:rPr>
          <w:rFonts w:ascii="Palatino Linotype" w:eastAsiaTheme="minorHAnsi" w:hAnsi="Palatino Linotype" w:cs="Arial"/>
          <w:szCs w:val="22"/>
          <w:lang w:eastAsia="en-US"/>
        </w:rPr>
      </w:pPr>
    </w:p>
    <w:p w14:paraId="1A2A54F7" w14:textId="77777777" w:rsidR="002B25BC" w:rsidRPr="00273DCE" w:rsidRDefault="002B25BC" w:rsidP="002B25BC">
      <w:pPr>
        <w:spacing w:line="360" w:lineRule="auto"/>
        <w:jc w:val="both"/>
        <w:rPr>
          <w:rFonts w:ascii="Palatino Linotype" w:eastAsiaTheme="minorHAnsi" w:hAnsi="Palatino Linotype" w:cs="Arial"/>
          <w:szCs w:val="22"/>
          <w:lang w:eastAsia="en-US"/>
        </w:rPr>
      </w:pPr>
    </w:p>
    <w:p w14:paraId="1ABF4E9A" w14:textId="62EED3D1" w:rsidR="00926CBA" w:rsidRPr="00273DCE" w:rsidRDefault="00577A09" w:rsidP="00464375">
      <w:pPr>
        <w:spacing w:line="360" w:lineRule="auto"/>
        <w:jc w:val="both"/>
        <w:rPr>
          <w:rFonts w:ascii="Palatino Linotype" w:eastAsia="Calibri" w:hAnsi="Palatino Linotype" w:cs="Calibri"/>
        </w:rPr>
      </w:pPr>
      <w:r w:rsidRPr="00273DCE">
        <w:rPr>
          <w:rFonts w:ascii="Palatino Linotype" w:eastAsia="Calibri" w:hAnsi="Palatino Linotype" w:cs="Arial"/>
          <w:szCs w:val="22"/>
          <w:lang w:val="es-MX" w:eastAsia="en-US"/>
        </w:rPr>
        <w:t xml:space="preserve">Respecto al punto cuatro </w:t>
      </w:r>
      <w:r w:rsidR="00534D12" w:rsidRPr="00273DCE">
        <w:rPr>
          <w:rFonts w:ascii="Palatino Linotype" w:eastAsia="Calibri" w:hAnsi="Palatino Linotype" w:cs="Arial"/>
          <w:szCs w:val="22"/>
          <w:lang w:val="es-MX" w:eastAsia="en-US"/>
        </w:rPr>
        <w:t xml:space="preserve">y cinco, </w:t>
      </w:r>
      <w:r w:rsidRPr="00273DCE">
        <w:rPr>
          <w:rFonts w:ascii="Palatino Linotype" w:eastAsia="Calibri" w:hAnsi="Palatino Linotype" w:cs="Arial"/>
          <w:szCs w:val="22"/>
          <w:lang w:val="es-MX" w:eastAsia="en-US"/>
        </w:rPr>
        <w:t>sobre las especificaciones técnicas</w:t>
      </w:r>
      <w:r w:rsidR="00534D12" w:rsidRPr="00273DCE">
        <w:rPr>
          <w:rFonts w:ascii="Palatino Linotype" w:eastAsia="Calibri" w:hAnsi="Palatino Linotype" w:cs="Arial"/>
          <w:szCs w:val="22"/>
          <w:lang w:val="es-MX" w:eastAsia="en-US"/>
        </w:rPr>
        <w:t xml:space="preserve"> y el reporte de avance de obras</w:t>
      </w:r>
      <w:r w:rsidRPr="00273DCE">
        <w:rPr>
          <w:rFonts w:ascii="Palatino Linotype" w:eastAsia="Calibri" w:hAnsi="Palatino Linotype" w:cs="Arial"/>
          <w:szCs w:val="22"/>
          <w:lang w:val="es-MX" w:eastAsia="en-US"/>
        </w:rPr>
        <w:t xml:space="preserve">, </w:t>
      </w:r>
      <w:r w:rsidR="00534D12" w:rsidRPr="00273DCE">
        <w:rPr>
          <w:rFonts w:ascii="Palatino Linotype" w:eastAsia="Calibri" w:hAnsi="Palatino Linotype" w:cs="Arial"/>
          <w:szCs w:val="22"/>
          <w:lang w:val="es-MX" w:eastAsia="en-US"/>
        </w:rPr>
        <w:t>el Director de Mantenimiento Urbano, mediante el cual refiere que adjunta la descripción del proceso y/o especificaciones técnicas con las que se realiza el bacheo de mezcla asfáltica en caliente y en frio, así como el reporte donde se indica el avance de las obras, realizados por el Departamento de Bacheo y Señalamiento Vial de enero de 2025 a la fecha.</w:t>
      </w:r>
      <w:r w:rsidRPr="00273DCE">
        <w:rPr>
          <w:rFonts w:ascii="Palatino Linotype" w:eastAsia="Calibri" w:hAnsi="Palatino Linotype" w:cs="Arial"/>
          <w:szCs w:val="22"/>
          <w:lang w:val="es-MX" w:eastAsia="en-US"/>
        </w:rPr>
        <w:t xml:space="preserve"> </w:t>
      </w:r>
    </w:p>
    <w:p w14:paraId="35CC85C5" w14:textId="77777777" w:rsidR="00926CBA" w:rsidRPr="00273DCE" w:rsidRDefault="00926CBA" w:rsidP="00464375">
      <w:pPr>
        <w:spacing w:line="360" w:lineRule="auto"/>
        <w:jc w:val="both"/>
        <w:rPr>
          <w:rFonts w:ascii="Palatino Linotype" w:eastAsia="Calibri" w:hAnsi="Palatino Linotype" w:cs="Calibri"/>
        </w:rPr>
      </w:pPr>
    </w:p>
    <w:p w14:paraId="60ABE2FB" w14:textId="77777777" w:rsidR="00534D12" w:rsidRPr="00273DCE" w:rsidRDefault="00534D12" w:rsidP="00367584">
      <w:pPr>
        <w:keepNext/>
        <w:keepLines/>
        <w:spacing w:line="360" w:lineRule="auto"/>
        <w:ind w:left="1416" w:hanging="1416"/>
        <w:jc w:val="both"/>
        <w:outlineLvl w:val="2"/>
        <w:rPr>
          <w:rFonts w:ascii="Palatino Linotype" w:eastAsia="Palatino Linotype" w:hAnsi="Palatino Linotype" w:cstheme="majorBidi"/>
          <w:b/>
          <w:i/>
          <w:color w:val="000000" w:themeColor="text1"/>
          <w:sz w:val="28"/>
          <w:szCs w:val="28"/>
          <w:u w:val="single"/>
        </w:rPr>
      </w:pPr>
      <w:r w:rsidRPr="00273DCE">
        <w:rPr>
          <w:rFonts w:ascii="Palatino Linotype" w:eastAsia="Palatino Linotype" w:hAnsi="Palatino Linotype" w:cstheme="majorBidi"/>
          <w:b/>
          <w:i/>
          <w:color w:val="000000" w:themeColor="text1"/>
          <w:sz w:val="28"/>
          <w:szCs w:val="28"/>
          <w:u w:val="single"/>
        </w:rPr>
        <w:t>DE LA VERSIÓN PÚBLICA</w:t>
      </w:r>
    </w:p>
    <w:p w14:paraId="53EE97B9" w14:textId="77777777" w:rsidR="00534D12" w:rsidRPr="00273DCE" w:rsidRDefault="00534D12" w:rsidP="00534D12">
      <w:pPr>
        <w:keepNext/>
        <w:keepLines/>
        <w:spacing w:line="360" w:lineRule="auto"/>
        <w:jc w:val="both"/>
        <w:outlineLvl w:val="2"/>
        <w:rPr>
          <w:rFonts w:ascii="Palatino Linotype" w:eastAsia="Palatino Linotype" w:hAnsi="Palatino Linotype" w:cstheme="majorBidi"/>
          <w:b/>
          <w:i/>
          <w:color w:val="000000" w:themeColor="text1"/>
          <w:sz w:val="28"/>
          <w:szCs w:val="28"/>
          <w:u w:val="single"/>
        </w:rPr>
      </w:pPr>
    </w:p>
    <w:p w14:paraId="3D2F9DE9" w14:textId="77777777" w:rsidR="00534D12" w:rsidRPr="00273DCE" w:rsidRDefault="00534D12" w:rsidP="00534D12">
      <w:pPr>
        <w:spacing w:line="360" w:lineRule="auto"/>
        <w:jc w:val="both"/>
        <w:rPr>
          <w:rFonts w:ascii="Palatino Linotype" w:eastAsia="Palatino Linotype" w:hAnsi="Palatino Linotype" w:cs="Palatino Linotype"/>
        </w:rPr>
      </w:pPr>
      <w:r w:rsidRPr="00273DCE">
        <w:rPr>
          <w:rFonts w:ascii="Palatino Linotype" w:eastAsia="Palatino Linotype" w:hAnsi="Palatino Linotype" w:cs="Palatino Linotype"/>
        </w:rPr>
        <w:t>En la elaboración de la versión pública se deberá considera lo dispuesto en los artículos 3 fracciones IX, XX, XXI y XLV, 91 y 132 fracciones II y III de la Ley de Transparencia y Acceso a la Información Pública del Estado de México y Municipios que establecen lo siguiente:</w:t>
      </w:r>
    </w:p>
    <w:p w14:paraId="66C9CE9B"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Artículo 3.</w:t>
      </w:r>
      <w:r w:rsidRPr="00273DCE">
        <w:rPr>
          <w:rFonts w:ascii="Palatino Linotype" w:eastAsia="Palatino Linotype" w:hAnsi="Palatino Linotype" w:cs="Palatino Linotype"/>
          <w:i/>
        </w:rPr>
        <w:t xml:space="preserve"> Para los efectos de la presente Ley se entenderá por:</w:t>
      </w:r>
    </w:p>
    <w:p w14:paraId="6707FDC7"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i/>
        </w:rPr>
        <w:t>[…]</w:t>
      </w:r>
    </w:p>
    <w:p w14:paraId="389FA398"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IX. Datos personales:</w:t>
      </w:r>
      <w:r w:rsidRPr="00273DCE">
        <w:rPr>
          <w:rFonts w:ascii="Palatino Linotype" w:eastAsia="Palatino Linotype" w:hAnsi="Palatino Linotype" w:cs="Palatino Linotype"/>
          <w:i/>
        </w:rPr>
        <w:t xml:space="preserve"> La información concerniente a una persona, identificada o identificable según lo dispuesto por la Ley de Protección de Datos Personales del Estado de México; </w:t>
      </w:r>
    </w:p>
    <w:p w14:paraId="5F53D210"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XX.</w:t>
      </w:r>
      <w:r w:rsidRPr="00273DCE">
        <w:rPr>
          <w:rFonts w:ascii="Palatino Linotype" w:eastAsia="Palatino Linotype" w:hAnsi="Palatino Linotype" w:cs="Palatino Linotype"/>
          <w:i/>
        </w:rPr>
        <w:t xml:space="preserve"> </w:t>
      </w:r>
      <w:r w:rsidRPr="00273DCE">
        <w:rPr>
          <w:rFonts w:ascii="Palatino Linotype" w:eastAsia="Palatino Linotype" w:hAnsi="Palatino Linotype" w:cs="Palatino Linotype"/>
          <w:b/>
          <w:i/>
        </w:rPr>
        <w:t>Información clasificada:</w:t>
      </w:r>
      <w:r w:rsidRPr="00273DCE">
        <w:rPr>
          <w:rFonts w:ascii="Palatino Linotype" w:eastAsia="Palatino Linotype" w:hAnsi="Palatino Linotype" w:cs="Palatino Linotype"/>
          <w:i/>
        </w:rPr>
        <w:t xml:space="preserve"> Aquella considerada por la presente Ley como reservada o confidencial;</w:t>
      </w:r>
    </w:p>
    <w:p w14:paraId="2DAE9378"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XXI.</w:t>
      </w:r>
      <w:r w:rsidRPr="00273DCE">
        <w:rPr>
          <w:rFonts w:ascii="Palatino Linotype" w:eastAsia="Palatino Linotype" w:hAnsi="Palatino Linotype" w:cs="Palatino Linotype"/>
          <w:i/>
        </w:rPr>
        <w:t xml:space="preserve"> </w:t>
      </w:r>
      <w:r w:rsidRPr="00273DCE">
        <w:rPr>
          <w:rFonts w:ascii="Palatino Linotype" w:eastAsia="Palatino Linotype" w:hAnsi="Palatino Linotype" w:cs="Palatino Linotype"/>
          <w:b/>
          <w:i/>
        </w:rPr>
        <w:t>Información confidencial:</w:t>
      </w:r>
      <w:r w:rsidRPr="00273DCE">
        <w:rPr>
          <w:rFonts w:ascii="Palatino Linotype" w:eastAsia="Palatino Linotype" w:hAnsi="Palatino Linotype" w:cs="Palatino Linotype"/>
          <w:i/>
        </w:rPr>
        <w:t xml:space="preserve"> Se considera como información confidencial los secretos bancario, fiduciario, industrial, comercial, fiscal, bursátil y postal, cuya </w:t>
      </w:r>
      <w:r w:rsidRPr="00273DCE">
        <w:rPr>
          <w:rFonts w:ascii="Palatino Linotype" w:eastAsia="Palatino Linotype" w:hAnsi="Palatino Linotype" w:cs="Palatino Linotype"/>
          <w:i/>
        </w:rPr>
        <w:lastRenderedPageBreak/>
        <w:t>titularidad corresponda a particulares, sujetos de derecho internacional o a sujetos obligados cuando no involucren el ejercicio de recursos públicos;</w:t>
      </w:r>
    </w:p>
    <w:p w14:paraId="1D5C2C67"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w:t>
      </w:r>
    </w:p>
    <w:p w14:paraId="74201BAB"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XLV.</w:t>
      </w:r>
      <w:r w:rsidRPr="00273DCE">
        <w:rPr>
          <w:rFonts w:ascii="Palatino Linotype" w:eastAsia="Palatino Linotype" w:hAnsi="Palatino Linotype" w:cs="Palatino Linotype"/>
          <w:i/>
        </w:rPr>
        <w:t xml:space="preserve"> </w:t>
      </w:r>
      <w:r w:rsidRPr="00273DCE">
        <w:rPr>
          <w:rFonts w:ascii="Palatino Linotype" w:eastAsia="Palatino Linotype" w:hAnsi="Palatino Linotype" w:cs="Palatino Linotype"/>
          <w:b/>
          <w:i/>
        </w:rPr>
        <w:t>Versión pública:</w:t>
      </w:r>
      <w:r w:rsidRPr="00273DCE">
        <w:rPr>
          <w:rFonts w:ascii="Palatino Linotype" w:eastAsia="Palatino Linotype" w:hAnsi="Palatino Linotype" w:cs="Palatino Linotype"/>
          <w:i/>
        </w:rPr>
        <w:t xml:space="preserve"> Documento en el que se elimine, suprime o borra la información clasificada como reservada o confidencial para permitir su acceso.</w:t>
      </w:r>
    </w:p>
    <w:p w14:paraId="0ED26E6D"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i/>
        </w:rPr>
        <w:t>[…]</w:t>
      </w:r>
    </w:p>
    <w:p w14:paraId="39E31674" w14:textId="77777777" w:rsidR="00534D12" w:rsidRPr="00273DCE" w:rsidRDefault="00534D12" w:rsidP="00534D12">
      <w:pPr>
        <w:spacing w:line="360" w:lineRule="auto"/>
        <w:ind w:right="567"/>
        <w:jc w:val="both"/>
        <w:rPr>
          <w:rFonts w:ascii="Palatino Linotype" w:eastAsia="Palatino Linotype" w:hAnsi="Palatino Linotype" w:cs="Palatino Linotype"/>
          <w:i/>
        </w:rPr>
      </w:pPr>
    </w:p>
    <w:p w14:paraId="57E12539"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 xml:space="preserve">Artículo 91. </w:t>
      </w:r>
      <w:r w:rsidRPr="00273DCE">
        <w:rPr>
          <w:rFonts w:ascii="Palatino Linotype" w:eastAsia="Palatino Linotype" w:hAnsi="Palatino Linotype" w:cs="Palatino Linotype"/>
          <w:i/>
        </w:rPr>
        <w:t>El acceso a la información pública será restringido excepcionalmente, cuando ésta sea clasificada como reservada o confidencial.</w:t>
      </w:r>
    </w:p>
    <w:p w14:paraId="735DE7AD"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p>
    <w:p w14:paraId="748DCE3B"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Artículo 132.</w:t>
      </w:r>
      <w:r w:rsidRPr="00273DCE">
        <w:rPr>
          <w:rFonts w:ascii="Palatino Linotype" w:eastAsia="Palatino Linotype" w:hAnsi="Palatino Linotype" w:cs="Palatino Linotype"/>
          <w:i/>
        </w:rPr>
        <w:t xml:space="preserve"> </w:t>
      </w:r>
      <w:r w:rsidRPr="00273DCE">
        <w:rPr>
          <w:rFonts w:ascii="Palatino Linotype" w:eastAsia="Palatino Linotype" w:hAnsi="Palatino Linotype" w:cs="Palatino Linotype"/>
          <w:i/>
          <w:u w:val="single"/>
        </w:rPr>
        <w:t>La clasificación de la información se llevará a cabo en el momento en que</w:t>
      </w:r>
      <w:r w:rsidRPr="00273DCE">
        <w:rPr>
          <w:rFonts w:ascii="Palatino Linotype" w:eastAsia="Palatino Linotype" w:hAnsi="Palatino Linotype" w:cs="Palatino Linotype"/>
          <w:i/>
        </w:rPr>
        <w:t>:</w:t>
      </w:r>
    </w:p>
    <w:p w14:paraId="7F2DAD55"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I.</w:t>
      </w:r>
      <w:r w:rsidRPr="00273DCE">
        <w:rPr>
          <w:rFonts w:ascii="Palatino Linotype" w:eastAsia="Palatino Linotype" w:hAnsi="Palatino Linotype" w:cs="Palatino Linotype"/>
          <w:i/>
        </w:rPr>
        <w:t xml:space="preserve"> Se reciba una solicitud de acceso a la información;</w:t>
      </w:r>
    </w:p>
    <w:p w14:paraId="165F987B"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II.</w:t>
      </w:r>
      <w:r w:rsidRPr="00273DCE">
        <w:rPr>
          <w:rFonts w:ascii="Palatino Linotype" w:eastAsia="Palatino Linotype" w:hAnsi="Palatino Linotype" w:cs="Palatino Linotype"/>
          <w:i/>
        </w:rPr>
        <w:t xml:space="preserve"> </w:t>
      </w:r>
      <w:r w:rsidRPr="00273DCE">
        <w:rPr>
          <w:rFonts w:ascii="Palatino Linotype" w:eastAsia="Palatino Linotype" w:hAnsi="Palatino Linotype" w:cs="Palatino Linotype"/>
          <w:i/>
          <w:u w:val="single"/>
        </w:rPr>
        <w:t>Se determine mediante resolución de autoridad competente; o</w:t>
      </w:r>
    </w:p>
    <w:p w14:paraId="6C69713C" w14:textId="77777777" w:rsidR="00534D12" w:rsidRPr="00273DCE" w:rsidRDefault="00534D12" w:rsidP="00534D12">
      <w:pPr>
        <w:spacing w:line="360" w:lineRule="auto"/>
        <w:ind w:left="567" w:right="567"/>
        <w:jc w:val="both"/>
        <w:rPr>
          <w:rFonts w:ascii="Palatino Linotype" w:eastAsia="Palatino Linotype" w:hAnsi="Palatino Linotype" w:cs="Palatino Linotype"/>
          <w:i/>
          <w:u w:val="single"/>
        </w:rPr>
      </w:pPr>
      <w:r w:rsidRPr="00273DCE">
        <w:rPr>
          <w:rFonts w:ascii="Palatino Linotype" w:eastAsia="Palatino Linotype" w:hAnsi="Palatino Linotype" w:cs="Palatino Linotype"/>
          <w:b/>
          <w:i/>
        </w:rPr>
        <w:t>III.</w:t>
      </w:r>
      <w:r w:rsidRPr="00273DCE">
        <w:rPr>
          <w:rFonts w:ascii="Palatino Linotype" w:eastAsia="Palatino Linotype" w:hAnsi="Palatino Linotype" w:cs="Palatino Linotype"/>
          <w:i/>
        </w:rPr>
        <w:t xml:space="preserve"> </w:t>
      </w:r>
      <w:r w:rsidRPr="00273DCE">
        <w:rPr>
          <w:rFonts w:ascii="Palatino Linotype" w:eastAsia="Palatino Linotype" w:hAnsi="Palatino Linotype" w:cs="Palatino Linotype"/>
          <w:i/>
          <w:u w:val="single"/>
        </w:rPr>
        <w:t>Se generen versiones públicas para dar cumplimiento a las obligaciones de transparencia previstas en esta Ley.</w:t>
      </w:r>
    </w:p>
    <w:p w14:paraId="242A00BC"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i/>
        </w:rPr>
        <w:t>[…]</w:t>
      </w:r>
    </w:p>
    <w:p w14:paraId="7A6B0289" w14:textId="77777777" w:rsidR="00534D12" w:rsidRPr="00273DCE" w:rsidRDefault="00534D12" w:rsidP="00534D12">
      <w:pPr>
        <w:spacing w:line="360" w:lineRule="auto"/>
        <w:jc w:val="both"/>
        <w:rPr>
          <w:rFonts w:ascii="Palatino Linotype" w:eastAsia="Palatino Linotype" w:hAnsi="Palatino Linotype" w:cs="Palatino Linotype"/>
        </w:rPr>
      </w:pPr>
    </w:p>
    <w:p w14:paraId="764D4497" w14:textId="77777777" w:rsidR="00534D12" w:rsidRPr="00273DCE" w:rsidRDefault="00534D12" w:rsidP="00534D12">
      <w:pPr>
        <w:spacing w:line="360" w:lineRule="auto"/>
        <w:jc w:val="both"/>
        <w:rPr>
          <w:rFonts w:ascii="Palatino Linotype" w:eastAsia="Palatino Linotype" w:hAnsi="Palatino Linotype" w:cs="Palatino Linotype"/>
        </w:rPr>
      </w:pPr>
      <w:r w:rsidRPr="00273DCE">
        <w:rPr>
          <w:rFonts w:ascii="Palatino Linotype" w:eastAsia="Palatino Linotype" w:hAnsi="Palatino Linotype" w:cs="Palatino Linotype"/>
        </w:rPr>
        <w:t>De este modo, en armonía entre los principios constitucionales de máxima publicidad y de protección de datos personales, la Ley permite la elaboración de versiones públicas en las que se suprima aquella información relacionada con la vida privada de los particulares.</w:t>
      </w:r>
    </w:p>
    <w:p w14:paraId="0D4D5AC1" w14:textId="77777777" w:rsidR="00534D12" w:rsidRPr="00273DCE" w:rsidRDefault="00534D12" w:rsidP="00534D12">
      <w:pPr>
        <w:spacing w:line="360" w:lineRule="auto"/>
        <w:jc w:val="both"/>
        <w:rPr>
          <w:rFonts w:ascii="Palatino Linotype" w:eastAsia="Palatino Linotype" w:hAnsi="Palatino Linotype" w:cs="Palatino Linotype"/>
        </w:rPr>
      </w:pPr>
    </w:p>
    <w:p w14:paraId="6B9F685D" w14:textId="77777777" w:rsidR="00534D12" w:rsidRPr="00273DCE" w:rsidRDefault="00534D12" w:rsidP="00534D12">
      <w:pPr>
        <w:spacing w:line="360" w:lineRule="auto"/>
        <w:jc w:val="both"/>
        <w:rPr>
          <w:rFonts w:ascii="Palatino Linotype" w:eastAsia="Palatino Linotype" w:hAnsi="Palatino Linotype" w:cs="Palatino Linotype"/>
        </w:rPr>
      </w:pPr>
      <w:r w:rsidRPr="00273DCE">
        <w:rPr>
          <w:rFonts w:ascii="Palatino Linotype" w:eastAsia="Palatino Linotype" w:hAnsi="Palatino Linotype" w:cs="Palatino Linotype"/>
        </w:rPr>
        <w:t xml:space="preserve">Por otro lado, los </w:t>
      </w:r>
      <w:r w:rsidRPr="00273DCE">
        <w:rPr>
          <w:rFonts w:ascii="Palatino Linotype" w:eastAsia="Palatino Linotype" w:hAnsi="Palatino Linotype" w:cs="Palatino Linotype"/>
          <w:iCs/>
        </w:rPr>
        <w:t>Lineamientos Generales en Materia de Clasificación y Desclasificación de la Información, así como para la elaboración de Versiones Públicas</w:t>
      </w:r>
      <w:r w:rsidRPr="00273DCE">
        <w:rPr>
          <w:rFonts w:ascii="Palatino Linotype" w:eastAsia="Palatino Linotype" w:hAnsi="Palatino Linotype" w:cs="Palatino Linotype"/>
        </w:rPr>
        <w:t xml:space="preserve">, </w:t>
      </w:r>
      <w:r w:rsidRPr="00273DCE">
        <w:rPr>
          <w:rFonts w:ascii="Palatino Linotype" w:eastAsia="Palatino Linotype" w:hAnsi="Palatino Linotype" w:cs="Palatino Linotype"/>
        </w:rPr>
        <w:lastRenderedPageBreak/>
        <w:t>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5D73B836" w14:textId="77777777" w:rsidR="00534D12" w:rsidRPr="00273DCE" w:rsidRDefault="00534D12" w:rsidP="00534D12">
      <w:pPr>
        <w:spacing w:line="360" w:lineRule="auto"/>
        <w:jc w:val="both"/>
        <w:rPr>
          <w:rFonts w:ascii="Palatino Linotype" w:eastAsia="Palatino Linotype" w:hAnsi="Palatino Linotype" w:cs="Palatino Linotype"/>
        </w:rPr>
      </w:pPr>
    </w:p>
    <w:p w14:paraId="3B6ED658" w14:textId="77777777" w:rsidR="00534D12" w:rsidRPr="00273DCE" w:rsidRDefault="00534D12" w:rsidP="00534D12">
      <w:pPr>
        <w:spacing w:line="360" w:lineRule="auto"/>
        <w:jc w:val="both"/>
        <w:rPr>
          <w:rFonts w:ascii="Palatino Linotype" w:eastAsia="Palatino Linotype" w:hAnsi="Palatino Linotype" w:cs="Palatino Linotype"/>
        </w:rPr>
      </w:pPr>
      <w:r w:rsidRPr="00273DCE">
        <w:rPr>
          <w:rFonts w:ascii="Palatino Linotype" w:eastAsia="Palatino Linotype" w:hAnsi="Palatino Linotype" w:cs="Palatino Linotype"/>
        </w:rPr>
        <w:t xml:space="preserve">La </w:t>
      </w:r>
      <w:r w:rsidRPr="00273DCE">
        <w:rPr>
          <w:rFonts w:ascii="Palatino Linotype" w:eastAsia="Palatino Linotype" w:hAnsi="Palatino Linotype" w:cs="Palatino Linotype"/>
          <w:b/>
          <w:u w:val="single"/>
        </w:rPr>
        <w:t>clave de elector</w:t>
      </w:r>
      <w:r w:rsidRPr="00273DCE">
        <w:rPr>
          <w:rFonts w:ascii="Palatino Linotype" w:eastAsia="Palatino Linotype" w:hAnsi="Palatino Linotype" w:cs="Palatino Linotype"/>
        </w:rPr>
        <w:t>, es la composición alfanumérica compuesta de 18 caracteres, mismos que hacen identificable a una persona física, que se conforma por las primeras letras de los apellidos, año, mes, día, sexo, clave del estado en donde nació su titular, así como una homoclave que distingue a su titular de cualquier otro homónimo, por lo tanto, se trata de un dato personal que debe ser protegido.</w:t>
      </w:r>
    </w:p>
    <w:p w14:paraId="2621C8EF" w14:textId="77777777" w:rsidR="00534D12" w:rsidRPr="00273DCE" w:rsidRDefault="00534D12" w:rsidP="00534D12">
      <w:pPr>
        <w:spacing w:line="360" w:lineRule="auto"/>
        <w:jc w:val="both"/>
        <w:rPr>
          <w:rFonts w:ascii="Palatino Linotype" w:hAnsi="Palatino Linotype" w:cs="Arial"/>
        </w:rPr>
      </w:pPr>
    </w:p>
    <w:p w14:paraId="79263FEE" w14:textId="77777777" w:rsidR="00534D12" w:rsidRPr="00273DCE" w:rsidRDefault="00534D12" w:rsidP="00534D12">
      <w:pPr>
        <w:spacing w:line="360" w:lineRule="auto"/>
        <w:jc w:val="both"/>
        <w:rPr>
          <w:rFonts w:ascii="Palatino Linotype" w:eastAsia="Palatino Linotype" w:hAnsi="Palatino Linotype" w:cs="Palatino Linotype"/>
        </w:rPr>
      </w:pPr>
      <w:r w:rsidRPr="00273DCE">
        <w:rPr>
          <w:rFonts w:ascii="Palatino Linotype" w:eastAsia="Palatino Linotype" w:hAnsi="Palatino Linotype" w:cs="Palatino Linotype"/>
        </w:rPr>
        <w:t xml:space="preserve">El </w:t>
      </w:r>
      <w:r w:rsidRPr="00273DCE">
        <w:rPr>
          <w:rFonts w:ascii="Palatino Linotype" w:eastAsia="Palatino Linotype" w:hAnsi="Palatino Linotype" w:cs="Palatino Linotype"/>
          <w:b/>
          <w:u w:val="single"/>
        </w:rPr>
        <w:t>número de OCR</w:t>
      </w:r>
      <w:r w:rsidRPr="00273DCE">
        <w:rPr>
          <w:rFonts w:ascii="Palatino Linotype" w:eastAsia="Palatino Linotype" w:hAnsi="Palatino Linotype" w:cs="Palatino Linotype"/>
          <w:b/>
        </w:rPr>
        <w:t>,</w:t>
      </w:r>
      <w:r w:rsidRPr="00273DCE">
        <w:rPr>
          <w:rFonts w:ascii="Palatino Linotype" w:eastAsia="Palatino Linotype" w:hAnsi="Palatino Linotype" w:cs="Palatino Linotype"/>
        </w:rPr>
        <w:t xml:space="preserve"> denominado Reconocimiento Óptico de Caracteres (OCR), contiene el número de la sección electoral en donde vota el ciudadano titular de dicho documento, por lo que constituye un dato personal en razón de que revela información concerniente a una persona física identificada o identificable en función de la información geoelectoral ahí contenida, por lo que es susceptible de resguardarse.</w:t>
      </w:r>
    </w:p>
    <w:p w14:paraId="4B6F75C3" w14:textId="77777777" w:rsidR="00534D12" w:rsidRPr="00273DCE" w:rsidRDefault="00534D12" w:rsidP="00534D12">
      <w:pPr>
        <w:spacing w:line="360" w:lineRule="auto"/>
        <w:jc w:val="both"/>
        <w:rPr>
          <w:rFonts w:ascii="Palatino Linotype" w:eastAsia="Palatino Linotype" w:hAnsi="Palatino Linotype" w:cs="Palatino Linotype"/>
        </w:rPr>
      </w:pPr>
    </w:p>
    <w:p w14:paraId="0E058DB0" w14:textId="77777777" w:rsidR="00534D12" w:rsidRPr="00273DCE" w:rsidRDefault="00534D12" w:rsidP="00534D12">
      <w:pPr>
        <w:spacing w:line="360" w:lineRule="auto"/>
        <w:jc w:val="both"/>
        <w:rPr>
          <w:rFonts w:ascii="Palatino Linotype" w:eastAsia="Palatino Linotype" w:hAnsi="Palatino Linotype" w:cs="Palatino Linotype"/>
        </w:rPr>
      </w:pPr>
      <w:r w:rsidRPr="00273DCE">
        <w:rPr>
          <w:rFonts w:ascii="Palatino Linotype" w:eastAsia="Palatino Linotype" w:hAnsi="Palatino Linotype" w:cs="Palatino Linotype"/>
        </w:rPr>
        <w:t xml:space="preserve">La </w:t>
      </w:r>
      <w:r w:rsidRPr="00273DCE">
        <w:rPr>
          <w:rFonts w:ascii="Palatino Linotype" w:eastAsia="Palatino Linotype" w:hAnsi="Palatino Linotype" w:cs="Palatino Linotype"/>
          <w:b/>
          <w:u w:val="single"/>
        </w:rPr>
        <w:t>clave única del registro de población</w:t>
      </w:r>
      <w:r w:rsidRPr="00273DCE">
        <w:rPr>
          <w:rFonts w:ascii="Palatino Linotype" w:eastAsia="Palatino Linotype" w:hAnsi="Palatino Linotype" w:cs="Palatino Linotype"/>
          <w:b/>
        </w:rPr>
        <w:t>,</w:t>
      </w:r>
      <w:r w:rsidRPr="00273DCE">
        <w:rPr>
          <w:rFonts w:ascii="Palatino Linotype" w:eastAsia="Palatino Linotype" w:hAnsi="Palatino Linotype" w:cs="Palatino Linotype"/>
          <w:i/>
        </w:rPr>
        <w:t xml:space="preserve"> </w:t>
      </w:r>
      <w:r w:rsidRPr="00273DCE">
        <w:rPr>
          <w:rFonts w:ascii="Palatino Linotype" w:eastAsia="Palatino Linotype" w:hAnsi="Palatino Linotype" w:cs="Palatino Linotype"/>
        </w:rPr>
        <w:t>se integra por datos personales que sólo conciernen al particular titular de la misma, como lo son su nombre, apellidos, fecha de nacimiento, lugar de nacimiento y sexo. Dichos datos, constituyen información que distingue plenamente a una persona física del resto de los habitantes del país, por lo está considerada como información confidencial.</w:t>
      </w:r>
    </w:p>
    <w:p w14:paraId="0619563C" w14:textId="77777777" w:rsidR="00534D12" w:rsidRPr="00273DCE" w:rsidRDefault="00534D12" w:rsidP="00534D12">
      <w:pPr>
        <w:spacing w:line="360" w:lineRule="auto"/>
        <w:jc w:val="both"/>
        <w:rPr>
          <w:rFonts w:ascii="Palatino Linotype" w:eastAsia="Palatino Linotype" w:hAnsi="Palatino Linotype" w:cs="Palatino Linotype"/>
        </w:rPr>
      </w:pPr>
    </w:p>
    <w:p w14:paraId="150DDF3E"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t xml:space="preserve">Igualmente, resulta importante destacar que el </w:t>
      </w:r>
      <w:r w:rsidRPr="00273DCE">
        <w:rPr>
          <w:rFonts w:ascii="Palatino Linotype" w:eastAsia="Palatino Linotype" w:hAnsi="Palatino Linotype" w:cs="Palatino Linotype"/>
          <w:b/>
          <w:bCs/>
          <w:i/>
          <w:u w:val="single"/>
        </w:rPr>
        <w:t>número de cuenta bancaria</w:t>
      </w:r>
      <w:r w:rsidRPr="00273DCE">
        <w:rPr>
          <w:rFonts w:ascii="Palatino Linotype" w:eastAsia="Palatino Linotype" w:hAnsi="Palatino Linotype" w:cs="Palatino Linotype"/>
        </w:rPr>
        <w:t xml:space="preserve"> de las personas físicas es información que sólo su titular o personas autorizadas poseen para el acceso o consulta de información patrimonial, o para la realización de operaciones bancarias de diversa naturaleza, por lo que la difusión pública del mismo facilitaría la afectación al patrimonio del titular de la cuenta.</w:t>
      </w:r>
    </w:p>
    <w:p w14:paraId="5039FDC7" w14:textId="77777777" w:rsidR="00534D12" w:rsidRPr="00273DCE" w:rsidRDefault="00534D12" w:rsidP="00534D12">
      <w:pPr>
        <w:spacing w:line="360" w:lineRule="auto"/>
        <w:ind w:right="50"/>
        <w:jc w:val="both"/>
        <w:rPr>
          <w:rFonts w:ascii="Palatino Linotype" w:eastAsia="Palatino Linotype" w:hAnsi="Palatino Linotype" w:cs="Palatino Linotype"/>
        </w:rPr>
      </w:pPr>
    </w:p>
    <w:p w14:paraId="5BC9943B"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t>Por lo anterior, el número de cuenta bancaria debe ser clasificado como confidencial con fundamento en las fracciones I y II del artículo 143 de la Ley de la Materia de la Entidad; en razón de que, con su difusión se estaría poniendo en riesgo la seguridad de su titular.</w:t>
      </w:r>
    </w:p>
    <w:p w14:paraId="5F488C93" w14:textId="77777777" w:rsidR="00534D12" w:rsidRPr="00273DCE" w:rsidRDefault="00534D12" w:rsidP="00534D12">
      <w:pPr>
        <w:spacing w:line="360" w:lineRule="auto"/>
        <w:ind w:right="50"/>
        <w:jc w:val="both"/>
        <w:rPr>
          <w:rFonts w:ascii="Palatino Linotype" w:eastAsia="Palatino Linotype" w:hAnsi="Palatino Linotype" w:cs="Palatino Linotype"/>
        </w:rPr>
      </w:pPr>
    </w:p>
    <w:p w14:paraId="7D45C7E1"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t xml:space="preserve">Además de que, la publicidad de los números de cuenta bancaria de los particulares en nada contribuye a la rendición de cuentas, sino por el contrario, dar a conocer los números de las cuentas bancarias hace vulnerable a las personas físicas, al abrir la posibilidad de que terceros que cuenten con las posibilidades tecnológicas y/o económicas puedan realizar actos ilícitos mediante operaciones cibernéticas; en esa virtud, este Instituto determina que dicha información no puede ser del dominio público, toda vez que se podría dar un uso inadecuado a la misma o cometer algún ilícito o fraude en contra del patrimonio de los particulares. </w:t>
      </w:r>
    </w:p>
    <w:p w14:paraId="7911F2D4" w14:textId="77777777" w:rsidR="00534D12" w:rsidRPr="00273DCE" w:rsidRDefault="00534D12" w:rsidP="00534D12">
      <w:pPr>
        <w:spacing w:line="360" w:lineRule="auto"/>
        <w:ind w:right="50"/>
        <w:jc w:val="both"/>
        <w:rPr>
          <w:rFonts w:ascii="Palatino Linotype" w:eastAsia="Palatino Linotype" w:hAnsi="Palatino Linotype" w:cs="Palatino Linotype"/>
        </w:rPr>
      </w:pPr>
    </w:p>
    <w:p w14:paraId="409DA507"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t xml:space="preserve">En esa virtud, este Pleno determina que dicha información no puede ser del dominio público, toda vez que se podría dar un uso inadecuado a la misma o cometer algún ilícito o fraude como ya ha sido expuesto.  Es por esta razón que se debe omitir el o los </w:t>
      </w:r>
      <w:r w:rsidRPr="00273DCE">
        <w:rPr>
          <w:rFonts w:ascii="Palatino Linotype" w:eastAsia="Palatino Linotype" w:hAnsi="Palatino Linotype" w:cs="Palatino Linotype"/>
        </w:rPr>
        <w:lastRenderedPageBreak/>
        <w:t>números de cuentas bancarias de particulares en las versiones públicas que de las facturas se hagan, para ser entregadas.</w:t>
      </w:r>
    </w:p>
    <w:p w14:paraId="7AD0DAAD" w14:textId="77777777" w:rsidR="00534D12" w:rsidRPr="00273DCE" w:rsidRDefault="00534D12" w:rsidP="00534D12">
      <w:pPr>
        <w:spacing w:line="360" w:lineRule="auto"/>
        <w:ind w:right="50"/>
        <w:jc w:val="both"/>
        <w:rPr>
          <w:rFonts w:ascii="Palatino Linotype" w:eastAsia="Palatino Linotype" w:hAnsi="Palatino Linotype" w:cs="Palatino Linotype"/>
        </w:rPr>
      </w:pPr>
    </w:p>
    <w:p w14:paraId="39621695"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t>Lo anterior, no es así tratándose de las cuentas bancarias o claves interbancarias de los Sujetos Obligados ya que su publicidad cede a la rendición de cuentas al transparentar la forma en que son administrados los recursos públicos.</w:t>
      </w:r>
    </w:p>
    <w:p w14:paraId="0309362A"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t>Lo argumentado encuentra sustento en los criterios orientadores 10/17 y 11/17 emitidos por el entonces Instituto Nacional de Transparencia, Acceso a la Información y Protección de Datos Personales, INAI, que llevan por rubro y texto los siguientes:</w:t>
      </w:r>
    </w:p>
    <w:p w14:paraId="136F892E" w14:textId="77777777" w:rsidR="00534D12" w:rsidRPr="00273DCE" w:rsidRDefault="00534D12" w:rsidP="00534D12">
      <w:pPr>
        <w:spacing w:before="120" w:after="120"/>
        <w:ind w:left="567" w:right="616"/>
        <w:jc w:val="both"/>
        <w:rPr>
          <w:rFonts w:ascii="Palatino Linotype" w:eastAsia="Palatino Linotype" w:hAnsi="Palatino Linotype" w:cs="Palatino Linotype"/>
          <w:i/>
        </w:rPr>
      </w:pPr>
      <w:r w:rsidRPr="00273DCE">
        <w:rPr>
          <w:rFonts w:ascii="Palatino Linotype" w:eastAsia="Palatino Linotype" w:hAnsi="Palatino Linotype" w:cs="Palatino Linotype"/>
          <w:b/>
          <w:i/>
        </w:rPr>
        <w:t>“Cuentas bancarias y/o CLABE interbancaria de personas físicas y morales privadas.</w:t>
      </w:r>
      <w:r w:rsidRPr="00273DCE">
        <w:rPr>
          <w:rFonts w:ascii="Palatino Linotype" w:eastAsia="Palatino Linotype" w:hAnsi="Palatino Linotype" w:cs="Palatino Linotype"/>
          <w:i/>
        </w:rPr>
        <w:t> El número de cuenta bancaria y/o CLABE interbancaria de particulares es información confidencial, al tratarse de un conjunto de caracteres numéricos utilizados por los grupos financieros para identificar las cuentas de sus clientes, a través de los cuales se puede acceder a información relacionada con su patrimonio y realizar diversas transacciones; por tanto, constituye información clasificada con fundamento en los artículos 116 de la Ley General de Transparencia y Acceso a la Información Pública y 113 de la Ley Federal de Transparencia y Acceso a la Información Pública.</w:t>
      </w:r>
    </w:p>
    <w:p w14:paraId="38EE6BBA" w14:textId="77777777" w:rsidR="00534D12" w:rsidRPr="00273DCE" w:rsidRDefault="00534D12" w:rsidP="00534D12">
      <w:pPr>
        <w:spacing w:before="120" w:after="120"/>
        <w:ind w:left="567" w:right="616"/>
        <w:jc w:val="both"/>
        <w:rPr>
          <w:rFonts w:ascii="Palatino Linotype" w:eastAsia="Palatino Linotype" w:hAnsi="Palatino Linotype" w:cs="Palatino Linotype"/>
          <w:i/>
        </w:rPr>
      </w:pPr>
      <w:r w:rsidRPr="00273DCE">
        <w:rPr>
          <w:rFonts w:ascii="Palatino Linotype" w:eastAsia="Palatino Linotype" w:hAnsi="Palatino Linotype" w:cs="Palatino Linotype"/>
          <w:b/>
          <w:i/>
        </w:rPr>
        <w:t>Cuentas bancarias y/o CLABE interbancaria de sujetos obligados que reciben y/o transfieren recursos públicos, son información pública</w:t>
      </w:r>
      <w:r w:rsidRPr="00273DCE">
        <w:rPr>
          <w:rFonts w:ascii="Palatino Linotype" w:eastAsia="Palatino Linotype" w:hAnsi="Palatino Linotype" w:cs="Palatino Linotype"/>
          <w:i/>
        </w:rPr>
        <w:t>. La difusión de las cuentas bancarias y claves interbancarias pertenecientes a un sujeto obligado favorece la rendición de cuentas al transparentar la forma en que se administran los recursos públicos, razón por la cual no pueden considerarse como información clasificada.”</w:t>
      </w:r>
    </w:p>
    <w:p w14:paraId="2DA78A06" w14:textId="77777777" w:rsidR="00534D12" w:rsidRPr="00273DCE" w:rsidRDefault="00534D12" w:rsidP="00534D12">
      <w:pPr>
        <w:spacing w:line="360" w:lineRule="auto"/>
        <w:ind w:right="50"/>
        <w:jc w:val="both"/>
        <w:rPr>
          <w:rFonts w:ascii="Palatino Linotype" w:eastAsia="Palatino Linotype" w:hAnsi="Palatino Linotype" w:cs="Palatino Linotype"/>
        </w:rPr>
      </w:pPr>
    </w:p>
    <w:p w14:paraId="0F66DEA6"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t xml:space="preserve">Por cuanto hace al </w:t>
      </w:r>
      <w:r w:rsidRPr="00273DCE">
        <w:rPr>
          <w:rFonts w:ascii="Palatino Linotype" w:eastAsia="Palatino Linotype" w:hAnsi="Palatino Linotype" w:cs="Palatino Linotype"/>
          <w:b/>
        </w:rPr>
        <w:t xml:space="preserve">Registro Federal de Contribuyentes (RFC) </w:t>
      </w:r>
      <w:r w:rsidRPr="00273DCE">
        <w:rPr>
          <w:rFonts w:ascii="Palatino Linotype" w:eastAsia="Palatino Linotype" w:hAnsi="Palatino Linotype" w:cs="Palatino Linotype"/>
        </w:rPr>
        <w:t>y</w:t>
      </w:r>
      <w:r w:rsidRPr="00273DCE">
        <w:rPr>
          <w:rFonts w:ascii="Palatino Linotype" w:eastAsia="Palatino Linotype" w:hAnsi="Palatino Linotype" w:cs="Palatino Linotype"/>
          <w:b/>
        </w:rPr>
        <w:t xml:space="preserve"> el domicilio fiscal </w:t>
      </w:r>
      <w:r w:rsidRPr="00273DCE">
        <w:rPr>
          <w:rFonts w:ascii="Palatino Linotype" w:eastAsia="Palatino Linotype" w:hAnsi="Palatino Linotype" w:cs="Palatino Linotype"/>
        </w:rPr>
        <w:t xml:space="preserve">si bien este Instituto ha sostenido que el RFC y domicilio de las personas físicas debe ser testado por los Sujetos Obligados, en las versiones públicas de los documentos que elaboren para atender las solicitudes de información pública, lo cierto es que, </w:t>
      </w:r>
      <w:r w:rsidRPr="00273DCE">
        <w:rPr>
          <w:rFonts w:ascii="Palatino Linotype" w:eastAsia="Palatino Linotype" w:hAnsi="Palatino Linotype" w:cs="Palatino Linotype"/>
        </w:rPr>
        <w:lastRenderedPageBreak/>
        <w:t>tratándose de proveedores, prestadores de servicios o contratistas, dichos datos no deben ser suprimidos de las facturas y contratos que vayan a ser entregados.</w:t>
      </w:r>
    </w:p>
    <w:p w14:paraId="7878514E" w14:textId="77777777" w:rsidR="00534D12" w:rsidRPr="00273DCE" w:rsidRDefault="00534D12" w:rsidP="00534D12">
      <w:pPr>
        <w:spacing w:line="360" w:lineRule="auto"/>
        <w:ind w:right="50"/>
        <w:jc w:val="both"/>
        <w:rPr>
          <w:rFonts w:ascii="Palatino Linotype" w:eastAsia="Palatino Linotype" w:hAnsi="Palatino Linotype" w:cs="Palatino Linotype"/>
        </w:rPr>
      </w:pPr>
    </w:p>
    <w:p w14:paraId="3AD416B8"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t>Ello se debe a que, del ejercicio de ponderación entre el derecho a la protección de datos personales con el derecho de acceso a la información pública, es de mayor trascendencia el que cualquier persona pueda conocer en qué se gastan los recursos públicos, puesto que se trata de erogaciones que realiza un órgano del Estado con base en los recursos que encuentran su origen en mayor medida en las contribuciones aportados por los gobernados, por lo que debe transparentarse su ejercicio.</w:t>
      </w:r>
    </w:p>
    <w:p w14:paraId="75787492" w14:textId="77777777" w:rsidR="00534D12" w:rsidRPr="00273DCE" w:rsidRDefault="00534D12" w:rsidP="00534D12">
      <w:pPr>
        <w:spacing w:line="360" w:lineRule="auto"/>
        <w:ind w:right="50"/>
        <w:jc w:val="both"/>
        <w:rPr>
          <w:rFonts w:ascii="Palatino Linotype" w:eastAsia="Palatino Linotype" w:hAnsi="Palatino Linotype" w:cs="Palatino Linotype"/>
        </w:rPr>
      </w:pPr>
    </w:p>
    <w:p w14:paraId="291CFC2D"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t xml:space="preserve">Además, las personas físicas que realicen las actividades contratadas por las instituciones, renuncian implícitamente a una parte de su derecho a la intimidad al obtener beneficios y lucros de los recursos públicos por dicha contratación, por lo que </w:t>
      </w:r>
      <w:r w:rsidRPr="00273DCE">
        <w:rPr>
          <w:rFonts w:ascii="Palatino Linotype" w:eastAsia="Palatino Linotype" w:hAnsi="Palatino Linotype" w:cs="Palatino Linotype"/>
          <w:b/>
        </w:rPr>
        <w:t>no puede considerarse como información clasificada lo relativo a su nombre, registro federal de contribuyentes y domicilio fiscal</w:t>
      </w:r>
      <w:r w:rsidRPr="00273DCE">
        <w:rPr>
          <w:rFonts w:ascii="Palatino Linotype" w:eastAsia="Palatino Linotype" w:hAnsi="Palatino Linotype" w:cs="Palatino Linotype"/>
        </w:rPr>
        <w:t>, atento a que dicha información es la que puede generar certeza en los gobernados en que se está ejerciendo debidamente el presupuesto.</w:t>
      </w:r>
    </w:p>
    <w:p w14:paraId="58031CFE" w14:textId="77777777" w:rsidR="00534D12" w:rsidRPr="00273DCE" w:rsidRDefault="00534D12" w:rsidP="00534D12">
      <w:pPr>
        <w:spacing w:line="360" w:lineRule="auto"/>
        <w:ind w:right="50"/>
        <w:jc w:val="both"/>
        <w:rPr>
          <w:rFonts w:ascii="Palatino Linotype" w:eastAsia="Palatino Linotype" w:hAnsi="Palatino Linotype" w:cs="Palatino Linotype"/>
        </w:rPr>
      </w:pPr>
    </w:p>
    <w:p w14:paraId="0A7C2387"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t>Robustece lo anterior el criterio orientador 04/21 emitido por el entonces Instituto Nacional de Transparencia, Acceso a la Información y Protección de Datos Personales, INAI, el cual refiere:</w:t>
      </w:r>
    </w:p>
    <w:p w14:paraId="576BB10E" w14:textId="77777777" w:rsidR="00534D12" w:rsidRPr="00273DCE" w:rsidRDefault="00534D12" w:rsidP="00534D12">
      <w:pPr>
        <w:ind w:left="567" w:right="616"/>
        <w:jc w:val="both"/>
        <w:rPr>
          <w:rFonts w:ascii="Palatino Linotype" w:eastAsia="Palatino Linotype" w:hAnsi="Palatino Linotype" w:cs="Palatino Linotype"/>
          <w:i/>
        </w:rPr>
      </w:pPr>
      <w:r w:rsidRPr="00273DCE">
        <w:rPr>
          <w:rFonts w:ascii="Palatino Linotype" w:eastAsia="Palatino Linotype" w:hAnsi="Palatino Linotype" w:cs="Palatino Linotype"/>
          <w:b/>
          <w:i/>
        </w:rPr>
        <w:t xml:space="preserve">“Registro Federal de Contribuyentes (RFC) de personas físicas proveedoras o contratistas. </w:t>
      </w:r>
      <w:r w:rsidRPr="00273DCE">
        <w:rPr>
          <w:rFonts w:ascii="Palatino Linotype" w:eastAsia="Palatino Linotype" w:hAnsi="Palatino Linotype" w:cs="Palatino Linotype"/>
          <w:i/>
        </w:rPr>
        <w:t>El RFC de contratistas o proveedores de los sujetos obligados debe ser público, ya que al tratarse de personas con contrataciones públicas, su difusión favorece la transparencia con la que deben administrarse los recursos públicos, en términos del artículo 134 de la Constitución Política de los Estados Unidos Mexicanos.”</w:t>
      </w:r>
    </w:p>
    <w:p w14:paraId="59745D12" w14:textId="77777777" w:rsidR="00534D12" w:rsidRPr="00273DCE" w:rsidRDefault="00534D12" w:rsidP="00534D12">
      <w:pPr>
        <w:pStyle w:val="Sinespaciado"/>
        <w:rPr>
          <w:rFonts w:eastAsia="Palatino Linotype"/>
          <w:lang w:eastAsia="es-MX"/>
        </w:rPr>
      </w:pPr>
    </w:p>
    <w:p w14:paraId="60236676"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lastRenderedPageBreak/>
        <w:t xml:space="preserve">Relacionado con lo anterior, el </w:t>
      </w:r>
      <w:r w:rsidRPr="00273DCE">
        <w:rPr>
          <w:rFonts w:ascii="Palatino Linotype" w:eastAsia="Palatino Linotype" w:hAnsi="Palatino Linotype" w:cs="Palatino Linotype"/>
          <w:b/>
        </w:rPr>
        <w:t>nombre de las personas físicas</w:t>
      </w:r>
      <w:r w:rsidRPr="00273DCE">
        <w:rPr>
          <w:rFonts w:ascii="Palatino Linotype" w:eastAsia="Palatino Linotype" w:hAnsi="Palatino Linotype" w:cs="Palatino Linotype"/>
        </w:rPr>
        <w:t xml:space="preserve"> o los </w:t>
      </w:r>
      <w:r w:rsidRPr="00273DCE">
        <w:rPr>
          <w:rFonts w:ascii="Palatino Linotype" w:eastAsia="Palatino Linotype" w:hAnsi="Palatino Linotype" w:cs="Palatino Linotype"/>
          <w:b/>
        </w:rPr>
        <w:t>representantes legales de las personas morales</w:t>
      </w:r>
      <w:r w:rsidRPr="00273DCE">
        <w:rPr>
          <w:rFonts w:ascii="Palatino Linotype" w:eastAsia="Palatino Linotype" w:hAnsi="Palatino Linotype" w:cs="Palatino Linotype"/>
        </w:rPr>
        <w:t>, en su calidad de proveedores, contratistas o prestadores de servicios, y la firma y rúbrica de estos, que participen en algún  proceso de adjudicación en cualquiera de sus modalidades, debe mencionarse que con base en el artículo 23 párrafo segundo y 24 fracción XVIII  de la Ley de Transparencia y Acceso a la Información Pública del Estado de México y Municipios, los entes públicos tienen la obligación de difundir toda aquella información relativa a los montos y las personas a quienes entreguen, por cualquier motivo, recursos públicos, así como los informes que dichas personas entreguen sobre el uso y destino de dichos recursos, motivo por el cual los datos del representante legal de la persona moral que resultó favorecida con el procedimiento de licitación no conservan el carácter de confidencial y por tanto no deben ser testados.</w:t>
      </w:r>
    </w:p>
    <w:p w14:paraId="491E9E6C" w14:textId="77777777" w:rsidR="00534D12" w:rsidRPr="00273DCE" w:rsidRDefault="00534D12" w:rsidP="00534D12">
      <w:pPr>
        <w:spacing w:line="360" w:lineRule="auto"/>
        <w:ind w:right="50"/>
        <w:jc w:val="both"/>
        <w:rPr>
          <w:rFonts w:ascii="Palatino Linotype" w:eastAsia="Palatino Linotype" w:hAnsi="Palatino Linotype" w:cs="Palatino Linotype"/>
        </w:rPr>
      </w:pPr>
    </w:p>
    <w:p w14:paraId="36B0821B" w14:textId="77777777" w:rsidR="00534D12" w:rsidRPr="00273DCE" w:rsidRDefault="00534D12" w:rsidP="00534D12">
      <w:pPr>
        <w:spacing w:line="360" w:lineRule="auto"/>
        <w:ind w:right="50"/>
        <w:jc w:val="both"/>
        <w:rPr>
          <w:rFonts w:ascii="Palatino Linotype" w:eastAsia="Palatino Linotype" w:hAnsi="Palatino Linotype" w:cs="Palatino Linotype"/>
        </w:rPr>
      </w:pPr>
      <w:r w:rsidRPr="00273DCE">
        <w:rPr>
          <w:rFonts w:ascii="Palatino Linotype" w:eastAsia="Palatino Linotype" w:hAnsi="Palatino Linotype" w:cs="Palatino Linotype"/>
        </w:rPr>
        <w:t>Argumentación que guarda sustento en lo estipulado por el artículo 23 de la Ley de Transparencia y Acceso a la Información Pública del Estado de México y Municipios en su penúltimo párrafo, mismo que es del tenor literal siguiente:</w:t>
      </w:r>
    </w:p>
    <w:p w14:paraId="2C7C1CBA" w14:textId="77777777" w:rsidR="00534D12" w:rsidRPr="00273DCE" w:rsidRDefault="00534D12" w:rsidP="00534D12">
      <w:pPr>
        <w:ind w:left="567" w:right="616"/>
        <w:jc w:val="both"/>
        <w:rPr>
          <w:rFonts w:ascii="Palatino Linotype" w:eastAsia="Palatino Linotype" w:hAnsi="Palatino Linotype" w:cs="Palatino Linotype"/>
          <w:i/>
        </w:rPr>
      </w:pPr>
      <w:r w:rsidRPr="00273DCE">
        <w:rPr>
          <w:rFonts w:ascii="Palatino Linotype" w:eastAsia="Palatino Linotype" w:hAnsi="Palatino Linotype" w:cs="Palatino Linotype"/>
          <w:i/>
        </w:rPr>
        <w:t>“</w:t>
      </w:r>
      <w:r w:rsidRPr="00273DCE">
        <w:rPr>
          <w:rFonts w:ascii="Palatino Linotype" w:eastAsia="Palatino Linotype" w:hAnsi="Palatino Linotype" w:cs="Palatino Linotype"/>
          <w:b/>
          <w:i/>
        </w:rPr>
        <w:t>Artículo 23.</w:t>
      </w:r>
      <w:r w:rsidRPr="00273DCE">
        <w:rPr>
          <w:rFonts w:ascii="Palatino Linotype" w:eastAsia="Palatino Linotype" w:hAnsi="Palatino Linotype" w:cs="Palatino Linotype"/>
          <w:i/>
        </w:rPr>
        <w:t xml:space="preserve"> (…)</w:t>
      </w:r>
    </w:p>
    <w:p w14:paraId="3066DA06" w14:textId="77777777" w:rsidR="00534D12" w:rsidRPr="00273DCE" w:rsidRDefault="00534D12" w:rsidP="00534D12">
      <w:pPr>
        <w:ind w:left="567" w:right="616"/>
        <w:jc w:val="both"/>
        <w:rPr>
          <w:rFonts w:ascii="Palatino Linotype" w:eastAsia="Palatino Linotype" w:hAnsi="Palatino Linotype" w:cs="Palatino Linotype"/>
          <w:i/>
        </w:rPr>
      </w:pPr>
      <w:r w:rsidRPr="00273DCE">
        <w:rPr>
          <w:rFonts w:ascii="Palatino Linotype" w:eastAsia="Palatino Linotype" w:hAnsi="Palatino Linotype" w:cs="Palatino Linotype"/>
          <w:i/>
        </w:rPr>
        <w:t>Los sujetos obligados deberán hacer pública toda aquella información relativa a los montos y las personas a quienes entreguen, por cualquier motivo, recursos públicos, así como los informes que dichas personas les entreguen sobre el uso y destino de dichos recursos.”</w:t>
      </w:r>
    </w:p>
    <w:p w14:paraId="74C6D279" w14:textId="77777777" w:rsidR="00534D12" w:rsidRPr="00273DCE" w:rsidRDefault="00534D12" w:rsidP="00534D12">
      <w:pPr>
        <w:pStyle w:val="Sinespaciado"/>
        <w:rPr>
          <w:rFonts w:eastAsia="Palatino Linotype"/>
          <w:lang w:eastAsia="es-MX"/>
        </w:rPr>
      </w:pPr>
    </w:p>
    <w:p w14:paraId="0A8551F0" w14:textId="77777777" w:rsidR="00534D12" w:rsidRPr="00273DCE" w:rsidRDefault="00534D12" w:rsidP="00534D12">
      <w:pPr>
        <w:spacing w:line="360" w:lineRule="auto"/>
        <w:jc w:val="both"/>
        <w:rPr>
          <w:rFonts w:ascii="Palatino Linotype" w:eastAsia="Palatino Linotype" w:hAnsi="Palatino Linotype" w:cs="Palatino Linotype"/>
        </w:rPr>
      </w:pPr>
      <w:r w:rsidRPr="00273DCE">
        <w:rPr>
          <w:rFonts w:ascii="Palatino Linotype" w:eastAsia="Palatino Linotype" w:hAnsi="Palatino Linotype" w:cs="Palatino Linotype"/>
        </w:rPr>
        <w:t>Asimismo, resulta aplicable el contenido del criterio orientador 01/19 emitido por el entonces Instituto Nacional de Transparencia, Acceso a la Información, y Protección de Datos Personales, INAI, que lleva por rubro y texto los siguientes;</w:t>
      </w:r>
    </w:p>
    <w:p w14:paraId="37A51FE8" w14:textId="77777777" w:rsidR="00534D12" w:rsidRPr="00273DCE" w:rsidRDefault="00534D12" w:rsidP="00534D12">
      <w:pPr>
        <w:ind w:left="567" w:right="616"/>
        <w:jc w:val="both"/>
        <w:rPr>
          <w:rFonts w:ascii="Palatino Linotype" w:eastAsia="Palatino Linotype" w:hAnsi="Palatino Linotype" w:cs="Palatino Linotype"/>
          <w:i/>
        </w:rPr>
      </w:pPr>
      <w:r w:rsidRPr="00273DCE">
        <w:rPr>
          <w:rFonts w:ascii="Palatino Linotype" w:eastAsia="Palatino Linotype" w:hAnsi="Palatino Linotype" w:cs="Palatino Linotype"/>
          <w:b/>
          <w:i/>
        </w:rPr>
        <w:t>“Datos de identificación del representante o apoderado legal.</w:t>
      </w:r>
      <w:r w:rsidRPr="00273DCE">
        <w:rPr>
          <w:rFonts w:ascii="Palatino Linotype" w:eastAsia="Palatino Linotype" w:hAnsi="Palatino Linotype" w:cs="Palatino Linotype"/>
          <w:i/>
        </w:rPr>
        <w:t xml:space="preserve"> </w:t>
      </w:r>
      <w:r w:rsidRPr="00273DCE">
        <w:rPr>
          <w:rFonts w:ascii="Palatino Linotype" w:eastAsia="Palatino Linotype" w:hAnsi="Palatino Linotype" w:cs="Palatino Linotype"/>
          <w:b/>
          <w:i/>
        </w:rPr>
        <w:t xml:space="preserve">Naturaleza jurídica. </w:t>
      </w:r>
      <w:r w:rsidRPr="00273DCE">
        <w:rPr>
          <w:rFonts w:ascii="Palatino Linotype" w:eastAsia="Palatino Linotype" w:hAnsi="Palatino Linotype" w:cs="Palatino Linotype"/>
          <w:i/>
        </w:rPr>
        <w:t xml:space="preserve">El nombre, la firma y la rúbrica de una persona física, que actúe como representante o apoderado legal de un tercero que haya celebrado un acto jurídico, con algún sujeto obligado, </w:t>
      </w:r>
      <w:r w:rsidRPr="00273DCE">
        <w:rPr>
          <w:rFonts w:ascii="Palatino Linotype" w:eastAsia="Palatino Linotype" w:hAnsi="Palatino Linotype" w:cs="Palatino Linotype"/>
          <w:b/>
          <w:i/>
        </w:rPr>
        <w:t xml:space="preserve">es información pública, en razón de que tales datos </w:t>
      </w:r>
      <w:r w:rsidRPr="00273DCE">
        <w:rPr>
          <w:rFonts w:ascii="Palatino Linotype" w:eastAsia="Palatino Linotype" w:hAnsi="Palatino Linotype" w:cs="Palatino Linotype"/>
          <w:b/>
          <w:i/>
        </w:rPr>
        <w:lastRenderedPageBreak/>
        <w:t>fueron proporcionados con el objeto de expresar el consentimiento obligacional del tercero y otorgar validez a dicho instrumento jurídico</w:t>
      </w:r>
      <w:r w:rsidRPr="00273DCE">
        <w:rPr>
          <w:rFonts w:ascii="Palatino Linotype" w:eastAsia="Palatino Linotype" w:hAnsi="Palatino Linotype" w:cs="Palatino Linotype"/>
          <w:i/>
        </w:rPr>
        <w:t>.”</w:t>
      </w:r>
    </w:p>
    <w:p w14:paraId="54C5D834" w14:textId="77777777" w:rsidR="00534D12" w:rsidRPr="00273DCE" w:rsidRDefault="00534D12" w:rsidP="00534D12">
      <w:pPr>
        <w:ind w:left="567" w:right="616"/>
        <w:jc w:val="both"/>
        <w:rPr>
          <w:rFonts w:ascii="Palatino Linotype" w:eastAsia="Palatino Linotype" w:hAnsi="Palatino Linotype" w:cs="Palatino Linotype"/>
          <w:i/>
        </w:rPr>
      </w:pPr>
    </w:p>
    <w:p w14:paraId="45042353" w14:textId="77777777" w:rsidR="00534D12" w:rsidRPr="00273DCE" w:rsidRDefault="00534D12" w:rsidP="00534D12">
      <w:pPr>
        <w:spacing w:line="360" w:lineRule="auto"/>
        <w:jc w:val="both"/>
        <w:rPr>
          <w:rFonts w:ascii="Palatino Linotype" w:eastAsia="Palatino Linotype" w:hAnsi="Palatino Linotype" w:cs="Palatino Linotype"/>
        </w:rPr>
      </w:pPr>
      <w:r w:rsidRPr="00273DCE">
        <w:rPr>
          <w:rFonts w:ascii="Palatino Linotype" w:eastAsia="Palatino Linotype" w:hAnsi="Palatino Linotype" w:cs="Palatino Linotype"/>
        </w:rPr>
        <w:t xml:space="preserve">Por otro lado, los </w:t>
      </w:r>
      <w:r w:rsidRPr="00273DCE">
        <w:rPr>
          <w:rFonts w:ascii="Palatino Linotype" w:eastAsia="Palatino Linotype" w:hAnsi="Palatino Linotype" w:cs="Palatino Linotype"/>
          <w:iCs/>
        </w:rPr>
        <w:t>Lineamientos Generales en Materia de Clasificación y Desclasificación de la Información, así como para la elaboración de Versiones Públicas</w:t>
      </w:r>
      <w:r w:rsidRPr="00273DCE">
        <w:rPr>
          <w:rFonts w:ascii="Palatino Linotype" w:eastAsia="Palatino Linotype" w:hAnsi="Palatino Linotype" w:cs="Palatino Linotype"/>
        </w:rPr>
        <w:t>, emitidos por el Consejo Nacional del Sistema Nacional de Transparencia, Acceso a la Información Pública y Protección de Datos Personales, publicados en el Diario Oficial de la Federación el día quince de abril de dos mil dieciséis, tienen por objeto establecer los criterios con base en los cuales los sujetos obligados clasificarán como reservada o confidencial la información que posean, desclasificarán y generarán, en su caso, versiones públicas de expedientes o documentos que contengan partes o secciones clasificadas.</w:t>
      </w:r>
    </w:p>
    <w:p w14:paraId="4ACBF839" w14:textId="77777777" w:rsidR="00534D12" w:rsidRPr="00273DCE" w:rsidRDefault="00534D12" w:rsidP="00534D12">
      <w:pPr>
        <w:tabs>
          <w:tab w:val="left" w:pos="4962"/>
        </w:tabs>
        <w:spacing w:line="360" w:lineRule="auto"/>
        <w:jc w:val="both"/>
        <w:rPr>
          <w:rFonts w:ascii="Palatino Linotype" w:hAnsi="Palatino Linotype"/>
          <w:color w:val="000000"/>
        </w:rPr>
      </w:pPr>
    </w:p>
    <w:p w14:paraId="0DFE9114" w14:textId="77777777" w:rsidR="00534D12" w:rsidRPr="00273DCE" w:rsidRDefault="00534D12" w:rsidP="00534D12">
      <w:pPr>
        <w:tabs>
          <w:tab w:val="left" w:pos="4962"/>
        </w:tabs>
        <w:spacing w:line="360" w:lineRule="auto"/>
        <w:jc w:val="both"/>
        <w:rPr>
          <w:rFonts w:ascii="Palatino Linotype" w:hAnsi="Palatino Linotype"/>
          <w:color w:val="000000"/>
        </w:rPr>
      </w:pPr>
      <w:r w:rsidRPr="00273DCE">
        <w:rPr>
          <w:rFonts w:ascii="Palatino Linotype" w:hAnsi="Palatino Linotype"/>
          <w:color w:val="000000"/>
        </w:rPr>
        <w:t>Respecto la firma plasmada por servidores públicos en el ejercicio de sus funciones o atribuciones  no puede considerarse como un dato susceptible de clasificarse. Sobre dicho dato, cabe precisar que, en el presente caso, se trata de los servidores públicos, es de señalar que la firma es un dato personal confidencial y únicamente será público dicho dato cuando sirva para la emisión de un acto de autoridad, en ejercicio de sus funciones.</w:t>
      </w:r>
    </w:p>
    <w:p w14:paraId="7A107518" w14:textId="77777777" w:rsidR="00534D12" w:rsidRPr="00273DCE" w:rsidRDefault="00534D12" w:rsidP="00534D12">
      <w:pPr>
        <w:tabs>
          <w:tab w:val="left" w:pos="4962"/>
        </w:tabs>
        <w:spacing w:line="360" w:lineRule="auto"/>
        <w:jc w:val="both"/>
        <w:rPr>
          <w:rFonts w:ascii="Palatino Linotype" w:hAnsi="Palatino Linotype"/>
          <w:color w:val="000000"/>
        </w:rPr>
      </w:pPr>
      <w:r w:rsidRPr="00273DCE">
        <w:rPr>
          <w:rFonts w:ascii="Palatino Linotype" w:hAnsi="Palatino Linotype"/>
          <w:color w:val="000000"/>
        </w:rPr>
        <w:t> </w:t>
      </w:r>
    </w:p>
    <w:p w14:paraId="646908D6" w14:textId="77777777" w:rsidR="00534D12" w:rsidRPr="00273DCE" w:rsidRDefault="00534D12" w:rsidP="00534D12">
      <w:pPr>
        <w:tabs>
          <w:tab w:val="left" w:pos="4962"/>
        </w:tabs>
        <w:spacing w:line="360" w:lineRule="auto"/>
        <w:jc w:val="both"/>
        <w:rPr>
          <w:rFonts w:ascii="Palatino Linotype" w:hAnsi="Palatino Linotype"/>
          <w:color w:val="000000"/>
        </w:rPr>
      </w:pPr>
      <w:r w:rsidRPr="00273DCE">
        <w:rPr>
          <w:rFonts w:ascii="Palatino Linotype" w:hAnsi="Palatino Linotype"/>
          <w:color w:val="000000"/>
        </w:rPr>
        <w:t>Lo anterior, se robustece, con el Criterio de Interpretación, de la Segunda Época, con clave de control SO/002/2019, emitido por el entonces Instituto Nacional de Transparencia, Acceso a la Información y Protección de Datos Personales, que establece lo siguiente:</w:t>
      </w:r>
    </w:p>
    <w:p w14:paraId="2C84E1F8" w14:textId="77777777" w:rsidR="00534D12" w:rsidRPr="00273DCE" w:rsidRDefault="00534D12" w:rsidP="00534D12">
      <w:pPr>
        <w:spacing w:line="360" w:lineRule="auto"/>
        <w:ind w:left="567" w:right="567"/>
        <w:jc w:val="both"/>
        <w:rPr>
          <w:rFonts w:ascii="Palatino Linotype" w:hAnsi="Palatino Linotype"/>
          <w:color w:val="000000"/>
        </w:rPr>
      </w:pPr>
      <w:r w:rsidRPr="00273DCE">
        <w:rPr>
          <w:rFonts w:ascii="Palatino Linotype" w:hAnsi="Palatino Linotype"/>
          <w:b/>
          <w:i/>
          <w:color w:val="000000"/>
        </w:rPr>
        <w:t>“Firma y rúbrica de servidores públicos.</w:t>
      </w:r>
      <w:r w:rsidRPr="00273DCE">
        <w:rPr>
          <w:rFonts w:ascii="Palatino Linotype" w:hAnsi="Palatino Linotype"/>
          <w:i/>
          <w:color w:val="000000"/>
        </w:rPr>
        <w:t xml:space="preserve"> Si bien la firma y la rúbrica son datos personales confidenciales, cuando un servidor público emite un acto como autoridad, </w:t>
      </w:r>
      <w:r w:rsidRPr="00273DCE">
        <w:rPr>
          <w:rFonts w:ascii="Palatino Linotype" w:hAnsi="Palatino Linotype"/>
          <w:i/>
          <w:color w:val="000000"/>
        </w:rPr>
        <w:lastRenderedPageBreak/>
        <w:t>en ejercicio de las funciones que tiene conferidas, la firma o rúbrica mediante la cual se valida dicho acto es pública.”</w:t>
      </w:r>
    </w:p>
    <w:p w14:paraId="00DDB3F9" w14:textId="77777777" w:rsidR="00534D12" w:rsidRPr="00273DCE" w:rsidRDefault="00534D12" w:rsidP="00534D12">
      <w:pPr>
        <w:spacing w:line="360" w:lineRule="auto"/>
        <w:ind w:left="567" w:right="567"/>
        <w:jc w:val="both"/>
        <w:rPr>
          <w:rFonts w:ascii="Palatino Linotype" w:hAnsi="Palatino Linotype"/>
          <w:color w:val="000000"/>
        </w:rPr>
      </w:pPr>
    </w:p>
    <w:p w14:paraId="544E18DE"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r w:rsidRPr="00273DCE">
        <w:rPr>
          <w:rFonts w:ascii="Palatino Linotype" w:hAnsi="Palatino Linotype" w:cs="Tahoma"/>
          <w:bCs/>
          <w:lang w:val="es-ES"/>
        </w:rPr>
        <w:t>Por lo que hace a las fotografías, es preciso señalar que estas dan cuenta de las características físicas de los servidores públicos; por lo que, no debe perderse de vista que la imagen personal es la apariencia física, la cual puede ser captada en dibujo, pintura, escultura, fotografía, y video; la imagen así captada puede ser reproducida, publicada y divulgada por diversos medios, desde volantes impresos de la forma más rudimentaria, hasta filmaciones y fotografías transmitidas por televisión cine, video, correo electrónico o Internet.</w:t>
      </w:r>
    </w:p>
    <w:p w14:paraId="531CEC71"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p>
    <w:p w14:paraId="17A790A8"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r w:rsidRPr="00273DCE">
        <w:rPr>
          <w:rFonts w:ascii="Palatino Linotype" w:hAnsi="Palatino Linotype" w:cs="Tahoma"/>
          <w:bCs/>
          <w:lang w:val="es-ES"/>
        </w:rPr>
        <w:t xml:space="preserve">Así, dichos datos constituyen la reproducción fiel de las características físicas de una persona en un momento determinado, por lo que representan un instrumento de identificación, proyección exterior y factor imprescindible para su propio reconocimiento como sujeto individual; lo que en el presente caso, acreditaría e identificaría a una persona como servidor público, por lo que es posible advertir que existe cierto interés público, </w:t>
      </w:r>
      <w:r w:rsidRPr="00273DCE">
        <w:rPr>
          <w:rFonts w:ascii="Palatino Linotype" w:hAnsi="Palatino Linotype" w:cs="Tahoma"/>
          <w:bCs/>
          <w:u w:val="single"/>
          <w:lang w:val="es-ES"/>
        </w:rPr>
        <w:t>cuando la fotografía obra en documentos de servidores públicos vinculados con el cumplimiento de disposiciones legales</w:t>
      </w:r>
      <w:r w:rsidRPr="00273DCE">
        <w:rPr>
          <w:rFonts w:ascii="Palatino Linotype" w:hAnsi="Palatino Linotype" w:cs="Tahoma"/>
          <w:bCs/>
          <w:lang w:val="es-ES"/>
        </w:rPr>
        <w:t>.</w:t>
      </w:r>
    </w:p>
    <w:p w14:paraId="12653C33"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p>
    <w:p w14:paraId="50C328B9" w14:textId="77777777" w:rsidR="00534D12" w:rsidRPr="00273DCE" w:rsidRDefault="00534D12" w:rsidP="00534D12">
      <w:pPr>
        <w:spacing w:line="360" w:lineRule="auto"/>
        <w:jc w:val="both"/>
        <w:rPr>
          <w:rFonts w:ascii="Palatino Linotype" w:hAnsi="Palatino Linotype"/>
        </w:rPr>
      </w:pPr>
      <w:r w:rsidRPr="00273DCE">
        <w:rPr>
          <w:rFonts w:ascii="Palatino Linotype" w:hAnsi="Palatino Linotype"/>
        </w:rPr>
        <w:t xml:space="preserve">Además, existen documentos que contienen la fotografía con los cuales se permite identificar que una persona que se acredita como trabajador gubernamental, realmente tiene el cargo con el que se ostenta, otros documentos con los cuales se rinde cuentas a la ciudadanía, por ejemplo cuando se cubre el perfil de puesto; además cuando se brinda servicios a la ciudadanía, es de relevancia conocer e identificar a todos sus trabajadores, no importa el nivel o rango (con excepción del personal operativo en </w:t>
      </w:r>
      <w:r w:rsidRPr="00273DCE">
        <w:rPr>
          <w:rFonts w:ascii="Palatino Linotype" w:hAnsi="Palatino Linotype"/>
        </w:rPr>
        <w:lastRenderedPageBreak/>
        <w:t>materia de seguridad, respecto del cual el Pleno de este Instituto ya se ha pronunciado en el sentido de que la información que los haga identificados o identificables debe clasificarse como reservada).</w:t>
      </w:r>
    </w:p>
    <w:p w14:paraId="69FE23E3"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p>
    <w:p w14:paraId="55B39DC5"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r w:rsidRPr="00273DCE">
        <w:rPr>
          <w:rFonts w:ascii="Palatino Linotype" w:hAnsi="Palatino Linotype" w:cs="Tahoma"/>
          <w:bCs/>
          <w:lang w:val="es-ES"/>
        </w:rPr>
        <w:t>En este sentido, resultan aplicables por analogía, los Criterios 15/17 y 1/13 del Instituto Nacional de Transparencia y Acceso a la Información Pública y Protección de Datos Personales, en los cuales se esgrimen argumentos, que, si bien no refieren de manera específica a fotografías de servidores públicos, sí establecen un criterio para que este dato personal pueda ser considerado como público, cuando se pretende acreditar que una persona es servidor público.</w:t>
      </w:r>
    </w:p>
    <w:p w14:paraId="66B87464"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p>
    <w:p w14:paraId="4D561AC3"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r w:rsidRPr="00273DCE">
        <w:rPr>
          <w:rFonts w:ascii="Palatino Linotype" w:hAnsi="Palatino Linotype" w:cs="Tahoma"/>
          <w:bCs/>
          <w:lang w:val="es-ES"/>
        </w:rPr>
        <w:t xml:space="preserve">Debe tenerse presente que el actuar de los servidores públicos incide de manera específica en los derechos de los particulares, pues el acto de un servidor público en ejercicio de sus funciones, de manera directa genera derechos y obligaciones pues se considera un acto administrativo o acto de autoridad, por lo que es primordial, que estos trabajadores se identifiquen ante la ciudadanía, por lo que otorgar acceso a los documentos que obran en los archivos de los sujetos obligados y que además están directamente relacionados con el cumplimiento de disposiciones normativas o el ejercicio de funciones revisten un interés público. </w:t>
      </w:r>
    </w:p>
    <w:p w14:paraId="7B4D7D08"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p>
    <w:p w14:paraId="66C2A612"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r w:rsidRPr="00273DCE">
        <w:rPr>
          <w:rFonts w:ascii="Palatino Linotype" w:hAnsi="Palatino Linotype" w:cs="Tahoma"/>
          <w:bCs/>
          <w:lang w:val="es-ES"/>
        </w:rPr>
        <w:t xml:space="preserve">Por lo anterior, cuando las fotografías de los servidores públicos obran en documentos que dan cuenta del cumplimiento de funciones, requisitos legales o los acredita como servidores públicos, deben ser consideradas un dato personal, que no puede ser clasificado como confidencial, pues en este caso, es superado por el interés público de conocer si en realidad, la persona que se ostenta en carácter de servidor público, se </w:t>
      </w:r>
      <w:r w:rsidRPr="00273DCE">
        <w:rPr>
          <w:rFonts w:ascii="Palatino Linotype" w:hAnsi="Palatino Linotype" w:cs="Tahoma"/>
          <w:bCs/>
          <w:lang w:val="es-ES"/>
        </w:rPr>
        <w:lastRenderedPageBreak/>
        <w:t>encuentra en ese encargo, si realiza las funciones o si cumple con los requisitos legales; sin que se considere como factor diferenciador para determinar la publicidad o clasificación el cargo o nivel jerárquico en el que se desempeñe el servidor público.</w:t>
      </w:r>
    </w:p>
    <w:p w14:paraId="5469FEA4"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p>
    <w:p w14:paraId="015ACE52" w14:textId="77777777" w:rsidR="00534D12" w:rsidRPr="00273DCE" w:rsidRDefault="00534D12" w:rsidP="00534D12">
      <w:pPr>
        <w:tabs>
          <w:tab w:val="left" w:pos="4962"/>
        </w:tabs>
        <w:spacing w:line="360" w:lineRule="auto"/>
        <w:contextualSpacing/>
        <w:jc w:val="both"/>
        <w:rPr>
          <w:rFonts w:ascii="Palatino Linotype" w:hAnsi="Palatino Linotype" w:cs="Tahoma"/>
          <w:bCs/>
          <w:lang w:val="es-ES"/>
        </w:rPr>
      </w:pPr>
      <w:r w:rsidRPr="00273DCE">
        <w:rPr>
          <w:rFonts w:ascii="Palatino Linotype" w:hAnsi="Palatino Linotype" w:cs="Tahoma"/>
          <w:bCs/>
          <w:lang w:val="es-ES"/>
        </w:rPr>
        <w:t>De acuerdo con el argumento planteado, la determinación de esta resolución deja sin efectos el criterio adoptado anteriormente por el Pleno de este Instituto, con número 03/2019, en el que solo se consideraban como públicas las fotografías de mandos medios y/o superiores.</w:t>
      </w:r>
    </w:p>
    <w:p w14:paraId="13A9D31E" w14:textId="77777777" w:rsidR="00534D12" w:rsidRPr="00273DCE" w:rsidRDefault="00534D12" w:rsidP="00534D12">
      <w:pPr>
        <w:spacing w:line="360" w:lineRule="auto"/>
        <w:jc w:val="both"/>
        <w:rPr>
          <w:rFonts w:ascii="Palatino Linotype" w:eastAsia="Palatino Linotype" w:hAnsi="Palatino Linotype" w:cs="Palatino Linotype"/>
        </w:rPr>
      </w:pPr>
    </w:p>
    <w:p w14:paraId="7514E9A2" w14:textId="77777777" w:rsidR="00534D12" w:rsidRPr="00273DCE" w:rsidRDefault="00534D12" w:rsidP="00534D12">
      <w:pPr>
        <w:spacing w:line="360" w:lineRule="auto"/>
        <w:jc w:val="both"/>
        <w:rPr>
          <w:rFonts w:ascii="Palatino Linotype" w:eastAsia="Palatino Linotype" w:hAnsi="Palatino Linotype" w:cs="Palatino Linotype"/>
        </w:rPr>
      </w:pPr>
      <w:r w:rsidRPr="00273DCE">
        <w:rPr>
          <w:rFonts w:ascii="Palatino Linotype" w:eastAsia="Palatino Linotype" w:hAnsi="Palatino Linotype" w:cs="Palatino Linotype"/>
        </w:rPr>
        <w:t>Entorno a lo que aquí nos interesa, los Lineamientos Quincuagésimo sexto, Quincuagésimo séptimo y Quincuagésimo octavo, establecen lo siguiente:</w:t>
      </w:r>
    </w:p>
    <w:p w14:paraId="3E53D8FC"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Quincuagésimo sexto.</w:t>
      </w:r>
      <w:r w:rsidRPr="00273DCE">
        <w:rPr>
          <w:rFonts w:ascii="Palatino Linotype" w:eastAsia="Palatino Linotype" w:hAnsi="Palatino Linotype" w:cs="Palatino Linotype"/>
          <w:i/>
        </w:rPr>
        <w:t xml:space="preserve"> Cuando la elaboración de la versión pública del documento o expediente que contenga partes o secciones reservadas o confidenciales, genere costos por reproducción por derivar de una solicitud de información o determinación de una autoridad competente, ésta será elaborada hasta que se haya acreditado el pago correspondiente.</w:t>
      </w:r>
    </w:p>
    <w:p w14:paraId="31B817C9"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p>
    <w:p w14:paraId="7E75447F"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Quincuagésimo séptimo.</w:t>
      </w:r>
      <w:r w:rsidRPr="00273DCE">
        <w:rPr>
          <w:rFonts w:ascii="Palatino Linotype" w:eastAsia="Palatino Linotype" w:hAnsi="Palatino Linotype" w:cs="Palatino Linotype"/>
          <w:i/>
        </w:rPr>
        <w:t xml:space="preserve"> Se considera, en principio, como información pública y no podrá omitirse de las versiones públicas la siguiente:</w:t>
      </w:r>
    </w:p>
    <w:p w14:paraId="73D1AB1A"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i/>
        </w:rPr>
        <w:t xml:space="preserve">I. La relativa a las Obligaciones de Transparencia que contempla el Título V de la Ley General y las demás disposiciones legales aplicables; </w:t>
      </w:r>
    </w:p>
    <w:p w14:paraId="4D9E0519"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i/>
        </w:rPr>
        <w:t xml:space="preserve">II. El nombre de los integrantes de los sujetos obligados en los documentos, y sus firmas autógrafas o digitales, cuando sean utilizados en el ejercicio de las facultades conferidas para el desempeño del servicio público, y </w:t>
      </w:r>
    </w:p>
    <w:p w14:paraId="42366547"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i/>
        </w:rPr>
        <w:lastRenderedPageBreak/>
        <w:t xml:space="preserve">III. La información que documente decisiones y los actos de autoridad concluidos de los sujetos obligados, así como el ejercicio de las facultades o actividades de los servidores públicos, de manera que se pueda valorar el desempeño de los mismos. </w:t>
      </w:r>
    </w:p>
    <w:p w14:paraId="3BD81C6D"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i/>
        </w:rPr>
        <w:t xml:space="preserve">Lo anterior, siempre y cuando no se acredite alguna causal de clasificación, prevista en las leyes o en los tratados internacionales suscritos por el Estado mexicano. </w:t>
      </w:r>
    </w:p>
    <w:p w14:paraId="6CC74DF2"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p>
    <w:p w14:paraId="350640A4" w14:textId="77777777" w:rsidR="00534D12" w:rsidRPr="00273DCE" w:rsidRDefault="00534D12" w:rsidP="00534D12">
      <w:pPr>
        <w:spacing w:line="360" w:lineRule="auto"/>
        <w:ind w:left="567" w:right="567"/>
        <w:jc w:val="both"/>
        <w:rPr>
          <w:rFonts w:ascii="Palatino Linotype" w:eastAsia="Palatino Linotype" w:hAnsi="Palatino Linotype" w:cs="Palatino Linotype"/>
          <w:i/>
        </w:rPr>
      </w:pPr>
      <w:r w:rsidRPr="00273DCE">
        <w:rPr>
          <w:rFonts w:ascii="Palatino Linotype" w:eastAsia="Palatino Linotype" w:hAnsi="Palatino Linotype" w:cs="Palatino Linotype"/>
          <w:b/>
          <w:i/>
        </w:rPr>
        <w:t>Quincuagésimo octavo.</w:t>
      </w:r>
      <w:r w:rsidRPr="00273DCE">
        <w:rPr>
          <w:rFonts w:ascii="Palatino Linotype" w:eastAsia="Palatino Linotype" w:hAnsi="Palatino Linotype" w:cs="Palatino Linotype"/>
          <w:i/>
        </w:rPr>
        <w:t xml:space="preserve"> Los sujetos obligados garantizarán que los sistemas o medios empleados para eliminar la información en las versiones públicas sean irreversibles, de tal forma que no permitan la recuperación o la visualización de la misma.</w:t>
      </w:r>
    </w:p>
    <w:p w14:paraId="4BEA93A4" w14:textId="77777777" w:rsidR="00534D12" w:rsidRPr="00273DCE" w:rsidRDefault="00534D12" w:rsidP="00534D12">
      <w:pPr>
        <w:spacing w:line="360" w:lineRule="auto"/>
        <w:jc w:val="both"/>
        <w:rPr>
          <w:rFonts w:ascii="Palatino Linotype" w:eastAsia="Palatino Linotype" w:hAnsi="Palatino Linotype" w:cs="Palatino Linotype"/>
        </w:rPr>
      </w:pPr>
    </w:p>
    <w:p w14:paraId="012EE009" w14:textId="77777777" w:rsidR="00534D12" w:rsidRPr="00273DCE" w:rsidRDefault="00534D12" w:rsidP="00534D12">
      <w:pPr>
        <w:spacing w:line="360" w:lineRule="auto"/>
        <w:jc w:val="both"/>
        <w:rPr>
          <w:rFonts w:ascii="Palatino Linotype" w:eastAsia="Palatino Linotype" w:hAnsi="Palatino Linotype" w:cs="Palatino Linotype"/>
        </w:rPr>
      </w:pPr>
      <w:r w:rsidRPr="00273DCE">
        <w:rPr>
          <w:rFonts w:ascii="Palatino Linotype" w:eastAsia="Palatino Linotype" w:hAnsi="Palatino Linotype" w:cs="Palatino Linotype"/>
        </w:rPr>
        <w:t>Por lo tanto, la entrega de documentos en su versión pública debe acompañarse necesariamente del Acuerdo del Comité de Transparencia que la sustente el cual debe estar debidamente fundado y motivado, en el que se expongan los fundamentos y razonamientos que llevaron al Sujeto Obligado a testar, suprimir o eliminar datos de dicho soporte documental, ya que no hacerlo, se reitera que lo entregado no tendría un sustento jurídico ni resultaría ser una versión pública, sino más bien una documentación ilegible, incompleta o tachada; ya que el no justificar las causas o motivos por las que no se aprecian determinados datos -ya sea porque se testan o suprimen- deja a la solicitante en estado de incertidumbre, al no conocer o comprender porque no aparecen en la documentación respectiva. Por lo que respecta al Acuerdo del Comité de Transparencia que sustente la versión pública de la documentación a entregar, deberá ser notificado mediante el SAIMEX.</w:t>
      </w:r>
    </w:p>
    <w:p w14:paraId="7E556A7E" w14:textId="77777777" w:rsidR="00534D12" w:rsidRPr="00273DCE" w:rsidRDefault="00534D12" w:rsidP="00534D12">
      <w:pPr>
        <w:spacing w:line="360" w:lineRule="auto"/>
        <w:jc w:val="both"/>
        <w:rPr>
          <w:rFonts w:ascii="Palatino Linotype" w:hAnsi="Palatino Linotype"/>
        </w:rPr>
      </w:pPr>
    </w:p>
    <w:p w14:paraId="2DE370F1" w14:textId="77777777" w:rsidR="00534D12" w:rsidRPr="00273DCE" w:rsidRDefault="00534D12" w:rsidP="00534D12">
      <w:pPr>
        <w:spacing w:line="360" w:lineRule="auto"/>
        <w:jc w:val="both"/>
        <w:rPr>
          <w:rFonts w:ascii="Palatino Linotype" w:hAnsi="Palatino Linotype" w:cs="Arial"/>
        </w:rPr>
      </w:pPr>
      <w:r w:rsidRPr="00273DCE">
        <w:rPr>
          <w:rFonts w:ascii="Palatino Linotype" w:hAnsi="Palatino Linotype" w:cs="Arial"/>
        </w:rPr>
        <w:lastRenderedPageBreak/>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el mismo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097094A9" w14:textId="77777777" w:rsidR="00534D12" w:rsidRPr="00273DCE" w:rsidRDefault="00534D12" w:rsidP="00534D12">
      <w:pPr>
        <w:spacing w:line="360" w:lineRule="auto"/>
        <w:jc w:val="both"/>
        <w:rPr>
          <w:rFonts w:ascii="Palatino Linotype" w:hAnsi="Palatino Linotype" w:cs="Arial"/>
        </w:rPr>
      </w:pPr>
    </w:p>
    <w:p w14:paraId="3F03D955" w14:textId="77777777" w:rsidR="00534D12" w:rsidRPr="00273DCE" w:rsidRDefault="00534D12" w:rsidP="00534D12">
      <w:pPr>
        <w:spacing w:line="360" w:lineRule="auto"/>
        <w:jc w:val="both"/>
        <w:rPr>
          <w:rFonts w:ascii="Palatino Linotype" w:hAnsi="Palatino Linotype" w:cs="Arial"/>
        </w:rPr>
      </w:pPr>
      <w:r w:rsidRPr="00273DCE">
        <w:rPr>
          <w:rFonts w:ascii="Palatino Linotype" w:hAnsi="Palatino Linotype" w:cs="Arial"/>
        </w:rPr>
        <w:t>Por tanto, la fundamentación y motivación consiste en la obligación que tiene todo ente público de expresar los preceptos jurídicos aplicables al asunto motivo del acto y las razones o argumentos de su actuar. Al respecto, el máximo tribunal del país ha establecido jurisprudencia respecto a qué debe entenderse por fundamentación y motivación, en los siguientes términos:</w:t>
      </w:r>
    </w:p>
    <w:p w14:paraId="11B565BA" w14:textId="77777777" w:rsidR="00534D12" w:rsidRPr="00273DCE" w:rsidRDefault="00534D12" w:rsidP="00534D12">
      <w:pPr>
        <w:spacing w:line="360" w:lineRule="auto"/>
        <w:ind w:left="567" w:right="567"/>
        <w:jc w:val="both"/>
        <w:rPr>
          <w:rFonts w:ascii="Palatino Linotype" w:hAnsi="Palatino Linotype" w:cs="Arial"/>
          <w:i/>
        </w:rPr>
      </w:pPr>
      <w:r w:rsidRPr="00273DCE">
        <w:rPr>
          <w:rFonts w:ascii="Palatino Linotype" w:hAnsi="Palatino Linotype" w:cs="Arial"/>
          <w:b/>
          <w:i/>
        </w:rPr>
        <w:t>FUNDAMENTACIÓN Y MOTIVACIÓN</w:t>
      </w:r>
      <w:r w:rsidRPr="00273DCE">
        <w:rPr>
          <w:rFonts w:ascii="Palatino Linotype" w:hAnsi="Palatino Linotype" w:cs="Arial"/>
          <w:i/>
        </w:rPr>
        <w:t>. 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770C4DDC" w14:textId="77777777" w:rsidR="00534D12" w:rsidRPr="00273DCE" w:rsidRDefault="00534D12" w:rsidP="00534D12">
      <w:pPr>
        <w:spacing w:line="360" w:lineRule="auto"/>
        <w:jc w:val="both"/>
        <w:rPr>
          <w:rFonts w:ascii="Palatino Linotype" w:hAnsi="Palatino Linotype" w:cs="Arial"/>
        </w:rPr>
      </w:pPr>
    </w:p>
    <w:p w14:paraId="2E13E117" w14:textId="77777777" w:rsidR="00534D12" w:rsidRPr="00273DCE" w:rsidRDefault="00534D12" w:rsidP="00534D12">
      <w:pPr>
        <w:spacing w:line="360" w:lineRule="auto"/>
        <w:jc w:val="both"/>
        <w:rPr>
          <w:rFonts w:ascii="Palatino Linotype" w:hAnsi="Palatino Linotype" w:cs="Arial"/>
        </w:rPr>
      </w:pPr>
      <w:r w:rsidRPr="00273DCE">
        <w:rPr>
          <w:rFonts w:ascii="Palatino Linotype" w:hAnsi="Palatino Linotype" w:cs="Arial"/>
        </w:rPr>
        <w:t xml:space="preserve">Así, en un acto de autoridad se surte la debida fundamentación cuando se cita el precepto legal aplicable al caso concreto y la debida motivación cuando se expresan las </w:t>
      </w:r>
      <w:r w:rsidRPr="00273DCE">
        <w:rPr>
          <w:rFonts w:ascii="Palatino Linotype" w:hAnsi="Palatino Linotype" w:cs="Arial"/>
        </w:rPr>
        <w:lastRenderedPageBreak/>
        <w:t>razones, motivos o circunstancias que tomó en cuenta la autoridad para adecuar el hecho a los fundamentos de derecho.</w:t>
      </w:r>
    </w:p>
    <w:p w14:paraId="4BAF060C" w14:textId="77777777" w:rsidR="00534D12" w:rsidRPr="00273DCE" w:rsidRDefault="00534D12" w:rsidP="00534D12">
      <w:pPr>
        <w:spacing w:line="360" w:lineRule="auto"/>
        <w:jc w:val="both"/>
        <w:rPr>
          <w:rFonts w:ascii="Palatino Linotype" w:hAnsi="Palatino Linotype" w:cs="Arial"/>
        </w:rPr>
      </w:pPr>
    </w:p>
    <w:p w14:paraId="1487DA45" w14:textId="77777777" w:rsidR="00534D12" w:rsidRPr="00273DCE" w:rsidRDefault="00534D12" w:rsidP="00534D12">
      <w:pPr>
        <w:spacing w:line="360" w:lineRule="auto"/>
        <w:jc w:val="both"/>
        <w:rPr>
          <w:rFonts w:ascii="Palatino Linotype" w:hAnsi="Palatino Linotype" w:cs="Arial"/>
        </w:rPr>
      </w:pPr>
      <w:r w:rsidRPr="00273DCE">
        <w:rPr>
          <w:rFonts w:ascii="Palatino Linotype" w:hAnsi="Palatino Linotype" w:cs="Arial"/>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3ACD4FB9" w14:textId="77777777" w:rsidR="00534D12" w:rsidRPr="00273DCE" w:rsidRDefault="00534D12" w:rsidP="00534D12">
      <w:pPr>
        <w:spacing w:line="360" w:lineRule="auto"/>
        <w:ind w:left="567" w:right="567"/>
        <w:jc w:val="both"/>
        <w:rPr>
          <w:rFonts w:ascii="Palatino Linotype" w:hAnsi="Palatino Linotype" w:cs="Arial"/>
          <w:i/>
        </w:rPr>
      </w:pPr>
      <w:r w:rsidRPr="00273DCE">
        <w:rPr>
          <w:rFonts w:ascii="Palatino Linotype" w:hAnsi="Palatino Linotype" w:cs="Arial"/>
          <w:b/>
          <w:i/>
        </w:rPr>
        <w:t>FUNDAMENTACIÓN Y MOTIVACIÓN. EL ASPECTO FORMAL DE LA GARANTÍA Y SU FINALIDAD SE TRADUCEN EN EXPLICAR, JUSTIFICAR, POSIBILITAR LA DEFENSA Y COMUNICAR LA DECISIÓN.</w:t>
      </w:r>
      <w:r w:rsidRPr="00273DCE">
        <w:rPr>
          <w:rFonts w:ascii="Palatino Linotype" w:hAnsi="Palatino Linotype" w:cs="Arial"/>
          <w:i/>
        </w:rPr>
        <w:t xml:space="preserve"> 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w:t>
      </w:r>
      <w:r w:rsidRPr="00273DCE">
        <w:rPr>
          <w:rFonts w:ascii="Palatino Linotype" w:hAnsi="Palatino Linotype" w:cs="Arial"/>
          <w:i/>
        </w:rPr>
        <w:lastRenderedPageBreak/>
        <w:t>del que se deduzca la relación de pertenencia lógica de los hechos al derecho invocado, que es la subsunción.</w:t>
      </w:r>
    </w:p>
    <w:p w14:paraId="7178510F" w14:textId="77777777" w:rsidR="00534D12" w:rsidRPr="00273DCE" w:rsidRDefault="00534D12" w:rsidP="00534D12">
      <w:pPr>
        <w:spacing w:line="360" w:lineRule="auto"/>
        <w:jc w:val="both"/>
        <w:rPr>
          <w:rFonts w:ascii="Palatino Linotype" w:hAnsi="Palatino Linotype" w:cs="Arial"/>
        </w:rPr>
      </w:pPr>
    </w:p>
    <w:p w14:paraId="2FCA9906" w14:textId="77777777" w:rsidR="00534D12" w:rsidRPr="00273DCE" w:rsidRDefault="00534D12" w:rsidP="00534D12">
      <w:pPr>
        <w:spacing w:line="360" w:lineRule="auto"/>
        <w:jc w:val="both"/>
        <w:rPr>
          <w:rFonts w:ascii="Palatino Linotype" w:hAnsi="Palatino Linotype" w:cs="Arial"/>
        </w:rPr>
      </w:pPr>
      <w:r w:rsidRPr="00273DCE">
        <w:rPr>
          <w:rFonts w:ascii="Palatino Linotype" w:hAnsi="Palatino Linotype" w:cs="Arial"/>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0A5D364D" w14:textId="77777777" w:rsidR="00534D12" w:rsidRPr="00273DCE" w:rsidRDefault="00534D12" w:rsidP="00534D12">
      <w:pPr>
        <w:spacing w:line="360" w:lineRule="auto"/>
        <w:jc w:val="both"/>
        <w:rPr>
          <w:rFonts w:ascii="Palatino Linotype" w:hAnsi="Palatino Linotype" w:cs="Arial"/>
        </w:rPr>
      </w:pPr>
    </w:p>
    <w:p w14:paraId="34F8E783" w14:textId="77777777" w:rsidR="00534D12" w:rsidRPr="00273DCE" w:rsidRDefault="00534D12" w:rsidP="00534D12">
      <w:pPr>
        <w:spacing w:line="360" w:lineRule="auto"/>
        <w:jc w:val="both"/>
        <w:rPr>
          <w:rFonts w:ascii="Palatino Linotype" w:hAnsi="Palatino Linotype" w:cs="Arial"/>
        </w:rPr>
      </w:pPr>
      <w:r w:rsidRPr="00273DCE">
        <w:rPr>
          <w:rFonts w:ascii="Palatino Linotype" w:hAnsi="Palatino Linotype" w:cs="Arial"/>
        </w:rPr>
        <w:t>Por lo tanto, la entrega de documentos en su versión pública debe acompañarse necesariamente del Acuerdo del Comité de Transparencia del Sujeto Obligado 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en la documentación respectiva, es decir, si no se exponen de manera puntual las razones de ello se estaría violentando desde un inicio el derecho de acceso a la información del solicitante.</w:t>
      </w:r>
    </w:p>
    <w:p w14:paraId="4BD667A1" w14:textId="77777777" w:rsidR="00534D12" w:rsidRPr="00273DCE" w:rsidRDefault="00534D12" w:rsidP="00534D12">
      <w:pPr>
        <w:spacing w:line="360" w:lineRule="auto"/>
        <w:jc w:val="both"/>
        <w:rPr>
          <w:rFonts w:ascii="Palatino Linotype" w:hAnsi="Palatino Linotype" w:cs="Arial"/>
        </w:rPr>
      </w:pPr>
    </w:p>
    <w:p w14:paraId="7B52598F" w14:textId="2FBE907E" w:rsidR="00534D12" w:rsidRPr="00273DCE" w:rsidRDefault="00534D12" w:rsidP="00534D12">
      <w:pPr>
        <w:spacing w:line="360" w:lineRule="auto"/>
        <w:jc w:val="both"/>
        <w:rPr>
          <w:rFonts w:ascii="Palatino Linotype" w:hAnsi="Palatino Linotype" w:cs="Arial"/>
        </w:rPr>
      </w:pPr>
      <w:r w:rsidRPr="00273DCE">
        <w:rPr>
          <w:rFonts w:ascii="Palatino Linotype" w:hAnsi="Palatino Linotype"/>
          <w:lang w:eastAsia="es-ES"/>
        </w:rPr>
        <w:t xml:space="preserve">En mérito de lo expuesto en líneas anteriores, </w:t>
      </w:r>
      <w:r w:rsidRPr="00273DCE">
        <w:rPr>
          <w:rFonts w:ascii="Palatino Linotype" w:hAnsi="Palatino Linotype" w:cs="Arial"/>
          <w:lang w:eastAsia="es-ES"/>
        </w:rPr>
        <w:t>con fundamento en la fracción</w:t>
      </w:r>
      <w:r w:rsidRPr="00273DCE">
        <w:rPr>
          <w:rFonts w:ascii="Palatino Linotype" w:hAnsi="Palatino Linotype" w:cs="Arial"/>
          <w:b/>
          <w:lang w:eastAsia="es-ES"/>
        </w:rPr>
        <w:t xml:space="preserve"> </w:t>
      </w:r>
      <w:r w:rsidRPr="00273DCE">
        <w:rPr>
          <w:rFonts w:ascii="Palatino Linotype" w:hAnsi="Palatino Linotype" w:cs="Arial"/>
          <w:lang w:eastAsia="es-ES"/>
        </w:rPr>
        <w:t>III, del artículo 186,</w:t>
      </w:r>
      <w:r w:rsidRPr="00273DCE">
        <w:rPr>
          <w:rFonts w:ascii="Palatino Linotype" w:hAnsi="Palatino Linotype" w:cs="Arial"/>
          <w:b/>
          <w:lang w:eastAsia="es-ES"/>
        </w:rPr>
        <w:t xml:space="preserve"> </w:t>
      </w:r>
      <w:r w:rsidRPr="00273DCE">
        <w:rPr>
          <w:rFonts w:ascii="Palatino Linotype" w:hAnsi="Palatino Linotype" w:cs="Arial"/>
          <w:lang w:eastAsia="es-ES"/>
        </w:rPr>
        <w:t xml:space="preserve">de la Ley de Transparencia y Acceso a la Información Pública del Estado de México y Municipios, se </w:t>
      </w:r>
      <w:r w:rsidRPr="00273DCE">
        <w:rPr>
          <w:rFonts w:ascii="Palatino Linotype" w:hAnsi="Palatino Linotype" w:cs="Arial"/>
          <w:b/>
          <w:lang w:eastAsia="es-ES"/>
        </w:rPr>
        <w:t xml:space="preserve">MODIFICA </w:t>
      </w:r>
      <w:r w:rsidRPr="00273DCE">
        <w:rPr>
          <w:rFonts w:ascii="Palatino Linotype" w:hAnsi="Palatino Linotype" w:cs="Arial"/>
          <w:lang w:eastAsia="es-ES"/>
        </w:rPr>
        <w:t>la respuesta a la solicitud de información número</w:t>
      </w:r>
      <w:r w:rsidRPr="00273DCE">
        <w:rPr>
          <w:rFonts w:ascii="Palatino Linotype" w:hAnsi="Palatino Linotype"/>
          <w:b/>
          <w:lang w:eastAsia="es-ES"/>
        </w:rPr>
        <w:t xml:space="preserve"> </w:t>
      </w:r>
      <w:r w:rsidRPr="00273DCE">
        <w:rPr>
          <w:rFonts w:ascii="Palatino Linotype" w:hAnsi="Palatino Linotype"/>
          <w:b/>
          <w:bCs/>
          <w:color w:val="FF0000"/>
        </w:rPr>
        <w:t> </w:t>
      </w:r>
      <w:r w:rsidR="00044B5B" w:rsidRPr="00273DCE">
        <w:rPr>
          <w:rFonts w:ascii="Palatino Linotype" w:hAnsi="Palatino Linotype"/>
          <w:b/>
          <w:bCs/>
        </w:rPr>
        <w:t xml:space="preserve">04242/TOLUCA/IP/2025 </w:t>
      </w:r>
      <w:r w:rsidRPr="00273DCE">
        <w:rPr>
          <w:rFonts w:ascii="Palatino Linotype" w:hAnsi="Palatino Linotype" w:cs="Arial"/>
        </w:rPr>
        <w:t xml:space="preserve">que ha sido materia del presente fallo. </w:t>
      </w:r>
    </w:p>
    <w:p w14:paraId="2142CD7E" w14:textId="77777777" w:rsidR="00534D12" w:rsidRPr="00273DCE" w:rsidRDefault="00534D12" w:rsidP="00534D12">
      <w:pPr>
        <w:spacing w:line="360" w:lineRule="auto"/>
        <w:jc w:val="both"/>
        <w:rPr>
          <w:rFonts w:ascii="Palatino Linotype" w:hAnsi="Palatino Linotype"/>
          <w:lang w:eastAsia="es-ES"/>
        </w:rPr>
      </w:pPr>
      <w:r w:rsidRPr="00273DCE">
        <w:rPr>
          <w:rFonts w:ascii="Palatino Linotype" w:hAnsi="Palatino Linotype"/>
          <w:lang w:eastAsia="es-ES"/>
        </w:rPr>
        <w:lastRenderedPageBreak/>
        <w:t>Por lo antes expuesto y fundado es de resolverse y,</w:t>
      </w:r>
    </w:p>
    <w:p w14:paraId="1AD22F12" w14:textId="77777777" w:rsidR="00534D12" w:rsidRPr="00273DCE" w:rsidRDefault="00534D12" w:rsidP="00534D12">
      <w:pPr>
        <w:spacing w:line="360" w:lineRule="auto"/>
        <w:jc w:val="both"/>
        <w:rPr>
          <w:rFonts w:ascii="Palatino Linotype" w:hAnsi="Palatino Linotype"/>
          <w:lang w:eastAsia="es-ES"/>
        </w:rPr>
      </w:pPr>
    </w:p>
    <w:p w14:paraId="0C648648" w14:textId="77777777" w:rsidR="00534D12" w:rsidRPr="00273DCE" w:rsidRDefault="00534D12" w:rsidP="00534D12">
      <w:pPr>
        <w:spacing w:before="240" w:after="240" w:line="360" w:lineRule="auto"/>
        <w:jc w:val="center"/>
        <w:rPr>
          <w:rFonts w:ascii="Palatino Linotype" w:hAnsi="Palatino Linotype"/>
          <w:b/>
          <w:spacing w:val="60"/>
          <w:sz w:val="28"/>
          <w:szCs w:val="28"/>
        </w:rPr>
      </w:pPr>
      <w:r w:rsidRPr="00273DCE">
        <w:rPr>
          <w:rFonts w:ascii="Palatino Linotype" w:hAnsi="Palatino Linotype"/>
          <w:b/>
          <w:spacing w:val="60"/>
          <w:sz w:val="28"/>
          <w:szCs w:val="28"/>
        </w:rPr>
        <w:t>S E RESUELVE</w:t>
      </w:r>
    </w:p>
    <w:p w14:paraId="0780293D" w14:textId="77777777" w:rsidR="00534D12" w:rsidRPr="00273DCE" w:rsidRDefault="00534D12" w:rsidP="00534D12">
      <w:pPr>
        <w:spacing w:before="240" w:after="240" w:line="360" w:lineRule="auto"/>
        <w:jc w:val="both"/>
        <w:rPr>
          <w:rFonts w:ascii="Palatino Linotype" w:hAnsi="Palatino Linotype"/>
          <w:b/>
          <w:spacing w:val="60"/>
        </w:rPr>
      </w:pPr>
    </w:p>
    <w:p w14:paraId="5ABABBA9" w14:textId="241A56B0" w:rsidR="00534D12" w:rsidRPr="00273DCE" w:rsidRDefault="00534D12" w:rsidP="00534D12">
      <w:pPr>
        <w:spacing w:line="360" w:lineRule="auto"/>
        <w:jc w:val="both"/>
        <w:rPr>
          <w:rFonts w:ascii="Palatino Linotype" w:hAnsi="Palatino Linotype" w:cs="Arial"/>
        </w:rPr>
      </w:pPr>
      <w:r w:rsidRPr="00273DCE">
        <w:rPr>
          <w:rFonts w:ascii="Palatino Linotype" w:hAnsi="Palatino Linotype" w:cs="Arial"/>
          <w:b/>
          <w:sz w:val="28"/>
          <w:szCs w:val="28"/>
        </w:rPr>
        <w:t>PRIMERO</w:t>
      </w:r>
      <w:r w:rsidRPr="00273DCE">
        <w:rPr>
          <w:rFonts w:ascii="Palatino Linotype" w:hAnsi="Palatino Linotype" w:cs="Arial"/>
        </w:rPr>
        <w:t xml:space="preserve">. </w:t>
      </w:r>
      <w:r w:rsidRPr="00273DCE">
        <w:rPr>
          <w:rFonts w:ascii="Palatino Linotype" w:hAnsi="Palatino Linotype" w:cs="Arial"/>
          <w:b/>
        </w:rPr>
        <w:t xml:space="preserve">Se </w:t>
      </w:r>
      <w:r w:rsidRPr="00273DCE">
        <w:rPr>
          <w:rFonts w:ascii="Palatino Linotype" w:hAnsi="Palatino Linotype" w:cs="Arial"/>
          <w:b/>
          <w:lang w:eastAsia="es-ES"/>
        </w:rPr>
        <w:t>MODIFICA</w:t>
      </w:r>
      <w:r w:rsidRPr="00273DCE">
        <w:rPr>
          <w:rFonts w:ascii="Palatino Linotype" w:hAnsi="Palatino Linotype" w:cs="Arial"/>
          <w:b/>
        </w:rPr>
        <w:t xml:space="preserve"> </w:t>
      </w:r>
      <w:r w:rsidRPr="00273DCE">
        <w:rPr>
          <w:rFonts w:ascii="Palatino Linotype" w:hAnsi="Palatino Linotype" w:cs="Arial"/>
        </w:rPr>
        <w:t>la respuesta entregada por</w:t>
      </w:r>
      <w:r w:rsidRPr="00273DCE">
        <w:rPr>
          <w:rFonts w:ascii="Palatino Linotype" w:hAnsi="Palatino Linotype" w:cs="Arial"/>
          <w:b/>
        </w:rPr>
        <w:t xml:space="preserve"> EL SUJETO OBLIGADO, </w:t>
      </w:r>
      <w:r w:rsidRPr="00273DCE">
        <w:rPr>
          <w:rFonts w:ascii="Palatino Linotype" w:hAnsi="Palatino Linotype" w:cs="Arial"/>
        </w:rPr>
        <w:t xml:space="preserve">a la solicitud de información número </w:t>
      </w:r>
      <w:r w:rsidR="00044B5B" w:rsidRPr="00273DCE">
        <w:rPr>
          <w:rFonts w:ascii="Palatino Linotype" w:hAnsi="Palatino Linotype"/>
          <w:b/>
          <w:bCs/>
        </w:rPr>
        <w:t>04242/TOLUCA/IP/2025</w:t>
      </w:r>
      <w:r w:rsidRPr="00273DCE">
        <w:rPr>
          <w:rFonts w:ascii="Palatino Linotype" w:hAnsi="Palatino Linotype" w:cs="Arial"/>
          <w:b/>
        </w:rPr>
        <w:t xml:space="preserve">, </w:t>
      </w:r>
      <w:r w:rsidRPr="00273DCE">
        <w:rPr>
          <w:rFonts w:ascii="Palatino Linotype" w:hAnsi="Palatino Linotype" w:cs="Arial"/>
        </w:rPr>
        <w:t xml:space="preserve">en términos del considerando </w:t>
      </w:r>
      <w:r w:rsidRPr="00273DCE">
        <w:rPr>
          <w:rFonts w:ascii="Palatino Linotype" w:hAnsi="Palatino Linotype" w:cs="Arial"/>
          <w:b/>
        </w:rPr>
        <w:t xml:space="preserve">QUINTO </w:t>
      </w:r>
      <w:r w:rsidRPr="00273DCE">
        <w:rPr>
          <w:rFonts w:ascii="Palatino Linotype" w:hAnsi="Palatino Linotype" w:cs="Arial"/>
        </w:rPr>
        <w:t>de la presente resolución.</w:t>
      </w:r>
    </w:p>
    <w:p w14:paraId="48BE2C91" w14:textId="77777777" w:rsidR="00534D12" w:rsidRPr="00273DCE" w:rsidRDefault="00534D12" w:rsidP="00534D12">
      <w:pPr>
        <w:spacing w:line="360" w:lineRule="auto"/>
        <w:jc w:val="both"/>
        <w:rPr>
          <w:rFonts w:ascii="Palatino Linotype" w:hAnsi="Palatino Linotype" w:cs="Arial"/>
          <w:b/>
          <w:lang w:val="es-ES"/>
        </w:rPr>
      </w:pPr>
    </w:p>
    <w:p w14:paraId="42C09F47" w14:textId="77777777" w:rsidR="00534D12" w:rsidRPr="00273DCE" w:rsidRDefault="00534D12" w:rsidP="00534D12">
      <w:pPr>
        <w:spacing w:line="360" w:lineRule="auto"/>
        <w:ind w:right="49"/>
        <w:jc w:val="both"/>
        <w:rPr>
          <w:rFonts w:ascii="Palatino Linotype" w:hAnsi="Palatino Linotype"/>
          <w:bCs/>
        </w:rPr>
      </w:pPr>
      <w:r w:rsidRPr="00273DCE">
        <w:rPr>
          <w:rFonts w:ascii="Palatino Linotype" w:hAnsi="Palatino Linotype" w:cs="Arial"/>
          <w:b/>
          <w:sz w:val="28"/>
          <w:szCs w:val="28"/>
          <w:lang w:val="es-ES"/>
        </w:rPr>
        <w:t>SEGUNDO</w:t>
      </w:r>
      <w:r w:rsidRPr="00273DCE">
        <w:rPr>
          <w:rFonts w:ascii="Palatino Linotype" w:hAnsi="Palatino Linotype" w:cs="Arial"/>
          <w:lang w:val="es-ES"/>
        </w:rPr>
        <w:t xml:space="preserve">. </w:t>
      </w:r>
      <w:r w:rsidRPr="00273DCE">
        <w:rPr>
          <w:rFonts w:ascii="Palatino Linotype" w:hAnsi="Palatino Linotype" w:cs="Arial"/>
        </w:rPr>
        <w:t xml:space="preserve">Se </w:t>
      </w:r>
      <w:r w:rsidRPr="00273DCE">
        <w:rPr>
          <w:rFonts w:ascii="Palatino Linotype" w:hAnsi="Palatino Linotype" w:cs="Arial"/>
          <w:b/>
        </w:rPr>
        <w:t xml:space="preserve">ORDENA </w:t>
      </w:r>
      <w:r w:rsidRPr="00273DCE">
        <w:rPr>
          <w:rFonts w:ascii="Palatino Linotype" w:hAnsi="Palatino Linotype" w:cs="Arial"/>
        </w:rPr>
        <w:t xml:space="preserve">al </w:t>
      </w:r>
      <w:r w:rsidRPr="00273DCE">
        <w:rPr>
          <w:rFonts w:ascii="Palatino Linotype" w:hAnsi="Palatino Linotype" w:cs="Arial"/>
          <w:b/>
        </w:rPr>
        <w:t>Sujeto Obligado</w:t>
      </w:r>
      <w:r w:rsidRPr="00273DCE">
        <w:rPr>
          <w:rFonts w:ascii="Palatino Linotype" w:hAnsi="Palatino Linotype" w:cs="Arial"/>
        </w:rPr>
        <w:t>, a través del Sistema de Acceso a la Información Mexiquense (</w:t>
      </w:r>
      <w:r w:rsidRPr="00273DCE">
        <w:rPr>
          <w:rFonts w:ascii="Palatino Linotype" w:hAnsi="Palatino Linotype" w:cs="Arial"/>
          <w:b/>
        </w:rPr>
        <w:t>SAIMEX</w:t>
      </w:r>
      <w:r w:rsidRPr="00273DCE">
        <w:rPr>
          <w:rFonts w:ascii="Palatino Linotype" w:hAnsi="Palatino Linotype" w:cs="Arial"/>
        </w:rPr>
        <w:t xml:space="preserve">) en términos del considerando </w:t>
      </w:r>
      <w:r w:rsidRPr="00273DCE">
        <w:rPr>
          <w:rFonts w:ascii="Palatino Linotype" w:hAnsi="Palatino Linotype" w:cs="Arial"/>
          <w:b/>
        </w:rPr>
        <w:t xml:space="preserve">QUINTO </w:t>
      </w:r>
      <w:r w:rsidRPr="00273DCE">
        <w:rPr>
          <w:rFonts w:ascii="Palatino Linotype" w:hAnsi="Palatino Linotype" w:cs="Arial"/>
        </w:rPr>
        <w:t>de esta resolución, haga entrega de ser procedente en versión pública  de lo siguiente</w:t>
      </w:r>
      <w:r w:rsidRPr="00273DCE">
        <w:rPr>
          <w:rFonts w:ascii="Palatino Linotype" w:hAnsi="Palatino Linotype"/>
          <w:bCs/>
        </w:rPr>
        <w:t>:</w:t>
      </w:r>
    </w:p>
    <w:p w14:paraId="72AB3025" w14:textId="77777777" w:rsidR="00534D12" w:rsidRPr="00273DCE" w:rsidRDefault="00534D12" w:rsidP="00534D12">
      <w:pPr>
        <w:spacing w:line="360" w:lineRule="auto"/>
        <w:ind w:right="49"/>
        <w:jc w:val="both"/>
        <w:rPr>
          <w:rFonts w:ascii="Palatino Linotype" w:hAnsi="Palatino Linotype"/>
          <w:bCs/>
        </w:rPr>
      </w:pPr>
    </w:p>
    <w:p w14:paraId="744F5E14" w14:textId="1FECEB2B" w:rsidR="00D9608B" w:rsidRPr="00273DCE" w:rsidRDefault="00D9608B" w:rsidP="00534D12">
      <w:pPr>
        <w:pStyle w:val="Prrafodelista"/>
        <w:numPr>
          <w:ilvl w:val="0"/>
          <w:numId w:val="47"/>
        </w:numPr>
        <w:spacing w:line="360" w:lineRule="auto"/>
        <w:ind w:right="49"/>
        <w:contextualSpacing/>
        <w:jc w:val="both"/>
        <w:rPr>
          <w:rFonts w:ascii="Palatino Linotype" w:eastAsia="Palatino Linotype" w:hAnsi="Palatino Linotype" w:cs="Palatino Linotype"/>
        </w:rPr>
      </w:pPr>
      <w:r w:rsidRPr="00273DCE">
        <w:rPr>
          <w:rFonts w:ascii="Palatino Linotype" w:eastAsia="Palatino Linotype" w:hAnsi="Palatino Linotype" w:cs="Palatino Linotype"/>
        </w:rPr>
        <w:t xml:space="preserve">Documento donde consten los gastos ejercidos </w:t>
      </w:r>
      <w:r w:rsidR="00EE116B" w:rsidRPr="00273DCE">
        <w:rPr>
          <w:rFonts w:ascii="Palatino Linotype" w:eastAsia="Palatino Linotype" w:hAnsi="Palatino Linotype" w:cs="Palatino Linotype"/>
        </w:rPr>
        <w:t>por concepto de pavimentación del primero de enero al diecinueve de agosto de dos mil veinticinco.</w:t>
      </w:r>
    </w:p>
    <w:p w14:paraId="431F7828" w14:textId="3D045422" w:rsidR="00EE116B" w:rsidRPr="00273DCE" w:rsidRDefault="00EE116B" w:rsidP="00EE116B">
      <w:pPr>
        <w:pStyle w:val="Prrafodelista"/>
        <w:numPr>
          <w:ilvl w:val="0"/>
          <w:numId w:val="47"/>
        </w:numPr>
        <w:spacing w:line="360" w:lineRule="auto"/>
        <w:ind w:right="49"/>
        <w:contextualSpacing/>
        <w:jc w:val="both"/>
        <w:rPr>
          <w:rFonts w:ascii="Palatino Linotype" w:eastAsia="Palatino Linotype" w:hAnsi="Palatino Linotype" w:cs="Palatino Linotype"/>
        </w:rPr>
      </w:pPr>
      <w:r w:rsidRPr="00273DCE">
        <w:rPr>
          <w:rFonts w:ascii="Palatino Linotype" w:eastAsia="Palatino Linotype" w:hAnsi="Palatino Linotype" w:cs="Palatino Linotype"/>
        </w:rPr>
        <w:t>Documento donde consten los gastos ejercidos por concepto de bacheo del primero de enero al diecinueve de agosto de dos mil veinticinco.</w:t>
      </w:r>
    </w:p>
    <w:p w14:paraId="2C62F4FA" w14:textId="39B2329D" w:rsidR="00534D12" w:rsidRPr="00273DCE" w:rsidRDefault="00534D12" w:rsidP="00534D12">
      <w:pPr>
        <w:pStyle w:val="Prrafodelista"/>
        <w:numPr>
          <w:ilvl w:val="0"/>
          <w:numId w:val="47"/>
        </w:numPr>
        <w:spacing w:line="360" w:lineRule="auto"/>
        <w:ind w:right="49"/>
        <w:contextualSpacing/>
        <w:jc w:val="both"/>
        <w:rPr>
          <w:rFonts w:ascii="Palatino Linotype" w:eastAsia="Palatino Linotype" w:hAnsi="Palatino Linotype" w:cs="Palatino Linotype"/>
        </w:rPr>
      </w:pPr>
      <w:r w:rsidRPr="00273DCE">
        <w:rPr>
          <w:rFonts w:ascii="Palatino Linotype" w:eastAsia="Palatino Linotype" w:hAnsi="Palatino Linotype" w:cs="Palatino Linotype"/>
          <w:color w:val="000000"/>
        </w:rPr>
        <w:t>Los contratos celebrados por el Sujeto Obligado con empresas privadas</w:t>
      </w:r>
      <w:r w:rsidR="00044B5B" w:rsidRPr="00273DCE">
        <w:rPr>
          <w:rFonts w:ascii="Palatino Linotype" w:eastAsia="Palatino Linotype" w:hAnsi="Palatino Linotype" w:cs="Palatino Linotype"/>
          <w:color w:val="000000"/>
        </w:rPr>
        <w:t xml:space="preserve"> para pavimentación y/o bacheo</w:t>
      </w:r>
      <w:r w:rsidRPr="00273DCE">
        <w:rPr>
          <w:rFonts w:ascii="Palatino Linotype" w:eastAsia="Palatino Linotype" w:hAnsi="Palatino Linotype" w:cs="Palatino Linotype"/>
          <w:color w:val="000000"/>
        </w:rPr>
        <w:t>, del primero de enero al diecinueve de agosto de dos mil ve</w:t>
      </w:r>
      <w:r w:rsidR="0054049F" w:rsidRPr="00273DCE">
        <w:rPr>
          <w:rFonts w:ascii="Palatino Linotype" w:eastAsia="Palatino Linotype" w:hAnsi="Palatino Linotype" w:cs="Palatino Linotype"/>
          <w:color w:val="000000"/>
        </w:rPr>
        <w:t>i</w:t>
      </w:r>
      <w:r w:rsidRPr="00273DCE">
        <w:rPr>
          <w:rFonts w:ascii="Palatino Linotype" w:eastAsia="Palatino Linotype" w:hAnsi="Palatino Linotype" w:cs="Palatino Linotype"/>
          <w:color w:val="000000"/>
        </w:rPr>
        <w:t>nticinco.</w:t>
      </w:r>
      <w:r w:rsidRPr="00273DCE">
        <w:rPr>
          <w:rFonts w:ascii="Palatino Linotype" w:eastAsia="Palatino Linotype" w:hAnsi="Palatino Linotype" w:cs="Palatino Linotype"/>
        </w:rPr>
        <w:t xml:space="preserve"> </w:t>
      </w:r>
    </w:p>
    <w:p w14:paraId="6B5CE645" w14:textId="77777777" w:rsidR="00534D12" w:rsidRPr="00273DCE" w:rsidRDefault="00534D12" w:rsidP="00534D12">
      <w:pPr>
        <w:pStyle w:val="INFOEM"/>
        <w:ind w:left="708"/>
        <w:rPr>
          <w:szCs w:val="22"/>
        </w:rPr>
      </w:pPr>
      <w:r w:rsidRPr="00273DCE">
        <w:rPr>
          <w:szCs w:val="22"/>
        </w:rPr>
        <w:t xml:space="preserve">Para la entrega en versión pública deberá emitir el Acuerdo del Comité de Transparencia en términos de los artículos 49, fracción VIII y 132 fracción II de la Ley de Transparencia y Acceso a la Información Pública del Estado de México y </w:t>
      </w:r>
      <w:r w:rsidRPr="00273DCE">
        <w:rPr>
          <w:szCs w:val="22"/>
        </w:rPr>
        <w:lastRenderedPageBreak/>
        <w:t>Municipios, en el que funde y motive las razones sobre los datos que se supriman o eliminen y se ponga a disposición del Recurrente.</w:t>
      </w:r>
    </w:p>
    <w:p w14:paraId="65FAE1E5" w14:textId="77777777" w:rsidR="00534D12" w:rsidRPr="00273DCE" w:rsidRDefault="00534D12" w:rsidP="00534D12">
      <w:pPr>
        <w:autoSpaceDE w:val="0"/>
        <w:autoSpaceDN w:val="0"/>
        <w:adjustRightInd w:val="0"/>
        <w:spacing w:line="360" w:lineRule="auto"/>
        <w:ind w:right="49"/>
        <w:jc w:val="both"/>
        <w:rPr>
          <w:rFonts w:ascii="Palatino Linotype" w:hAnsi="Palatino Linotype" w:cs="Arial"/>
          <w:b/>
        </w:rPr>
      </w:pPr>
    </w:p>
    <w:p w14:paraId="64B8FFB5" w14:textId="77777777" w:rsidR="00534D12" w:rsidRPr="00273DCE" w:rsidRDefault="00534D12" w:rsidP="00534D12">
      <w:pPr>
        <w:autoSpaceDE w:val="0"/>
        <w:autoSpaceDN w:val="0"/>
        <w:adjustRightInd w:val="0"/>
        <w:spacing w:line="360" w:lineRule="auto"/>
        <w:ind w:right="49"/>
        <w:jc w:val="both"/>
        <w:rPr>
          <w:rFonts w:ascii="Palatino Linotype" w:eastAsia="Palatino Linotype" w:hAnsi="Palatino Linotype" w:cs="Palatino Linotype"/>
          <w:b/>
          <w:color w:val="000000"/>
        </w:rPr>
      </w:pPr>
      <w:r w:rsidRPr="00273DCE">
        <w:rPr>
          <w:rFonts w:ascii="Palatino Linotype" w:hAnsi="Palatino Linotype" w:cs="Arial"/>
          <w:b/>
          <w:sz w:val="28"/>
          <w:szCs w:val="28"/>
        </w:rPr>
        <w:t>TERCERO</w:t>
      </w:r>
      <w:r w:rsidRPr="00273DCE">
        <w:rPr>
          <w:rFonts w:ascii="Palatino Linotype" w:hAnsi="Palatino Linotype" w:cs="Arial"/>
          <w:b/>
        </w:rPr>
        <w:t>. NOTIFÍQUESE</w:t>
      </w:r>
      <w:r w:rsidRPr="00273DCE">
        <w:rPr>
          <w:rFonts w:ascii="Palatino Linotype" w:hAnsi="Palatino Linotype" w:cs="Arial"/>
          <w:i/>
        </w:rPr>
        <w:t xml:space="preserve"> </w:t>
      </w:r>
      <w:r w:rsidRPr="00273DCE">
        <w:rPr>
          <w:rFonts w:ascii="Palatino Linotype" w:hAnsi="Palatino Linotype" w:cs="Arial"/>
        </w:rPr>
        <w:t>la presente resolución al Titular de la Unidad de Transparencia del</w:t>
      </w:r>
      <w:r w:rsidRPr="00273DCE">
        <w:rPr>
          <w:rFonts w:ascii="Palatino Linotype" w:hAnsi="Palatino Linotype" w:cs="Arial"/>
          <w:b/>
        </w:rPr>
        <w:t xml:space="preserve"> Sujeto Obligado</w:t>
      </w:r>
      <w:r w:rsidRPr="00273DCE">
        <w:rPr>
          <w:rFonts w:ascii="Palatino Linotype" w:hAnsi="Palatino Linotype" w:cs="Arial"/>
        </w:rPr>
        <w:t>, a través del Sistema de Acceso a la Información Mexiquense (</w:t>
      </w:r>
      <w:r w:rsidRPr="00273DCE">
        <w:rPr>
          <w:rFonts w:ascii="Palatino Linotype" w:hAnsi="Palatino Linotype" w:cs="Arial"/>
          <w:b/>
        </w:rPr>
        <w:t>SAIMEX</w:t>
      </w:r>
      <w:r w:rsidRPr="00273DCE">
        <w:rPr>
          <w:rFonts w:ascii="Palatino Linotype" w:hAnsi="Palatino Linotype" w:cs="Arial"/>
        </w:rPr>
        <w:t xml:space="preserve">) para que conforme al artículo 186 último párrafo, 189 segundo párrafo y 194 de la Ley de Transparencia y Acceso a la Información Pública del Estado de México y Municipios; dé cumplimiento a lo ordenado dentro del plazo de 10 (diez) días hábiles, debiendo informar a este Instituto en un plazo de tres días hábiles siguientes sobre el cumplimiento dado a la presente </w:t>
      </w:r>
      <w:r w:rsidRPr="00273DCE">
        <w:rPr>
          <w:rFonts w:ascii="Palatino Linotype" w:hAnsi="Palatino Linotype" w:cs="Arial"/>
          <w:b/>
        </w:rPr>
        <w:t>y</w:t>
      </w:r>
      <w:r w:rsidRPr="00273DCE">
        <w:rPr>
          <w:rFonts w:ascii="Palatino Linotype" w:hAnsi="Palatino Linotype" w:cs="Arial"/>
        </w:rPr>
        <w:t xml:space="preserve"> </w:t>
      </w:r>
      <w:r w:rsidRPr="00273DCE">
        <w:rPr>
          <w:rFonts w:ascii="Palatino Linotype" w:eastAsia="Palatino Linotype" w:hAnsi="Palatino Linotype" w:cs="Palatino Linotype"/>
          <w:b/>
          <w:color w:val="000000"/>
        </w:rPr>
        <w:t>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2836A3B7" w14:textId="77777777" w:rsidR="00534D12" w:rsidRPr="00273DCE" w:rsidRDefault="00534D12" w:rsidP="00534D12">
      <w:pPr>
        <w:autoSpaceDE w:val="0"/>
        <w:autoSpaceDN w:val="0"/>
        <w:adjustRightInd w:val="0"/>
        <w:spacing w:line="360" w:lineRule="auto"/>
        <w:ind w:right="49"/>
        <w:jc w:val="both"/>
        <w:rPr>
          <w:rFonts w:ascii="Palatino Linotype" w:hAnsi="Palatino Linotype" w:cs="Arial"/>
        </w:rPr>
      </w:pPr>
    </w:p>
    <w:p w14:paraId="5333589B" w14:textId="77777777" w:rsidR="00534D12" w:rsidRPr="00273DCE" w:rsidRDefault="00534D12" w:rsidP="00534D12">
      <w:pPr>
        <w:autoSpaceDE w:val="0"/>
        <w:autoSpaceDN w:val="0"/>
        <w:adjustRightInd w:val="0"/>
        <w:spacing w:line="360" w:lineRule="auto"/>
        <w:jc w:val="both"/>
        <w:rPr>
          <w:rFonts w:ascii="Palatino Linotype" w:hAnsi="Palatino Linotype" w:cs="Arial"/>
        </w:rPr>
      </w:pPr>
      <w:r w:rsidRPr="00273DCE">
        <w:rPr>
          <w:rFonts w:ascii="Palatino Linotype" w:hAnsi="Palatino Linotype" w:cs="Arial"/>
          <w:b/>
          <w:sz w:val="28"/>
          <w:szCs w:val="28"/>
        </w:rPr>
        <w:t>CUARTO.</w:t>
      </w:r>
      <w:r w:rsidRPr="00273DCE">
        <w:rPr>
          <w:rFonts w:ascii="Palatino Linotype" w:hAnsi="Palatino Linotype" w:cs="Arial"/>
          <w:b/>
        </w:rPr>
        <w:t xml:space="preserve"> </w:t>
      </w:r>
      <w:r w:rsidRPr="00273DCE">
        <w:rPr>
          <w:rFonts w:ascii="Palatino Linotype" w:hAnsi="Palatino Linotype" w:cs="Arial"/>
        </w:rPr>
        <w:t xml:space="preserve">De conformidad con el artículo 198 de la Ley de Transparencia y Acceso a la Información Pública del Estado de México y Municipios, de considerarlo procedente, el </w:t>
      </w:r>
      <w:r w:rsidRPr="00273DCE">
        <w:rPr>
          <w:rFonts w:ascii="Palatino Linotype" w:hAnsi="Palatino Linotype" w:cs="Arial"/>
          <w:b/>
        </w:rPr>
        <w:t>Sujeto Obligado</w:t>
      </w:r>
      <w:r w:rsidRPr="00273DCE">
        <w:rPr>
          <w:rFonts w:ascii="Palatino Linotype" w:hAnsi="Palatino Linotype" w:cs="Arial"/>
        </w:rPr>
        <w:t xml:space="preserve"> de manera fundada y motivada, podrá solicitar una ampliación de plazo para el cumplimiento de la presente resolución.</w:t>
      </w:r>
    </w:p>
    <w:p w14:paraId="73DB03D4" w14:textId="77777777" w:rsidR="00534D12" w:rsidRPr="00273DCE" w:rsidRDefault="00534D12" w:rsidP="00534D12">
      <w:pPr>
        <w:autoSpaceDE w:val="0"/>
        <w:autoSpaceDN w:val="0"/>
        <w:adjustRightInd w:val="0"/>
        <w:spacing w:line="360" w:lineRule="auto"/>
        <w:jc w:val="both"/>
        <w:rPr>
          <w:rFonts w:ascii="Palatino Linotype" w:hAnsi="Palatino Linotype" w:cs="Arial"/>
        </w:rPr>
      </w:pPr>
    </w:p>
    <w:p w14:paraId="186080EB" w14:textId="5F0683DF" w:rsidR="00534D12" w:rsidRPr="00273DCE" w:rsidRDefault="00534D12" w:rsidP="00464375">
      <w:pPr>
        <w:autoSpaceDE w:val="0"/>
        <w:autoSpaceDN w:val="0"/>
        <w:adjustRightInd w:val="0"/>
        <w:spacing w:line="360" w:lineRule="auto"/>
        <w:ind w:right="49"/>
        <w:jc w:val="both"/>
        <w:rPr>
          <w:rFonts w:ascii="Palatino Linotype" w:hAnsi="Palatino Linotype" w:cs="Arial"/>
        </w:rPr>
      </w:pPr>
      <w:r w:rsidRPr="00273DCE">
        <w:rPr>
          <w:rFonts w:ascii="Palatino Linotype" w:hAnsi="Palatino Linotype"/>
          <w:b/>
          <w:sz w:val="28"/>
          <w:szCs w:val="28"/>
        </w:rPr>
        <w:t>QUINTO.</w:t>
      </w:r>
      <w:r w:rsidRPr="00273DCE">
        <w:rPr>
          <w:rFonts w:ascii="Palatino Linotype" w:hAnsi="Palatino Linotype"/>
          <w:b/>
        </w:rPr>
        <w:t xml:space="preserve"> </w:t>
      </w:r>
      <w:r w:rsidRPr="00273DCE">
        <w:rPr>
          <w:rFonts w:ascii="Palatino Linotype" w:hAnsi="Palatino Linotype" w:cs="Arial"/>
          <w:b/>
        </w:rPr>
        <w:t>NOTIFÍQUESE</w:t>
      </w:r>
      <w:r w:rsidRPr="00273DCE">
        <w:rPr>
          <w:rFonts w:ascii="Palatino Linotype" w:hAnsi="Palatino Linotype" w:cs="Arial"/>
        </w:rPr>
        <w:t xml:space="preserve"> a través del Sistema de Acceso a la Información Mexiquense (</w:t>
      </w:r>
      <w:r w:rsidRPr="00273DCE">
        <w:rPr>
          <w:rFonts w:ascii="Palatino Linotype" w:hAnsi="Palatino Linotype" w:cs="Arial"/>
          <w:b/>
        </w:rPr>
        <w:t>SAIMEX</w:t>
      </w:r>
      <w:r w:rsidRPr="00273DCE">
        <w:rPr>
          <w:rFonts w:ascii="Palatino Linotype" w:hAnsi="Palatino Linotype" w:cs="Arial"/>
        </w:rPr>
        <w:t xml:space="preserve">), al </w:t>
      </w:r>
      <w:r w:rsidRPr="00273DCE">
        <w:rPr>
          <w:rFonts w:ascii="Palatino Linotype" w:hAnsi="Palatino Linotype" w:cs="Arial"/>
          <w:b/>
        </w:rPr>
        <w:t>Recurrente</w:t>
      </w:r>
      <w:r w:rsidRPr="00273DCE">
        <w:rPr>
          <w:rFonts w:ascii="Palatino Linotype" w:hAnsi="Palatino Linotype" w:cs="Arial"/>
        </w:rPr>
        <w:t xml:space="preserve"> y hágasele del conocimiento que en caso de considerar que le causa algún perjuicio, podrá promover el Juicio de Amparo en los términos de las leyes aplicables, de acuerdo con lo estipulado por el artículo 196 de la </w:t>
      </w:r>
      <w:r w:rsidRPr="00273DCE">
        <w:rPr>
          <w:rFonts w:ascii="Palatino Linotype" w:hAnsi="Palatino Linotype" w:cs="Arial"/>
        </w:rPr>
        <w:lastRenderedPageBreak/>
        <w:t>Ley de Transparencia y Acceso a la Información Pública del Estado de México y Municipios.</w:t>
      </w:r>
    </w:p>
    <w:p w14:paraId="493E7DA7" w14:textId="77777777" w:rsidR="00534D12" w:rsidRPr="00273DCE" w:rsidRDefault="00534D12" w:rsidP="00464375">
      <w:pPr>
        <w:autoSpaceDE w:val="0"/>
        <w:autoSpaceDN w:val="0"/>
        <w:adjustRightInd w:val="0"/>
        <w:spacing w:line="360" w:lineRule="auto"/>
        <w:ind w:right="49"/>
        <w:jc w:val="both"/>
        <w:rPr>
          <w:rFonts w:ascii="Palatino Linotype" w:hAnsi="Palatino Linotype" w:cs="Arial"/>
        </w:rPr>
      </w:pPr>
    </w:p>
    <w:p w14:paraId="43EB6286" w14:textId="5B160307" w:rsidR="009C5C70" w:rsidRPr="00273DCE" w:rsidRDefault="00273DCE" w:rsidP="00464375">
      <w:pPr>
        <w:spacing w:line="360" w:lineRule="auto"/>
        <w:jc w:val="both"/>
        <w:rPr>
          <w:rFonts w:ascii="Palatino Linotype" w:eastAsiaTheme="minorHAnsi" w:hAnsi="Palatino Linotype" w:cs="Arial"/>
          <w:lang w:eastAsia="en-US"/>
        </w:rPr>
      </w:pPr>
      <w:r w:rsidRPr="00273DCE">
        <w:rPr>
          <w:rFonts w:ascii="Palatino Linotype" w:eastAsiaTheme="minorHAnsi" w:hAnsi="Palatino Linotype" w:cs="Arial"/>
          <w:lang w:val="es-MX" w:eastAsia="en-US"/>
        </w:rPr>
        <w:t>ASÍ LO RESUELVE, POR UNANIMIDAD DE VOTOS, EL PLENO DEL</w:t>
      </w:r>
      <w:r w:rsidRPr="00273DCE">
        <w:rPr>
          <w:rFonts w:ascii="Palatino Linotype" w:eastAsia="Arial Unicode MS" w:hAnsi="Palatino Linotype" w:cs="Arial"/>
          <w:lang w:val="es-MX" w:eastAsia="en-US"/>
        </w:rPr>
        <w:t xml:space="preserve"> INSTITUTO DE TRANSPARENCIA, ACCESO A LA INFORMACIÓN PÚBLICA Y PROTECCIÓN DE DATOS PERSONALES DEL ESTADO DE MÉXICO Y MUNICIPIOS</w:t>
      </w:r>
      <w:r w:rsidRPr="00273DCE">
        <w:rPr>
          <w:rFonts w:ascii="Palatino Linotype" w:eastAsiaTheme="minorHAnsi" w:hAnsi="Palatino Linotype" w:cs="Arial"/>
          <w:lang w:val="es-MX" w:eastAsia="en-US"/>
        </w:rPr>
        <w:t xml:space="preserve">, CONFORMADO POR LOS COMISIONADOS JOSÉ MARTÍNEZ VILCHIS; MARÍA DEL ROSARIO MEJÍA AYALA; SHARON CRISTINA MORALES MARTÍNEZ; LUIS GUSTAVO PARRA NORIEGA Y GUADALUPE RAMÍREZ PEÑA; EN LA </w:t>
      </w:r>
      <w:r w:rsidRPr="00273DCE">
        <w:rPr>
          <w:rFonts w:ascii="Palatino Linotype" w:hAnsi="Palatino Linotype" w:cs="Arial"/>
        </w:rPr>
        <w:t>VIGÉSIMA TERCERA SESIÓN ORDINARIA, CELEBRADA EL VEINTICINCO DE JUNIO DE DOS MIL VEINTISÉIS</w:t>
      </w:r>
      <w:r w:rsidRPr="00273DCE">
        <w:rPr>
          <w:rFonts w:ascii="Palatino Linotype" w:eastAsiaTheme="minorHAnsi" w:hAnsi="Palatino Linotype" w:cs="Arial"/>
          <w:lang w:val="es-MX" w:eastAsia="en-US"/>
        </w:rPr>
        <w:t>, ANTE EL SECRETARIO TÉCNICO, ALEXIS TAPIA RAMÍREZ</w:t>
      </w:r>
      <w:r w:rsidR="00054E04" w:rsidRPr="00273DCE">
        <w:rPr>
          <w:rFonts w:ascii="Palatino Linotype" w:eastAsiaTheme="minorHAnsi" w:hAnsi="Palatino Linotype" w:cs="Arial"/>
          <w:lang w:eastAsia="en-US"/>
        </w:rPr>
        <w:t>.</w:t>
      </w:r>
      <w:r w:rsidR="00F04815" w:rsidRPr="00273DCE">
        <w:rPr>
          <w:rFonts w:ascii="Palatino Linotype" w:eastAsiaTheme="minorHAnsi" w:hAnsi="Palatino Linotype" w:cs="Arial"/>
          <w:lang w:eastAsia="en-US"/>
        </w:rPr>
        <w:t>---</w:t>
      </w:r>
      <w:r w:rsidR="00AD6E7B" w:rsidRPr="00273DCE">
        <w:rPr>
          <w:rFonts w:ascii="Palatino Linotype" w:eastAsiaTheme="minorHAnsi" w:hAnsi="Palatino Linotype" w:cs="Arial"/>
          <w:lang w:eastAsia="en-US"/>
        </w:rPr>
        <w:t>------------------------------------------------------------------------------------------------------------------------------------------------------------------------------------------------------------------------------------------------------------------------</w:t>
      </w:r>
      <w:r w:rsidR="00E956DE" w:rsidRPr="00273DCE">
        <w:rPr>
          <w:rFonts w:ascii="Palatino Linotype" w:eastAsiaTheme="minorHAnsi" w:hAnsi="Palatino Linotype" w:cs="Arial"/>
          <w:lang w:eastAsia="en-US"/>
        </w:rPr>
        <w:t>------------------------------------------------------------------------------------------------------------------------------------------------------------------------------------------------------------------------------------</w:t>
      </w:r>
      <w:r w:rsidR="00AD6E7B" w:rsidRPr="00273DCE">
        <w:rPr>
          <w:rFonts w:ascii="Palatino Linotype" w:eastAsiaTheme="minorHAnsi" w:hAnsi="Palatino Linotype" w:cs="Arial"/>
          <w:lang w:eastAsia="en-US"/>
        </w:rPr>
        <w:t>--------------------------------------------------------------------------------------</w:t>
      </w:r>
      <w:r w:rsidR="00523719" w:rsidRPr="00273DCE">
        <w:rPr>
          <w:rFonts w:ascii="Palatino Linotype" w:eastAsiaTheme="minorHAnsi" w:hAnsi="Palatino Linotype" w:cs="Arial"/>
          <w:lang w:eastAsia="en-US"/>
        </w:rPr>
        <w:t>-----------------------------------------------------------------------------------------------------------------------------------------------------------------------------------------------------------------------------------------------------------------------</w:t>
      </w:r>
      <w:r w:rsidR="00180B43" w:rsidRPr="00273DCE">
        <w:rPr>
          <w:rFonts w:ascii="Palatino Linotype" w:eastAsiaTheme="minorHAnsi" w:hAnsi="Palatino Linotype" w:cs="Arial"/>
          <w:lang w:eastAsia="en-US"/>
        </w:rPr>
        <w:t>--</w:t>
      </w:r>
      <w:r w:rsidR="00523719" w:rsidRPr="00273DCE">
        <w:rPr>
          <w:rFonts w:ascii="Palatino Linotype" w:eastAsiaTheme="minorHAnsi" w:hAnsi="Palatino Linotype" w:cs="Arial"/>
          <w:lang w:eastAsia="en-US"/>
        </w:rPr>
        <w:t>----------------------------------------------------------------------------------------------------------------</w:t>
      </w:r>
      <w:r w:rsidR="00547069" w:rsidRPr="00273DCE">
        <w:rPr>
          <w:rFonts w:ascii="Palatino Linotype" w:eastAsiaTheme="minorHAnsi" w:hAnsi="Palatino Linotype" w:cs="Arial"/>
          <w:lang w:eastAsia="en-US"/>
        </w:rPr>
        <w:t>---------------------</w:t>
      </w:r>
      <w:r w:rsidR="00793834" w:rsidRPr="00273DCE">
        <w:rPr>
          <w:rFonts w:ascii="Palatino Linotype" w:eastAsiaTheme="minorHAnsi" w:hAnsi="Palatino Linotype" w:cs="Arial"/>
          <w:lang w:eastAsia="en-US"/>
        </w:rPr>
        <w:t>----------------------------------------------------------------------------------------------------------------------------------------------------------------------------------------------------------------------------------------------------------------------------------------------------------------------------------------------------------------------------------------------------------------------------------------------------------------------------------------------------------------------------------------------------------</w:t>
      </w:r>
      <w:r w:rsidR="00EE116B" w:rsidRPr="00273DCE">
        <w:rPr>
          <w:rFonts w:ascii="Palatino Linotype" w:eastAsiaTheme="minorHAnsi" w:hAnsi="Palatino Linotype" w:cs="Arial"/>
          <w:lang w:eastAsia="en-US"/>
        </w:rPr>
        <w:t>-------------------------</w:t>
      </w:r>
      <w:r w:rsidR="00365609" w:rsidRPr="00273DCE">
        <w:rPr>
          <w:rFonts w:ascii="Palatino Linotype" w:eastAsiaTheme="minorHAnsi" w:hAnsi="Palatino Linotype" w:cs="Arial"/>
          <w:lang w:eastAsia="en-US"/>
        </w:rPr>
        <w:t>-----------------------</w:t>
      </w:r>
      <w:r w:rsidR="00EE116B" w:rsidRPr="00273DCE">
        <w:rPr>
          <w:rFonts w:ascii="Palatino Linotype" w:eastAsiaTheme="minorHAnsi" w:hAnsi="Palatino Linotype" w:cs="Arial"/>
          <w:lang w:eastAsia="en-US"/>
        </w:rPr>
        <w:t>------</w:t>
      </w:r>
    </w:p>
    <w:p w14:paraId="382F848C" w14:textId="3093655A" w:rsidR="00054E04" w:rsidRPr="00747344" w:rsidRDefault="00F04815" w:rsidP="00464375">
      <w:pPr>
        <w:spacing w:line="360" w:lineRule="auto"/>
        <w:jc w:val="both"/>
        <w:rPr>
          <w:rFonts w:ascii="Palatino Linotype" w:eastAsiaTheme="minorHAnsi" w:hAnsi="Palatino Linotype" w:cs="Arial"/>
          <w:sz w:val="18"/>
          <w:lang w:eastAsia="en-US"/>
        </w:rPr>
      </w:pPr>
      <w:r w:rsidRPr="00273DCE">
        <w:rPr>
          <w:rFonts w:ascii="Palatino Linotype" w:eastAsiaTheme="minorHAnsi" w:hAnsi="Palatino Linotype" w:cs="Arial"/>
          <w:sz w:val="18"/>
          <w:lang w:eastAsia="en-US"/>
        </w:rPr>
        <w:t>JMV/CCR/</w:t>
      </w:r>
    </w:p>
    <w:p w14:paraId="11FCCED8" w14:textId="77777777" w:rsidR="00F04815" w:rsidRPr="00747344" w:rsidRDefault="00F04815" w:rsidP="00464375">
      <w:pPr>
        <w:spacing w:line="360" w:lineRule="auto"/>
        <w:jc w:val="both"/>
        <w:rPr>
          <w:rFonts w:ascii="Palatino Linotype" w:eastAsiaTheme="minorHAnsi" w:hAnsi="Palatino Linotype" w:cs="Arial"/>
          <w:lang w:eastAsia="en-US"/>
        </w:rPr>
      </w:pPr>
    </w:p>
    <w:p w14:paraId="2A980219" w14:textId="77777777" w:rsidR="0029071C" w:rsidRPr="00747344" w:rsidRDefault="0029071C" w:rsidP="00464375"/>
    <w:p w14:paraId="24953374" w14:textId="77777777" w:rsidR="0029071C" w:rsidRPr="00747344" w:rsidRDefault="0029071C" w:rsidP="00464375"/>
    <w:p w14:paraId="0AE3AFBA" w14:textId="77777777" w:rsidR="0029071C" w:rsidRPr="00747344" w:rsidRDefault="0029071C" w:rsidP="00464375"/>
    <w:p w14:paraId="5BD92A17" w14:textId="77777777" w:rsidR="0029071C" w:rsidRPr="00747344" w:rsidRDefault="0029071C" w:rsidP="00464375"/>
    <w:p w14:paraId="3530A50C" w14:textId="77777777" w:rsidR="0029071C" w:rsidRPr="00747344" w:rsidRDefault="0029071C" w:rsidP="00464375"/>
    <w:p w14:paraId="26389E65" w14:textId="77777777" w:rsidR="0029071C" w:rsidRPr="00747344" w:rsidRDefault="0029071C" w:rsidP="00464375"/>
    <w:p w14:paraId="652144C8" w14:textId="77777777" w:rsidR="0029071C" w:rsidRPr="00747344" w:rsidRDefault="0029071C" w:rsidP="00464375"/>
    <w:p w14:paraId="4858A06C" w14:textId="77777777" w:rsidR="0029071C" w:rsidRPr="00747344" w:rsidRDefault="0029071C" w:rsidP="00464375"/>
    <w:p w14:paraId="0B0F1B11" w14:textId="77777777" w:rsidR="0029071C" w:rsidRPr="00747344" w:rsidRDefault="0029071C" w:rsidP="00464375"/>
    <w:p w14:paraId="5D8E07C2" w14:textId="77777777" w:rsidR="0029071C" w:rsidRPr="00747344" w:rsidRDefault="0029071C" w:rsidP="00464375"/>
    <w:p w14:paraId="2CCC7A3D" w14:textId="77777777" w:rsidR="0029071C" w:rsidRPr="00747344" w:rsidRDefault="0029071C" w:rsidP="00464375"/>
    <w:p w14:paraId="3B7A4B0E" w14:textId="77777777" w:rsidR="0029071C" w:rsidRPr="00747344" w:rsidRDefault="0029071C" w:rsidP="00464375"/>
    <w:p w14:paraId="5D9E2A35" w14:textId="77777777" w:rsidR="0029071C" w:rsidRPr="00747344" w:rsidRDefault="0029071C" w:rsidP="00464375"/>
    <w:p w14:paraId="17C61018" w14:textId="77777777" w:rsidR="0029071C" w:rsidRPr="00747344" w:rsidRDefault="0029071C" w:rsidP="00464375"/>
    <w:p w14:paraId="24641E38" w14:textId="77777777" w:rsidR="0029071C" w:rsidRPr="00747344" w:rsidRDefault="0029071C" w:rsidP="00464375"/>
    <w:p w14:paraId="2FE81858" w14:textId="77777777" w:rsidR="0029071C" w:rsidRPr="00747344" w:rsidRDefault="0029071C" w:rsidP="00464375"/>
    <w:p w14:paraId="75FAC52D" w14:textId="77777777" w:rsidR="0029071C" w:rsidRPr="00747344" w:rsidRDefault="0029071C" w:rsidP="00464375"/>
    <w:p w14:paraId="306B4E0D" w14:textId="77777777" w:rsidR="0029071C" w:rsidRPr="00747344" w:rsidRDefault="0029071C" w:rsidP="00464375"/>
    <w:p w14:paraId="1F9E288F" w14:textId="77777777" w:rsidR="0029071C" w:rsidRPr="00747344" w:rsidRDefault="0029071C" w:rsidP="00464375"/>
    <w:p w14:paraId="1186B5A4" w14:textId="77777777" w:rsidR="0029071C" w:rsidRPr="00747344" w:rsidRDefault="0029071C" w:rsidP="00464375"/>
    <w:p w14:paraId="77F31730" w14:textId="77777777" w:rsidR="0029071C" w:rsidRPr="00747344" w:rsidRDefault="0029071C" w:rsidP="00464375"/>
    <w:p w14:paraId="43CD78A2" w14:textId="77777777" w:rsidR="0029071C" w:rsidRPr="00747344" w:rsidRDefault="0029071C" w:rsidP="00464375"/>
    <w:p w14:paraId="3C99C3C8" w14:textId="77777777" w:rsidR="0029071C" w:rsidRPr="00747344" w:rsidRDefault="0029071C" w:rsidP="00464375"/>
    <w:p w14:paraId="71F89CD4" w14:textId="77777777" w:rsidR="0029071C" w:rsidRPr="00747344" w:rsidRDefault="0029071C" w:rsidP="00464375"/>
    <w:p w14:paraId="69A574AA" w14:textId="77777777" w:rsidR="0029071C" w:rsidRPr="00747344" w:rsidRDefault="0029071C" w:rsidP="00464375"/>
    <w:p w14:paraId="0B797D25" w14:textId="77777777" w:rsidR="0029071C" w:rsidRPr="00747344" w:rsidRDefault="0029071C" w:rsidP="00464375"/>
    <w:p w14:paraId="4EC2B0AF" w14:textId="77777777" w:rsidR="0029071C" w:rsidRPr="00747344" w:rsidRDefault="0029071C" w:rsidP="00464375"/>
    <w:p w14:paraId="1E0104EA" w14:textId="77777777" w:rsidR="0029071C" w:rsidRPr="00747344" w:rsidRDefault="0029071C" w:rsidP="00464375"/>
    <w:p w14:paraId="28264898" w14:textId="77777777" w:rsidR="0029071C" w:rsidRPr="00747344" w:rsidRDefault="0029071C" w:rsidP="00464375"/>
    <w:p w14:paraId="5FBBC2E9" w14:textId="77777777" w:rsidR="0029071C" w:rsidRPr="00747344" w:rsidRDefault="0029071C" w:rsidP="00464375"/>
    <w:p w14:paraId="413160BA" w14:textId="77777777" w:rsidR="0029071C" w:rsidRPr="00747344" w:rsidRDefault="0029071C" w:rsidP="00464375"/>
    <w:p w14:paraId="1E58919F" w14:textId="77777777" w:rsidR="0029071C" w:rsidRPr="00747344" w:rsidRDefault="0029071C" w:rsidP="00464375"/>
    <w:p w14:paraId="46D73044" w14:textId="77777777" w:rsidR="0029071C" w:rsidRPr="00747344" w:rsidRDefault="0029071C" w:rsidP="00464375"/>
    <w:p w14:paraId="486380B0" w14:textId="77777777" w:rsidR="0029071C" w:rsidRPr="00747344" w:rsidRDefault="0029071C" w:rsidP="00464375"/>
    <w:p w14:paraId="2C4CAD91" w14:textId="74062617" w:rsidR="0029071C" w:rsidRPr="00747344" w:rsidRDefault="0029071C" w:rsidP="00464375"/>
    <w:sectPr w:rsidR="0029071C" w:rsidRPr="00747344" w:rsidSect="006D4739">
      <w:headerReference w:type="even" r:id="rId10"/>
      <w:headerReference w:type="default" r:id="rId11"/>
      <w:footerReference w:type="default" r:id="rId12"/>
      <w:headerReference w:type="first" r:id="rId13"/>
      <w:footerReference w:type="first" r:id="rId14"/>
      <w:pgSz w:w="12240" w:h="15840"/>
      <w:pgMar w:top="1418" w:right="1418" w:bottom="1418" w:left="1701" w:header="709" w:footer="1009"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463C9AA" w14:textId="77777777" w:rsidR="007C087D" w:rsidRDefault="007C087D" w:rsidP="000B5E25">
      <w:r>
        <w:separator/>
      </w:r>
    </w:p>
  </w:endnote>
  <w:endnote w:type="continuationSeparator" w:id="0">
    <w:p w14:paraId="7B50EC12" w14:textId="77777777" w:rsidR="007C087D" w:rsidRDefault="007C087D" w:rsidP="000B5E2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alatino Linotype">
    <w:panose1 w:val="02040502050505030304"/>
    <w:charset w:val="00"/>
    <w:family w:val="roman"/>
    <w:pitch w:val="variable"/>
    <w:sig w:usb0="E0000287" w:usb1="40000013"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Liberation Serif">
    <w:altName w:val="Times New Roman"/>
    <w:charset w:val="01"/>
    <w:family w:val="roman"/>
    <w:pitch w:val="variable"/>
  </w:font>
  <w:font w:name="DejaVu Sans">
    <w:altName w:val="Times New Roman"/>
    <w:charset w:val="00"/>
    <w:family w:val="roman"/>
    <w:pitch w:val="default"/>
  </w:font>
  <w:font w:name="Lohit Hindi">
    <w:altName w:val="Times New Roman"/>
    <w:charset w:val="00"/>
    <w:family w:val="roman"/>
    <w:pitch w:val="default"/>
  </w:font>
  <w:font w:name="Palatino">
    <w:altName w:val="Book Antiqua"/>
    <w:charset w:val="4D"/>
    <w:family w:val="auto"/>
    <w:pitch w:val="variable"/>
    <w:sig w:usb0="A00002FF" w:usb1="7800205A" w:usb2="14600000" w:usb3="00000000" w:csb0="00000193"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515AFD" w14:textId="1BD4A966" w:rsidR="00D9608B" w:rsidRPr="000D3AD4" w:rsidRDefault="00D9608B"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E7391">
      <w:rPr>
        <w:rFonts w:ascii="Palatino Linotype" w:hAnsi="Palatino Linotype" w:cs="Arial"/>
        <w:bCs/>
        <w:noProof/>
        <w:sz w:val="20"/>
        <w:szCs w:val="20"/>
      </w:rPr>
      <w:t>20</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E7391">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4F365AC" w14:textId="0B29288B" w:rsidR="00D9608B" w:rsidRPr="000D3AD4" w:rsidRDefault="00D9608B" w:rsidP="0043515A">
    <w:pPr>
      <w:pStyle w:val="Piedepgina"/>
      <w:jc w:val="right"/>
      <w:rPr>
        <w:rFonts w:ascii="Palatino Linotype" w:hAnsi="Palatino Linotype" w:cs="Arial"/>
        <w:sz w:val="20"/>
        <w:szCs w:val="20"/>
      </w:rPr>
    </w:pPr>
    <w:r w:rsidRPr="000D3AD4">
      <w:rPr>
        <w:rFonts w:ascii="Palatino Linotype" w:hAnsi="Palatino Linotype" w:cs="Arial"/>
        <w:bCs/>
        <w:sz w:val="20"/>
        <w:szCs w:val="20"/>
      </w:rPr>
      <w:t xml:space="preserve">Página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PAGE</w:instrText>
    </w:r>
    <w:r w:rsidRPr="000D3AD4">
      <w:rPr>
        <w:rFonts w:ascii="Palatino Linotype" w:hAnsi="Palatino Linotype" w:cs="Arial"/>
        <w:bCs/>
        <w:sz w:val="20"/>
        <w:szCs w:val="20"/>
      </w:rPr>
      <w:fldChar w:fldCharType="separate"/>
    </w:r>
    <w:r w:rsidR="00BE7391">
      <w:rPr>
        <w:rFonts w:ascii="Palatino Linotype" w:hAnsi="Palatino Linotype" w:cs="Arial"/>
        <w:bCs/>
        <w:noProof/>
        <w:sz w:val="20"/>
        <w:szCs w:val="20"/>
      </w:rPr>
      <w:t>1</w:t>
    </w:r>
    <w:r w:rsidRPr="000D3AD4">
      <w:rPr>
        <w:rFonts w:ascii="Palatino Linotype" w:hAnsi="Palatino Linotype" w:cs="Arial"/>
        <w:bCs/>
        <w:sz w:val="20"/>
        <w:szCs w:val="20"/>
      </w:rPr>
      <w:fldChar w:fldCharType="end"/>
    </w:r>
    <w:r w:rsidRPr="000D3AD4">
      <w:rPr>
        <w:rFonts w:ascii="Palatino Linotype" w:hAnsi="Palatino Linotype" w:cs="Arial"/>
        <w:sz w:val="20"/>
        <w:szCs w:val="20"/>
      </w:rPr>
      <w:t xml:space="preserve"> de </w:t>
    </w:r>
    <w:r w:rsidRPr="000D3AD4">
      <w:rPr>
        <w:rFonts w:ascii="Palatino Linotype" w:hAnsi="Palatino Linotype" w:cs="Arial"/>
        <w:bCs/>
        <w:sz w:val="20"/>
        <w:szCs w:val="20"/>
      </w:rPr>
      <w:fldChar w:fldCharType="begin"/>
    </w:r>
    <w:r w:rsidRPr="000D3AD4">
      <w:rPr>
        <w:rFonts w:ascii="Palatino Linotype" w:hAnsi="Palatino Linotype" w:cs="Arial"/>
        <w:bCs/>
        <w:sz w:val="20"/>
        <w:szCs w:val="20"/>
      </w:rPr>
      <w:instrText>NUMPAGES</w:instrText>
    </w:r>
    <w:r w:rsidRPr="000D3AD4">
      <w:rPr>
        <w:rFonts w:ascii="Palatino Linotype" w:hAnsi="Palatino Linotype" w:cs="Arial"/>
        <w:bCs/>
        <w:sz w:val="20"/>
        <w:szCs w:val="20"/>
      </w:rPr>
      <w:fldChar w:fldCharType="separate"/>
    </w:r>
    <w:r w:rsidR="00BE7391">
      <w:rPr>
        <w:rFonts w:ascii="Palatino Linotype" w:hAnsi="Palatino Linotype" w:cs="Arial"/>
        <w:bCs/>
        <w:noProof/>
        <w:sz w:val="20"/>
        <w:szCs w:val="20"/>
      </w:rPr>
      <w:t>45</w:t>
    </w:r>
    <w:r w:rsidRPr="000D3AD4">
      <w:rPr>
        <w:rFonts w:ascii="Palatino Linotype" w:hAnsi="Palatino Linotype" w:cs="Arial"/>
        <w:bC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0CFD815" w14:textId="77777777" w:rsidR="007C087D" w:rsidRDefault="007C087D" w:rsidP="000B5E25">
      <w:r>
        <w:separator/>
      </w:r>
    </w:p>
  </w:footnote>
  <w:footnote w:type="continuationSeparator" w:id="0">
    <w:p w14:paraId="6DECA2B4" w14:textId="77777777" w:rsidR="007C087D" w:rsidRDefault="007C087D" w:rsidP="000B5E25">
      <w:r>
        <w:continuationSeparator/>
      </w:r>
    </w:p>
  </w:footnote>
  <w:footnote w:id="1">
    <w:p w14:paraId="68546E23" w14:textId="77777777" w:rsidR="00D9608B" w:rsidRPr="008A64CB" w:rsidRDefault="00D9608B" w:rsidP="00E3048E">
      <w:pPr>
        <w:ind w:right="49"/>
        <w:jc w:val="both"/>
        <w:rPr>
          <w:rFonts w:ascii="Palatino Linotype" w:eastAsiaTheme="minorHAnsi" w:hAnsi="Palatino Linotype" w:cstheme="minorBidi"/>
          <w:b/>
          <w:bCs/>
          <w:i/>
          <w:sz w:val="18"/>
          <w:szCs w:val="22"/>
          <w:lang w:val="es-MX"/>
        </w:rPr>
      </w:pPr>
      <w:r>
        <w:rPr>
          <w:rStyle w:val="Refdenotaalpie"/>
        </w:rPr>
        <w:footnoteRef/>
      </w:r>
      <w:r>
        <w:t xml:space="preserve"> </w:t>
      </w:r>
      <w:r w:rsidRPr="008A64CB">
        <w:rPr>
          <w:rFonts w:ascii="Palatino Linotype" w:eastAsiaTheme="minorHAnsi" w:hAnsi="Palatino Linotype" w:cstheme="minorBidi"/>
          <w:b/>
          <w:bCs/>
          <w:i/>
          <w:sz w:val="18"/>
          <w:szCs w:val="22"/>
          <w:lang w:val="es-MX" w:eastAsia="en-US"/>
        </w:rPr>
        <w:t>IMPROCEDENCIA Y SOBRESEIMIENTO EN EL JUICIO DE AMPARO. LAS CAUSAS PREVISTAS EN LOS ARTÍCULOS 73 Y 74 DE LA LEY DE LA MATERIA, RESPECTIVAMENTE, NO SON INCOMPATIBLES CON EL ARTÍCULO 25.1 DE LA CONVENCIÓN AMERICANA SOBRE DERECHOS HUMANOS.</w:t>
      </w:r>
    </w:p>
    <w:p w14:paraId="0A12287C" w14:textId="77777777" w:rsidR="00D9608B" w:rsidRDefault="00D9608B" w:rsidP="00E3048E">
      <w:pPr>
        <w:autoSpaceDE w:val="0"/>
        <w:autoSpaceDN w:val="0"/>
        <w:adjustRightInd w:val="0"/>
        <w:ind w:right="49"/>
        <w:jc w:val="both"/>
        <w:rPr>
          <w:rFonts w:ascii="Palatino Linotype" w:hAnsi="Palatino Linotype"/>
          <w:i/>
          <w:sz w:val="18"/>
          <w:szCs w:val="22"/>
        </w:rPr>
      </w:pPr>
    </w:p>
    <w:p w14:paraId="75A7C282" w14:textId="77777777" w:rsidR="00D9608B" w:rsidRPr="008A64CB" w:rsidRDefault="00D9608B" w:rsidP="00E3048E">
      <w:pPr>
        <w:autoSpaceDE w:val="0"/>
        <w:autoSpaceDN w:val="0"/>
        <w:adjustRightInd w:val="0"/>
        <w:ind w:right="49"/>
        <w:jc w:val="both"/>
        <w:rPr>
          <w:rFonts w:ascii="Palatino Linotype" w:hAnsi="Palatino Linotype" w:cs="Arial"/>
          <w:sz w:val="18"/>
          <w:szCs w:val="22"/>
        </w:rPr>
      </w:pPr>
      <w:r w:rsidRPr="008A64CB">
        <w:rPr>
          <w:rFonts w:ascii="Palatino Linotype" w:hAnsi="Palatino Linotype"/>
          <w:i/>
          <w:sz w:val="18"/>
          <w:szCs w:val="22"/>
        </w:rPr>
        <w:t>Del examen de compatibilidad de los artículos </w:t>
      </w:r>
      <w:hyperlink r:id="rId1" w:history="1">
        <w:r w:rsidRPr="008A64CB">
          <w:rPr>
            <w:rFonts w:ascii="Palatino Linotype" w:eastAsia="Calibri" w:hAnsi="Palatino Linotype"/>
            <w:i/>
            <w:color w:val="0563C1" w:themeColor="hyperlink"/>
            <w:sz w:val="18"/>
            <w:szCs w:val="22"/>
            <w:u w:val="single"/>
          </w:rPr>
          <w:t>73 y 74 de la Ley de Amparo</w:t>
        </w:r>
      </w:hyperlink>
      <w:r w:rsidRPr="008A64CB">
        <w:rPr>
          <w:rFonts w:ascii="Palatino Linotype" w:hAnsi="Palatino Linotype"/>
          <w:i/>
          <w:sz w:val="18"/>
          <w:szCs w:val="22"/>
        </w:rPr>
        <w:t> con el artículo </w:t>
      </w:r>
      <w:hyperlink r:id="rId2" w:history="1">
        <w:r w:rsidRPr="008A64CB">
          <w:rPr>
            <w:rFonts w:ascii="Palatino Linotype" w:eastAsia="Calibri" w:hAnsi="Palatino Linotype"/>
            <w:i/>
            <w:color w:val="0563C1" w:themeColor="hyperlink"/>
            <w:sz w:val="18"/>
            <w:szCs w:val="22"/>
            <w:u w:val="single"/>
          </w:rPr>
          <w:t>25.1 de la Convención Americana sobre Derechos Humanos</w:t>
        </w:r>
      </w:hyperlink>
      <w:r w:rsidRPr="008A64CB">
        <w:rPr>
          <w:rFonts w:ascii="Palatino Linotype" w:hAnsi="Palatino Linotype"/>
          <w:i/>
          <w:sz w:val="18"/>
          <w:szCs w:val="22"/>
        </w:rPr>
        <w:t> </w:t>
      </w:r>
      <w:r w:rsidRPr="008A64CB">
        <w:rPr>
          <w:rFonts w:ascii="Palatino Linotype" w:hAnsi="Palatino Linotype"/>
          <w:b/>
          <w:i/>
          <w:sz w:val="18"/>
          <w:szCs w:val="22"/>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8A64CB">
        <w:rPr>
          <w:rFonts w:ascii="Palatino Linotype" w:hAnsi="Palatino Linotype"/>
          <w:i/>
          <w:sz w:val="18"/>
          <w:szCs w:val="22"/>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p w14:paraId="3FDDEE89" w14:textId="77777777" w:rsidR="00D9608B" w:rsidRPr="008A64CB" w:rsidRDefault="00D9608B" w:rsidP="00E3048E">
      <w:pPr>
        <w:pStyle w:val="Textonotapie"/>
        <w:rPr>
          <w:lang w:val="es-MX"/>
        </w:rPr>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24DD3BB" w14:textId="77777777" w:rsidR="00D9608B" w:rsidRDefault="007C087D">
    <w:pPr>
      <w:pStyle w:val="Encabezado"/>
    </w:pPr>
    <w:r>
      <w:rPr>
        <w:noProof/>
        <w:lang w:val="es-MX"/>
      </w:rPr>
      <w:pict w14:anchorId="5923D83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3" o:spid="_x0000_s2123" type="#_x0000_t75" alt="" style="position:absolute;margin-left:0;margin-top:0;width:609.4pt;height:793.75pt;z-index:-251657216;mso-wrap-edited:f;mso-width-percent:0;mso-height-percent:0;mso-position-horizontal:center;mso-position-horizontal-relative:margin;mso-position-vertical:center;mso-position-vertical-relative:margin;mso-width-percent:0;mso-height-percent:0" o:allowincell="f">
          <v:imagedata r:id="rId1" o:title="logo infoem (1)"/>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D9608B" w:rsidRPr="008F2CCC" w14:paraId="7B8DC1C7" w14:textId="77777777" w:rsidTr="00BA27FC">
      <w:tc>
        <w:tcPr>
          <w:tcW w:w="2551" w:type="dxa"/>
          <w:vAlign w:val="center"/>
        </w:tcPr>
        <w:p w14:paraId="66D1DBB5" w14:textId="77777777" w:rsidR="00D9608B" w:rsidRPr="008F5DAE" w:rsidRDefault="00D9608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1BE6AD29" w14:textId="3EE9F7D3" w:rsidR="00D9608B" w:rsidRPr="0029071C" w:rsidRDefault="00D9608B" w:rsidP="00521A38">
          <w:pPr>
            <w:spacing w:line="276" w:lineRule="auto"/>
            <w:jc w:val="right"/>
            <w:rPr>
              <w:rFonts w:ascii="Palatino Linotype" w:hAnsi="Palatino Linotype"/>
              <w:sz w:val="22"/>
              <w:szCs w:val="22"/>
            </w:rPr>
          </w:pPr>
          <w:r>
            <w:rPr>
              <w:rFonts w:ascii="Palatino Linotype" w:hAnsi="Palatino Linotype"/>
              <w:sz w:val="22"/>
              <w:szCs w:val="22"/>
              <w:lang w:val="es-ES"/>
            </w:rPr>
            <w:t>11250</w:t>
          </w:r>
          <w:r w:rsidRPr="00C93390">
            <w:rPr>
              <w:rFonts w:ascii="Palatino Linotype" w:hAnsi="Palatino Linotype"/>
              <w:sz w:val="22"/>
              <w:szCs w:val="22"/>
              <w:lang w:val="es-ES"/>
            </w:rPr>
            <w:t>/INFOEM/IP/RR/2025</w:t>
          </w:r>
        </w:p>
      </w:tc>
    </w:tr>
    <w:tr w:rsidR="00D9608B" w:rsidRPr="008F2CCC" w14:paraId="6A1C66BB" w14:textId="77777777" w:rsidTr="00BA27FC">
      <w:trPr>
        <w:trHeight w:val="228"/>
      </w:trPr>
      <w:tc>
        <w:tcPr>
          <w:tcW w:w="2551" w:type="dxa"/>
          <w:vAlign w:val="center"/>
        </w:tcPr>
        <w:p w14:paraId="084FDEDD" w14:textId="77777777" w:rsidR="00D9608B" w:rsidRPr="008F5DAE" w:rsidRDefault="00D9608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7B258997" w14:textId="0E0F2C55" w:rsidR="00D9608B" w:rsidRPr="0029071C" w:rsidRDefault="00D9608B" w:rsidP="00B6659F">
          <w:pPr>
            <w:spacing w:line="276" w:lineRule="auto"/>
            <w:jc w:val="right"/>
            <w:rPr>
              <w:rFonts w:ascii="Palatino Linotype" w:hAnsi="Palatino Linotype"/>
              <w:sz w:val="22"/>
              <w:szCs w:val="22"/>
            </w:rPr>
          </w:pPr>
          <w:r w:rsidRPr="004366E3">
            <w:rPr>
              <w:rFonts w:ascii="Palatino Linotype" w:hAnsi="Palatino Linotype"/>
              <w:sz w:val="22"/>
              <w:szCs w:val="22"/>
            </w:rPr>
            <w:t>Ayuntamiento de Toluca</w:t>
          </w:r>
        </w:p>
      </w:tc>
    </w:tr>
    <w:tr w:rsidR="00D9608B" w:rsidRPr="008F2CCC" w14:paraId="0882C3B9" w14:textId="77777777" w:rsidTr="00BA27FC">
      <w:tc>
        <w:tcPr>
          <w:tcW w:w="2551" w:type="dxa"/>
          <w:vAlign w:val="center"/>
        </w:tcPr>
        <w:p w14:paraId="5E9DFDF5" w14:textId="77777777" w:rsidR="00D9608B" w:rsidRPr="008F5DAE" w:rsidRDefault="00D9608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6E247AAA" w14:textId="77777777" w:rsidR="00D9608B" w:rsidRPr="0029071C" w:rsidRDefault="00D9608B"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bl>
  <w:p w14:paraId="1B9B3C58" w14:textId="77777777" w:rsidR="00D9608B" w:rsidRPr="001779E0" w:rsidRDefault="007C087D" w:rsidP="0043515A">
    <w:pPr>
      <w:pStyle w:val="Encabezado"/>
      <w:tabs>
        <w:tab w:val="clear" w:pos="4252"/>
        <w:tab w:val="clear" w:pos="8504"/>
        <w:tab w:val="left" w:pos="2326"/>
      </w:tabs>
      <w:rPr>
        <w:rFonts w:ascii="Palatino Linotype" w:hAnsi="Palatino Linotype"/>
        <w:sz w:val="20"/>
      </w:rPr>
    </w:pPr>
    <w:r>
      <w:rPr>
        <w:rFonts w:ascii="Palatino Linotype" w:hAnsi="Palatino Linotype"/>
        <w:noProof/>
        <w:sz w:val="20"/>
        <w:lang w:val="es-MX"/>
      </w:rPr>
      <w:pict w14:anchorId="2F1E5DD2">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4" o:spid="_x0000_s2122" type="#_x0000_t75" alt="" style="position:absolute;margin-left:-85.25pt;margin-top:-116.45pt;width:649.35pt;height:845.8pt;z-index:-251656192;mso-wrap-edited:f;mso-width-percent:0;mso-height-percent:0;mso-position-horizontal-relative:margin;mso-position-vertical-relative:margin;mso-width-percent:0;mso-height-percent:0" o:allowincell="f">
          <v:imagedata r:id="rId1" o:title="logo infoem (1)"/>
          <w10:wrap anchorx="margin" anchory="margin"/>
        </v:shape>
      </w:pic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6667" w:type="dxa"/>
      <w:tblInd w:w="2547" w:type="dxa"/>
      <w:tblLayout w:type="fixed"/>
      <w:tblLook w:val="04A0" w:firstRow="1" w:lastRow="0" w:firstColumn="1" w:lastColumn="0" w:noHBand="0" w:noVBand="1"/>
    </w:tblPr>
    <w:tblGrid>
      <w:gridCol w:w="2551"/>
      <w:gridCol w:w="4116"/>
    </w:tblGrid>
    <w:tr w:rsidR="00D9608B" w:rsidRPr="0098478D" w14:paraId="04F44534" w14:textId="77777777" w:rsidTr="00BA27FC">
      <w:tc>
        <w:tcPr>
          <w:tcW w:w="2551" w:type="dxa"/>
          <w:vAlign w:val="center"/>
        </w:tcPr>
        <w:p w14:paraId="4E1F8768" w14:textId="77777777" w:rsidR="00D9608B" w:rsidRPr="008F5DAE" w:rsidRDefault="00D9608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Recurso de revisión:</w:t>
          </w:r>
        </w:p>
      </w:tc>
      <w:tc>
        <w:tcPr>
          <w:tcW w:w="4116" w:type="dxa"/>
          <w:vAlign w:val="center"/>
        </w:tcPr>
        <w:p w14:paraId="2A9A8530" w14:textId="03076ACA" w:rsidR="00D9608B" w:rsidRPr="0098478D" w:rsidRDefault="00D9608B" w:rsidP="00521A38">
          <w:pPr>
            <w:spacing w:line="276" w:lineRule="auto"/>
            <w:jc w:val="right"/>
            <w:rPr>
              <w:rFonts w:ascii="Palatino Linotype" w:hAnsi="Palatino Linotype"/>
              <w:sz w:val="22"/>
              <w:szCs w:val="22"/>
            </w:rPr>
          </w:pPr>
          <w:r>
            <w:rPr>
              <w:rFonts w:ascii="Palatino Linotype" w:hAnsi="Palatino Linotype"/>
              <w:sz w:val="22"/>
              <w:szCs w:val="22"/>
              <w:lang w:val="es-ES"/>
            </w:rPr>
            <w:t>11250</w:t>
          </w:r>
          <w:r w:rsidRPr="00C93390">
            <w:rPr>
              <w:rFonts w:ascii="Palatino Linotype" w:hAnsi="Palatino Linotype"/>
              <w:sz w:val="22"/>
              <w:szCs w:val="22"/>
              <w:lang w:val="es-ES"/>
            </w:rPr>
            <w:t>/INFOEM/IP/RR/2025</w:t>
          </w:r>
        </w:p>
      </w:tc>
    </w:tr>
    <w:tr w:rsidR="00D9608B" w:rsidRPr="008F2CCC" w14:paraId="41BF0289" w14:textId="77777777" w:rsidTr="00BA27FC">
      <w:tc>
        <w:tcPr>
          <w:tcW w:w="2551" w:type="dxa"/>
          <w:vAlign w:val="center"/>
        </w:tcPr>
        <w:p w14:paraId="2A0F894D" w14:textId="77777777" w:rsidR="00D9608B" w:rsidRPr="008F5DAE" w:rsidRDefault="00D9608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Recurrente:</w:t>
          </w:r>
        </w:p>
      </w:tc>
      <w:tc>
        <w:tcPr>
          <w:tcW w:w="4116" w:type="dxa"/>
          <w:vAlign w:val="center"/>
        </w:tcPr>
        <w:p w14:paraId="3113054C" w14:textId="02B3F3E1" w:rsidR="00D9608B" w:rsidRPr="0098478D" w:rsidRDefault="00BE7391" w:rsidP="00BA27FC">
          <w:pPr>
            <w:spacing w:line="276" w:lineRule="auto"/>
            <w:jc w:val="right"/>
            <w:rPr>
              <w:rFonts w:ascii="Palatino Linotype" w:hAnsi="Palatino Linotype"/>
              <w:sz w:val="22"/>
              <w:szCs w:val="22"/>
            </w:rPr>
          </w:pPr>
          <w:r>
            <w:rPr>
              <w:rFonts w:ascii="Palatino Linotype" w:hAnsi="Palatino Linotype"/>
              <w:sz w:val="22"/>
              <w:szCs w:val="22"/>
            </w:rPr>
            <w:t>xxxx</w:t>
          </w:r>
        </w:p>
      </w:tc>
    </w:tr>
    <w:tr w:rsidR="00D9608B" w:rsidRPr="0098478D" w14:paraId="22958B9C" w14:textId="77777777" w:rsidTr="00BA27FC">
      <w:trPr>
        <w:trHeight w:val="228"/>
      </w:trPr>
      <w:tc>
        <w:tcPr>
          <w:tcW w:w="2551" w:type="dxa"/>
          <w:vAlign w:val="center"/>
        </w:tcPr>
        <w:p w14:paraId="57D11803" w14:textId="77777777" w:rsidR="00D9608B" w:rsidRPr="008F5DAE" w:rsidRDefault="00D9608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Sujeto Obligado:</w:t>
          </w:r>
        </w:p>
      </w:tc>
      <w:tc>
        <w:tcPr>
          <w:tcW w:w="4116" w:type="dxa"/>
          <w:vAlign w:val="center"/>
        </w:tcPr>
        <w:p w14:paraId="0B93078E" w14:textId="15EA604B" w:rsidR="00D9608B" w:rsidRPr="0098478D" w:rsidRDefault="00D9608B" w:rsidP="00E57BDB">
          <w:pPr>
            <w:spacing w:line="276" w:lineRule="auto"/>
            <w:jc w:val="right"/>
            <w:rPr>
              <w:rFonts w:ascii="Palatino Linotype" w:hAnsi="Palatino Linotype"/>
              <w:sz w:val="22"/>
              <w:szCs w:val="22"/>
            </w:rPr>
          </w:pPr>
          <w:r w:rsidRPr="004366E3">
            <w:rPr>
              <w:rFonts w:ascii="Palatino Linotype" w:hAnsi="Palatino Linotype"/>
              <w:sz w:val="22"/>
              <w:szCs w:val="22"/>
            </w:rPr>
            <w:t>Ayuntamiento de Toluca</w:t>
          </w:r>
        </w:p>
      </w:tc>
    </w:tr>
    <w:tr w:rsidR="00D9608B" w:rsidRPr="008F2CCC" w14:paraId="071488EC" w14:textId="77777777" w:rsidTr="00BA27FC">
      <w:tc>
        <w:tcPr>
          <w:tcW w:w="2551" w:type="dxa"/>
          <w:vAlign w:val="center"/>
        </w:tcPr>
        <w:p w14:paraId="5E199BEA" w14:textId="77777777" w:rsidR="00D9608B" w:rsidRPr="008F5DAE" w:rsidRDefault="00D9608B" w:rsidP="00BA27FC">
          <w:pPr>
            <w:spacing w:line="276" w:lineRule="auto"/>
            <w:jc w:val="right"/>
            <w:rPr>
              <w:rFonts w:ascii="Palatino Linotype" w:hAnsi="Palatino Linotype"/>
              <w:b/>
              <w:sz w:val="22"/>
              <w:szCs w:val="22"/>
            </w:rPr>
          </w:pPr>
          <w:r w:rsidRPr="008F5DAE">
            <w:rPr>
              <w:rFonts w:ascii="Palatino Linotype" w:hAnsi="Palatino Linotype"/>
              <w:b/>
              <w:sz w:val="22"/>
              <w:szCs w:val="22"/>
            </w:rPr>
            <w:t>Comisionado Ponente:</w:t>
          </w:r>
        </w:p>
      </w:tc>
      <w:tc>
        <w:tcPr>
          <w:tcW w:w="4116" w:type="dxa"/>
          <w:vAlign w:val="center"/>
        </w:tcPr>
        <w:p w14:paraId="177F3B59" w14:textId="77777777" w:rsidR="00D9608B" w:rsidRPr="0029071C" w:rsidRDefault="00D9608B" w:rsidP="00BA27FC">
          <w:pPr>
            <w:spacing w:line="276" w:lineRule="auto"/>
            <w:jc w:val="right"/>
            <w:rPr>
              <w:rFonts w:ascii="Palatino Linotype" w:hAnsi="Palatino Linotype"/>
              <w:sz w:val="22"/>
              <w:szCs w:val="22"/>
            </w:rPr>
          </w:pPr>
          <w:r w:rsidRPr="0029071C">
            <w:rPr>
              <w:rFonts w:ascii="Palatino Linotype" w:hAnsi="Palatino Linotype"/>
              <w:sz w:val="22"/>
              <w:szCs w:val="22"/>
            </w:rPr>
            <w:t>José Martínez Vilchis</w:t>
          </w:r>
        </w:p>
      </w:tc>
    </w:tr>
    <w:tr w:rsidR="00D9608B" w:rsidRPr="008F2CCC" w14:paraId="03A9AB3E" w14:textId="77777777" w:rsidTr="00BA27FC">
      <w:tc>
        <w:tcPr>
          <w:tcW w:w="2551" w:type="dxa"/>
          <w:vAlign w:val="center"/>
        </w:tcPr>
        <w:p w14:paraId="39D57311" w14:textId="77777777" w:rsidR="00D9608B" w:rsidRPr="008F5DAE" w:rsidRDefault="00D9608B" w:rsidP="00BA27FC">
          <w:pPr>
            <w:spacing w:line="276" w:lineRule="auto"/>
            <w:jc w:val="right"/>
            <w:rPr>
              <w:rFonts w:ascii="Palatino Linotype" w:hAnsi="Palatino Linotype"/>
              <w:b/>
              <w:sz w:val="22"/>
              <w:szCs w:val="22"/>
            </w:rPr>
          </w:pPr>
        </w:p>
      </w:tc>
      <w:tc>
        <w:tcPr>
          <w:tcW w:w="4116" w:type="dxa"/>
          <w:vAlign w:val="center"/>
        </w:tcPr>
        <w:p w14:paraId="4CAC28E5" w14:textId="77777777" w:rsidR="00D9608B" w:rsidRPr="00BA27FC" w:rsidRDefault="00D9608B" w:rsidP="00BA27FC">
          <w:pPr>
            <w:spacing w:line="276" w:lineRule="auto"/>
            <w:rPr>
              <w:rFonts w:ascii="Palatino Linotype" w:hAnsi="Palatino Linotype"/>
              <w:sz w:val="14"/>
              <w:szCs w:val="22"/>
            </w:rPr>
          </w:pPr>
        </w:p>
      </w:tc>
    </w:tr>
  </w:tbl>
  <w:p w14:paraId="1F1B1908" w14:textId="77777777" w:rsidR="00D9608B" w:rsidRPr="009F1AB6" w:rsidRDefault="007C087D">
    <w:pPr>
      <w:pStyle w:val="Encabezado"/>
      <w:rPr>
        <w:sz w:val="10"/>
      </w:rPr>
    </w:pPr>
    <w:r>
      <w:rPr>
        <w:noProof/>
        <w:sz w:val="10"/>
        <w:lang w:val="es-MX"/>
      </w:rPr>
      <w:pict w14:anchorId="18975E6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288449312" o:spid="_x0000_s2121" type="#_x0000_t75" alt="" style="position:absolute;margin-left:-84.15pt;margin-top:-126.9pt;width:559.85pt;height:729.25pt;z-index:-251658240;mso-wrap-edited:f;mso-position-horizontal-relative:margin;mso-position-vertical-relative:margin" o:allowincell="f">
          <v:imagedata r:id="rId1" o:title="logo infoem (1)"/>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4" type="#_x0000_t75" style="width:11.2pt;height:11.2pt;visibility:visible;mso-wrap-style:square" o:bullet="t">
        <v:imagedata r:id="rId1" o:title=""/>
      </v:shape>
    </w:pict>
  </w:numPicBullet>
  <w:abstractNum w:abstractNumId="0" w15:restartNumberingAfterBreak="0">
    <w:nsid w:val="046F3B3F"/>
    <w:multiLevelType w:val="hybridMultilevel"/>
    <w:tmpl w:val="D640D01E"/>
    <w:lvl w:ilvl="0" w:tplc="B2FE5DEC">
      <w:start w:val="1"/>
      <w:numFmt w:val="upperRoman"/>
      <w:lvlText w:val="%1."/>
      <w:lvlJc w:val="left"/>
      <w:pPr>
        <w:ind w:left="1080" w:hanging="72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08683A06"/>
    <w:multiLevelType w:val="hybridMultilevel"/>
    <w:tmpl w:val="79FC247C"/>
    <w:lvl w:ilvl="0" w:tplc="080A0001">
      <w:start w:val="1"/>
      <w:numFmt w:val="bullet"/>
      <w:lvlText w:val=""/>
      <w:lvlJc w:val="left"/>
      <w:pPr>
        <w:ind w:left="720" w:hanging="360"/>
      </w:pPr>
      <w:rPr>
        <w:rFonts w:ascii="Symbol" w:hAnsi="Symbol" w:hint="default"/>
      </w:rPr>
    </w:lvl>
    <w:lvl w:ilvl="1" w:tplc="080A0003">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 w15:restartNumberingAfterBreak="0">
    <w:nsid w:val="08985F87"/>
    <w:multiLevelType w:val="hybridMultilevel"/>
    <w:tmpl w:val="E64CAABA"/>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0A162BE8"/>
    <w:multiLevelType w:val="hybridMultilevel"/>
    <w:tmpl w:val="1D303382"/>
    <w:lvl w:ilvl="0" w:tplc="080A0001">
      <w:start w:val="1"/>
      <w:numFmt w:val="bullet"/>
      <w:lvlText w:val=""/>
      <w:lvlJc w:val="left"/>
      <w:pPr>
        <w:ind w:left="780" w:hanging="360"/>
      </w:pPr>
      <w:rPr>
        <w:rFonts w:ascii="Symbol" w:hAnsi="Symbol" w:hint="default"/>
      </w:rPr>
    </w:lvl>
    <w:lvl w:ilvl="1" w:tplc="080A0003" w:tentative="1">
      <w:start w:val="1"/>
      <w:numFmt w:val="bullet"/>
      <w:lvlText w:val="o"/>
      <w:lvlJc w:val="left"/>
      <w:pPr>
        <w:ind w:left="1500" w:hanging="360"/>
      </w:pPr>
      <w:rPr>
        <w:rFonts w:ascii="Courier New" w:hAnsi="Courier New" w:cs="Courier New" w:hint="default"/>
      </w:rPr>
    </w:lvl>
    <w:lvl w:ilvl="2" w:tplc="080A0005" w:tentative="1">
      <w:start w:val="1"/>
      <w:numFmt w:val="bullet"/>
      <w:lvlText w:val=""/>
      <w:lvlJc w:val="left"/>
      <w:pPr>
        <w:ind w:left="2220" w:hanging="360"/>
      </w:pPr>
      <w:rPr>
        <w:rFonts w:ascii="Wingdings" w:hAnsi="Wingdings" w:hint="default"/>
      </w:rPr>
    </w:lvl>
    <w:lvl w:ilvl="3" w:tplc="080A0001" w:tentative="1">
      <w:start w:val="1"/>
      <w:numFmt w:val="bullet"/>
      <w:lvlText w:val=""/>
      <w:lvlJc w:val="left"/>
      <w:pPr>
        <w:ind w:left="2940" w:hanging="360"/>
      </w:pPr>
      <w:rPr>
        <w:rFonts w:ascii="Symbol" w:hAnsi="Symbol" w:hint="default"/>
      </w:rPr>
    </w:lvl>
    <w:lvl w:ilvl="4" w:tplc="080A0003" w:tentative="1">
      <w:start w:val="1"/>
      <w:numFmt w:val="bullet"/>
      <w:lvlText w:val="o"/>
      <w:lvlJc w:val="left"/>
      <w:pPr>
        <w:ind w:left="3660" w:hanging="360"/>
      </w:pPr>
      <w:rPr>
        <w:rFonts w:ascii="Courier New" w:hAnsi="Courier New" w:cs="Courier New" w:hint="default"/>
      </w:rPr>
    </w:lvl>
    <w:lvl w:ilvl="5" w:tplc="080A0005" w:tentative="1">
      <w:start w:val="1"/>
      <w:numFmt w:val="bullet"/>
      <w:lvlText w:val=""/>
      <w:lvlJc w:val="left"/>
      <w:pPr>
        <w:ind w:left="4380" w:hanging="360"/>
      </w:pPr>
      <w:rPr>
        <w:rFonts w:ascii="Wingdings" w:hAnsi="Wingdings" w:hint="default"/>
      </w:rPr>
    </w:lvl>
    <w:lvl w:ilvl="6" w:tplc="080A0001" w:tentative="1">
      <w:start w:val="1"/>
      <w:numFmt w:val="bullet"/>
      <w:lvlText w:val=""/>
      <w:lvlJc w:val="left"/>
      <w:pPr>
        <w:ind w:left="5100" w:hanging="360"/>
      </w:pPr>
      <w:rPr>
        <w:rFonts w:ascii="Symbol" w:hAnsi="Symbol" w:hint="default"/>
      </w:rPr>
    </w:lvl>
    <w:lvl w:ilvl="7" w:tplc="080A0003" w:tentative="1">
      <w:start w:val="1"/>
      <w:numFmt w:val="bullet"/>
      <w:lvlText w:val="o"/>
      <w:lvlJc w:val="left"/>
      <w:pPr>
        <w:ind w:left="5820" w:hanging="360"/>
      </w:pPr>
      <w:rPr>
        <w:rFonts w:ascii="Courier New" w:hAnsi="Courier New" w:cs="Courier New" w:hint="default"/>
      </w:rPr>
    </w:lvl>
    <w:lvl w:ilvl="8" w:tplc="080A0005" w:tentative="1">
      <w:start w:val="1"/>
      <w:numFmt w:val="bullet"/>
      <w:lvlText w:val=""/>
      <w:lvlJc w:val="left"/>
      <w:pPr>
        <w:ind w:left="6540" w:hanging="360"/>
      </w:pPr>
      <w:rPr>
        <w:rFonts w:ascii="Wingdings" w:hAnsi="Wingdings" w:hint="default"/>
      </w:rPr>
    </w:lvl>
  </w:abstractNum>
  <w:abstractNum w:abstractNumId="4" w15:restartNumberingAfterBreak="0">
    <w:nsid w:val="0E906513"/>
    <w:multiLevelType w:val="hybridMultilevel"/>
    <w:tmpl w:val="A94C4882"/>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101A71D8"/>
    <w:multiLevelType w:val="hybridMultilevel"/>
    <w:tmpl w:val="821CFB0C"/>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6" w15:restartNumberingAfterBreak="0">
    <w:nsid w:val="10E263D0"/>
    <w:multiLevelType w:val="multilevel"/>
    <w:tmpl w:val="EF146F0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6196552"/>
    <w:multiLevelType w:val="hybridMultilevel"/>
    <w:tmpl w:val="02A6D728"/>
    <w:lvl w:ilvl="0" w:tplc="C5025412">
      <w:start w:val="1"/>
      <w:numFmt w:val="decimal"/>
      <w:lvlText w:val="%1)"/>
      <w:lvlJc w:val="left"/>
      <w:pPr>
        <w:ind w:left="720" w:hanging="360"/>
      </w:pPr>
      <w:rPr>
        <w:rFonts w:eastAsiaTheme="minorHAnsi"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191A2F50"/>
    <w:multiLevelType w:val="hybridMultilevel"/>
    <w:tmpl w:val="AB1AABBC"/>
    <w:lvl w:ilvl="0" w:tplc="080A0007">
      <w:start w:val="1"/>
      <w:numFmt w:val="bullet"/>
      <w:lvlText w:val=""/>
      <w:lvlPicBulletId w:val="0"/>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9" w15:restartNumberingAfterBreak="0">
    <w:nsid w:val="1A863191"/>
    <w:multiLevelType w:val="multilevel"/>
    <w:tmpl w:val="8B9ECA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1FA072D2"/>
    <w:multiLevelType w:val="hybridMultilevel"/>
    <w:tmpl w:val="88489B26"/>
    <w:styleLink w:val="Estiloimportado1"/>
    <w:lvl w:ilvl="0" w:tplc="6AE8E0D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2E58419E">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9FC8539E">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3C74AAF4">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CC7C3BF0">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FA44872C">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373C5808">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9816EAB0">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E4F412EE">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11" w15:restartNumberingAfterBreak="0">
    <w:nsid w:val="1FEF4A02"/>
    <w:multiLevelType w:val="hybridMultilevel"/>
    <w:tmpl w:val="D1A684F6"/>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2" w15:restartNumberingAfterBreak="0">
    <w:nsid w:val="21F908A9"/>
    <w:multiLevelType w:val="hybridMultilevel"/>
    <w:tmpl w:val="94AC0C72"/>
    <w:lvl w:ilvl="0" w:tplc="CF70B24C">
      <w:start w:val="1"/>
      <w:numFmt w:val="decimal"/>
      <w:lvlText w:val="%1."/>
      <w:lvlJc w:val="left"/>
      <w:pPr>
        <w:ind w:left="720" w:hanging="360"/>
      </w:pPr>
      <w:rPr>
        <w:rFonts w:eastAsiaTheme="minorHAnsi" w:cs="Times New Roman" w:hint="default"/>
        <w:b/>
        <w:sz w:val="24"/>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26762F7F"/>
    <w:multiLevelType w:val="hybridMultilevel"/>
    <w:tmpl w:val="EAEAC6C6"/>
    <w:lvl w:ilvl="0" w:tplc="CBC4C0BE">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4" w15:restartNumberingAfterBreak="0">
    <w:nsid w:val="27786A3E"/>
    <w:multiLevelType w:val="hybridMultilevel"/>
    <w:tmpl w:val="FFFFFFFF"/>
    <w:lvl w:ilvl="0" w:tplc="3BE4FEF8">
      <w:start w:val="1"/>
      <w:numFmt w:val="lowerLetter"/>
      <w:lvlText w:val="%1)"/>
      <w:lvlJc w:val="left"/>
      <w:pPr>
        <w:ind w:left="709" w:hanging="425"/>
      </w:pPr>
      <w:rPr>
        <w:rFonts w:cs="Times New Roman" w:hint="default"/>
      </w:rPr>
    </w:lvl>
    <w:lvl w:ilvl="1" w:tplc="080A0019" w:tentative="1">
      <w:start w:val="1"/>
      <w:numFmt w:val="lowerLetter"/>
      <w:lvlText w:val="%2."/>
      <w:lvlJc w:val="left"/>
      <w:pPr>
        <w:ind w:left="1440" w:hanging="360"/>
      </w:pPr>
      <w:rPr>
        <w:rFonts w:cs="Times New Roman"/>
      </w:rPr>
    </w:lvl>
    <w:lvl w:ilvl="2" w:tplc="080A001B" w:tentative="1">
      <w:start w:val="1"/>
      <w:numFmt w:val="lowerRoman"/>
      <w:lvlText w:val="%3."/>
      <w:lvlJc w:val="right"/>
      <w:pPr>
        <w:ind w:left="2160" w:hanging="180"/>
      </w:pPr>
      <w:rPr>
        <w:rFonts w:cs="Times New Roman"/>
      </w:rPr>
    </w:lvl>
    <w:lvl w:ilvl="3" w:tplc="080A000F" w:tentative="1">
      <w:start w:val="1"/>
      <w:numFmt w:val="decimal"/>
      <w:lvlText w:val="%4."/>
      <w:lvlJc w:val="left"/>
      <w:pPr>
        <w:ind w:left="2880" w:hanging="360"/>
      </w:pPr>
      <w:rPr>
        <w:rFonts w:cs="Times New Roman"/>
      </w:rPr>
    </w:lvl>
    <w:lvl w:ilvl="4" w:tplc="080A0019" w:tentative="1">
      <w:start w:val="1"/>
      <w:numFmt w:val="lowerLetter"/>
      <w:lvlText w:val="%5."/>
      <w:lvlJc w:val="left"/>
      <w:pPr>
        <w:ind w:left="3600" w:hanging="360"/>
      </w:pPr>
      <w:rPr>
        <w:rFonts w:cs="Times New Roman"/>
      </w:rPr>
    </w:lvl>
    <w:lvl w:ilvl="5" w:tplc="080A001B" w:tentative="1">
      <w:start w:val="1"/>
      <w:numFmt w:val="lowerRoman"/>
      <w:lvlText w:val="%6."/>
      <w:lvlJc w:val="right"/>
      <w:pPr>
        <w:ind w:left="4320" w:hanging="180"/>
      </w:pPr>
      <w:rPr>
        <w:rFonts w:cs="Times New Roman"/>
      </w:rPr>
    </w:lvl>
    <w:lvl w:ilvl="6" w:tplc="080A000F" w:tentative="1">
      <w:start w:val="1"/>
      <w:numFmt w:val="decimal"/>
      <w:lvlText w:val="%7."/>
      <w:lvlJc w:val="left"/>
      <w:pPr>
        <w:ind w:left="5040" w:hanging="360"/>
      </w:pPr>
      <w:rPr>
        <w:rFonts w:cs="Times New Roman"/>
      </w:rPr>
    </w:lvl>
    <w:lvl w:ilvl="7" w:tplc="080A0019" w:tentative="1">
      <w:start w:val="1"/>
      <w:numFmt w:val="lowerLetter"/>
      <w:lvlText w:val="%8."/>
      <w:lvlJc w:val="left"/>
      <w:pPr>
        <w:ind w:left="5760" w:hanging="360"/>
      </w:pPr>
      <w:rPr>
        <w:rFonts w:cs="Times New Roman"/>
      </w:rPr>
    </w:lvl>
    <w:lvl w:ilvl="8" w:tplc="080A001B" w:tentative="1">
      <w:start w:val="1"/>
      <w:numFmt w:val="lowerRoman"/>
      <w:lvlText w:val="%9."/>
      <w:lvlJc w:val="right"/>
      <w:pPr>
        <w:ind w:left="6480" w:hanging="180"/>
      </w:pPr>
      <w:rPr>
        <w:rFonts w:cs="Times New Roman"/>
      </w:rPr>
    </w:lvl>
  </w:abstractNum>
  <w:abstractNum w:abstractNumId="15" w15:restartNumberingAfterBreak="0">
    <w:nsid w:val="2CF57DDC"/>
    <w:multiLevelType w:val="hybridMultilevel"/>
    <w:tmpl w:val="71A0784A"/>
    <w:lvl w:ilvl="0" w:tplc="080A000D">
      <w:start w:val="1"/>
      <w:numFmt w:val="bullet"/>
      <w:lvlText w:val=""/>
      <w:lvlJc w:val="left"/>
      <w:pPr>
        <w:ind w:left="2160" w:hanging="360"/>
      </w:pPr>
      <w:rPr>
        <w:rFonts w:ascii="Wingdings" w:hAnsi="Wingdings" w:hint="default"/>
      </w:rPr>
    </w:lvl>
    <w:lvl w:ilvl="1" w:tplc="080A0003" w:tentative="1">
      <w:start w:val="1"/>
      <w:numFmt w:val="bullet"/>
      <w:lvlText w:val="o"/>
      <w:lvlJc w:val="left"/>
      <w:pPr>
        <w:ind w:left="2880" w:hanging="360"/>
      </w:pPr>
      <w:rPr>
        <w:rFonts w:ascii="Courier New" w:hAnsi="Courier New" w:cs="Courier New" w:hint="default"/>
      </w:rPr>
    </w:lvl>
    <w:lvl w:ilvl="2" w:tplc="080A0005" w:tentative="1">
      <w:start w:val="1"/>
      <w:numFmt w:val="bullet"/>
      <w:lvlText w:val=""/>
      <w:lvlJc w:val="left"/>
      <w:pPr>
        <w:ind w:left="3600" w:hanging="360"/>
      </w:pPr>
      <w:rPr>
        <w:rFonts w:ascii="Wingdings" w:hAnsi="Wingdings" w:hint="default"/>
      </w:rPr>
    </w:lvl>
    <w:lvl w:ilvl="3" w:tplc="080A0001" w:tentative="1">
      <w:start w:val="1"/>
      <w:numFmt w:val="bullet"/>
      <w:lvlText w:val=""/>
      <w:lvlJc w:val="left"/>
      <w:pPr>
        <w:ind w:left="4320" w:hanging="360"/>
      </w:pPr>
      <w:rPr>
        <w:rFonts w:ascii="Symbol" w:hAnsi="Symbol" w:hint="default"/>
      </w:rPr>
    </w:lvl>
    <w:lvl w:ilvl="4" w:tplc="080A0003" w:tentative="1">
      <w:start w:val="1"/>
      <w:numFmt w:val="bullet"/>
      <w:lvlText w:val="o"/>
      <w:lvlJc w:val="left"/>
      <w:pPr>
        <w:ind w:left="5040" w:hanging="360"/>
      </w:pPr>
      <w:rPr>
        <w:rFonts w:ascii="Courier New" w:hAnsi="Courier New" w:cs="Courier New" w:hint="default"/>
      </w:rPr>
    </w:lvl>
    <w:lvl w:ilvl="5" w:tplc="080A0005" w:tentative="1">
      <w:start w:val="1"/>
      <w:numFmt w:val="bullet"/>
      <w:lvlText w:val=""/>
      <w:lvlJc w:val="left"/>
      <w:pPr>
        <w:ind w:left="5760" w:hanging="360"/>
      </w:pPr>
      <w:rPr>
        <w:rFonts w:ascii="Wingdings" w:hAnsi="Wingdings" w:hint="default"/>
      </w:rPr>
    </w:lvl>
    <w:lvl w:ilvl="6" w:tplc="080A0001" w:tentative="1">
      <w:start w:val="1"/>
      <w:numFmt w:val="bullet"/>
      <w:lvlText w:val=""/>
      <w:lvlJc w:val="left"/>
      <w:pPr>
        <w:ind w:left="6480" w:hanging="360"/>
      </w:pPr>
      <w:rPr>
        <w:rFonts w:ascii="Symbol" w:hAnsi="Symbol" w:hint="default"/>
      </w:rPr>
    </w:lvl>
    <w:lvl w:ilvl="7" w:tplc="080A0003" w:tentative="1">
      <w:start w:val="1"/>
      <w:numFmt w:val="bullet"/>
      <w:lvlText w:val="o"/>
      <w:lvlJc w:val="left"/>
      <w:pPr>
        <w:ind w:left="7200" w:hanging="360"/>
      </w:pPr>
      <w:rPr>
        <w:rFonts w:ascii="Courier New" w:hAnsi="Courier New" w:cs="Courier New" w:hint="default"/>
      </w:rPr>
    </w:lvl>
    <w:lvl w:ilvl="8" w:tplc="080A0005" w:tentative="1">
      <w:start w:val="1"/>
      <w:numFmt w:val="bullet"/>
      <w:lvlText w:val=""/>
      <w:lvlJc w:val="left"/>
      <w:pPr>
        <w:ind w:left="7920" w:hanging="360"/>
      </w:pPr>
      <w:rPr>
        <w:rFonts w:ascii="Wingdings" w:hAnsi="Wingdings" w:hint="default"/>
      </w:rPr>
    </w:lvl>
  </w:abstractNum>
  <w:abstractNum w:abstractNumId="16" w15:restartNumberingAfterBreak="0">
    <w:nsid w:val="304507F7"/>
    <w:multiLevelType w:val="multilevel"/>
    <w:tmpl w:val="77662478"/>
    <w:lvl w:ilvl="0">
      <w:start w:val="1"/>
      <w:numFmt w:val="decimal"/>
      <w:lvlText w:val="%1."/>
      <w:lvlJc w:val="left"/>
      <w:pPr>
        <w:ind w:left="1428" w:hanging="719"/>
      </w:p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17" w15:restartNumberingAfterBreak="0">
    <w:nsid w:val="32273548"/>
    <w:multiLevelType w:val="hybridMultilevel"/>
    <w:tmpl w:val="D5DE1D58"/>
    <w:lvl w:ilvl="0" w:tplc="40B4B652">
      <w:start w:val="1"/>
      <w:numFmt w:val="upp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8" w15:restartNumberingAfterBreak="0">
    <w:nsid w:val="32406E06"/>
    <w:multiLevelType w:val="hybridMultilevel"/>
    <w:tmpl w:val="DF8A5F3A"/>
    <w:lvl w:ilvl="0" w:tplc="8C2A99AE">
      <w:start w:val="1"/>
      <w:numFmt w:val="decimal"/>
      <w:lvlText w:val="%1."/>
      <w:lvlJc w:val="left"/>
      <w:pPr>
        <w:ind w:left="2258" w:hanging="720"/>
      </w:pPr>
      <w:rPr>
        <w:rFonts w:ascii="Palatino Linotype" w:hAnsi="Palatino Linotype" w:hint="default"/>
        <w:b/>
        <w:sz w:val="24"/>
        <w:szCs w:val="24"/>
      </w:rPr>
    </w:lvl>
    <w:lvl w:ilvl="1" w:tplc="080A0019" w:tentative="1">
      <w:start w:val="1"/>
      <w:numFmt w:val="lowerLetter"/>
      <w:lvlText w:val="%2."/>
      <w:lvlJc w:val="left"/>
      <w:pPr>
        <w:ind w:left="2210" w:hanging="360"/>
      </w:pPr>
    </w:lvl>
    <w:lvl w:ilvl="2" w:tplc="080A001B" w:tentative="1">
      <w:start w:val="1"/>
      <w:numFmt w:val="lowerRoman"/>
      <w:lvlText w:val="%3."/>
      <w:lvlJc w:val="right"/>
      <w:pPr>
        <w:ind w:left="2930" w:hanging="180"/>
      </w:pPr>
    </w:lvl>
    <w:lvl w:ilvl="3" w:tplc="080A000F" w:tentative="1">
      <w:start w:val="1"/>
      <w:numFmt w:val="decimal"/>
      <w:lvlText w:val="%4."/>
      <w:lvlJc w:val="left"/>
      <w:pPr>
        <w:ind w:left="3650" w:hanging="360"/>
      </w:pPr>
    </w:lvl>
    <w:lvl w:ilvl="4" w:tplc="080A0019" w:tentative="1">
      <w:start w:val="1"/>
      <w:numFmt w:val="lowerLetter"/>
      <w:lvlText w:val="%5."/>
      <w:lvlJc w:val="left"/>
      <w:pPr>
        <w:ind w:left="4370" w:hanging="360"/>
      </w:pPr>
    </w:lvl>
    <w:lvl w:ilvl="5" w:tplc="080A001B" w:tentative="1">
      <w:start w:val="1"/>
      <w:numFmt w:val="lowerRoman"/>
      <w:lvlText w:val="%6."/>
      <w:lvlJc w:val="right"/>
      <w:pPr>
        <w:ind w:left="5090" w:hanging="180"/>
      </w:pPr>
    </w:lvl>
    <w:lvl w:ilvl="6" w:tplc="080A000F" w:tentative="1">
      <w:start w:val="1"/>
      <w:numFmt w:val="decimal"/>
      <w:lvlText w:val="%7."/>
      <w:lvlJc w:val="left"/>
      <w:pPr>
        <w:ind w:left="5810" w:hanging="360"/>
      </w:pPr>
    </w:lvl>
    <w:lvl w:ilvl="7" w:tplc="080A0019" w:tentative="1">
      <w:start w:val="1"/>
      <w:numFmt w:val="lowerLetter"/>
      <w:lvlText w:val="%8."/>
      <w:lvlJc w:val="left"/>
      <w:pPr>
        <w:ind w:left="6530" w:hanging="360"/>
      </w:pPr>
    </w:lvl>
    <w:lvl w:ilvl="8" w:tplc="080A001B" w:tentative="1">
      <w:start w:val="1"/>
      <w:numFmt w:val="lowerRoman"/>
      <w:lvlText w:val="%9."/>
      <w:lvlJc w:val="right"/>
      <w:pPr>
        <w:ind w:left="7250" w:hanging="180"/>
      </w:pPr>
    </w:lvl>
  </w:abstractNum>
  <w:abstractNum w:abstractNumId="19" w15:restartNumberingAfterBreak="0">
    <w:nsid w:val="336561CC"/>
    <w:multiLevelType w:val="hybridMultilevel"/>
    <w:tmpl w:val="18640776"/>
    <w:styleLink w:val="Estiloimportado2"/>
    <w:lvl w:ilvl="0" w:tplc="82300D46">
      <w:start w:val="1"/>
      <w:numFmt w:val="decimal"/>
      <w:lvlText w:val="%1."/>
      <w:lvlJc w:val="left"/>
      <w:pPr>
        <w:ind w:left="720" w:hanging="360"/>
      </w:pPr>
      <w:rPr>
        <w:rFonts w:hAnsi="Arial Unicode MS"/>
        <w:caps w:val="0"/>
        <w:smallCaps w:val="0"/>
        <w:strike w:val="0"/>
        <w:dstrike w:val="0"/>
        <w:outline w:val="0"/>
        <w:emboss w:val="0"/>
        <w:imprint w:val="0"/>
        <w:spacing w:val="0"/>
        <w:w w:val="100"/>
        <w:kern w:val="0"/>
        <w:position w:val="0"/>
        <w:highlight w:val="none"/>
        <w:vertAlign w:val="baseline"/>
      </w:rPr>
    </w:lvl>
    <w:lvl w:ilvl="1" w:tplc="A960727A">
      <w:start w:val="1"/>
      <w:numFmt w:val="decimal"/>
      <w:lvlText w:val="%2."/>
      <w:lvlJc w:val="left"/>
      <w:pPr>
        <w:ind w:left="1080" w:hanging="360"/>
      </w:pPr>
      <w:rPr>
        <w:rFonts w:hAnsi="Arial Unicode MS"/>
        <w:caps w:val="0"/>
        <w:smallCaps w:val="0"/>
        <w:strike w:val="0"/>
        <w:dstrike w:val="0"/>
        <w:outline w:val="0"/>
        <w:emboss w:val="0"/>
        <w:imprint w:val="0"/>
        <w:spacing w:val="0"/>
        <w:w w:val="100"/>
        <w:kern w:val="0"/>
        <w:position w:val="0"/>
        <w:highlight w:val="none"/>
        <w:vertAlign w:val="baseline"/>
      </w:rPr>
    </w:lvl>
    <w:lvl w:ilvl="2" w:tplc="4D589C78">
      <w:start w:val="1"/>
      <w:numFmt w:val="decimal"/>
      <w:lvlText w:val="%3."/>
      <w:lvlJc w:val="left"/>
      <w:pPr>
        <w:ind w:left="1800" w:hanging="360"/>
      </w:pPr>
      <w:rPr>
        <w:rFonts w:hAnsi="Arial Unicode MS"/>
        <w:caps w:val="0"/>
        <w:smallCaps w:val="0"/>
        <w:strike w:val="0"/>
        <w:dstrike w:val="0"/>
        <w:outline w:val="0"/>
        <w:emboss w:val="0"/>
        <w:imprint w:val="0"/>
        <w:spacing w:val="0"/>
        <w:w w:val="100"/>
        <w:kern w:val="0"/>
        <w:position w:val="0"/>
        <w:highlight w:val="none"/>
        <w:vertAlign w:val="baseline"/>
      </w:rPr>
    </w:lvl>
    <w:lvl w:ilvl="3" w:tplc="2682AF7A">
      <w:start w:val="1"/>
      <w:numFmt w:val="decimal"/>
      <w:lvlText w:val="%4."/>
      <w:lvlJc w:val="left"/>
      <w:pPr>
        <w:ind w:left="2520" w:hanging="360"/>
      </w:pPr>
      <w:rPr>
        <w:rFonts w:hAnsi="Arial Unicode MS"/>
        <w:caps w:val="0"/>
        <w:smallCaps w:val="0"/>
        <w:strike w:val="0"/>
        <w:dstrike w:val="0"/>
        <w:outline w:val="0"/>
        <w:emboss w:val="0"/>
        <w:imprint w:val="0"/>
        <w:spacing w:val="0"/>
        <w:w w:val="100"/>
        <w:kern w:val="0"/>
        <w:position w:val="0"/>
        <w:highlight w:val="none"/>
        <w:vertAlign w:val="baseline"/>
      </w:rPr>
    </w:lvl>
    <w:lvl w:ilvl="4" w:tplc="67FA7FFE">
      <w:start w:val="1"/>
      <w:numFmt w:val="decimal"/>
      <w:lvlText w:val="%5."/>
      <w:lvlJc w:val="left"/>
      <w:pPr>
        <w:ind w:left="3240" w:hanging="360"/>
      </w:pPr>
      <w:rPr>
        <w:rFonts w:hAnsi="Arial Unicode MS"/>
        <w:caps w:val="0"/>
        <w:smallCaps w:val="0"/>
        <w:strike w:val="0"/>
        <w:dstrike w:val="0"/>
        <w:outline w:val="0"/>
        <w:emboss w:val="0"/>
        <w:imprint w:val="0"/>
        <w:spacing w:val="0"/>
        <w:w w:val="100"/>
        <w:kern w:val="0"/>
        <w:position w:val="0"/>
        <w:highlight w:val="none"/>
        <w:vertAlign w:val="baseline"/>
      </w:rPr>
    </w:lvl>
    <w:lvl w:ilvl="5" w:tplc="96FCDF74">
      <w:start w:val="1"/>
      <w:numFmt w:val="decimal"/>
      <w:lvlText w:val="%6."/>
      <w:lvlJc w:val="left"/>
      <w:pPr>
        <w:ind w:left="3960" w:hanging="360"/>
      </w:pPr>
      <w:rPr>
        <w:rFonts w:hAnsi="Arial Unicode MS"/>
        <w:caps w:val="0"/>
        <w:smallCaps w:val="0"/>
        <w:strike w:val="0"/>
        <w:dstrike w:val="0"/>
        <w:outline w:val="0"/>
        <w:emboss w:val="0"/>
        <w:imprint w:val="0"/>
        <w:spacing w:val="0"/>
        <w:w w:val="100"/>
        <w:kern w:val="0"/>
        <w:position w:val="0"/>
        <w:highlight w:val="none"/>
        <w:vertAlign w:val="baseline"/>
      </w:rPr>
    </w:lvl>
    <w:lvl w:ilvl="6" w:tplc="FE5A7246">
      <w:start w:val="1"/>
      <w:numFmt w:val="decimal"/>
      <w:lvlText w:val="%7."/>
      <w:lvlJc w:val="left"/>
      <w:pPr>
        <w:ind w:left="4680" w:hanging="360"/>
      </w:pPr>
      <w:rPr>
        <w:rFonts w:hAnsi="Arial Unicode MS"/>
        <w:caps w:val="0"/>
        <w:smallCaps w:val="0"/>
        <w:strike w:val="0"/>
        <w:dstrike w:val="0"/>
        <w:outline w:val="0"/>
        <w:emboss w:val="0"/>
        <w:imprint w:val="0"/>
        <w:spacing w:val="0"/>
        <w:w w:val="100"/>
        <w:kern w:val="0"/>
        <w:position w:val="0"/>
        <w:highlight w:val="none"/>
        <w:vertAlign w:val="baseline"/>
      </w:rPr>
    </w:lvl>
    <w:lvl w:ilvl="7" w:tplc="6C7A20EA">
      <w:start w:val="1"/>
      <w:numFmt w:val="decimal"/>
      <w:lvlText w:val="%8."/>
      <w:lvlJc w:val="left"/>
      <w:pPr>
        <w:ind w:left="5400" w:hanging="360"/>
      </w:pPr>
      <w:rPr>
        <w:rFonts w:hAnsi="Arial Unicode MS"/>
        <w:caps w:val="0"/>
        <w:smallCaps w:val="0"/>
        <w:strike w:val="0"/>
        <w:dstrike w:val="0"/>
        <w:outline w:val="0"/>
        <w:emboss w:val="0"/>
        <w:imprint w:val="0"/>
        <w:spacing w:val="0"/>
        <w:w w:val="100"/>
        <w:kern w:val="0"/>
        <w:position w:val="0"/>
        <w:highlight w:val="none"/>
        <w:vertAlign w:val="baseline"/>
      </w:rPr>
    </w:lvl>
    <w:lvl w:ilvl="8" w:tplc="17069066">
      <w:start w:val="1"/>
      <w:numFmt w:val="decimal"/>
      <w:lvlText w:val="%9."/>
      <w:lvlJc w:val="left"/>
      <w:pPr>
        <w:ind w:left="6120" w:hanging="360"/>
      </w:pPr>
      <w:rPr>
        <w:rFonts w:hAnsi="Arial Unicode MS"/>
        <w:caps w:val="0"/>
        <w:smallCaps w:val="0"/>
        <w:strike w:val="0"/>
        <w:dstrike w:val="0"/>
        <w:outline w:val="0"/>
        <w:emboss w:val="0"/>
        <w:imprint w:val="0"/>
        <w:spacing w:val="0"/>
        <w:w w:val="100"/>
        <w:kern w:val="0"/>
        <w:position w:val="0"/>
        <w:highlight w:val="none"/>
        <w:vertAlign w:val="baseline"/>
      </w:rPr>
    </w:lvl>
  </w:abstractNum>
  <w:abstractNum w:abstractNumId="20" w15:restartNumberingAfterBreak="0">
    <w:nsid w:val="36F9336C"/>
    <w:multiLevelType w:val="hybridMultilevel"/>
    <w:tmpl w:val="822082C8"/>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1" w15:restartNumberingAfterBreak="0">
    <w:nsid w:val="373530B1"/>
    <w:multiLevelType w:val="hybridMultilevel"/>
    <w:tmpl w:val="B6C4F5E0"/>
    <w:lvl w:ilvl="0" w:tplc="22AEF9CE">
      <w:start w:val="1"/>
      <w:numFmt w:val="upperRoman"/>
      <w:lvlText w:val="%1."/>
      <w:lvlJc w:val="left"/>
      <w:pPr>
        <w:ind w:left="1488" w:hanging="720"/>
      </w:pPr>
      <w:rPr>
        <w:rFonts w:hint="default"/>
        <w:b/>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2" w15:restartNumberingAfterBreak="0">
    <w:nsid w:val="37DE7D65"/>
    <w:multiLevelType w:val="multilevel"/>
    <w:tmpl w:val="B6B8303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D3F4BFB"/>
    <w:multiLevelType w:val="hybridMultilevel"/>
    <w:tmpl w:val="4B321076"/>
    <w:lvl w:ilvl="0" w:tplc="7908B6F0">
      <w:start w:val="1"/>
      <w:numFmt w:val="bullet"/>
      <w:lvlText w:val=""/>
      <w:lvlJc w:val="left"/>
      <w:pPr>
        <w:ind w:left="1440" w:hanging="360"/>
      </w:pPr>
      <w:rPr>
        <w:rFonts w:ascii="Symbol" w:hAnsi="Symbol" w:hint="default"/>
      </w:rPr>
    </w:lvl>
    <w:lvl w:ilvl="1" w:tplc="080A0003" w:tentative="1">
      <w:start w:val="1"/>
      <w:numFmt w:val="bullet"/>
      <w:lvlText w:val="o"/>
      <w:lvlJc w:val="left"/>
      <w:pPr>
        <w:ind w:left="2160" w:hanging="360"/>
      </w:pPr>
      <w:rPr>
        <w:rFonts w:ascii="Courier New" w:hAnsi="Courier New" w:cs="Courier New" w:hint="default"/>
      </w:rPr>
    </w:lvl>
    <w:lvl w:ilvl="2" w:tplc="080A0005" w:tentative="1">
      <w:start w:val="1"/>
      <w:numFmt w:val="bullet"/>
      <w:lvlText w:val=""/>
      <w:lvlJc w:val="left"/>
      <w:pPr>
        <w:ind w:left="2880" w:hanging="360"/>
      </w:pPr>
      <w:rPr>
        <w:rFonts w:ascii="Wingdings" w:hAnsi="Wingdings" w:hint="default"/>
      </w:rPr>
    </w:lvl>
    <w:lvl w:ilvl="3" w:tplc="080A0001" w:tentative="1">
      <w:start w:val="1"/>
      <w:numFmt w:val="bullet"/>
      <w:lvlText w:val=""/>
      <w:lvlJc w:val="left"/>
      <w:pPr>
        <w:ind w:left="3600" w:hanging="360"/>
      </w:pPr>
      <w:rPr>
        <w:rFonts w:ascii="Symbol" w:hAnsi="Symbol" w:hint="default"/>
      </w:rPr>
    </w:lvl>
    <w:lvl w:ilvl="4" w:tplc="080A0003" w:tentative="1">
      <w:start w:val="1"/>
      <w:numFmt w:val="bullet"/>
      <w:lvlText w:val="o"/>
      <w:lvlJc w:val="left"/>
      <w:pPr>
        <w:ind w:left="4320" w:hanging="360"/>
      </w:pPr>
      <w:rPr>
        <w:rFonts w:ascii="Courier New" w:hAnsi="Courier New" w:cs="Courier New" w:hint="default"/>
      </w:rPr>
    </w:lvl>
    <w:lvl w:ilvl="5" w:tplc="080A0005" w:tentative="1">
      <w:start w:val="1"/>
      <w:numFmt w:val="bullet"/>
      <w:lvlText w:val=""/>
      <w:lvlJc w:val="left"/>
      <w:pPr>
        <w:ind w:left="5040" w:hanging="360"/>
      </w:pPr>
      <w:rPr>
        <w:rFonts w:ascii="Wingdings" w:hAnsi="Wingdings" w:hint="default"/>
      </w:rPr>
    </w:lvl>
    <w:lvl w:ilvl="6" w:tplc="080A0001" w:tentative="1">
      <w:start w:val="1"/>
      <w:numFmt w:val="bullet"/>
      <w:lvlText w:val=""/>
      <w:lvlJc w:val="left"/>
      <w:pPr>
        <w:ind w:left="5760" w:hanging="360"/>
      </w:pPr>
      <w:rPr>
        <w:rFonts w:ascii="Symbol" w:hAnsi="Symbol" w:hint="default"/>
      </w:rPr>
    </w:lvl>
    <w:lvl w:ilvl="7" w:tplc="080A0003" w:tentative="1">
      <w:start w:val="1"/>
      <w:numFmt w:val="bullet"/>
      <w:lvlText w:val="o"/>
      <w:lvlJc w:val="left"/>
      <w:pPr>
        <w:ind w:left="6480" w:hanging="360"/>
      </w:pPr>
      <w:rPr>
        <w:rFonts w:ascii="Courier New" w:hAnsi="Courier New" w:cs="Courier New" w:hint="default"/>
      </w:rPr>
    </w:lvl>
    <w:lvl w:ilvl="8" w:tplc="080A0005" w:tentative="1">
      <w:start w:val="1"/>
      <w:numFmt w:val="bullet"/>
      <w:lvlText w:val=""/>
      <w:lvlJc w:val="left"/>
      <w:pPr>
        <w:ind w:left="7200" w:hanging="360"/>
      </w:pPr>
      <w:rPr>
        <w:rFonts w:ascii="Wingdings" w:hAnsi="Wingdings" w:hint="default"/>
      </w:rPr>
    </w:lvl>
  </w:abstractNum>
  <w:abstractNum w:abstractNumId="24" w15:restartNumberingAfterBreak="0">
    <w:nsid w:val="4984224D"/>
    <w:multiLevelType w:val="hybridMultilevel"/>
    <w:tmpl w:val="54B4F93E"/>
    <w:lvl w:ilvl="0" w:tplc="080A0001">
      <w:start w:val="1"/>
      <w:numFmt w:val="bullet"/>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25" w15:restartNumberingAfterBreak="0">
    <w:nsid w:val="4D4F13BB"/>
    <w:multiLevelType w:val="multilevel"/>
    <w:tmpl w:val="62361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20D1010"/>
    <w:multiLevelType w:val="hybridMultilevel"/>
    <w:tmpl w:val="F52E7EF8"/>
    <w:lvl w:ilvl="0" w:tplc="7110E04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7" w15:restartNumberingAfterBreak="0">
    <w:nsid w:val="55DB0982"/>
    <w:multiLevelType w:val="hybridMultilevel"/>
    <w:tmpl w:val="0B8EBF3A"/>
    <w:lvl w:ilvl="0" w:tplc="CDAE33A6">
      <w:start w:val="1"/>
      <w:numFmt w:val="decimal"/>
      <w:lvlText w:val="%1."/>
      <w:lvlJc w:val="left"/>
      <w:pPr>
        <w:ind w:left="720" w:hanging="360"/>
      </w:pPr>
      <w:rPr>
        <w:rFonts w:ascii="Palatino Linotype" w:hAnsi="Palatino Linotype"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8" w15:restartNumberingAfterBreak="0">
    <w:nsid w:val="56A24256"/>
    <w:multiLevelType w:val="multilevel"/>
    <w:tmpl w:val="43708D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57AB059A"/>
    <w:multiLevelType w:val="multilevel"/>
    <w:tmpl w:val="340C22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2784E87"/>
    <w:multiLevelType w:val="multilevel"/>
    <w:tmpl w:val="A8647322"/>
    <w:lvl w:ilvl="0">
      <w:start w:val="1"/>
      <w:numFmt w:val="decimal"/>
      <w:lvlText w:val="%1."/>
      <w:lvlJc w:val="left"/>
      <w:pPr>
        <w:ind w:left="72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520" w:hanging="720"/>
      </w:pPr>
      <w:rPr>
        <w:rFonts w:hint="default"/>
      </w:rPr>
    </w:lvl>
    <w:lvl w:ilvl="3">
      <w:start w:val="1"/>
      <w:numFmt w:val="decimal"/>
      <w:isLgl/>
      <w:lvlText w:val="%1.%2.%3.%4"/>
      <w:lvlJc w:val="left"/>
      <w:pPr>
        <w:ind w:left="3240" w:hanging="720"/>
      </w:pPr>
      <w:rPr>
        <w:rFonts w:hint="default"/>
      </w:rPr>
    </w:lvl>
    <w:lvl w:ilvl="4">
      <w:start w:val="1"/>
      <w:numFmt w:val="decimal"/>
      <w:isLgl/>
      <w:lvlText w:val="%1.%2.%3.%4.%5"/>
      <w:lvlJc w:val="left"/>
      <w:pPr>
        <w:ind w:left="4320" w:hanging="1080"/>
      </w:pPr>
      <w:rPr>
        <w:rFonts w:hint="default"/>
      </w:rPr>
    </w:lvl>
    <w:lvl w:ilvl="5">
      <w:start w:val="1"/>
      <w:numFmt w:val="decimal"/>
      <w:isLgl/>
      <w:lvlText w:val="%1.%2.%3.%4.%5.%6"/>
      <w:lvlJc w:val="left"/>
      <w:pPr>
        <w:ind w:left="5040" w:hanging="1080"/>
      </w:pPr>
      <w:rPr>
        <w:rFonts w:hint="default"/>
      </w:rPr>
    </w:lvl>
    <w:lvl w:ilvl="6">
      <w:start w:val="1"/>
      <w:numFmt w:val="decimal"/>
      <w:isLgl/>
      <w:lvlText w:val="%1.%2.%3.%4.%5.%6.%7"/>
      <w:lvlJc w:val="left"/>
      <w:pPr>
        <w:ind w:left="6120" w:hanging="1440"/>
      </w:pPr>
      <w:rPr>
        <w:rFonts w:hint="default"/>
      </w:rPr>
    </w:lvl>
    <w:lvl w:ilvl="7">
      <w:start w:val="1"/>
      <w:numFmt w:val="decimal"/>
      <w:isLgl/>
      <w:lvlText w:val="%1.%2.%3.%4.%5.%6.%7.%8"/>
      <w:lvlJc w:val="left"/>
      <w:pPr>
        <w:ind w:left="6840" w:hanging="1440"/>
      </w:pPr>
      <w:rPr>
        <w:rFonts w:hint="default"/>
      </w:rPr>
    </w:lvl>
    <w:lvl w:ilvl="8">
      <w:start w:val="1"/>
      <w:numFmt w:val="decimal"/>
      <w:isLgl/>
      <w:lvlText w:val="%1.%2.%3.%4.%5.%6.%7.%8.%9"/>
      <w:lvlJc w:val="left"/>
      <w:pPr>
        <w:ind w:left="7920" w:hanging="1800"/>
      </w:pPr>
      <w:rPr>
        <w:rFonts w:hint="default"/>
      </w:rPr>
    </w:lvl>
  </w:abstractNum>
  <w:abstractNum w:abstractNumId="31" w15:restartNumberingAfterBreak="0">
    <w:nsid w:val="63C4313E"/>
    <w:multiLevelType w:val="hybridMultilevel"/>
    <w:tmpl w:val="65EEF76E"/>
    <w:lvl w:ilvl="0" w:tplc="1D1C3742">
      <w:start w:val="1"/>
      <w:numFmt w:val="upperRoman"/>
      <w:lvlText w:val="%1."/>
      <w:lvlJc w:val="left"/>
      <w:pPr>
        <w:ind w:left="2007" w:hanging="720"/>
      </w:pPr>
      <w:rPr>
        <w:rFonts w:hint="default"/>
      </w:rPr>
    </w:lvl>
    <w:lvl w:ilvl="1" w:tplc="080A0019" w:tentative="1">
      <w:start w:val="1"/>
      <w:numFmt w:val="lowerLetter"/>
      <w:lvlText w:val="%2."/>
      <w:lvlJc w:val="left"/>
      <w:pPr>
        <w:ind w:left="2367" w:hanging="360"/>
      </w:pPr>
    </w:lvl>
    <w:lvl w:ilvl="2" w:tplc="080A001B" w:tentative="1">
      <w:start w:val="1"/>
      <w:numFmt w:val="lowerRoman"/>
      <w:lvlText w:val="%3."/>
      <w:lvlJc w:val="right"/>
      <w:pPr>
        <w:ind w:left="3087" w:hanging="180"/>
      </w:pPr>
    </w:lvl>
    <w:lvl w:ilvl="3" w:tplc="080A000F" w:tentative="1">
      <w:start w:val="1"/>
      <w:numFmt w:val="decimal"/>
      <w:lvlText w:val="%4."/>
      <w:lvlJc w:val="left"/>
      <w:pPr>
        <w:ind w:left="3807" w:hanging="360"/>
      </w:pPr>
    </w:lvl>
    <w:lvl w:ilvl="4" w:tplc="080A0019" w:tentative="1">
      <w:start w:val="1"/>
      <w:numFmt w:val="lowerLetter"/>
      <w:lvlText w:val="%5."/>
      <w:lvlJc w:val="left"/>
      <w:pPr>
        <w:ind w:left="4527" w:hanging="360"/>
      </w:pPr>
    </w:lvl>
    <w:lvl w:ilvl="5" w:tplc="080A001B" w:tentative="1">
      <w:start w:val="1"/>
      <w:numFmt w:val="lowerRoman"/>
      <w:lvlText w:val="%6."/>
      <w:lvlJc w:val="right"/>
      <w:pPr>
        <w:ind w:left="5247" w:hanging="180"/>
      </w:pPr>
    </w:lvl>
    <w:lvl w:ilvl="6" w:tplc="080A000F" w:tentative="1">
      <w:start w:val="1"/>
      <w:numFmt w:val="decimal"/>
      <w:lvlText w:val="%7."/>
      <w:lvlJc w:val="left"/>
      <w:pPr>
        <w:ind w:left="5967" w:hanging="360"/>
      </w:pPr>
    </w:lvl>
    <w:lvl w:ilvl="7" w:tplc="080A0019" w:tentative="1">
      <w:start w:val="1"/>
      <w:numFmt w:val="lowerLetter"/>
      <w:lvlText w:val="%8."/>
      <w:lvlJc w:val="left"/>
      <w:pPr>
        <w:ind w:left="6687" w:hanging="360"/>
      </w:pPr>
    </w:lvl>
    <w:lvl w:ilvl="8" w:tplc="080A001B" w:tentative="1">
      <w:start w:val="1"/>
      <w:numFmt w:val="lowerRoman"/>
      <w:lvlText w:val="%9."/>
      <w:lvlJc w:val="right"/>
      <w:pPr>
        <w:ind w:left="7407" w:hanging="180"/>
      </w:pPr>
    </w:lvl>
  </w:abstractNum>
  <w:abstractNum w:abstractNumId="32" w15:restartNumberingAfterBreak="0">
    <w:nsid w:val="63E51343"/>
    <w:multiLevelType w:val="hybridMultilevel"/>
    <w:tmpl w:val="F0464C62"/>
    <w:lvl w:ilvl="0" w:tplc="C4DE3676">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3" w15:restartNumberingAfterBreak="0">
    <w:nsid w:val="63F32D45"/>
    <w:multiLevelType w:val="multilevel"/>
    <w:tmpl w:val="C972C0F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682A5292"/>
    <w:multiLevelType w:val="hybridMultilevel"/>
    <w:tmpl w:val="B4DE58D0"/>
    <w:lvl w:ilvl="0" w:tplc="BE0207C4">
      <w:start w:val="1"/>
      <w:numFmt w:val="decimal"/>
      <w:lvlText w:val="%1."/>
      <w:lvlJc w:val="left"/>
      <w:pPr>
        <w:ind w:left="720" w:hanging="360"/>
      </w:pPr>
      <w:rPr>
        <w:rFonts w:cs="Times New Roman"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5" w15:restartNumberingAfterBreak="0">
    <w:nsid w:val="683A4F9E"/>
    <w:multiLevelType w:val="hybridMultilevel"/>
    <w:tmpl w:val="4FD27C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6A936641"/>
    <w:multiLevelType w:val="hybridMultilevel"/>
    <w:tmpl w:val="ACD28BC2"/>
    <w:lvl w:ilvl="0" w:tplc="080A0011">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7" w15:restartNumberingAfterBreak="0">
    <w:nsid w:val="6AA0407A"/>
    <w:multiLevelType w:val="hybridMultilevel"/>
    <w:tmpl w:val="41D8750E"/>
    <w:lvl w:ilvl="0" w:tplc="14F8B114">
      <w:start w:val="1"/>
      <w:numFmt w:val="lowerLetter"/>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8" w15:restartNumberingAfterBreak="0">
    <w:nsid w:val="6FAA0A89"/>
    <w:multiLevelType w:val="multilevel"/>
    <w:tmpl w:val="D7FA0B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704E324A"/>
    <w:multiLevelType w:val="multilevel"/>
    <w:tmpl w:val="D700B4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72573F72"/>
    <w:multiLevelType w:val="hybridMultilevel"/>
    <w:tmpl w:val="51C0ABC0"/>
    <w:lvl w:ilvl="0" w:tplc="B220FCD6">
      <w:numFmt w:val="bullet"/>
      <w:lvlText w:val="-"/>
      <w:lvlJc w:val="left"/>
      <w:pPr>
        <w:ind w:left="720" w:hanging="360"/>
      </w:pPr>
      <w:rPr>
        <w:rFonts w:ascii="Palatino Linotype" w:eastAsiaTheme="minorHAnsi" w:hAnsi="Palatino Linotype" w:cstheme="minorBidi"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41" w15:restartNumberingAfterBreak="0">
    <w:nsid w:val="73DF0ED5"/>
    <w:multiLevelType w:val="multilevel"/>
    <w:tmpl w:val="58D2015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73FA1C3A"/>
    <w:multiLevelType w:val="hybridMultilevel"/>
    <w:tmpl w:val="38EC2F80"/>
    <w:lvl w:ilvl="0" w:tplc="CF56CA3E">
      <w:start w:val="1"/>
      <w:numFmt w:val="upperRoman"/>
      <w:lvlText w:val="%1."/>
      <w:lvlJc w:val="left"/>
      <w:pPr>
        <w:ind w:left="1287" w:hanging="720"/>
      </w:pPr>
      <w:rPr>
        <w:rFonts w:hint="default"/>
      </w:rPr>
    </w:lvl>
    <w:lvl w:ilvl="1" w:tplc="080A0019" w:tentative="1">
      <w:start w:val="1"/>
      <w:numFmt w:val="lowerLetter"/>
      <w:lvlText w:val="%2."/>
      <w:lvlJc w:val="left"/>
      <w:pPr>
        <w:ind w:left="1647" w:hanging="360"/>
      </w:pPr>
    </w:lvl>
    <w:lvl w:ilvl="2" w:tplc="080A001B" w:tentative="1">
      <w:start w:val="1"/>
      <w:numFmt w:val="lowerRoman"/>
      <w:lvlText w:val="%3."/>
      <w:lvlJc w:val="right"/>
      <w:pPr>
        <w:ind w:left="2367" w:hanging="180"/>
      </w:pPr>
    </w:lvl>
    <w:lvl w:ilvl="3" w:tplc="080A000F" w:tentative="1">
      <w:start w:val="1"/>
      <w:numFmt w:val="decimal"/>
      <w:lvlText w:val="%4."/>
      <w:lvlJc w:val="left"/>
      <w:pPr>
        <w:ind w:left="3087" w:hanging="360"/>
      </w:pPr>
    </w:lvl>
    <w:lvl w:ilvl="4" w:tplc="080A0019" w:tentative="1">
      <w:start w:val="1"/>
      <w:numFmt w:val="lowerLetter"/>
      <w:lvlText w:val="%5."/>
      <w:lvlJc w:val="left"/>
      <w:pPr>
        <w:ind w:left="3807" w:hanging="360"/>
      </w:pPr>
    </w:lvl>
    <w:lvl w:ilvl="5" w:tplc="080A001B" w:tentative="1">
      <w:start w:val="1"/>
      <w:numFmt w:val="lowerRoman"/>
      <w:lvlText w:val="%6."/>
      <w:lvlJc w:val="right"/>
      <w:pPr>
        <w:ind w:left="4527" w:hanging="180"/>
      </w:pPr>
    </w:lvl>
    <w:lvl w:ilvl="6" w:tplc="080A000F" w:tentative="1">
      <w:start w:val="1"/>
      <w:numFmt w:val="decimal"/>
      <w:lvlText w:val="%7."/>
      <w:lvlJc w:val="left"/>
      <w:pPr>
        <w:ind w:left="5247" w:hanging="360"/>
      </w:pPr>
    </w:lvl>
    <w:lvl w:ilvl="7" w:tplc="080A0019" w:tentative="1">
      <w:start w:val="1"/>
      <w:numFmt w:val="lowerLetter"/>
      <w:lvlText w:val="%8."/>
      <w:lvlJc w:val="left"/>
      <w:pPr>
        <w:ind w:left="5967" w:hanging="360"/>
      </w:pPr>
    </w:lvl>
    <w:lvl w:ilvl="8" w:tplc="080A001B" w:tentative="1">
      <w:start w:val="1"/>
      <w:numFmt w:val="lowerRoman"/>
      <w:lvlText w:val="%9."/>
      <w:lvlJc w:val="right"/>
      <w:pPr>
        <w:ind w:left="6687" w:hanging="180"/>
      </w:pPr>
    </w:lvl>
  </w:abstractNum>
  <w:abstractNum w:abstractNumId="43" w15:restartNumberingAfterBreak="0">
    <w:nsid w:val="75713BA4"/>
    <w:multiLevelType w:val="hybridMultilevel"/>
    <w:tmpl w:val="DC7C1BCA"/>
    <w:lvl w:ilvl="0" w:tplc="9D02C436">
      <w:start w:val="1"/>
      <w:numFmt w:val="decimal"/>
      <w:lvlText w:val="%1."/>
      <w:lvlJc w:val="left"/>
      <w:pPr>
        <w:ind w:left="720" w:hanging="360"/>
      </w:pPr>
      <w:rPr>
        <w:rFonts w:hint="default"/>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4" w15:restartNumberingAfterBreak="0">
    <w:nsid w:val="797A193D"/>
    <w:multiLevelType w:val="hybridMultilevel"/>
    <w:tmpl w:val="4CE2E6F0"/>
    <w:lvl w:ilvl="0" w:tplc="25AECF20">
      <w:start w:val="1"/>
      <w:numFmt w:val="lowerLetter"/>
      <w:lvlText w:val="%1)"/>
      <w:lvlJc w:val="left"/>
      <w:pPr>
        <w:ind w:left="720" w:hanging="360"/>
      </w:pPr>
      <w:rPr>
        <w:rFonts w:hint="default"/>
        <w:b/>
        <w:i w:val="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5" w15:restartNumberingAfterBreak="0">
    <w:nsid w:val="7D3E0EBE"/>
    <w:multiLevelType w:val="hybridMultilevel"/>
    <w:tmpl w:val="2DD2515E"/>
    <w:lvl w:ilvl="0" w:tplc="1D4A126A">
      <w:start w:val="1"/>
      <w:numFmt w:val="lowerLetter"/>
      <w:lvlText w:val="%1)"/>
      <w:lvlJc w:val="left"/>
      <w:pPr>
        <w:ind w:left="720" w:hanging="360"/>
      </w:pPr>
      <w:rPr>
        <w:rFonts w:ascii="Palatino Linotype" w:eastAsiaTheme="minorHAnsi" w:hAnsi="Palatino Linotype" w:cs="Arial"/>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6" w15:restartNumberingAfterBreak="0">
    <w:nsid w:val="7FDF649A"/>
    <w:multiLevelType w:val="multilevel"/>
    <w:tmpl w:val="7EAC11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4"/>
  </w:num>
  <w:num w:numId="2">
    <w:abstractNumId w:val="19"/>
  </w:num>
  <w:num w:numId="3">
    <w:abstractNumId w:val="10"/>
  </w:num>
  <w:num w:numId="4">
    <w:abstractNumId w:val="36"/>
  </w:num>
  <w:num w:numId="5">
    <w:abstractNumId w:val="17"/>
  </w:num>
  <w:num w:numId="6">
    <w:abstractNumId w:val="12"/>
  </w:num>
  <w:num w:numId="7">
    <w:abstractNumId w:val="40"/>
  </w:num>
  <w:num w:numId="8">
    <w:abstractNumId w:val="4"/>
  </w:num>
  <w:num w:numId="9">
    <w:abstractNumId w:val="1"/>
  </w:num>
  <w:num w:numId="10">
    <w:abstractNumId w:val="34"/>
  </w:num>
  <w:num w:numId="11">
    <w:abstractNumId w:val="45"/>
  </w:num>
  <w:num w:numId="12">
    <w:abstractNumId w:val="21"/>
  </w:num>
  <w:num w:numId="13">
    <w:abstractNumId w:val="18"/>
  </w:num>
  <w:num w:numId="14">
    <w:abstractNumId w:val="27"/>
  </w:num>
  <w:num w:numId="15">
    <w:abstractNumId w:val="24"/>
  </w:num>
  <w:num w:numId="16">
    <w:abstractNumId w:val="42"/>
  </w:num>
  <w:num w:numId="17">
    <w:abstractNumId w:val="26"/>
  </w:num>
  <w:num w:numId="18">
    <w:abstractNumId w:val="31"/>
  </w:num>
  <w:num w:numId="19">
    <w:abstractNumId w:val="0"/>
  </w:num>
  <w:num w:numId="20">
    <w:abstractNumId w:val="32"/>
  </w:num>
  <w:num w:numId="21">
    <w:abstractNumId w:val="37"/>
  </w:num>
  <w:num w:numId="22">
    <w:abstractNumId w:val="8"/>
  </w:num>
  <w:num w:numId="23">
    <w:abstractNumId w:val="13"/>
  </w:num>
  <w:num w:numId="24">
    <w:abstractNumId w:val="43"/>
  </w:num>
  <w:num w:numId="25">
    <w:abstractNumId w:val="35"/>
  </w:num>
  <w:num w:numId="26">
    <w:abstractNumId w:val="7"/>
  </w:num>
  <w:num w:numId="27">
    <w:abstractNumId w:val="20"/>
  </w:num>
  <w:num w:numId="28">
    <w:abstractNumId w:val="2"/>
  </w:num>
  <w:num w:numId="29">
    <w:abstractNumId w:val="28"/>
  </w:num>
  <w:num w:numId="30">
    <w:abstractNumId w:val="38"/>
  </w:num>
  <w:num w:numId="31">
    <w:abstractNumId w:val="46"/>
  </w:num>
  <w:num w:numId="32">
    <w:abstractNumId w:val="22"/>
  </w:num>
  <w:num w:numId="33">
    <w:abstractNumId w:val="6"/>
  </w:num>
  <w:num w:numId="34">
    <w:abstractNumId w:val="29"/>
  </w:num>
  <w:num w:numId="35">
    <w:abstractNumId w:val="25"/>
  </w:num>
  <w:num w:numId="36">
    <w:abstractNumId w:val="33"/>
  </w:num>
  <w:num w:numId="37">
    <w:abstractNumId w:val="41"/>
  </w:num>
  <w:num w:numId="38">
    <w:abstractNumId w:val="39"/>
  </w:num>
  <w:num w:numId="39">
    <w:abstractNumId w:val="9"/>
  </w:num>
  <w:num w:numId="40">
    <w:abstractNumId w:val="30"/>
  </w:num>
  <w:num w:numId="41">
    <w:abstractNumId w:val="14"/>
  </w:num>
  <w:num w:numId="42">
    <w:abstractNumId w:val="5"/>
  </w:num>
  <w:num w:numId="43">
    <w:abstractNumId w:val="23"/>
  </w:num>
  <w:num w:numId="44">
    <w:abstractNumId w:val="15"/>
  </w:num>
  <w:num w:numId="45">
    <w:abstractNumId w:val="11"/>
  </w:num>
  <w:num w:numId="46">
    <w:abstractNumId w:val="3"/>
  </w:num>
  <w:num w:numId="47">
    <w:abstractNumId w:val="16"/>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4"/>
  <w:activeWritingStyle w:appName="MSWord" w:lang="pt-BR" w:vendorID="64" w:dllVersion="6" w:nlCheck="1" w:checkStyle="0"/>
  <w:activeWritingStyle w:appName="MSWord" w:lang="es-MX" w:vendorID="64" w:dllVersion="6" w:nlCheck="1" w:checkStyle="1"/>
  <w:activeWritingStyle w:appName="MSWord" w:lang="es-ES" w:vendorID="64" w:dllVersion="6" w:nlCheck="1" w:checkStyle="1"/>
  <w:activeWritingStyle w:appName="MSWord" w:lang="es-ES_tradnl" w:vendorID="64" w:dllVersion="6" w:nlCheck="1" w:checkStyle="0"/>
  <w:activeWritingStyle w:appName="MSWord" w:lang="es-MX" w:vendorID="64" w:dllVersion="4096" w:nlCheck="1" w:checkStyle="0"/>
  <w:activeWritingStyle w:appName="MSWord" w:lang="es-ES_tradnl" w:vendorID="64" w:dllVersion="4096" w:nlCheck="1" w:checkStyle="0"/>
  <w:activeWritingStyle w:appName="MSWord" w:lang="es-ES" w:vendorID="64" w:dllVersion="4096" w:nlCheck="1" w:checkStyle="0"/>
  <w:activeWritingStyle w:appName="MSWord" w:lang="es-ES_tradnl" w:vendorID="64" w:dllVersion="0" w:nlCheck="1" w:checkStyle="0"/>
  <w:activeWritingStyle w:appName="MSWord" w:lang="es-ES" w:vendorID="64" w:dllVersion="0" w:nlCheck="1" w:checkStyle="0"/>
  <w:activeWritingStyle w:appName="MSWord" w:lang="es-AR" w:vendorID="64" w:dllVersion="4096" w:nlCheck="1" w:checkStyle="0"/>
  <w:activeWritingStyle w:appName="MSWord" w:lang="es-AR" w:vendorID="64" w:dllVersion="6" w:nlCheck="1" w:checkStyle="1"/>
  <w:activeWritingStyle w:appName="MSWord" w:lang="es-MX" w:vendorID="64" w:dllVersion="0" w:nlCheck="1" w:checkStyle="0"/>
  <w:activeWritingStyle w:appName="MSWord" w:lang="es-ES_tradnl" w:vendorID="64" w:dllVersion="131078" w:nlCheck="1" w:checkStyle="1"/>
  <w:activeWritingStyle w:appName="MSWord" w:lang="es-MX" w:vendorID="64" w:dllVersion="131078" w:nlCheck="1" w:checkStyle="1"/>
  <w:activeWritingStyle w:appName="MSWord" w:lang="es-ES" w:vendorID="64" w:dllVersion="131078" w:nlCheck="1" w:checkStyle="1"/>
  <w:defaultTabStop w:val="708"/>
  <w:hyphenationZone w:val="425"/>
  <w:characterSpacingControl w:val="doNotCompress"/>
  <w:hdrShapeDefaults>
    <o:shapedefaults v:ext="edit" spidmax="2124"/>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B5E25"/>
    <w:rsid w:val="0000011C"/>
    <w:rsid w:val="00001467"/>
    <w:rsid w:val="0000313B"/>
    <w:rsid w:val="0000611A"/>
    <w:rsid w:val="000120BC"/>
    <w:rsid w:val="00021B22"/>
    <w:rsid w:val="000264B1"/>
    <w:rsid w:val="00031EFF"/>
    <w:rsid w:val="00032D08"/>
    <w:rsid w:val="0003609F"/>
    <w:rsid w:val="00036F8B"/>
    <w:rsid w:val="00037D70"/>
    <w:rsid w:val="00044B5B"/>
    <w:rsid w:val="000477B5"/>
    <w:rsid w:val="00054E04"/>
    <w:rsid w:val="000572E9"/>
    <w:rsid w:val="00062FB8"/>
    <w:rsid w:val="00070547"/>
    <w:rsid w:val="00071173"/>
    <w:rsid w:val="00071F85"/>
    <w:rsid w:val="000775FC"/>
    <w:rsid w:val="00084C86"/>
    <w:rsid w:val="00087797"/>
    <w:rsid w:val="0009140A"/>
    <w:rsid w:val="00093AE1"/>
    <w:rsid w:val="000A34BB"/>
    <w:rsid w:val="000A717C"/>
    <w:rsid w:val="000B41CD"/>
    <w:rsid w:val="000B5876"/>
    <w:rsid w:val="000B5E25"/>
    <w:rsid w:val="000B7C6C"/>
    <w:rsid w:val="000C43CE"/>
    <w:rsid w:val="000C49B8"/>
    <w:rsid w:val="000C512C"/>
    <w:rsid w:val="000C5FDF"/>
    <w:rsid w:val="000C615C"/>
    <w:rsid w:val="000D3AD4"/>
    <w:rsid w:val="000D3E8F"/>
    <w:rsid w:val="000D7369"/>
    <w:rsid w:val="000E592F"/>
    <w:rsid w:val="000F16BA"/>
    <w:rsid w:val="000F1C0C"/>
    <w:rsid w:val="000F383F"/>
    <w:rsid w:val="00100C2B"/>
    <w:rsid w:val="00100FD5"/>
    <w:rsid w:val="00101AD8"/>
    <w:rsid w:val="0010712B"/>
    <w:rsid w:val="00115B15"/>
    <w:rsid w:val="00115D8E"/>
    <w:rsid w:val="00123996"/>
    <w:rsid w:val="00124934"/>
    <w:rsid w:val="0012510D"/>
    <w:rsid w:val="00127A2B"/>
    <w:rsid w:val="00132924"/>
    <w:rsid w:val="0014397A"/>
    <w:rsid w:val="00143F6E"/>
    <w:rsid w:val="00151D4C"/>
    <w:rsid w:val="001558F3"/>
    <w:rsid w:val="00162DBE"/>
    <w:rsid w:val="00162E1B"/>
    <w:rsid w:val="00163975"/>
    <w:rsid w:val="00170AA7"/>
    <w:rsid w:val="00180B43"/>
    <w:rsid w:val="00182EDF"/>
    <w:rsid w:val="00184176"/>
    <w:rsid w:val="00184392"/>
    <w:rsid w:val="00186CCB"/>
    <w:rsid w:val="00191418"/>
    <w:rsid w:val="0019170F"/>
    <w:rsid w:val="00193F65"/>
    <w:rsid w:val="00197F82"/>
    <w:rsid w:val="001A46ED"/>
    <w:rsid w:val="001A6109"/>
    <w:rsid w:val="001C054C"/>
    <w:rsid w:val="001C14AC"/>
    <w:rsid w:val="001C1F0A"/>
    <w:rsid w:val="001C603B"/>
    <w:rsid w:val="001D0B58"/>
    <w:rsid w:val="001D2DE0"/>
    <w:rsid w:val="001D3523"/>
    <w:rsid w:val="001D4046"/>
    <w:rsid w:val="001D5495"/>
    <w:rsid w:val="001E2DA3"/>
    <w:rsid w:val="001E2F3D"/>
    <w:rsid w:val="001E45B5"/>
    <w:rsid w:val="001F1FCC"/>
    <w:rsid w:val="001F2305"/>
    <w:rsid w:val="001F6ACD"/>
    <w:rsid w:val="00201B11"/>
    <w:rsid w:val="0020249A"/>
    <w:rsid w:val="00202C04"/>
    <w:rsid w:val="00212EA6"/>
    <w:rsid w:val="002167BB"/>
    <w:rsid w:val="00217E6C"/>
    <w:rsid w:val="00225163"/>
    <w:rsid w:val="00235936"/>
    <w:rsid w:val="00236CBA"/>
    <w:rsid w:val="00240887"/>
    <w:rsid w:val="00242D41"/>
    <w:rsid w:val="0024323F"/>
    <w:rsid w:val="00247138"/>
    <w:rsid w:val="00250BA7"/>
    <w:rsid w:val="00255F1A"/>
    <w:rsid w:val="00261BC7"/>
    <w:rsid w:val="00267458"/>
    <w:rsid w:val="00267BB5"/>
    <w:rsid w:val="00270415"/>
    <w:rsid w:val="00273DCE"/>
    <w:rsid w:val="0029071C"/>
    <w:rsid w:val="00290E09"/>
    <w:rsid w:val="002934B4"/>
    <w:rsid w:val="00293E78"/>
    <w:rsid w:val="00295B3F"/>
    <w:rsid w:val="00297BFB"/>
    <w:rsid w:val="002A040B"/>
    <w:rsid w:val="002A4B43"/>
    <w:rsid w:val="002A602A"/>
    <w:rsid w:val="002A676F"/>
    <w:rsid w:val="002B25BC"/>
    <w:rsid w:val="002B48AD"/>
    <w:rsid w:val="002B5F1F"/>
    <w:rsid w:val="002C0BE5"/>
    <w:rsid w:val="002C240F"/>
    <w:rsid w:val="002C3810"/>
    <w:rsid w:val="002D17B8"/>
    <w:rsid w:val="002D32D2"/>
    <w:rsid w:val="002D3F7F"/>
    <w:rsid w:val="002D61F7"/>
    <w:rsid w:val="002D6656"/>
    <w:rsid w:val="002D6E4B"/>
    <w:rsid w:val="002E3085"/>
    <w:rsid w:val="002F3B20"/>
    <w:rsid w:val="002F6B68"/>
    <w:rsid w:val="003038F1"/>
    <w:rsid w:val="00307006"/>
    <w:rsid w:val="0030701F"/>
    <w:rsid w:val="00314E62"/>
    <w:rsid w:val="00320F38"/>
    <w:rsid w:val="00326B44"/>
    <w:rsid w:val="00330FC3"/>
    <w:rsid w:val="00331E82"/>
    <w:rsid w:val="00334B68"/>
    <w:rsid w:val="00340A06"/>
    <w:rsid w:val="00343F0B"/>
    <w:rsid w:val="003520C5"/>
    <w:rsid w:val="00352879"/>
    <w:rsid w:val="0035559A"/>
    <w:rsid w:val="00365609"/>
    <w:rsid w:val="00367584"/>
    <w:rsid w:val="00371835"/>
    <w:rsid w:val="003746DE"/>
    <w:rsid w:val="003804E8"/>
    <w:rsid w:val="00380D3E"/>
    <w:rsid w:val="003825A1"/>
    <w:rsid w:val="00386D38"/>
    <w:rsid w:val="00393727"/>
    <w:rsid w:val="00393748"/>
    <w:rsid w:val="00396DB6"/>
    <w:rsid w:val="003A00D5"/>
    <w:rsid w:val="003A56DF"/>
    <w:rsid w:val="003A6124"/>
    <w:rsid w:val="003B1C85"/>
    <w:rsid w:val="003B4CA6"/>
    <w:rsid w:val="003B70B0"/>
    <w:rsid w:val="003C087E"/>
    <w:rsid w:val="003C62B5"/>
    <w:rsid w:val="003C6E1C"/>
    <w:rsid w:val="003C7A33"/>
    <w:rsid w:val="003D1214"/>
    <w:rsid w:val="003D2159"/>
    <w:rsid w:val="003D6536"/>
    <w:rsid w:val="003D7B37"/>
    <w:rsid w:val="003D7CFB"/>
    <w:rsid w:val="003E09DF"/>
    <w:rsid w:val="003E1CB6"/>
    <w:rsid w:val="003E21A7"/>
    <w:rsid w:val="003E56C9"/>
    <w:rsid w:val="003F2C25"/>
    <w:rsid w:val="003F40F6"/>
    <w:rsid w:val="004018F9"/>
    <w:rsid w:val="00406A7D"/>
    <w:rsid w:val="00407CC4"/>
    <w:rsid w:val="00416115"/>
    <w:rsid w:val="00416294"/>
    <w:rsid w:val="00421E74"/>
    <w:rsid w:val="00423D05"/>
    <w:rsid w:val="00425623"/>
    <w:rsid w:val="00425989"/>
    <w:rsid w:val="00425E0F"/>
    <w:rsid w:val="004309A2"/>
    <w:rsid w:val="004344EA"/>
    <w:rsid w:val="0043515A"/>
    <w:rsid w:val="004366E3"/>
    <w:rsid w:val="004403F7"/>
    <w:rsid w:val="00442FD8"/>
    <w:rsid w:val="00443892"/>
    <w:rsid w:val="00443920"/>
    <w:rsid w:val="004445A1"/>
    <w:rsid w:val="00444E54"/>
    <w:rsid w:val="00445CAA"/>
    <w:rsid w:val="00455031"/>
    <w:rsid w:val="004612A5"/>
    <w:rsid w:val="004622AB"/>
    <w:rsid w:val="00464375"/>
    <w:rsid w:val="004672ED"/>
    <w:rsid w:val="00471919"/>
    <w:rsid w:val="00477994"/>
    <w:rsid w:val="0049172F"/>
    <w:rsid w:val="004A0B63"/>
    <w:rsid w:val="004A472C"/>
    <w:rsid w:val="004B2314"/>
    <w:rsid w:val="004B430B"/>
    <w:rsid w:val="004D18B6"/>
    <w:rsid w:val="004D2536"/>
    <w:rsid w:val="004D31B0"/>
    <w:rsid w:val="004D5D2F"/>
    <w:rsid w:val="004D6F71"/>
    <w:rsid w:val="004D76D6"/>
    <w:rsid w:val="004E48A3"/>
    <w:rsid w:val="004E5628"/>
    <w:rsid w:val="004E68B7"/>
    <w:rsid w:val="004E69F6"/>
    <w:rsid w:val="004F0A83"/>
    <w:rsid w:val="004F5370"/>
    <w:rsid w:val="00500A83"/>
    <w:rsid w:val="00500B82"/>
    <w:rsid w:val="0050130E"/>
    <w:rsid w:val="0050243E"/>
    <w:rsid w:val="00507622"/>
    <w:rsid w:val="0050792A"/>
    <w:rsid w:val="005203E9"/>
    <w:rsid w:val="00521A38"/>
    <w:rsid w:val="00523719"/>
    <w:rsid w:val="005243E9"/>
    <w:rsid w:val="00524A8D"/>
    <w:rsid w:val="00530412"/>
    <w:rsid w:val="005308F6"/>
    <w:rsid w:val="00534D12"/>
    <w:rsid w:val="0054049F"/>
    <w:rsid w:val="0054391A"/>
    <w:rsid w:val="00547069"/>
    <w:rsid w:val="00555C87"/>
    <w:rsid w:val="005573EA"/>
    <w:rsid w:val="00563B39"/>
    <w:rsid w:val="00565EAD"/>
    <w:rsid w:val="0056664C"/>
    <w:rsid w:val="0057289F"/>
    <w:rsid w:val="00572EEA"/>
    <w:rsid w:val="005741CC"/>
    <w:rsid w:val="00574FDC"/>
    <w:rsid w:val="00577A09"/>
    <w:rsid w:val="00581DC8"/>
    <w:rsid w:val="0059032F"/>
    <w:rsid w:val="0059614C"/>
    <w:rsid w:val="00597D71"/>
    <w:rsid w:val="005A0D12"/>
    <w:rsid w:val="005A19C5"/>
    <w:rsid w:val="005A6216"/>
    <w:rsid w:val="005B0692"/>
    <w:rsid w:val="005B234D"/>
    <w:rsid w:val="005B26AD"/>
    <w:rsid w:val="005B36A8"/>
    <w:rsid w:val="005B5693"/>
    <w:rsid w:val="005C2389"/>
    <w:rsid w:val="005C475A"/>
    <w:rsid w:val="005C6646"/>
    <w:rsid w:val="005D77CC"/>
    <w:rsid w:val="005E09AB"/>
    <w:rsid w:val="005E3EB6"/>
    <w:rsid w:val="005E5716"/>
    <w:rsid w:val="005F1F89"/>
    <w:rsid w:val="005F4BFB"/>
    <w:rsid w:val="005F747D"/>
    <w:rsid w:val="006000C5"/>
    <w:rsid w:val="006002E0"/>
    <w:rsid w:val="00605BD4"/>
    <w:rsid w:val="0061514D"/>
    <w:rsid w:val="00620280"/>
    <w:rsid w:val="0062349E"/>
    <w:rsid w:val="006258FD"/>
    <w:rsid w:val="00632E48"/>
    <w:rsid w:val="00636DF9"/>
    <w:rsid w:val="00640312"/>
    <w:rsid w:val="00640425"/>
    <w:rsid w:val="006420DD"/>
    <w:rsid w:val="00643B58"/>
    <w:rsid w:val="00644D13"/>
    <w:rsid w:val="00676631"/>
    <w:rsid w:val="006800B5"/>
    <w:rsid w:val="006810FF"/>
    <w:rsid w:val="0068312A"/>
    <w:rsid w:val="0069164C"/>
    <w:rsid w:val="0069472D"/>
    <w:rsid w:val="00694976"/>
    <w:rsid w:val="006B321A"/>
    <w:rsid w:val="006B418F"/>
    <w:rsid w:val="006C3931"/>
    <w:rsid w:val="006D1713"/>
    <w:rsid w:val="006D30E6"/>
    <w:rsid w:val="006D3A03"/>
    <w:rsid w:val="006D4739"/>
    <w:rsid w:val="006E0801"/>
    <w:rsid w:val="006E08FA"/>
    <w:rsid w:val="006E433F"/>
    <w:rsid w:val="006E527A"/>
    <w:rsid w:val="006E796C"/>
    <w:rsid w:val="006F596B"/>
    <w:rsid w:val="006F5F93"/>
    <w:rsid w:val="00710D67"/>
    <w:rsid w:val="00710FED"/>
    <w:rsid w:val="00716632"/>
    <w:rsid w:val="00717A0C"/>
    <w:rsid w:val="0072222B"/>
    <w:rsid w:val="00723461"/>
    <w:rsid w:val="007237B8"/>
    <w:rsid w:val="0072658E"/>
    <w:rsid w:val="00732345"/>
    <w:rsid w:val="00743C53"/>
    <w:rsid w:val="00747344"/>
    <w:rsid w:val="007532C7"/>
    <w:rsid w:val="00756F04"/>
    <w:rsid w:val="00757D60"/>
    <w:rsid w:val="00761AC9"/>
    <w:rsid w:val="00765E7A"/>
    <w:rsid w:val="00770F18"/>
    <w:rsid w:val="007764BB"/>
    <w:rsid w:val="007828DC"/>
    <w:rsid w:val="00782BD2"/>
    <w:rsid w:val="0078649F"/>
    <w:rsid w:val="007923F3"/>
    <w:rsid w:val="00793834"/>
    <w:rsid w:val="007A118C"/>
    <w:rsid w:val="007A377A"/>
    <w:rsid w:val="007A37FE"/>
    <w:rsid w:val="007A3CC6"/>
    <w:rsid w:val="007B2EEF"/>
    <w:rsid w:val="007C06C1"/>
    <w:rsid w:val="007C087D"/>
    <w:rsid w:val="007C0F0A"/>
    <w:rsid w:val="007C1D5B"/>
    <w:rsid w:val="007C2C12"/>
    <w:rsid w:val="007C3435"/>
    <w:rsid w:val="007C35A4"/>
    <w:rsid w:val="007C3E46"/>
    <w:rsid w:val="007D2A81"/>
    <w:rsid w:val="007E2E37"/>
    <w:rsid w:val="007E52D5"/>
    <w:rsid w:val="007E534B"/>
    <w:rsid w:val="007E7C02"/>
    <w:rsid w:val="007F55E7"/>
    <w:rsid w:val="007F7462"/>
    <w:rsid w:val="00800A80"/>
    <w:rsid w:val="008111E5"/>
    <w:rsid w:val="00814FA1"/>
    <w:rsid w:val="0081709C"/>
    <w:rsid w:val="00820F91"/>
    <w:rsid w:val="0082243A"/>
    <w:rsid w:val="00822D3C"/>
    <w:rsid w:val="008232C6"/>
    <w:rsid w:val="008258C6"/>
    <w:rsid w:val="00833819"/>
    <w:rsid w:val="00835035"/>
    <w:rsid w:val="00843F80"/>
    <w:rsid w:val="00845AE9"/>
    <w:rsid w:val="008500D3"/>
    <w:rsid w:val="00852668"/>
    <w:rsid w:val="008575ED"/>
    <w:rsid w:val="008578BF"/>
    <w:rsid w:val="00857C7C"/>
    <w:rsid w:val="008660D6"/>
    <w:rsid w:val="0087130B"/>
    <w:rsid w:val="008803EF"/>
    <w:rsid w:val="00885082"/>
    <w:rsid w:val="00885594"/>
    <w:rsid w:val="00896D29"/>
    <w:rsid w:val="008A12CF"/>
    <w:rsid w:val="008A1A90"/>
    <w:rsid w:val="008A37DC"/>
    <w:rsid w:val="008A64CB"/>
    <w:rsid w:val="008B082B"/>
    <w:rsid w:val="008B1216"/>
    <w:rsid w:val="008B1A11"/>
    <w:rsid w:val="008B4E0F"/>
    <w:rsid w:val="008B6546"/>
    <w:rsid w:val="008C0A59"/>
    <w:rsid w:val="008C3B24"/>
    <w:rsid w:val="008D4F13"/>
    <w:rsid w:val="008E01E4"/>
    <w:rsid w:val="008E7F32"/>
    <w:rsid w:val="008F0627"/>
    <w:rsid w:val="008F148C"/>
    <w:rsid w:val="008F5DAE"/>
    <w:rsid w:val="00900C9B"/>
    <w:rsid w:val="00901487"/>
    <w:rsid w:val="00921551"/>
    <w:rsid w:val="009217E8"/>
    <w:rsid w:val="00925B0B"/>
    <w:rsid w:val="0092622F"/>
    <w:rsid w:val="00926C44"/>
    <w:rsid w:val="00926CBA"/>
    <w:rsid w:val="0093645B"/>
    <w:rsid w:val="0094381A"/>
    <w:rsid w:val="00956056"/>
    <w:rsid w:val="0096060F"/>
    <w:rsid w:val="00961002"/>
    <w:rsid w:val="009758CB"/>
    <w:rsid w:val="00980909"/>
    <w:rsid w:val="0098478D"/>
    <w:rsid w:val="00993406"/>
    <w:rsid w:val="00994B38"/>
    <w:rsid w:val="00994DBB"/>
    <w:rsid w:val="00995B19"/>
    <w:rsid w:val="009A0F77"/>
    <w:rsid w:val="009A24B0"/>
    <w:rsid w:val="009A5223"/>
    <w:rsid w:val="009A6B97"/>
    <w:rsid w:val="009A6D6A"/>
    <w:rsid w:val="009B23B7"/>
    <w:rsid w:val="009B2B6B"/>
    <w:rsid w:val="009B345F"/>
    <w:rsid w:val="009B3A7C"/>
    <w:rsid w:val="009B5965"/>
    <w:rsid w:val="009B5D8D"/>
    <w:rsid w:val="009B6126"/>
    <w:rsid w:val="009C1730"/>
    <w:rsid w:val="009C314B"/>
    <w:rsid w:val="009C543A"/>
    <w:rsid w:val="009C5C70"/>
    <w:rsid w:val="009D2E87"/>
    <w:rsid w:val="009D39B3"/>
    <w:rsid w:val="009D7E06"/>
    <w:rsid w:val="009E0C45"/>
    <w:rsid w:val="009E0E89"/>
    <w:rsid w:val="009E1F26"/>
    <w:rsid w:val="009E3A2B"/>
    <w:rsid w:val="009E68A1"/>
    <w:rsid w:val="009E6F84"/>
    <w:rsid w:val="009F15BF"/>
    <w:rsid w:val="009F4FF4"/>
    <w:rsid w:val="009F5F0B"/>
    <w:rsid w:val="009F62C3"/>
    <w:rsid w:val="009F70FA"/>
    <w:rsid w:val="009F71DC"/>
    <w:rsid w:val="00A0100D"/>
    <w:rsid w:val="00A05133"/>
    <w:rsid w:val="00A05D3A"/>
    <w:rsid w:val="00A16F28"/>
    <w:rsid w:val="00A24710"/>
    <w:rsid w:val="00A26BD8"/>
    <w:rsid w:val="00A3420B"/>
    <w:rsid w:val="00A3432D"/>
    <w:rsid w:val="00A42BD9"/>
    <w:rsid w:val="00A50767"/>
    <w:rsid w:val="00A5260D"/>
    <w:rsid w:val="00A54C18"/>
    <w:rsid w:val="00A6692F"/>
    <w:rsid w:val="00A6775F"/>
    <w:rsid w:val="00A70575"/>
    <w:rsid w:val="00A72262"/>
    <w:rsid w:val="00A73F5C"/>
    <w:rsid w:val="00A7773A"/>
    <w:rsid w:val="00A83B4F"/>
    <w:rsid w:val="00A84A2B"/>
    <w:rsid w:val="00A9120F"/>
    <w:rsid w:val="00A9389D"/>
    <w:rsid w:val="00A97381"/>
    <w:rsid w:val="00A97563"/>
    <w:rsid w:val="00A97C28"/>
    <w:rsid w:val="00AA1194"/>
    <w:rsid w:val="00AA12D2"/>
    <w:rsid w:val="00AA26B4"/>
    <w:rsid w:val="00AA5C38"/>
    <w:rsid w:val="00AB15E3"/>
    <w:rsid w:val="00AB4982"/>
    <w:rsid w:val="00AC2627"/>
    <w:rsid w:val="00AC3DB9"/>
    <w:rsid w:val="00AC687D"/>
    <w:rsid w:val="00AD33BE"/>
    <w:rsid w:val="00AD6E7B"/>
    <w:rsid w:val="00AE1A47"/>
    <w:rsid w:val="00AE4E04"/>
    <w:rsid w:val="00AE5140"/>
    <w:rsid w:val="00AE5448"/>
    <w:rsid w:val="00AE5995"/>
    <w:rsid w:val="00AE6704"/>
    <w:rsid w:val="00AE78CA"/>
    <w:rsid w:val="00AF0D52"/>
    <w:rsid w:val="00AF0EA5"/>
    <w:rsid w:val="00B01BD5"/>
    <w:rsid w:val="00B04476"/>
    <w:rsid w:val="00B05B83"/>
    <w:rsid w:val="00B07EBD"/>
    <w:rsid w:val="00B17992"/>
    <w:rsid w:val="00B20C2B"/>
    <w:rsid w:val="00B228F1"/>
    <w:rsid w:val="00B23344"/>
    <w:rsid w:val="00B24B11"/>
    <w:rsid w:val="00B250D7"/>
    <w:rsid w:val="00B309E3"/>
    <w:rsid w:val="00B31853"/>
    <w:rsid w:val="00B36260"/>
    <w:rsid w:val="00B44E37"/>
    <w:rsid w:val="00B50B07"/>
    <w:rsid w:val="00B56BC3"/>
    <w:rsid w:val="00B57219"/>
    <w:rsid w:val="00B579E5"/>
    <w:rsid w:val="00B642EC"/>
    <w:rsid w:val="00B6659F"/>
    <w:rsid w:val="00B71058"/>
    <w:rsid w:val="00B728F7"/>
    <w:rsid w:val="00B8098B"/>
    <w:rsid w:val="00B80C9E"/>
    <w:rsid w:val="00B83E10"/>
    <w:rsid w:val="00B85697"/>
    <w:rsid w:val="00B85F29"/>
    <w:rsid w:val="00B87662"/>
    <w:rsid w:val="00B911AF"/>
    <w:rsid w:val="00B9580C"/>
    <w:rsid w:val="00B96A17"/>
    <w:rsid w:val="00BA0F27"/>
    <w:rsid w:val="00BA27FC"/>
    <w:rsid w:val="00BA43DC"/>
    <w:rsid w:val="00BB06D2"/>
    <w:rsid w:val="00BB134B"/>
    <w:rsid w:val="00BB3B8B"/>
    <w:rsid w:val="00BC0CFA"/>
    <w:rsid w:val="00BC462B"/>
    <w:rsid w:val="00BD14B3"/>
    <w:rsid w:val="00BD677A"/>
    <w:rsid w:val="00BD74AF"/>
    <w:rsid w:val="00BE233B"/>
    <w:rsid w:val="00BE7391"/>
    <w:rsid w:val="00BE7A6E"/>
    <w:rsid w:val="00BF6E0F"/>
    <w:rsid w:val="00C01733"/>
    <w:rsid w:val="00C01801"/>
    <w:rsid w:val="00C0414E"/>
    <w:rsid w:val="00C058C8"/>
    <w:rsid w:val="00C15F2A"/>
    <w:rsid w:val="00C172FE"/>
    <w:rsid w:val="00C20F80"/>
    <w:rsid w:val="00C249A6"/>
    <w:rsid w:val="00C279DD"/>
    <w:rsid w:val="00C30F32"/>
    <w:rsid w:val="00C41F95"/>
    <w:rsid w:val="00C4326C"/>
    <w:rsid w:val="00C47DB0"/>
    <w:rsid w:val="00C56DD5"/>
    <w:rsid w:val="00C57CEE"/>
    <w:rsid w:val="00C63F7B"/>
    <w:rsid w:val="00C6588E"/>
    <w:rsid w:val="00C70447"/>
    <w:rsid w:val="00C731F9"/>
    <w:rsid w:val="00C753C2"/>
    <w:rsid w:val="00C802FB"/>
    <w:rsid w:val="00C85653"/>
    <w:rsid w:val="00C8746D"/>
    <w:rsid w:val="00C93390"/>
    <w:rsid w:val="00CA216C"/>
    <w:rsid w:val="00CA4BF9"/>
    <w:rsid w:val="00CB26DE"/>
    <w:rsid w:val="00CB72D2"/>
    <w:rsid w:val="00CC0700"/>
    <w:rsid w:val="00CC0B81"/>
    <w:rsid w:val="00CC2630"/>
    <w:rsid w:val="00CC4D5E"/>
    <w:rsid w:val="00CC57FF"/>
    <w:rsid w:val="00CD024D"/>
    <w:rsid w:val="00CD3A41"/>
    <w:rsid w:val="00CD431E"/>
    <w:rsid w:val="00CE1C82"/>
    <w:rsid w:val="00CE3102"/>
    <w:rsid w:val="00CE51D0"/>
    <w:rsid w:val="00CF1DF5"/>
    <w:rsid w:val="00CF5500"/>
    <w:rsid w:val="00CF5740"/>
    <w:rsid w:val="00CF6512"/>
    <w:rsid w:val="00CF7FBE"/>
    <w:rsid w:val="00D01A63"/>
    <w:rsid w:val="00D110E2"/>
    <w:rsid w:val="00D12C36"/>
    <w:rsid w:val="00D21ECE"/>
    <w:rsid w:val="00D27727"/>
    <w:rsid w:val="00D320A2"/>
    <w:rsid w:val="00D349EA"/>
    <w:rsid w:val="00D4431A"/>
    <w:rsid w:val="00D46598"/>
    <w:rsid w:val="00D553D4"/>
    <w:rsid w:val="00D55FC0"/>
    <w:rsid w:val="00D57210"/>
    <w:rsid w:val="00D5787C"/>
    <w:rsid w:val="00D57AED"/>
    <w:rsid w:val="00D57F74"/>
    <w:rsid w:val="00D72E75"/>
    <w:rsid w:val="00D824AB"/>
    <w:rsid w:val="00D901D7"/>
    <w:rsid w:val="00D92BFE"/>
    <w:rsid w:val="00D95D73"/>
    <w:rsid w:val="00D9608B"/>
    <w:rsid w:val="00DA7BEE"/>
    <w:rsid w:val="00DC1583"/>
    <w:rsid w:val="00DC2B31"/>
    <w:rsid w:val="00DD1866"/>
    <w:rsid w:val="00DD286F"/>
    <w:rsid w:val="00DD5A69"/>
    <w:rsid w:val="00DE0A8D"/>
    <w:rsid w:val="00DE562A"/>
    <w:rsid w:val="00DE7148"/>
    <w:rsid w:val="00DF22DF"/>
    <w:rsid w:val="00DF233A"/>
    <w:rsid w:val="00DF2617"/>
    <w:rsid w:val="00DF4689"/>
    <w:rsid w:val="00DF546D"/>
    <w:rsid w:val="00DF62A4"/>
    <w:rsid w:val="00E00D15"/>
    <w:rsid w:val="00E05D7C"/>
    <w:rsid w:val="00E0696F"/>
    <w:rsid w:val="00E11B18"/>
    <w:rsid w:val="00E11DCC"/>
    <w:rsid w:val="00E24B9B"/>
    <w:rsid w:val="00E250C8"/>
    <w:rsid w:val="00E26E43"/>
    <w:rsid w:val="00E3048E"/>
    <w:rsid w:val="00E341AD"/>
    <w:rsid w:val="00E3514C"/>
    <w:rsid w:val="00E40828"/>
    <w:rsid w:val="00E42B2B"/>
    <w:rsid w:val="00E4635A"/>
    <w:rsid w:val="00E5647F"/>
    <w:rsid w:val="00E57BDB"/>
    <w:rsid w:val="00E60444"/>
    <w:rsid w:val="00E625D3"/>
    <w:rsid w:val="00E64AC7"/>
    <w:rsid w:val="00E65F37"/>
    <w:rsid w:val="00E707BE"/>
    <w:rsid w:val="00E70B77"/>
    <w:rsid w:val="00E711DE"/>
    <w:rsid w:val="00E71442"/>
    <w:rsid w:val="00E74701"/>
    <w:rsid w:val="00E75E5F"/>
    <w:rsid w:val="00E8052E"/>
    <w:rsid w:val="00E823B8"/>
    <w:rsid w:val="00E825D6"/>
    <w:rsid w:val="00E85E17"/>
    <w:rsid w:val="00E9091C"/>
    <w:rsid w:val="00E913B0"/>
    <w:rsid w:val="00E93BB3"/>
    <w:rsid w:val="00E94B5C"/>
    <w:rsid w:val="00E94FB9"/>
    <w:rsid w:val="00E956DE"/>
    <w:rsid w:val="00E9680B"/>
    <w:rsid w:val="00EA0E97"/>
    <w:rsid w:val="00EA2614"/>
    <w:rsid w:val="00EA46CC"/>
    <w:rsid w:val="00EA49B9"/>
    <w:rsid w:val="00EA5AA1"/>
    <w:rsid w:val="00EA61B9"/>
    <w:rsid w:val="00EA7BF4"/>
    <w:rsid w:val="00EB6C62"/>
    <w:rsid w:val="00EC4D60"/>
    <w:rsid w:val="00EC6154"/>
    <w:rsid w:val="00EC7868"/>
    <w:rsid w:val="00ED39AB"/>
    <w:rsid w:val="00ED5D5A"/>
    <w:rsid w:val="00ED6373"/>
    <w:rsid w:val="00EE116B"/>
    <w:rsid w:val="00EE2FB1"/>
    <w:rsid w:val="00EE4D9C"/>
    <w:rsid w:val="00EE515E"/>
    <w:rsid w:val="00EE571A"/>
    <w:rsid w:val="00EE6265"/>
    <w:rsid w:val="00EE7518"/>
    <w:rsid w:val="00EF193B"/>
    <w:rsid w:val="00F04815"/>
    <w:rsid w:val="00F05BF4"/>
    <w:rsid w:val="00F10B01"/>
    <w:rsid w:val="00F15459"/>
    <w:rsid w:val="00F241AD"/>
    <w:rsid w:val="00F26B32"/>
    <w:rsid w:val="00F30619"/>
    <w:rsid w:val="00F30C1D"/>
    <w:rsid w:val="00F30C33"/>
    <w:rsid w:val="00F32EBF"/>
    <w:rsid w:val="00F34A32"/>
    <w:rsid w:val="00F455F1"/>
    <w:rsid w:val="00F45966"/>
    <w:rsid w:val="00F50016"/>
    <w:rsid w:val="00F513C7"/>
    <w:rsid w:val="00F54AD0"/>
    <w:rsid w:val="00F570D3"/>
    <w:rsid w:val="00F62221"/>
    <w:rsid w:val="00F628E1"/>
    <w:rsid w:val="00F65D71"/>
    <w:rsid w:val="00F712EE"/>
    <w:rsid w:val="00F71AA8"/>
    <w:rsid w:val="00F73BB1"/>
    <w:rsid w:val="00F8022B"/>
    <w:rsid w:val="00F8513C"/>
    <w:rsid w:val="00F860A7"/>
    <w:rsid w:val="00F930F7"/>
    <w:rsid w:val="00F97C38"/>
    <w:rsid w:val="00FA44B5"/>
    <w:rsid w:val="00FA7ED5"/>
    <w:rsid w:val="00FC0DAE"/>
    <w:rsid w:val="00FC1FC5"/>
    <w:rsid w:val="00FC6F08"/>
    <w:rsid w:val="00FC7CC7"/>
    <w:rsid w:val="00FD49E5"/>
    <w:rsid w:val="00FD6482"/>
    <w:rsid w:val="00FE046B"/>
    <w:rsid w:val="00FE24A3"/>
    <w:rsid w:val="00FE2FFB"/>
    <w:rsid w:val="00FF2D02"/>
    <w:rsid w:val="00FF6617"/>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124"/>
    <o:shapelayout v:ext="edit">
      <o:idmap v:ext="edit" data="1"/>
    </o:shapelayout>
  </w:shapeDefaults>
  <w:decimalSymbol w:val="."/>
  <w:listSeparator w:val=","/>
  <w14:docId w14:val="6887D9D5"/>
  <w15:chartTrackingRefBased/>
  <w15:docId w15:val="{4DCA689D-B3D2-4615-9ED2-3676117FBC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8312A"/>
    <w:pPr>
      <w:spacing w:after="0" w:line="240" w:lineRule="auto"/>
    </w:pPr>
    <w:rPr>
      <w:rFonts w:ascii="Times New Roman" w:eastAsia="Times New Roman" w:hAnsi="Times New Roman" w:cs="Times New Roman"/>
      <w:sz w:val="24"/>
      <w:szCs w:val="24"/>
      <w:lang w:val="es-ES_tradnl" w:eastAsia="es-MX"/>
    </w:rPr>
  </w:style>
  <w:style w:type="paragraph" w:styleId="Ttulo1">
    <w:name w:val="heading 1"/>
    <w:basedOn w:val="Normal"/>
    <w:next w:val="Normal"/>
    <w:link w:val="Ttulo1Car"/>
    <w:uiPriority w:val="9"/>
    <w:qFormat/>
    <w:rsid w:val="0043515A"/>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Ttulo2">
    <w:name w:val="heading 2"/>
    <w:basedOn w:val="Normal"/>
    <w:next w:val="Normal"/>
    <w:link w:val="Ttulo2Car"/>
    <w:uiPriority w:val="9"/>
    <w:unhideWhenUsed/>
    <w:qFormat/>
    <w:rsid w:val="0043515A"/>
    <w:pPr>
      <w:keepNext/>
      <w:keepLines/>
      <w:spacing w:before="40" w:line="259" w:lineRule="auto"/>
      <w:outlineLvl w:val="1"/>
    </w:pPr>
    <w:rPr>
      <w:rFonts w:asciiTheme="majorHAnsi" w:eastAsiaTheme="majorEastAsia" w:hAnsiTheme="majorHAnsi" w:cstheme="majorBidi"/>
      <w:color w:val="2E74B5" w:themeColor="accent1" w:themeShade="BF"/>
      <w:sz w:val="26"/>
      <w:szCs w:val="26"/>
      <w:lang w:val="es-MX" w:eastAsia="en-US"/>
    </w:rPr>
  </w:style>
  <w:style w:type="paragraph" w:styleId="Ttulo3">
    <w:name w:val="heading 3"/>
    <w:basedOn w:val="Normal"/>
    <w:link w:val="Ttulo3Car"/>
    <w:uiPriority w:val="9"/>
    <w:qFormat/>
    <w:rsid w:val="009D7E06"/>
    <w:pPr>
      <w:spacing w:before="100" w:beforeAutospacing="1" w:after="100" w:afterAutospacing="1"/>
      <w:outlineLvl w:val="2"/>
    </w:pPr>
    <w:rPr>
      <w:b/>
      <w:bCs/>
      <w:sz w:val="27"/>
      <w:szCs w:val="27"/>
      <w:lang w:val="es-MX"/>
    </w:rPr>
  </w:style>
  <w:style w:type="paragraph" w:styleId="Ttulo4">
    <w:name w:val="heading 4"/>
    <w:basedOn w:val="Normal"/>
    <w:link w:val="Ttulo4Car"/>
    <w:uiPriority w:val="9"/>
    <w:qFormat/>
    <w:rsid w:val="00E93BB3"/>
    <w:pPr>
      <w:spacing w:before="100" w:beforeAutospacing="1" w:after="100" w:afterAutospacing="1"/>
      <w:outlineLvl w:val="3"/>
    </w:pPr>
    <w:rPr>
      <w:b/>
      <w:bCs/>
      <w:lang w:val="es-MX"/>
    </w:rPr>
  </w:style>
  <w:style w:type="paragraph" w:styleId="Ttulo5">
    <w:name w:val="heading 5"/>
    <w:basedOn w:val="Normal"/>
    <w:next w:val="Normal"/>
    <w:link w:val="Ttulo5Car"/>
    <w:unhideWhenUsed/>
    <w:qFormat/>
    <w:rsid w:val="009D7E06"/>
    <w:pPr>
      <w:keepNext/>
      <w:keepLines/>
      <w:spacing w:before="40"/>
      <w:outlineLvl w:val="4"/>
    </w:pPr>
    <w:rPr>
      <w:rFonts w:asciiTheme="majorHAnsi" w:eastAsiaTheme="majorEastAsia" w:hAnsiTheme="majorHAnsi" w:cstheme="majorBidi"/>
      <w:color w:val="2E74B5" w:themeColor="accent1" w:themeShade="BF"/>
    </w:rPr>
  </w:style>
  <w:style w:type="paragraph" w:styleId="Ttulo6">
    <w:name w:val="heading 6"/>
    <w:basedOn w:val="Normal"/>
    <w:next w:val="Normal"/>
    <w:link w:val="Ttulo6Car"/>
    <w:unhideWhenUsed/>
    <w:qFormat/>
    <w:rsid w:val="009D7E06"/>
    <w:pPr>
      <w:keepNext/>
      <w:keepLines/>
      <w:spacing w:before="40"/>
      <w:outlineLvl w:val="5"/>
    </w:pPr>
    <w:rPr>
      <w:rFonts w:asciiTheme="majorHAnsi" w:eastAsiaTheme="majorEastAsia" w:hAnsiTheme="majorHAnsi" w:cstheme="majorBidi"/>
      <w:color w:val="1F4D78" w:themeColor="accent1" w:themeShade="7F"/>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EncabezadoCar">
    <w:name w:val="Encabezado Car"/>
    <w:basedOn w:val="Fuentedeprrafopredeter"/>
    <w:link w:val="Encabezado"/>
    <w:uiPriority w:val="99"/>
    <w:rsid w:val="000B5E25"/>
    <w:rPr>
      <w:rFonts w:eastAsiaTheme="minorEastAsia"/>
      <w:sz w:val="24"/>
      <w:szCs w:val="24"/>
      <w:lang w:val="es-ES_tradnl" w:eastAsia="es-ES"/>
    </w:rPr>
  </w:style>
  <w:style w:type="paragraph" w:styleId="Piedepgina">
    <w:name w:val="footer"/>
    <w:basedOn w:val="Normal"/>
    <w:link w:val="PiedepginaCar"/>
    <w:uiPriority w:val="99"/>
    <w:unhideWhenUsed/>
    <w:rsid w:val="000B5E25"/>
    <w:pPr>
      <w:tabs>
        <w:tab w:val="center" w:pos="4252"/>
        <w:tab w:val="right" w:pos="8504"/>
      </w:tabs>
    </w:pPr>
    <w:rPr>
      <w:rFonts w:asciiTheme="minorHAnsi" w:eastAsiaTheme="minorEastAsia" w:hAnsiTheme="minorHAnsi" w:cstheme="minorBidi"/>
    </w:rPr>
  </w:style>
  <w:style w:type="character" w:customStyle="1" w:styleId="PiedepginaCar">
    <w:name w:val="Pie de página Car"/>
    <w:basedOn w:val="Fuentedeprrafopredeter"/>
    <w:link w:val="Piedepgina"/>
    <w:uiPriority w:val="99"/>
    <w:rsid w:val="000B5E25"/>
    <w:rPr>
      <w:rFonts w:eastAsiaTheme="minorEastAsia"/>
      <w:sz w:val="24"/>
      <w:szCs w:val="24"/>
      <w:lang w:val="es-ES_tradnl" w:eastAsia="es-ES"/>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0B5E25"/>
    <w:pPr>
      <w:ind w:left="708"/>
    </w:p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0B5E25"/>
    <w:rPr>
      <w:rFonts w:ascii="Times New Roman" w:eastAsia="Times New Roman" w:hAnsi="Times New Roman" w:cs="Times New Roman"/>
      <w:sz w:val="24"/>
      <w:szCs w:val="24"/>
      <w:lang w:val="es-ES" w:eastAsia="es-ES"/>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nhideWhenUsed/>
    <w:qFormat/>
    <w:rsid w:val="000B5E25"/>
    <w:rPr>
      <w:vertAlign w:val="superscript"/>
    </w:rPr>
  </w:style>
  <w:style w:type="character" w:customStyle="1" w:styleId="apple-converted-space">
    <w:name w:val="apple-converted-space"/>
    <w:basedOn w:val="Fuentedeprrafopredeter"/>
    <w:rsid w:val="000B5E25"/>
  </w:style>
  <w:style w:type="character" w:styleId="Hipervnculo">
    <w:name w:val="Hyperlink"/>
    <w:aliases w:val="Hipervínculo1,Hipervínculo11,Hipervínculo12,Hipervínculo13,Hipervínculo14,Hipervínculo15"/>
    <w:basedOn w:val="Fuentedeprrafopredeter"/>
    <w:uiPriority w:val="99"/>
    <w:unhideWhenUsed/>
    <w:rsid w:val="000B5E25"/>
    <w:rPr>
      <w:color w:val="0563C1"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0B5E25"/>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rsid w:val="000B5E25"/>
    <w:rPr>
      <w:rFonts w:ascii="Times New Roman" w:eastAsia="Times New Roman" w:hAnsi="Times New Roman" w:cs="Times New Roman"/>
      <w:sz w:val="20"/>
      <w:szCs w:val="20"/>
      <w:lang w:val="es-ES" w:eastAsia="es-ES"/>
    </w:rPr>
  </w:style>
  <w:style w:type="character" w:customStyle="1" w:styleId="Ttulo1Car">
    <w:name w:val="Título 1 Car"/>
    <w:basedOn w:val="Fuentedeprrafopredeter"/>
    <w:link w:val="Ttulo1"/>
    <w:uiPriority w:val="9"/>
    <w:rsid w:val="0043515A"/>
    <w:rPr>
      <w:rFonts w:asciiTheme="majorHAnsi" w:eastAsiaTheme="majorEastAsia" w:hAnsiTheme="majorHAnsi" w:cstheme="majorBidi"/>
      <w:color w:val="2E74B5" w:themeColor="accent1" w:themeShade="BF"/>
      <w:sz w:val="32"/>
      <w:szCs w:val="32"/>
      <w:lang w:val="es-ES" w:eastAsia="es-ES"/>
    </w:rPr>
  </w:style>
  <w:style w:type="character" w:customStyle="1" w:styleId="Ttulo2Car">
    <w:name w:val="Título 2 Car"/>
    <w:basedOn w:val="Fuentedeprrafopredeter"/>
    <w:link w:val="Ttulo2"/>
    <w:uiPriority w:val="9"/>
    <w:rsid w:val="0043515A"/>
    <w:rPr>
      <w:rFonts w:asciiTheme="majorHAnsi" w:eastAsiaTheme="majorEastAsia" w:hAnsiTheme="majorHAnsi" w:cstheme="majorBidi"/>
      <w:color w:val="2E74B5" w:themeColor="accent1" w:themeShade="BF"/>
      <w:sz w:val="26"/>
      <w:szCs w:val="26"/>
    </w:rPr>
  </w:style>
  <w:style w:type="table" w:styleId="Tablaconcuadrcula">
    <w:name w:val="Table Grid"/>
    <w:basedOn w:val="Tablanormal"/>
    <w:uiPriority w:val="39"/>
    <w:rsid w:val="0043515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aliases w:val="Francesa,INAI"/>
    <w:link w:val="SinespaciadoCar"/>
    <w:uiPriority w:val="1"/>
    <w:qFormat/>
    <w:rsid w:val="0043515A"/>
    <w:pPr>
      <w:spacing w:after="0" w:line="240" w:lineRule="auto"/>
    </w:pPr>
    <w:rPr>
      <w:rFonts w:ascii="Times New Roman" w:eastAsia="Times New Roman" w:hAnsi="Times New Roman" w:cs="Times New Roman"/>
      <w:sz w:val="24"/>
      <w:szCs w:val="24"/>
      <w:lang w:eastAsia="es-ES"/>
    </w:rPr>
  </w:style>
  <w:style w:type="character" w:customStyle="1" w:styleId="SinespaciadoCar">
    <w:name w:val="Sin espaciado Car"/>
    <w:aliases w:val="Francesa Car,INAI Car"/>
    <w:link w:val="Sinespaciado"/>
    <w:uiPriority w:val="1"/>
    <w:locked/>
    <w:rsid w:val="0043515A"/>
    <w:rPr>
      <w:rFonts w:ascii="Times New Roman" w:eastAsia="Times New Roman" w:hAnsi="Times New Roman" w:cs="Times New Roman"/>
      <w:sz w:val="24"/>
      <w:szCs w:val="24"/>
      <w:lang w:eastAsia="es-ES"/>
    </w:rPr>
  </w:style>
  <w:style w:type="table" w:customStyle="1" w:styleId="Tabladelista1clara-nfasis1115">
    <w:name w:val="Tabla de lista 1 clara - Énfasis 1115"/>
    <w:basedOn w:val="Tablanormal"/>
    <w:next w:val="Tabladelista1clara-nfasis1"/>
    <w:uiPriority w:val="46"/>
    <w:rsid w:val="009A0F77"/>
    <w:pPr>
      <w:spacing w:after="0" w:line="240" w:lineRule="auto"/>
    </w:pPr>
    <w:rPr>
      <w:rFonts w:eastAsia="MS Mincho"/>
      <w:sz w:val="24"/>
      <w:szCs w:val="24"/>
      <w:lang w:val="es-ES_tradnl" w:eastAsia="es-ES"/>
    </w:rPr>
    <w:tblPr>
      <w:tblStyleRowBandSize w:val="1"/>
      <w:tblStyleColBandSize w:val="1"/>
    </w:tblPr>
    <w:tblStylePr w:type="firstRow">
      <w:rPr>
        <w:b/>
        <w:bCs/>
      </w:rPr>
      <w:tblPr/>
      <w:tcPr>
        <w:tcBorders>
          <w:bottom w:val="single" w:sz="4" w:space="0" w:color="95B3D7"/>
        </w:tcBorders>
      </w:tcPr>
    </w:tblStylePr>
    <w:tblStylePr w:type="lastRow">
      <w:rPr>
        <w:b/>
        <w:bCs/>
      </w:rPr>
      <w:tblPr/>
      <w:tcPr>
        <w:tcBorders>
          <w:top w:val="single" w:sz="4" w:space="0" w:color="95B3D7"/>
        </w:tcBorders>
      </w:tcPr>
    </w:tblStylePr>
    <w:tblStylePr w:type="firstCol">
      <w:rPr>
        <w:b/>
        <w:bCs/>
      </w:rPr>
    </w:tblStylePr>
    <w:tblStylePr w:type="lastCol">
      <w:rPr>
        <w:b/>
        <w:bCs/>
      </w:rPr>
    </w:tblStylePr>
    <w:tblStylePr w:type="band1Vert">
      <w:tblPr/>
      <w:tcPr>
        <w:shd w:val="clear" w:color="auto" w:fill="DBE5F1"/>
      </w:tcPr>
    </w:tblStylePr>
    <w:tblStylePr w:type="band1Horz">
      <w:tblPr/>
      <w:tcPr>
        <w:shd w:val="clear" w:color="auto" w:fill="DBE5F1"/>
      </w:tcPr>
    </w:tblStylePr>
  </w:style>
  <w:style w:type="table" w:styleId="Tabladelista1clara-nfasis1">
    <w:name w:val="List Table 1 Light Accent 1"/>
    <w:basedOn w:val="Tablanormal"/>
    <w:uiPriority w:val="46"/>
    <w:rsid w:val="009A0F77"/>
    <w:pPr>
      <w:spacing w:after="0" w:line="240" w:lineRule="auto"/>
    </w:pPr>
    <w:tblPr>
      <w:tblStyleRowBandSize w:val="1"/>
      <w:tblStyleColBandSize w:val="1"/>
    </w:tblPr>
    <w:tblStylePr w:type="firstRow">
      <w:rPr>
        <w:b/>
        <w:bCs/>
      </w:rPr>
      <w:tblPr/>
      <w:tcPr>
        <w:tcBorders>
          <w:bottom w:val="single" w:sz="4" w:space="0" w:color="9CC2E5" w:themeColor="accent1" w:themeTint="99"/>
        </w:tcBorders>
      </w:tcPr>
    </w:tblStylePr>
    <w:tblStylePr w:type="lastRow">
      <w:rPr>
        <w:b/>
        <w:bCs/>
      </w:rPr>
      <w:tblPr/>
      <w:tcPr>
        <w:tcBorders>
          <w:top w:val="single" w:sz="4" w:space="0" w:color="9CC2E5" w:themeColor="accent1" w:themeTint="99"/>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paragraph" w:styleId="NormalWeb">
    <w:name w:val="Normal (Web)"/>
    <w:basedOn w:val="Normal"/>
    <w:uiPriority w:val="99"/>
    <w:unhideWhenUsed/>
    <w:rsid w:val="000D3AD4"/>
    <w:pPr>
      <w:spacing w:before="100" w:beforeAutospacing="1" w:after="100" w:afterAutospacing="1"/>
    </w:pPr>
    <w:rPr>
      <w:lang w:val="es-MX"/>
    </w:rPr>
  </w:style>
  <w:style w:type="paragraph" w:styleId="Textonotaalfinal">
    <w:name w:val="endnote text"/>
    <w:basedOn w:val="Normal"/>
    <w:link w:val="TextonotaalfinalCar"/>
    <w:uiPriority w:val="99"/>
    <w:semiHidden/>
    <w:unhideWhenUsed/>
    <w:rsid w:val="000D3AD4"/>
    <w:rPr>
      <w:sz w:val="20"/>
      <w:szCs w:val="20"/>
    </w:rPr>
  </w:style>
  <w:style w:type="character" w:customStyle="1" w:styleId="TextonotaalfinalCar">
    <w:name w:val="Texto nota al final Car"/>
    <w:basedOn w:val="Fuentedeprrafopredeter"/>
    <w:link w:val="Textonotaalfinal"/>
    <w:uiPriority w:val="99"/>
    <w:semiHidden/>
    <w:rsid w:val="000D3AD4"/>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0D3AD4"/>
    <w:rPr>
      <w:vertAlign w:val="superscript"/>
    </w:rPr>
  </w:style>
  <w:style w:type="paragraph" w:customStyle="1" w:styleId="Default">
    <w:name w:val="Default"/>
    <w:rsid w:val="00D27727"/>
    <w:pPr>
      <w:autoSpaceDE w:val="0"/>
      <w:autoSpaceDN w:val="0"/>
      <w:adjustRightInd w:val="0"/>
      <w:spacing w:after="0" w:line="240" w:lineRule="auto"/>
    </w:pPr>
    <w:rPr>
      <w:rFonts w:ascii="Palatino Linotype" w:hAnsi="Palatino Linotype" w:cs="Palatino Linotype"/>
      <w:color w:val="000000"/>
      <w:sz w:val="24"/>
      <w:szCs w:val="24"/>
    </w:rPr>
  </w:style>
  <w:style w:type="paragraph" w:styleId="Textoindependiente">
    <w:name w:val="Body Text"/>
    <w:basedOn w:val="Normal"/>
    <w:link w:val="TextoindependienteCar"/>
    <w:uiPriority w:val="1"/>
    <w:unhideWhenUsed/>
    <w:qFormat/>
    <w:rsid w:val="00BF6E0F"/>
    <w:pPr>
      <w:spacing w:after="120" w:line="259" w:lineRule="auto"/>
    </w:pPr>
    <w:rPr>
      <w:rFonts w:asciiTheme="minorHAnsi" w:eastAsiaTheme="minorHAnsi" w:hAnsiTheme="minorHAnsi" w:cstheme="minorBidi"/>
      <w:sz w:val="22"/>
      <w:szCs w:val="22"/>
      <w:lang w:val="es-MX" w:eastAsia="en-US"/>
    </w:rPr>
  </w:style>
  <w:style w:type="character" w:customStyle="1" w:styleId="TextoindependienteCar">
    <w:name w:val="Texto independiente Car"/>
    <w:basedOn w:val="Fuentedeprrafopredeter"/>
    <w:link w:val="Textoindependiente"/>
    <w:uiPriority w:val="1"/>
    <w:rsid w:val="00BF6E0F"/>
  </w:style>
  <w:style w:type="character" w:customStyle="1" w:styleId="Ttulo4Car">
    <w:name w:val="Título 4 Car"/>
    <w:basedOn w:val="Fuentedeprrafopredeter"/>
    <w:link w:val="Ttulo4"/>
    <w:uiPriority w:val="9"/>
    <w:rsid w:val="00E93BB3"/>
    <w:rPr>
      <w:rFonts w:ascii="Times New Roman" w:eastAsia="Times New Roman" w:hAnsi="Times New Roman" w:cs="Times New Roman"/>
      <w:b/>
      <w:bCs/>
      <w:sz w:val="24"/>
      <w:szCs w:val="24"/>
      <w:lang w:eastAsia="es-MX"/>
    </w:rPr>
  </w:style>
  <w:style w:type="character" w:customStyle="1" w:styleId="il">
    <w:name w:val="il"/>
    <w:basedOn w:val="Fuentedeprrafopredeter"/>
    <w:rsid w:val="00E93BB3"/>
  </w:style>
  <w:style w:type="character" w:styleId="Textoennegrita">
    <w:name w:val="Strong"/>
    <w:uiPriority w:val="22"/>
    <w:qFormat/>
    <w:rsid w:val="00E93BB3"/>
    <w:rPr>
      <w:b/>
      <w:bCs/>
    </w:rPr>
  </w:style>
  <w:style w:type="character" w:customStyle="1" w:styleId="TextodegloboCar">
    <w:name w:val="Texto de globo Car"/>
    <w:basedOn w:val="Fuentedeprrafopredeter"/>
    <w:link w:val="Textodeglobo"/>
    <w:uiPriority w:val="99"/>
    <w:semiHidden/>
    <w:rsid w:val="00E93BB3"/>
    <w:rPr>
      <w:rFonts w:ascii="Tahoma" w:hAnsi="Tahoma" w:cs="Tahoma"/>
      <w:sz w:val="16"/>
      <w:szCs w:val="16"/>
    </w:rPr>
  </w:style>
  <w:style w:type="paragraph" w:styleId="Textodeglobo">
    <w:name w:val="Balloon Text"/>
    <w:basedOn w:val="Normal"/>
    <w:link w:val="TextodegloboCar"/>
    <w:uiPriority w:val="99"/>
    <w:semiHidden/>
    <w:unhideWhenUsed/>
    <w:rsid w:val="00E93BB3"/>
    <w:rPr>
      <w:rFonts w:ascii="Tahoma" w:eastAsiaTheme="minorHAnsi" w:hAnsi="Tahoma" w:cs="Tahoma"/>
      <w:sz w:val="16"/>
      <w:szCs w:val="16"/>
      <w:lang w:val="es-MX" w:eastAsia="en-US"/>
    </w:rPr>
  </w:style>
  <w:style w:type="character" w:customStyle="1" w:styleId="TextodegloboCar1">
    <w:name w:val="Texto de globo Car1"/>
    <w:basedOn w:val="Fuentedeprrafopredeter"/>
    <w:uiPriority w:val="99"/>
    <w:semiHidden/>
    <w:rsid w:val="00E93BB3"/>
    <w:rPr>
      <w:rFonts w:ascii="Segoe UI" w:eastAsia="Times New Roman" w:hAnsi="Segoe UI" w:cs="Segoe UI"/>
      <w:sz w:val="18"/>
      <w:szCs w:val="18"/>
      <w:lang w:val="es-ES" w:eastAsia="es-ES"/>
    </w:rPr>
  </w:style>
  <w:style w:type="paragraph" w:customStyle="1" w:styleId="n2">
    <w:name w:val="n2"/>
    <w:basedOn w:val="Normal"/>
    <w:rsid w:val="00E93BB3"/>
    <w:pPr>
      <w:spacing w:before="100" w:beforeAutospacing="1" w:after="100" w:afterAutospacing="1"/>
    </w:pPr>
    <w:rPr>
      <w:lang w:val="es-MX"/>
    </w:rPr>
  </w:style>
  <w:style w:type="character" w:styleId="nfasis">
    <w:name w:val="Emphasis"/>
    <w:basedOn w:val="Fuentedeprrafopredeter"/>
    <w:uiPriority w:val="20"/>
    <w:qFormat/>
    <w:rsid w:val="00E93BB3"/>
    <w:rPr>
      <w:i/>
      <w:iCs/>
    </w:rPr>
  </w:style>
  <w:style w:type="paragraph" w:customStyle="1" w:styleId="j">
    <w:name w:val="j"/>
    <w:basedOn w:val="Normal"/>
    <w:rsid w:val="00E93BB3"/>
    <w:pPr>
      <w:spacing w:before="100" w:beforeAutospacing="1" w:after="100" w:afterAutospacing="1"/>
    </w:pPr>
    <w:rPr>
      <w:lang w:val="es-MX"/>
    </w:rPr>
  </w:style>
  <w:style w:type="character" w:customStyle="1" w:styleId="nacep">
    <w:name w:val="n_acep"/>
    <w:basedOn w:val="Fuentedeprrafopredeter"/>
    <w:rsid w:val="00E93BB3"/>
  </w:style>
  <w:style w:type="character" w:customStyle="1" w:styleId="notranslate">
    <w:name w:val="notranslate"/>
    <w:basedOn w:val="Fuentedeprrafopredeter"/>
    <w:rsid w:val="00E93BB3"/>
  </w:style>
  <w:style w:type="character" w:customStyle="1" w:styleId="TextocomentarioCar">
    <w:name w:val="Texto comentario Car"/>
    <w:basedOn w:val="Fuentedeprrafopredeter"/>
    <w:link w:val="Textocomentario"/>
    <w:uiPriority w:val="99"/>
    <w:semiHidden/>
    <w:rsid w:val="00E93BB3"/>
    <w:rPr>
      <w:sz w:val="20"/>
      <w:szCs w:val="20"/>
    </w:rPr>
  </w:style>
  <w:style w:type="paragraph" w:styleId="Textocomentario">
    <w:name w:val="annotation text"/>
    <w:basedOn w:val="Normal"/>
    <w:link w:val="TextocomentarioCar"/>
    <w:uiPriority w:val="99"/>
    <w:semiHidden/>
    <w:unhideWhenUsed/>
    <w:rsid w:val="00E93BB3"/>
    <w:pPr>
      <w:spacing w:after="160"/>
    </w:pPr>
    <w:rPr>
      <w:rFonts w:asciiTheme="minorHAnsi" w:eastAsiaTheme="minorHAnsi" w:hAnsiTheme="minorHAnsi" w:cstheme="minorBidi"/>
      <w:sz w:val="20"/>
      <w:szCs w:val="20"/>
      <w:lang w:val="es-MX" w:eastAsia="en-US"/>
    </w:rPr>
  </w:style>
  <w:style w:type="character" w:customStyle="1" w:styleId="TextocomentarioCar1">
    <w:name w:val="Texto comentario Car1"/>
    <w:basedOn w:val="Fuentedeprrafopredeter"/>
    <w:uiPriority w:val="99"/>
    <w:semiHidden/>
    <w:rsid w:val="00E93BB3"/>
    <w:rPr>
      <w:rFonts w:ascii="Times New Roman" w:eastAsia="Times New Roman" w:hAnsi="Times New Roman" w:cs="Times New Roman"/>
      <w:sz w:val="20"/>
      <w:szCs w:val="20"/>
      <w:lang w:val="es-ES" w:eastAsia="es-ES"/>
    </w:rPr>
  </w:style>
  <w:style w:type="character" w:customStyle="1" w:styleId="AsuntodelcomentarioCar">
    <w:name w:val="Asunto del comentario Car"/>
    <w:basedOn w:val="TextocomentarioCar"/>
    <w:link w:val="Asuntodelcomentario"/>
    <w:uiPriority w:val="99"/>
    <w:semiHidden/>
    <w:rsid w:val="00E93BB3"/>
    <w:rPr>
      <w:b/>
      <w:bCs/>
      <w:sz w:val="20"/>
      <w:szCs w:val="20"/>
    </w:rPr>
  </w:style>
  <w:style w:type="paragraph" w:styleId="Asuntodelcomentario">
    <w:name w:val="annotation subject"/>
    <w:basedOn w:val="Textocomentario"/>
    <w:next w:val="Textocomentario"/>
    <w:link w:val="AsuntodelcomentarioCar"/>
    <w:uiPriority w:val="99"/>
    <w:semiHidden/>
    <w:unhideWhenUsed/>
    <w:rsid w:val="00E93BB3"/>
    <w:rPr>
      <w:b/>
      <w:bCs/>
    </w:rPr>
  </w:style>
  <w:style w:type="character" w:customStyle="1" w:styleId="AsuntodelcomentarioCar1">
    <w:name w:val="Asunto del comentario Car1"/>
    <w:basedOn w:val="TextocomentarioCar1"/>
    <w:uiPriority w:val="99"/>
    <w:semiHidden/>
    <w:rsid w:val="00E93BB3"/>
    <w:rPr>
      <w:rFonts w:ascii="Times New Roman" w:eastAsia="Times New Roman" w:hAnsi="Times New Roman" w:cs="Times New Roman"/>
      <w:b/>
      <w:bCs/>
      <w:sz w:val="20"/>
      <w:szCs w:val="20"/>
      <w:lang w:val="es-ES" w:eastAsia="es-ES"/>
    </w:rPr>
  </w:style>
  <w:style w:type="character" w:customStyle="1" w:styleId="apple-style-span">
    <w:name w:val="apple-style-span"/>
    <w:rsid w:val="00E93BB3"/>
  </w:style>
  <w:style w:type="paragraph" w:customStyle="1" w:styleId="paragraph">
    <w:name w:val="paragraph"/>
    <w:basedOn w:val="Normal"/>
    <w:rsid w:val="00E93BB3"/>
    <w:pPr>
      <w:spacing w:before="100" w:beforeAutospacing="1" w:after="100" w:afterAutospacing="1"/>
    </w:pPr>
    <w:rPr>
      <w:lang w:val="es-MX"/>
    </w:rPr>
  </w:style>
  <w:style w:type="character" w:customStyle="1" w:styleId="normaltextrun">
    <w:name w:val="normaltextrun"/>
    <w:basedOn w:val="Fuentedeprrafopredeter"/>
    <w:rsid w:val="00E93BB3"/>
  </w:style>
  <w:style w:type="paragraph" w:customStyle="1" w:styleId="Body1">
    <w:name w:val="Body 1"/>
    <w:rsid w:val="00E93BB3"/>
    <w:pPr>
      <w:spacing w:after="200" w:line="276" w:lineRule="auto"/>
      <w:outlineLvl w:val="0"/>
    </w:pPr>
    <w:rPr>
      <w:rFonts w:ascii="Helvetica" w:eastAsia="Arial Unicode MS" w:hAnsi="Helvetica" w:cs="Times New Roman"/>
      <w:color w:val="000000"/>
      <w:szCs w:val="20"/>
      <w:u w:color="000000"/>
      <w:lang w:eastAsia="es-MX"/>
    </w:rPr>
  </w:style>
  <w:style w:type="paragraph" w:styleId="Textosinformato">
    <w:name w:val="Plain Text"/>
    <w:basedOn w:val="Normal"/>
    <w:link w:val="TextosinformatoCar"/>
    <w:rsid w:val="00E93BB3"/>
    <w:rPr>
      <w:rFonts w:ascii="Courier New" w:hAnsi="Courier New"/>
      <w:sz w:val="20"/>
      <w:szCs w:val="20"/>
    </w:rPr>
  </w:style>
  <w:style w:type="character" w:customStyle="1" w:styleId="TextosinformatoCar">
    <w:name w:val="Texto sin formato Car"/>
    <w:basedOn w:val="Fuentedeprrafopredeter"/>
    <w:link w:val="Textosinformato"/>
    <w:rsid w:val="00E93BB3"/>
    <w:rPr>
      <w:rFonts w:ascii="Courier New" w:eastAsia="Times New Roman" w:hAnsi="Courier New" w:cs="Times New Roman"/>
      <w:sz w:val="20"/>
      <w:szCs w:val="20"/>
      <w:lang w:val="es-ES" w:eastAsia="es-ES"/>
    </w:rPr>
  </w:style>
  <w:style w:type="character" w:customStyle="1" w:styleId="lbl-encabezado-negro">
    <w:name w:val="lbl-encabezado-negro"/>
    <w:basedOn w:val="Fuentedeprrafopredeter"/>
    <w:rsid w:val="00E93BB3"/>
  </w:style>
  <w:style w:type="character" w:customStyle="1" w:styleId="red">
    <w:name w:val="red"/>
    <w:basedOn w:val="Fuentedeprrafopredeter"/>
    <w:rsid w:val="00E93BB3"/>
  </w:style>
  <w:style w:type="paragraph" w:customStyle="1" w:styleId="francesa">
    <w:name w:val="francesa"/>
    <w:basedOn w:val="Normal"/>
    <w:rsid w:val="00E93BB3"/>
    <w:pPr>
      <w:spacing w:before="100" w:beforeAutospacing="1" w:after="100" w:afterAutospacing="1"/>
    </w:pPr>
    <w:rPr>
      <w:lang w:val="es-MX"/>
    </w:rPr>
  </w:style>
  <w:style w:type="paragraph" w:customStyle="1" w:styleId="Pa0">
    <w:name w:val="Pa0"/>
    <w:basedOn w:val="Default"/>
    <w:next w:val="Default"/>
    <w:uiPriority w:val="99"/>
    <w:rsid w:val="00E93BB3"/>
    <w:pPr>
      <w:spacing w:line="221" w:lineRule="atLeast"/>
    </w:pPr>
    <w:rPr>
      <w:rFonts w:ascii="Arial" w:hAnsi="Arial" w:cs="Arial"/>
      <w:color w:val="auto"/>
    </w:rPr>
  </w:style>
  <w:style w:type="paragraph" w:customStyle="1" w:styleId="j2">
    <w:name w:val="j2"/>
    <w:basedOn w:val="Normal"/>
    <w:rsid w:val="00E93BB3"/>
    <w:pPr>
      <w:spacing w:before="100" w:beforeAutospacing="1" w:after="100" w:afterAutospacing="1"/>
    </w:pPr>
    <w:rPr>
      <w:lang w:val="es-MX"/>
    </w:rPr>
  </w:style>
  <w:style w:type="paragraph" w:customStyle="1" w:styleId="o">
    <w:name w:val="o"/>
    <w:basedOn w:val="Normal"/>
    <w:rsid w:val="00E93BB3"/>
    <w:pPr>
      <w:spacing w:before="100" w:beforeAutospacing="1" w:after="100" w:afterAutospacing="1"/>
    </w:pPr>
    <w:rPr>
      <w:lang w:val="es-MX"/>
    </w:rPr>
  </w:style>
  <w:style w:type="character" w:customStyle="1" w:styleId="h">
    <w:name w:val="h"/>
    <w:basedOn w:val="Fuentedeprrafopredeter"/>
    <w:rsid w:val="00E93BB3"/>
  </w:style>
  <w:style w:type="character" w:customStyle="1" w:styleId="i1">
    <w:name w:val="i1"/>
    <w:basedOn w:val="Fuentedeprrafopredeter"/>
    <w:rsid w:val="00E93BB3"/>
  </w:style>
  <w:style w:type="paragraph" w:styleId="Sangradetextonormal">
    <w:name w:val="Body Text Indent"/>
    <w:basedOn w:val="Normal"/>
    <w:link w:val="SangradetextonormalCar"/>
    <w:uiPriority w:val="99"/>
    <w:unhideWhenUsed/>
    <w:rsid w:val="00E93BB3"/>
    <w:pPr>
      <w:spacing w:after="120" w:line="276" w:lineRule="auto"/>
      <w:ind w:left="283"/>
    </w:pPr>
    <w:rPr>
      <w:rFonts w:ascii="Calibri" w:eastAsia="Calibri" w:hAnsi="Calibri"/>
      <w:sz w:val="22"/>
      <w:szCs w:val="22"/>
      <w:lang w:val="es-MX" w:eastAsia="en-US"/>
    </w:rPr>
  </w:style>
  <w:style w:type="character" w:customStyle="1" w:styleId="SangradetextonormalCar">
    <w:name w:val="Sangría de texto normal Car"/>
    <w:basedOn w:val="Fuentedeprrafopredeter"/>
    <w:link w:val="Sangradetextonormal"/>
    <w:uiPriority w:val="99"/>
    <w:rsid w:val="00E93BB3"/>
    <w:rPr>
      <w:rFonts w:ascii="Calibri" w:eastAsia="Calibri" w:hAnsi="Calibri" w:cs="Times New Roman"/>
    </w:rPr>
  </w:style>
  <w:style w:type="character" w:customStyle="1" w:styleId="Ttulo3Car">
    <w:name w:val="Título 3 Car"/>
    <w:basedOn w:val="Fuentedeprrafopredeter"/>
    <w:link w:val="Ttulo3"/>
    <w:uiPriority w:val="9"/>
    <w:rsid w:val="009D7E06"/>
    <w:rPr>
      <w:rFonts w:ascii="Times New Roman" w:eastAsia="Times New Roman" w:hAnsi="Times New Roman" w:cs="Times New Roman"/>
      <w:b/>
      <w:bCs/>
      <w:sz w:val="27"/>
      <w:szCs w:val="27"/>
      <w:lang w:eastAsia="es-MX"/>
    </w:rPr>
  </w:style>
  <w:style w:type="character" w:customStyle="1" w:styleId="Ttulo5Car">
    <w:name w:val="Título 5 Car"/>
    <w:basedOn w:val="Fuentedeprrafopredeter"/>
    <w:link w:val="Ttulo5"/>
    <w:rsid w:val="009D7E06"/>
    <w:rPr>
      <w:rFonts w:asciiTheme="majorHAnsi" w:eastAsiaTheme="majorEastAsia" w:hAnsiTheme="majorHAnsi" w:cstheme="majorBidi"/>
      <w:color w:val="2E74B5" w:themeColor="accent1" w:themeShade="BF"/>
      <w:sz w:val="24"/>
      <w:szCs w:val="24"/>
      <w:lang w:val="es-ES" w:eastAsia="es-ES"/>
    </w:rPr>
  </w:style>
  <w:style w:type="character" w:customStyle="1" w:styleId="Ttulo6Car">
    <w:name w:val="Título 6 Car"/>
    <w:basedOn w:val="Fuentedeprrafopredeter"/>
    <w:link w:val="Ttulo6"/>
    <w:rsid w:val="009D7E06"/>
    <w:rPr>
      <w:rFonts w:asciiTheme="majorHAnsi" w:eastAsiaTheme="majorEastAsia" w:hAnsiTheme="majorHAnsi" w:cstheme="majorBidi"/>
      <w:color w:val="1F4D78" w:themeColor="accent1" w:themeShade="7F"/>
      <w:sz w:val="24"/>
      <w:szCs w:val="24"/>
      <w:lang w:val="es-ES" w:eastAsia="es-ES"/>
    </w:rPr>
  </w:style>
  <w:style w:type="character" w:styleId="Hipervnculovisitado">
    <w:name w:val="FollowedHyperlink"/>
    <w:basedOn w:val="Fuentedeprrafopredeter"/>
    <w:uiPriority w:val="99"/>
    <w:semiHidden/>
    <w:unhideWhenUsed/>
    <w:rsid w:val="009D7E06"/>
    <w:rPr>
      <w:color w:val="954F72" w:themeColor="followedHyperlink"/>
      <w:u w:val="single"/>
    </w:rPr>
  </w:style>
  <w:style w:type="paragraph" w:styleId="Textoindependiente2">
    <w:name w:val="Body Text 2"/>
    <w:basedOn w:val="Normal"/>
    <w:link w:val="Textoindependiente2Car"/>
    <w:uiPriority w:val="99"/>
    <w:unhideWhenUsed/>
    <w:rsid w:val="009D7E06"/>
    <w:pPr>
      <w:spacing w:after="120" w:line="480" w:lineRule="auto"/>
    </w:pPr>
    <w:rPr>
      <w:lang w:val="es-MX"/>
    </w:rPr>
  </w:style>
  <w:style w:type="character" w:customStyle="1" w:styleId="Textoindependiente2Car">
    <w:name w:val="Texto independiente 2 Car"/>
    <w:basedOn w:val="Fuentedeprrafopredeter"/>
    <w:link w:val="Textoindependiente2"/>
    <w:uiPriority w:val="99"/>
    <w:rsid w:val="009D7E06"/>
    <w:rPr>
      <w:rFonts w:ascii="Times New Roman" w:eastAsia="Times New Roman" w:hAnsi="Times New Roman" w:cs="Times New Roman"/>
      <w:sz w:val="24"/>
      <w:szCs w:val="24"/>
      <w:lang w:eastAsia="es-ES"/>
    </w:rPr>
  </w:style>
  <w:style w:type="character" w:styleId="Refdecomentario">
    <w:name w:val="annotation reference"/>
    <w:basedOn w:val="Fuentedeprrafopredeter"/>
    <w:uiPriority w:val="99"/>
    <w:semiHidden/>
    <w:unhideWhenUsed/>
    <w:rsid w:val="009D7E06"/>
    <w:rPr>
      <w:sz w:val="16"/>
      <w:szCs w:val="16"/>
    </w:rPr>
  </w:style>
  <w:style w:type="paragraph" w:customStyle="1" w:styleId="Listavistosa-nfasis11">
    <w:name w:val="Lista vistosa - Énfasis 11"/>
    <w:basedOn w:val="Normal"/>
    <w:link w:val="Listavistosa-nfasis1Car"/>
    <w:uiPriority w:val="34"/>
    <w:qFormat/>
    <w:rsid w:val="009D7E06"/>
    <w:pPr>
      <w:ind w:left="708"/>
    </w:pPr>
    <w:rPr>
      <w:lang w:val="es-MX"/>
    </w:rPr>
  </w:style>
  <w:style w:type="character" w:customStyle="1" w:styleId="Listavistosa-nfasis1Car">
    <w:name w:val="Lista vistosa - Énfasis 1 Car"/>
    <w:link w:val="Listavistosa-nfasis11"/>
    <w:uiPriority w:val="34"/>
    <w:locked/>
    <w:rsid w:val="009D7E06"/>
    <w:rPr>
      <w:rFonts w:ascii="Times New Roman" w:eastAsia="Times New Roman" w:hAnsi="Times New Roman" w:cs="Times New Roman"/>
      <w:sz w:val="24"/>
      <w:szCs w:val="24"/>
      <w:lang w:eastAsia="es-ES"/>
    </w:rPr>
  </w:style>
  <w:style w:type="paragraph" w:customStyle="1" w:styleId="Texto">
    <w:name w:val="Texto"/>
    <w:basedOn w:val="Normal"/>
    <w:link w:val="TextoCar"/>
    <w:qFormat/>
    <w:rsid w:val="009D7E06"/>
    <w:pPr>
      <w:spacing w:after="101" w:line="216" w:lineRule="exact"/>
      <w:ind w:firstLine="288"/>
      <w:jc w:val="both"/>
    </w:pPr>
    <w:rPr>
      <w:rFonts w:ascii="Arial" w:hAnsi="Arial" w:cs="Arial"/>
      <w:sz w:val="18"/>
      <w:szCs w:val="18"/>
      <w:lang w:val="es-MX"/>
    </w:rPr>
  </w:style>
  <w:style w:type="paragraph" w:customStyle="1" w:styleId="Standard">
    <w:name w:val="Standard"/>
    <w:rsid w:val="009D7E06"/>
    <w:pPr>
      <w:widowControl w:val="0"/>
      <w:suppressAutoHyphens/>
      <w:autoSpaceDN w:val="0"/>
      <w:spacing w:after="0" w:line="240" w:lineRule="auto"/>
      <w:textAlignment w:val="baseline"/>
    </w:pPr>
    <w:rPr>
      <w:rFonts w:ascii="Liberation Serif" w:eastAsia="DejaVu Sans" w:hAnsi="Liberation Serif" w:cs="Lohit Hindi"/>
      <w:kern w:val="3"/>
      <w:sz w:val="24"/>
      <w:szCs w:val="24"/>
      <w:lang w:eastAsia="zh-CN" w:bidi="hi-IN"/>
    </w:rPr>
  </w:style>
  <w:style w:type="character" w:customStyle="1" w:styleId="negritas1">
    <w:name w:val="negritas1"/>
    <w:rsid w:val="009D7E06"/>
    <w:rPr>
      <w:rFonts w:ascii="Arial" w:hAnsi="Arial" w:cs="Arial" w:hint="default"/>
      <w:b/>
      <w:bCs/>
      <w:sz w:val="18"/>
      <w:szCs w:val="18"/>
    </w:rPr>
  </w:style>
  <w:style w:type="paragraph" w:customStyle="1" w:styleId="Pa2">
    <w:name w:val="Pa2"/>
    <w:basedOn w:val="Normal"/>
    <w:next w:val="Normal"/>
    <w:uiPriority w:val="99"/>
    <w:rsid w:val="009D7E06"/>
    <w:pPr>
      <w:autoSpaceDE w:val="0"/>
      <w:autoSpaceDN w:val="0"/>
      <w:adjustRightInd w:val="0"/>
      <w:spacing w:line="240" w:lineRule="atLeast"/>
    </w:pPr>
    <w:rPr>
      <w:rFonts w:ascii="Helvetica" w:hAnsi="Helvetica"/>
      <w:lang w:eastAsia="es-ES_tradnl"/>
    </w:rPr>
  </w:style>
  <w:style w:type="paragraph" w:customStyle="1" w:styleId="q">
    <w:name w:val="q"/>
    <w:basedOn w:val="Normal"/>
    <w:rsid w:val="009D7E06"/>
    <w:pPr>
      <w:spacing w:before="100" w:beforeAutospacing="1" w:after="100" w:afterAutospacing="1"/>
    </w:pPr>
    <w:rPr>
      <w:lang w:val="es-MX"/>
    </w:rPr>
  </w:style>
  <w:style w:type="character" w:customStyle="1" w:styleId="d">
    <w:name w:val="d"/>
    <w:basedOn w:val="Fuentedeprrafopredeter"/>
    <w:rsid w:val="009D7E06"/>
  </w:style>
  <w:style w:type="character" w:customStyle="1" w:styleId="b">
    <w:name w:val="b"/>
    <w:basedOn w:val="Fuentedeprrafopredeter"/>
    <w:rsid w:val="009D7E06"/>
  </w:style>
  <w:style w:type="character" w:customStyle="1" w:styleId="k">
    <w:name w:val="k"/>
    <w:basedOn w:val="Fuentedeprrafopredeter"/>
    <w:rsid w:val="009D7E06"/>
  </w:style>
  <w:style w:type="character" w:styleId="CitaHTML">
    <w:name w:val="HTML Cite"/>
    <w:uiPriority w:val="99"/>
    <w:semiHidden/>
    <w:unhideWhenUsed/>
    <w:rsid w:val="009D7E06"/>
    <w:rPr>
      <w:i/>
      <w:iCs/>
    </w:rPr>
  </w:style>
  <w:style w:type="paragraph" w:customStyle="1" w:styleId="RSCGnotaalpie">
    <w:name w:val="RSCG nota al pie"/>
    <w:basedOn w:val="Normal"/>
    <w:uiPriority w:val="99"/>
    <w:qFormat/>
    <w:rsid w:val="009D7E06"/>
    <w:pPr>
      <w:spacing w:after="120"/>
      <w:jc w:val="both"/>
    </w:pPr>
    <w:rPr>
      <w:rFonts w:ascii="Palatino" w:hAnsi="Palatino" w:cstheme="minorBidi"/>
      <w:sz w:val="22"/>
      <w:szCs w:val="22"/>
      <w:lang w:val="es-MX" w:eastAsia="en-US"/>
    </w:rPr>
  </w:style>
  <w:style w:type="character" w:customStyle="1" w:styleId="lbl-encabezado-blanco2">
    <w:name w:val="lbl-encabezado-blanco2"/>
    <w:rsid w:val="009D7E06"/>
    <w:rPr>
      <w:color w:val="FFFFFF"/>
    </w:rPr>
  </w:style>
  <w:style w:type="character" w:customStyle="1" w:styleId="TextoCar">
    <w:name w:val="Texto Car"/>
    <w:link w:val="Texto"/>
    <w:locked/>
    <w:rsid w:val="009D7E06"/>
    <w:rPr>
      <w:rFonts w:ascii="Arial" w:eastAsia="Times New Roman" w:hAnsi="Arial" w:cs="Arial"/>
      <w:sz w:val="18"/>
      <w:szCs w:val="18"/>
      <w:lang w:eastAsia="es-ES"/>
    </w:rPr>
  </w:style>
  <w:style w:type="paragraph" w:customStyle="1" w:styleId="ANOTACION">
    <w:name w:val="ANOTACION"/>
    <w:basedOn w:val="Normal"/>
    <w:link w:val="ANOTACIONCar"/>
    <w:rsid w:val="009D7E06"/>
    <w:pPr>
      <w:spacing w:before="101" w:after="101"/>
      <w:jc w:val="center"/>
    </w:pPr>
    <w:rPr>
      <w:b/>
      <w:sz w:val="18"/>
      <w:szCs w:val="18"/>
      <w:lang w:val="es-MX"/>
    </w:rPr>
  </w:style>
  <w:style w:type="character" w:customStyle="1" w:styleId="ANOTACIONCar">
    <w:name w:val="ANOTACION Car"/>
    <w:link w:val="ANOTACION"/>
    <w:locked/>
    <w:rsid w:val="009D7E06"/>
    <w:rPr>
      <w:rFonts w:ascii="Times New Roman" w:eastAsia="Times New Roman" w:hAnsi="Times New Roman" w:cs="Times New Roman"/>
      <w:b/>
      <w:sz w:val="18"/>
      <w:szCs w:val="18"/>
      <w:lang w:eastAsia="es-ES"/>
    </w:rPr>
  </w:style>
  <w:style w:type="paragraph" w:styleId="Bibliografa">
    <w:name w:val="Bibliography"/>
    <w:basedOn w:val="Normal"/>
    <w:next w:val="Normal"/>
    <w:uiPriority w:val="37"/>
    <w:semiHidden/>
    <w:unhideWhenUsed/>
    <w:rsid w:val="009D7E06"/>
    <w:rPr>
      <w:lang w:val="es-MX"/>
    </w:rPr>
  </w:style>
  <w:style w:type="paragraph" w:customStyle="1" w:styleId="ROMANOS">
    <w:name w:val="ROMANOS"/>
    <w:basedOn w:val="Normal"/>
    <w:link w:val="ROMANOSCar"/>
    <w:rsid w:val="009D7E06"/>
    <w:pPr>
      <w:tabs>
        <w:tab w:val="left" w:pos="720"/>
      </w:tabs>
      <w:spacing w:after="101" w:line="216" w:lineRule="exact"/>
      <w:ind w:left="720" w:hanging="432"/>
      <w:jc w:val="both"/>
    </w:pPr>
    <w:rPr>
      <w:rFonts w:ascii="Arial" w:hAnsi="Arial" w:cs="Arial"/>
      <w:sz w:val="18"/>
      <w:szCs w:val="18"/>
    </w:rPr>
  </w:style>
  <w:style w:type="character" w:customStyle="1" w:styleId="ROMANOSCar">
    <w:name w:val="ROMANOS Car"/>
    <w:link w:val="ROMANOS"/>
    <w:locked/>
    <w:rsid w:val="009D7E06"/>
    <w:rPr>
      <w:rFonts w:ascii="Arial" w:eastAsia="Times New Roman" w:hAnsi="Arial" w:cs="Arial"/>
      <w:sz w:val="18"/>
      <w:szCs w:val="18"/>
      <w:lang w:val="es-ES" w:eastAsia="es-ES"/>
    </w:rPr>
  </w:style>
  <w:style w:type="character" w:customStyle="1" w:styleId="m1553324590483875794gmail-m8993139698400752374gmail-apple-converted-space">
    <w:name w:val="m_1553324590483875794gmail-m_8993139698400752374gmail-apple-converted-space"/>
    <w:basedOn w:val="Fuentedeprrafopredeter"/>
    <w:rsid w:val="009D7E06"/>
  </w:style>
  <w:style w:type="character" w:customStyle="1" w:styleId="Ninguno">
    <w:name w:val="Ninguno"/>
    <w:rsid w:val="009D7E06"/>
    <w:rPr>
      <w:lang w:val="es-ES_tradnl"/>
    </w:rPr>
  </w:style>
  <w:style w:type="paragraph" w:customStyle="1" w:styleId="Cuerpo">
    <w:name w:val="Cuerpo"/>
    <w:rsid w:val="009D7E06"/>
    <w:pPr>
      <w:pBdr>
        <w:top w:val="nil"/>
        <w:left w:val="nil"/>
        <w:bottom w:val="nil"/>
        <w:right w:val="nil"/>
        <w:between w:val="nil"/>
        <w:bar w:val="nil"/>
      </w:pBdr>
    </w:pPr>
    <w:rPr>
      <w:rFonts w:ascii="Calibri" w:eastAsia="Calibri" w:hAnsi="Calibri" w:cs="Calibri"/>
      <w:color w:val="000000"/>
      <w:u w:color="000000"/>
      <w:bdr w:val="nil"/>
      <w:lang w:val="de-DE" w:eastAsia="es-ES"/>
    </w:rPr>
  </w:style>
  <w:style w:type="numbering" w:customStyle="1" w:styleId="Estiloimportado2">
    <w:name w:val="Estilo importado 2"/>
    <w:rsid w:val="009D7E06"/>
    <w:pPr>
      <w:numPr>
        <w:numId w:val="2"/>
      </w:numPr>
    </w:pPr>
  </w:style>
  <w:style w:type="numbering" w:customStyle="1" w:styleId="Estiloimportado1">
    <w:name w:val="Estilo importado 1"/>
    <w:qFormat/>
    <w:rsid w:val="009D7E06"/>
    <w:pPr>
      <w:numPr>
        <w:numId w:val="3"/>
      </w:numPr>
    </w:pPr>
  </w:style>
  <w:style w:type="paragraph" w:customStyle="1" w:styleId="INCISO">
    <w:name w:val="INCISO"/>
    <w:basedOn w:val="Normal"/>
    <w:rsid w:val="009D7E06"/>
    <w:pPr>
      <w:spacing w:after="101" w:line="216" w:lineRule="exact"/>
      <w:ind w:left="1080" w:hanging="360"/>
      <w:jc w:val="both"/>
    </w:pPr>
    <w:rPr>
      <w:rFonts w:ascii="Arial" w:hAnsi="Arial" w:cs="Arial"/>
      <w:sz w:val="18"/>
      <w:szCs w:val="18"/>
    </w:rPr>
  </w:style>
  <w:style w:type="paragraph" w:customStyle="1" w:styleId="m5212863947045306324gmail-msonormal">
    <w:name w:val="m_5212863947045306324gmail-msonormal"/>
    <w:basedOn w:val="Normal"/>
    <w:rsid w:val="009D7E06"/>
    <w:pPr>
      <w:spacing w:before="100" w:beforeAutospacing="1" w:after="100" w:afterAutospacing="1"/>
    </w:pPr>
    <w:rPr>
      <w:lang w:val="es-MX"/>
    </w:rPr>
  </w:style>
  <w:style w:type="character" w:customStyle="1" w:styleId="user-highlighted-active">
    <w:name w:val="user-highlighted-active"/>
    <w:basedOn w:val="Fuentedeprrafopredeter"/>
    <w:rsid w:val="009D7E06"/>
  </w:style>
  <w:style w:type="paragraph" w:styleId="Lista">
    <w:name w:val="List"/>
    <w:basedOn w:val="Normal"/>
    <w:uiPriority w:val="99"/>
    <w:unhideWhenUsed/>
    <w:rsid w:val="009D7E06"/>
    <w:pPr>
      <w:ind w:left="283" w:hanging="283"/>
      <w:contextualSpacing/>
    </w:pPr>
  </w:style>
  <w:style w:type="paragraph" w:styleId="Lista2">
    <w:name w:val="List 2"/>
    <w:basedOn w:val="Normal"/>
    <w:uiPriority w:val="99"/>
    <w:unhideWhenUsed/>
    <w:rsid w:val="009D7E06"/>
    <w:pPr>
      <w:ind w:left="566" w:hanging="283"/>
      <w:contextualSpacing/>
    </w:pPr>
  </w:style>
  <w:style w:type="paragraph" w:styleId="Lista3">
    <w:name w:val="List 3"/>
    <w:basedOn w:val="Normal"/>
    <w:uiPriority w:val="99"/>
    <w:unhideWhenUsed/>
    <w:rsid w:val="009D7E06"/>
    <w:pPr>
      <w:ind w:left="849" w:hanging="283"/>
      <w:contextualSpacing/>
    </w:pPr>
  </w:style>
  <w:style w:type="paragraph" w:styleId="Textoindependienteprimerasangra2">
    <w:name w:val="Body Text First Indent 2"/>
    <w:basedOn w:val="Sangradetextonormal"/>
    <w:link w:val="Textoindependienteprimerasangra2Car"/>
    <w:uiPriority w:val="99"/>
    <w:unhideWhenUsed/>
    <w:rsid w:val="009D7E06"/>
    <w:pPr>
      <w:spacing w:after="0" w:line="240" w:lineRule="auto"/>
      <w:ind w:left="360" w:firstLine="360"/>
    </w:pPr>
    <w:rPr>
      <w:rFonts w:ascii="Times New Roman" w:eastAsia="Times New Roman" w:hAnsi="Times New Roman"/>
      <w:sz w:val="24"/>
      <w:szCs w:val="24"/>
      <w:lang w:val="es-ES" w:eastAsia="es-ES"/>
    </w:rPr>
  </w:style>
  <w:style w:type="character" w:customStyle="1" w:styleId="Textoindependienteprimerasangra2Car">
    <w:name w:val="Texto independiente primera sangría 2 Car"/>
    <w:basedOn w:val="SangradetextonormalCar"/>
    <w:link w:val="Textoindependienteprimerasangra2"/>
    <w:uiPriority w:val="99"/>
    <w:rsid w:val="009D7E06"/>
    <w:rPr>
      <w:rFonts w:ascii="Times New Roman" w:eastAsia="Times New Roman" w:hAnsi="Times New Roman" w:cs="Times New Roman"/>
      <w:sz w:val="24"/>
      <w:szCs w:val="24"/>
      <w:lang w:val="es-ES" w:eastAsia="es-ES"/>
    </w:rPr>
  </w:style>
  <w:style w:type="character" w:customStyle="1" w:styleId="numberfracccentro">
    <w:name w:val="numberfracccentro"/>
    <w:basedOn w:val="Fuentedeprrafopredeter"/>
    <w:rsid w:val="009D7E06"/>
  </w:style>
  <w:style w:type="character" w:customStyle="1" w:styleId="titulorubrolgt">
    <w:name w:val="titulorubrolgt"/>
    <w:basedOn w:val="Fuentedeprrafopredeter"/>
    <w:rsid w:val="009D7E06"/>
  </w:style>
  <w:style w:type="paragraph" w:customStyle="1" w:styleId="Text">
    <w:name w:val="Text"/>
    <w:basedOn w:val="Normal"/>
    <w:link w:val="TextChar"/>
    <w:rsid w:val="009D7E06"/>
    <w:pPr>
      <w:spacing w:after="240"/>
    </w:pPr>
    <w:rPr>
      <w:szCs w:val="20"/>
      <w:lang w:val="en-US" w:eastAsia="en-US"/>
    </w:rPr>
  </w:style>
  <w:style w:type="character" w:customStyle="1" w:styleId="TextChar">
    <w:name w:val="Text Char"/>
    <w:link w:val="Text"/>
    <w:locked/>
    <w:rsid w:val="009D7E06"/>
    <w:rPr>
      <w:rFonts w:ascii="Times New Roman" w:eastAsia="Times New Roman" w:hAnsi="Times New Roman" w:cs="Times New Roman"/>
      <w:sz w:val="24"/>
      <w:szCs w:val="20"/>
      <w:lang w:val="en-US"/>
    </w:rPr>
  </w:style>
  <w:style w:type="paragraph" w:customStyle="1" w:styleId="corte5transcripcion">
    <w:name w:val="corte5 transcripcion"/>
    <w:basedOn w:val="Normal"/>
    <w:rsid w:val="009D7E06"/>
    <w:pPr>
      <w:spacing w:line="360" w:lineRule="auto"/>
      <w:ind w:left="709" w:right="709"/>
      <w:jc w:val="both"/>
    </w:pPr>
    <w:rPr>
      <w:rFonts w:ascii="Arial" w:hAnsi="Arial" w:cs="Arial"/>
      <w:b/>
      <w:bCs/>
      <w:i/>
      <w:iCs/>
      <w:sz w:val="30"/>
      <w:szCs w:val="30"/>
      <w:lang w:val="es-MX"/>
    </w:rPr>
  </w:style>
  <w:style w:type="paragraph" w:customStyle="1" w:styleId="FAFunotente1">
    <w:name w:val="FA Fu?notente1"/>
    <w:basedOn w:val="Normal"/>
    <w:next w:val="Textonotapie"/>
    <w:uiPriority w:val="99"/>
    <w:rsid w:val="009D7E06"/>
    <w:rPr>
      <w:rFonts w:asciiTheme="minorHAnsi" w:eastAsia="Cambria" w:hAnsiTheme="minorHAnsi" w:cstheme="minorBidi"/>
      <w:sz w:val="20"/>
      <w:szCs w:val="20"/>
      <w:lang w:val="es-MX" w:eastAsia="en-US"/>
    </w:rPr>
  </w:style>
  <w:style w:type="table" w:customStyle="1" w:styleId="Tablaconcuadrcula1">
    <w:name w:val="Tabla con cuadrícula1"/>
    <w:basedOn w:val="Tablanormal"/>
    <w:next w:val="Tablaconcuadrcula"/>
    <w:uiPriority w:val="59"/>
    <w:rsid w:val="009D7E06"/>
    <w:pPr>
      <w:spacing w:after="0" w:line="240" w:lineRule="auto"/>
    </w:pPr>
    <w:rPr>
      <w:rFonts w:ascii="Calibri" w:eastAsia="Calibri" w:hAnsi="Calibri" w:cs="Times New Roman"/>
      <w:lang w:val="es-ES"/>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aconcuadrcula2">
    <w:name w:val="Tabla con cuadrícula2"/>
    <w:basedOn w:val="Tablanormal"/>
    <w:next w:val="Tablaconcuadrcula"/>
    <w:uiPriority w:val="39"/>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9D7E06"/>
    <w:rPr>
      <w:color w:val="605E5C"/>
      <w:shd w:val="clear" w:color="auto" w:fill="E1DFDD"/>
    </w:rPr>
  </w:style>
  <w:style w:type="paragraph" w:customStyle="1" w:styleId="temp">
    <w:name w:val="temp"/>
    <w:basedOn w:val="Normal"/>
    <w:rsid w:val="009D7E06"/>
    <w:pPr>
      <w:spacing w:before="100" w:beforeAutospacing="1" w:after="100" w:afterAutospacing="1"/>
    </w:pPr>
    <w:rPr>
      <w:lang w:val="es-MX"/>
    </w:rPr>
  </w:style>
  <w:style w:type="character" w:customStyle="1" w:styleId="bold">
    <w:name w:val="bold"/>
    <w:basedOn w:val="Fuentedeprrafopredeter"/>
    <w:rsid w:val="009D7E06"/>
  </w:style>
  <w:style w:type="paragraph" w:customStyle="1" w:styleId="ng-star-inserted">
    <w:name w:val="ng-star-inserted"/>
    <w:basedOn w:val="Normal"/>
    <w:rsid w:val="009D7E06"/>
    <w:pPr>
      <w:spacing w:before="100" w:beforeAutospacing="1" w:after="100" w:afterAutospacing="1"/>
    </w:pPr>
    <w:rPr>
      <w:lang w:val="es-MX"/>
    </w:rPr>
  </w:style>
  <w:style w:type="character" w:customStyle="1" w:styleId="Mencinsinresolver2">
    <w:name w:val="Mención sin resolver2"/>
    <w:basedOn w:val="Fuentedeprrafopredeter"/>
    <w:uiPriority w:val="99"/>
    <w:semiHidden/>
    <w:unhideWhenUsed/>
    <w:rsid w:val="009D7E06"/>
    <w:rPr>
      <w:color w:val="605E5C"/>
      <w:shd w:val="clear" w:color="auto" w:fill="E1DFDD"/>
    </w:rPr>
  </w:style>
  <w:style w:type="character" w:customStyle="1" w:styleId="Mencinsinresolver3">
    <w:name w:val="Mención sin resolver3"/>
    <w:basedOn w:val="Fuentedeprrafopredeter"/>
    <w:uiPriority w:val="99"/>
    <w:semiHidden/>
    <w:unhideWhenUsed/>
    <w:rsid w:val="009D7E06"/>
    <w:rPr>
      <w:color w:val="605E5C"/>
      <w:shd w:val="clear" w:color="auto" w:fill="E1DFDD"/>
    </w:rPr>
  </w:style>
  <w:style w:type="paragraph" w:styleId="Saludo">
    <w:name w:val="Salutation"/>
    <w:basedOn w:val="Normal"/>
    <w:next w:val="Normal"/>
    <w:link w:val="SaludoCar"/>
    <w:uiPriority w:val="99"/>
    <w:unhideWhenUsed/>
    <w:rsid w:val="009D7E06"/>
    <w:rPr>
      <w:lang w:val="es-MX"/>
    </w:rPr>
  </w:style>
  <w:style w:type="character" w:customStyle="1" w:styleId="SaludoCar">
    <w:name w:val="Saludo Car"/>
    <w:basedOn w:val="Fuentedeprrafopredeter"/>
    <w:link w:val="Saludo"/>
    <w:uiPriority w:val="99"/>
    <w:rsid w:val="009D7E06"/>
    <w:rPr>
      <w:rFonts w:ascii="Times New Roman" w:eastAsia="Times New Roman" w:hAnsi="Times New Roman" w:cs="Times New Roman"/>
      <w:sz w:val="24"/>
      <w:szCs w:val="24"/>
      <w:lang w:eastAsia="es-ES"/>
    </w:rPr>
  </w:style>
  <w:style w:type="character" w:customStyle="1" w:styleId="Caracteresdenotaalpie">
    <w:name w:val="Caracteres de nota al pie"/>
    <w:qFormat/>
    <w:rsid w:val="009D7E06"/>
  </w:style>
  <w:style w:type="character" w:customStyle="1" w:styleId="Mencinsinresolver4">
    <w:name w:val="Mención sin resolver4"/>
    <w:basedOn w:val="Fuentedeprrafopredeter"/>
    <w:uiPriority w:val="99"/>
    <w:semiHidden/>
    <w:unhideWhenUsed/>
    <w:rsid w:val="009D7E06"/>
    <w:rPr>
      <w:color w:val="605E5C"/>
      <w:shd w:val="clear" w:color="auto" w:fill="E1DFDD"/>
    </w:rPr>
  </w:style>
  <w:style w:type="paragraph" w:styleId="Revisin">
    <w:name w:val="Revision"/>
    <w:hidden/>
    <w:uiPriority w:val="99"/>
    <w:semiHidden/>
    <w:rsid w:val="009D7E06"/>
    <w:pPr>
      <w:spacing w:after="0" w:line="240" w:lineRule="auto"/>
    </w:pPr>
    <w:rPr>
      <w:rFonts w:ascii="Times New Roman" w:eastAsia="Times New Roman" w:hAnsi="Times New Roman" w:cs="Times New Roman"/>
      <w:sz w:val="24"/>
      <w:szCs w:val="24"/>
      <w:lang w:eastAsia="es-ES"/>
    </w:rPr>
  </w:style>
  <w:style w:type="numbering" w:customStyle="1" w:styleId="Sinlista1">
    <w:name w:val="Sin lista1"/>
    <w:next w:val="Sinlista"/>
    <w:uiPriority w:val="99"/>
    <w:semiHidden/>
    <w:unhideWhenUsed/>
    <w:rsid w:val="009D7E06"/>
  </w:style>
  <w:style w:type="table" w:customStyle="1" w:styleId="Tablaconcuadrcula3">
    <w:name w:val="Tabla con cuadrícula3"/>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
    <w:name w:val="Table Normal"/>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paragraph" w:styleId="Puesto">
    <w:name w:val="Title"/>
    <w:basedOn w:val="Normal"/>
    <w:next w:val="Normal"/>
    <w:link w:val="PuestoCar"/>
    <w:rsid w:val="009D7E06"/>
    <w:pPr>
      <w:keepNext/>
      <w:keepLines/>
      <w:spacing w:before="480" w:after="120"/>
    </w:pPr>
    <w:rPr>
      <w:b/>
      <w:sz w:val="72"/>
      <w:szCs w:val="72"/>
    </w:rPr>
  </w:style>
  <w:style w:type="character" w:customStyle="1" w:styleId="PuestoCar">
    <w:name w:val="Puesto Car"/>
    <w:basedOn w:val="Fuentedeprrafopredeter"/>
    <w:link w:val="Puesto"/>
    <w:rsid w:val="009D7E06"/>
    <w:rPr>
      <w:rFonts w:ascii="Times New Roman" w:eastAsia="Times New Roman" w:hAnsi="Times New Roman" w:cs="Times New Roman"/>
      <w:b/>
      <w:sz w:val="72"/>
      <w:szCs w:val="72"/>
      <w:lang w:val="es-ES" w:eastAsia="es-MX"/>
    </w:rPr>
  </w:style>
  <w:style w:type="paragraph" w:styleId="Subttulo">
    <w:name w:val="Subtitle"/>
    <w:basedOn w:val="Normal"/>
    <w:next w:val="Normal"/>
    <w:link w:val="SubttuloCar"/>
    <w:rsid w:val="009D7E06"/>
    <w:pPr>
      <w:keepNext/>
      <w:keepLines/>
      <w:spacing w:before="360" w:after="80"/>
    </w:pPr>
    <w:rPr>
      <w:rFonts w:ascii="Georgia" w:eastAsia="Georgia" w:hAnsi="Georgia" w:cs="Georgia"/>
      <w:i/>
      <w:color w:val="666666"/>
      <w:sz w:val="48"/>
      <w:szCs w:val="48"/>
    </w:rPr>
  </w:style>
  <w:style w:type="character" w:customStyle="1" w:styleId="SubttuloCar">
    <w:name w:val="Subtítulo Car"/>
    <w:basedOn w:val="Fuentedeprrafopredeter"/>
    <w:link w:val="Subttulo"/>
    <w:rsid w:val="009D7E06"/>
    <w:rPr>
      <w:rFonts w:ascii="Georgia" w:eastAsia="Georgia" w:hAnsi="Georgia" w:cs="Georgia"/>
      <w:i/>
      <w:color w:val="666666"/>
      <w:sz w:val="48"/>
      <w:szCs w:val="48"/>
      <w:lang w:val="es-ES" w:eastAsia="es-MX"/>
    </w:rPr>
  </w:style>
  <w:style w:type="table" w:customStyle="1" w:styleId="8">
    <w:name w:val="8"/>
    <w:basedOn w:val="TableNormal"/>
    <w:rsid w:val="009D7E06"/>
    <w:tblPr>
      <w:tblStyleRowBandSize w:val="1"/>
      <w:tblStyleColBandSize w:val="1"/>
      <w:tblCellMar>
        <w:left w:w="115" w:type="dxa"/>
        <w:right w:w="115" w:type="dxa"/>
      </w:tblCellMar>
    </w:tblPr>
  </w:style>
  <w:style w:type="table" w:customStyle="1" w:styleId="7">
    <w:name w:val="7"/>
    <w:basedOn w:val="TableNormal"/>
    <w:rsid w:val="009D7E06"/>
    <w:tblPr>
      <w:tblStyleRowBandSize w:val="1"/>
      <w:tblStyleColBandSize w:val="1"/>
      <w:tblCellMar>
        <w:left w:w="115" w:type="dxa"/>
        <w:right w:w="115" w:type="dxa"/>
      </w:tblCellMar>
    </w:tblPr>
  </w:style>
  <w:style w:type="table" w:customStyle="1" w:styleId="6">
    <w:name w:val="6"/>
    <w:basedOn w:val="TableNormal"/>
    <w:rsid w:val="009D7E06"/>
    <w:tblPr>
      <w:tblStyleRowBandSize w:val="1"/>
      <w:tblStyleColBandSize w:val="1"/>
      <w:tblCellMar>
        <w:left w:w="115" w:type="dxa"/>
        <w:right w:w="115" w:type="dxa"/>
      </w:tblCellMar>
    </w:tblPr>
  </w:style>
  <w:style w:type="table" w:customStyle="1" w:styleId="5">
    <w:name w:val="5"/>
    <w:basedOn w:val="TableNormal"/>
    <w:rsid w:val="009D7E06"/>
    <w:tblPr>
      <w:tblStyleRowBandSize w:val="1"/>
      <w:tblStyleColBandSize w:val="1"/>
      <w:tblCellMar>
        <w:left w:w="115" w:type="dxa"/>
        <w:right w:w="115" w:type="dxa"/>
      </w:tblCellMar>
    </w:tblPr>
  </w:style>
  <w:style w:type="table" w:customStyle="1" w:styleId="4">
    <w:name w:val="4"/>
    <w:basedOn w:val="TableNormal"/>
    <w:rsid w:val="009D7E06"/>
    <w:tblPr>
      <w:tblStyleRowBandSize w:val="1"/>
      <w:tblStyleColBandSize w:val="1"/>
      <w:tblCellMar>
        <w:left w:w="115" w:type="dxa"/>
        <w:right w:w="115" w:type="dxa"/>
      </w:tblCellMar>
    </w:tblPr>
  </w:style>
  <w:style w:type="table" w:customStyle="1" w:styleId="3">
    <w:name w:val="3"/>
    <w:basedOn w:val="TableNormal"/>
    <w:rsid w:val="009D7E06"/>
    <w:tblPr>
      <w:tblStyleRowBandSize w:val="1"/>
      <w:tblStyleColBandSize w:val="1"/>
      <w:tblCellMar>
        <w:left w:w="115" w:type="dxa"/>
        <w:right w:w="115" w:type="dxa"/>
      </w:tblCellMar>
    </w:tblPr>
  </w:style>
  <w:style w:type="table" w:customStyle="1" w:styleId="2">
    <w:name w:val="2"/>
    <w:basedOn w:val="TableNormal"/>
    <w:rsid w:val="009D7E06"/>
    <w:tblPr>
      <w:tblStyleRowBandSize w:val="1"/>
      <w:tblStyleColBandSize w:val="1"/>
      <w:tblCellMar>
        <w:left w:w="115" w:type="dxa"/>
        <w:right w:w="115" w:type="dxa"/>
      </w:tblCellMar>
    </w:tblPr>
  </w:style>
  <w:style w:type="table" w:customStyle="1" w:styleId="1">
    <w:name w:val="1"/>
    <w:basedOn w:val="TableNormal"/>
    <w:rsid w:val="009D7E06"/>
    <w:tblPr>
      <w:tblStyleRowBandSize w:val="1"/>
      <w:tblStyleColBandSize w:val="1"/>
      <w:tblCellMar>
        <w:left w:w="115" w:type="dxa"/>
        <w:right w:w="115" w:type="dxa"/>
      </w:tblCellMar>
    </w:tblPr>
  </w:style>
  <w:style w:type="character" w:customStyle="1" w:styleId="TextonotapieCar1">
    <w:name w:val="Texto nota pie Car1"/>
    <w:basedOn w:val="Fuentedeprrafopredeter"/>
    <w:uiPriority w:val="99"/>
    <w:rsid w:val="009D7E06"/>
    <w:rPr>
      <w:rFonts w:ascii="Times New Roman" w:eastAsia="Times New Roman" w:hAnsi="Times New Roman" w:cs="Times New Roman"/>
      <w:sz w:val="20"/>
      <w:szCs w:val="20"/>
      <w:lang w:eastAsia="es-MX"/>
    </w:rPr>
  </w:style>
  <w:style w:type="character" w:customStyle="1" w:styleId="eop">
    <w:name w:val="eop"/>
    <w:basedOn w:val="Fuentedeprrafopredeter"/>
    <w:rsid w:val="009D7E06"/>
  </w:style>
  <w:style w:type="character" w:customStyle="1" w:styleId="m2871584667633129156gmail-apple-converted-space">
    <w:name w:val="m_2871584667633129156gmail-apple-converted-space"/>
    <w:basedOn w:val="Fuentedeprrafopredeter"/>
    <w:rsid w:val="009D7E06"/>
  </w:style>
  <w:style w:type="character" w:customStyle="1" w:styleId="m2871584667633129156gmail-msofootnotereference">
    <w:name w:val="m_2871584667633129156gmail-msofootnotereference"/>
    <w:basedOn w:val="Fuentedeprrafopredeter"/>
    <w:rsid w:val="009D7E06"/>
  </w:style>
  <w:style w:type="paragraph" w:customStyle="1" w:styleId="m2871584667633129156gmail-msofootnotetext">
    <w:name w:val="m_2871584667633129156gmail-msofootnotetext"/>
    <w:basedOn w:val="Normal"/>
    <w:rsid w:val="009D7E06"/>
    <w:pPr>
      <w:spacing w:before="100" w:beforeAutospacing="1" w:after="100" w:afterAutospacing="1"/>
    </w:pPr>
    <w:rPr>
      <w:lang w:val="es-MX"/>
    </w:rPr>
  </w:style>
  <w:style w:type="character" w:customStyle="1" w:styleId="u">
    <w:name w:val="u"/>
    <w:basedOn w:val="Fuentedeprrafopredeter"/>
    <w:rsid w:val="009D7E06"/>
  </w:style>
  <w:style w:type="paragraph" w:customStyle="1" w:styleId="rtejustify">
    <w:name w:val="rtejustify"/>
    <w:basedOn w:val="Normal"/>
    <w:rsid w:val="009D7E06"/>
    <w:pPr>
      <w:spacing w:before="100" w:beforeAutospacing="1" w:after="100" w:afterAutospacing="1"/>
    </w:pPr>
    <w:rPr>
      <w:lang w:val="es-MX"/>
    </w:rPr>
  </w:style>
  <w:style w:type="paragraph" w:customStyle="1" w:styleId="j1">
    <w:name w:val="j1"/>
    <w:basedOn w:val="Normal"/>
    <w:rsid w:val="009D7E06"/>
    <w:pPr>
      <w:spacing w:before="100" w:beforeAutospacing="1" w:after="100" w:afterAutospacing="1"/>
    </w:pPr>
    <w:rPr>
      <w:lang w:val="es-MX"/>
    </w:rPr>
  </w:style>
  <w:style w:type="character" w:customStyle="1" w:styleId="m-7180717751901043621gmail-msofootnotereference">
    <w:name w:val="m_-7180717751901043621gmail-msofootnotereference"/>
    <w:basedOn w:val="Fuentedeprrafopredeter"/>
    <w:rsid w:val="009D7E06"/>
  </w:style>
  <w:style w:type="character" w:customStyle="1" w:styleId="m-3579365149168697376gmail-msofootnotereference">
    <w:name w:val="m_-3579365149168697376gmail-msofootnotereference"/>
    <w:basedOn w:val="Fuentedeprrafopredeter"/>
    <w:rsid w:val="009D7E06"/>
  </w:style>
  <w:style w:type="paragraph" w:customStyle="1" w:styleId="m-3579365149168697376gmail-msofootnotetext">
    <w:name w:val="m_-3579365149168697376gmail-msofootnotetext"/>
    <w:basedOn w:val="Normal"/>
    <w:rsid w:val="009D7E06"/>
    <w:pPr>
      <w:spacing w:before="100" w:beforeAutospacing="1" w:after="100" w:afterAutospacing="1"/>
    </w:pPr>
    <w:rPr>
      <w:lang w:val="es-MX"/>
    </w:rPr>
  </w:style>
  <w:style w:type="character" w:customStyle="1" w:styleId="ams">
    <w:name w:val="ams"/>
    <w:basedOn w:val="Fuentedeprrafopredeter"/>
    <w:rsid w:val="009D7E06"/>
  </w:style>
  <w:style w:type="numbering" w:customStyle="1" w:styleId="Sinlista2">
    <w:name w:val="Sin lista2"/>
    <w:next w:val="Sinlista"/>
    <w:uiPriority w:val="99"/>
    <w:semiHidden/>
    <w:unhideWhenUsed/>
    <w:rsid w:val="009D7E06"/>
  </w:style>
  <w:style w:type="table" w:customStyle="1" w:styleId="Tablaconcuadrcula4">
    <w:name w:val="Tabla con cuadrícula4"/>
    <w:basedOn w:val="Tablanormal"/>
    <w:next w:val="Tablaconcuadrcula"/>
    <w:uiPriority w:val="59"/>
    <w:qFormat/>
    <w:rsid w:val="009D7E06"/>
    <w:pPr>
      <w:spacing w:after="0" w:line="240" w:lineRule="auto"/>
    </w:pPr>
    <w:rPr>
      <w:rFonts w:eastAsia="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Normal1">
    <w:name w:val="Table Normal1"/>
    <w:rsid w:val="009D7E06"/>
    <w:pPr>
      <w:spacing w:after="0" w:line="240" w:lineRule="auto"/>
    </w:pPr>
    <w:rPr>
      <w:rFonts w:ascii="Times New Roman" w:eastAsia="Times New Roman" w:hAnsi="Times New Roman" w:cs="Times New Roman"/>
      <w:sz w:val="24"/>
      <w:szCs w:val="24"/>
      <w:lang w:val="es-ES" w:eastAsia="es-MX"/>
    </w:rPr>
    <w:tblPr>
      <w:tblCellMar>
        <w:top w:w="0" w:type="dxa"/>
        <w:left w:w="0" w:type="dxa"/>
        <w:bottom w:w="0" w:type="dxa"/>
        <w:right w:w="0" w:type="dxa"/>
      </w:tblCellMar>
    </w:tblPr>
  </w:style>
  <w:style w:type="table" w:customStyle="1" w:styleId="81">
    <w:name w:val="81"/>
    <w:basedOn w:val="TableNormal"/>
    <w:rsid w:val="009D7E06"/>
    <w:tblPr>
      <w:tblStyleRowBandSize w:val="1"/>
      <w:tblStyleColBandSize w:val="1"/>
      <w:tblCellMar>
        <w:left w:w="115" w:type="dxa"/>
        <w:right w:w="115" w:type="dxa"/>
      </w:tblCellMar>
    </w:tblPr>
  </w:style>
  <w:style w:type="table" w:customStyle="1" w:styleId="71">
    <w:name w:val="71"/>
    <w:basedOn w:val="TableNormal"/>
    <w:rsid w:val="009D7E06"/>
    <w:tblPr>
      <w:tblStyleRowBandSize w:val="1"/>
      <w:tblStyleColBandSize w:val="1"/>
      <w:tblCellMar>
        <w:left w:w="115" w:type="dxa"/>
        <w:right w:w="115" w:type="dxa"/>
      </w:tblCellMar>
    </w:tblPr>
  </w:style>
  <w:style w:type="table" w:customStyle="1" w:styleId="61">
    <w:name w:val="61"/>
    <w:basedOn w:val="TableNormal"/>
    <w:rsid w:val="009D7E06"/>
    <w:tblPr>
      <w:tblStyleRowBandSize w:val="1"/>
      <w:tblStyleColBandSize w:val="1"/>
      <w:tblCellMar>
        <w:left w:w="115" w:type="dxa"/>
        <w:right w:w="115" w:type="dxa"/>
      </w:tblCellMar>
    </w:tblPr>
  </w:style>
  <w:style w:type="table" w:customStyle="1" w:styleId="51">
    <w:name w:val="51"/>
    <w:basedOn w:val="TableNormal"/>
    <w:rsid w:val="009D7E06"/>
    <w:tblPr>
      <w:tblStyleRowBandSize w:val="1"/>
      <w:tblStyleColBandSize w:val="1"/>
      <w:tblCellMar>
        <w:left w:w="115" w:type="dxa"/>
        <w:right w:w="115" w:type="dxa"/>
      </w:tblCellMar>
    </w:tblPr>
  </w:style>
  <w:style w:type="table" w:customStyle="1" w:styleId="41">
    <w:name w:val="41"/>
    <w:basedOn w:val="TableNormal"/>
    <w:rsid w:val="009D7E06"/>
    <w:tblPr>
      <w:tblStyleRowBandSize w:val="1"/>
      <w:tblStyleColBandSize w:val="1"/>
      <w:tblCellMar>
        <w:left w:w="115" w:type="dxa"/>
        <w:right w:w="115" w:type="dxa"/>
      </w:tblCellMar>
    </w:tblPr>
  </w:style>
  <w:style w:type="table" w:customStyle="1" w:styleId="31">
    <w:name w:val="31"/>
    <w:basedOn w:val="TableNormal"/>
    <w:rsid w:val="009D7E06"/>
    <w:tblPr>
      <w:tblStyleRowBandSize w:val="1"/>
      <w:tblStyleColBandSize w:val="1"/>
      <w:tblCellMar>
        <w:left w:w="115" w:type="dxa"/>
        <w:right w:w="115" w:type="dxa"/>
      </w:tblCellMar>
    </w:tblPr>
  </w:style>
  <w:style w:type="table" w:customStyle="1" w:styleId="21">
    <w:name w:val="21"/>
    <w:basedOn w:val="TableNormal"/>
    <w:rsid w:val="009D7E06"/>
    <w:tblPr>
      <w:tblStyleRowBandSize w:val="1"/>
      <w:tblStyleColBandSize w:val="1"/>
      <w:tblCellMar>
        <w:left w:w="115" w:type="dxa"/>
        <w:right w:w="115" w:type="dxa"/>
      </w:tblCellMar>
    </w:tblPr>
  </w:style>
  <w:style w:type="table" w:customStyle="1" w:styleId="11">
    <w:name w:val="11"/>
    <w:basedOn w:val="TableNormal"/>
    <w:rsid w:val="009D7E06"/>
    <w:tblPr>
      <w:tblStyleRowBandSize w:val="1"/>
      <w:tblStyleColBandSize w:val="1"/>
      <w:tblCellMar>
        <w:left w:w="115" w:type="dxa"/>
        <w:right w:w="115" w:type="dxa"/>
      </w:tblCellMar>
    </w:tblPr>
  </w:style>
  <w:style w:type="paragraph" w:customStyle="1" w:styleId="Citas">
    <w:name w:val="Citas"/>
    <w:basedOn w:val="Normal"/>
    <w:qFormat/>
    <w:rsid w:val="009D7E06"/>
    <w:pPr>
      <w:spacing w:before="240" w:after="160" w:line="360" w:lineRule="auto"/>
      <w:ind w:left="851" w:right="851"/>
      <w:jc w:val="both"/>
    </w:pPr>
    <w:rPr>
      <w:rFonts w:ascii="Palatino Linotype" w:eastAsiaTheme="minorHAnsi" w:hAnsi="Palatino Linotype" w:cs="Arial"/>
      <w:i/>
      <w:sz w:val="22"/>
      <w:szCs w:val="22"/>
      <w:lang w:val="es-MX" w:eastAsia="en-US"/>
    </w:rPr>
  </w:style>
  <w:style w:type="character" w:customStyle="1" w:styleId="Mencinsinresolver5">
    <w:name w:val="Mención sin resolver5"/>
    <w:basedOn w:val="Fuentedeprrafopredeter"/>
    <w:uiPriority w:val="99"/>
    <w:semiHidden/>
    <w:unhideWhenUsed/>
    <w:rsid w:val="00DF2617"/>
    <w:rPr>
      <w:color w:val="605E5C"/>
      <w:shd w:val="clear" w:color="auto" w:fill="E1DFDD"/>
    </w:rPr>
  </w:style>
  <w:style w:type="character" w:customStyle="1" w:styleId="Mencinsinresolver6">
    <w:name w:val="Mención sin resolver6"/>
    <w:basedOn w:val="Fuentedeprrafopredeter"/>
    <w:uiPriority w:val="99"/>
    <w:semiHidden/>
    <w:unhideWhenUsed/>
    <w:rsid w:val="008258C6"/>
    <w:rPr>
      <w:color w:val="605E5C"/>
      <w:shd w:val="clear" w:color="auto" w:fill="E1DFDD"/>
    </w:rPr>
  </w:style>
  <w:style w:type="paragraph" w:customStyle="1" w:styleId="INFOEM">
    <w:name w:val="INFOEM"/>
    <w:basedOn w:val="Normal"/>
    <w:qFormat/>
    <w:rsid w:val="00534D12"/>
    <w:pPr>
      <w:spacing w:before="240" w:after="160" w:line="360" w:lineRule="auto"/>
      <w:ind w:left="851" w:right="851"/>
      <w:jc w:val="both"/>
    </w:pPr>
    <w:rPr>
      <w:rFonts w:ascii="Palatino Linotype" w:eastAsiaTheme="minorHAnsi" w:hAnsi="Palatino Linotype" w:cstheme="minorBidi"/>
      <w:i/>
      <w:sz w:val="22"/>
      <w:szCs w:val="14"/>
      <w:lang w:val="es-MX"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6370434">
      <w:bodyDiv w:val="1"/>
      <w:marLeft w:val="0"/>
      <w:marRight w:val="0"/>
      <w:marTop w:val="0"/>
      <w:marBottom w:val="0"/>
      <w:divBdr>
        <w:top w:val="none" w:sz="0" w:space="0" w:color="auto"/>
        <w:left w:val="none" w:sz="0" w:space="0" w:color="auto"/>
        <w:bottom w:val="none" w:sz="0" w:space="0" w:color="auto"/>
        <w:right w:val="none" w:sz="0" w:space="0" w:color="auto"/>
      </w:divBdr>
      <w:divsChild>
        <w:div w:id="1283994915">
          <w:marLeft w:val="0"/>
          <w:marRight w:val="0"/>
          <w:marTop w:val="0"/>
          <w:marBottom w:val="0"/>
          <w:divBdr>
            <w:top w:val="none" w:sz="0" w:space="0" w:color="auto"/>
            <w:left w:val="none" w:sz="0" w:space="0" w:color="auto"/>
            <w:bottom w:val="none" w:sz="0" w:space="0" w:color="auto"/>
            <w:right w:val="none" w:sz="0" w:space="0" w:color="auto"/>
          </w:divBdr>
          <w:divsChild>
            <w:div w:id="851071187">
              <w:marLeft w:val="0"/>
              <w:marRight w:val="0"/>
              <w:marTop w:val="0"/>
              <w:marBottom w:val="0"/>
              <w:divBdr>
                <w:top w:val="none" w:sz="0" w:space="0" w:color="auto"/>
                <w:left w:val="none" w:sz="0" w:space="0" w:color="auto"/>
                <w:bottom w:val="none" w:sz="0" w:space="0" w:color="auto"/>
                <w:right w:val="none" w:sz="0" w:space="0" w:color="auto"/>
              </w:divBdr>
              <w:divsChild>
                <w:div w:id="7200561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6933581">
      <w:bodyDiv w:val="1"/>
      <w:marLeft w:val="0"/>
      <w:marRight w:val="0"/>
      <w:marTop w:val="0"/>
      <w:marBottom w:val="0"/>
      <w:divBdr>
        <w:top w:val="none" w:sz="0" w:space="0" w:color="auto"/>
        <w:left w:val="none" w:sz="0" w:space="0" w:color="auto"/>
        <w:bottom w:val="none" w:sz="0" w:space="0" w:color="auto"/>
        <w:right w:val="none" w:sz="0" w:space="0" w:color="auto"/>
      </w:divBdr>
    </w:div>
    <w:div w:id="314457939">
      <w:bodyDiv w:val="1"/>
      <w:marLeft w:val="0"/>
      <w:marRight w:val="0"/>
      <w:marTop w:val="0"/>
      <w:marBottom w:val="0"/>
      <w:divBdr>
        <w:top w:val="none" w:sz="0" w:space="0" w:color="auto"/>
        <w:left w:val="none" w:sz="0" w:space="0" w:color="auto"/>
        <w:bottom w:val="none" w:sz="0" w:space="0" w:color="auto"/>
        <w:right w:val="none" w:sz="0" w:space="0" w:color="auto"/>
      </w:divBdr>
      <w:divsChild>
        <w:div w:id="1804151248">
          <w:marLeft w:val="0"/>
          <w:marRight w:val="0"/>
          <w:marTop w:val="0"/>
          <w:marBottom w:val="0"/>
          <w:divBdr>
            <w:top w:val="none" w:sz="0" w:space="0" w:color="auto"/>
            <w:left w:val="none" w:sz="0" w:space="0" w:color="auto"/>
            <w:bottom w:val="none" w:sz="0" w:space="0" w:color="auto"/>
            <w:right w:val="none" w:sz="0" w:space="0" w:color="auto"/>
          </w:divBdr>
          <w:divsChild>
            <w:div w:id="773598000">
              <w:marLeft w:val="0"/>
              <w:marRight w:val="0"/>
              <w:marTop w:val="0"/>
              <w:marBottom w:val="0"/>
              <w:divBdr>
                <w:top w:val="none" w:sz="0" w:space="0" w:color="auto"/>
                <w:left w:val="none" w:sz="0" w:space="0" w:color="auto"/>
                <w:bottom w:val="none" w:sz="0" w:space="0" w:color="auto"/>
                <w:right w:val="none" w:sz="0" w:space="0" w:color="auto"/>
              </w:divBdr>
              <w:divsChild>
                <w:div w:id="11981299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44989142">
      <w:bodyDiv w:val="1"/>
      <w:marLeft w:val="0"/>
      <w:marRight w:val="0"/>
      <w:marTop w:val="0"/>
      <w:marBottom w:val="0"/>
      <w:divBdr>
        <w:top w:val="none" w:sz="0" w:space="0" w:color="auto"/>
        <w:left w:val="none" w:sz="0" w:space="0" w:color="auto"/>
        <w:bottom w:val="none" w:sz="0" w:space="0" w:color="auto"/>
        <w:right w:val="none" w:sz="0" w:space="0" w:color="auto"/>
      </w:divBdr>
    </w:div>
    <w:div w:id="514419741">
      <w:bodyDiv w:val="1"/>
      <w:marLeft w:val="0"/>
      <w:marRight w:val="0"/>
      <w:marTop w:val="0"/>
      <w:marBottom w:val="0"/>
      <w:divBdr>
        <w:top w:val="none" w:sz="0" w:space="0" w:color="auto"/>
        <w:left w:val="none" w:sz="0" w:space="0" w:color="auto"/>
        <w:bottom w:val="none" w:sz="0" w:space="0" w:color="auto"/>
        <w:right w:val="none" w:sz="0" w:space="0" w:color="auto"/>
      </w:divBdr>
    </w:div>
    <w:div w:id="540364727">
      <w:bodyDiv w:val="1"/>
      <w:marLeft w:val="0"/>
      <w:marRight w:val="0"/>
      <w:marTop w:val="0"/>
      <w:marBottom w:val="0"/>
      <w:divBdr>
        <w:top w:val="none" w:sz="0" w:space="0" w:color="auto"/>
        <w:left w:val="none" w:sz="0" w:space="0" w:color="auto"/>
        <w:bottom w:val="none" w:sz="0" w:space="0" w:color="auto"/>
        <w:right w:val="none" w:sz="0" w:space="0" w:color="auto"/>
      </w:divBdr>
      <w:divsChild>
        <w:div w:id="1320615993">
          <w:marLeft w:val="0"/>
          <w:marRight w:val="0"/>
          <w:marTop w:val="0"/>
          <w:marBottom w:val="0"/>
          <w:divBdr>
            <w:top w:val="none" w:sz="0" w:space="0" w:color="auto"/>
            <w:left w:val="none" w:sz="0" w:space="0" w:color="auto"/>
            <w:bottom w:val="none" w:sz="0" w:space="0" w:color="auto"/>
            <w:right w:val="none" w:sz="0" w:space="0" w:color="auto"/>
          </w:divBdr>
          <w:divsChild>
            <w:div w:id="488980133">
              <w:marLeft w:val="0"/>
              <w:marRight w:val="0"/>
              <w:marTop w:val="0"/>
              <w:marBottom w:val="0"/>
              <w:divBdr>
                <w:top w:val="none" w:sz="0" w:space="0" w:color="auto"/>
                <w:left w:val="none" w:sz="0" w:space="0" w:color="auto"/>
                <w:bottom w:val="none" w:sz="0" w:space="0" w:color="auto"/>
                <w:right w:val="none" w:sz="0" w:space="0" w:color="auto"/>
              </w:divBdr>
              <w:divsChild>
                <w:div w:id="2118982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5237258">
      <w:bodyDiv w:val="1"/>
      <w:marLeft w:val="0"/>
      <w:marRight w:val="0"/>
      <w:marTop w:val="0"/>
      <w:marBottom w:val="0"/>
      <w:divBdr>
        <w:top w:val="none" w:sz="0" w:space="0" w:color="auto"/>
        <w:left w:val="none" w:sz="0" w:space="0" w:color="auto"/>
        <w:bottom w:val="none" w:sz="0" w:space="0" w:color="auto"/>
        <w:right w:val="none" w:sz="0" w:space="0" w:color="auto"/>
      </w:divBdr>
      <w:divsChild>
        <w:div w:id="2042391384">
          <w:marLeft w:val="0"/>
          <w:marRight w:val="0"/>
          <w:marTop w:val="0"/>
          <w:marBottom w:val="0"/>
          <w:divBdr>
            <w:top w:val="none" w:sz="0" w:space="0" w:color="auto"/>
            <w:left w:val="none" w:sz="0" w:space="0" w:color="auto"/>
            <w:bottom w:val="none" w:sz="0" w:space="0" w:color="auto"/>
            <w:right w:val="none" w:sz="0" w:space="0" w:color="auto"/>
          </w:divBdr>
          <w:divsChild>
            <w:div w:id="346293048">
              <w:marLeft w:val="0"/>
              <w:marRight w:val="0"/>
              <w:marTop w:val="0"/>
              <w:marBottom w:val="0"/>
              <w:divBdr>
                <w:top w:val="none" w:sz="0" w:space="0" w:color="auto"/>
                <w:left w:val="none" w:sz="0" w:space="0" w:color="auto"/>
                <w:bottom w:val="none" w:sz="0" w:space="0" w:color="auto"/>
                <w:right w:val="none" w:sz="0" w:space="0" w:color="auto"/>
              </w:divBdr>
              <w:divsChild>
                <w:div w:id="1478037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2585462">
      <w:bodyDiv w:val="1"/>
      <w:marLeft w:val="0"/>
      <w:marRight w:val="0"/>
      <w:marTop w:val="0"/>
      <w:marBottom w:val="0"/>
      <w:divBdr>
        <w:top w:val="none" w:sz="0" w:space="0" w:color="auto"/>
        <w:left w:val="none" w:sz="0" w:space="0" w:color="auto"/>
        <w:bottom w:val="none" w:sz="0" w:space="0" w:color="auto"/>
        <w:right w:val="none" w:sz="0" w:space="0" w:color="auto"/>
      </w:divBdr>
    </w:div>
    <w:div w:id="917635724">
      <w:bodyDiv w:val="1"/>
      <w:marLeft w:val="0"/>
      <w:marRight w:val="0"/>
      <w:marTop w:val="0"/>
      <w:marBottom w:val="0"/>
      <w:divBdr>
        <w:top w:val="none" w:sz="0" w:space="0" w:color="auto"/>
        <w:left w:val="none" w:sz="0" w:space="0" w:color="auto"/>
        <w:bottom w:val="none" w:sz="0" w:space="0" w:color="auto"/>
        <w:right w:val="none" w:sz="0" w:space="0" w:color="auto"/>
      </w:divBdr>
    </w:div>
    <w:div w:id="931549432">
      <w:bodyDiv w:val="1"/>
      <w:marLeft w:val="0"/>
      <w:marRight w:val="0"/>
      <w:marTop w:val="0"/>
      <w:marBottom w:val="0"/>
      <w:divBdr>
        <w:top w:val="none" w:sz="0" w:space="0" w:color="auto"/>
        <w:left w:val="none" w:sz="0" w:space="0" w:color="auto"/>
        <w:bottom w:val="none" w:sz="0" w:space="0" w:color="auto"/>
        <w:right w:val="none" w:sz="0" w:space="0" w:color="auto"/>
      </w:divBdr>
      <w:divsChild>
        <w:div w:id="377975297">
          <w:marLeft w:val="0"/>
          <w:marRight w:val="0"/>
          <w:marTop w:val="0"/>
          <w:marBottom w:val="0"/>
          <w:divBdr>
            <w:top w:val="none" w:sz="0" w:space="0" w:color="auto"/>
            <w:left w:val="none" w:sz="0" w:space="0" w:color="auto"/>
            <w:bottom w:val="none" w:sz="0" w:space="0" w:color="auto"/>
            <w:right w:val="none" w:sz="0" w:space="0" w:color="auto"/>
          </w:divBdr>
          <w:divsChild>
            <w:div w:id="886574525">
              <w:marLeft w:val="0"/>
              <w:marRight w:val="0"/>
              <w:marTop w:val="0"/>
              <w:marBottom w:val="0"/>
              <w:divBdr>
                <w:top w:val="none" w:sz="0" w:space="0" w:color="auto"/>
                <w:left w:val="none" w:sz="0" w:space="0" w:color="auto"/>
                <w:bottom w:val="none" w:sz="0" w:space="0" w:color="auto"/>
                <w:right w:val="none" w:sz="0" w:space="0" w:color="auto"/>
              </w:divBdr>
              <w:divsChild>
                <w:div w:id="8189568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3576956">
      <w:bodyDiv w:val="1"/>
      <w:marLeft w:val="0"/>
      <w:marRight w:val="0"/>
      <w:marTop w:val="0"/>
      <w:marBottom w:val="0"/>
      <w:divBdr>
        <w:top w:val="none" w:sz="0" w:space="0" w:color="auto"/>
        <w:left w:val="none" w:sz="0" w:space="0" w:color="auto"/>
        <w:bottom w:val="none" w:sz="0" w:space="0" w:color="auto"/>
        <w:right w:val="none" w:sz="0" w:space="0" w:color="auto"/>
      </w:divBdr>
    </w:div>
    <w:div w:id="1047266226">
      <w:bodyDiv w:val="1"/>
      <w:marLeft w:val="0"/>
      <w:marRight w:val="0"/>
      <w:marTop w:val="0"/>
      <w:marBottom w:val="0"/>
      <w:divBdr>
        <w:top w:val="none" w:sz="0" w:space="0" w:color="auto"/>
        <w:left w:val="none" w:sz="0" w:space="0" w:color="auto"/>
        <w:bottom w:val="none" w:sz="0" w:space="0" w:color="auto"/>
        <w:right w:val="none" w:sz="0" w:space="0" w:color="auto"/>
      </w:divBdr>
    </w:div>
    <w:div w:id="1137647282">
      <w:bodyDiv w:val="1"/>
      <w:marLeft w:val="0"/>
      <w:marRight w:val="0"/>
      <w:marTop w:val="0"/>
      <w:marBottom w:val="0"/>
      <w:divBdr>
        <w:top w:val="none" w:sz="0" w:space="0" w:color="auto"/>
        <w:left w:val="none" w:sz="0" w:space="0" w:color="auto"/>
        <w:bottom w:val="none" w:sz="0" w:space="0" w:color="auto"/>
        <w:right w:val="none" w:sz="0" w:space="0" w:color="auto"/>
      </w:divBdr>
      <w:divsChild>
        <w:div w:id="1518040634">
          <w:marLeft w:val="0"/>
          <w:marRight w:val="0"/>
          <w:marTop w:val="0"/>
          <w:marBottom w:val="0"/>
          <w:divBdr>
            <w:top w:val="none" w:sz="0" w:space="0" w:color="auto"/>
            <w:left w:val="none" w:sz="0" w:space="0" w:color="auto"/>
            <w:bottom w:val="none" w:sz="0" w:space="0" w:color="auto"/>
            <w:right w:val="none" w:sz="0" w:space="0" w:color="auto"/>
          </w:divBdr>
          <w:divsChild>
            <w:div w:id="933977344">
              <w:marLeft w:val="0"/>
              <w:marRight w:val="0"/>
              <w:marTop w:val="0"/>
              <w:marBottom w:val="0"/>
              <w:divBdr>
                <w:top w:val="none" w:sz="0" w:space="0" w:color="auto"/>
                <w:left w:val="none" w:sz="0" w:space="0" w:color="auto"/>
                <w:bottom w:val="none" w:sz="0" w:space="0" w:color="auto"/>
                <w:right w:val="none" w:sz="0" w:space="0" w:color="auto"/>
              </w:divBdr>
              <w:divsChild>
                <w:div w:id="2115779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9616942">
      <w:bodyDiv w:val="1"/>
      <w:marLeft w:val="0"/>
      <w:marRight w:val="0"/>
      <w:marTop w:val="0"/>
      <w:marBottom w:val="0"/>
      <w:divBdr>
        <w:top w:val="none" w:sz="0" w:space="0" w:color="auto"/>
        <w:left w:val="none" w:sz="0" w:space="0" w:color="auto"/>
        <w:bottom w:val="none" w:sz="0" w:space="0" w:color="auto"/>
        <w:right w:val="none" w:sz="0" w:space="0" w:color="auto"/>
      </w:divBdr>
    </w:div>
    <w:div w:id="1166019444">
      <w:bodyDiv w:val="1"/>
      <w:marLeft w:val="0"/>
      <w:marRight w:val="0"/>
      <w:marTop w:val="0"/>
      <w:marBottom w:val="0"/>
      <w:divBdr>
        <w:top w:val="none" w:sz="0" w:space="0" w:color="auto"/>
        <w:left w:val="none" w:sz="0" w:space="0" w:color="auto"/>
        <w:bottom w:val="none" w:sz="0" w:space="0" w:color="auto"/>
        <w:right w:val="none" w:sz="0" w:space="0" w:color="auto"/>
      </w:divBdr>
      <w:divsChild>
        <w:div w:id="1510943442">
          <w:marLeft w:val="0"/>
          <w:marRight w:val="0"/>
          <w:marTop w:val="0"/>
          <w:marBottom w:val="0"/>
          <w:divBdr>
            <w:top w:val="none" w:sz="0" w:space="0" w:color="auto"/>
            <w:left w:val="none" w:sz="0" w:space="0" w:color="auto"/>
            <w:bottom w:val="none" w:sz="0" w:space="0" w:color="auto"/>
            <w:right w:val="none" w:sz="0" w:space="0" w:color="auto"/>
          </w:divBdr>
          <w:divsChild>
            <w:div w:id="2067214058">
              <w:marLeft w:val="0"/>
              <w:marRight w:val="0"/>
              <w:marTop w:val="0"/>
              <w:marBottom w:val="0"/>
              <w:divBdr>
                <w:top w:val="none" w:sz="0" w:space="0" w:color="auto"/>
                <w:left w:val="none" w:sz="0" w:space="0" w:color="auto"/>
                <w:bottom w:val="none" w:sz="0" w:space="0" w:color="auto"/>
                <w:right w:val="none" w:sz="0" w:space="0" w:color="auto"/>
              </w:divBdr>
              <w:divsChild>
                <w:div w:id="15714293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1845406">
      <w:bodyDiv w:val="1"/>
      <w:marLeft w:val="0"/>
      <w:marRight w:val="0"/>
      <w:marTop w:val="0"/>
      <w:marBottom w:val="0"/>
      <w:divBdr>
        <w:top w:val="none" w:sz="0" w:space="0" w:color="auto"/>
        <w:left w:val="none" w:sz="0" w:space="0" w:color="auto"/>
        <w:bottom w:val="none" w:sz="0" w:space="0" w:color="auto"/>
        <w:right w:val="none" w:sz="0" w:space="0" w:color="auto"/>
      </w:divBdr>
      <w:divsChild>
        <w:div w:id="34622221">
          <w:marLeft w:val="0"/>
          <w:marRight w:val="0"/>
          <w:marTop w:val="0"/>
          <w:marBottom w:val="0"/>
          <w:divBdr>
            <w:top w:val="none" w:sz="0" w:space="0" w:color="auto"/>
            <w:left w:val="none" w:sz="0" w:space="0" w:color="auto"/>
            <w:bottom w:val="none" w:sz="0" w:space="0" w:color="auto"/>
            <w:right w:val="none" w:sz="0" w:space="0" w:color="auto"/>
          </w:divBdr>
          <w:divsChild>
            <w:div w:id="141432553">
              <w:marLeft w:val="0"/>
              <w:marRight w:val="0"/>
              <w:marTop w:val="0"/>
              <w:marBottom w:val="0"/>
              <w:divBdr>
                <w:top w:val="none" w:sz="0" w:space="0" w:color="auto"/>
                <w:left w:val="none" w:sz="0" w:space="0" w:color="auto"/>
                <w:bottom w:val="none" w:sz="0" w:space="0" w:color="auto"/>
                <w:right w:val="none" w:sz="0" w:space="0" w:color="auto"/>
              </w:divBdr>
              <w:divsChild>
                <w:div w:id="2039307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3156375">
      <w:bodyDiv w:val="1"/>
      <w:marLeft w:val="0"/>
      <w:marRight w:val="0"/>
      <w:marTop w:val="0"/>
      <w:marBottom w:val="0"/>
      <w:divBdr>
        <w:top w:val="none" w:sz="0" w:space="0" w:color="auto"/>
        <w:left w:val="none" w:sz="0" w:space="0" w:color="auto"/>
        <w:bottom w:val="none" w:sz="0" w:space="0" w:color="auto"/>
        <w:right w:val="none" w:sz="0" w:space="0" w:color="auto"/>
      </w:divBdr>
    </w:div>
    <w:div w:id="1205097071">
      <w:bodyDiv w:val="1"/>
      <w:marLeft w:val="0"/>
      <w:marRight w:val="0"/>
      <w:marTop w:val="0"/>
      <w:marBottom w:val="0"/>
      <w:divBdr>
        <w:top w:val="none" w:sz="0" w:space="0" w:color="auto"/>
        <w:left w:val="none" w:sz="0" w:space="0" w:color="auto"/>
        <w:bottom w:val="none" w:sz="0" w:space="0" w:color="auto"/>
        <w:right w:val="none" w:sz="0" w:space="0" w:color="auto"/>
      </w:divBdr>
    </w:div>
    <w:div w:id="1276213331">
      <w:bodyDiv w:val="1"/>
      <w:marLeft w:val="0"/>
      <w:marRight w:val="0"/>
      <w:marTop w:val="0"/>
      <w:marBottom w:val="0"/>
      <w:divBdr>
        <w:top w:val="none" w:sz="0" w:space="0" w:color="auto"/>
        <w:left w:val="none" w:sz="0" w:space="0" w:color="auto"/>
        <w:bottom w:val="none" w:sz="0" w:space="0" w:color="auto"/>
        <w:right w:val="none" w:sz="0" w:space="0" w:color="auto"/>
      </w:divBdr>
    </w:div>
    <w:div w:id="1284921180">
      <w:bodyDiv w:val="1"/>
      <w:marLeft w:val="0"/>
      <w:marRight w:val="0"/>
      <w:marTop w:val="0"/>
      <w:marBottom w:val="0"/>
      <w:divBdr>
        <w:top w:val="none" w:sz="0" w:space="0" w:color="auto"/>
        <w:left w:val="none" w:sz="0" w:space="0" w:color="auto"/>
        <w:bottom w:val="none" w:sz="0" w:space="0" w:color="auto"/>
        <w:right w:val="none" w:sz="0" w:space="0" w:color="auto"/>
      </w:divBdr>
      <w:divsChild>
        <w:div w:id="1443718967">
          <w:marLeft w:val="0"/>
          <w:marRight w:val="0"/>
          <w:marTop w:val="0"/>
          <w:marBottom w:val="0"/>
          <w:divBdr>
            <w:top w:val="none" w:sz="0" w:space="0" w:color="auto"/>
            <w:left w:val="none" w:sz="0" w:space="0" w:color="auto"/>
            <w:bottom w:val="none" w:sz="0" w:space="0" w:color="auto"/>
            <w:right w:val="none" w:sz="0" w:space="0" w:color="auto"/>
          </w:divBdr>
          <w:divsChild>
            <w:div w:id="1957562567">
              <w:marLeft w:val="0"/>
              <w:marRight w:val="0"/>
              <w:marTop w:val="0"/>
              <w:marBottom w:val="0"/>
              <w:divBdr>
                <w:top w:val="none" w:sz="0" w:space="0" w:color="auto"/>
                <w:left w:val="none" w:sz="0" w:space="0" w:color="auto"/>
                <w:bottom w:val="none" w:sz="0" w:space="0" w:color="auto"/>
                <w:right w:val="none" w:sz="0" w:space="0" w:color="auto"/>
              </w:divBdr>
              <w:divsChild>
                <w:div w:id="1631394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0090991">
      <w:bodyDiv w:val="1"/>
      <w:marLeft w:val="0"/>
      <w:marRight w:val="0"/>
      <w:marTop w:val="0"/>
      <w:marBottom w:val="0"/>
      <w:divBdr>
        <w:top w:val="none" w:sz="0" w:space="0" w:color="auto"/>
        <w:left w:val="none" w:sz="0" w:space="0" w:color="auto"/>
        <w:bottom w:val="none" w:sz="0" w:space="0" w:color="auto"/>
        <w:right w:val="none" w:sz="0" w:space="0" w:color="auto"/>
      </w:divBdr>
    </w:div>
    <w:div w:id="1315648552">
      <w:bodyDiv w:val="1"/>
      <w:marLeft w:val="0"/>
      <w:marRight w:val="0"/>
      <w:marTop w:val="0"/>
      <w:marBottom w:val="0"/>
      <w:divBdr>
        <w:top w:val="none" w:sz="0" w:space="0" w:color="auto"/>
        <w:left w:val="none" w:sz="0" w:space="0" w:color="auto"/>
        <w:bottom w:val="none" w:sz="0" w:space="0" w:color="auto"/>
        <w:right w:val="none" w:sz="0" w:space="0" w:color="auto"/>
      </w:divBdr>
      <w:divsChild>
        <w:div w:id="543951297">
          <w:marLeft w:val="0"/>
          <w:marRight w:val="0"/>
          <w:marTop w:val="0"/>
          <w:marBottom w:val="0"/>
          <w:divBdr>
            <w:top w:val="none" w:sz="0" w:space="0" w:color="auto"/>
            <w:left w:val="none" w:sz="0" w:space="0" w:color="auto"/>
            <w:bottom w:val="none" w:sz="0" w:space="0" w:color="auto"/>
            <w:right w:val="none" w:sz="0" w:space="0" w:color="auto"/>
          </w:divBdr>
          <w:divsChild>
            <w:div w:id="1736397207">
              <w:marLeft w:val="0"/>
              <w:marRight w:val="0"/>
              <w:marTop w:val="0"/>
              <w:marBottom w:val="0"/>
              <w:divBdr>
                <w:top w:val="none" w:sz="0" w:space="0" w:color="auto"/>
                <w:left w:val="none" w:sz="0" w:space="0" w:color="auto"/>
                <w:bottom w:val="none" w:sz="0" w:space="0" w:color="auto"/>
                <w:right w:val="none" w:sz="0" w:space="0" w:color="auto"/>
              </w:divBdr>
              <w:divsChild>
                <w:div w:id="20767836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70717584">
      <w:bodyDiv w:val="1"/>
      <w:marLeft w:val="0"/>
      <w:marRight w:val="0"/>
      <w:marTop w:val="0"/>
      <w:marBottom w:val="0"/>
      <w:divBdr>
        <w:top w:val="none" w:sz="0" w:space="0" w:color="auto"/>
        <w:left w:val="none" w:sz="0" w:space="0" w:color="auto"/>
        <w:bottom w:val="none" w:sz="0" w:space="0" w:color="auto"/>
        <w:right w:val="none" w:sz="0" w:space="0" w:color="auto"/>
      </w:divBdr>
    </w:div>
    <w:div w:id="1624461972">
      <w:bodyDiv w:val="1"/>
      <w:marLeft w:val="0"/>
      <w:marRight w:val="0"/>
      <w:marTop w:val="0"/>
      <w:marBottom w:val="0"/>
      <w:divBdr>
        <w:top w:val="none" w:sz="0" w:space="0" w:color="auto"/>
        <w:left w:val="none" w:sz="0" w:space="0" w:color="auto"/>
        <w:bottom w:val="none" w:sz="0" w:space="0" w:color="auto"/>
        <w:right w:val="none" w:sz="0" w:space="0" w:color="auto"/>
      </w:divBdr>
      <w:divsChild>
        <w:div w:id="1134756466">
          <w:marLeft w:val="0"/>
          <w:marRight w:val="0"/>
          <w:marTop w:val="0"/>
          <w:marBottom w:val="0"/>
          <w:divBdr>
            <w:top w:val="none" w:sz="0" w:space="0" w:color="auto"/>
            <w:left w:val="none" w:sz="0" w:space="0" w:color="auto"/>
            <w:bottom w:val="none" w:sz="0" w:space="0" w:color="auto"/>
            <w:right w:val="none" w:sz="0" w:space="0" w:color="auto"/>
          </w:divBdr>
          <w:divsChild>
            <w:div w:id="4094776">
              <w:marLeft w:val="0"/>
              <w:marRight w:val="0"/>
              <w:marTop w:val="0"/>
              <w:marBottom w:val="0"/>
              <w:divBdr>
                <w:top w:val="none" w:sz="0" w:space="0" w:color="auto"/>
                <w:left w:val="none" w:sz="0" w:space="0" w:color="auto"/>
                <w:bottom w:val="none" w:sz="0" w:space="0" w:color="auto"/>
                <w:right w:val="none" w:sz="0" w:space="0" w:color="auto"/>
              </w:divBdr>
              <w:divsChild>
                <w:div w:id="104093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9893032">
      <w:bodyDiv w:val="1"/>
      <w:marLeft w:val="0"/>
      <w:marRight w:val="0"/>
      <w:marTop w:val="0"/>
      <w:marBottom w:val="0"/>
      <w:divBdr>
        <w:top w:val="none" w:sz="0" w:space="0" w:color="auto"/>
        <w:left w:val="none" w:sz="0" w:space="0" w:color="auto"/>
        <w:bottom w:val="none" w:sz="0" w:space="0" w:color="auto"/>
        <w:right w:val="none" w:sz="0" w:space="0" w:color="auto"/>
      </w:divBdr>
    </w:div>
    <w:div w:id="1713774242">
      <w:bodyDiv w:val="1"/>
      <w:marLeft w:val="0"/>
      <w:marRight w:val="0"/>
      <w:marTop w:val="0"/>
      <w:marBottom w:val="0"/>
      <w:divBdr>
        <w:top w:val="none" w:sz="0" w:space="0" w:color="auto"/>
        <w:left w:val="none" w:sz="0" w:space="0" w:color="auto"/>
        <w:bottom w:val="none" w:sz="0" w:space="0" w:color="auto"/>
        <w:right w:val="none" w:sz="0" w:space="0" w:color="auto"/>
      </w:divBdr>
    </w:div>
    <w:div w:id="1807121258">
      <w:bodyDiv w:val="1"/>
      <w:marLeft w:val="0"/>
      <w:marRight w:val="0"/>
      <w:marTop w:val="0"/>
      <w:marBottom w:val="0"/>
      <w:divBdr>
        <w:top w:val="none" w:sz="0" w:space="0" w:color="auto"/>
        <w:left w:val="none" w:sz="0" w:space="0" w:color="auto"/>
        <w:bottom w:val="none" w:sz="0" w:space="0" w:color="auto"/>
        <w:right w:val="none" w:sz="0" w:space="0" w:color="auto"/>
      </w:divBdr>
    </w:div>
    <w:div w:id="1873110581">
      <w:bodyDiv w:val="1"/>
      <w:marLeft w:val="0"/>
      <w:marRight w:val="0"/>
      <w:marTop w:val="0"/>
      <w:marBottom w:val="0"/>
      <w:divBdr>
        <w:top w:val="none" w:sz="0" w:space="0" w:color="auto"/>
        <w:left w:val="none" w:sz="0" w:space="0" w:color="auto"/>
        <w:bottom w:val="none" w:sz="0" w:space="0" w:color="auto"/>
        <w:right w:val="none" w:sz="0" w:space="0" w:color="auto"/>
      </w:divBdr>
    </w:div>
    <w:div w:id="1898055067">
      <w:bodyDiv w:val="1"/>
      <w:marLeft w:val="0"/>
      <w:marRight w:val="0"/>
      <w:marTop w:val="0"/>
      <w:marBottom w:val="0"/>
      <w:divBdr>
        <w:top w:val="none" w:sz="0" w:space="0" w:color="auto"/>
        <w:left w:val="none" w:sz="0" w:space="0" w:color="auto"/>
        <w:bottom w:val="none" w:sz="0" w:space="0" w:color="auto"/>
        <w:right w:val="none" w:sz="0" w:space="0" w:color="auto"/>
      </w:divBdr>
    </w:div>
    <w:div w:id="1943490571">
      <w:bodyDiv w:val="1"/>
      <w:marLeft w:val="0"/>
      <w:marRight w:val="0"/>
      <w:marTop w:val="0"/>
      <w:marBottom w:val="0"/>
      <w:divBdr>
        <w:top w:val="none" w:sz="0" w:space="0" w:color="auto"/>
        <w:left w:val="none" w:sz="0" w:space="0" w:color="auto"/>
        <w:bottom w:val="none" w:sz="0" w:space="0" w:color="auto"/>
        <w:right w:val="none" w:sz="0" w:space="0" w:color="auto"/>
      </w:divBdr>
    </w:div>
    <w:div w:id="2063938359">
      <w:bodyDiv w:val="1"/>
      <w:marLeft w:val="0"/>
      <w:marRight w:val="0"/>
      <w:marTop w:val="0"/>
      <w:marBottom w:val="0"/>
      <w:divBdr>
        <w:top w:val="none" w:sz="0" w:space="0" w:color="auto"/>
        <w:left w:val="none" w:sz="0" w:space="0" w:color="auto"/>
        <w:bottom w:val="none" w:sz="0" w:space="0" w:color="auto"/>
        <w:right w:val="none" w:sz="0" w:space="0" w:color="auto"/>
      </w:divBdr>
      <w:divsChild>
        <w:div w:id="1972445209">
          <w:marLeft w:val="0"/>
          <w:marRight w:val="0"/>
          <w:marTop w:val="0"/>
          <w:marBottom w:val="0"/>
          <w:divBdr>
            <w:top w:val="none" w:sz="0" w:space="0" w:color="auto"/>
            <w:left w:val="none" w:sz="0" w:space="0" w:color="auto"/>
            <w:bottom w:val="none" w:sz="0" w:space="0" w:color="auto"/>
            <w:right w:val="none" w:sz="0" w:space="0" w:color="auto"/>
          </w:divBdr>
          <w:divsChild>
            <w:div w:id="80568206">
              <w:marLeft w:val="0"/>
              <w:marRight w:val="0"/>
              <w:marTop w:val="0"/>
              <w:marBottom w:val="0"/>
              <w:divBdr>
                <w:top w:val="none" w:sz="0" w:space="0" w:color="auto"/>
                <w:left w:val="none" w:sz="0" w:space="0" w:color="auto"/>
                <w:bottom w:val="none" w:sz="0" w:space="0" w:color="auto"/>
                <w:right w:val="none" w:sz="0" w:space="0" w:color="auto"/>
              </w:divBdr>
              <w:divsChild>
                <w:div w:id="17406369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image" Target="media/image3.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javascript:AbrirModal(2)" TargetMode="External"/><Relationship Id="rId1" Type="http://schemas.openxmlformats.org/officeDocument/2006/relationships/hyperlink" Target="javascript:AbrirModal(1)"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4.jpeg"/></Relationships>
</file>

<file path=word/_rels/header3.xml.rels><?xml version="1.0" encoding="UTF-8" standalone="yes"?>
<Relationships xmlns="http://schemas.openxmlformats.org/package/2006/relationships"><Relationship Id="rId1" Type="http://schemas.openxmlformats.org/officeDocument/2006/relationships/image" Target="media/image4.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38E7150-808B-4EE9-A6EF-D78F172BA8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133</TotalTime>
  <Pages>45</Pages>
  <Words>11031</Words>
  <Characters>60673</Characters>
  <Application>Microsoft Office Word</Application>
  <DocSecurity>0</DocSecurity>
  <Lines>505</Lines>
  <Paragraphs>143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71561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HAP</dc:creator>
  <cp:keywords/>
  <dc:description/>
  <cp:lastModifiedBy>INFOEM557</cp:lastModifiedBy>
  <cp:revision>9</cp:revision>
  <cp:lastPrinted>2026-06-26T16:55:00Z</cp:lastPrinted>
  <dcterms:created xsi:type="dcterms:W3CDTF">2026-06-16T00:50:00Z</dcterms:created>
  <dcterms:modified xsi:type="dcterms:W3CDTF">2026-07-03T15:43:00Z</dcterms:modified>
</cp:coreProperties>
</file>