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7E7" w:rsidRPr="00F54D43" w:rsidRDefault="00C917E7" w:rsidP="00C917E7">
      <w:pPr>
        <w:spacing w:line="360" w:lineRule="auto"/>
        <w:jc w:val="both"/>
        <w:rPr>
          <w:rFonts w:ascii="Palatino Linotype" w:hAnsi="Palatino Linotype"/>
        </w:rPr>
      </w:pPr>
      <w:r w:rsidRPr="00F54D43">
        <w:rPr>
          <w:rFonts w:ascii="Palatino Linotype" w:hAnsi="Palatino Linotype"/>
        </w:rPr>
        <w:t>Resolución del Pleno del Instituto de Transparencia, Acceso a la Información Pública y Protección de Datos Personales del Estado de México y Municipios, con domicilio en Metepec, Estado de México, a diecisiete de junio de dos mil veintiséis.</w:t>
      </w:r>
    </w:p>
    <w:p w:rsidR="00C917E7" w:rsidRPr="00F54D43" w:rsidRDefault="00C917E7" w:rsidP="00C917E7">
      <w:pPr>
        <w:spacing w:line="360" w:lineRule="auto"/>
        <w:jc w:val="both"/>
        <w:rPr>
          <w:rFonts w:ascii="Palatino Linotype" w:hAnsi="Palatino Linotype"/>
        </w:rPr>
      </w:pPr>
    </w:p>
    <w:p w:rsidR="00C917E7" w:rsidRPr="00F54D43" w:rsidRDefault="00C917E7" w:rsidP="00C917E7">
      <w:pPr>
        <w:tabs>
          <w:tab w:val="left" w:pos="1701"/>
        </w:tabs>
        <w:spacing w:before="240" w:line="360" w:lineRule="auto"/>
        <w:jc w:val="both"/>
        <w:rPr>
          <w:rFonts w:ascii="Palatino Linotype" w:hAnsi="Palatino Linotype" w:cs="Arial"/>
          <w:sz w:val="28"/>
        </w:rPr>
      </w:pPr>
      <w:r w:rsidRPr="00F54D43">
        <w:rPr>
          <w:rFonts w:ascii="Palatino Linotype" w:hAnsi="Palatino Linotype" w:cs="Arial"/>
          <w:b/>
        </w:rPr>
        <w:t>VISTO</w:t>
      </w:r>
      <w:r w:rsidRPr="00F54D43">
        <w:rPr>
          <w:rFonts w:ascii="Palatino Linotype" w:hAnsi="Palatino Linotype" w:cs="Arial"/>
        </w:rPr>
        <w:t xml:space="preserve"> el expediente electrónico formado con motivo del recurso de revisión número</w:t>
      </w:r>
      <w:r w:rsidRPr="00F54D43">
        <w:rPr>
          <w:rFonts w:ascii="Palatino Linotype" w:hAnsi="Palatino Linotype" w:cs="Arial"/>
          <w:b/>
        </w:rPr>
        <w:t xml:space="preserve"> </w:t>
      </w:r>
      <w:bookmarkStart w:id="0" w:name="_GoBack"/>
      <w:r w:rsidRPr="00F54D43">
        <w:rPr>
          <w:rFonts w:ascii="Palatino Linotype" w:hAnsi="Palatino Linotype" w:cs="Arial"/>
          <w:b/>
          <w:bCs/>
          <w:lang w:eastAsia="es-MX"/>
        </w:rPr>
        <w:t>01000/INFOEM/IP/RR/2026</w:t>
      </w:r>
      <w:bookmarkEnd w:id="0"/>
      <w:r w:rsidRPr="00F54D43">
        <w:rPr>
          <w:rFonts w:ascii="Palatino Linotype" w:hAnsi="Palatino Linotype" w:cs="Arial"/>
          <w:b/>
          <w:bCs/>
          <w:lang w:eastAsia="es-MX"/>
        </w:rPr>
        <w:t xml:space="preserve">, </w:t>
      </w:r>
      <w:r w:rsidRPr="00F54D43">
        <w:rPr>
          <w:rFonts w:ascii="Palatino Linotype" w:hAnsi="Palatino Linotype"/>
        </w:rPr>
        <w:t>interpuesto por “</w:t>
      </w:r>
      <w:r w:rsidR="00625A46">
        <w:rPr>
          <w:rFonts w:ascii="Palatino Linotype" w:hAnsi="Palatino Linotype"/>
        </w:rPr>
        <w:t>xxxxxxxxxxxxxxxxxxxxxx</w:t>
      </w:r>
      <w:r w:rsidRPr="00F54D43">
        <w:rPr>
          <w:rFonts w:ascii="Palatino Linotype" w:hAnsi="Palatino Linotype"/>
        </w:rPr>
        <w:t xml:space="preserve">”, en lo sucesivo la parte </w:t>
      </w:r>
      <w:r w:rsidRPr="00F54D43">
        <w:rPr>
          <w:rFonts w:ascii="Palatino Linotype" w:hAnsi="Palatino Linotype"/>
          <w:b/>
        </w:rPr>
        <w:t>Recurrente</w:t>
      </w:r>
      <w:r w:rsidRPr="00F54D43">
        <w:rPr>
          <w:rFonts w:ascii="Palatino Linotype" w:hAnsi="Palatino Linotype"/>
        </w:rPr>
        <w:t xml:space="preserve">, en lo sucesivo la parte </w:t>
      </w:r>
      <w:r w:rsidRPr="00F54D43">
        <w:rPr>
          <w:rFonts w:ascii="Palatino Linotype" w:hAnsi="Palatino Linotype"/>
          <w:b/>
        </w:rPr>
        <w:t>Recurrente</w:t>
      </w:r>
      <w:r w:rsidRPr="00F54D43">
        <w:rPr>
          <w:rFonts w:ascii="Palatino Linotype" w:hAnsi="Palatino Linotype"/>
        </w:rPr>
        <w:t xml:space="preserve">, en contra de la respuesta del </w:t>
      </w:r>
      <w:r w:rsidRPr="00F54D43">
        <w:rPr>
          <w:rFonts w:ascii="Palatino Linotype" w:hAnsi="Palatino Linotype"/>
          <w:b/>
        </w:rPr>
        <w:t>Ayuntamiento de Tepotzotlán</w:t>
      </w:r>
      <w:r w:rsidRPr="00F54D43">
        <w:rPr>
          <w:rFonts w:ascii="Palatino Linotype" w:hAnsi="Palatino Linotype"/>
        </w:rPr>
        <w:t xml:space="preserve">, en lo subsecuente el </w:t>
      </w:r>
      <w:r w:rsidRPr="00F54D43">
        <w:rPr>
          <w:rFonts w:ascii="Palatino Linotype" w:hAnsi="Palatino Linotype"/>
          <w:b/>
        </w:rPr>
        <w:t>Sujeto Obligado</w:t>
      </w:r>
      <w:r w:rsidRPr="00F54D43">
        <w:rPr>
          <w:rFonts w:ascii="Palatino Linotype" w:hAnsi="Palatino Linotype"/>
        </w:rPr>
        <w:t>, se procede a dictar la presente resolución.</w:t>
      </w:r>
    </w:p>
    <w:p w:rsidR="00C917E7" w:rsidRPr="00F54D43" w:rsidRDefault="00C917E7" w:rsidP="00C917E7">
      <w:pPr>
        <w:pStyle w:val="infoemcitas"/>
        <w:jc w:val="center"/>
        <w:rPr>
          <w:b/>
          <w:bCs/>
          <w:i w:val="0"/>
          <w:iCs/>
          <w:sz w:val="24"/>
          <w:szCs w:val="28"/>
        </w:rPr>
      </w:pPr>
    </w:p>
    <w:p w:rsidR="00C917E7" w:rsidRPr="00F54D43" w:rsidRDefault="00C917E7" w:rsidP="00C917E7">
      <w:pPr>
        <w:pStyle w:val="infoemcitas"/>
        <w:jc w:val="center"/>
        <w:rPr>
          <w:b/>
          <w:bCs/>
          <w:i w:val="0"/>
          <w:iCs/>
          <w:sz w:val="28"/>
          <w:szCs w:val="28"/>
        </w:rPr>
      </w:pPr>
      <w:r w:rsidRPr="00F54D43">
        <w:rPr>
          <w:b/>
          <w:bCs/>
          <w:i w:val="0"/>
          <w:iCs/>
          <w:sz w:val="28"/>
          <w:szCs w:val="28"/>
        </w:rPr>
        <w:t>A N T E C E D E N T E S   D E L   A S U N T O</w:t>
      </w:r>
    </w:p>
    <w:p w:rsidR="00C917E7" w:rsidRPr="00F54D43" w:rsidRDefault="00C917E7" w:rsidP="00C917E7">
      <w:pPr>
        <w:pStyle w:val="infoemcitas"/>
        <w:jc w:val="center"/>
        <w:rPr>
          <w:b/>
          <w:bCs/>
          <w:i w:val="0"/>
          <w:iCs/>
          <w:sz w:val="24"/>
          <w:szCs w:val="28"/>
        </w:rPr>
      </w:pPr>
    </w:p>
    <w:p w:rsidR="00C917E7" w:rsidRPr="00F54D43" w:rsidRDefault="00C917E7" w:rsidP="00C917E7">
      <w:pPr>
        <w:spacing w:before="240" w:after="240" w:line="360" w:lineRule="auto"/>
        <w:jc w:val="both"/>
        <w:rPr>
          <w:rFonts w:ascii="Palatino Linotype" w:hAnsi="Palatino Linotype"/>
        </w:rPr>
      </w:pPr>
      <w:r w:rsidRPr="00F54D43">
        <w:rPr>
          <w:rFonts w:ascii="Palatino Linotype" w:hAnsi="Palatino Linotype" w:cs="Arial"/>
          <w:b/>
          <w:sz w:val="28"/>
        </w:rPr>
        <w:t>PRIMERO.</w:t>
      </w:r>
      <w:r w:rsidRPr="00F54D43">
        <w:rPr>
          <w:rFonts w:ascii="Palatino Linotype" w:hAnsi="Palatino Linotype" w:cs="Arial"/>
        </w:rPr>
        <w:t xml:space="preserve"> </w:t>
      </w:r>
      <w:r w:rsidRPr="00F54D43">
        <w:rPr>
          <w:rFonts w:ascii="Palatino Linotype" w:hAnsi="Palatino Linotype"/>
          <w:b/>
          <w:sz w:val="28"/>
          <w:szCs w:val="28"/>
        </w:rPr>
        <w:t>De la Solicitud de Información.</w:t>
      </w:r>
    </w:p>
    <w:p w:rsidR="00C917E7" w:rsidRPr="00F54D43" w:rsidRDefault="00C917E7" w:rsidP="00C917E7">
      <w:pPr>
        <w:spacing w:before="240" w:line="360" w:lineRule="auto"/>
        <w:jc w:val="both"/>
        <w:rPr>
          <w:rFonts w:ascii="Palatino Linotype" w:hAnsi="Palatino Linotype" w:cs="Arial"/>
        </w:rPr>
      </w:pPr>
      <w:r w:rsidRPr="00F54D43">
        <w:rPr>
          <w:rFonts w:ascii="Palatino Linotype" w:hAnsi="Palatino Linotype" w:cs="Arial"/>
        </w:rPr>
        <w:t xml:space="preserve">Con fecha </w:t>
      </w:r>
      <w:r w:rsidRPr="00F54D43">
        <w:rPr>
          <w:rFonts w:ascii="Palatino Linotype" w:hAnsi="Palatino Linotype" w:cs="Arial"/>
          <w:b/>
        </w:rPr>
        <w:t>doce de enero de dos mil veintiséis</w:t>
      </w:r>
      <w:r w:rsidRPr="00F54D43">
        <w:rPr>
          <w:rFonts w:ascii="Palatino Linotype" w:hAnsi="Palatino Linotype" w:cs="Arial"/>
        </w:rPr>
        <w:t>, la parte</w:t>
      </w:r>
      <w:r w:rsidRPr="00F54D43">
        <w:rPr>
          <w:rFonts w:ascii="Palatino Linotype" w:hAnsi="Palatino Linotype" w:cs="Arial"/>
          <w:b/>
        </w:rPr>
        <w:t xml:space="preserve"> Recurrente </w:t>
      </w:r>
      <w:r w:rsidRPr="00F54D43">
        <w:rPr>
          <w:rFonts w:ascii="Palatino Linotype" w:hAnsi="Palatino Linotype" w:cs="Arial"/>
        </w:rPr>
        <w:t>presentó a través del Sistema de Acceso a la Información Mexiquense (</w:t>
      </w:r>
      <w:r w:rsidRPr="00F54D43">
        <w:rPr>
          <w:rFonts w:ascii="Palatino Linotype" w:hAnsi="Palatino Linotype" w:cs="Arial"/>
          <w:b/>
        </w:rPr>
        <w:t>SAIMEX)</w:t>
      </w:r>
      <w:r w:rsidRPr="00F54D43">
        <w:rPr>
          <w:rFonts w:ascii="Palatino Linotype" w:hAnsi="Palatino Linotype" w:cs="Arial"/>
        </w:rPr>
        <w:t xml:space="preserve"> ante </w:t>
      </w:r>
      <w:r w:rsidRPr="00F54D43">
        <w:rPr>
          <w:rFonts w:ascii="Palatino Linotype" w:hAnsi="Palatino Linotype" w:cs="Arial"/>
          <w:b/>
        </w:rPr>
        <w:t>El Sujeto Obligado</w:t>
      </w:r>
      <w:r w:rsidRPr="00F54D43">
        <w:rPr>
          <w:rFonts w:ascii="Palatino Linotype" w:hAnsi="Palatino Linotype" w:cs="Arial"/>
        </w:rPr>
        <w:t xml:space="preserve">, solicitud de acceso a la información pública, registrada bajo el número de expediente </w:t>
      </w:r>
      <w:r w:rsidRPr="00F54D43">
        <w:rPr>
          <w:rFonts w:ascii="Palatino Linotype" w:hAnsi="Palatino Linotype" w:cs="Arial"/>
          <w:b/>
        </w:rPr>
        <w:t xml:space="preserve">00139/TEPOTZOT/IP/2026, </w:t>
      </w:r>
      <w:r w:rsidRPr="00F54D43">
        <w:rPr>
          <w:rFonts w:ascii="Palatino Linotype" w:hAnsi="Palatino Linotype" w:cs="Arial"/>
        </w:rPr>
        <w:t>mediante la cual solicitó información en el tenor siguiente:</w:t>
      </w:r>
    </w:p>
    <w:p w:rsidR="00C917E7" w:rsidRPr="00F54D43" w:rsidRDefault="00C917E7" w:rsidP="00C917E7">
      <w:pPr>
        <w:pStyle w:val="INFOEM"/>
        <w:rPr>
          <w:lang w:val="es-ES_tradnl" w:eastAsia="es-ES"/>
        </w:rPr>
      </w:pPr>
      <w:r w:rsidRPr="00F54D43">
        <w:rPr>
          <w:lang w:val="es-ES_tradnl" w:eastAsia="es-ES"/>
        </w:rPr>
        <w:t>“</w:t>
      </w:r>
      <w:r w:rsidRPr="00F54D43">
        <w:rPr>
          <w:lang w:val="es-ES" w:eastAsia="es-ES"/>
        </w:rPr>
        <w:t xml:space="preserve">¿Cuáles fueron los actos específicos de desacato por los que el Tribunal de Justicia Administrativa del Estado de México determinó la inhabilitación de la Presidenta </w:t>
      </w:r>
      <w:r w:rsidRPr="00F54D43">
        <w:rPr>
          <w:lang w:val="es-ES" w:eastAsia="es-ES"/>
        </w:rPr>
        <w:lastRenderedPageBreak/>
        <w:t>Municipal de Tepotzotlán, María de los Ángeles Zuppa Villegas? Solicito se especifique qué información, documentos o resoluciones no fueron atendidas, ocultadas o incumplidas.</w:t>
      </w:r>
      <w:r w:rsidRPr="00F54D43">
        <w:rPr>
          <w:lang w:val="es-ES_tradnl" w:eastAsia="es-ES"/>
        </w:rPr>
        <w:t>” (Sic)</w:t>
      </w:r>
    </w:p>
    <w:p w:rsidR="00C917E7" w:rsidRPr="00F54D43" w:rsidRDefault="00C917E7" w:rsidP="00C917E7">
      <w:pPr>
        <w:spacing w:before="240" w:line="360" w:lineRule="auto"/>
        <w:jc w:val="both"/>
        <w:rPr>
          <w:rFonts w:ascii="Palatino Linotype" w:hAnsi="Palatino Linotype"/>
          <w:lang w:val="es-ES_tradnl"/>
        </w:rPr>
      </w:pPr>
      <w:r w:rsidRPr="00F54D43">
        <w:rPr>
          <w:rFonts w:ascii="Palatino Linotype" w:hAnsi="Palatino Linotype"/>
          <w:b/>
          <w:lang w:val="es-ES_tradnl"/>
        </w:rPr>
        <w:t>Modalidad de entrega:</w:t>
      </w:r>
      <w:r w:rsidRPr="00F54D43">
        <w:rPr>
          <w:rFonts w:ascii="Palatino Linotype" w:hAnsi="Palatino Linotype"/>
          <w:lang w:val="es-ES_tradnl"/>
        </w:rPr>
        <w:t xml:space="preserve"> A través del SAIMEX.</w:t>
      </w:r>
    </w:p>
    <w:p w:rsidR="00C917E7" w:rsidRPr="00F54D43" w:rsidRDefault="00C917E7" w:rsidP="00C917E7">
      <w:pPr>
        <w:spacing w:line="360" w:lineRule="auto"/>
        <w:jc w:val="both"/>
        <w:rPr>
          <w:rFonts w:ascii="Palatino Linotype" w:hAnsi="Palatino Linotype" w:cs="Arial"/>
          <w:b/>
        </w:rPr>
      </w:pPr>
    </w:p>
    <w:p w:rsidR="00C917E7" w:rsidRPr="00F54D43" w:rsidRDefault="00C917E7" w:rsidP="00C917E7">
      <w:pPr>
        <w:spacing w:line="360" w:lineRule="auto"/>
        <w:jc w:val="both"/>
        <w:rPr>
          <w:rFonts w:ascii="Palatino Linotype" w:hAnsi="Palatino Linotype" w:cs="Arial"/>
          <w:b/>
          <w:sz w:val="28"/>
        </w:rPr>
      </w:pPr>
      <w:r w:rsidRPr="00F54D43">
        <w:rPr>
          <w:rFonts w:ascii="Palatino Linotype" w:hAnsi="Palatino Linotype" w:cs="Arial"/>
          <w:b/>
          <w:sz w:val="28"/>
        </w:rPr>
        <w:t xml:space="preserve">SEGUNDO. </w:t>
      </w:r>
      <w:r w:rsidRPr="00F54D43">
        <w:rPr>
          <w:rFonts w:ascii="Palatino Linotype" w:hAnsi="Palatino Linotype" w:cs="Arial"/>
          <w:b/>
          <w:sz w:val="28"/>
          <w:szCs w:val="20"/>
        </w:rPr>
        <w:t>De la respuesta o entrega de la información.</w:t>
      </w:r>
    </w:p>
    <w:p w:rsidR="00C917E7" w:rsidRPr="00F54D43" w:rsidRDefault="00C917E7" w:rsidP="00C917E7">
      <w:pPr>
        <w:pStyle w:val="Sinespaciado"/>
        <w:spacing w:line="360" w:lineRule="auto"/>
        <w:jc w:val="both"/>
        <w:rPr>
          <w:rFonts w:ascii="Palatino Linotype" w:hAnsi="Palatino Linotype" w:cs="Arial"/>
          <w:b/>
          <w:sz w:val="24"/>
        </w:rPr>
      </w:pPr>
      <w:r w:rsidRPr="00F54D43">
        <w:rPr>
          <w:rFonts w:ascii="Palatino Linotype" w:hAnsi="Palatino Linotype"/>
          <w:sz w:val="24"/>
        </w:rPr>
        <w:t xml:space="preserve">De las constancias que obran en el expediente electrónico, se advierte que el </w:t>
      </w:r>
      <w:r w:rsidRPr="00F54D43">
        <w:rPr>
          <w:rFonts w:ascii="Palatino Linotype" w:hAnsi="Palatino Linotype" w:cs="Arial"/>
          <w:sz w:val="24"/>
        </w:rPr>
        <w:t xml:space="preserve">día </w:t>
      </w:r>
      <w:r w:rsidRPr="00F54D43">
        <w:rPr>
          <w:rFonts w:ascii="Palatino Linotype" w:hAnsi="Palatino Linotype" w:cs="Arial"/>
          <w:b/>
          <w:sz w:val="24"/>
        </w:rPr>
        <w:t>veintitrés de enero de dos mil veintiséis</w:t>
      </w:r>
      <w:r w:rsidRPr="00F54D43">
        <w:rPr>
          <w:rFonts w:ascii="Palatino Linotype" w:hAnsi="Palatino Linotype" w:cs="Arial"/>
          <w:sz w:val="24"/>
        </w:rPr>
        <w:t xml:space="preserve">, el </w:t>
      </w:r>
      <w:r w:rsidRPr="00F54D43">
        <w:rPr>
          <w:rFonts w:ascii="Palatino Linotype" w:hAnsi="Palatino Linotype" w:cs="Arial"/>
          <w:b/>
          <w:sz w:val="24"/>
        </w:rPr>
        <w:t>Sujeto Obligado</w:t>
      </w:r>
      <w:r w:rsidRPr="00F54D43">
        <w:rPr>
          <w:rFonts w:ascii="Palatino Linotype" w:hAnsi="Palatino Linotype" w:cs="Arial"/>
          <w:sz w:val="24"/>
        </w:rPr>
        <w:t xml:space="preserve"> dio respuesta a la solicitud de información en los siguientes términos: </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ind w:left="567" w:right="567"/>
        <w:jc w:val="both"/>
        <w:rPr>
          <w:rFonts w:ascii="Palatino Linotype" w:hAnsi="Palatino Linotype" w:cs="Arial"/>
          <w:i/>
        </w:rPr>
      </w:pPr>
      <w:r w:rsidRPr="00F54D43">
        <w:rPr>
          <w:rFonts w:ascii="Palatino Linotype" w:hAnsi="Palatino Linotype" w:cs="Arial"/>
          <w:i/>
        </w:rPr>
        <w:t>“…</w:t>
      </w:r>
    </w:p>
    <w:p w:rsidR="00C917E7" w:rsidRPr="00F54D43" w:rsidRDefault="00C917E7" w:rsidP="00C917E7">
      <w:pPr>
        <w:ind w:left="567" w:right="567"/>
        <w:jc w:val="both"/>
        <w:rPr>
          <w:rFonts w:ascii="Palatino Linotype" w:hAnsi="Palatino Linotype" w:cs="Arial"/>
          <w:i/>
        </w:rPr>
      </w:pPr>
      <w:r w:rsidRPr="00F54D43">
        <w:rPr>
          <w:rFonts w:ascii="Palatino Linotype" w:hAnsi="Palatino Linotype" w:cs="Arial"/>
          <w:i/>
        </w:rPr>
        <w:t>Se informa que la información solicitada: “¿Cuáles fueron los actos específicos de desacato por los que el Tribunal de Justicia Administrativa del Estado de México determinó la inhabilitación de la Presidenta Municipal de Tepotzotlán, María de los Ángeles Zuppa Villegas? Solicito se especifique qué información, documentos o resoluciones no fueron atendidas, ocultadas o incumplidas. (sic) No le compete al Sujeto Obligado Ayuntamiento de Tepotzotlán, por lo que se hace de su conocimiento que tiene que ingresar al Sistema de Acceso a la Información Mexiquense (SAIMEX) y dirigirse al Sujeto Obligado y Órgano Autónomo “Tribunal de Justicia Administrativa del Estado de México”, según lo marca el –Padrón de Sujetos Obligados en materia de Transparencia y Acceso a la Información Pública del Estado de México y Municipios- del INFOEM, https://www.infoem.org.mx/doc/normatividad/A_Acuerdo_mediante_el_cual_el_Pleno_del_INFOEM_modifica_el_Padron_de_Sujetos_Obligados_en_materia_de_Transparencia_y.pdf</w:t>
      </w:r>
    </w:p>
    <w:p w:rsidR="00C917E7" w:rsidRPr="00F54D43" w:rsidRDefault="00C917E7" w:rsidP="00C917E7">
      <w:pPr>
        <w:ind w:left="567" w:right="567"/>
        <w:jc w:val="both"/>
        <w:rPr>
          <w:rFonts w:ascii="Palatino Linotype" w:hAnsi="Palatino Linotype" w:cs="Arial"/>
          <w:i/>
        </w:rPr>
      </w:pPr>
      <w:r w:rsidRPr="00F54D43">
        <w:rPr>
          <w:rFonts w:ascii="Palatino Linotype" w:hAnsi="Palatino Linotype" w:cs="Arial"/>
          <w:i/>
        </w:rPr>
        <w:t>… “(Sic).</w:t>
      </w:r>
    </w:p>
    <w:p w:rsidR="00C917E7" w:rsidRPr="00F54D43" w:rsidRDefault="00C917E7" w:rsidP="00C917E7">
      <w:pPr>
        <w:spacing w:line="360" w:lineRule="auto"/>
        <w:ind w:right="567"/>
        <w:jc w:val="both"/>
        <w:rPr>
          <w:rFonts w:ascii="Palatino Linotype" w:hAnsi="Palatino Linotype" w:cs="Arial"/>
        </w:rPr>
      </w:pP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rPr>
        <w:t xml:space="preserve">Adicionalmente, el </w:t>
      </w:r>
      <w:r w:rsidRPr="00F54D43">
        <w:rPr>
          <w:rFonts w:ascii="Palatino Linotype" w:hAnsi="Palatino Linotype" w:cs="Arial"/>
          <w:b/>
        </w:rPr>
        <w:t>Sujeto Obligado</w:t>
      </w:r>
      <w:r w:rsidRPr="00F54D43">
        <w:rPr>
          <w:rFonts w:ascii="Palatino Linotype" w:hAnsi="Palatino Linotype" w:cs="Arial"/>
        </w:rPr>
        <w:t xml:space="preserve"> adjuntó el archivo electrónicos denominados “</w:t>
      </w:r>
      <w:r w:rsidRPr="00F54D43">
        <w:rPr>
          <w:rFonts w:ascii="Palatino Linotype" w:hAnsi="Palatino Linotype" w:cs="Arial"/>
          <w:b/>
          <w:i/>
        </w:rPr>
        <w:t xml:space="preserve">HAT-UTAIP-2026-059 incompetencia.pdf”, </w:t>
      </w:r>
      <w:r w:rsidRPr="00F54D43">
        <w:rPr>
          <w:rFonts w:ascii="Palatino Linotype" w:hAnsi="Palatino Linotype" w:cs="Arial"/>
        </w:rPr>
        <w:t xml:space="preserve">mismo que no se reproduce por ser del </w:t>
      </w:r>
      <w:r w:rsidRPr="00F54D43">
        <w:rPr>
          <w:rFonts w:ascii="Palatino Linotype" w:hAnsi="Palatino Linotype" w:cs="Arial"/>
        </w:rPr>
        <w:lastRenderedPageBreak/>
        <w:t xml:space="preserve">conocimiento de las partes, sin embargo, será materia de estudio en el considerando respectivo. </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before="240" w:line="360" w:lineRule="auto"/>
        <w:jc w:val="both"/>
        <w:rPr>
          <w:rFonts w:ascii="Palatino Linotype" w:hAnsi="Palatino Linotype" w:cs="Arial"/>
          <w:b/>
          <w:sz w:val="28"/>
        </w:rPr>
      </w:pPr>
      <w:r w:rsidRPr="00F54D43">
        <w:rPr>
          <w:rFonts w:ascii="Palatino Linotype" w:hAnsi="Palatino Linotype" w:cs="Arial"/>
          <w:b/>
          <w:sz w:val="28"/>
        </w:rPr>
        <w:t xml:space="preserve">TERCERO. </w:t>
      </w:r>
      <w:r w:rsidRPr="00F54D43">
        <w:rPr>
          <w:rFonts w:ascii="Palatino Linotype" w:hAnsi="Palatino Linotype"/>
          <w:b/>
          <w:sz w:val="28"/>
        </w:rPr>
        <w:t>Del recurso de revisión.</w:t>
      </w:r>
    </w:p>
    <w:p w:rsidR="00C917E7" w:rsidRPr="00F54D43" w:rsidRDefault="00C917E7" w:rsidP="00C917E7">
      <w:pPr>
        <w:spacing w:before="240" w:line="360" w:lineRule="auto"/>
        <w:jc w:val="both"/>
        <w:rPr>
          <w:rFonts w:ascii="Palatino Linotype" w:hAnsi="Palatino Linotype" w:cs="Arial"/>
        </w:rPr>
      </w:pPr>
      <w:r w:rsidRPr="00F54D43">
        <w:rPr>
          <w:rFonts w:ascii="Palatino Linotype" w:hAnsi="Palatino Linotype" w:cs="Arial"/>
        </w:rPr>
        <w:t xml:space="preserve">Inconforme con la respuesta notificada por </w:t>
      </w:r>
      <w:r w:rsidRPr="00F54D43">
        <w:rPr>
          <w:rFonts w:ascii="Palatino Linotype" w:hAnsi="Palatino Linotype" w:cs="Arial"/>
          <w:b/>
        </w:rPr>
        <w:t xml:space="preserve">El Sujeto Obligado, </w:t>
      </w:r>
      <w:r w:rsidRPr="00F54D43">
        <w:rPr>
          <w:rFonts w:ascii="Palatino Linotype" w:hAnsi="Palatino Linotype" w:cs="Arial"/>
        </w:rPr>
        <w:t>el</w:t>
      </w:r>
      <w:r w:rsidRPr="00F54D43">
        <w:rPr>
          <w:rFonts w:ascii="Palatino Linotype" w:hAnsi="Palatino Linotype" w:cs="Arial"/>
          <w:b/>
        </w:rPr>
        <w:t xml:space="preserve"> Recurrente </w:t>
      </w:r>
      <w:r w:rsidRPr="00F54D43">
        <w:rPr>
          <w:rFonts w:ascii="Palatino Linotype" w:hAnsi="Palatino Linotype" w:cs="Arial"/>
        </w:rPr>
        <w:t xml:space="preserve">interpuso recurso de revisión, en fecha </w:t>
      </w:r>
      <w:r w:rsidRPr="00F54D43">
        <w:rPr>
          <w:rFonts w:ascii="Palatino Linotype" w:hAnsi="Palatino Linotype" w:cs="Arial"/>
          <w:b/>
        </w:rPr>
        <w:t>veintiséis de enero de dos mil veintiséis</w:t>
      </w:r>
      <w:r w:rsidRPr="00F54D43">
        <w:rPr>
          <w:rFonts w:ascii="Palatino Linotype" w:hAnsi="Palatino Linotype" w:cs="Arial"/>
        </w:rPr>
        <w:t xml:space="preserve">, el cual fue registrado en el sistema electrónico con el expediente número </w:t>
      </w:r>
      <w:r w:rsidRPr="00F54D43">
        <w:rPr>
          <w:rFonts w:ascii="Palatino Linotype" w:hAnsi="Palatino Linotype" w:cs="Arial"/>
          <w:b/>
        </w:rPr>
        <w:t xml:space="preserve">01000/INFOEM/IP/RR/2026; </w:t>
      </w:r>
      <w:r w:rsidRPr="00F54D43">
        <w:rPr>
          <w:rFonts w:ascii="Palatino Linotype" w:hAnsi="Palatino Linotype" w:cs="Arial"/>
        </w:rPr>
        <w:t>en los cuales arguye las siguientes manifestaciones:</w:t>
      </w:r>
    </w:p>
    <w:p w:rsidR="00C917E7" w:rsidRPr="00F54D43" w:rsidRDefault="00C917E7" w:rsidP="00C917E7">
      <w:pPr>
        <w:pStyle w:val="Prrafodelista"/>
        <w:numPr>
          <w:ilvl w:val="0"/>
          <w:numId w:val="2"/>
        </w:numPr>
        <w:spacing w:before="240" w:line="360" w:lineRule="auto"/>
        <w:ind w:left="142" w:firstLine="0"/>
        <w:jc w:val="both"/>
        <w:rPr>
          <w:rFonts w:ascii="Palatino Linotype" w:hAnsi="Palatino Linotype" w:cs="Arial"/>
          <w:b/>
          <w:i/>
        </w:rPr>
      </w:pPr>
      <w:r w:rsidRPr="00F54D43">
        <w:rPr>
          <w:rFonts w:ascii="Palatino Linotype" w:hAnsi="Palatino Linotype" w:cs="Arial"/>
          <w:b/>
          <w:i/>
        </w:rPr>
        <w:t>Acto impugnado:</w:t>
      </w:r>
    </w:p>
    <w:p w:rsidR="00C917E7" w:rsidRPr="00F54D43" w:rsidRDefault="00C917E7" w:rsidP="00C917E7">
      <w:pPr>
        <w:pStyle w:val="INFOEM"/>
        <w:ind w:left="720"/>
        <w:rPr>
          <w:sz w:val="24"/>
        </w:rPr>
      </w:pPr>
      <w:r w:rsidRPr="00F54D43">
        <w:rPr>
          <w:sz w:val="24"/>
        </w:rPr>
        <w:t xml:space="preserve">“La declaratoria de incompetencia emitida por la Unidad de Transparencia del H. Ayuntamiento de Tepotzotlán, mediante la cual se negó el acceso a la información solicitada, sin cumplir plenamente con las obligaciones legales de orientación efectiva, fundamentación suficiente y exhaustividad, vulnerando el derecho humano de acceso a la información pública. presenté solicitud de acceso a la información pública en la que requerí: “Cuáles fueron los actos específicos de desacato por los que el Tribunal de Justicia Administrativa del Estado de México determinó la inhabilitación de la Presidenta Municipal de Tepotzotlán, María de los Ángeles Zuppa Villegas, especificando qué información, documentos o resoluciones no fueron atendidas, ocultadas o incumplidas.” El H. Ayuntamiento de Tepotzotlán respondió mediante oficio HAT/UT/AIP/2026/059, declarando su incompetencia, limitándose a señalar de manera genérica que el sujeto obligado competente es el Tribunal de Justicia Administrativa del Estado de México. Dicha respuesta resulta deficiente e </w:t>
      </w:r>
      <w:r w:rsidRPr="00F54D43">
        <w:rPr>
          <w:sz w:val="24"/>
        </w:rPr>
        <w:lastRenderedPageBreak/>
        <w:t>ilegal, al no cumplir con los estándares mínimos exigidos por la Ley de Transparencia.” (sic)</w:t>
      </w:r>
    </w:p>
    <w:p w:rsidR="00C917E7" w:rsidRPr="00F54D43" w:rsidRDefault="00C917E7" w:rsidP="00C917E7">
      <w:pPr>
        <w:pStyle w:val="Prrafodelista"/>
        <w:numPr>
          <w:ilvl w:val="0"/>
          <w:numId w:val="2"/>
        </w:numPr>
        <w:spacing w:before="240" w:line="360" w:lineRule="auto"/>
        <w:ind w:left="142" w:firstLine="0"/>
        <w:jc w:val="both"/>
        <w:rPr>
          <w:rFonts w:ascii="Palatino Linotype" w:hAnsi="Palatino Linotype" w:cs="Arial"/>
          <w:b/>
          <w:i/>
        </w:rPr>
      </w:pPr>
      <w:r w:rsidRPr="00F54D43">
        <w:rPr>
          <w:rFonts w:ascii="Palatino Linotype" w:hAnsi="Palatino Linotype" w:cs="Arial"/>
          <w:b/>
          <w:i/>
        </w:rPr>
        <w:t>Razones o motivos de inconformidad:</w:t>
      </w:r>
    </w:p>
    <w:p w:rsidR="00C917E7" w:rsidRPr="00F54D43" w:rsidRDefault="00C917E7" w:rsidP="00C917E7">
      <w:pPr>
        <w:pStyle w:val="INFOEM"/>
        <w:ind w:left="720"/>
        <w:rPr>
          <w:sz w:val="24"/>
        </w:rPr>
      </w:pPr>
      <w:r w:rsidRPr="00F54D43">
        <w:rPr>
          <w:sz w:val="24"/>
        </w:rPr>
        <w:t xml:space="preserve">“AGRAVIOS PRIMERO. INOBSERVANCIA DEL DEBER DE ORIENTACIÓN EFECTIVA Si bien el artículo 167 de la Ley de Transparencia permite declarar incompetencia, la autoridad no cumplió con el deber de orientación efectiva, ya que: No indicó con precisión el área, unidad administrativa o tipo de órgano específico del Tribunal al que debía dirigirse la solicitud. No orientó de manera clara sobre qué tipo de expediente, resolución o documento contiene la información solicitada. Se limitó a una referencia genérica, trasladando indebidamente la carga al solicitante. La orientación brindada fue insuficiente y formalista, contraviniendo el principio pro persona y el derecho de acceso efectivo a la información. SEGUNDO. FALTA DE EXHAUSTIVIDAD Y CONOCIMIENTO FUNCIONAL El Ayuntamiento omitió pronunciarse sobre si cuenta con: Notificaciones oficiales del Tribunal Resoluciones remitidas al Ayuntamiento Documentación derivada del cumplimiento o desacato Comunicaciones institucionales relacionadas con la inhabilitación Toda autoridad involucrada en un procedimiento jurisdiccional recibe y conserva documentación oficial, por lo que la simple declaratoria de incompetencia no acredita que no obre información en sus archivos. TERCERO. VIOLACIÓN AL PRINCIPIO DE MÁXIMA PUBLICIDAD Al no realizar una búsqueda mínima en sus archivos y limitarse a desechar la solicitud por incompetencia, el sujeto obligado restringe injustificadamente el acceso a información de alto interés público, relacionada con la rendición de </w:t>
      </w:r>
      <w:r w:rsidRPr="00F54D43">
        <w:rPr>
          <w:sz w:val="24"/>
        </w:rPr>
        <w:lastRenderedPageBreak/>
        <w:t>cuentas de una servidora pública sancionada. Son aplicables los artículos 6° y 8° de la Constitución Política de los Estados Unidos Mexicanos; así como los artículos 4, 11, 15, 92, 111, 150, 151, 152, 160, 167, 176, 177, 178, 179 y 180 de la Ley de Transparencia y Acceso a la Información Pública del Estado de México y Municipios. Por lo expuesto, solicito respetuosamente al INFOEM: Se declare fundado el presente recurso de revisión. Se revoque la declaratoria de incompetencia impugnada. Se ordene al H. Ayuntamiento de Tepotzotlán realizar una búsqueda exhaustiva en sus archivos administrativos y jurídicos. En caso de localizar información, se ordene su entrega en versión pública. En caso de insistir en la incompetencia, se ordene una orientación efectiva, clara y específica, indicando con precisión el sujeto obligado, unidad administrativa y tipo de documento que contiene la información solicitada. Se aperciba a la Unidad de Transparencia para que en lo subsecuente cumpla con los principios de máxima publicidad y exhaustividad.” (sic)</w:t>
      </w:r>
    </w:p>
    <w:p w:rsidR="00C917E7" w:rsidRPr="00F54D43" w:rsidRDefault="00C917E7" w:rsidP="00C917E7">
      <w:pPr>
        <w:pStyle w:val="INFOEM"/>
        <w:ind w:left="0"/>
      </w:pPr>
    </w:p>
    <w:p w:rsidR="00C917E7" w:rsidRPr="00F54D43" w:rsidRDefault="00C917E7" w:rsidP="00C917E7">
      <w:pPr>
        <w:spacing w:before="240" w:line="360" w:lineRule="auto"/>
        <w:jc w:val="both"/>
        <w:rPr>
          <w:rFonts w:ascii="Palatino Linotype" w:hAnsi="Palatino Linotype" w:cs="Arial"/>
          <w:b/>
        </w:rPr>
      </w:pPr>
      <w:r w:rsidRPr="00F54D43">
        <w:rPr>
          <w:rFonts w:ascii="Palatino Linotype" w:hAnsi="Palatino Linotype" w:cs="Arial"/>
          <w:b/>
          <w:sz w:val="28"/>
        </w:rPr>
        <w:t>CUARTO</w:t>
      </w:r>
      <w:r w:rsidRPr="00F54D43">
        <w:rPr>
          <w:rFonts w:ascii="Palatino Linotype" w:hAnsi="Palatino Linotype" w:cs="Arial"/>
          <w:b/>
        </w:rPr>
        <w:t xml:space="preserve">. </w:t>
      </w:r>
      <w:r w:rsidRPr="00F54D43">
        <w:rPr>
          <w:rFonts w:ascii="Palatino Linotype" w:hAnsi="Palatino Linotype" w:cs="Arial"/>
          <w:b/>
          <w:sz w:val="28"/>
          <w:szCs w:val="28"/>
        </w:rPr>
        <w:t>Del turno y admisión del recurso de revisión.</w:t>
      </w:r>
    </w:p>
    <w:p w:rsidR="00C917E7" w:rsidRPr="00F54D43" w:rsidRDefault="00C917E7" w:rsidP="00C917E7">
      <w:pPr>
        <w:spacing w:before="240" w:line="360" w:lineRule="auto"/>
        <w:jc w:val="both"/>
        <w:rPr>
          <w:rFonts w:ascii="Palatino Linotype" w:hAnsi="Palatino Linotype" w:cs="Arial"/>
          <w:sz w:val="28"/>
        </w:rPr>
      </w:pPr>
      <w:r w:rsidRPr="00F54D43">
        <w:rPr>
          <w:rFonts w:ascii="Palatino Linotype" w:hAnsi="Palatino Linotype"/>
        </w:rPr>
        <w:t xml:space="preserve">El medio de impugnación fue turnado al Comisionado Presidente </w:t>
      </w:r>
      <w:r w:rsidRPr="00F54D43">
        <w:rPr>
          <w:rFonts w:ascii="Palatino Linotype" w:hAnsi="Palatino Linotype"/>
          <w:b/>
        </w:rPr>
        <w:t>José Martínez Vilchis,</w:t>
      </w:r>
      <w:r w:rsidRPr="00F54D43">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F54D43">
        <w:rPr>
          <w:rFonts w:ascii="Palatino Linotype" w:hAnsi="Palatino Linotype"/>
          <w:b/>
        </w:rPr>
        <w:t>admisión</w:t>
      </w:r>
      <w:r w:rsidRPr="00F54D43">
        <w:rPr>
          <w:rFonts w:ascii="Palatino Linotype" w:hAnsi="Palatino Linotype"/>
        </w:rPr>
        <w:t xml:space="preserve"> en fecha </w:t>
      </w:r>
      <w:r w:rsidR="0052506E" w:rsidRPr="00F54D43">
        <w:rPr>
          <w:rFonts w:ascii="Palatino Linotype" w:hAnsi="Palatino Linotype"/>
          <w:b/>
        </w:rPr>
        <w:t>veintisiete de enero</w:t>
      </w:r>
      <w:r w:rsidRPr="00F54D43">
        <w:rPr>
          <w:rFonts w:ascii="Palatino Linotype" w:hAnsi="Palatino Linotype"/>
          <w:b/>
        </w:rPr>
        <w:t xml:space="preserve"> de dos mil veintiséis</w:t>
      </w:r>
      <w:r w:rsidRPr="00F54D43">
        <w:rPr>
          <w:rFonts w:ascii="Palatino Linotype" w:hAnsi="Palatino Linotype"/>
        </w:rPr>
        <w:t>, determinándose en ellos, un plazo de siete días para que las partes manifestaran lo que a su derecho corresponda en términos del numeral ya citado.</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pStyle w:val="Prrafodelista"/>
        <w:spacing w:line="360" w:lineRule="auto"/>
        <w:ind w:left="0"/>
        <w:jc w:val="both"/>
        <w:rPr>
          <w:rFonts w:ascii="Palatino Linotype" w:hAnsi="Palatino Linotype" w:cs="Arial"/>
          <w:b/>
          <w:sz w:val="28"/>
          <w:szCs w:val="28"/>
        </w:rPr>
      </w:pPr>
      <w:r w:rsidRPr="00F54D43">
        <w:rPr>
          <w:rFonts w:ascii="Palatino Linotype" w:hAnsi="Palatino Linotype" w:cs="Arial"/>
          <w:b/>
          <w:sz w:val="28"/>
        </w:rPr>
        <w:t>QUINTO</w:t>
      </w:r>
      <w:r w:rsidRPr="00F54D43">
        <w:rPr>
          <w:rFonts w:ascii="Palatino Linotype" w:hAnsi="Palatino Linotype" w:cs="Arial"/>
          <w:b/>
          <w:sz w:val="28"/>
          <w:szCs w:val="28"/>
        </w:rPr>
        <w:t>. De la etapa de instrucción.</w:t>
      </w:r>
    </w:p>
    <w:p w:rsidR="00C917E7" w:rsidRPr="00F54D43" w:rsidRDefault="00C917E7" w:rsidP="00C917E7">
      <w:pPr>
        <w:spacing w:line="360" w:lineRule="auto"/>
        <w:jc w:val="both"/>
        <w:rPr>
          <w:rFonts w:ascii="Palatino Linotype" w:hAnsi="Palatino Linotype"/>
        </w:rPr>
      </w:pPr>
      <w:r w:rsidRPr="00F54D43">
        <w:rPr>
          <w:rFonts w:ascii="Palatino Linotype" w:hAnsi="Palatino Linotype" w:cs="Arial"/>
        </w:rPr>
        <w:t>De las constancias que obran en el expediente electrónico del SAIMEX, se advierte que el Sujeto Obligado fue omiso al rendir su informe justificado. De igual manera, se advierte que el Recurrente</w:t>
      </w:r>
      <w:r w:rsidRPr="00F54D43">
        <w:rPr>
          <w:rFonts w:ascii="Palatino Linotype" w:hAnsi="Palatino Linotype" w:cs="Arial"/>
          <w:b/>
        </w:rPr>
        <w:t>,</w:t>
      </w:r>
      <w:r w:rsidRPr="00F54D43">
        <w:rPr>
          <w:rFonts w:ascii="Palatino Linotype" w:hAnsi="Palatino Linotype" w:cs="Arial"/>
        </w:rPr>
        <w:t xml:space="preserve"> omitió rendir dentro del término de Ley, las manifestaciones que a sus intereses conviniera.</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C917E7" w:rsidRPr="00F54D43" w:rsidRDefault="00C917E7" w:rsidP="00C917E7">
      <w:pPr>
        <w:spacing w:line="360" w:lineRule="auto"/>
        <w:jc w:val="both"/>
        <w:rPr>
          <w:rFonts w:ascii="Palatino Linotype" w:eastAsia="Calibri" w:hAnsi="Palatino Linotype" w:cs="Arial"/>
          <w:b/>
          <w:sz w:val="28"/>
          <w:szCs w:val="28"/>
        </w:rPr>
      </w:pPr>
    </w:p>
    <w:p w:rsidR="00C917E7" w:rsidRPr="00F54D43" w:rsidRDefault="00C917E7" w:rsidP="00C917E7">
      <w:pPr>
        <w:spacing w:line="360" w:lineRule="auto"/>
        <w:jc w:val="both"/>
        <w:rPr>
          <w:rFonts w:ascii="Palatino Linotype" w:hAnsi="Palatino Linotype" w:cs="Arial"/>
          <w:b/>
          <w:sz w:val="28"/>
          <w:szCs w:val="28"/>
        </w:rPr>
      </w:pPr>
      <w:r w:rsidRPr="00F54D43">
        <w:rPr>
          <w:rFonts w:ascii="Palatino Linotype" w:hAnsi="Palatino Linotype" w:cs="Arial"/>
          <w:b/>
          <w:sz w:val="28"/>
          <w:szCs w:val="28"/>
        </w:rPr>
        <w:t>SEXTO. Del Cierre de Instrucción.</w:t>
      </w: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2506E" w:rsidRPr="00F54D43">
        <w:rPr>
          <w:rFonts w:ascii="Palatino Linotype" w:hAnsi="Palatino Linotype" w:cs="Arial"/>
          <w:b/>
        </w:rPr>
        <w:t>primero de febrero</w:t>
      </w:r>
      <w:r w:rsidRPr="00F54D43">
        <w:rPr>
          <w:rFonts w:ascii="Palatino Linotype" w:hAnsi="Palatino Linotype" w:cs="Arial"/>
          <w:b/>
        </w:rPr>
        <w:t xml:space="preserve"> de dos mil veintiséis</w:t>
      </w:r>
      <w:r w:rsidRPr="00F54D43">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line="360" w:lineRule="auto"/>
        <w:jc w:val="both"/>
        <w:rPr>
          <w:rFonts w:ascii="Palatino Linotype" w:eastAsia="Calibri" w:hAnsi="Palatino Linotype" w:cs="Arial"/>
          <w:b/>
          <w:sz w:val="28"/>
          <w:lang w:val="es-ES_tradnl"/>
        </w:rPr>
      </w:pPr>
      <w:r w:rsidRPr="00F54D43">
        <w:rPr>
          <w:rFonts w:ascii="Palatino Linotype" w:eastAsia="Calibri" w:hAnsi="Palatino Linotype" w:cs="Arial"/>
          <w:b/>
          <w:sz w:val="28"/>
          <w:lang w:val="es-ES_tradnl"/>
        </w:rPr>
        <w:t>SÉPTIMO. De la ampliación del término para resolver.</w:t>
      </w: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rPr>
        <w:lastRenderedPageBreak/>
        <w:t xml:space="preserve">De las constancias que integran el expediente electrónico, se advierte que han transcurrido los términos de Ley, para la emisión de la resolución en el presente recurso de revisión, por lo que en fecha </w:t>
      </w:r>
      <w:r w:rsidR="0052506E" w:rsidRPr="00F54D43">
        <w:rPr>
          <w:rFonts w:ascii="Palatino Linotype" w:hAnsi="Palatino Linotype" w:cs="Arial"/>
          <w:b/>
        </w:rPr>
        <w:t xml:space="preserve">tres </w:t>
      </w:r>
      <w:r w:rsidRPr="00F54D43">
        <w:rPr>
          <w:rFonts w:ascii="Palatino Linotype" w:hAnsi="Palatino Linotype" w:cs="Arial"/>
          <w:b/>
        </w:rPr>
        <w:t>de junio de dos mil veintiséis</w:t>
      </w:r>
      <w:r w:rsidRPr="00F54D43">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line="360" w:lineRule="auto"/>
        <w:jc w:val="both"/>
        <w:rPr>
          <w:rFonts w:ascii="Palatino Linotype" w:hAnsi="Palatino Linotype" w:cs="Arial"/>
          <w:b/>
          <w:sz w:val="28"/>
          <w:szCs w:val="28"/>
        </w:rPr>
      </w:pPr>
    </w:p>
    <w:p w:rsidR="00C917E7" w:rsidRPr="00F54D43" w:rsidRDefault="00C917E7" w:rsidP="00C917E7">
      <w:pPr>
        <w:spacing w:line="360" w:lineRule="auto"/>
        <w:jc w:val="center"/>
        <w:rPr>
          <w:rFonts w:ascii="Palatino Linotype" w:hAnsi="Palatino Linotype"/>
          <w:b/>
          <w:bCs/>
          <w:spacing w:val="60"/>
          <w:sz w:val="28"/>
          <w:lang w:val="es-ES_tradnl"/>
        </w:rPr>
      </w:pPr>
      <w:r w:rsidRPr="00F54D43">
        <w:rPr>
          <w:rFonts w:ascii="Palatino Linotype" w:hAnsi="Palatino Linotype"/>
          <w:b/>
          <w:bCs/>
          <w:spacing w:val="60"/>
          <w:sz w:val="28"/>
          <w:lang w:val="es-ES_tradnl"/>
        </w:rPr>
        <w:t>CONSIDERANDO</w:t>
      </w:r>
    </w:p>
    <w:p w:rsidR="00C917E7" w:rsidRPr="00F54D43" w:rsidRDefault="00C917E7" w:rsidP="00C917E7">
      <w:pPr>
        <w:spacing w:line="360" w:lineRule="auto"/>
        <w:ind w:right="49"/>
        <w:jc w:val="both"/>
        <w:rPr>
          <w:rFonts w:ascii="Palatino Linotype" w:hAnsi="Palatino Linotype"/>
          <w:szCs w:val="28"/>
        </w:rPr>
      </w:pPr>
    </w:p>
    <w:p w:rsidR="00C917E7" w:rsidRPr="00F54D43" w:rsidRDefault="00C917E7" w:rsidP="00C917E7">
      <w:pPr>
        <w:spacing w:before="240" w:line="360" w:lineRule="auto"/>
        <w:jc w:val="both"/>
        <w:rPr>
          <w:rFonts w:ascii="Palatino Linotype" w:hAnsi="Palatino Linotype" w:cs="Arial"/>
          <w:sz w:val="28"/>
          <w:szCs w:val="28"/>
        </w:rPr>
      </w:pPr>
      <w:r w:rsidRPr="00F54D43">
        <w:rPr>
          <w:rFonts w:ascii="Palatino Linotype" w:hAnsi="Palatino Linotype" w:cs="Arial"/>
          <w:b/>
          <w:sz w:val="28"/>
        </w:rPr>
        <w:t>PRIMERO.</w:t>
      </w:r>
      <w:r w:rsidRPr="00F54D43">
        <w:rPr>
          <w:rFonts w:ascii="Palatino Linotype" w:hAnsi="Palatino Linotype" w:cs="Arial"/>
          <w:b/>
        </w:rPr>
        <w:t xml:space="preserve"> </w:t>
      </w:r>
      <w:r w:rsidRPr="00F54D43">
        <w:rPr>
          <w:rFonts w:ascii="Palatino Linotype" w:hAnsi="Palatino Linotype" w:cs="Arial"/>
          <w:b/>
          <w:sz w:val="28"/>
          <w:szCs w:val="28"/>
        </w:rPr>
        <w:t>De la competencia</w:t>
      </w:r>
      <w:r w:rsidRPr="00F54D43">
        <w:rPr>
          <w:rFonts w:ascii="Palatino Linotype" w:hAnsi="Palatino Linotype" w:cs="Arial"/>
          <w:sz w:val="28"/>
          <w:szCs w:val="28"/>
        </w:rPr>
        <w:t>.</w:t>
      </w:r>
    </w:p>
    <w:p w:rsidR="00C917E7" w:rsidRPr="00F54D43" w:rsidRDefault="00C917E7" w:rsidP="00C917E7">
      <w:pPr>
        <w:tabs>
          <w:tab w:val="left" w:pos="3402"/>
        </w:tabs>
        <w:spacing w:line="360" w:lineRule="auto"/>
        <w:jc w:val="both"/>
        <w:rPr>
          <w:rFonts w:ascii="Palatino Linotype" w:hAnsi="Palatino Linotype"/>
        </w:rPr>
      </w:pPr>
      <w:r w:rsidRPr="00F54D43">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C917E7" w:rsidRPr="00F54D43" w:rsidRDefault="00C917E7" w:rsidP="00C917E7">
      <w:pPr>
        <w:tabs>
          <w:tab w:val="left" w:pos="3402"/>
        </w:tabs>
        <w:spacing w:line="360" w:lineRule="auto"/>
        <w:jc w:val="both"/>
        <w:rPr>
          <w:rFonts w:ascii="Palatino Linotype" w:hAnsi="Palatino Linotype"/>
        </w:rPr>
      </w:pPr>
    </w:p>
    <w:p w:rsidR="00C917E7" w:rsidRPr="00F54D43" w:rsidRDefault="00C917E7" w:rsidP="00C917E7">
      <w:pPr>
        <w:pStyle w:val="Prrafodelista"/>
        <w:autoSpaceDE w:val="0"/>
        <w:autoSpaceDN w:val="0"/>
        <w:adjustRightInd w:val="0"/>
        <w:spacing w:before="240" w:after="160" w:line="360" w:lineRule="auto"/>
        <w:ind w:left="0"/>
        <w:jc w:val="both"/>
        <w:rPr>
          <w:rFonts w:ascii="Palatino Linotype" w:hAnsi="Palatino Linotype" w:cs="Arial"/>
          <w:b/>
        </w:rPr>
      </w:pPr>
      <w:r w:rsidRPr="00F54D43">
        <w:rPr>
          <w:rFonts w:ascii="Palatino Linotype" w:hAnsi="Palatino Linotype" w:cs="Arial"/>
          <w:b/>
          <w:sz w:val="28"/>
        </w:rPr>
        <w:lastRenderedPageBreak/>
        <w:t>SEGUNDO</w:t>
      </w:r>
      <w:r w:rsidRPr="00F54D43">
        <w:rPr>
          <w:rFonts w:ascii="Palatino Linotype" w:hAnsi="Palatino Linotype" w:cs="Arial"/>
          <w:b/>
        </w:rPr>
        <w:t xml:space="preserve">. </w:t>
      </w:r>
      <w:r w:rsidRPr="00F54D43">
        <w:rPr>
          <w:rFonts w:ascii="Palatino Linotype" w:hAnsi="Palatino Linotype" w:cs="Arial"/>
          <w:b/>
          <w:sz w:val="28"/>
          <w:szCs w:val="28"/>
        </w:rPr>
        <w:t>Sobre los alcances del recurso de revisión.</w:t>
      </w:r>
      <w:r w:rsidRPr="00F54D43">
        <w:rPr>
          <w:rFonts w:ascii="Palatino Linotype" w:hAnsi="Palatino Linotype" w:cs="Arial"/>
          <w:b/>
        </w:rPr>
        <w:t xml:space="preserve"> </w:t>
      </w:r>
    </w:p>
    <w:p w:rsidR="00C917E7" w:rsidRPr="00F54D43" w:rsidRDefault="00C917E7" w:rsidP="00C917E7">
      <w:pPr>
        <w:pStyle w:val="Prrafodelista"/>
        <w:autoSpaceDE w:val="0"/>
        <w:autoSpaceDN w:val="0"/>
        <w:adjustRightInd w:val="0"/>
        <w:spacing w:before="240" w:after="160" w:line="360" w:lineRule="auto"/>
        <w:ind w:left="0"/>
        <w:jc w:val="both"/>
        <w:rPr>
          <w:rFonts w:ascii="Palatino Linotype" w:hAnsi="Palatino Linotype" w:cs="Arial"/>
        </w:rPr>
      </w:pPr>
      <w:r w:rsidRPr="00F54D43">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C917E7" w:rsidRPr="00F54D43" w:rsidRDefault="00C917E7" w:rsidP="00C917E7">
      <w:pPr>
        <w:autoSpaceDE w:val="0"/>
        <w:autoSpaceDN w:val="0"/>
        <w:adjustRightInd w:val="0"/>
        <w:spacing w:before="240" w:line="360" w:lineRule="auto"/>
        <w:jc w:val="both"/>
        <w:rPr>
          <w:rFonts w:ascii="Palatino Linotype" w:hAnsi="Palatino Linotype" w:cs="Arial"/>
        </w:rPr>
      </w:pPr>
      <w:r w:rsidRPr="00F54D43">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C917E7" w:rsidRPr="00F54D43" w:rsidRDefault="00C917E7" w:rsidP="00C917E7">
      <w:pPr>
        <w:autoSpaceDE w:val="0"/>
        <w:autoSpaceDN w:val="0"/>
        <w:adjustRightInd w:val="0"/>
        <w:spacing w:before="240" w:line="360" w:lineRule="auto"/>
        <w:ind w:left="1134"/>
        <w:jc w:val="both"/>
        <w:rPr>
          <w:rFonts w:ascii="Palatino Linotype" w:hAnsi="Palatino Linotype" w:cs="Arial"/>
          <w:i/>
        </w:rPr>
      </w:pPr>
      <w:r w:rsidRPr="00F54D43">
        <w:rPr>
          <w:rFonts w:ascii="Palatino Linotype" w:hAnsi="Palatino Linotype" w:cs="Arial"/>
          <w:i/>
        </w:rPr>
        <w:t xml:space="preserve">“Artículo 180. El recurso de revisión contendrá: </w:t>
      </w:r>
    </w:p>
    <w:p w:rsidR="00C917E7" w:rsidRPr="00F54D43" w:rsidRDefault="00C917E7" w:rsidP="00C917E7">
      <w:pPr>
        <w:autoSpaceDE w:val="0"/>
        <w:autoSpaceDN w:val="0"/>
        <w:adjustRightInd w:val="0"/>
        <w:ind w:left="1134"/>
        <w:jc w:val="both"/>
        <w:rPr>
          <w:rFonts w:ascii="Palatino Linotype" w:hAnsi="Palatino Linotype" w:cs="Arial"/>
          <w:i/>
          <w:lang w:val="es-ES_tradnl"/>
        </w:rPr>
      </w:pPr>
      <w:r w:rsidRPr="00F54D43">
        <w:rPr>
          <w:rFonts w:ascii="Palatino Linotype" w:hAnsi="Palatino Linotype" w:cs="Arial"/>
          <w:i/>
          <w:lang w:val="es-ES_tradnl"/>
        </w:rPr>
        <w:t xml:space="preserve">I. El sujeto obligado ante la cual se presentó la solicitud; </w:t>
      </w:r>
    </w:p>
    <w:p w:rsidR="00C917E7" w:rsidRPr="00F54D43" w:rsidRDefault="00C917E7" w:rsidP="00C917E7">
      <w:pPr>
        <w:autoSpaceDE w:val="0"/>
        <w:autoSpaceDN w:val="0"/>
        <w:adjustRightInd w:val="0"/>
        <w:ind w:left="1134" w:right="567"/>
        <w:jc w:val="both"/>
        <w:rPr>
          <w:rFonts w:ascii="Palatino Linotype" w:hAnsi="Palatino Linotype" w:cs="Arial"/>
          <w:i/>
          <w:lang w:val="es-ES_tradnl"/>
        </w:rPr>
      </w:pPr>
      <w:r w:rsidRPr="00F54D43">
        <w:rPr>
          <w:rFonts w:ascii="Palatino Linotype" w:hAnsi="Palatino Linotype" w:cs="Arial"/>
          <w:b/>
          <w:i/>
          <w:lang w:val="es-ES_tradnl"/>
        </w:rPr>
        <w:t>II. El nombre del solicitante que recurre</w:t>
      </w:r>
      <w:r w:rsidRPr="00F54D43">
        <w:rPr>
          <w:rFonts w:ascii="Palatino Linotype" w:hAnsi="Palatino Linotype" w:cs="Arial"/>
          <w:i/>
          <w:lang w:val="es-ES_tradnl"/>
        </w:rPr>
        <w:t xml:space="preserve"> o de su representante y, en su caso, del tercero interesado, así como la dirección o medio que señale para recibir notificaciones;</w:t>
      </w:r>
    </w:p>
    <w:p w:rsidR="00C917E7" w:rsidRPr="00F54D43" w:rsidRDefault="00C917E7" w:rsidP="00C917E7">
      <w:pPr>
        <w:autoSpaceDE w:val="0"/>
        <w:autoSpaceDN w:val="0"/>
        <w:adjustRightInd w:val="0"/>
        <w:ind w:left="1134"/>
        <w:jc w:val="both"/>
        <w:rPr>
          <w:rFonts w:ascii="Palatino Linotype" w:hAnsi="Palatino Linotype" w:cs="Arial"/>
          <w:i/>
          <w:lang w:val="es-ES_tradnl"/>
        </w:rPr>
      </w:pPr>
      <w:r w:rsidRPr="00F54D43">
        <w:rPr>
          <w:rFonts w:ascii="Palatino Linotype" w:hAnsi="Palatino Linotype" w:cs="Arial"/>
          <w:i/>
          <w:lang w:val="es-ES_tradnl"/>
        </w:rPr>
        <w:t>III. El número de folio de respuesta de la solicitud de acceso;</w:t>
      </w:r>
    </w:p>
    <w:p w:rsidR="00C917E7" w:rsidRPr="00F54D43" w:rsidRDefault="00C917E7" w:rsidP="00C917E7">
      <w:pPr>
        <w:autoSpaceDE w:val="0"/>
        <w:autoSpaceDN w:val="0"/>
        <w:adjustRightInd w:val="0"/>
        <w:ind w:left="1134" w:right="567"/>
        <w:jc w:val="both"/>
        <w:rPr>
          <w:rFonts w:ascii="Palatino Linotype" w:hAnsi="Palatino Linotype" w:cs="Arial"/>
          <w:i/>
          <w:lang w:val="es-ES_tradnl"/>
        </w:rPr>
      </w:pPr>
      <w:r w:rsidRPr="00F54D43">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C917E7" w:rsidRPr="00F54D43" w:rsidRDefault="00C917E7" w:rsidP="00C917E7">
      <w:pPr>
        <w:autoSpaceDE w:val="0"/>
        <w:autoSpaceDN w:val="0"/>
        <w:adjustRightInd w:val="0"/>
        <w:ind w:left="1134" w:right="567"/>
        <w:jc w:val="both"/>
        <w:rPr>
          <w:rFonts w:ascii="Palatino Linotype" w:hAnsi="Palatino Linotype" w:cs="Arial"/>
          <w:i/>
          <w:lang w:val="es-ES_tradnl"/>
        </w:rPr>
      </w:pPr>
      <w:r w:rsidRPr="00F54D43">
        <w:rPr>
          <w:rFonts w:ascii="Palatino Linotype" w:hAnsi="Palatino Linotype" w:cs="Arial"/>
          <w:i/>
          <w:lang w:val="es-ES_tradnl"/>
        </w:rPr>
        <w:t>V. El acto que se recurre;</w:t>
      </w:r>
    </w:p>
    <w:p w:rsidR="00C917E7" w:rsidRPr="00F54D43" w:rsidRDefault="00C917E7" w:rsidP="00C917E7">
      <w:pPr>
        <w:autoSpaceDE w:val="0"/>
        <w:autoSpaceDN w:val="0"/>
        <w:adjustRightInd w:val="0"/>
        <w:ind w:left="1134"/>
        <w:jc w:val="both"/>
        <w:rPr>
          <w:rFonts w:ascii="Palatino Linotype" w:hAnsi="Palatino Linotype" w:cs="Arial"/>
          <w:i/>
          <w:lang w:val="es-ES_tradnl"/>
        </w:rPr>
      </w:pPr>
      <w:r w:rsidRPr="00F54D43">
        <w:rPr>
          <w:rFonts w:ascii="Palatino Linotype" w:hAnsi="Palatino Linotype" w:cs="Arial"/>
          <w:i/>
          <w:lang w:val="es-ES_tradnl"/>
        </w:rPr>
        <w:t>VI. Las razones o motivos de inconformidad;</w:t>
      </w:r>
    </w:p>
    <w:p w:rsidR="00C917E7" w:rsidRPr="00F54D43" w:rsidRDefault="00C917E7" w:rsidP="00C917E7">
      <w:pPr>
        <w:autoSpaceDE w:val="0"/>
        <w:autoSpaceDN w:val="0"/>
        <w:adjustRightInd w:val="0"/>
        <w:ind w:left="1134" w:right="567"/>
        <w:jc w:val="both"/>
        <w:rPr>
          <w:rFonts w:ascii="Palatino Linotype" w:hAnsi="Palatino Linotype" w:cs="Arial"/>
          <w:i/>
          <w:lang w:val="es-ES_tradnl"/>
        </w:rPr>
      </w:pPr>
      <w:r w:rsidRPr="00F54D43">
        <w:rPr>
          <w:rFonts w:ascii="Palatino Linotype" w:hAnsi="Palatino Linotype" w:cs="Arial"/>
          <w:i/>
          <w:lang w:val="es-ES_tradnl"/>
        </w:rPr>
        <w:t xml:space="preserve">VII. La copia de la respuesta que se impugna y, en su caso, de la notificación correspondiente, en el caso de respuesta de la solicitud; y </w:t>
      </w:r>
    </w:p>
    <w:p w:rsidR="00C917E7" w:rsidRPr="00F54D43" w:rsidRDefault="00C917E7" w:rsidP="00C917E7">
      <w:pPr>
        <w:autoSpaceDE w:val="0"/>
        <w:autoSpaceDN w:val="0"/>
        <w:adjustRightInd w:val="0"/>
        <w:ind w:left="1134" w:right="567"/>
        <w:jc w:val="both"/>
        <w:rPr>
          <w:rFonts w:ascii="Palatino Linotype" w:hAnsi="Palatino Linotype" w:cs="Arial"/>
          <w:i/>
          <w:lang w:val="es-ES_tradnl"/>
        </w:rPr>
      </w:pPr>
      <w:r w:rsidRPr="00F54D43">
        <w:rPr>
          <w:rFonts w:ascii="Palatino Linotype" w:hAnsi="Palatino Linotype" w:cs="Arial"/>
          <w:i/>
          <w:lang w:val="es-ES_tradnl"/>
        </w:rPr>
        <w:t xml:space="preserve">VIII. Firma del recurrente, en su caso, cuando se presente por escrito, requisito sin el cual se dará trámite al recurso. </w:t>
      </w:r>
    </w:p>
    <w:p w:rsidR="00C917E7" w:rsidRPr="00F54D43" w:rsidRDefault="00C917E7" w:rsidP="00C917E7">
      <w:pPr>
        <w:autoSpaceDE w:val="0"/>
        <w:autoSpaceDN w:val="0"/>
        <w:adjustRightInd w:val="0"/>
        <w:spacing w:before="240" w:line="276" w:lineRule="auto"/>
        <w:ind w:left="1134" w:right="567"/>
        <w:jc w:val="both"/>
        <w:rPr>
          <w:rFonts w:ascii="Palatino Linotype" w:hAnsi="Palatino Linotype" w:cs="Arial"/>
          <w:i/>
          <w:lang w:val="es-ES_tradnl"/>
        </w:rPr>
      </w:pPr>
      <w:r w:rsidRPr="00F54D43">
        <w:rPr>
          <w:rFonts w:ascii="Palatino Linotype" w:hAnsi="Palatino Linotype" w:cs="Arial"/>
          <w:i/>
          <w:lang w:val="es-ES_tradnl"/>
        </w:rPr>
        <w:lastRenderedPageBreak/>
        <w:t xml:space="preserve">Adicionalmente, se podrán anexar las pruebas y demás elementos que considere procedentes someter a juicio del Instituto. </w:t>
      </w:r>
    </w:p>
    <w:p w:rsidR="00C917E7" w:rsidRPr="00F54D43" w:rsidRDefault="00C917E7" w:rsidP="00C917E7">
      <w:pPr>
        <w:autoSpaceDE w:val="0"/>
        <w:autoSpaceDN w:val="0"/>
        <w:adjustRightInd w:val="0"/>
        <w:spacing w:before="240" w:line="276" w:lineRule="auto"/>
        <w:ind w:left="1134" w:right="567"/>
        <w:jc w:val="both"/>
        <w:rPr>
          <w:rFonts w:ascii="Palatino Linotype" w:hAnsi="Palatino Linotype" w:cs="Arial"/>
          <w:i/>
          <w:lang w:val="es-ES_tradnl"/>
        </w:rPr>
      </w:pPr>
      <w:r w:rsidRPr="00F54D43">
        <w:rPr>
          <w:rFonts w:ascii="Palatino Linotype" w:hAnsi="Palatino Linotype" w:cs="Arial"/>
          <w:i/>
          <w:lang w:val="es-ES_tradnl"/>
        </w:rPr>
        <w:t xml:space="preserve">En ningún caso será necesario que el particular ratifique el recurso de revisión interpuesto. </w:t>
      </w:r>
    </w:p>
    <w:p w:rsidR="00C917E7" w:rsidRPr="00F54D43" w:rsidRDefault="00C917E7" w:rsidP="00C917E7">
      <w:pPr>
        <w:autoSpaceDE w:val="0"/>
        <w:autoSpaceDN w:val="0"/>
        <w:adjustRightInd w:val="0"/>
        <w:spacing w:before="240" w:line="360" w:lineRule="auto"/>
        <w:ind w:left="1134" w:right="567"/>
        <w:jc w:val="both"/>
        <w:rPr>
          <w:rFonts w:ascii="Palatino Linotype" w:hAnsi="Palatino Linotype" w:cs="Arial"/>
        </w:rPr>
      </w:pPr>
      <w:r w:rsidRPr="00F54D43">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C917E7" w:rsidRPr="00F54D43" w:rsidRDefault="00C917E7" w:rsidP="00C917E7">
      <w:pPr>
        <w:autoSpaceDE w:val="0"/>
        <w:autoSpaceDN w:val="0"/>
        <w:adjustRightInd w:val="0"/>
        <w:spacing w:before="240" w:line="360" w:lineRule="auto"/>
        <w:jc w:val="both"/>
        <w:rPr>
          <w:rFonts w:ascii="Palatino Linotype" w:hAnsi="Palatino Linotype"/>
        </w:rPr>
      </w:pPr>
    </w:p>
    <w:p w:rsidR="00C917E7" w:rsidRPr="00F54D43" w:rsidRDefault="00C917E7" w:rsidP="00C917E7">
      <w:pPr>
        <w:autoSpaceDE w:val="0"/>
        <w:autoSpaceDN w:val="0"/>
        <w:adjustRightInd w:val="0"/>
        <w:spacing w:before="240" w:line="360" w:lineRule="auto"/>
        <w:jc w:val="both"/>
        <w:rPr>
          <w:rFonts w:ascii="Palatino Linotype" w:hAnsi="Palatino Linotype"/>
        </w:rPr>
      </w:pPr>
      <w:r w:rsidRPr="00F54D43">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C917E7" w:rsidRPr="00F54D43" w:rsidTr="002F71F2">
        <w:trPr>
          <w:trHeight w:val="1360"/>
        </w:trPr>
        <w:tc>
          <w:tcPr>
            <w:tcW w:w="7982" w:type="dxa"/>
          </w:tcPr>
          <w:p w:rsidR="00C917E7" w:rsidRPr="00F54D43" w:rsidRDefault="00C917E7" w:rsidP="002F71F2">
            <w:pPr>
              <w:autoSpaceDE w:val="0"/>
              <w:autoSpaceDN w:val="0"/>
              <w:adjustRightInd w:val="0"/>
              <w:spacing w:before="240" w:line="360" w:lineRule="auto"/>
              <w:jc w:val="both"/>
              <w:rPr>
                <w:rFonts w:ascii="Palatino Linotype" w:hAnsi="Palatino Linotype"/>
                <w:i/>
              </w:rPr>
            </w:pPr>
            <w:r w:rsidRPr="00F54D43">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C917E7" w:rsidRPr="00F54D43" w:rsidRDefault="00C917E7" w:rsidP="00C917E7">
      <w:pPr>
        <w:autoSpaceDE w:val="0"/>
        <w:autoSpaceDN w:val="0"/>
        <w:adjustRightInd w:val="0"/>
        <w:spacing w:before="240" w:line="360" w:lineRule="auto"/>
        <w:jc w:val="both"/>
        <w:rPr>
          <w:rFonts w:ascii="Palatino Linotype" w:hAnsi="Palatino Linotype"/>
        </w:rPr>
      </w:pPr>
      <w:r w:rsidRPr="00F54D43">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C917E7" w:rsidRPr="00F54D43" w:rsidTr="002F71F2">
        <w:trPr>
          <w:jc w:val="center"/>
        </w:trPr>
        <w:tc>
          <w:tcPr>
            <w:tcW w:w="8075" w:type="dxa"/>
          </w:tcPr>
          <w:p w:rsidR="00C917E7" w:rsidRPr="00F54D43" w:rsidRDefault="00C917E7" w:rsidP="002F71F2">
            <w:pPr>
              <w:autoSpaceDE w:val="0"/>
              <w:autoSpaceDN w:val="0"/>
              <w:adjustRightInd w:val="0"/>
              <w:spacing w:before="240" w:line="360" w:lineRule="auto"/>
              <w:jc w:val="center"/>
              <w:rPr>
                <w:rFonts w:ascii="Palatino Linotype" w:hAnsi="Palatino Linotype"/>
                <w:b/>
                <w:i/>
              </w:rPr>
            </w:pPr>
            <w:r w:rsidRPr="00F54D43">
              <w:rPr>
                <w:rFonts w:ascii="Palatino Linotype" w:hAnsi="Palatino Linotype"/>
                <w:b/>
                <w:i/>
              </w:rPr>
              <w:t xml:space="preserve">Constitución Política de los Estados Unidos Mexicanos </w:t>
            </w:r>
          </w:p>
          <w:p w:rsidR="00C917E7" w:rsidRPr="00F54D43" w:rsidRDefault="00C917E7" w:rsidP="002F71F2">
            <w:pPr>
              <w:autoSpaceDE w:val="0"/>
              <w:autoSpaceDN w:val="0"/>
              <w:adjustRightInd w:val="0"/>
              <w:spacing w:before="240" w:line="360" w:lineRule="auto"/>
              <w:jc w:val="both"/>
              <w:rPr>
                <w:rFonts w:ascii="Palatino Linotype" w:hAnsi="Palatino Linotype"/>
                <w:i/>
              </w:rPr>
            </w:pPr>
            <w:r w:rsidRPr="00F54D43">
              <w:rPr>
                <w:rFonts w:ascii="Palatino Linotype" w:hAnsi="Palatino Linotype"/>
                <w:i/>
              </w:rPr>
              <w:lastRenderedPageBreak/>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C917E7" w:rsidRPr="00F54D43" w:rsidRDefault="00C917E7" w:rsidP="002F71F2">
            <w:pPr>
              <w:autoSpaceDE w:val="0"/>
              <w:autoSpaceDN w:val="0"/>
              <w:adjustRightInd w:val="0"/>
              <w:spacing w:before="240" w:line="360" w:lineRule="auto"/>
              <w:jc w:val="both"/>
              <w:rPr>
                <w:rFonts w:ascii="Palatino Linotype" w:hAnsi="Palatino Linotype"/>
                <w:i/>
              </w:rPr>
            </w:pPr>
            <w:r w:rsidRPr="00F54D43">
              <w:rPr>
                <w:rFonts w:ascii="Palatino Linotype" w:hAnsi="Palatino Linotype"/>
                <w:i/>
              </w:rPr>
              <w:t xml:space="preserve">(…) </w:t>
            </w:r>
          </w:p>
          <w:p w:rsidR="00C917E7" w:rsidRPr="00F54D43" w:rsidRDefault="00C917E7" w:rsidP="002F71F2">
            <w:pPr>
              <w:autoSpaceDE w:val="0"/>
              <w:autoSpaceDN w:val="0"/>
              <w:adjustRightInd w:val="0"/>
              <w:spacing w:before="240" w:line="360" w:lineRule="auto"/>
              <w:jc w:val="both"/>
              <w:rPr>
                <w:rFonts w:ascii="Palatino Linotype" w:hAnsi="Palatino Linotype"/>
                <w:i/>
              </w:rPr>
            </w:pPr>
            <w:r w:rsidRPr="00F54D43">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C917E7" w:rsidRPr="00F54D43" w:rsidRDefault="00C917E7" w:rsidP="002F71F2">
            <w:pPr>
              <w:autoSpaceDE w:val="0"/>
              <w:autoSpaceDN w:val="0"/>
              <w:adjustRightInd w:val="0"/>
              <w:spacing w:before="240" w:line="360" w:lineRule="auto"/>
              <w:jc w:val="both"/>
              <w:rPr>
                <w:rFonts w:ascii="Palatino Linotype" w:hAnsi="Palatino Linotype"/>
                <w:i/>
              </w:rPr>
            </w:pPr>
            <w:r w:rsidRPr="00F54D43">
              <w:rPr>
                <w:rFonts w:ascii="Palatino Linotype" w:hAnsi="Palatino Linotype"/>
                <w:i/>
              </w:rPr>
              <w:t xml:space="preserve"> (…) </w:t>
            </w:r>
          </w:p>
          <w:p w:rsidR="00C917E7" w:rsidRPr="00F54D43" w:rsidRDefault="00C917E7" w:rsidP="002F71F2">
            <w:pPr>
              <w:autoSpaceDE w:val="0"/>
              <w:autoSpaceDN w:val="0"/>
              <w:adjustRightInd w:val="0"/>
              <w:spacing w:before="240" w:line="360" w:lineRule="auto"/>
              <w:jc w:val="both"/>
              <w:rPr>
                <w:rFonts w:ascii="Palatino Linotype" w:hAnsi="Palatino Linotype"/>
                <w:i/>
              </w:rPr>
            </w:pPr>
            <w:r w:rsidRPr="00F54D43">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C917E7" w:rsidRPr="00F54D43" w:rsidRDefault="00C917E7" w:rsidP="002F71F2">
            <w:pPr>
              <w:autoSpaceDE w:val="0"/>
              <w:autoSpaceDN w:val="0"/>
              <w:adjustRightInd w:val="0"/>
              <w:spacing w:before="240" w:line="360" w:lineRule="auto"/>
              <w:jc w:val="both"/>
              <w:rPr>
                <w:rFonts w:ascii="Palatino Linotype" w:hAnsi="Palatino Linotype" w:cs="Arial"/>
                <w:i/>
              </w:rPr>
            </w:pPr>
            <w:r w:rsidRPr="00F54D43">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C917E7" w:rsidRPr="00F54D43" w:rsidRDefault="00C917E7" w:rsidP="002F71F2">
            <w:pPr>
              <w:autoSpaceDE w:val="0"/>
              <w:autoSpaceDN w:val="0"/>
              <w:adjustRightInd w:val="0"/>
              <w:spacing w:before="240" w:line="360" w:lineRule="auto"/>
              <w:jc w:val="both"/>
              <w:rPr>
                <w:rFonts w:ascii="Palatino Linotype" w:hAnsi="Palatino Linotype" w:cs="Arial"/>
                <w:b/>
                <w:i/>
              </w:rPr>
            </w:pPr>
            <w:r w:rsidRPr="00F54D43">
              <w:rPr>
                <w:rFonts w:ascii="Palatino Linotype" w:hAnsi="Palatino Linotype" w:cs="Arial"/>
                <w:b/>
                <w:i/>
              </w:rPr>
              <w:t>Constitución Política del Estado Libre y Soberano de México</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w:t>
            </w:r>
            <w:r w:rsidRPr="00F54D43">
              <w:rPr>
                <w:rFonts w:ascii="Palatino Linotype" w:eastAsia="Calibri" w:hAnsi="Palatino Linotype" w:cs="Arial"/>
                <w:i/>
                <w:lang w:val="es-ES_tradnl" w:eastAsia="es-MX"/>
              </w:rPr>
              <w:lastRenderedPageBreak/>
              <w:t>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C917E7" w:rsidRPr="00F54D43" w:rsidRDefault="00C917E7" w:rsidP="002F71F2">
            <w:pPr>
              <w:autoSpaceDE w:val="0"/>
              <w:autoSpaceDN w:val="0"/>
              <w:adjustRightInd w:val="0"/>
              <w:spacing w:before="240" w:line="360" w:lineRule="auto"/>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lastRenderedPageBreak/>
              <w:t>IV. Se establecerán mecanismos de acceso a la información y procedimientos de revisión expeditos que se sustanciarán ante el organismo autónomo especializado e imparcial que establece esta Constitución.</w:t>
            </w:r>
          </w:p>
          <w:p w:rsidR="00C917E7" w:rsidRPr="00F54D43" w:rsidRDefault="00C917E7" w:rsidP="002F71F2">
            <w:pPr>
              <w:autoSpaceDE w:val="0"/>
              <w:autoSpaceDN w:val="0"/>
              <w:adjustRightInd w:val="0"/>
              <w:spacing w:before="240" w:line="360" w:lineRule="auto"/>
              <w:jc w:val="both"/>
              <w:rPr>
                <w:rFonts w:ascii="Palatino Linotype" w:hAnsi="Palatino Linotype" w:cs="Arial"/>
                <w:i/>
              </w:rPr>
            </w:pPr>
            <w:r w:rsidRPr="00F54D43">
              <w:rPr>
                <w:rFonts w:ascii="Palatino Linotype" w:hAnsi="Palatino Linotype" w:cs="Arial"/>
                <w:i/>
              </w:rPr>
              <w:t>(…)</w:t>
            </w:r>
          </w:p>
          <w:p w:rsidR="00C917E7" w:rsidRPr="00F54D43" w:rsidRDefault="00C917E7" w:rsidP="002F71F2">
            <w:pPr>
              <w:autoSpaceDE w:val="0"/>
              <w:autoSpaceDN w:val="0"/>
              <w:adjustRightInd w:val="0"/>
              <w:spacing w:before="240" w:line="360" w:lineRule="auto"/>
              <w:jc w:val="both"/>
              <w:rPr>
                <w:rFonts w:ascii="Palatino Linotype" w:hAnsi="Palatino Linotype" w:cs="Arial"/>
                <w:i/>
              </w:rPr>
            </w:pPr>
            <w:r w:rsidRPr="00F54D43">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C917E7" w:rsidRPr="00F54D43" w:rsidRDefault="00C917E7" w:rsidP="00C917E7">
      <w:pPr>
        <w:autoSpaceDE w:val="0"/>
        <w:autoSpaceDN w:val="0"/>
        <w:adjustRightInd w:val="0"/>
        <w:spacing w:before="240" w:line="360" w:lineRule="auto"/>
        <w:jc w:val="both"/>
        <w:rPr>
          <w:rFonts w:ascii="Palatino Linotype" w:hAnsi="Palatino Linotype"/>
        </w:rPr>
      </w:pPr>
      <w:r w:rsidRPr="00F54D43">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F54D43">
        <w:rPr>
          <w:rFonts w:ascii="Palatino Linotype" w:hAnsi="Palatino Linotype"/>
          <w:b/>
          <w:u w:val="single"/>
        </w:rPr>
        <w:t>incluso, la solicitud de acceso a la información pueda ser anónima o no contener un nombre que identifique al solicitante o que permita tener certeza sobre su identidad</w:t>
      </w:r>
      <w:r w:rsidRPr="00F54D43">
        <w:rPr>
          <w:rFonts w:ascii="Palatino Linotype" w:hAnsi="Palatino Linotype"/>
        </w:rPr>
        <w:t xml:space="preserve">. </w:t>
      </w:r>
    </w:p>
    <w:p w:rsidR="00C917E7" w:rsidRPr="00F54D43" w:rsidRDefault="00C917E7" w:rsidP="00C917E7">
      <w:pPr>
        <w:pStyle w:val="Prrafodelista"/>
        <w:autoSpaceDE w:val="0"/>
        <w:autoSpaceDN w:val="0"/>
        <w:adjustRightInd w:val="0"/>
        <w:spacing w:before="240" w:after="160" w:line="360" w:lineRule="auto"/>
        <w:ind w:left="0"/>
        <w:jc w:val="both"/>
        <w:rPr>
          <w:rFonts w:ascii="Palatino Linotype" w:hAnsi="Palatino Linotype"/>
        </w:rPr>
      </w:pPr>
      <w:r w:rsidRPr="00F54D43">
        <w:rPr>
          <w:rFonts w:ascii="Palatino Linotype" w:hAnsi="Palatino Linotype"/>
        </w:rPr>
        <w:t>En conclusión, se cubrieron los requisitos de procedencia y procedibilidad y conforme a las constancias que obran en el expediente.</w:t>
      </w:r>
    </w:p>
    <w:p w:rsidR="00C917E7" w:rsidRPr="00F54D43" w:rsidRDefault="00C917E7" w:rsidP="00C917E7">
      <w:pPr>
        <w:pStyle w:val="Prrafodelista"/>
        <w:autoSpaceDE w:val="0"/>
        <w:autoSpaceDN w:val="0"/>
        <w:adjustRightInd w:val="0"/>
        <w:spacing w:before="240" w:after="160" w:line="360" w:lineRule="auto"/>
        <w:ind w:left="0"/>
        <w:jc w:val="both"/>
        <w:rPr>
          <w:rFonts w:ascii="Palatino Linotype" w:hAnsi="Palatino Linotype" w:cs="Arial"/>
        </w:rPr>
      </w:pPr>
    </w:p>
    <w:p w:rsidR="00C917E7" w:rsidRPr="00F54D43" w:rsidRDefault="00C917E7" w:rsidP="00C917E7">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F54D43">
        <w:rPr>
          <w:rFonts w:ascii="Palatino Linotype" w:hAnsi="Palatino Linotype" w:cs="Arial"/>
          <w:b/>
          <w:sz w:val="28"/>
        </w:rPr>
        <w:lastRenderedPageBreak/>
        <w:t>TERCERO</w:t>
      </w:r>
      <w:r w:rsidRPr="00F54D43">
        <w:rPr>
          <w:rFonts w:ascii="Palatino Linotype" w:hAnsi="Palatino Linotype" w:cs="Arial"/>
          <w:b/>
        </w:rPr>
        <w:t xml:space="preserve">. </w:t>
      </w:r>
      <w:r w:rsidRPr="00F54D43">
        <w:rPr>
          <w:rFonts w:ascii="Palatino Linotype" w:hAnsi="Palatino Linotype" w:cs="Arial"/>
          <w:b/>
          <w:sz w:val="28"/>
          <w:szCs w:val="28"/>
        </w:rPr>
        <w:t>De las causas de improcedencia.</w:t>
      </w:r>
    </w:p>
    <w:p w:rsidR="00C917E7" w:rsidRPr="00F54D43" w:rsidRDefault="00C917E7" w:rsidP="00C917E7">
      <w:pPr>
        <w:pStyle w:val="Prrafodelista"/>
        <w:autoSpaceDE w:val="0"/>
        <w:autoSpaceDN w:val="0"/>
        <w:adjustRightInd w:val="0"/>
        <w:spacing w:before="240" w:after="160" w:line="360" w:lineRule="auto"/>
        <w:ind w:left="0"/>
        <w:jc w:val="both"/>
        <w:rPr>
          <w:rFonts w:ascii="Palatino Linotype" w:hAnsi="Palatino Linotype" w:cs="Arial"/>
        </w:rPr>
      </w:pPr>
      <w:r w:rsidRPr="00F54D43">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C917E7" w:rsidRPr="00F54D43" w:rsidRDefault="00C917E7" w:rsidP="00C917E7">
      <w:pPr>
        <w:pStyle w:val="Prrafodelista"/>
        <w:autoSpaceDE w:val="0"/>
        <w:autoSpaceDN w:val="0"/>
        <w:adjustRightInd w:val="0"/>
        <w:spacing w:line="360" w:lineRule="auto"/>
        <w:ind w:left="0"/>
        <w:jc w:val="both"/>
        <w:rPr>
          <w:rFonts w:ascii="Palatino Linotype" w:hAnsi="Palatino Linotype" w:cs="Arial"/>
        </w:rPr>
      </w:pPr>
      <w:r w:rsidRPr="00F54D43">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F54D43">
        <w:rPr>
          <w:rStyle w:val="Refdenotaalpie"/>
          <w:rFonts w:ascii="Palatino Linotype" w:hAnsi="Palatino Linotype" w:cs="Arial"/>
        </w:rPr>
        <w:footnoteReference w:id="1"/>
      </w:r>
      <w:r w:rsidRPr="00F54D43">
        <w:rPr>
          <w:rFonts w:ascii="Palatino Linotype" w:hAnsi="Palatino Linotype" w:cs="Arial"/>
        </w:rPr>
        <w:t xml:space="preserve">. Así las cosas, del análisis de los </w:t>
      </w:r>
      <w:r w:rsidRPr="00F54D43">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C917E7" w:rsidRPr="00F54D43" w:rsidRDefault="00C917E7" w:rsidP="00C917E7">
      <w:pPr>
        <w:tabs>
          <w:tab w:val="left" w:pos="709"/>
        </w:tabs>
        <w:spacing w:before="240" w:line="360" w:lineRule="auto"/>
        <w:ind w:right="51"/>
        <w:jc w:val="both"/>
        <w:rPr>
          <w:rFonts w:ascii="Palatino Linotype" w:hAnsi="Palatino Linotype"/>
          <w:b/>
          <w:sz w:val="28"/>
          <w:szCs w:val="28"/>
        </w:rPr>
      </w:pPr>
    </w:p>
    <w:p w:rsidR="00C917E7" w:rsidRPr="00F54D43" w:rsidRDefault="00C917E7" w:rsidP="00C917E7">
      <w:pPr>
        <w:tabs>
          <w:tab w:val="left" w:pos="709"/>
        </w:tabs>
        <w:spacing w:before="240" w:line="360" w:lineRule="auto"/>
        <w:ind w:right="51"/>
        <w:jc w:val="both"/>
        <w:rPr>
          <w:rFonts w:ascii="Palatino Linotype" w:hAnsi="Palatino Linotype"/>
          <w:b/>
          <w:sz w:val="28"/>
          <w:szCs w:val="28"/>
        </w:rPr>
      </w:pPr>
      <w:r w:rsidRPr="00F54D43">
        <w:rPr>
          <w:rFonts w:ascii="Palatino Linotype" w:hAnsi="Palatino Linotype"/>
          <w:b/>
          <w:sz w:val="28"/>
          <w:szCs w:val="28"/>
        </w:rPr>
        <w:t xml:space="preserve">CUARTO. Estudio y resolución del asunto </w:t>
      </w:r>
      <w:r w:rsidRPr="00F54D43">
        <w:rPr>
          <w:rFonts w:ascii="Palatino Linotype" w:hAnsi="Palatino Linotype"/>
          <w:b/>
          <w:sz w:val="28"/>
          <w:szCs w:val="28"/>
        </w:rPr>
        <w:tab/>
      </w:r>
    </w:p>
    <w:p w:rsidR="00C917E7" w:rsidRPr="00F54D43" w:rsidRDefault="00C917E7" w:rsidP="00C917E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54D43">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C917E7" w:rsidRPr="00F54D43" w:rsidRDefault="00C917E7" w:rsidP="00C917E7">
      <w:pPr>
        <w:autoSpaceDE w:val="0"/>
        <w:autoSpaceDN w:val="0"/>
        <w:adjustRightInd w:val="0"/>
        <w:ind w:right="567"/>
        <w:rPr>
          <w:rFonts w:ascii="Palatino Linotype" w:eastAsia="Calibri" w:hAnsi="Palatino Linotype" w:cs="Arial"/>
        </w:rPr>
      </w:pPr>
    </w:p>
    <w:p w:rsidR="00C917E7" w:rsidRPr="00F54D43" w:rsidRDefault="00C917E7" w:rsidP="00C917E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54D43">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C917E7" w:rsidRPr="00F54D43" w:rsidRDefault="00C917E7" w:rsidP="00C917E7">
      <w:pPr>
        <w:pStyle w:val="Citas"/>
        <w:spacing w:before="0" w:after="0" w:line="240" w:lineRule="auto"/>
      </w:pPr>
      <w:r w:rsidRPr="00F54D43">
        <w:rPr>
          <w:b/>
        </w:rPr>
        <w:t>Artículo 179.</w:t>
      </w:r>
      <w:r w:rsidRPr="00F54D43">
        <w:t xml:space="preserve"> El recurso de revisión es un medio de protección que la Ley otorga a los particulares, para hacer valer su derecho de acceso a la información pública, y procederá en contra de las siguientes causas: </w:t>
      </w:r>
    </w:p>
    <w:p w:rsidR="00C917E7" w:rsidRPr="00F54D43" w:rsidRDefault="00C917E7" w:rsidP="00C917E7">
      <w:pPr>
        <w:pStyle w:val="Citas"/>
        <w:numPr>
          <w:ilvl w:val="0"/>
          <w:numId w:val="4"/>
        </w:numPr>
        <w:spacing w:before="0" w:after="0" w:line="240" w:lineRule="auto"/>
      </w:pPr>
      <w:r w:rsidRPr="00F54D43">
        <w:t xml:space="preserve">La negativa a la información solicitada; </w:t>
      </w:r>
    </w:p>
    <w:p w:rsidR="00C917E7" w:rsidRPr="00F54D43" w:rsidRDefault="00C917E7" w:rsidP="00C917E7">
      <w:pPr>
        <w:pStyle w:val="Citas"/>
        <w:numPr>
          <w:ilvl w:val="0"/>
          <w:numId w:val="4"/>
        </w:numPr>
        <w:spacing w:before="0" w:after="0" w:line="240" w:lineRule="auto"/>
      </w:pPr>
      <w:r w:rsidRPr="00F54D43">
        <w:t xml:space="preserve">La clasificación de la información; </w:t>
      </w:r>
    </w:p>
    <w:p w:rsidR="00C917E7" w:rsidRPr="00F54D43" w:rsidRDefault="00C917E7" w:rsidP="00C917E7">
      <w:pPr>
        <w:pStyle w:val="Citas"/>
        <w:numPr>
          <w:ilvl w:val="0"/>
          <w:numId w:val="4"/>
        </w:numPr>
        <w:spacing w:before="0" w:after="0" w:line="240" w:lineRule="auto"/>
      </w:pPr>
      <w:r w:rsidRPr="00F54D43">
        <w:t xml:space="preserve">La declaración de inexistencia de la información; </w:t>
      </w:r>
    </w:p>
    <w:p w:rsidR="00C917E7" w:rsidRPr="00F54D43" w:rsidRDefault="00C917E7" w:rsidP="00C917E7">
      <w:pPr>
        <w:pStyle w:val="Citas"/>
        <w:numPr>
          <w:ilvl w:val="0"/>
          <w:numId w:val="4"/>
        </w:numPr>
        <w:spacing w:before="0" w:after="0" w:line="240" w:lineRule="auto"/>
        <w:rPr>
          <w:b/>
        </w:rPr>
      </w:pPr>
      <w:r w:rsidRPr="00F54D43">
        <w:rPr>
          <w:b/>
        </w:rPr>
        <w:t xml:space="preserve">La declaración de incompetencia por el sujeto obligado; </w:t>
      </w:r>
    </w:p>
    <w:p w:rsidR="00C917E7" w:rsidRPr="00F54D43" w:rsidRDefault="00C917E7" w:rsidP="00C917E7">
      <w:pPr>
        <w:pStyle w:val="Citas"/>
        <w:numPr>
          <w:ilvl w:val="0"/>
          <w:numId w:val="4"/>
        </w:numPr>
        <w:spacing w:before="0" w:after="0" w:line="240" w:lineRule="auto"/>
      </w:pPr>
      <w:r w:rsidRPr="00F54D43">
        <w:t xml:space="preserve">La entrega de información incompleta; </w:t>
      </w:r>
    </w:p>
    <w:p w:rsidR="00C917E7" w:rsidRPr="00F54D43" w:rsidRDefault="00C917E7" w:rsidP="00C917E7">
      <w:pPr>
        <w:pStyle w:val="Citas"/>
        <w:numPr>
          <w:ilvl w:val="0"/>
          <w:numId w:val="4"/>
        </w:numPr>
        <w:spacing w:before="0" w:after="0" w:line="240" w:lineRule="auto"/>
      </w:pPr>
      <w:r w:rsidRPr="00F54D43">
        <w:t xml:space="preserve">La entrega de información que no corresponda con lo solicitado; </w:t>
      </w:r>
    </w:p>
    <w:p w:rsidR="00C917E7" w:rsidRPr="00F54D43" w:rsidRDefault="00C917E7" w:rsidP="00C917E7">
      <w:pPr>
        <w:pStyle w:val="Citas"/>
        <w:numPr>
          <w:ilvl w:val="0"/>
          <w:numId w:val="4"/>
        </w:numPr>
        <w:spacing w:before="0" w:after="0" w:line="240" w:lineRule="auto"/>
      </w:pPr>
      <w:r w:rsidRPr="00F54D43">
        <w:t xml:space="preserve">La falta de respuesta a una solicitud de acceso a la información; </w:t>
      </w:r>
    </w:p>
    <w:p w:rsidR="00C917E7" w:rsidRPr="00F54D43" w:rsidRDefault="00C917E7" w:rsidP="00C917E7">
      <w:pPr>
        <w:pStyle w:val="Citas"/>
        <w:numPr>
          <w:ilvl w:val="0"/>
          <w:numId w:val="4"/>
        </w:numPr>
        <w:spacing w:before="0" w:after="0" w:line="240" w:lineRule="auto"/>
      </w:pPr>
      <w:r w:rsidRPr="00F54D43">
        <w:t xml:space="preserve">La notificación, entrega o puesta a disposición de información en una modalidad o formato distinto al solicitado; </w:t>
      </w:r>
    </w:p>
    <w:p w:rsidR="00C917E7" w:rsidRPr="00F54D43" w:rsidRDefault="00C917E7" w:rsidP="00C917E7">
      <w:pPr>
        <w:pStyle w:val="Citas"/>
        <w:numPr>
          <w:ilvl w:val="0"/>
          <w:numId w:val="4"/>
        </w:numPr>
        <w:spacing w:before="0" w:after="0" w:line="240" w:lineRule="auto"/>
      </w:pPr>
      <w:r w:rsidRPr="00F54D43">
        <w:lastRenderedPageBreak/>
        <w:t xml:space="preserve">La entrega o puesta a disposición de información en un formato incomprensible y/o no accesible para el solicitante; </w:t>
      </w:r>
    </w:p>
    <w:p w:rsidR="00C917E7" w:rsidRPr="00F54D43" w:rsidRDefault="00C917E7" w:rsidP="00C917E7">
      <w:pPr>
        <w:pStyle w:val="Citas"/>
        <w:numPr>
          <w:ilvl w:val="0"/>
          <w:numId w:val="4"/>
        </w:numPr>
        <w:spacing w:before="0" w:after="0" w:line="240" w:lineRule="auto"/>
      </w:pPr>
      <w:r w:rsidRPr="00F54D43">
        <w:t xml:space="preserve">Los costos o tiempos de entrega de la información; </w:t>
      </w:r>
    </w:p>
    <w:p w:rsidR="00C917E7" w:rsidRPr="00F54D43" w:rsidRDefault="00C917E7" w:rsidP="00C917E7">
      <w:pPr>
        <w:pStyle w:val="Citas"/>
        <w:numPr>
          <w:ilvl w:val="0"/>
          <w:numId w:val="4"/>
        </w:numPr>
        <w:spacing w:before="0" w:after="0" w:line="240" w:lineRule="auto"/>
      </w:pPr>
      <w:r w:rsidRPr="00F54D43">
        <w:t xml:space="preserve">La falta de trámite a una solicitud; </w:t>
      </w:r>
    </w:p>
    <w:p w:rsidR="00C917E7" w:rsidRPr="00F54D43" w:rsidRDefault="00C917E7" w:rsidP="00C917E7">
      <w:pPr>
        <w:pStyle w:val="Citas"/>
        <w:numPr>
          <w:ilvl w:val="0"/>
          <w:numId w:val="4"/>
        </w:numPr>
        <w:spacing w:before="0" w:after="0" w:line="240" w:lineRule="auto"/>
      </w:pPr>
      <w:r w:rsidRPr="00F54D43">
        <w:t xml:space="preserve">La negativa a permitir la consulta directa de la información; </w:t>
      </w:r>
    </w:p>
    <w:p w:rsidR="00C917E7" w:rsidRPr="00F54D43" w:rsidRDefault="00C917E7" w:rsidP="00C917E7">
      <w:pPr>
        <w:pStyle w:val="Citas"/>
        <w:numPr>
          <w:ilvl w:val="0"/>
          <w:numId w:val="4"/>
        </w:numPr>
        <w:spacing w:before="0" w:after="0" w:line="240" w:lineRule="auto"/>
      </w:pPr>
      <w:r w:rsidRPr="00F54D43">
        <w:t xml:space="preserve">La falta, deficiencia o insuficiencia de la fundamentación y/o motivación en la respuesta; y </w:t>
      </w:r>
    </w:p>
    <w:p w:rsidR="00C917E7" w:rsidRPr="00F54D43" w:rsidRDefault="00C917E7" w:rsidP="00C917E7">
      <w:pPr>
        <w:pStyle w:val="Citas"/>
        <w:numPr>
          <w:ilvl w:val="0"/>
          <w:numId w:val="4"/>
        </w:numPr>
        <w:spacing w:before="0" w:after="0" w:line="240" w:lineRule="auto"/>
      </w:pPr>
      <w:r w:rsidRPr="00F54D43">
        <w:t xml:space="preserve">La orientación a un trámite específico. </w:t>
      </w:r>
    </w:p>
    <w:p w:rsidR="00C917E7" w:rsidRPr="00F54D43" w:rsidRDefault="00C917E7" w:rsidP="00C917E7">
      <w:pPr>
        <w:pStyle w:val="Citas"/>
        <w:spacing w:before="0" w:after="0" w:line="240" w:lineRule="auto"/>
      </w:pPr>
      <w:r w:rsidRPr="00F54D43">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C917E7" w:rsidRPr="00F54D43" w:rsidRDefault="00C917E7" w:rsidP="00C917E7">
      <w:pPr>
        <w:autoSpaceDE w:val="0"/>
        <w:autoSpaceDN w:val="0"/>
        <w:adjustRightInd w:val="0"/>
        <w:ind w:right="567"/>
        <w:rPr>
          <w:rFonts w:ascii="Palatino Linotype" w:eastAsia="Calibri" w:hAnsi="Palatino Linotype" w:cs="Arial"/>
        </w:rPr>
      </w:pPr>
    </w:p>
    <w:p w:rsidR="00C917E7" w:rsidRPr="00F54D43" w:rsidRDefault="00C917E7" w:rsidP="00C917E7">
      <w:pPr>
        <w:autoSpaceDE w:val="0"/>
        <w:autoSpaceDN w:val="0"/>
        <w:adjustRightInd w:val="0"/>
        <w:ind w:right="567"/>
        <w:rPr>
          <w:rFonts w:ascii="Palatino Linotype" w:eastAsia="Calibri" w:hAnsi="Palatino Linotype" w:cs="Arial"/>
        </w:rPr>
      </w:pPr>
    </w:p>
    <w:p w:rsidR="00C917E7" w:rsidRPr="00F54D43" w:rsidRDefault="00C917E7" w:rsidP="00C917E7">
      <w:pPr>
        <w:spacing w:line="360" w:lineRule="auto"/>
        <w:jc w:val="both"/>
        <w:rPr>
          <w:rFonts w:ascii="Palatino Linotype" w:hAnsi="Palatino Linotype" w:cs="Tahoma"/>
          <w:bCs/>
        </w:rPr>
      </w:pPr>
      <w:r w:rsidRPr="00F54D43">
        <w:rPr>
          <w:rFonts w:ascii="Palatino Linotype" w:hAnsi="Palatino Linotype" w:cs="Tahoma"/>
          <w:bCs/>
        </w:rPr>
        <w:t xml:space="preserve">Bajo estas líneas argumentativas, al retomar y delimitar los requerimientos del ahora </w:t>
      </w:r>
      <w:r w:rsidRPr="00F54D43">
        <w:rPr>
          <w:rFonts w:ascii="Palatino Linotype" w:hAnsi="Palatino Linotype" w:cs="Tahoma"/>
          <w:b/>
          <w:bCs/>
        </w:rPr>
        <w:t>Recurrente</w:t>
      </w:r>
      <w:r w:rsidRPr="00F54D43">
        <w:rPr>
          <w:rFonts w:ascii="Palatino Linotype" w:hAnsi="Palatino Linotype" w:cs="Tahoma"/>
          <w:bCs/>
        </w:rPr>
        <w:t>, de manera objetiva se precisa que requiere la siguiente información:</w:t>
      </w:r>
    </w:p>
    <w:p w:rsidR="00C917E7" w:rsidRPr="00F54D43" w:rsidRDefault="00C917E7" w:rsidP="00C917E7">
      <w:pPr>
        <w:spacing w:line="360" w:lineRule="auto"/>
        <w:jc w:val="both"/>
        <w:rPr>
          <w:rFonts w:ascii="Palatino Linotype" w:hAnsi="Palatino Linotype" w:cs="Tahoma"/>
          <w:bCs/>
        </w:rPr>
      </w:pPr>
    </w:p>
    <w:p w:rsidR="00C917E7" w:rsidRPr="00F54D43" w:rsidRDefault="0052506E" w:rsidP="0052506E">
      <w:pPr>
        <w:pStyle w:val="Prrafodelista"/>
        <w:numPr>
          <w:ilvl w:val="0"/>
          <w:numId w:val="3"/>
        </w:numPr>
        <w:tabs>
          <w:tab w:val="left" w:pos="1828"/>
        </w:tabs>
        <w:spacing w:line="360" w:lineRule="auto"/>
        <w:ind w:left="284"/>
        <w:jc w:val="both"/>
        <w:rPr>
          <w:rFonts w:ascii="Palatino Linotype" w:hAnsi="Palatino Linotype" w:cs="Tahoma"/>
          <w:bCs/>
        </w:rPr>
      </w:pPr>
      <w:r w:rsidRPr="00F54D43">
        <w:rPr>
          <w:rFonts w:ascii="Palatino Linotype" w:hAnsi="Palatino Linotype" w:cs="Tahoma"/>
          <w:bCs/>
        </w:rPr>
        <w:t>¿Cuáles fueron los actos específicos de desacato por los que el Tribunal de Justicia Administrativa del Estado de México determinó la inhabilitación de la Presidenta Municipal de Tepotzotlán, María de los Ángeles Zup</w:t>
      </w:r>
      <w:r w:rsidR="00265113" w:rsidRPr="00F54D43">
        <w:rPr>
          <w:rFonts w:ascii="Palatino Linotype" w:hAnsi="Palatino Linotype" w:cs="Tahoma"/>
          <w:bCs/>
        </w:rPr>
        <w:t>p</w:t>
      </w:r>
      <w:r w:rsidRPr="00F54D43">
        <w:rPr>
          <w:rFonts w:ascii="Palatino Linotype" w:hAnsi="Palatino Linotype" w:cs="Tahoma"/>
          <w:bCs/>
        </w:rPr>
        <w:t>a Villegas? Solicito se especifique qué información, documentos o resoluciones no fueron atendidas, ocultadas o incumplidas.</w:t>
      </w:r>
    </w:p>
    <w:p w:rsidR="00C917E7" w:rsidRPr="00F54D43" w:rsidRDefault="00C917E7" w:rsidP="00C917E7">
      <w:pPr>
        <w:spacing w:before="240" w:line="360" w:lineRule="auto"/>
        <w:jc w:val="both"/>
        <w:rPr>
          <w:rFonts w:ascii="Palatino Linotype" w:hAnsi="Palatino Linotype" w:cs="Arial"/>
        </w:rPr>
      </w:pPr>
    </w:p>
    <w:p w:rsidR="00C917E7" w:rsidRPr="00F54D43" w:rsidRDefault="00C917E7" w:rsidP="00C917E7">
      <w:pPr>
        <w:spacing w:before="240" w:line="360" w:lineRule="auto"/>
        <w:jc w:val="both"/>
        <w:rPr>
          <w:rFonts w:ascii="Palatino Linotype" w:hAnsi="Palatino Linotype" w:cs="Arial"/>
          <w:b/>
        </w:rPr>
      </w:pPr>
      <w:r w:rsidRPr="00F54D43">
        <w:rPr>
          <w:rFonts w:ascii="Palatino Linotype" w:hAnsi="Palatino Linotype" w:cs="Arial"/>
        </w:rPr>
        <w:t xml:space="preserve">De conformidad con las constancias que obran en el expediente electrónico, se observa que el </w:t>
      </w:r>
      <w:r w:rsidRPr="00F54D43">
        <w:rPr>
          <w:rFonts w:ascii="Palatino Linotype" w:hAnsi="Palatino Linotype" w:cs="Arial"/>
          <w:b/>
        </w:rPr>
        <w:t>Sujeto Obligado</w:t>
      </w:r>
      <w:r w:rsidRPr="00F54D43">
        <w:rPr>
          <w:rFonts w:ascii="Palatino Linotype" w:hAnsi="Palatino Linotype" w:cs="Arial"/>
        </w:rPr>
        <w:t xml:space="preserve"> dio respuesta por medio del sistema SAIMEX, a la solicitud de información</w:t>
      </w:r>
      <w:r w:rsidRPr="00F54D43">
        <w:rPr>
          <w:rFonts w:ascii="Palatino Linotype" w:eastAsia="Palatino Linotype" w:hAnsi="Palatino Linotype" w:cs="Palatino Linotype"/>
          <w:b/>
          <w:color w:val="000000"/>
        </w:rPr>
        <w:t xml:space="preserve"> </w:t>
      </w:r>
      <w:r w:rsidRPr="00F54D43">
        <w:rPr>
          <w:rFonts w:ascii="Palatino Linotype" w:hAnsi="Palatino Linotype" w:cs="Arial"/>
          <w:b/>
        </w:rPr>
        <w:t xml:space="preserve">00139/TEPOTZOT/IP/2026; </w:t>
      </w:r>
      <w:r w:rsidRPr="00F54D43">
        <w:rPr>
          <w:rFonts w:ascii="Palatino Linotype" w:hAnsi="Palatino Linotype" w:cs="Arial"/>
        </w:rPr>
        <w:t>a través de los archivos electrónicos</w:t>
      </w:r>
      <w:r w:rsidRPr="00F54D43">
        <w:rPr>
          <w:rFonts w:ascii="Palatino Linotype" w:hAnsi="Palatino Linotype" w:cs="Arial"/>
          <w:b/>
        </w:rPr>
        <w:t>:</w:t>
      </w:r>
    </w:p>
    <w:p w:rsidR="00C917E7" w:rsidRPr="00F54D43" w:rsidRDefault="0052506E" w:rsidP="0052506E">
      <w:pPr>
        <w:pStyle w:val="Sinespaciado"/>
        <w:numPr>
          <w:ilvl w:val="0"/>
          <w:numId w:val="1"/>
        </w:numPr>
        <w:spacing w:before="240" w:line="360" w:lineRule="auto"/>
        <w:jc w:val="both"/>
        <w:rPr>
          <w:rFonts w:ascii="Palatino Linotype" w:hAnsi="Palatino Linotype" w:cs="Arial"/>
          <w:b/>
          <w:i/>
          <w:sz w:val="24"/>
        </w:rPr>
      </w:pPr>
      <w:r w:rsidRPr="00F54D43">
        <w:rPr>
          <w:rFonts w:ascii="Palatino Linotype" w:hAnsi="Palatino Linotype" w:cs="Arial"/>
          <w:b/>
          <w:i/>
          <w:sz w:val="24"/>
        </w:rPr>
        <w:t>HAT-UTAIP-2026-059 incompetencia.pdf</w:t>
      </w:r>
      <w:r w:rsidR="00C917E7" w:rsidRPr="00F54D43">
        <w:rPr>
          <w:rFonts w:ascii="Palatino Linotype" w:hAnsi="Palatino Linotype" w:cs="Arial"/>
          <w:b/>
          <w:i/>
          <w:sz w:val="24"/>
        </w:rPr>
        <w:t xml:space="preserve">: </w:t>
      </w:r>
      <w:r w:rsidR="00C917E7" w:rsidRPr="00F54D43">
        <w:rPr>
          <w:rFonts w:ascii="Palatino Linotype" w:hAnsi="Palatino Linotype" w:cs="Arial"/>
          <w:sz w:val="24"/>
        </w:rPr>
        <w:t xml:space="preserve">contiene el oficio número </w:t>
      </w:r>
      <w:r w:rsidRPr="00F54D43">
        <w:rPr>
          <w:rFonts w:ascii="Palatino Linotype" w:hAnsi="Palatino Linotype" w:cs="Arial"/>
          <w:sz w:val="24"/>
        </w:rPr>
        <w:t>HAT/UTAIP/2026/059</w:t>
      </w:r>
      <w:r w:rsidR="00C917E7" w:rsidRPr="00F54D43">
        <w:rPr>
          <w:rFonts w:ascii="Palatino Linotype" w:hAnsi="Palatino Linotype" w:cs="Arial"/>
          <w:sz w:val="24"/>
        </w:rPr>
        <w:t xml:space="preserve">, firmado por </w:t>
      </w:r>
      <w:r w:rsidRPr="00F54D43">
        <w:rPr>
          <w:rFonts w:ascii="Palatino Linotype" w:hAnsi="Palatino Linotype" w:cs="Arial"/>
          <w:sz w:val="24"/>
        </w:rPr>
        <w:t>la</w:t>
      </w:r>
      <w:r w:rsidR="00C917E7" w:rsidRPr="00F54D43">
        <w:rPr>
          <w:rFonts w:ascii="Palatino Linotype" w:hAnsi="Palatino Linotype" w:cs="Arial"/>
          <w:sz w:val="24"/>
        </w:rPr>
        <w:t xml:space="preserve"> Titular de la Unidad de Transparencia, en el que declara la incompetencia del Sujeto Obligado para conocer de la solicitud </w:t>
      </w:r>
      <w:r w:rsidR="00C917E7" w:rsidRPr="00F54D43">
        <w:rPr>
          <w:rFonts w:ascii="Palatino Linotype" w:hAnsi="Palatino Linotype" w:cs="Arial"/>
          <w:sz w:val="24"/>
        </w:rPr>
        <w:lastRenderedPageBreak/>
        <w:t>de información, por otro lado, informa que la solicitud debe ser dirigida al Tribunal de Justicia Administrativa del Estado de México.</w:t>
      </w:r>
    </w:p>
    <w:p w:rsidR="00C917E7" w:rsidRPr="00F54D43" w:rsidRDefault="00C917E7" w:rsidP="00C917E7">
      <w:pPr>
        <w:pBdr>
          <w:top w:val="nil"/>
          <w:left w:val="nil"/>
          <w:bottom w:val="nil"/>
          <w:right w:val="nil"/>
          <w:between w:val="nil"/>
        </w:pBdr>
        <w:spacing w:line="360" w:lineRule="auto"/>
        <w:contextualSpacing/>
        <w:jc w:val="both"/>
        <w:rPr>
          <w:rFonts w:ascii="Palatino Linotype" w:hAnsi="Palatino Linotype" w:cs="Arial"/>
          <w:bCs/>
        </w:rPr>
      </w:pPr>
    </w:p>
    <w:p w:rsidR="00C917E7" w:rsidRPr="00F54D43" w:rsidRDefault="00C917E7" w:rsidP="00C917E7">
      <w:pPr>
        <w:pBdr>
          <w:top w:val="nil"/>
          <w:left w:val="nil"/>
          <w:bottom w:val="nil"/>
          <w:right w:val="nil"/>
          <w:between w:val="nil"/>
        </w:pBdr>
        <w:spacing w:line="360" w:lineRule="auto"/>
        <w:contextualSpacing/>
        <w:jc w:val="both"/>
        <w:rPr>
          <w:rFonts w:ascii="Palatino Linotype" w:hAnsi="Palatino Linotype" w:cs="Arial"/>
          <w:color w:val="000000" w:themeColor="text1"/>
        </w:rPr>
      </w:pPr>
      <w:r w:rsidRPr="00F54D43">
        <w:rPr>
          <w:rFonts w:ascii="Palatino Linotype" w:hAnsi="Palatino Linotype" w:cs="Arial"/>
          <w:bCs/>
        </w:rPr>
        <w:t xml:space="preserve">Es así como, derivado de la respuesta emitida por </w:t>
      </w:r>
      <w:r w:rsidRPr="00F54D43">
        <w:rPr>
          <w:rFonts w:ascii="Palatino Linotype" w:hAnsi="Palatino Linotype" w:cs="Arial"/>
          <w:b/>
          <w:bCs/>
        </w:rPr>
        <w:t>El Sujeto Obligado</w:t>
      </w:r>
      <w:r w:rsidRPr="00F54D43">
        <w:rPr>
          <w:rFonts w:ascii="Palatino Linotype" w:hAnsi="Palatino Linotype" w:cs="Arial"/>
          <w:bCs/>
        </w:rPr>
        <w:t xml:space="preserve">, </w:t>
      </w:r>
      <w:r w:rsidRPr="00F54D43">
        <w:rPr>
          <w:rFonts w:ascii="Palatino Linotype" w:hAnsi="Palatino Linotype" w:cs="Arial"/>
          <w:b/>
          <w:bCs/>
        </w:rPr>
        <w:t>el Recurrente</w:t>
      </w:r>
      <w:r w:rsidRPr="00F54D43">
        <w:rPr>
          <w:rFonts w:ascii="Palatino Linotype" w:hAnsi="Palatino Linotype" w:cs="Arial"/>
          <w:bCs/>
        </w:rPr>
        <w:t>, interpuso el presente recurso de revisión, señalando sustancialmente como sus razones o motivos de inconformidad, lo siguiente:</w:t>
      </w:r>
      <w:r w:rsidRPr="00F54D43" w:rsidDel="00107C3B">
        <w:rPr>
          <w:rFonts w:ascii="Palatino Linotype" w:hAnsi="Palatino Linotype"/>
          <w:b/>
          <w:i/>
        </w:rPr>
        <w:t xml:space="preserve"> </w:t>
      </w:r>
      <w:r w:rsidRPr="00F54D43">
        <w:rPr>
          <w:rFonts w:ascii="Palatino Linotype" w:hAnsi="Palatino Linotype"/>
          <w:i/>
        </w:rPr>
        <w:t>“</w:t>
      </w:r>
      <w:r w:rsidR="0052506E" w:rsidRPr="00F54D43">
        <w:rPr>
          <w:rFonts w:ascii="Palatino Linotype" w:hAnsi="Palatino Linotype"/>
          <w:i/>
        </w:rPr>
        <w:t xml:space="preserve">AGRAVIOS PRIMERO. INOBSERVANCIA DEL DEBER DE ORIENTACIÓN EFECTIVA Si bien el artículo 167 de la Ley de Transparencia permite declarar incompetencia, la autoridad no cumplió con el deber de orientación efectiva, ya que: No indicó con precisión el área, unidad administrativa o tipo de órgano específico del Tribunal al que debía dirigirse la solicitud. No orientó de manera clara sobre qué tipo de expediente, resolución o documento contiene la información solicitada. Se limitó a una referencia genérica, trasladando indebidamente la carga al solicitante. La orientación brindada fue insuficiente y formalista, contraviniendo el principio pro persona y el derecho de acceso efectivo a la información. SEGUNDO. FALTA DE EXHAUSTIVIDAD Y CONOCIMIENTO FUNCIONAL El Ayuntamiento omitió pronunciarse sobre si cuenta con: Notificaciones oficiales del Tribunal Resoluciones remitidas al Ayuntamiento Documentación derivada del cumplimiento o desacato Comunicaciones institucionales relacionadas con la inhabilitación Toda autoridad involucrada en un procedimiento jurisdiccional recibe y conserva documentación oficial, por lo que la simple declaratoria de incompetencia no acredita que no obre información en sus archivos. TERCERO. VIOLACIÓN AL PRINCIPIO DE MÁXIMA PUBLICIDAD Al no realizar una búsqueda mínima en sus archivos y limitarse a desechar la solicitud por incompetencia, el sujeto obligado restringe injustificadamente el acceso a información de alto interés público, relacionada con la rendición de cuentas de una servidora pública sancionada. Son aplicables los artículos 6° y 8° de la Constitución Política de los Estados Unidos Mexicanos; así como los artículos 4, 11, 15, 92, 111, 150, 151, 152, 160, 167, 176, 177, </w:t>
      </w:r>
      <w:r w:rsidR="0052506E" w:rsidRPr="00F54D43">
        <w:rPr>
          <w:rFonts w:ascii="Palatino Linotype" w:hAnsi="Palatino Linotype"/>
          <w:i/>
        </w:rPr>
        <w:lastRenderedPageBreak/>
        <w:t>178, 179 y 180 de la Ley de Transparencia y Acceso a la Información Pública del Estado de México y Municipios. Por lo expuesto, solicito respetuosamente al INFOEM: Se declare fundado el presente recurso de revisión. Se revoque la declaratoria de incompetencia impugnada. Se ordene al H. Ayuntamiento de Tepotzotlán realizar una búsqueda exhaustiva en sus archivos administrativos y jurídicos. En caso de localizar información, se ordene su entrega en versión pública. En caso de insistir en la incompetencia, se ordene una orientación efectiva, clara y específica, indicando con precisión el sujeto obligado, unidad administrativa y tipo de documento que contiene la información solicitada. Se aperciba a la Unidad de Transparencia para que en lo subsecuente cumpla con los principios de máxima publicidad y exhaustividad.</w:t>
      </w:r>
      <w:r w:rsidRPr="00F54D43">
        <w:rPr>
          <w:rFonts w:ascii="Palatino Linotype" w:hAnsi="Palatino Linotype"/>
          <w:i/>
        </w:rPr>
        <w:t>” (Sic).</w:t>
      </w:r>
    </w:p>
    <w:p w:rsidR="00C917E7" w:rsidRPr="00F54D43" w:rsidRDefault="00C917E7" w:rsidP="00C917E7">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C917E7" w:rsidRPr="00F54D43" w:rsidRDefault="00C917E7" w:rsidP="00C917E7">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F54D43">
        <w:rPr>
          <w:rFonts w:ascii="Palatino Linotype" w:eastAsia="Calibri" w:hAnsi="Palatino Linotype" w:cs="Calibri"/>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C917E7" w:rsidRPr="00F54D43" w:rsidRDefault="00C917E7" w:rsidP="00C917E7">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C917E7" w:rsidRPr="00F54D43" w:rsidRDefault="00C917E7" w:rsidP="00C917E7">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F54D43">
        <w:rPr>
          <w:rFonts w:ascii="Palatino Linotype" w:eastAsia="Calibri" w:hAnsi="Palatino Linotype" w:cs="Calibri"/>
          <w:lang w:val="es-ES_tradnl" w:eastAsia="es-MX"/>
        </w:rPr>
        <w:t>Conforme a la Plataforma Digital Estatal del Sistema Anticorrupción del Estado de México, se tiene lo siguiente:</w:t>
      </w:r>
      <w:r w:rsidR="009727C7" w:rsidRPr="00F54D43">
        <w:rPr>
          <w:rStyle w:val="Refdenotaalpie"/>
          <w:rFonts w:ascii="Palatino Linotype" w:eastAsia="Calibri" w:hAnsi="Palatino Linotype" w:cs="Calibri"/>
          <w:lang w:val="es-ES_tradnl" w:eastAsia="es-MX"/>
        </w:rPr>
        <w:footnoteReference w:id="2"/>
      </w:r>
    </w:p>
    <w:p w:rsidR="009727C7" w:rsidRPr="00F54D43" w:rsidRDefault="00C917E7" w:rsidP="00C917E7">
      <w:pPr>
        <w:pBdr>
          <w:top w:val="nil"/>
          <w:left w:val="nil"/>
          <w:bottom w:val="nil"/>
          <w:right w:val="nil"/>
          <w:between w:val="nil"/>
        </w:pBdr>
        <w:spacing w:line="360" w:lineRule="auto"/>
        <w:contextualSpacing/>
        <w:jc w:val="center"/>
        <w:rPr>
          <w:rFonts w:ascii="Palatino Linotype" w:eastAsia="Calibri" w:hAnsi="Palatino Linotype" w:cs="Calibri"/>
          <w:lang w:val="es-ES_tradnl" w:eastAsia="es-MX"/>
        </w:rPr>
      </w:pPr>
      <w:r w:rsidRPr="00F54D43">
        <w:rPr>
          <w:rFonts w:ascii="Palatino Linotype" w:eastAsia="Calibri" w:hAnsi="Palatino Linotype" w:cs="Calibri"/>
          <w:noProof/>
          <w:lang w:val="es-MX" w:eastAsia="es-MX"/>
        </w:rPr>
        <w:lastRenderedPageBreak/>
        <w:drawing>
          <wp:inline distT="0" distB="0" distL="0" distR="0" wp14:anchorId="552F1B0C" wp14:editId="0B2D90DA">
            <wp:extent cx="3876675" cy="194662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D0D860.tmp"/>
                    <pic:cNvPicPr/>
                  </pic:nvPicPr>
                  <pic:blipFill>
                    <a:blip r:embed="rId8">
                      <a:extLst>
                        <a:ext uri="{28A0092B-C50C-407E-A947-70E740481C1C}">
                          <a14:useLocalDpi xmlns:a14="http://schemas.microsoft.com/office/drawing/2010/main" val="0"/>
                        </a:ext>
                      </a:extLst>
                    </a:blip>
                    <a:stretch>
                      <a:fillRect/>
                    </a:stretch>
                  </pic:blipFill>
                  <pic:spPr>
                    <a:xfrm>
                      <a:off x="0" y="0"/>
                      <a:ext cx="3920091" cy="1968427"/>
                    </a:xfrm>
                    <a:prstGeom prst="rect">
                      <a:avLst/>
                    </a:prstGeom>
                  </pic:spPr>
                </pic:pic>
              </a:graphicData>
            </a:graphic>
          </wp:inline>
        </w:drawing>
      </w:r>
      <w:r w:rsidR="009704E3" w:rsidRPr="00F54D43">
        <w:rPr>
          <w:rFonts w:ascii="Palatino Linotype" w:eastAsia="Calibri" w:hAnsi="Palatino Linotype" w:cs="Calibri"/>
          <w:noProof/>
          <w:lang w:val="es-MX" w:eastAsia="es-MX"/>
        </w:rPr>
        <w:drawing>
          <wp:inline distT="0" distB="0" distL="0" distR="0">
            <wp:extent cx="4057650" cy="1762126"/>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7088BE.tmp"/>
                    <pic:cNvPicPr/>
                  </pic:nvPicPr>
                  <pic:blipFill>
                    <a:blip r:embed="rId9">
                      <a:extLst>
                        <a:ext uri="{28A0092B-C50C-407E-A947-70E740481C1C}">
                          <a14:useLocalDpi xmlns:a14="http://schemas.microsoft.com/office/drawing/2010/main" val="0"/>
                        </a:ext>
                      </a:extLst>
                    </a:blip>
                    <a:stretch>
                      <a:fillRect/>
                    </a:stretch>
                  </pic:blipFill>
                  <pic:spPr>
                    <a:xfrm>
                      <a:off x="0" y="0"/>
                      <a:ext cx="4075947" cy="1770072"/>
                    </a:xfrm>
                    <a:prstGeom prst="rect">
                      <a:avLst/>
                    </a:prstGeom>
                  </pic:spPr>
                </pic:pic>
              </a:graphicData>
            </a:graphic>
          </wp:inline>
        </w:drawing>
      </w:r>
    </w:p>
    <w:p w:rsidR="00C917E7" w:rsidRPr="00F54D43" w:rsidRDefault="009704E3" w:rsidP="00DA5671">
      <w:pPr>
        <w:pBdr>
          <w:top w:val="nil"/>
          <w:left w:val="nil"/>
          <w:bottom w:val="nil"/>
          <w:right w:val="nil"/>
          <w:between w:val="nil"/>
        </w:pBdr>
        <w:spacing w:line="360" w:lineRule="auto"/>
        <w:contextualSpacing/>
        <w:jc w:val="center"/>
        <w:rPr>
          <w:rFonts w:ascii="Palatino Linotype" w:eastAsia="Calibri" w:hAnsi="Palatino Linotype" w:cs="Calibri"/>
          <w:lang w:val="es-ES_tradnl" w:eastAsia="es-MX"/>
        </w:rPr>
      </w:pPr>
      <w:r w:rsidRPr="00F54D43">
        <w:rPr>
          <w:rFonts w:ascii="Palatino Linotype" w:eastAsia="Calibri" w:hAnsi="Palatino Linotype" w:cs="Calibri"/>
          <w:noProof/>
          <w:lang w:val="es-MX" w:eastAsia="es-MX"/>
        </w:rPr>
        <w:drawing>
          <wp:inline distT="0" distB="0" distL="0" distR="0">
            <wp:extent cx="4572626" cy="15144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7019E4.tmp"/>
                    <pic:cNvPicPr/>
                  </pic:nvPicPr>
                  <pic:blipFill rotWithShape="1">
                    <a:blip r:embed="rId10">
                      <a:extLst>
                        <a:ext uri="{28A0092B-C50C-407E-A947-70E740481C1C}">
                          <a14:useLocalDpi xmlns:a14="http://schemas.microsoft.com/office/drawing/2010/main" val="0"/>
                        </a:ext>
                      </a:extLst>
                    </a:blip>
                    <a:srcRect t="75295"/>
                    <a:stretch/>
                  </pic:blipFill>
                  <pic:spPr bwMode="auto">
                    <a:xfrm>
                      <a:off x="0" y="0"/>
                      <a:ext cx="4604076" cy="1524891"/>
                    </a:xfrm>
                    <a:prstGeom prst="rect">
                      <a:avLst/>
                    </a:prstGeom>
                    <a:ln>
                      <a:noFill/>
                    </a:ln>
                    <a:extLst>
                      <a:ext uri="{53640926-AAD7-44D8-BBD7-CCE9431645EC}">
                        <a14:shadowObscured xmlns:a14="http://schemas.microsoft.com/office/drawing/2010/main"/>
                      </a:ext>
                    </a:extLst>
                  </pic:spPr>
                </pic:pic>
              </a:graphicData>
            </a:graphic>
          </wp:inline>
        </w:drawing>
      </w:r>
    </w:p>
    <w:p w:rsidR="009727C7" w:rsidRPr="00F54D43" w:rsidRDefault="009727C7" w:rsidP="009704E3">
      <w:pPr>
        <w:pBdr>
          <w:top w:val="nil"/>
          <w:left w:val="nil"/>
          <w:bottom w:val="nil"/>
          <w:right w:val="nil"/>
          <w:between w:val="nil"/>
        </w:pBdr>
        <w:spacing w:line="360" w:lineRule="auto"/>
        <w:contextualSpacing/>
        <w:rPr>
          <w:rFonts w:ascii="Palatino Linotype" w:eastAsia="Calibri" w:hAnsi="Palatino Linotype" w:cs="Calibri"/>
          <w:lang w:val="es-ES_tradnl" w:eastAsia="es-MX"/>
        </w:rPr>
      </w:pPr>
    </w:p>
    <w:p w:rsidR="00C917E7" w:rsidRPr="00F54D43" w:rsidRDefault="00C917E7" w:rsidP="00C917E7">
      <w:pPr>
        <w:autoSpaceDE w:val="0"/>
        <w:autoSpaceDN w:val="0"/>
        <w:adjustRightInd w:val="0"/>
        <w:spacing w:before="240" w:after="240" w:line="360" w:lineRule="auto"/>
        <w:jc w:val="both"/>
        <w:rPr>
          <w:rFonts w:ascii="Palatino Linotype" w:hAnsi="Palatino Linotype" w:cs="Arial"/>
        </w:rPr>
      </w:pPr>
      <w:r w:rsidRPr="00F54D43">
        <w:rPr>
          <w:rFonts w:ascii="Palatino Linotype" w:hAnsi="Palatino Linotype" w:cs="Arial"/>
        </w:rPr>
        <w:t xml:space="preserve">Por su parte, en los Estrados Digitales del Tribunal de Justicia Administrativa del Estado de México (TRIJAEM), se observa un Acuerdo relacionado con </w:t>
      </w:r>
      <w:r w:rsidR="008C001E" w:rsidRPr="00F54D43">
        <w:rPr>
          <w:rFonts w:ascii="Palatino Linotype" w:hAnsi="Palatino Linotype" w:cs="Arial"/>
        </w:rPr>
        <w:t>dos</w:t>
      </w:r>
      <w:r w:rsidRPr="00F54D43">
        <w:rPr>
          <w:rFonts w:ascii="Palatino Linotype" w:hAnsi="Palatino Linotype" w:cs="Arial"/>
        </w:rPr>
        <w:t xml:space="preserve"> Procedimiento</w:t>
      </w:r>
      <w:r w:rsidR="008C001E" w:rsidRPr="00F54D43">
        <w:rPr>
          <w:rFonts w:ascii="Palatino Linotype" w:hAnsi="Palatino Linotype" w:cs="Arial"/>
        </w:rPr>
        <w:t>s</w:t>
      </w:r>
      <w:r w:rsidRPr="00F54D43">
        <w:rPr>
          <w:rFonts w:ascii="Palatino Linotype" w:hAnsi="Palatino Linotype" w:cs="Arial"/>
        </w:rPr>
        <w:t xml:space="preserve"> de Responsabilidad Administrativa, en dicho acuerdo se notificó al Secretario de Ayuntamiento e integrantes del Ayuntamiento, la Inhabilitación de la servidora pública referida en respuesta: </w:t>
      </w:r>
      <w:hyperlink r:id="rId11" w:anchor="!/" w:history="1">
        <w:r w:rsidRPr="00F54D43">
          <w:rPr>
            <w:rStyle w:val="Hipervnculo"/>
            <w:rFonts w:ascii="Palatino Linotype" w:hAnsi="Palatino Linotype" w:cs="Arial"/>
          </w:rPr>
          <w:t>https://trijaem.gob.mx/servicios/Estrados#!/</w:t>
        </w:r>
      </w:hyperlink>
      <w:r w:rsidRPr="00F54D43">
        <w:rPr>
          <w:rFonts w:ascii="Palatino Linotype" w:hAnsi="Palatino Linotype" w:cs="Arial"/>
        </w:rPr>
        <w:t xml:space="preserve"> </w:t>
      </w:r>
    </w:p>
    <w:p w:rsidR="00C917E7" w:rsidRPr="00F54D43" w:rsidRDefault="00C917E7" w:rsidP="00C917E7">
      <w:pPr>
        <w:autoSpaceDE w:val="0"/>
        <w:autoSpaceDN w:val="0"/>
        <w:adjustRightInd w:val="0"/>
        <w:spacing w:before="240" w:after="240" w:line="360" w:lineRule="auto"/>
        <w:jc w:val="both"/>
        <w:rPr>
          <w:rFonts w:ascii="Palatino Linotype" w:hAnsi="Palatino Linotype" w:cs="Arial"/>
        </w:rPr>
      </w:pPr>
      <w:r w:rsidRPr="00F54D43">
        <w:rPr>
          <w:rFonts w:ascii="Palatino Linotype" w:hAnsi="Palatino Linotype" w:cs="Arial"/>
          <w:noProof/>
          <w:lang w:val="es-MX" w:eastAsia="es-MX"/>
        </w:rPr>
        <w:lastRenderedPageBreak/>
        <w:drawing>
          <wp:inline distT="0" distB="0" distL="0" distR="0" wp14:anchorId="00FD7E44" wp14:editId="17E19A99">
            <wp:extent cx="5791835" cy="512699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D095A0.tmp"/>
                    <pic:cNvPicPr/>
                  </pic:nvPicPr>
                  <pic:blipFill>
                    <a:blip r:embed="rId12">
                      <a:extLst>
                        <a:ext uri="{28A0092B-C50C-407E-A947-70E740481C1C}">
                          <a14:useLocalDpi xmlns:a14="http://schemas.microsoft.com/office/drawing/2010/main" val="0"/>
                        </a:ext>
                      </a:extLst>
                    </a:blip>
                    <a:stretch>
                      <a:fillRect/>
                    </a:stretch>
                  </pic:blipFill>
                  <pic:spPr>
                    <a:xfrm>
                      <a:off x="0" y="0"/>
                      <a:ext cx="5791835" cy="5126990"/>
                    </a:xfrm>
                    <a:prstGeom prst="rect">
                      <a:avLst/>
                    </a:prstGeom>
                  </pic:spPr>
                </pic:pic>
              </a:graphicData>
            </a:graphic>
          </wp:inline>
        </w:drawing>
      </w:r>
    </w:p>
    <w:p w:rsidR="00265113" w:rsidRPr="00F54D43" w:rsidRDefault="00265113" w:rsidP="00C917E7">
      <w:pPr>
        <w:autoSpaceDE w:val="0"/>
        <w:autoSpaceDN w:val="0"/>
        <w:adjustRightInd w:val="0"/>
        <w:spacing w:before="240" w:after="240" w:line="360" w:lineRule="auto"/>
        <w:jc w:val="both"/>
        <w:rPr>
          <w:rFonts w:ascii="Palatino Linotype" w:hAnsi="Palatino Linotype" w:cs="Arial"/>
        </w:rPr>
      </w:pPr>
      <w:r w:rsidRPr="00F54D43">
        <w:rPr>
          <w:rFonts w:ascii="Palatino Linotype" w:hAnsi="Palatino Linotype" w:cs="Arial"/>
          <w:noProof/>
          <w:lang w:val="es-MX" w:eastAsia="es-MX"/>
        </w:rPr>
        <w:lastRenderedPageBreak/>
        <mc:AlternateContent>
          <mc:Choice Requires="wps">
            <w:drawing>
              <wp:anchor distT="0" distB="0" distL="114300" distR="114300" simplePos="0" relativeHeight="251661312" behindDoc="0" locked="0" layoutInCell="1" allowOverlap="1" wp14:anchorId="44F49349" wp14:editId="75C3233B">
                <wp:simplePos x="0" y="0"/>
                <wp:positionH relativeFrom="page">
                  <wp:posOffset>1114425</wp:posOffset>
                </wp:positionH>
                <wp:positionV relativeFrom="paragraph">
                  <wp:posOffset>2595245</wp:posOffset>
                </wp:positionV>
                <wp:extent cx="5429250" cy="180975"/>
                <wp:effectExtent l="19050" t="19050" r="19050" b="28575"/>
                <wp:wrapNone/>
                <wp:docPr id="23" name="Rectángulo 23"/>
                <wp:cNvGraphicFramePr/>
                <a:graphic xmlns:a="http://schemas.openxmlformats.org/drawingml/2006/main">
                  <a:graphicData uri="http://schemas.microsoft.com/office/word/2010/wordprocessingShape">
                    <wps:wsp>
                      <wps:cNvSpPr/>
                      <wps:spPr>
                        <a:xfrm>
                          <a:off x="0" y="0"/>
                          <a:ext cx="5429250" cy="1809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C3E3C" id="Rectángulo 23" o:spid="_x0000_s1026" style="position:absolute;margin-left:87.75pt;margin-top:204.35pt;width:427.5pt;height:1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" filled="f" strokecolor="red" strokeweight="2.25pt">
                <w10:wrap anchorx="page"/>
              </v:rect>
            </w:pict>
          </mc:Fallback>
        </mc:AlternateContent>
      </w:r>
      <w:r w:rsidRPr="00F54D43">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14:anchorId="29D3391F" wp14:editId="274331DB">
                <wp:simplePos x="0" y="0"/>
                <wp:positionH relativeFrom="column">
                  <wp:posOffset>34290</wp:posOffset>
                </wp:positionH>
                <wp:positionV relativeFrom="paragraph">
                  <wp:posOffset>1890395</wp:posOffset>
                </wp:positionV>
                <wp:extent cx="5438775" cy="361950"/>
                <wp:effectExtent l="19050" t="19050" r="28575" b="19050"/>
                <wp:wrapNone/>
                <wp:docPr id="21" name="Rectángulo 21"/>
                <wp:cNvGraphicFramePr/>
                <a:graphic xmlns:a="http://schemas.openxmlformats.org/drawingml/2006/main">
                  <a:graphicData uri="http://schemas.microsoft.com/office/word/2010/wordprocessingShape">
                    <wps:wsp>
                      <wps:cNvSpPr/>
                      <wps:spPr>
                        <a:xfrm>
                          <a:off x="0" y="0"/>
                          <a:ext cx="5438775" cy="361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25F212" id="Rectángulo 21" o:spid="_x0000_s1026" style="position:absolute;margin-left:2.7pt;margin-top:148.85pt;width:428.25pt;height:2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" filled="f" strokecolor="red" strokeweight="2.25pt"/>
            </w:pict>
          </mc:Fallback>
        </mc:AlternateContent>
      </w:r>
      <w:r w:rsidRPr="00F54D43">
        <w:rPr>
          <w:rFonts w:ascii="Palatino Linotype" w:hAnsi="Palatino Linotype" w:cs="Arial"/>
          <w:noProof/>
          <w:lang w:val="es-MX" w:eastAsia="es-MX"/>
        </w:rPr>
        <mc:AlternateContent>
          <mc:Choice Requires="wps">
            <w:drawing>
              <wp:anchor distT="0" distB="0" distL="114300" distR="114300" simplePos="0" relativeHeight="251660288" behindDoc="0" locked="0" layoutInCell="1" allowOverlap="1" wp14:anchorId="5A2B9082" wp14:editId="5453B1A7">
                <wp:simplePos x="0" y="0"/>
                <wp:positionH relativeFrom="margin">
                  <wp:posOffset>4872990</wp:posOffset>
                </wp:positionH>
                <wp:positionV relativeFrom="paragraph">
                  <wp:posOffset>1690370</wp:posOffset>
                </wp:positionV>
                <wp:extent cx="600075" cy="200025"/>
                <wp:effectExtent l="19050" t="19050" r="28575" b="28575"/>
                <wp:wrapNone/>
                <wp:docPr id="22" name="Rectángulo 22"/>
                <wp:cNvGraphicFramePr/>
                <a:graphic xmlns:a="http://schemas.openxmlformats.org/drawingml/2006/main">
                  <a:graphicData uri="http://schemas.microsoft.com/office/word/2010/wordprocessingShape">
                    <wps:wsp>
                      <wps:cNvSpPr/>
                      <wps:spPr>
                        <a:xfrm>
                          <a:off x="0" y="0"/>
                          <a:ext cx="600075"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1C72D" id="Rectángulo 22" o:spid="_x0000_s1026" style="position:absolute;margin-left:383.7pt;margin-top:133.1pt;width:47.25pt;height:1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" filled="f" strokecolor="red" strokeweight="2.25pt">
                <w10:wrap anchorx="margin"/>
              </v:rect>
            </w:pict>
          </mc:Fallback>
        </mc:AlternateContent>
      </w:r>
      <w:r w:rsidRPr="00F54D43">
        <w:rPr>
          <w:rFonts w:ascii="Palatino Linotype" w:hAnsi="Palatino Linotype" w:cs="Arial"/>
          <w:noProof/>
          <w:lang w:val="es-MX" w:eastAsia="es-MX"/>
        </w:rPr>
        <w:drawing>
          <wp:inline distT="0" distB="0" distL="0" distR="0">
            <wp:extent cx="5544324" cy="291505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70E8CD.tmp"/>
                    <pic:cNvPicPr/>
                  </pic:nvPicPr>
                  <pic:blipFill>
                    <a:blip r:embed="rId13">
                      <a:extLst>
                        <a:ext uri="{28A0092B-C50C-407E-A947-70E740481C1C}">
                          <a14:useLocalDpi xmlns:a14="http://schemas.microsoft.com/office/drawing/2010/main" val="0"/>
                        </a:ext>
                      </a:extLst>
                    </a:blip>
                    <a:stretch>
                      <a:fillRect/>
                    </a:stretch>
                  </pic:blipFill>
                  <pic:spPr>
                    <a:xfrm>
                      <a:off x="0" y="0"/>
                      <a:ext cx="5544324" cy="2915057"/>
                    </a:xfrm>
                    <a:prstGeom prst="rect">
                      <a:avLst/>
                    </a:prstGeom>
                  </pic:spPr>
                </pic:pic>
              </a:graphicData>
            </a:graphic>
          </wp:inline>
        </w:drawing>
      </w:r>
    </w:p>
    <w:p w:rsidR="00C917E7" w:rsidRPr="00F54D43" w:rsidRDefault="00C917E7" w:rsidP="00C917E7">
      <w:pPr>
        <w:autoSpaceDE w:val="0"/>
        <w:autoSpaceDN w:val="0"/>
        <w:adjustRightInd w:val="0"/>
        <w:spacing w:before="240" w:after="240" w:line="360" w:lineRule="auto"/>
        <w:jc w:val="both"/>
        <w:rPr>
          <w:rFonts w:ascii="Palatino Linotype" w:hAnsi="Palatino Linotype" w:cs="Arial"/>
        </w:rPr>
      </w:pPr>
      <w:r w:rsidRPr="00F54D43">
        <w:rPr>
          <w:rFonts w:ascii="Palatino Linotype" w:hAnsi="Palatino Linotype" w:cs="Arial"/>
          <w:noProof/>
          <w:lang w:val="es-MX" w:eastAsia="es-MX"/>
        </w:rPr>
        <w:drawing>
          <wp:inline distT="0" distB="0" distL="0" distR="0" wp14:anchorId="57DC5EFF" wp14:editId="3C353E92">
            <wp:extent cx="5705475" cy="153152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D067C6.tmp"/>
                    <pic:cNvPicPr/>
                  </pic:nvPicPr>
                  <pic:blipFill>
                    <a:blip r:embed="rId14">
                      <a:extLst>
                        <a:ext uri="{28A0092B-C50C-407E-A947-70E740481C1C}">
                          <a14:useLocalDpi xmlns:a14="http://schemas.microsoft.com/office/drawing/2010/main" val="0"/>
                        </a:ext>
                      </a:extLst>
                    </a:blip>
                    <a:stretch>
                      <a:fillRect/>
                    </a:stretch>
                  </pic:blipFill>
                  <pic:spPr>
                    <a:xfrm>
                      <a:off x="0" y="0"/>
                      <a:ext cx="5743487" cy="1541731"/>
                    </a:xfrm>
                    <a:prstGeom prst="rect">
                      <a:avLst/>
                    </a:prstGeom>
                  </pic:spPr>
                </pic:pic>
              </a:graphicData>
            </a:graphic>
          </wp:inline>
        </w:drawing>
      </w: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rPr>
        <w:t>Ahora bien, conforme a la Ley Orgánica Municipal del Estado de México establece la forma en que los Ayuntamientos se integran, así como sus atribuciones:</w:t>
      </w:r>
    </w:p>
    <w:p w:rsidR="00C917E7" w:rsidRPr="00F54D43" w:rsidRDefault="00C917E7" w:rsidP="00C917E7">
      <w:pPr>
        <w:pStyle w:val="Citas"/>
        <w:jc w:val="center"/>
        <w:rPr>
          <w:b/>
          <w:lang w:val="es-ES"/>
        </w:rPr>
      </w:pPr>
      <w:r w:rsidRPr="00F54D43">
        <w:rPr>
          <w:b/>
          <w:lang w:val="es-ES"/>
        </w:rPr>
        <w:t>Integración e Instalación de los Ayuntamientos</w:t>
      </w:r>
    </w:p>
    <w:p w:rsidR="00C917E7" w:rsidRPr="00F54D43" w:rsidRDefault="00C917E7" w:rsidP="00C917E7">
      <w:pPr>
        <w:pStyle w:val="Citas"/>
        <w:rPr>
          <w:lang w:val="es-ES"/>
        </w:rPr>
      </w:pPr>
      <w:r w:rsidRPr="00F54D43">
        <w:rPr>
          <w:b/>
          <w:lang w:val="es-ES"/>
        </w:rPr>
        <w:t>Artículo 16.-</w:t>
      </w:r>
      <w:r w:rsidRPr="00F54D43">
        <w:rPr>
          <w:lang w:val="es-ES"/>
        </w:rPr>
        <w:t xml:space="preserve"> Los Ayuntamientos se renovarán cada tres años, iniciarán su periodo el 1 de enero del año inmediato siguiente al de las elecciones municipales ordinarias y concluirán el 31 de diciembre del año de las elecciones para su renovación; y se integrarán por:</w:t>
      </w:r>
    </w:p>
    <w:p w:rsidR="00C917E7" w:rsidRPr="00F54D43" w:rsidRDefault="00C917E7" w:rsidP="00C917E7">
      <w:pPr>
        <w:pStyle w:val="Citas"/>
        <w:rPr>
          <w:lang w:val="es-ES"/>
        </w:rPr>
      </w:pPr>
      <w:r w:rsidRPr="00F54D43">
        <w:rPr>
          <w:lang w:val="es-ES"/>
        </w:rPr>
        <w:t>…</w:t>
      </w:r>
    </w:p>
    <w:p w:rsidR="00C917E7" w:rsidRPr="00F54D43" w:rsidRDefault="00C917E7" w:rsidP="00C917E7">
      <w:pPr>
        <w:pStyle w:val="Citas"/>
      </w:pPr>
      <w:r w:rsidRPr="00F54D43">
        <w:rPr>
          <w:b/>
        </w:rPr>
        <w:lastRenderedPageBreak/>
        <w:t>III. Un presidente, un síndico y siete regidores</w:t>
      </w:r>
      <w:r w:rsidRPr="00F54D43">
        <w:t>, electos por planilla según el principio de mayoría relativa; un síndico y cinco regidores designados según el principio de representación proporcional, cuando se trate de municipios que tengan una población de más de 500 mil habitantes.</w:t>
      </w:r>
    </w:p>
    <w:p w:rsidR="00C917E7" w:rsidRPr="00F54D43" w:rsidRDefault="00C917E7" w:rsidP="00C917E7">
      <w:pPr>
        <w:pStyle w:val="Citas"/>
      </w:pPr>
      <w:r w:rsidRPr="00F54D43">
        <w:rPr>
          <w:b/>
          <w:u w:val="single"/>
        </w:rPr>
        <w:t>Artículo 91.- La Secretaría del Ayuntamiento estará a cargo de un Secretario</w:t>
      </w:r>
      <w:r w:rsidRPr="00F54D43">
        <w:t xml:space="preserve">, el que, sin ser miembro del mismo, deberá ser nombrado por el propio Ayuntamiento a propuesta del Presidente Municipal como lo marca el artículo 31 de la presente ley. Sus faltas temporales serán cubiertas por quien designe el Ayuntamiento y sus atribuciones son las siguientes: </w:t>
      </w:r>
    </w:p>
    <w:p w:rsidR="00C917E7" w:rsidRPr="00F54D43" w:rsidRDefault="00C917E7" w:rsidP="00C917E7">
      <w:pPr>
        <w:pStyle w:val="Citas"/>
        <w:numPr>
          <w:ilvl w:val="0"/>
          <w:numId w:val="6"/>
        </w:numPr>
        <w:spacing w:line="240" w:lineRule="auto"/>
      </w:pPr>
      <w:r w:rsidRPr="00F54D43">
        <w:t xml:space="preserve">Asistir a las sesiones del ayuntamiento y levantar las actas correspondientes; </w:t>
      </w:r>
    </w:p>
    <w:p w:rsidR="00C917E7" w:rsidRPr="00F54D43" w:rsidRDefault="00C917E7" w:rsidP="00C917E7">
      <w:pPr>
        <w:pStyle w:val="Citas"/>
        <w:numPr>
          <w:ilvl w:val="0"/>
          <w:numId w:val="6"/>
        </w:numPr>
        <w:spacing w:line="240" w:lineRule="auto"/>
      </w:pPr>
      <w:r w:rsidRPr="00F54D43">
        <w:t xml:space="preserve">Emitir los citatorios para la celebración de las sesiones de cabildo, convocadas legalmente; </w:t>
      </w:r>
    </w:p>
    <w:p w:rsidR="00C917E7" w:rsidRPr="00F54D43" w:rsidRDefault="00C917E7" w:rsidP="00C917E7">
      <w:pPr>
        <w:pStyle w:val="Citas"/>
        <w:numPr>
          <w:ilvl w:val="0"/>
          <w:numId w:val="6"/>
        </w:numPr>
        <w:spacing w:line="240" w:lineRule="auto"/>
      </w:pPr>
      <w:r w:rsidRPr="00F54D43">
        <w:t xml:space="preserve"> Dar cuenta en la primera sesión de cada mes, del número y contenido de los expedientes pasados a comisión, con mención de los que hayan sido resueltos y de los pendientes; </w:t>
      </w:r>
    </w:p>
    <w:p w:rsidR="00C917E7" w:rsidRPr="00F54D43" w:rsidRDefault="00C917E7" w:rsidP="00C917E7">
      <w:pPr>
        <w:pStyle w:val="Citas"/>
        <w:numPr>
          <w:ilvl w:val="0"/>
          <w:numId w:val="6"/>
        </w:numPr>
        <w:spacing w:line="240" w:lineRule="auto"/>
      </w:pPr>
      <w:r w:rsidRPr="00F54D43">
        <w:t xml:space="preserve">Llevar y conservar los libros de actas de cabildo, obteniendo las firmas de los asistentes a las sesiones; </w:t>
      </w:r>
    </w:p>
    <w:p w:rsidR="00C917E7" w:rsidRPr="00F54D43" w:rsidRDefault="00C917E7" w:rsidP="00C917E7">
      <w:pPr>
        <w:pStyle w:val="Citas"/>
        <w:numPr>
          <w:ilvl w:val="0"/>
          <w:numId w:val="6"/>
        </w:numPr>
        <w:spacing w:line="240" w:lineRule="auto"/>
      </w:pPr>
      <w:r w:rsidRPr="00F54D43">
        <w:t xml:space="preserve">Validar con su firma, los documentos oficiales emanados del ayuntamiento o de cualquiera de sus miembros; </w:t>
      </w:r>
    </w:p>
    <w:p w:rsidR="00C917E7" w:rsidRPr="00F54D43" w:rsidRDefault="00C917E7" w:rsidP="00C917E7">
      <w:pPr>
        <w:pStyle w:val="Citas"/>
        <w:numPr>
          <w:ilvl w:val="0"/>
          <w:numId w:val="6"/>
        </w:numPr>
        <w:spacing w:line="240" w:lineRule="auto"/>
      </w:pPr>
      <w:r w:rsidRPr="00F54D43">
        <w:t xml:space="preserve">Tener a su cargo el archivo general del ayuntamiento; </w:t>
      </w:r>
    </w:p>
    <w:p w:rsidR="00C917E7" w:rsidRPr="00F54D43" w:rsidRDefault="00C917E7" w:rsidP="00C917E7">
      <w:pPr>
        <w:pStyle w:val="Citas"/>
        <w:numPr>
          <w:ilvl w:val="0"/>
          <w:numId w:val="6"/>
        </w:numPr>
        <w:spacing w:line="240" w:lineRule="auto"/>
        <w:rPr>
          <w:b/>
        </w:rPr>
      </w:pPr>
      <w:r w:rsidRPr="00F54D43">
        <w:rPr>
          <w:b/>
        </w:rPr>
        <w:t xml:space="preserve">Controlar y distribuir la correspondencia oficial del ayuntamiento, dando cuenta diaria al presidente municipal para acordar su trámite; </w:t>
      </w:r>
    </w:p>
    <w:p w:rsidR="00C917E7" w:rsidRPr="00F54D43" w:rsidRDefault="00C917E7" w:rsidP="00C917E7">
      <w:pPr>
        <w:pStyle w:val="Citas"/>
        <w:numPr>
          <w:ilvl w:val="0"/>
          <w:numId w:val="6"/>
        </w:numPr>
        <w:spacing w:line="240" w:lineRule="auto"/>
      </w:pPr>
      <w:r w:rsidRPr="00F54D43">
        <w:t xml:space="preserve">Publicar los reglamentos, circulares y demás disposiciones municipales de observancia general; </w:t>
      </w:r>
    </w:p>
    <w:p w:rsidR="00C917E7" w:rsidRPr="00F54D43" w:rsidRDefault="00C917E7" w:rsidP="00C917E7">
      <w:pPr>
        <w:pStyle w:val="Citas"/>
        <w:numPr>
          <w:ilvl w:val="0"/>
          <w:numId w:val="6"/>
        </w:numPr>
        <w:spacing w:line="240" w:lineRule="auto"/>
      </w:pPr>
      <w:r w:rsidRPr="00F54D43">
        <w:t xml:space="preserve">Compilar leyes, decretos, reglamentos, periódicos oficiales del estado, circulares y órdenes relativas a los distintos sectores de la administración pública municipal; </w:t>
      </w:r>
    </w:p>
    <w:p w:rsidR="00C917E7" w:rsidRPr="00F54D43" w:rsidRDefault="00C917E7" w:rsidP="00C917E7">
      <w:pPr>
        <w:pStyle w:val="Citas"/>
        <w:numPr>
          <w:ilvl w:val="0"/>
          <w:numId w:val="6"/>
        </w:numPr>
        <w:spacing w:line="240" w:lineRule="auto"/>
      </w:pPr>
      <w:r w:rsidRPr="00F54D43">
        <w:lastRenderedPageBreak/>
        <w:t xml:space="preserve">Expedir las constancias de vecindad, de identidad o de última residencia que soliciten los habitantes del municipio, en un plazo no mayor de 24 horas, así como las certificaciones y demás documentos públicos que legalmente procedan, o los que acuerde el ayuntamiento; </w:t>
      </w:r>
    </w:p>
    <w:p w:rsidR="00C917E7" w:rsidRPr="00F54D43" w:rsidRDefault="00C917E7" w:rsidP="00C917E7">
      <w:pPr>
        <w:pStyle w:val="Citas"/>
        <w:numPr>
          <w:ilvl w:val="0"/>
          <w:numId w:val="6"/>
        </w:numPr>
        <w:spacing w:line="240" w:lineRule="auto"/>
      </w:pPr>
      <w:r w:rsidRPr="00F54D43">
        <w:t xml:space="preserve">Elaborar con la intervención del síndico el inventario general de los bienes muebles e inmuebles municipales, así como la integración del sistema de información inmobiliaria, que contemple los bienes del dominio público y privado, en un término que no exceda de un año contado a partir de la instalación del ayuntamiento y presentarlo al cabildo para su conocimiento y opinión. </w:t>
      </w:r>
    </w:p>
    <w:p w:rsidR="00C917E7" w:rsidRPr="00F54D43" w:rsidRDefault="00C917E7" w:rsidP="00C917E7">
      <w:pPr>
        <w:pStyle w:val="Citas"/>
        <w:spacing w:line="240" w:lineRule="auto"/>
        <w:ind w:left="1571"/>
      </w:pPr>
      <w:r w:rsidRPr="00F54D43">
        <w:t xml:space="preserve">En el caso de que el ayuntamiento adquiera por cualquier concepto bienes muebles o inmuebles durante su ejercicio, deberá realizar la actualización del inventario general de los bienes mueb1es e inmuebles y del sistema de información inmobiliaria en un plazo de ciento veinte días hábiles a partir de su adquisición y presentar un informe trimestral al cabildo para su conocimiento y opinión. </w:t>
      </w:r>
    </w:p>
    <w:p w:rsidR="00C917E7" w:rsidRPr="00F54D43" w:rsidRDefault="00C917E7" w:rsidP="00C917E7">
      <w:pPr>
        <w:pStyle w:val="Citas"/>
        <w:numPr>
          <w:ilvl w:val="0"/>
          <w:numId w:val="6"/>
        </w:numPr>
        <w:spacing w:line="240" w:lineRule="auto"/>
      </w:pPr>
      <w:r w:rsidRPr="00F54D43">
        <w:t>Integrar un sistema de información que contenga datos de los aspectos socio-económicos básicos del municipio;</w:t>
      </w:r>
    </w:p>
    <w:p w:rsidR="00C917E7" w:rsidRPr="00F54D43" w:rsidRDefault="00C917E7" w:rsidP="00C917E7">
      <w:pPr>
        <w:pStyle w:val="Citas"/>
        <w:numPr>
          <w:ilvl w:val="0"/>
          <w:numId w:val="6"/>
        </w:numPr>
        <w:spacing w:line="240" w:lineRule="auto"/>
      </w:pPr>
      <w:r w:rsidRPr="00F54D43">
        <w:t xml:space="preserve">Ser responsable de la publicación de la Gaceta Municipal, así como de las publicaciones en los estrados de los Ayuntamientos; y </w:t>
      </w:r>
    </w:p>
    <w:p w:rsidR="00C917E7" w:rsidRPr="00F54D43" w:rsidRDefault="00C917E7" w:rsidP="00C917E7">
      <w:pPr>
        <w:pStyle w:val="Citas"/>
        <w:numPr>
          <w:ilvl w:val="0"/>
          <w:numId w:val="6"/>
        </w:numPr>
        <w:spacing w:line="240" w:lineRule="auto"/>
      </w:pPr>
      <w:r w:rsidRPr="00F54D43">
        <w:t>Las demás que le confieran esta Ley y disposiciones aplicables.</w:t>
      </w:r>
    </w:p>
    <w:p w:rsidR="00C917E7" w:rsidRPr="00F54D43" w:rsidRDefault="00C917E7" w:rsidP="00C917E7">
      <w:pPr>
        <w:autoSpaceDE w:val="0"/>
        <w:autoSpaceDN w:val="0"/>
        <w:adjustRightInd w:val="0"/>
        <w:spacing w:before="240" w:after="240" w:line="360" w:lineRule="auto"/>
        <w:jc w:val="both"/>
        <w:rPr>
          <w:rFonts w:ascii="Palatino Linotype" w:hAnsi="Palatino Linotype" w:cs="Arial"/>
        </w:rPr>
      </w:pPr>
    </w:p>
    <w:p w:rsidR="00C917E7" w:rsidRPr="00F54D43" w:rsidRDefault="00C917E7" w:rsidP="00C917E7">
      <w:pPr>
        <w:autoSpaceDE w:val="0"/>
        <w:autoSpaceDN w:val="0"/>
        <w:adjustRightInd w:val="0"/>
        <w:spacing w:before="240" w:after="240" w:line="360" w:lineRule="auto"/>
        <w:jc w:val="both"/>
        <w:rPr>
          <w:rFonts w:ascii="Palatino Linotype" w:hAnsi="Palatino Linotype" w:cs="Arial"/>
        </w:rPr>
      </w:pPr>
      <w:r w:rsidRPr="00F54D43">
        <w:rPr>
          <w:rFonts w:ascii="Palatino Linotype" w:hAnsi="Palatino Linotype" w:cs="Arial"/>
        </w:rPr>
        <w:t>Del estudio realizado, es necesario acotar si el Sujeto Obligado colmó el derecho de acceso a la información pública mediante respuesta:</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954"/>
        <w:gridCol w:w="3261"/>
        <w:gridCol w:w="1939"/>
      </w:tblGrid>
      <w:tr w:rsidR="00C917E7" w:rsidRPr="00F54D43" w:rsidTr="002F71F2">
        <w:trPr>
          <w:trHeight w:val="396"/>
        </w:trPr>
        <w:tc>
          <w:tcPr>
            <w:tcW w:w="3954" w:type="dxa"/>
            <w:shd w:val="clear" w:color="auto" w:fill="E7E6E6" w:themeFill="background2"/>
          </w:tcPr>
          <w:p w:rsidR="00C917E7" w:rsidRPr="00F54D43" w:rsidRDefault="00C917E7" w:rsidP="002F71F2">
            <w:pPr>
              <w:spacing w:line="360" w:lineRule="auto"/>
              <w:jc w:val="center"/>
              <w:rPr>
                <w:rFonts w:ascii="Palatino Linotype" w:hAnsi="Palatino Linotype"/>
                <w:b/>
                <w:i/>
                <w:color w:val="000000"/>
              </w:rPr>
            </w:pPr>
            <w:r w:rsidRPr="00F54D43">
              <w:rPr>
                <w:rFonts w:ascii="Palatino Linotype" w:hAnsi="Palatino Linotype"/>
                <w:b/>
                <w:i/>
                <w:color w:val="000000"/>
              </w:rPr>
              <w:t>Requerimientos</w:t>
            </w:r>
          </w:p>
        </w:tc>
        <w:tc>
          <w:tcPr>
            <w:tcW w:w="3261" w:type="dxa"/>
            <w:shd w:val="clear" w:color="auto" w:fill="E7E6E6" w:themeFill="background2"/>
          </w:tcPr>
          <w:p w:rsidR="00C917E7" w:rsidRPr="00F54D43" w:rsidRDefault="00C917E7" w:rsidP="002F71F2">
            <w:pPr>
              <w:spacing w:line="360" w:lineRule="auto"/>
              <w:jc w:val="center"/>
              <w:rPr>
                <w:rFonts w:ascii="Palatino Linotype" w:hAnsi="Palatino Linotype"/>
                <w:b/>
                <w:i/>
                <w:color w:val="000000"/>
              </w:rPr>
            </w:pPr>
            <w:r w:rsidRPr="00F54D43">
              <w:rPr>
                <w:rFonts w:ascii="Palatino Linotype" w:hAnsi="Palatino Linotype"/>
                <w:b/>
                <w:i/>
                <w:color w:val="000000"/>
              </w:rPr>
              <w:t>Respuesta</w:t>
            </w:r>
          </w:p>
        </w:tc>
        <w:tc>
          <w:tcPr>
            <w:tcW w:w="1939" w:type="dxa"/>
            <w:shd w:val="clear" w:color="auto" w:fill="E7E6E6" w:themeFill="background2"/>
          </w:tcPr>
          <w:p w:rsidR="00C917E7" w:rsidRPr="00F54D43" w:rsidRDefault="00C917E7" w:rsidP="002F71F2">
            <w:pPr>
              <w:spacing w:line="360" w:lineRule="auto"/>
              <w:jc w:val="center"/>
              <w:rPr>
                <w:rFonts w:ascii="Palatino Linotype" w:hAnsi="Palatino Linotype"/>
                <w:b/>
                <w:i/>
                <w:color w:val="000000"/>
              </w:rPr>
            </w:pPr>
            <w:r w:rsidRPr="00F54D43">
              <w:rPr>
                <w:rFonts w:ascii="Palatino Linotype" w:hAnsi="Palatino Linotype"/>
                <w:b/>
                <w:i/>
                <w:color w:val="000000"/>
              </w:rPr>
              <w:t>Colma</w:t>
            </w:r>
          </w:p>
        </w:tc>
      </w:tr>
      <w:tr w:rsidR="00C917E7" w:rsidRPr="00F54D43" w:rsidTr="002F71F2">
        <w:trPr>
          <w:trHeight w:val="396"/>
        </w:trPr>
        <w:tc>
          <w:tcPr>
            <w:tcW w:w="3954" w:type="dxa"/>
            <w:shd w:val="clear" w:color="auto" w:fill="auto"/>
          </w:tcPr>
          <w:p w:rsidR="00C917E7" w:rsidRPr="00F54D43" w:rsidRDefault="0006172B" w:rsidP="002F71F2">
            <w:pPr>
              <w:tabs>
                <w:tab w:val="left" w:pos="1828"/>
              </w:tabs>
              <w:jc w:val="both"/>
              <w:rPr>
                <w:rFonts w:ascii="Palatino Linotype" w:hAnsi="Palatino Linotype"/>
                <w:color w:val="000000"/>
              </w:rPr>
            </w:pPr>
            <w:r w:rsidRPr="00F54D43">
              <w:rPr>
                <w:rFonts w:ascii="Palatino Linotype" w:hAnsi="Palatino Linotype"/>
                <w:color w:val="000000"/>
              </w:rPr>
              <w:t>Actos específicos de desacato por los que el Tribunal de Justicia Administrativa del Estado de México determinó la inhabilitación de la Presidenta Municipal de Tepotzotlán</w:t>
            </w:r>
          </w:p>
        </w:tc>
        <w:tc>
          <w:tcPr>
            <w:tcW w:w="3261" w:type="dxa"/>
            <w:shd w:val="clear" w:color="auto" w:fill="auto"/>
          </w:tcPr>
          <w:p w:rsidR="00C917E7" w:rsidRPr="00F54D43" w:rsidRDefault="00C917E7" w:rsidP="002F71F2">
            <w:pPr>
              <w:jc w:val="both"/>
              <w:rPr>
                <w:rFonts w:ascii="Palatino Linotype" w:hAnsi="Palatino Linotype"/>
                <w:color w:val="000000"/>
                <w:sz w:val="22"/>
              </w:rPr>
            </w:pPr>
            <w:r w:rsidRPr="00F54D43">
              <w:rPr>
                <w:rFonts w:ascii="Palatino Linotype" w:hAnsi="Palatino Linotype"/>
                <w:color w:val="000000"/>
                <w:sz w:val="22"/>
              </w:rPr>
              <w:t>El Titular de la Unidad de Transparencia se declaró incompetente.</w:t>
            </w:r>
          </w:p>
        </w:tc>
        <w:tc>
          <w:tcPr>
            <w:tcW w:w="1939" w:type="dxa"/>
            <w:shd w:val="clear" w:color="auto" w:fill="auto"/>
          </w:tcPr>
          <w:p w:rsidR="00C917E7" w:rsidRPr="00F54D43" w:rsidRDefault="00C917E7" w:rsidP="002F71F2">
            <w:pPr>
              <w:jc w:val="center"/>
              <w:rPr>
                <w:rFonts w:ascii="Palatino Linotype" w:hAnsi="Palatino Linotype"/>
                <w:b/>
                <w:i/>
                <w:color w:val="000000"/>
              </w:rPr>
            </w:pPr>
            <w:r w:rsidRPr="00F54D43">
              <w:rPr>
                <w:rFonts w:ascii="Palatino Linotype" w:hAnsi="Palatino Linotype"/>
                <w:b/>
                <w:i/>
                <w:color w:val="000000"/>
              </w:rPr>
              <w:t xml:space="preserve">No  </w:t>
            </w:r>
          </w:p>
          <w:p w:rsidR="00C917E7" w:rsidRPr="00F54D43" w:rsidRDefault="00C917E7" w:rsidP="002F71F2">
            <w:pPr>
              <w:jc w:val="center"/>
              <w:rPr>
                <w:rFonts w:ascii="Palatino Linotype" w:hAnsi="Palatino Linotype"/>
                <w:i/>
                <w:color w:val="000000"/>
              </w:rPr>
            </w:pPr>
          </w:p>
        </w:tc>
      </w:tr>
    </w:tbl>
    <w:p w:rsidR="00C917E7" w:rsidRPr="00F54D43" w:rsidRDefault="00C917E7" w:rsidP="00C917E7">
      <w:pPr>
        <w:spacing w:line="360" w:lineRule="auto"/>
        <w:jc w:val="both"/>
        <w:rPr>
          <w:rFonts w:ascii="Palatino Linotype" w:hAnsi="Palatino Linotype" w:cs="Arial"/>
          <w:lang w:val="es-ES_tradnl" w:eastAsia="es-MX"/>
        </w:rPr>
      </w:pP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rPr>
        <w:t xml:space="preserve">Ahora bien, en atención a lo dispuesto por los artículos 3, fracción XI y 12 </w:t>
      </w:r>
      <w:r w:rsidRPr="00F54D43">
        <w:rPr>
          <w:rFonts w:ascii="Palatino Linotype" w:hAnsi="Palatino Linotype" w:cs="Arial"/>
          <w:bCs/>
        </w:rPr>
        <w:t>de la Ley de Transparencia y Acceso a la Información Pública del Estado de México y Municipios</w:t>
      </w:r>
      <w:r w:rsidRPr="00F54D43">
        <w:rPr>
          <w:rFonts w:ascii="Palatino Linotype" w:hAnsi="Palatino Linotype" w:cs="Arial"/>
        </w:rPr>
        <w:t>, los cuales son del tenor literal siguiente:</w:t>
      </w:r>
    </w:p>
    <w:p w:rsidR="00C917E7" w:rsidRPr="00F54D43" w:rsidRDefault="00C917E7" w:rsidP="00C917E7">
      <w:pPr>
        <w:ind w:left="567" w:right="567"/>
        <w:jc w:val="both"/>
        <w:rPr>
          <w:rFonts w:ascii="Palatino Linotype" w:hAnsi="Palatino Linotype"/>
        </w:rPr>
      </w:pPr>
    </w:p>
    <w:p w:rsidR="00C917E7" w:rsidRPr="00F54D43" w:rsidRDefault="00C917E7" w:rsidP="00C917E7">
      <w:pPr>
        <w:ind w:left="851" w:right="851"/>
        <w:jc w:val="both"/>
        <w:rPr>
          <w:rFonts w:ascii="Palatino Linotype" w:hAnsi="Palatino Linotype"/>
          <w:i/>
        </w:rPr>
      </w:pPr>
      <w:r w:rsidRPr="00F54D43">
        <w:rPr>
          <w:rFonts w:ascii="Palatino Linotype" w:hAnsi="Palatino Linotype"/>
          <w:b/>
          <w:bCs/>
          <w:i/>
        </w:rPr>
        <w:t xml:space="preserve">Artículo 3.- </w:t>
      </w:r>
      <w:r w:rsidRPr="00F54D43">
        <w:rPr>
          <w:rFonts w:ascii="Palatino Linotype" w:hAnsi="Palatino Linotype"/>
          <w:i/>
        </w:rPr>
        <w:t>Para los efectos de la presente Ley se entenderá por:</w:t>
      </w:r>
    </w:p>
    <w:p w:rsidR="00C917E7" w:rsidRPr="00F54D43" w:rsidRDefault="00C917E7" w:rsidP="00C917E7">
      <w:pPr>
        <w:ind w:left="851" w:right="851"/>
        <w:jc w:val="both"/>
        <w:rPr>
          <w:rFonts w:ascii="Palatino Linotype" w:hAnsi="Palatino Linotype"/>
          <w:i/>
        </w:rPr>
      </w:pPr>
      <w:r w:rsidRPr="00F54D43">
        <w:rPr>
          <w:rFonts w:ascii="Palatino Linotype" w:hAnsi="Palatino Linotype"/>
          <w:i/>
        </w:rPr>
        <w:t>…</w:t>
      </w:r>
    </w:p>
    <w:p w:rsidR="00C917E7" w:rsidRPr="00F54D43" w:rsidRDefault="00C917E7" w:rsidP="00C917E7">
      <w:pPr>
        <w:ind w:left="851" w:right="851"/>
        <w:jc w:val="both"/>
        <w:rPr>
          <w:rFonts w:ascii="Palatino Linotype" w:hAnsi="Palatino Linotype"/>
          <w:i/>
        </w:rPr>
      </w:pPr>
      <w:r w:rsidRPr="00F54D43">
        <w:rPr>
          <w:rFonts w:ascii="Palatino Linotype" w:hAnsi="Palatino Linotype"/>
          <w:b/>
          <w:i/>
        </w:rPr>
        <w:t>XI.</w:t>
      </w:r>
      <w:r w:rsidRPr="00F54D43">
        <w:rPr>
          <w:rFonts w:ascii="Palatino Linotype" w:hAnsi="Palatino Linotype"/>
          <w:i/>
        </w:rPr>
        <w:t xml:space="preserve"> </w:t>
      </w:r>
      <w:r w:rsidRPr="00F54D43">
        <w:rPr>
          <w:rFonts w:ascii="Palatino Linotype" w:hAnsi="Palatino Linotype"/>
          <w:b/>
          <w:i/>
        </w:rPr>
        <w:t>Documento:</w:t>
      </w:r>
      <w:r w:rsidRPr="00F54D43">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F54D43">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F54D43">
        <w:rPr>
          <w:rFonts w:ascii="Palatino Linotype" w:hAnsi="Palatino Linotype"/>
          <w:i/>
        </w:rPr>
        <w:t xml:space="preserve"> Los documentos podrán estar en cualquier medio, sea escrito, impreso, sonoro, visual, electrónico, informático u holográfico;</w:t>
      </w:r>
    </w:p>
    <w:p w:rsidR="00C917E7" w:rsidRPr="00F54D43" w:rsidRDefault="00C917E7" w:rsidP="00C917E7">
      <w:pPr>
        <w:ind w:left="851" w:right="851"/>
        <w:jc w:val="both"/>
        <w:rPr>
          <w:rFonts w:ascii="Palatino Linotype" w:hAnsi="Palatino Linotype"/>
          <w:i/>
        </w:rPr>
      </w:pPr>
    </w:p>
    <w:p w:rsidR="00C917E7" w:rsidRPr="00F54D43" w:rsidRDefault="00C917E7" w:rsidP="00C917E7">
      <w:pPr>
        <w:ind w:left="851" w:right="851"/>
        <w:jc w:val="both"/>
        <w:rPr>
          <w:rFonts w:ascii="Palatino Linotype" w:hAnsi="Palatino Linotype"/>
          <w:bCs/>
          <w:i/>
        </w:rPr>
      </w:pPr>
      <w:r w:rsidRPr="00F54D43">
        <w:rPr>
          <w:rFonts w:ascii="Palatino Linotype" w:hAnsi="Palatino Linotype"/>
          <w:b/>
          <w:bCs/>
          <w:i/>
        </w:rPr>
        <w:t>Artículo 4.</w:t>
      </w:r>
      <w:r w:rsidRPr="00F54D43">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C917E7" w:rsidRPr="00F54D43" w:rsidRDefault="00C917E7" w:rsidP="00C917E7">
      <w:pPr>
        <w:ind w:left="851" w:right="851"/>
        <w:jc w:val="both"/>
        <w:rPr>
          <w:rFonts w:ascii="Palatino Linotype" w:hAnsi="Palatino Linotype"/>
          <w:bCs/>
          <w:i/>
        </w:rPr>
      </w:pPr>
    </w:p>
    <w:p w:rsidR="00C917E7" w:rsidRPr="00F54D43" w:rsidRDefault="00C917E7" w:rsidP="00C917E7">
      <w:pPr>
        <w:ind w:left="851" w:right="851"/>
        <w:jc w:val="both"/>
        <w:rPr>
          <w:rFonts w:ascii="Palatino Linotype" w:hAnsi="Palatino Linotype"/>
          <w:bCs/>
          <w:i/>
        </w:rPr>
      </w:pPr>
      <w:r w:rsidRPr="00F54D43">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F54D43">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917E7" w:rsidRPr="00F54D43" w:rsidRDefault="00C917E7" w:rsidP="00C917E7">
      <w:pPr>
        <w:ind w:left="851" w:right="851"/>
        <w:jc w:val="both"/>
        <w:rPr>
          <w:rFonts w:ascii="Palatino Linotype" w:hAnsi="Palatino Linotype"/>
          <w:bCs/>
          <w:i/>
        </w:rPr>
      </w:pPr>
    </w:p>
    <w:p w:rsidR="00C917E7" w:rsidRPr="00F54D43" w:rsidRDefault="00C917E7" w:rsidP="00C917E7">
      <w:pPr>
        <w:ind w:left="851" w:right="851"/>
        <w:jc w:val="both"/>
        <w:rPr>
          <w:rFonts w:ascii="Palatino Linotype" w:hAnsi="Palatino Linotype"/>
          <w:bCs/>
          <w:i/>
        </w:rPr>
      </w:pPr>
      <w:r w:rsidRPr="00F54D43">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C917E7" w:rsidRPr="00F54D43" w:rsidRDefault="00C917E7" w:rsidP="00C917E7">
      <w:pPr>
        <w:ind w:left="851" w:right="851"/>
        <w:jc w:val="both"/>
        <w:rPr>
          <w:rFonts w:ascii="Palatino Linotype" w:hAnsi="Palatino Linotype"/>
          <w:i/>
        </w:rPr>
      </w:pPr>
    </w:p>
    <w:p w:rsidR="00C917E7" w:rsidRPr="00F54D43" w:rsidRDefault="00C917E7" w:rsidP="00C917E7">
      <w:pPr>
        <w:ind w:left="851" w:right="851"/>
        <w:jc w:val="both"/>
        <w:rPr>
          <w:rFonts w:ascii="Palatino Linotype" w:hAnsi="Palatino Linotype"/>
          <w:i/>
        </w:rPr>
      </w:pPr>
      <w:r w:rsidRPr="00F54D43">
        <w:rPr>
          <w:rFonts w:ascii="Palatino Linotype" w:hAnsi="Palatino Linotype"/>
          <w:b/>
          <w:i/>
        </w:rPr>
        <w:lastRenderedPageBreak/>
        <w:t>Artículo 12.</w:t>
      </w:r>
      <w:r w:rsidRPr="00F54D43">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C917E7" w:rsidRPr="00F54D43" w:rsidRDefault="00C917E7" w:rsidP="00C917E7">
      <w:pPr>
        <w:ind w:left="851" w:right="851"/>
        <w:jc w:val="both"/>
        <w:rPr>
          <w:rFonts w:ascii="Palatino Linotype" w:hAnsi="Palatino Linotype"/>
          <w:i/>
        </w:rPr>
      </w:pPr>
    </w:p>
    <w:p w:rsidR="00C917E7" w:rsidRPr="00F54D43" w:rsidRDefault="00C917E7" w:rsidP="00C917E7">
      <w:pPr>
        <w:ind w:left="851" w:right="851"/>
        <w:jc w:val="both"/>
        <w:rPr>
          <w:rFonts w:ascii="Palatino Linotype" w:hAnsi="Palatino Linotype"/>
          <w:i/>
          <w:u w:val="single"/>
        </w:rPr>
      </w:pPr>
      <w:r w:rsidRPr="00F54D43">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F54D43">
        <w:rPr>
          <w:rFonts w:ascii="Palatino Linotype" w:hAnsi="Palatino Linotype"/>
          <w:i/>
        </w:rPr>
        <w:t>.</w:t>
      </w:r>
    </w:p>
    <w:p w:rsidR="00C917E7" w:rsidRPr="00F54D43" w:rsidRDefault="00C917E7" w:rsidP="00C917E7">
      <w:pPr>
        <w:jc w:val="both"/>
        <w:rPr>
          <w:rFonts w:ascii="Palatino Linotype" w:hAnsi="Palatino Linotype"/>
        </w:rPr>
      </w:pPr>
    </w:p>
    <w:p w:rsidR="00C917E7" w:rsidRPr="00F54D43" w:rsidRDefault="00C917E7" w:rsidP="00C917E7">
      <w:pPr>
        <w:spacing w:line="360" w:lineRule="auto"/>
        <w:jc w:val="both"/>
        <w:rPr>
          <w:rFonts w:ascii="Palatino Linotype" w:eastAsia="Calibri" w:hAnsi="Palatino Linotype" w:cs="Arial"/>
          <w:color w:val="000000"/>
          <w:lang w:val="es-ES_tradnl" w:eastAsia="es-MX"/>
        </w:rPr>
      </w:pPr>
    </w:p>
    <w:p w:rsidR="00C917E7" w:rsidRPr="00F54D43" w:rsidRDefault="00C917E7" w:rsidP="00C917E7">
      <w:pPr>
        <w:spacing w:line="360" w:lineRule="auto"/>
        <w:jc w:val="both"/>
        <w:rPr>
          <w:rFonts w:ascii="Palatino Linotype" w:eastAsia="Calibri" w:hAnsi="Palatino Linotype" w:cs="Arial"/>
          <w:color w:val="000000"/>
          <w:lang w:val="es-ES_tradnl" w:eastAsia="es-MX"/>
        </w:rPr>
      </w:pPr>
      <w:r w:rsidRPr="00F54D43">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F54D43">
        <w:rPr>
          <w:rFonts w:ascii="Palatino Linotype" w:eastAsia="Calibri" w:hAnsi="Palatino Linotype" w:cs="Arial"/>
          <w:b/>
          <w:color w:val="000000"/>
          <w:lang w:val="es-ES_tradnl" w:eastAsia="es-MX"/>
        </w:rPr>
        <w:t xml:space="preserve"> </w:t>
      </w:r>
      <w:r w:rsidRPr="00F54D43">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F54D43">
        <w:rPr>
          <w:rFonts w:ascii="Palatino Linotype" w:eastAsia="Calibri" w:hAnsi="Palatino Linotype" w:cs="Arial"/>
          <w:i/>
          <w:color w:val="000000"/>
          <w:lang w:val="es-ES_tradnl" w:eastAsia="es-MX"/>
        </w:rPr>
        <w:t>ad hoc</w:t>
      </w:r>
      <w:r w:rsidRPr="00F54D43">
        <w:rPr>
          <w:rFonts w:ascii="Palatino Linotype" w:eastAsia="Calibri" w:hAnsi="Palatino Linotype" w:cs="Arial"/>
          <w:color w:val="000000"/>
          <w:lang w:val="es-ES_tradnl" w:eastAsia="es-MX"/>
        </w:rPr>
        <w:t>, para satisfacer el derecho de acceso a la información pública.</w:t>
      </w:r>
    </w:p>
    <w:p w:rsidR="00C917E7" w:rsidRPr="00F54D43" w:rsidRDefault="00C917E7" w:rsidP="00C917E7">
      <w:pPr>
        <w:spacing w:line="360" w:lineRule="auto"/>
        <w:jc w:val="both"/>
        <w:rPr>
          <w:rFonts w:ascii="Palatino Linotype" w:hAnsi="Palatino Linotype" w:cs="Arial"/>
          <w:noProof/>
          <w:color w:val="000000"/>
          <w:lang w:eastAsia="es-MX"/>
        </w:rPr>
      </w:pPr>
    </w:p>
    <w:p w:rsidR="00C917E7" w:rsidRPr="00F54D43" w:rsidRDefault="00C917E7" w:rsidP="00C917E7">
      <w:pPr>
        <w:spacing w:line="360" w:lineRule="auto"/>
        <w:jc w:val="both"/>
        <w:rPr>
          <w:rFonts w:ascii="Palatino Linotype" w:hAnsi="Palatino Linotype" w:cs="Palatino Linotype"/>
          <w:b/>
          <w:i/>
          <w:color w:val="000000"/>
          <w:sz w:val="28"/>
        </w:rPr>
      </w:pPr>
      <w:r w:rsidRPr="00F54D43">
        <w:rPr>
          <w:rFonts w:ascii="Palatino Linotype" w:hAnsi="Palatino Linotype" w:cs="Palatino Linotype"/>
          <w:b/>
          <w:i/>
          <w:color w:val="000000"/>
          <w:sz w:val="28"/>
        </w:rPr>
        <w:t xml:space="preserve">De la Versión Pública </w:t>
      </w:r>
    </w:p>
    <w:p w:rsidR="00C917E7" w:rsidRPr="00F54D43" w:rsidRDefault="00C917E7" w:rsidP="00C917E7">
      <w:pPr>
        <w:tabs>
          <w:tab w:val="left" w:pos="7938"/>
        </w:tabs>
        <w:spacing w:before="240" w:after="240" w:line="360" w:lineRule="auto"/>
        <w:jc w:val="both"/>
        <w:rPr>
          <w:rFonts w:ascii="Palatino Linotype" w:eastAsia="Arial Unicode MS" w:hAnsi="Palatino Linotype" w:cs="Arial"/>
          <w:lang w:val="es-ES_tradnl" w:eastAsia="es-MX"/>
        </w:rPr>
      </w:pPr>
      <w:r w:rsidRPr="00F54D43">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F54D43">
        <w:rPr>
          <w:rFonts w:ascii="Palatino Linotype" w:eastAsia="Arial Unicode MS" w:hAnsi="Palatino Linotype" w:cs="Arial"/>
          <w:lang w:val="es-ES_tradnl" w:eastAsia="es-MX"/>
        </w:rPr>
        <w:lastRenderedPageBreak/>
        <w:t>el derecho a la protección de datos personales, cuyo fundamento legal aplicable se encuentra inmerso en los numerales de la Ley de la materia, que a la letra esgrimen:</w:t>
      </w:r>
    </w:p>
    <w:p w:rsidR="00C917E7" w:rsidRPr="00F54D43" w:rsidRDefault="00C917E7" w:rsidP="00C917E7">
      <w:pPr>
        <w:spacing w:before="240" w:line="360" w:lineRule="auto"/>
        <w:ind w:left="851" w:right="851"/>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“Artículo 3. Para los efectos de la presente Ley se entenderá por:</w:t>
      </w:r>
    </w:p>
    <w:p w:rsidR="00C917E7" w:rsidRPr="00F54D43" w:rsidRDefault="00C917E7" w:rsidP="00C917E7">
      <w:pPr>
        <w:spacing w:before="240" w:line="360" w:lineRule="auto"/>
        <w:ind w:left="851" w:right="851"/>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w:t>
      </w:r>
    </w:p>
    <w:p w:rsidR="00C917E7" w:rsidRPr="00F54D43" w:rsidRDefault="00C917E7" w:rsidP="00C917E7">
      <w:pPr>
        <w:spacing w:before="240" w:line="360" w:lineRule="auto"/>
        <w:ind w:left="851" w:right="851"/>
        <w:jc w:val="both"/>
        <w:rPr>
          <w:rFonts w:ascii="Palatino Linotype" w:eastAsia="Calibri" w:hAnsi="Palatino Linotype" w:cs="Arial"/>
          <w:b/>
          <w:i/>
          <w:lang w:val="es-ES_tradnl" w:eastAsia="es-MX"/>
        </w:rPr>
      </w:pPr>
      <w:r w:rsidRPr="00F54D43">
        <w:rPr>
          <w:rFonts w:ascii="Palatino Linotype" w:eastAsia="Calibri" w:hAnsi="Palatino Linotype" w:cs="Arial"/>
          <w:b/>
          <w:i/>
          <w:u w:val="single"/>
          <w:lang w:val="es-ES_tradnl" w:eastAsia="es-MX"/>
        </w:rPr>
        <w:t>IX. Datos personales:</w:t>
      </w:r>
      <w:r w:rsidRPr="00F54D43">
        <w:rPr>
          <w:rFonts w:ascii="Palatino Linotype" w:eastAsia="Calibri" w:hAnsi="Palatino Linotype" w:cs="Arial"/>
          <w:b/>
          <w:i/>
          <w:lang w:val="es-ES_tradnl" w:eastAsia="es-MX"/>
        </w:rPr>
        <w:t xml:space="preserve"> </w:t>
      </w:r>
      <w:r w:rsidRPr="00F54D43">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C917E7" w:rsidRPr="00F54D43" w:rsidRDefault="00C917E7" w:rsidP="00C917E7">
      <w:pPr>
        <w:spacing w:before="240" w:line="360" w:lineRule="auto"/>
        <w:ind w:left="851" w:right="851"/>
        <w:jc w:val="both"/>
        <w:rPr>
          <w:rFonts w:ascii="Palatino Linotype" w:eastAsia="Calibri" w:hAnsi="Palatino Linotype" w:cs="Arial"/>
          <w:b/>
          <w:i/>
          <w:lang w:val="es-ES_tradnl" w:eastAsia="es-MX"/>
        </w:rPr>
      </w:pPr>
      <w:r w:rsidRPr="00F54D43">
        <w:rPr>
          <w:rFonts w:ascii="Palatino Linotype" w:eastAsia="Calibri" w:hAnsi="Palatino Linotype" w:cs="Arial"/>
          <w:b/>
          <w:i/>
          <w:lang w:val="es-ES_tradnl" w:eastAsia="es-MX"/>
        </w:rPr>
        <w:t>(…)</w:t>
      </w:r>
    </w:p>
    <w:p w:rsidR="00C917E7" w:rsidRPr="00F54D43" w:rsidRDefault="00C917E7" w:rsidP="00C917E7">
      <w:pPr>
        <w:spacing w:before="240" w:line="360" w:lineRule="auto"/>
        <w:ind w:left="851" w:right="851"/>
        <w:jc w:val="both"/>
        <w:rPr>
          <w:rFonts w:ascii="Palatino Linotype" w:eastAsia="Calibri" w:hAnsi="Palatino Linotype" w:cs="Arial"/>
          <w:b/>
          <w:i/>
          <w:lang w:val="es-ES_tradnl" w:eastAsia="es-MX"/>
        </w:rPr>
      </w:pPr>
      <w:r w:rsidRPr="00F54D43">
        <w:rPr>
          <w:rFonts w:ascii="Palatino Linotype" w:eastAsia="Calibri" w:hAnsi="Palatino Linotype" w:cs="Arial"/>
          <w:b/>
          <w:i/>
          <w:u w:val="single"/>
          <w:lang w:val="es-ES_tradnl" w:eastAsia="es-MX"/>
        </w:rPr>
        <w:t>XLV. Versión pública:</w:t>
      </w:r>
      <w:r w:rsidRPr="00F54D43">
        <w:rPr>
          <w:rFonts w:ascii="Palatino Linotype" w:eastAsia="Calibri" w:hAnsi="Palatino Linotype" w:cs="Arial"/>
          <w:b/>
          <w:i/>
          <w:lang w:val="es-ES_tradnl" w:eastAsia="es-MX"/>
        </w:rPr>
        <w:t xml:space="preserve"> </w:t>
      </w:r>
      <w:r w:rsidRPr="00F54D43">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C917E7" w:rsidRPr="00F54D43" w:rsidRDefault="00C917E7" w:rsidP="00C917E7">
      <w:pPr>
        <w:spacing w:before="240" w:line="360" w:lineRule="auto"/>
        <w:ind w:left="851" w:right="851"/>
        <w:jc w:val="both"/>
        <w:rPr>
          <w:rFonts w:ascii="Palatino Linotype" w:eastAsia="Calibri" w:hAnsi="Palatino Linotype" w:cs="Arial"/>
          <w:b/>
          <w:i/>
          <w:lang w:val="es-ES_tradnl" w:eastAsia="es-MX"/>
        </w:rPr>
      </w:pPr>
      <w:r w:rsidRPr="00F54D43">
        <w:rPr>
          <w:rFonts w:ascii="Palatino Linotype" w:eastAsia="Calibri" w:hAnsi="Palatino Linotype" w:cs="Arial"/>
          <w:i/>
          <w:lang w:val="es-ES_tradnl" w:eastAsia="es-MX"/>
        </w:rPr>
        <w:t xml:space="preserve">Artículo 122. </w:t>
      </w:r>
      <w:r w:rsidRPr="00F54D43">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C917E7" w:rsidRPr="00F54D43" w:rsidRDefault="00C917E7" w:rsidP="00C917E7">
      <w:pPr>
        <w:spacing w:before="240" w:line="360" w:lineRule="auto"/>
        <w:ind w:left="851" w:right="851"/>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w:t>
      </w:r>
    </w:p>
    <w:p w:rsidR="00C917E7" w:rsidRPr="00F54D43" w:rsidRDefault="00C917E7" w:rsidP="00C917E7">
      <w:pPr>
        <w:spacing w:before="240" w:line="360" w:lineRule="auto"/>
        <w:ind w:left="851" w:right="851"/>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Artículo 132. La clasificación de la información se llevará a cabo en el momento en que:</w:t>
      </w:r>
    </w:p>
    <w:p w:rsidR="00C917E7" w:rsidRPr="00F54D43" w:rsidRDefault="00C917E7" w:rsidP="00C917E7">
      <w:pPr>
        <w:spacing w:before="240" w:line="360" w:lineRule="auto"/>
        <w:ind w:left="851" w:right="851"/>
        <w:jc w:val="both"/>
        <w:rPr>
          <w:rFonts w:ascii="Palatino Linotype" w:eastAsia="Calibri" w:hAnsi="Palatino Linotype" w:cs="Arial"/>
          <w:i/>
          <w:lang w:val="es-ES_tradnl" w:eastAsia="es-MX"/>
        </w:rPr>
      </w:pPr>
      <w:r w:rsidRPr="00F54D43">
        <w:rPr>
          <w:rFonts w:ascii="Palatino Linotype" w:eastAsia="Calibri" w:hAnsi="Palatino Linotype" w:cs="Arial"/>
          <w:i/>
          <w:lang w:val="es-ES_tradnl" w:eastAsia="es-MX"/>
        </w:rPr>
        <w:t>[…]</w:t>
      </w:r>
    </w:p>
    <w:p w:rsidR="00C917E7" w:rsidRPr="00F54D43" w:rsidRDefault="00C917E7" w:rsidP="00C917E7">
      <w:pPr>
        <w:spacing w:before="240" w:line="360" w:lineRule="auto"/>
        <w:ind w:left="851" w:right="851"/>
        <w:jc w:val="both"/>
        <w:rPr>
          <w:rFonts w:ascii="Palatino Linotype" w:eastAsia="Calibri" w:hAnsi="Palatino Linotype" w:cs="Arial"/>
          <w:b/>
          <w:i/>
          <w:u w:val="single"/>
          <w:lang w:val="es-ES_tradnl" w:eastAsia="es-MX"/>
        </w:rPr>
      </w:pPr>
      <w:r w:rsidRPr="00F54D43">
        <w:rPr>
          <w:rFonts w:ascii="Palatino Linotype" w:eastAsia="Calibri" w:hAnsi="Palatino Linotype" w:cs="Arial"/>
          <w:b/>
          <w:i/>
          <w:u w:val="single"/>
          <w:lang w:val="es-ES_tradnl" w:eastAsia="es-MX"/>
        </w:rPr>
        <w:t>II. Se determine mediante resolución de autoridad competente; o</w:t>
      </w:r>
    </w:p>
    <w:p w:rsidR="00C917E7" w:rsidRPr="00F54D43" w:rsidRDefault="00C917E7" w:rsidP="00C917E7">
      <w:pPr>
        <w:spacing w:before="240" w:line="360" w:lineRule="auto"/>
        <w:ind w:left="851" w:right="851"/>
        <w:jc w:val="both"/>
        <w:rPr>
          <w:rFonts w:ascii="Palatino Linotype" w:eastAsia="Calibri" w:hAnsi="Palatino Linotype" w:cs="Arial"/>
          <w:b/>
          <w:i/>
          <w:lang w:val="es-ES_tradnl" w:eastAsia="es-MX"/>
        </w:rPr>
      </w:pPr>
      <w:r w:rsidRPr="00F54D43">
        <w:rPr>
          <w:rFonts w:ascii="Palatino Linotype" w:eastAsia="Calibri" w:hAnsi="Palatino Linotype" w:cs="Arial"/>
          <w:b/>
          <w:i/>
          <w:lang w:val="es-ES_tradnl" w:eastAsia="es-MX"/>
        </w:rPr>
        <w:lastRenderedPageBreak/>
        <w:t>(…)</w:t>
      </w:r>
    </w:p>
    <w:p w:rsidR="00C917E7" w:rsidRPr="00F54D43" w:rsidRDefault="00C917E7" w:rsidP="00C917E7">
      <w:pPr>
        <w:spacing w:before="240" w:line="360" w:lineRule="auto"/>
        <w:ind w:left="851" w:right="851"/>
        <w:jc w:val="both"/>
        <w:rPr>
          <w:rFonts w:ascii="Palatino Linotype" w:eastAsia="Calibri" w:hAnsi="Palatino Linotype" w:cs="Arial"/>
          <w:b/>
          <w:i/>
          <w:lang w:val="es-ES_tradnl" w:eastAsia="es-MX"/>
        </w:rPr>
      </w:pPr>
      <w:r w:rsidRPr="00F54D43">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F54D43">
        <w:rPr>
          <w:rFonts w:ascii="Palatino Linotype" w:eastAsia="Calibri" w:hAnsi="Palatino Linotype" w:cs="Arial"/>
          <w:b/>
          <w:i/>
          <w:lang w:val="es-ES_tradnl" w:eastAsia="es-MX"/>
        </w:rPr>
        <w:t xml:space="preserve"> </w:t>
      </w:r>
      <w:r w:rsidRPr="00F54D43">
        <w:rPr>
          <w:rFonts w:ascii="Palatino Linotype" w:eastAsia="Calibri" w:hAnsi="Palatino Linotype" w:cs="Arial"/>
          <w:b/>
          <w:i/>
          <w:u w:val="single"/>
          <w:lang w:val="es-ES_tradnl" w:eastAsia="es-MX"/>
        </w:rPr>
        <w:t xml:space="preserve">de manera genérica y fundando y motivando su clasificación.” </w:t>
      </w:r>
      <w:r w:rsidRPr="00F54D43">
        <w:rPr>
          <w:rFonts w:ascii="Palatino Linotype" w:eastAsia="Calibri" w:hAnsi="Palatino Linotype" w:cs="Arial"/>
          <w:b/>
          <w:i/>
          <w:lang w:val="es-ES_tradnl" w:eastAsia="es-MX"/>
        </w:rPr>
        <w:t>[Sic]</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line="360" w:lineRule="auto"/>
        <w:ind w:right="51"/>
        <w:jc w:val="both"/>
        <w:rPr>
          <w:rFonts w:ascii="Palatino Linotype" w:eastAsiaTheme="minorHAnsi" w:hAnsi="Palatino Linotype" w:cstheme="minorBidi"/>
          <w:lang w:val="es-MX" w:eastAsia="en-US"/>
        </w:rPr>
      </w:pPr>
      <w:r w:rsidRPr="00F54D43">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F54D43">
        <w:rPr>
          <w:rFonts w:ascii="Palatino Linotype" w:eastAsiaTheme="minorHAnsi" w:hAnsi="Palatino Linotype" w:cstheme="minorBidi"/>
          <w:b/>
          <w:lang w:val="es-MX" w:eastAsia="en-US"/>
        </w:rPr>
        <w:t>el Recurrente</w:t>
      </w:r>
      <w:r w:rsidRPr="00F54D43">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F54D43">
        <w:rPr>
          <w:rFonts w:ascii="Palatino Linotype" w:eastAsiaTheme="minorHAnsi" w:hAnsi="Palatino Linotype" w:cstheme="minorBidi"/>
          <w:b/>
          <w:lang w:val="es-MX" w:eastAsia="en-US"/>
        </w:rPr>
        <w:t xml:space="preserve">REVOCA </w:t>
      </w:r>
      <w:r w:rsidRPr="00F54D43">
        <w:rPr>
          <w:rFonts w:ascii="Palatino Linotype" w:eastAsiaTheme="minorHAnsi" w:hAnsi="Palatino Linotype" w:cstheme="minorBidi"/>
          <w:lang w:val="es-MX" w:eastAsia="en-US"/>
        </w:rPr>
        <w:t xml:space="preserve">la respuesta emitida a la solicitud de información </w:t>
      </w:r>
      <w:r w:rsidRPr="00F54D43">
        <w:rPr>
          <w:rFonts w:ascii="Palatino Linotype" w:hAnsi="Palatino Linotype"/>
          <w:b/>
          <w:bCs/>
        </w:rPr>
        <w:t>00139/TEPOTZOT/IP/2026</w:t>
      </w:r>
      <w:r w:rsidRPr="00F54D43">
        <w:rPr>
          <w:rFonts w:ascii="Palatino Linotype" w:eastAsiaTheme="minorHAnsi" w:hAnsi="Palatino Linotype"/>
          <w:b/>
          <w:bCs/>
        </w:rPr>
        <w:t>,</w:t>
      </w:r>
      <w:r w:rsidRPr="00F54D43">
        <w:rPr>
          <w:rFonts w:ascii="Palatino Linotype" w:eastAsiaTheme="minorHAnsi" w:hAnsi="Palatino Linotype" w:cs="Arial"/>
          <w:lang w:val="es-MX" w:eastAsia="en-US"/>
        </w:rPr>
        <w:t xml:space="preserve"> </w:t>
      </w:r>
      <w:r w:rsidRPr="00F54D43">
        <w:rPr>
          <w:rFonts w:ascii="Palatino Linotype" w:eastAsiaTheme="minorHAnsi" w:hAnsi="Palatino Linotype" w:cstheme="minorBidi"/>
          <w:lang w:val="es-MX" w:eastAsia="en-US"/>
        </w:rPr>
        <w:t>que ha sido materia del presente fallo.</w:t>
      </w:r>
    </w:p>
    <w:p w:rsidR="00C917E7" w:rsidRPr="00F54D43" w:rsidRDefault="00C917E7" w:rsidP="00C917E7">
      <w:pPr>
        <w:spacing w:line="360" w:lineRule="auto"/>
        <w:jc w:val="both"/>
        <w:rPr>
          <w:rFonts w:ascii="Palatino Linotype" w:eastAsiaTheme="minorHAnsi" w:hAnsi="Palatino Linotype" w:cstheme="minorBidi"/>
          <w:lang w:val="es-MX" w:eastAsia="en-US"/>
        </w:rPr>
      </w:pPr>
    </w:p>
    <w:p w:rsidR="00C917E7" w:rsidRPr="00F54D43" w:rsidRDefault="00C917E7" w:rsidP="00C917E7">
      <w:pPr>
        <w:spacing w:line="360" w:lineRule="auto"/>
        <w:jc w:val="both"/>
        <w:rPr>
          <w:rFonts w:ascii="Palatino Linotype" w:hAnsi="Palatino Linotype"/>
          <w:lang w:val="es-MX"/>
        </w:rPr>
      </w:pPr>
      <w:r w:rsidRPr="00F54D43">
        <w:rPr>
          <w:rFonts w:ascii="Palatino Linotype" w:hAnsi="Palatino Linotype"/>
          <w:lang w:val="es-MX"/>
        </w:rPr>
        <w:t>Por lo antes expuesto y fundado es de resolverse y,</w:t>
      </w:r>
    </w:p>
    <w:p w:rsidR="00C917E7" w:rsidRPr="00F54D43" w:rsidRDefault="00C917E7" w:rsidP="00C917E7">
      <w:pPr>
        <w:spacing w:line="360" w:lineRule="auto"/>
        <w:jc w:val="both"/>
        <w:rPr>
          <w:rFonts w:ascii="Palatino Linotype" w:hAnsi="Palatino Linotype"/>
          <w:lang w:val="es-MX"/>
        </w:rPr>
      </w:pPr>
    </w:p>
    <w:p w:rsidR="00C917E7" w:rsidRPr="00F54D43" w:rsidRDefault="00C917E7" w:rsidP="00C917E7">
      <w:pPr>
        <w:spacing w:line="360" w:lineRule="auto"/>
        <w:jc w:val="center"/>
        <w:rPr>
          <w:rFonts w:ascii="Palatino Linotype" w:hAnsi="Palatino Linotype"/>
          <w:bCs/>
          <w:spacing w:val="60"/>
          <w:lang w:val="es-ES_tradnl"/>
        </w:rPr>
      </w:pPr>
      <w:r w:rsidRPr="00F54D43">
        <w:rPr>
          <w:rFonts w:ascii="Palatino Linotype" w:hAnsi="Palatino Linotype"/>
          <w:b/>
          <w:bCs/>
          <w:spacing w:val="60"/>
          <w:sz w:val="28"/>
          <w:lang w:val="es-ES_tradnl"/>
        </w:rPr>
        <w:t>SE    RESUELVE</w:t>
      </w: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b/>
          <w:sz w:val="28"/>
          <w:szCs w:val="28"/>
        </w:rPr>
        <w:t>PRIMERO</w:t>
      </w:r>
      <w:r w:rsidRPr="00F54D43">
        <w:rPr>
          <w:rFonts w:ascii="Palatino Linotype" w:hAnsi="Palatino Linotype" w:cs="Arial"/>
          <w:sz w:val="32"/>
          <w:szCs w:val="28"/>
        </w:rPr>
        <w:t>.</w:t>
      </w:r>
      <w:r w:rsidRPr="00F54D43">
        <w:rPr>
          <w:rFonts w:ascii="Palatino Linotype" w:hAnsi="Palatino Linotype" w:cs="Arial"/>
        </w:rPr>
        <w:t xml:space="preserve"> Se</w:t>
      </w:r>
      <w:r w:rsidRPr="00F54D43">
        <w:rPr>
          <w:rFonts w:ascii="Palatino Linotype" w:hAnsi="Palatino Linotype" w:cs="Arial"/>
          <w:b/>
        </w:rPr>
        <w:t xml:space="preserve"> REVOCA </w:t>
      </w:r>
      <w:r w:rsidRPr="00F54D43">
        <w:rPr>
          <w:rFonts w:ascii="Palatino Linotype" w:hAnsi="Palatino Linotype" w:cs="Arial"/>
        </w:rPr>
        <w:t xml:space="preserve">la respuesta del </w:t>
      </w:r>
      <w:r w:rsidRPr="00F54D43">
        <w:rPr>
          <w:rFonts w:ascii="Palatino Linotype" w:hAnsi="Palatino Linotype" w:cs="Arial"/>
          <w:b/>
        </w:rPr>
        <w:t>Sujeto Obligado</w:t>
      </w:r>
      <w:r w:rsidRPr="00F54D43">
        <w:rPr>
          <w:rFonts w:ascii="Palatino Linotype" w:hAnsi="Palatino Linotype" w:cs="Arial"/>
        </w:rPr>
        <w:t xml:space="preserve"> a la solicitud de acceso a la información pública</w:t>
      </w:r>
      <w:r w:rsidRPr="00F54D43">
        <w:rPr>
          <w:rFonts w:ascii="Palatino Linotype" w:hAnsi="Palatino Linotype" w:cs="Arial"/>
          <w:b/>
        </w:rPr>
        <w:t xml:space="preserve"> </w:t>
      </w:r>
      <w:r w:rsidRPr="00F54D43">
        <w:rPr>
          <w:rFonts w:ascii="Palatino Linotype" w:hAnsi="Palatino Linotype"/>
          <w:b/>
          <w:bCs/>
        </w:rPr>
        <w:t>00139/TEPOTZOT/IP/2026</w:t>
      </w:r>
      <w:r w:rsidRPr="00F54D43">
        <w:rPr>
          <w:rFonts w:ascii="Palatino Linotype" w:hAnsi="Palatino Linotype" w:cs="Arial"/>
        </w:rPr>
        <w:t>,</w:t>
      </w:r>
      <w:r w:rsidRPr="00F54D43">
        <w:rPr>
          <w:rFonts w:ascii="Palatino Linotype" w:hAnsi="Palatino Linotype" w:cs="Tahoma"/>
          <w:b/>
        </w:rPr>
        <w:t xml:space="preserve"> </w:t>
      </w:r>
      <w:r w:rsidRPr="00F54D43">
        <w:rPr>
          <w:rFonts w:ascii="Palatino Linotype" w:hAnsi="Palatino Linotype" w:cs="Arial"/>
        </w:rPr>
        <w:t>por resultar fundados</w:t>
      </w:r>
      <w:r w:rsidRPr="00F54D43">
        <w:rPr>
          <w:rFonts w:ascii="Palatino Linotype" w:hAnsi="Palatino Linotype" w:cs="Arial"/>
          <w:b/>
        </w:rPr>
        <w:t xml:space="preserve"> </w:t>
      </w:r>
      <w:r w:rsidRPr="00F54D43">
        <w:rPr>
          <w:rFonts w:ascii="Palatino Linotype" w:hAnsi="Palatino Linotype" w:cs="Arial"/>
        </w:rPr>
        <w:t xml:space="preserve">los motivos de inconformidad vertidos por la parte </w:t>
      </w:r>
      <w:r w:rsidRPr="00F54D43">
        <w:rPr>
          <w:rFonts w:ascii="Palatino Linotype" w:hAnsi="Palatino Linotype" w:cs="Arial"/>
          <w:b/>
        </w:rPr>
        <w:t>Recurrente</w:t>
      </w:r>
      <w:r w:rsidRPr="00F54D43">
        <w:rPr>
          <w:rFonts w:ascii="Palatino Linotype" w:hAnsi="Palatino Linotype" w:cs="Arial"/>
        </w:rPr>
        <w:t>, en términos del considerando</w:t>
      </w:r>
      <w:r w:rsidRPr="00F54D43">
        <w:rPr>
          <w:rFonts w:ascii="Palatino Linotype" w:hAnsi="Palatino Linotype" w:cs="Arial"/>
          <w:b/>
        </w:rPr>
        <w:t xml:space="preserve"> CUARTO </w:t>
      </w:r>
      <w:r w:rsidRPr="00F54D43">
        <w:rPr>
          <w:rFonts w:ascii="Palatino Linotype" w:hAnsi="Palatino Linotype" w:cs="Arial"/>
        </w:rPr>
        <w:t>de la presente Resolución.</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line="360" w:lineRule="auto"/>
        <w:jc w:val="both"/>
        <w:rPr>
          <w:rFonts w:ascii="Palatino Linotype" w:hAnsi="Palatino Linotype" w:cs="Tahoma"/>
        </w:rPr>
      </w:pPr>
      <w:r w:rsidRPr="00F54D43">
        <w:rPr>
          <w:rFonts w:ascii="Palatino Linotype" w:hAnsi="Palatino Linotype" w:cs="Arial"/>
          <w:b/>
          <w:sz w:val="28"/>
        </w:rPr>
        <w:lastRenderedPageBreak/>
        <w:t>SEGUNDO</w:t>
      </w:r>
      <w:r w:rsidRPr="00F54D43">
        <w:rPr>
          <w:rFonts w:ascii="Palatino Linotype" w:hAnsi="Palatino Linotype" w:cs="Arial"/>
          <w:b/>
        </w:rPr>
        <w:t>.</w:t>
      </w:r>
      <w:r w:rsidRPr="00F54D43">
        <w:rPr>
          <w:rFonts w:ascii="Palatino Linotype" w:hAnsi="Palatino Linotype" w:cs="Tahoma"/>
        </w:rPr>
        <w:t xml:space="preserve"> Se </w:t>
      </w:r>
      <w:r w:rsidRPr="00F54D43">
        <w:rPr>
          <w:rFonts w:ascii="Palatino Linotype" w:hAnsi="Palatino Linotype" w:cs="Tahoma"/>
          <w:b/>
        </w:rPr>
        <w:t>ORDENA</w:t>
      </w:r>
      <w:r w:rsidRPr="00F54D43">
        <w:rPr>
          <w:rFonts w:ascii="Palatino Linotype" w:hAnsi="Palatino Linotype" w:cs="Tahoma"/>
        </w:rPr>
        <w:t xml:space="preserve"> al </w:t>
      </w:r>
      <w:r w:rsidRPr="00F54D43">
        <w:rPr>
          <w:rFonts w:ascii="Palatino Linotype" w:hAnsi="Palatino Linotype" w:cs="Tahoma"/>
          <w:b/>
        </w:rPr>
        <w:t>Sujeto Obligado,</w:t>
      </w:r>
      <w:r w:rsidRPr="00F54D43">
        <w:rPr>
          <w:rFonts w:ascii="Palatino Linotype" w:hAnsi="Palatino Linotype" w:cs="Tahoma"/>
        </w:rPr>
        <w:t xml:space="preserve"> haga entrega a la parte </w:t>
      </w:r>
      <w:r w:rsidRPr="00F54D43">
        <w:rPr>
          <w:rFonts w:ascii="Palatino Linotype" w:hAnsi="Palatino Linotype" w:cs="Tahoma"/>
          <w:b/>
        </w:rPr>
        <w:t>Recurrente</w:t>
      </w:r>
      <w:r w:rsidRPr="00F54D43">
        <w:rPr>
          <w:rFonts w:ascii="Palatino Linotype" w:hAnsi="Palatino Linotype" w:cs="Tahoma"/>
        </w:rPr>
        <w:t>, a través del Sistema de Acceso a la Información Mexiquense (</w:t>
      </w:r>
      <w:r w:rsidRPr="00F54D43">
        <w:rPr>
          <w:rFonts w:ascii="Palatino Linotype" w:hAnsi="Palatino Linotype" w:cs="Tahoma"/>
          <w:b/>
        </w:rPr>
        <w:t>SAIMEX</w:t>
      </w:r>
      <w:r w:rsidRPr="00F54D43">
        <w:rPr>
          <w:rFonts w:ascii="Palatino Linotype" w:hAnsi="Palatino Linotype" w:cs="Tahoma"/>
        </w:rPr>
        <w:t xml:space="preserve">),  al </w:t>
      </w:r>
      <w:r w:rsidR="00EF4A62" w:rsidRPr="00F54D43">
        <w:rPr>
          <w:rFonts w:ascii="Palatino Linotype" w:hAnsi="Palatino Linotype" w:cs="Tahoma"/>
        </w:rPr>
        <w:t xml:space="preserve">doce de enero </w:t>
      </w:r>
      <w:r w:rsidRPr="00F54D43">
        <w:rPr>
          <w:rFonts w:ascii="Palatino Linotype" w:hAnsi="Palatino Linotype" w:cs="Tahoma"/>
        </w:rPr>
        <w:t xml:space="preserve">de dos mil veintiséis, </w:t>
      </w:r>
      <w:r w:rsidR="00C57951" w:rsidRPr="00F54D43">
        <w:rPr>
          <w:rFonts w:ascii="Palatino Linotype" w:hAnsi="Palatino Linotype" w:cs="Tahoma"/>
        </w:rPr>
        <w:t>documentos donde conste</w:t>
      </w:r>
      <w:r w:rsidRPr="00F54D43">
        <w:rPr>
          <w:rFonts w:ascii="Palatino Linotype" w:hAnsi="Palatino Linotype" w:cs="Tahoma"/>
        </w:rPr>
        <w:t xml:space="preserve"> lo siguiente:</w:t>
      </w:r>
    </w:p>
    <w:p w:rsidR="00C917E7" w:rsidRPr="00F54D43" w:rsidRDefault="00553396" w:rsidP="00C917E7">
      <w:pPr>
        <w:pStyle w:val="INFOEM"/>
        <w:numPr>
          <w:ilvl w:val="0"/>
          <w:numId w:val="5"/>
        </w:numPr>
        <w:spacing w:before="0" w:after="0"/>
        <w:ind w:left="709" w:right="567"/>
        <w:rPr>
          <w:rFonts w:cs="Tahoma"/>
          <w:bCs/>
          <w:i w:val="0"/>
          <w:sz w:val="24"/>
          <w:lang w:val="es-ES"/>
        </w:rPr>
      </w:pPr>
      <w:r w:rsidRPr="00F54D43">
        <w:rPr>
          <w:rFonts w:cs="Tahoma"/>
          <w:bCs/>
          <w:i w:val="0"/>
          <w:sz w:val="24"/>
          <w:lang w:val="es-ES"/>
        </w:rPr>
        <w:t>Falta o faltas administrativas graves</w:t>
      </w:r>
      <w:r w:rsidR="008C001E" w:rsidRPr="00F54D43">
        <w:rPr>
          <w:rFonts w:cs="Tahoma"/>
          <w:bCs/>
          <w:i w:val="0"/>
          <w:sz w:val="24"/>
          <w:lang w:val="es-ES"/>
        </w:rPr>
        <w:t xml:space="preserve"> por l</w:t>
      </w:r>
      <w:r w:rsidRPr="00F54D43">
        <w:rPr>
          <w:rFonts w:cs="Tahoma"/>
          <w:bCs/>
          <w:i w:val="0"/>
          <w:sz w:val="24"/>
          <w:lang w:val="es-ES"/>
        </w:rPr>
        <w:t>a</w:t>
      </w:r>
      <w:r w:rsidR="008C001E" w:rsidRPr="00F54D43">
        <w:rPr>
          <w:rFonts w:cs="Tahoma"/>
          <w:bCs/>
          <w:i w:val="0"/>
          <w:sz w:val="24"/>
          <w:lang w:val="es-ES"/>
        </w:rPr>
        <w:t xml:space="preserve">s que el Tribunal de Justicia Administrativa del Estado de México determinó la </w:t>
      </w:r>
      <w:r w:rsidR="00C917E7" w:rsidRPr="00F54D43">
        <w:rPr>
          <w:rFonts w:cs="Tahoma"/>
          <w:bCs/>
          <w:i w:val="0"/>
          <w:sz w:val="24"/>
          <w:lang w:val="es-ES"/>
        </w:rPr>
        <w:t>inhabilitación de la servidora pública referida en la solicit</w:t>
      </w:r>
      <w:r w:rsidR="008C001E" w:rsidRPr="00F54D43">
        <w:rPr>
          <w:rFonts w:cs="Tahoma"/>
          <w:bCs/>
          <w:i w:val="0"/>
          <w:sz w:val="24"/>
          <w:lang w:val="es-ES"/>
        </w:rPr>
        <w:t>ud de información</w:t>
      </w:r>
      <w:r w:rsidR="00C917E7" w:rsidRPr="00F54D43">
        <w:rPr>
          <w:rFonts w:cs="Tahoma"/>
          <w:bCs/>
          <w:i w:val="0"/>
          <w:sz w:val="24"/>
          <w:lang w:val="es-ES"/>
        </w:rPr>
        <w:t xml:space="preserve">. </w:t>
      </w:r>
    </w:p>
    <w:p w:rsidR="00C917E7" w:rsidRPr="00F54D43" w:rsidRDefault="00C917E7" w:rsidP="00C917E7">
      <w:pPr>
        <w:pStyle w:val="INFOEM"/>
        <w:spacing w:before="0" w:after="0"/>
        <w:ind w:right="567"/>
        <w:rPr>
          <w:rFonts w:cs="Tahoma"/>
          <w:bCs/>
          <w:i w:val="0"/>
          <w:sz w:val="24"/>
          <w:lang w:val="es-ES"/>
        </w:rPr>
      </w:pPr>
    </w:p>
    <w:p w:rsidR="00C917E7" w:rsidRPr="00F54D43" w:rsidRDefault="00C917E7" w:rsidP="00C917E7">
      <w:pPr>
        <w:pStyle w:val="INFOEM"/>
        <w:spacing w:before="0" w:after="0"/>
        <w:ind w:left="1080" w:right="567"/>
      </w:pPr>
      <w:r w:rsidRPr="00F54D43">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line="360" w:lineRule="auto"/>
        <w:jc w:val="both"/>
        <w:rPr>
          <w:rFonts w:ascii="Palatino Linotype" w:hAnsi="Palatino Linotype" w:cs="Tahoma"/>
          <w:bCs/>
        </w:rPr>
      </w:pPr>
      <w:r w:rsidRPr="00F54D43">
        <w:rPr>
          <w:rFonts w:ascii="Palatino Linotype" w:hAnsi="Palatino Linotype" w:cs="Arial"/>
          <w:b/>
          <w:sz w:val="28"/>
        </w:rPr>
        <w:t>TERCERO</w:t>
      </w:r>
      <w:r w:rsidRPr="00F54D43">
        <w:rPr>
          <w:rFonts w:ascii="Palatino Linotype" w:hAnsi="Palatino Linotype" w:cs="Arial"/>
          <w:b/>
        </w:rPr>
        <w:t>.</w:t>
      </w:r>
      <w:r w:rsidRPr="00F54D43">
        <w:rPr>
          <w:rFonts w:ascii="Palatino Linotype" w:hAnsi="Palatino Linotype" w:cs="Arial"/>
        </w:rPr>
        <w:t xml:space="preserve"> </w:t>
      </w:r>
      <w:r w:rsidRPr="00F54D43">
        <w:rPr>
          <w:rFonts w:ascii="Palatino Linotype" w:hAnsi="Palatino Linotype" w:cs="Tahoma"/>
          <w:b/>
        </w:rPr>
        <w:t xml:space="preserve">NOTIFÍQUESE </w:t>
      </w:r>
      <w:r w:rsidRPr="00F54D43">
        <w:rPr>
          <w:rFonts w:ascii="Palatino Linotype" w:hAnsi="Palatino Linotype" w:cs="Arial"/>
        </w:rPr>
        <w:t xml:space="preserve">a través del Sistema de Acceso a la Información Mexiquense </w:t>
      </w:r>
      <w:r w:rsidRPr="00F54D43">
        <w:rPr>
          <w:rFonts w:ascii="Palatino Linotype" w:hAnsi="Palatino Linotype" w:cs="Arial"/>
          <w:b/>
        </w:rPr>
        <w:t>(SAIMEX)</w:t>
      </w:r>
      <w:r w:rsidRPr="00F54D43">
        <w:rPr>
          <w:rFonts w:ascii="Palatino Linotype" w:hAnsi="Palatino Linotype" w:cs="Arial"/>
        </w:rPr>
        <w:t xml:space="preserve">, </w:t>
      </w:r>
      <w:r w:rsidRPr="00F54D43">
        <w:rPr>
          <w:rFonts w:ascii="Palatino Linotype" w:hAnsi="Palatino Linotype" w:cs="Tahoma"/>
        </w:rPr>
        <w:t xml:space="preserve">la presente Resolución al Titular de la Unidad de Transparencia del </w:t>
      </w:r>
      <w:r w:rsidRPr="00F54D43">
        <w:rPr>
          <w:rFonts w:ascii="Palatino Linotype" w:hAnsi="Palatino Linotype" w:cs="Tahoma"/>
          <w:b/>
        </w:rPr>
        <w:t>Sujeto Obligado</w:t>
      </w:r>
      <w:r w:rsidRPr="00F54D43">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F54D43">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C917E7" w:rsidRPr="00F54D43" w:rsidRDefault="00C917E7" w:rsidP="00C917E7">
      <w:pPr>
        <w:spacing w:line="360" w:lineRule="auto"/>
        <w:ind w:right="-595"/>
        <w:jc w:val="both"/>
        <w:rPr>
          <w:rFonts w:ascii="Palatino Linotype" w:hAnsi="Palatino Linotype" w:cs="Tahoma"/>
          <w:bCs/>
        </w:rPr>
      </w:pPr>
    </w:p>
    <w:p w:rsidR="00C917E7" w:rsidRPr="00F54D43" w:rsidRDefault="00C917E7" w:rsidP="00C917E7">
      <w:pPr>
        <w:autoSpaceDE w:val="0"/>
        <w:autoSpaceDN w:val="0"/>
        <w:adjustRightInd w:val="0"/>
        <w:spacing w:line="360" w:lineRule="auto"/>
        <w:jc w:val="both"/>
        <w:rPr>
          <w:rFonts w:ascii="Palatino Linotype" w:hAnsi="Palatino Linotype" w:cs="Arial"/>
        </w:rPr>
      </w:pPr>
      <w:r w:rsidRPr="00F54D43">
        <w:rPr>
          <w:rFonts w:ascii="Palatino Linotype" w:hAnsi="Palatino Linotype" w:cs="Arial"/>
          <w:b/>
          <w:sz w:val="28"/>
          <w:szCs w:val="28"/>
        </w:rPr>
        <w:lastRenderedPageBreak/>
        <w:t>CUARTO.</w:t>
      </w:r>
      <w:r w:rsidRPr="00F54D43">
        <w:rPr>
          <w:rFonts w:ascii="Palatino Linotype" w:hAnsi="Palatino Linotype" w:cs="Arial"/>
          <w:b/>
        </w:rPr>
        <w:t xml:space="preserve"> </w:t>
      </w:r>
      <w:r w:rsidRPr="00F54D43">
        <w:rPr>
          <w:rFonts w:ascii="Palatino Linotype" w:hAnsi="Palatino Linotype" w:cs="Arial"/>
        </w:rPr>
        <w:t xml:space="preserve">De conformidad con el artículo 198 de la Ley de Transparencia y Acceso a la Información Pública del Estado de México y Municipios, de considerarlo procedente, el </w:t>
      </w:r>
      <w:r w:rsidRPr="00F54D43">
        <w:rPr>
          <w:rFonts w:ascii="Palatino Linotype" w:hAnsi="Palatino Linotype" w:cs="Arial"/>
          <w:b/>
        </w:rPr>
        <w:t>Sujeto Obligado</w:t>
      </w:r>
      <w:r w:rsidRPr="00F54D43">
        <w:rPr>
          <w:rFonts w:ascii="Palatino Linotype" w:hAnsi="Palatino Linotype" w:cs="Arial"/>
        </w:rPr>
        <w:t xml:space="preserve"> de manera fundada y motivada, podrá solicitar una ampliación de plazo para el cumplimiento de la presente resolución.</w:t>
      </w:r>
    </w:p>
    <w:p w:rsidR="00C917E7" w:rsidRPr="00F54D43" w:rsidRDefault="00C917E7" w:rsidP="00C917E7">
      <w:pPr>
        <w:autoSpaceDE w:val="0"/>
        <w:autoSpaceDN w:val="0"/>
        <w:adjustRightInd w:val="0"/>
        <w:spacing w:line="360" w:lineRule="auto"/>
        <w:jc w:val="both"/>
        <w:rPr>
          <w:rFonts w:ascii="Palatino Linotype" w:hAnsi="Palatino Linotype" w:cs="Arial"/>
        </w:rPr>
      </w:pPr>
    </w:p>
    <w:p w:rsidR="00C917E7" w:rsidRPr="00F54D43" w:rsidRDefault="00C917E7" w:rsidP="00C917E7">
      <w:pPr>
        <w:autoSpaceDE w:val="0"/>
        <w:autoSpaceDN w:val="0"/>
        <w:adjustRightInd w:val="0"/>
        <w:spacing w:line="360" w:lineRule="auto"/>
        <w:jc w:val="both"/>
        <w:rPr>
          <w:rFonts w:ascii="Palatino Linotype" w:hAnsi="Palatino Linotype" w:cs="Arial"/>
        </w:rPr>
      </w:pPr>
      <w:r w:rsidRPr="00F54D43">
        <w:rPr>
          <w:rFonts w:ascii="Palatino Linotype" w:hAnsi="Palatino Linotype"/>
          <w:b/>
          <w:sz w:val="28"/>
          <w:szCs w:val="28"/>
        </w:rPr>
        <w:t>QUINTO</w:t>
      </w:r>
      <w:r w:rsidRPr="00F54D43">
        <w:rPr>
          <w:rFonts w:ascii="Palatino Linotype" w:hAnsi="Palatino Linotype"/>
          <w:b/>
        </w:rPr>
        <w:t xml:space="preserve">. </w:t>
      </w:r>
      <w:r w:rsidRPr="00F54D43">
        <w:rPr>
          <w:rFonts w:ascii="Palatino Linotype" w:hAnsi="Palatino Linotype" w:cs="Arial"/>
          <w:b/>
        </w:rPr>
        <w:t>NOTIFÍQUESE</w:t>
      </w:r>
      <w:r w:rsidRPr="00F54D43">
        <w:rPr>
          <w:rFonts w:ascii="Palatino Linotype" w:hAnsi="Palatino Linotype" w:cs="Arial"/>
        </w:rPr>
        <w:t xml:space="preserve"> a través del Sistema de Acceso a la Información Mexiquense </w:t>
      </w:r>
      <w:r w:rsidRPr="00F54D43">
        <w:rPr>
          <w:rFonts w:ascii="Palatino Linotype" w:hAnsi="Palatino Linotype" w:cs="Arial"/>
          <w:b/>
        </w:rPr>
        <w:t>(SAIMEX)</w:t>
      </w:r>
      <w:r w:rsidRPr="00F54D43">
        <w:rPr>
          <w:rFonts w:ascii="Palatino Linotype" w:hAnsi="Palatino Linotype" w:cs="Arial"/>
        </w:rPr>
        <w:t xml:space="preserve">, al </w:t>
      </w:r>
      <w:r w:rsidRPr="00F54D43">
        <w:rPr>
          <w:rFonts w:ascii="Palatino Linotype" w:hAnsi="Palatino Linotype" w:cs="Arial"/>
          <w:b/>
        </w:rPr>
        <w:t>Recurrente</w:t>
      </w:r>
      <w:r w:rsidRPr="00F54D43">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C917E7" w:rsidRPr="00F54D43" w:rsidRDefault="00C917E7" w:rsidP="00C917E7">
      <w:pPr>
        <w:spacing w:line="360" w:lineRule="auto"/>
        <w:jc w:val="both"/>
        <w:rPr>
          <w:rFonts w:ascii="Palatino Linotype" w:hAnsi="Palatino Linotype" w:cs="Arial"/>
        </w:rPr>
      </w:pPr>
    </w:p>
    <w:p w:rsidR="00C917E7" w:rsidRPr="00F54D43" w:rsidRDefault="00C917E7" w:rsidP="00C917E7">
      <w:pPr>
        <w:spacing w:line="360" w:lineRule="auto"/>
        <w:jc w:val="both"/>
        <w:rPr>
          <w:rFonts w:ascii="Palatino Linotype" w:hAnsi="Palatino Linotype" w:cs="Arial"/>
        </w:rPr>
      </w:pPr>
      <w:r w:rsidRPr="00F54D43">
        <w:rPr>
          <w:rFonts w:ascii="Palatino Linotype" w:hAnsi="Palatino Linotype" w:cs="Arial"/>
        </w:rPr>
        <w:t>ASÍ LO RESUELVE, POR UNANIMIDAD DE VOTOS</w:t>
      </w:r>
      <w:r w:rsidR="00F54D43" w:rsidRPr="00F54D43">
        <w:rPr>
          <w:rFonts w:ascii="Palatino Linotype" w:hAnsi="Palatino Linotype" w:cs="Arial"/>
        </w:rPr>
        <w:t>,</w:t>
      </w:r>
      <w:r w:rsidRPr="00F54D43">
        <w:rPr>
          <w:rFonts w:ascii="Palatino Linotype" w:hAnsi="Palatino Linotype" w:cs="Arial"/>
        </w:rPr>
        <w:t xml:space="preserve"> EL PLENO DEL</w:t>
      </w:r>
      <w:r w:rsidRPr="00F54D43">
        <w:rPr>
          <w:rFonts w:ascii="Palatino Linotype" w:eastAsia="Arial Unicode MS" w:hAnsi="Palatino Linotype" w:cs="Arial"/>
        </w:rPr>
        <w:t xml:space="preserve"> INSTITUTO DE TRANSPARENCIA, ACCESO A LA INFORMACIÓN PÚBLICA Y PROTECCIÓN DE DATOS PERSONALES DEL ESTADO DE MÉXICO Y MUNICIPIOS</w:t>
      </w:r>
      <w:r w:rsidRPr="00F54D43">
        <w:rPr>
          <w:rFonts w:ascii="Palatino Linotype" w:hAnsi="Palatino Linotype" w:cs="Arial"/>
        </w:rPr>
        <w:t xml:space="preserve">, CONFORMADO POR LOS COMISIONADOS JOSÉ MARTÍNEZ VILCHIS, MARÍA DEL ROSARIO MEJÍA AYALA, SHARON CRISTINA MORALES MARTÍNEZ, LUIS GUSTAVO PARRA NORIEGA Y GUADALUPE RAMÍREZ PEÑA, EN LA </w:t>
      </w:r>
      <w:r w:rsidR="00EF4A62" w:rsidRPr="00F54D43">
        <w:rPr>
          <w:rFonts w:ascii="Palatino Linotype" w:hAnsi="Palatino Linotype" w:cs="Arial"/>
        </w:rPr>
        <w:t>VI</w:t>
      </w:r>
      <w:r w:rsidRPr="00F54D43">
        <w:rPr>
          <w:rFonts w:ascii="Palatino Linotype" w:hAnsi="Palatino Linotype" w:cs="Arial"/>
        </w:rPr>
        <w:t xml:space="preserve">GÉSIMA </w:t>
      </w:r>
      <w:r w:rsidR="00080BC8" w:rsidRPr="00F54D43">
        <w:rPr>
          <w:rFonts w:ascii="Palatino Linotype" w:hAnsi="Palatino Linotype" w:cs="Arial"/>
        </w:rPr>
        <w:t>SEGUNDA</w:t>
      </w:r>
      <w:r w:rsidRPr="00F54D43">
        <w:rPr>
          <w:rFonts w:ascii="Palatino Linotype" w:hAnsi="Palatino Linotype" w:cs="Arial"/>
        </w:rPr>
        <w:t xml:space="preserve"> SESIÓN ORDINARIA CELEBRADA EL </w:t>
      </w:r>
      <w:r w:rsidR="00EF4A62" w:rsidRPr="00F54D43">
        <w:rPr>
          <w:rFonts w:ascii="Palatino Linotype" w:hAnsi="Palatino Linotype" w:cs="Arial"/>
        </w:rPr>
        <w:t>DIECISIETE DE JUNIO</w:t>
      </w:r>
      <w:r w:rsidRPr="00F54D43">
        <w:rPr>
          <w:rFonts w:ascii="Palatino Linotype" w:hAnsi="Palatino Linotype" w:cs="Arial"/>
        </w:rPr>
        <w:t xml:space="preserve"> DE DOS MIL VEINTISÉIS</w:t>
      </w:r>
      <w:r w:rsidR="00080BC8" w:rsidRPr="00F54D43">
        <w:rPr>
          <w:rFonts w:ascii="Palatino Linotype" w:hAnsi="Palatino Linotype" w:cs="Arial"/>
        </w:rPr>
        <w:t>, ANTE EL</w:t>
      </w:r>
      <w:r w:rsidRPr="00F54D43">
        <w:rPr>
          <w:rFonts w:ascii="Palatino Linotype" w:hAnsi="Palatino Linotype" w:cs="Arial"/>
        </w:rPr>
        <w:t xml:space="preserve"> SECRETARIO TÉCNICO DEL PLENO, ALEXIS TAPIA RAMÍREZ. ----------------------------------------------------------------------------------------------------------------------------------------------------------------------------------------------------------------------------------------------------------------------------------------------------------------------------------------------------------------------------------------------------------------------------------------------</w:t>
      </w:r>
      <w:r w:rsidR="00080BC8" w:rsidRPr="00F54D43">
        <w:rPr>
          <w:rFonts w:ascii="Palatino Linotype" w:hAnsi="Palatino Linotype" w:cs="Arial"/>
        </w:rPr>
        <w:t>---------</w:t>
      </w:r>
    </w:p>
    <w:p w:rsidR="00C917E7" w:rsidRDefault="00C917E7" w:rsidP="00C917E7">
      <w:pPr>
        <w:spacing w:line="360" w:lineRule="auto"/>
        <w:jc w:val="both"/>
        <w:rPr>
          <w:rFonts w:ascii="Palatino Linotype" w:hAnsi="Palatino Linotype" w:cs="Arial"/>
          <w:sz w:val="16"/>
        </w:rPr>
      </w:pPr>
      <w:r w:rsidRPr="00F54D43">
        <w:rPr>
          <w:rFonts w:ascii="Palatino Linotype" w:hAnsi="Palatino Linotype" w:cs="Arial"/>
          <w:sz w:val="16"/>
        </w:rPr>
        <w:t>JMV/CCR/LMST</w:t>
      </w:r>
    </w:p>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C917E7" w:rsidRDefault="00C917E7" w:rsidP="00C917E7"/>
    <w:p w:rsidR="00505A61" w:rsidRDefault="00505A61"/>
    <w:sectPr w:rsidR="00505A61" w:rsidSect="00A32DF5">
      <w:headerReference w:type="default" r:id="rId15"/>
      <w:footerReference w:type="default" r:id="rId16"/>
      <w:headerReference w:type="first" r:id="rId17"/>
      <w:footerReference w:type="first" r:id="rId18"/>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90A" w:rsidRDefault="003C690A" w:rsidP="00C917E7">
      <w:r>
        <w:separator/>
      </w:r>
    </w:p>
  </w:endnote>
  <w:endnote w:type="continuationSeparator" w:id="0">
    <w:p w:rsidR="003C690A" w:rsidRDefault="003C690A" w:rsidP="00C9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DF5" w:rsidRPr="00A2780F" w:rsidRDefault="00EF4A62" w:rsidP="00A32DF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625A46">
      <w:rPr>
        <w:rFonts w:ascii="Arial" w:hAnsi="Arial" w:cs="Arial"/>
        <w:b/>
        <w:bCs/>
        <w:noProof/>
        <w:sz w:val="20"/>
        <w:szCs w:val="20"/>
      </w:rPr>
      <w:t>4</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625A46">
      <w:rPr>
        <w:rFonts w:ascii="Arial" w:hAnsi="Arial" w:cs="Arial"/>
        <w:b/>
        <w:bCs/>
        <w:noProof/>
        <w:sz w:val="20"/>
        <w:szCs w:val="20"/>
      </w:rPr>
      <w:t>29</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DF5" w:rsidRPr="00070856" w:rsidRDefault="00EF4A62" w:rsidP="00A32DF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625A46">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625A46">
      <w:rPr>
        <w:rFonts w:ascii="Arial" w:hAnsi="Arial" w:cs="Arial"/>
        <w:b/>
        <w:bCs/>
        <w:noProof/>
        <w:sz w:val="20"/>
        <w:szCs w:val="20"/>
      </w:rPr>
      <w:t>29</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90A" w:rsidRDefault="003C690A" w:rsidP="00C917E7">
      <w:r>
        <w:separator/>
      </w:r>
    </w:p>
  </w:footnote>
  <w:footnote w:type="continuationSeparator" w:id="0">
    <w:p w:rsidR="003C690A" w:rsidRDefault="003C690A" w:rsidP="00C917E7">
      <w:r>
        <w:continuationSeparator/>
      </w:r>
    </w:p>
  </w:footnote>
  <w:footnote w:id="1">
    <w:p w:rsidR="00C917E7" w:rsidRPr="005552A8" w:rsidRDefault="00C917E7" w:rsidP="00C917E7">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C917E7" w:rsidRPr="005552A8" w:rsidRDefault="00C917E7" w:rsidP="00C917E7">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9727C7" w:rsidRPr="009727C7" w:rsidRDefault="009727C7">
      <w:pPr>
        <w:pStyle w:val="Textonotapie"/>
        <w:rPr>
          <w:lang w:val="es-MX"/>
        </w:rPr>
      </w:pPr>
      <w:r>
        <w:rPr>
          <w:rStyle w:val="Refdenotaalpie"/>
        </w:rPr>
        <w:footnoteRef/>
      </w:r>
      <w:r>
        <w:t xml:space="preserve"> </w:t>
      </w:r>
      <w:hyperlink r:id="rId3" w:history="1">
        <w:r w:rsidRPr="00BF1F67">
          <w:rPr>
            <w:rStyle w:val="Hipervnculo"/>
          </w:rPr>
          <w:t>https://sesaemm.gob.mx/plataforma-digital-estatal/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A32DF5" w:rsidRPr="008F2CCC" w:rsidTr="00A32DF5">
      <w:tc>
        <w:tcPr>
          <w:tcW w:w="3620" w:type="dxa"/>
          <w:shd w:val="clear" w:color="auto" w:fill="auto"/>
        </w:tcPr>
        <w:p w:rsidR="00A32DF5" w:rsidRPr="007E5FC4" w:rsidRDefault="00EF4A62" w:rsidP="00A32DF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A32DF5" w:rsidRPr="00664658" w:rsidRDefault="00EF4A62" w:rsidP="00C917E7">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C917E7">
            <w:rPr>
              <w:rFonts w:ascii="Palatino Linotype" w:hAnsi="Palatino Linotype"/>
              <w:b/>
              <w:sz w:val="22"/>
              <w:szCs w:val="22"/>
              <w:lang w:val="es-ES_tradnl"/>
            </w:rPr>
            <w:t>1000</w:t>
          </w:r>
          <w:r>
            <w:rPr>
              <w:rFonts w:ascii="Palatino Linotype" w:hAnsi="Palatino Linotype"/>
              <w:b/>
              <w:sz w:val="22"/>
              <w:szCs w:val="22"/>
              <w:lang w:val="es-ES_tradnl"/>
            </w:rPr>
            <w:t>/INFOEM/IP/RR/202</w:t>
          </w:r>
          <w:r w:rsidR="00C917E7">
            <w:rPr>
              <w:rFonts w:ascii="Palatino Linotype" w:hAnsi="Palatino Linotype"/>
              <w:b/>
              <w:sz w:val="22"/>
              <w:szCs w:val="22"/>
              <w:lang w:val="es-ES_tradnl"/>
            </w:rPr>
            <w:t>6</w:t>
          </w:r>
        </w:p>
      </w:tc>
    </w:tr>
    <w:tr w:rsidR="00A32DF5" w:rsidRPr="008F2CCC" w:rsidTr="00A32DF5">
      <w:tc>
        <w:tcPr>
          <w:tcW w:w="3620" w:type="dxa"/>
          <w:shd w:val="clear" w:color="auto" w:fill="auto"/>
        </w:tcPr>
        <w:p w:rsidR="00A32DF5" w:rsidRPr="007E5FC4" w:rsidRDefault="00EF4A62" w:rsidP="00A32DF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A32DF5" w:rsidRPr="00664658" w:rsidRDefault="00EF4A62" w:rsidP="00A32DF5">
          <w:pPr>
            <w:spacing w:line="276" w:lineRule="auto"/>
            <w:jc w:val="right"/>
            <w:rPr>
              <w:rFonts w:ascii="Palatino Linotype" w:hAnsi="Palatino Linotype"/>
              <w:b/>
              <w:sz w:val="22"/>
              <w:szCs w:val="22"/>
              <w:lang w:val="es-ES_tradnl"/>
            </w:rPr>
          </w:pPr>
          <w:r w:rsidRPr="00287FA2">
            <w:rPr>
              <w:rFonts w:ascii="Palatino Linotype" w:hAnsi="Palatino Linotype"/>
              <w:b/>
              <w:sz w:val="22"/>
              <w:szCs w:val="22"/>
            </w:rPr>
            <w:t>Ayuntamiento de Tepotzotlán</w:t>
          </w:r>
        </w:p>
      </w:tc>
    </w:tr>
    <w:tr w:rsidR="00A32DF5" w:rsidRPr="008F2CCC" w:rsidTr="00A32DF5">
      <w:trPr>
        <w:trHeight w:val="228"/>
      </w:trPr>
      <w:tc>
        <w:tcPr>
          <w:tcW w:w="3620" w:type="dxa"/>
          <w:shd w:val="clear" w:color="auto" w:fill="auto"/>
        </w:tcPr>
        <w:p w:rsidR="00A32DF5" w:rsidRPr="007E5FC4" w:rsidRDefault="00EF4A62" w:rsidP="00A32DF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A32DF5" w:rsidRPr="00664658" w:rsidRDefault="00EF4A62" w:rsidP="00A32DF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32DF5" w:rsidRDefault="003C690A" w:rsidP="00A32DF5">
    <w:pPr>
      <w:pStyle w:val="Encabezado"/>
      <w:tabs>
        <w:tab w:val="clear" w:pos="4252"/>
        <w:tab w:val="clear" w:pos="8504"/>
        <w:tab w:val="left" w:pos="2326"/>
      </w:tabs>
      <w:rPr>
        <w:rFonts w:ascii="Palatino Linotype" w:hAnsi="Palatino Linotype"/>
        <w:sz w:val="20"/>
      </w:rPr>
    </w:pPr>
  </w:p>
  <w:p w:rsidR="00A32DF5" w:rsidRPr="001779E0" w:rsidRDefault="00EF4A62" w:rsidP="00A32DF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9FBBBE0" wp14:editId="096363B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A32DF5" w:rsidRPr="008F2CCC" w:rsidTr="00625A46">
      <w:trPr>
        <w:trHeight w:val="568"/>
      </w:trPr>
      <w:tc>
        <w:tcPr>
          <w:tcW w:w="2977" w:type="dxa"/>
          <w:shd w:val="clear" w:color="auto" w:fill="auto"/>
        </w:tcPr>
        <w:p w:rsidR="00A32DF5" w:rsidRPr="007E5FC4" w:rsidRDefault="00EF4A62" w:rsidP="00A32DF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A32DF5" w:rsidRPr="008F2CCC" w:rsidRDefault="00EF4A62" w:rsidP="00C917E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C917E7">
            <w:rPr>
              <w:rFonts w:ascii="Palatino Linotype" w:hAnsi="Palatino Linotype"/>
              <w:b/>
              <w:sz w:val="22"/>
              <w:szCs w:val="22"/>
              <w:lang w:val="es-ES_tradnl"/>
            </w:rPr>
            <w:t>1000</w:t>
          </w:r>
          <w:r>
            <w:rPr>
              <w:rFonts w:ascii="Palatino Linotype" w:hAnsi="Palatino Linotype"/>
              <w:b/>
              <w:sz w:val="22"/>
              <w:szCs w:val="22"/>
              <w:lang w:val="es-ES_tradnl"/>
            </w:rPr>
            <w:t>/INFOEM/IP/RR/202</w:t>
          </w:r>
          <w:r w:rsidR="00C917E7">
            <w:rPr>
              <w:rFonts w:ascii="Palatino Linotype" w:hAnsi="Palatino Linotype"/>
              <w:b/>
              <w:sz w:val="22"/>
              <w:szCs w:val="22"/>
              <w:lang w:val="es-ES_tradnl"/>
            </w:rPr>
            <w:t>6</w:t>
          </w:r>
        </w:p>
      </w:tc>
    </w:tr>
    <w:tr w:rsidR="00A32DF5" w:rsidRPr="008F2CCC" w:rsidTr="00A32DF5">
      <w:tc>
        <w:tcPr>
          <w:tcW w:w="2977" w:type="dxa"/>
          <w:shd w:val="clear" w:color="auto" w:fill="auto"/>
          <w:vAlign w:val="center"/>
        </w:tcPr>
        <w:p w:rsidR="00A32DF5" w:rsidRPr="007E5FC4" w:rsidRDefault="00EF4A62" w:rsidP="00A32DF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A32DF5" w:rsidRPr="008F2CCC" w:rsidRDefault="00625A46" w:rsidP="00A32DF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xxxxxxxxxxxxxxxxxxxxxx</w:t>
          </w:r>
          <w:r w:rsidR="00EF4A62">
            <w:rPr>
              <w:rFonts w:ascii="Palatino Linotype" w:hAnsi="Palatino Linotype"/>
              <w:b/>
              <w:sz w:val="22"/>
              <w:szCs w:val="22"/>
              <w:lang w:val="es-ES_tradnl"/>
            </w:rPr>
            <w:t xml:space="preserve"> </w:t>
          </w:r>
        </w:p>
      </w:tc>
    </w:tr>
    <w:tr w:rsidR="00A32DF5" w:rsidRPr="008F2CCC" w:rsidTr="00A32DF5">
      <w:trPr>
        <w:trHeight w:val="228"/>
      </w:trPr>
      <w:tc>
        <w:tcPr>
          <w:tcW w:w="2977" w:type="dxa"/>
          <w:shd w:val="clear" w:color="auto" w:fill="auto"/>
        </w:tcPr>
        <w:p w:rsidR="00A32DF5" w:rsidRPr="007E5FC4" w:rsidRDefault="00EF4A62" w:rsidP="00A32DF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A32DF5" w:rsidRPr="00DC41C8" w:rsidRDefault="00EF4A62" w:rsidP="00A32DF5">
          <w:pPr>
            <w:spacing w:line="360" w:lineRule="auto"/>
            <w:jc w:val="right"/>
            <w:rPr>
              <w:rFonts w:ascii="Palatino Linotype" w:hAnsi="Palatino Linotype"/>
              <w:b/>
              <w:sz w:val="22"/>
              <w:szCs w:val="22"/>
            </w:rPr>
          </w:pPr>
          <w:r w:rsidRPr="00287FA2">
            <w:rPr>
              <w:rFonts w:ascii="Palatino Linotype" w:hAnsi="Palatino Linotype"/>
              <w:b/>
              <w:sz w:val="22"/>
              <w:szCs w:val="22"/>
            </w:rPr>
            <w:t>Ayuntamiento de Tepotzotlán</w:t>
          </w:r>
        </w:p>
      </w:tc>
    </w:tr>
    <w:tr w:rsidR="00A32DF5" w:rsidRPr="008F2CCC" w:rsidTr="00A32DF5">
      <w:tc>
        <w:tcPr>
          <w:tcW w:w="2977" w:type="dxa"/>
          <w:shd w:val="clear" w:color="auto" w:fill="auto"/>
        </w:tcPr>
        <w:p w:rsidR="00A32DF5" w:rsidRPr="007E5FC4" w:rsidRDefault="00EF4A62" w:rsidP="00A32DF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A32DF5" w:rsidRPr="008F2CCC" w:rsidRDefault="00EF4A62" w:rsidP="00A32DF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32DF5" w:rsidRPr="009F1AB6" w:rsidRDefault="00EF4A62">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4F5D13A" wp14:editId="2568852C">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677AA1"/>
    <w:multiLevelType w:val="hybridMultilevel"/>
    <w:tmpl w:val="710655C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58230210"/>
    <w:multiLevelType w:val="hybridMultilevel"/>
    <w:tmpl w:val="E6222F26"/>
    <w:lvl w:ilvl="0" w:tplc="A62EB27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7E7"/>
    <w:rsid w:val="0006172B"/>
    <w:rsid w:val="000806F7"/>
    <w:rsid w:val="00080BC8"/>
    <w:rsid w:val="00265113"/>
    <w:rsid w:val="003C690A"/>
    <w:rsid w:val="004017A0"/>
    <w:rsid w:val="00505A61"/>
    <w:rsid w:val="0052506E"/>
    <w:rsid w:val="00553396"/>
    <w:rsid w:val="00625A46"/>
    <w:rsid w:val="008C001E"/>
    <w:rsid w:val="009704E3"/>
    <w:rsid w:val="009727C7"/>
    <w:rsid w:val="00C57951"/>
    <w:rsid w:val="00C917E7"/>
    <w:rsid w:val="00DA5671"/>
    <w:rsid w:val="00EF4A62"/>
    <w:rsid w:val="00F54D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0C944-AB63-4844-9E39-8F7A6EF2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7E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17E7"/>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917E7"/>
    <w:rPr>
      <w:rFonts w:eastAsiaTheme="minorEastAsia"/>
      <w:sz w:val="24"/>
      <w:szCs w:val="24"/>
      <w:lang w:val="es-ES_tradnl" w:eastAsia="es-ES"/>
    </w:rPr>
  </w:style>
  <w:style w:type="paragraph" w:styleId="Piedepgina">
    <w:name w:val="footer"/>
    <w:basedOn w:val="Normal"/>
    <w:link w:val="PiedepginaCar"/>
    <w:uiPriority w:val="99"/>
    <w:unhideWhenUsed/>
    <w:rsid w:val="00C917E7"/>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917E7"/>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917E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917E7"/>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917E7"/>
    <w:pPr>
      <w:spacing w:after="0" w:line="240" w:lineRule="auto"/>
    </w:pPr>
  </w:style>
  <w:style w:type="character" w:customStyle="1" w:styleId="SinespaciadoCar">
    <w:name w:val="Sin espaciado Car"/>
    <w:aliases w:val="Francesa Car,INAI Car"/>
    <w:link w:val="Sinespaciado"/>
    <w:uiPriority w:val="1"/>
    <w:locked/>
    <w:rsid w:val="00C917E7"/>
  </w:style>
  <w:style w:type="character" w:styleId="Hipervnculo">
    <w:name w:val="Hyperlink"/>
    <w:aliases w:val="Hipervínculo1,Hipervínculo11,Hipervínculo12,Hipervínculo13,Hipervínculo14,Hipervínculo15"/>
    <w:basedOn w:val="Fuentedeprrafopredeter"/>
    <w:uiPriority w:val="99"/>
    <w:unhideWhenUsed/>
    <w:rsid w:val="00C917E7"/>
    <w:rPr>
      <w:color w:val="0563C1" w:themeColor="hyperlink"/>
      <w:u w:val="single"/>
    </w:rPr>
  </w:style>
  <w:style w:type="paragraph" w:customStyle="1" w:styleId="INFOEM">
    <w:name w:val="INFOEM"/>
    <w:basedOn w:val="Normal"/>
    <w:qFormat/>
    <w:rsid w:val="00C917E7"/>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917E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917E7"/>
    <w:rPr>
      <w:vertAlign w:val="superscript"/>
    </w:rPr>
  </w:style>
  <w:style w:type="paragraph" w:customStyle="1" w:styleId="infoemcitas">
    <w:name w:val="infoem citas"/>
    <w:basedOn w:val="Normal"/>
    <w:qFormat/>
    <w:rsid w:val="00C917E7"/>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91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C91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917E7"/>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Hipervnculovisitado">
    <w:name w:val="FollowedHyperlink"/>
    <w:basedOn w:val="Fuentedeprrafopredeter"/>
    <w:uiPriority w:val="99"/>
    <w:semiHidden/>
    <w:unhideWhenUsed/>
    <w:rsid w:val="0006172B"/>
    <w:rPr>
      <w:color w:val="954F72" w:themeColor="followedHyperlink"/>
      <w:u w:val="single"/>
    </w:rPr>
  </w:style>
  <w:style w:type="paragraph" w:styleId="Textonotaalfinal">
    <w:name w:val="endnote text"/>
    <w:basedOn w:val="Normal"/>
    <w:link w:val="TextonotaalfinalCar"/>
    <w:uiPriority w:val="99"/>
    <w:semiHidden/>
    <w:unhideWhenUsed/>
    <w:rsid w:val="009727C7"/>
    <w:rPr>
      <w:sz w:val="20"/>
      <w:szCs w:val="20"/>
    </w:rPr>
  </w:style>
  <w:style w:type="character" w:customStyle="1" w:styleId="TextonotaalfinalCar">
    <w:name w:val="Texto nota al final Car"/>
    <w:basedOn w:val="Fuentedeprrafopredeter"/>
    <w:link w:val="Textonotaalfinal"/>
    <w:uiPriority w:val="99"/>
    <w:semiHidden/>
    <w:rsid w:val="009727C7"/>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9727C7"/>
    <w:rPr>
      <w:vertAlign w:val="superscript"/>
    </w:rPr>
  </w:style>
  <w:style w:type="paragraph" w:styleId="Textonotapie">
    <w:name w:val="footnote text"/>
    <w:basedOn w:val="Normal"/>
    <w:link w:val="TextonotapieCar"/>
    <w:uiPriority w:val="99"/>
    <w:semiHidden/>
    <w:unhideWhenUsed/>
    <w:rsid w:val="009727C7"/>
    <w:rPr>
      <w:sz w:val="20"/>
      <w:szCs w:val="20"/>
    </w:rPr>
  </w:style>
  <w:style w:type="character" w:customStyle="1" w:styleId="TextonotapieCar">
    <w:name w:val="Texto nota pie Car"/>
    <w:basedOn w:val="Fuentedeprrafopredeter"/>
    <w:link w:val="Textonotapie"/>
    <w:uiPriority w:val="99"/>
    <w:semiHidden/>
    <w:rsid w:val="009727C7"/>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5.tmp"/><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ijaem.gob.mx/servicios/Estrado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tm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6.tmp"/></Relationships>
</file>

<file path=word/_rels/footnotes.xml.rels><?xml version="1.0" encoding="UTF-8" standalone="yes"?>
<Relationships xmlns="http://schemas.openxmlformats.org/package/2006/relationships"><Relationship Id="rId3" Type="http://schemas.openxmlformats.org/officeDocument/2006/relationships/hyperlink" Target="https://sesaemm.gob.mx/plataforma-digital-estatal/"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C79B-E9D6-489B-A4B6-40F908C8F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29</Pages>
  <Words>6072</Words>
  <Characters>33396</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2026-06-18T02:12:00Z</cp:lastPrinted>
  <dcterms:created xsi:type="dcterms:W3CDTF">2026-06-03T18:00:00Z</dcterms:created>
  <dcterms:modified xsi:type="dcterms:W3CDTF">2026-06-23T19:00:00Z</dcterms:modified>
</cp:coreProperties>
</file>