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D9F4C" w14:textId="46AB6B35" w:rsidR="00C877F6" w:rsidRPr="001B33FF" w:rsidRDefault="00F36565">
      <w:pPr>
        <w:spacing w:line="360" w:lineRule="auto"/>
        <w:ind w:right="49" w:hanging="22"/>
        <w:jc w:val="both"/>
        <w:rPr>
          <w:rFonts w:ascii="Palatino Linotype" w:eastAsia="Palatino Linotype" w:hAnsi="Palatino Linotype" w:cs="Palatino Linotype"/>
          <w:sz w:val="22"/>
          <w:szCs w:val="22"/>
        </w:rPr>
      </w:pPr>
      <w:bookmarkStart w:id="0" w:name="_GoBack"/>
      <w:bookmarkEnd w:id="0"/>
      <w:r w:rsidRPr="001B33FF">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005957F2" w:rsidRPr="001B33FF">
        <w:rPr>
          <w:rFonts w:ascii="Palatino Linotype" w:eastAsia="Palatino Linotype" w:hAnsi="Palatino Linotype" w:cs="Palatino Linotype"/>
          <w:b/>
          <w:sz w:val="22"/>
          <w:szCs w:val="22"/>
        </w:rPr>
        <w:t>veinticinco</w:t>
      </w:r>
      <w:r w:rsidR="00D52078" w:rsidRPr="001B33FF">
        <w:rPr>
          <w:rFonts w:ascii="Palatino Linotype" w:eastAsia="Palatino Linotype" w:hAnsi="Palatino Linotype" w:cs="Palatino Linotype"/>
          <w:b/>
          <w:sz w:val="22"/>
          <w:szCs w:val="22"/>
        </w:rPr>
        <w:t xml:space="preserve"> de </w:t>
      </w:r>
      <w:r w:rsidR="005C2ED1" w:rsidRPr="001B33FF">
        <w:rPr>
          <w:rFonts w:ascii="Palatino Linotype" w:eastAsia="Palatino Linotype" w:hAnsi="Palatino Linotype" w:cs="Palatino Linotype"/>
          <w:b/>
          <w:sz w:val="22"/>
          <w:szCs w:val="22"/>
        </w:rPr>
        <w:t>febrero</w:t>
      </w:r>
      <w:r w:rsidRPr="001B33FF">
        <w:rPr>
          <w:rFonts w:ascii="Palatino Linotype" w:eastAsia="Palatino Linotype" w:hAnsi="Palatino Linotype" w:cs="Palatino Linotype"/>
          <w:sz w:val="22"/>
          <w:szCs w:val="22"/>
        </w:rPr>
        <w:t xml:space="preserve"> </w:t>
      </w:r>
      <w:r w:rsidR="000C6DFE" w:rsidRPr="001B33FF">
        <w:rPr>
          <w:rFonts w:ascii="Palatino Linotype" w:eastAsia="Palatino Linotype" w:hAnsi="Palatino Linotype" w:cs="Palatino Linotype"/>
          <w:b/>
          <w:sz w:val="22"/>
          <w:szCs w:val="22"/>
        </w:rPr>
        <w:t>de dos mil veintiséis.</w:t>
      </w:r>
    </w:p>
    <w:p w14:paraId="7F051BA5" w14:textId="77777777" w:rsidR="00C877F6" w:rsidRPr="001B33FF" w:rsidRDefault="00C877F6">
      <w:pPr>
        <w:spacing w:line="360" w:lineRule="auto"/>
        <w:ind w:right="49"/>
        <w:jc w:val="both"/>
        <w:rPr>
          <w:rFonts w:ascii="Palatino Linotype" w:eastAsia="Palatino Linotype" w:hAnsi="Palatino Linotype" w:cs="Palatino Linotype"/>
          <w:sz w:val="22"/>
          <w:szCs w:val="22"/>
        </w:rPr>
      </w:pPr>
    </w:p>
    <w:p w14:paraId="02027E82" w14:textId="53136142" w:rsidR="00C877F6" w:rsidRPr="001B33FF" w:rsidRDefault="00F36565">
      <w:pPr>
        <w:spacing w:line="360" w:lineRule="auto"/>
        <w:ind w:right="49"/>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 xml:space="preserve">VISTO </w:t>
      </w:r>
      <w:r w:rsidRPr="001B33FF">
        <w:rPr>
          <w:rFonts w:ascii="Palatino Linotype" w:eastAsia="Palatino Linotype" w:hAnsi="Palatino Linotype" w:cs="Palatino Linotype"/>
          <w:sz w:val="22"/>
          <w:szCs w:val="22"/>
        </w:rPr>
        <w:t xml:space="preserve">el expediente relativo al recurso de revisión </w:t>
      </w:r>
      <w:r w:rsidR="00E56AE7" w:rsidRPr="001B33FF">
        <w:rPr>
          <w:rFonts w:ascii="Palatino Linotype" w:eastAsia="Palatino Linotype" w:hAnsi="Palatino Linotype" w:cs="Palatino Linotype"/>
          <w:b/>
          <w:sz w:val="22"/>
          <w:szCs w:val="22"/>
        </w:rPr>
        <w:t>14669/INFOEM/IP/RR/2025</w:t>
      </w:r>
      <w:r w:rsidRPr="001B33FF">
        <w:rPr>
          <w:rFonts w:ascii="Palatino Linotype" w:eastAsia="Palatino Linotype" w:hAnsi="Palatino Linotype" w:cs="Palatino Linotype"/>
          <w:b/>
          <w:sz w:val="22"/>
          <w:szCs w:val="22"/>
        </w:rPr>
        <w:t xml:space="preserve">, </w:t>
      </w:r>
      <w:r w:rsidRPr="001B33FF">
        <w:rPr>
          <w:rFonts w:ascii="Palatino Linotype" w:eastAsia="Palatino Linotype" w:hAnsi="Palatino Linotype" w:cs="Palatino Linotype"/>
          <w:sz w:val="22"/>
          <w:szCs w:val="22"/>
        </w:rPr>
        <w:t>interpuesto por</w:t>
      </w:r>
      <w:r w:rsidR="00737A90" w:rsidRPr="001B33FF">
        <w:rPr>
          <w:rFonts w:ascii="Palatino Linotype" w:eastAsia="Palatino Linotype" w:hAnsi="Palatino Linotype" w:cs="Palatino Linotype"/>
          <w:sz w:val="22"/>
          <w:szCs w:val="22"/>
        </w:rPr>
        <w:t xml:space="preserve"> </w:t>
      </w:r>
      <w:r w:rsidR="00E56AE7" w:rsidRPr="001B33FF">
        <w:rPr>
          <w:rFonts w:ascii="Palatino Linotype" w:eastAsia="Palatino Linotype" w:hAnsi="Palatino Linotype" w:cs="Palatino Linotype"/>
          <w:sz w:val="22"/>
          <w:szCs w:val="22"/>
        </w:rPr>
        <w:t xml:space="preserve">un </w:t>
      </w:r>
      <w:r w:rsidR="00E56AE7" w:rsidRPr="001B33FF">
        <w:rPr>
          <w:rFonts w:ascii="Palatino Linotype" w:eastAsia="Palatino Linotype" w:hAnsi="Palatino Linotype" w:cs="Palatino Linotype"/>
          <w:b/>
          <w:sz w:val="22"/>
          <w:szCs w:val="22"/>
        </w:rPr>
        <w:t>Usuario que no proporcionó su nombre</w:t>
      </w:r>
      <w:r w:rsidR="00737A90" w:rsidRPr="001B33FF">
        <w:rPr>
          <w:rFonts w:ascii="Palatino Linotype" w:eastAsia="Palatino Linotype" w:hAnsi="Palatino Linotype" w:cs="Palatino Linotype"/>
          <w:sz w:val="22"/>
          <w:szCs w:val="22"/>
        </w:rPr>
        <w:t xml:space="preserve">, </w:t>
      </w:r>
      <w:r w:rsidRPr="001B33FF">
        <w:rPr>
          <w:rFonts w:ascii="Palatino Linotype" w:eastAsia="Palatino Linotype" w:hAnsi="Palatino Linotype" w:cs="Palatino Linotype"/>
          <w:sz w:val="22"/>
          <w:szCs w:val="22"/>
        </w:rPr>
        <w:t xml:space="preserve">en lo sucesivo la parte </w:t>
      </w:r>
      <w:r w:rsidRPr="001B33FF">
        <w:rPr>
          <w:rFonts w:ascii="Palatino Linotype" w:eastAsia="Palatino Linotype" w:hAnsi="Palatino Linotype" w:cs="Palatino Linotype"/>
          <w:b/>
          <w:sz w:val="22"/>
          <w:szCs w:val="22"/>
        </w:rPr>
        <w:t>Recurrente</w:t>
      </w:r>
      <w:r w:rsidRPr="001B33FF">
        <w:rPr>
          <w:rFonts w:ascii="Palatino Linotype" w:eastAsia="Palatino Linotype" w:hAnsi="Palatino Linotype" w:cs="Palatino Linotype"/>
          <w:sz w:val="22"/>
          <w:szCs w:val="22"/>
        </w:rPr>
        <w:t xml:space="preserve">, en contra de la respuesta a la solicitud de información por parte del </w:t>
      </w:r>
      <w:r w:rsidR="00E56AE7" w:rsidRPr="001B33FF">
        <w:rPr>
          <w:rFonts w:ascii="Palatino Linotype" w:eastAsia="Palatino Linotype" w:hAnsi="Palatino Linotype" w:cs="Palatino Linotype"/>
          <w:b/>
          <w:sz w:val="22"/>
          <w:szCs w:val="22"/>
        </w:rPr>
        <w:t>Ayuntamiento de Valle de Bravo</w:t>
      </w:r>
      <w:r w:rsidRPr="001B33FF">
        <w:rPr>
          <w:rFonts w:ascii="Palatino Linotype" w:eastAsia="Palatino Linotype" w:hAnsi="Palatino Linotype" w:cs="Palatino Linotype"/>
          <w:sz w:val="22"/>
          <w:szCs w:val="22"/>
        </w:rPr>
        <w:t xml:space="preserve">, en lo sucesivo el </w:t>
      </w:r>
      <w:r w:rsidRPr="001B33FF">
        <w:rPr>
          <w:rFonts w:ascii="Palatino Linotype" w:eastAsia="Palatino Linotype" w:hAnsi="Palatino Linotype" w:cs="Palatino Linotype"/>
          <w:b/>
          <w:sz w:val="22"/>
          <w:szCs w:val="22"/>
        </w:rPr>
        <w:t xml:space="preserve">Sujeto Obligado; </w:t>
      </w:r>
      <w:r w:rsidRPr="001B33FF">
        <w:rPr>
          <w:rFonts w:ascii="Palatino Linotype" w:eastAsia="Palatino Linotype" w:hAnsi="Palatino Linotype" w:cs="Palatino Linotype"/>
          <w:sz w:val="22"/>
          <w:szCs w:val="22"/>
        </w:rPr>
        <w:t>se procede a dictar la presente resolución, con base en lo siguiente.</w:t>
      </w:r>
    </w:p>
    <w:p w14:paraId="34BBF48E" w14:textId="77777777" w:rsidR="00C877F6" w:rsidRPr="001B33FF" w:rsidRDefault="00C877F6">
      <w:pPr>
        <w:spacing w:line="360" w:lineRule="auto"/>
        <w:ind w:right="49"/>
        <w:jc w:val="both"/>
        <w:rPr>
          <w:rFonts w:ascii="Palatino Linotype" w:eastAsia="Palatino Linotype" w:hAnsi="Palatino Linotype" w:cs="Palatino Linotype"/>
          <w:sz w:val="22"/>
          <w:szCs w:val="22"/>
        </w:rPr>
      </w:pPr>
    </w:p>
    <w:p w14:paraId="29A1AF53" w14:textId="5EB2DA70" w:rsidR="00C877F6" w:rsidRPr="001B33FF" w:rsidRDefault="00F36565">
      <w:pPr>
        <w:spacing w:line="360" w:lineRule="auto"/>
        <w:ind w:right="49"/>
        <w:jc w:val="center"/>
        <w:rPr>
          <w:rFonts w:ascii="Palatino Linotype" w:eastAsia="Palatino Linotype" w:hAnsi="Palatino Linotype" w:cs="Palatino Linotype"/>
          <w:b/>
          <w:sz w:val="22"/>
          <w:szCs w:val="22"/>
        </w:rPr>
      </w:pPr>
      <w:r w:rsidRPr="001B33FF">
        <w:rPr>
          <w:rFonts w:ascii="Palatino Linotype" w:eastAsia="Palatino Linotype" w:hAnsi="Palatino Linotype" w:cs="Palatino Linotype"/>
          <w:b/>
          <w:sz w:val="22"/>
          <w:szCs w:val="22"/>
        </w:rPr>
        <w:t>I.</w:t>
      </w:r>
      <w:r w:rsidRPr="001B33FF">
        <w:rPr>
          <w:rFonts w:ascii="Palatino Linotype" w:eastAsia="Palatino Linotype" w:hAnsi="Palatino Linotype" w:cs="Palatino Linotype"/>
          <w:b/>
          <w:sz w:val="22"/>
          <w:szCs w:val="22"/>
        </w:rPr>
        <w:tab/>
        <w:t>A N T E C E D E N T E S</w:t>
      </w:r>
      <w:r w:rsidR="005C74CB" w:rsidRPr="001B33FF">
        <w:rPr>
          <w:rFonts w:ascii="Palatino Linotype" w:eastAsia="Palatino Linotype" w:hAnsi="Palatino Linotype" w:cs="Palatino Linotype"/>
          <w:b/>
          <w:sz w:val="22"/>
          <w:szCs w:val="22"/>
        </w:rPr>
        <w:t xml:space="preserve"> </w:t>
      </w:r>
    </w:p>
    <w:p w14:paraId="3ACFD56D" w14:textId="77777777" w:rsidR="00C877F6" w:rsidRPr="001B33FF" w:rsidRDefault="00C877F6">
      <w:pPr>
        <w:spacing w:line="360" w:lineRule="auto"/>
        <w:ind w:right="49"/>
        <w:jc w:val="both"/>
        <w:rPr>
          <w:rFonts w:ascii="Palatino Linotype" w:eastAsia="Palatino Linotype" w:hAnsi="Palatino Linotype" w:cs="Palatino Linotype"/>
          <w:sz w:val="22"/>
          <w:szCs w:val="22"/>
        </w:rPr>
      </w:pPr>
    </w:p>
    <w:p w14:paraId="523B7B02" w14:textId="03C11505" w:rsidR="00C877F6" w:rsidRPr="001B33FF" w:rsidRDefault="00F36565">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1.</w:t>
      </w:r>
      <w:r w:rsidRPr="001B33FF">
        <w:rPr>
          <w:rFonts w:ascii="Palatino Linotype" w:eastAsia="Palatino Linotype" w:hAnsi="Palatino Linotype" w:cs="Palatino Linotype"/>
          <w:sz w:val="22"/>
          <w:szCs w:val="22"/>
        </w:rPr>
        <w:t xml:space="preserve"> </w:t>
      </w:r>
      <w:r w:rsidRPr="001B33FF">
        <w:rPr>
          <w:rFonts w:ascii="Palatino Linotype" w:eastAsia="Palatino Linotype" w:hAnsi="Palatino Linotype" w:cs="Palatino Linotype"/>
          <w:b/>
          <w:sz w:val="22"/>
          <w:szCs w:val="22"/>
        </w:rPr>
        <w:t xml:space="preserve">Solicitud </w:t>
      </w:r>
      <w:r w:rsidR="00D3382D" w:rsidRPr="001B33FF">
        <w:rPr>
          <w:rFonts w:ascii="Palatino Linotype" w:eastAsia="Palatino Linotype" w:hAnsi="Palatino Linotype" w:cs="Palatino Linotype"/>
          <w:b/>
          <w:sz w:val="22"/>
          <w:szCs w:val="22"/>
        </w:rPr>
        <w:t xml:space="preserve">de </w:t>
      </w:r>
      <w:r w:rsidR="009456FA" w:rsidRPr="001B33FF">
        <w:rPr>
          <w:rFonts w:ascii="Palatino Linotype" w:eastAsia="Palatino Linotype" w:hAnsi="Palatino Linotype" w:cs="Palatino Linotype"/>
          <w:b/>
          <w:sz w:val="22"/>
          <w:szCs w:val="22"/>
        </w:rPr>
        <w:t xml:space="preserve">Acceso a la Información. El </w:t>
      </w:r>
      <w:r w:rsidR="00CC5F38" w:rsidRPr="001B33FF">
        <w:rPr>
          <w:rFonts w:ascii="Palatino Linotype" w:eastAsia="Palatino Linotype" w:hAnsi="Palatino Linotype" w:cs="Palatino Linotype"/>
          <w:b/>
          <w:sz w:val="22"/>
          <w:szCs w:val="22"/>
        </w:rPr>
        <w:t>seis</w:t>
      </w:r>
      <w:r w:rsidR="00287278" w:rsidRPr="001B33FF">
        <w:rPr>
          <w:rFonts w:ascii="Palatino Linotype" w:eastAsia="Palatino Linotype" w:hAnsi="Palatino Linotype" w:cs="Palatino Linotype"/>
          <w:b/>
          <w:sz w:val="22"/>
          <w:szCs w:val="22"/>
        </w:rPr>
        <w:t xml:space="preserve"> </w:t>
      </w:r>
      <w:r w:rsidR="00D3382D" w:rsidRPr="001B33FF">
        <w:rPr>
          <w:rFonts w:ascii="Palatino Linotype" w:eastAsia="Palatino Linotype" w:hAnsi="Palatino Linotype" w:cs="Palatino Linotype"/>
          <w:b/>
          <w:sz w:val="22"/>
          <w:szCs w:val="22"/>
        </w:rPr>
        <w:t xml:space="preserve">de </w:t>
      </w:r>
      <w:r w:rsidR="00A065B4" w:rsidRPr="001B33FF">
        <w:rPr>
          <w:rFonts w:ascii="Palatino Linotype" w:eastAsia="Palatino Linotype" w:hAnsi="Palatino Linotype" w:cs="Palatino Linotype"/>
          <w:b/>
          <w:sz w:val="22"/>
          <w:szCs w:val="22"/>
        </w:rPr>
        <w:t>noviembre</w:t>
      </w:r>
      <w:r w:rsidRPr="001B33FF">
        <w:rPr>
          <w:rFonts w:ascii="Palatino Linotype" w:eastAsia="Palatino Linotype" w:hAnsi="Palatino Linotype" w:cs="Palatino Linotype"/>
          <w:b/>
          <w:sz w:val="22"/>
          <w:szCs w:val="22"/>
        </w:rPr>
        <w:t xml:space="preserve"> de dos mil veinticinco</w:t>
      </w:r>
      <w:r w:rsidRPr="001B33FF">
        <w:rPr>
          <w:rFonts w:ascii="Palatino Linotype" w:eastAsia="Palatino Linotype" w:hAnsi="Palatino Linotype" w:cs="Palatino Linotype"/>
          <w:sz w:val="22"/>
          <w:szCs w:val="22"/>
        </w:rPr>
        <w:t xml:space="preserve">, </w:t>
      </w:r>
      <w:r w:rsidRPr="001B33FF">
        <w:rPr>
          <w:rFonts w:ascii="Palatino Linotype" w:eastAsia="Palatino Linotype" w:hAnsi="Palatino Linotype" w:cs="Palatino Linotype"/>
          <w:b/>
          <w:sz w:val="22"/>
          <w:szCs w:val="22"/>
        </w:rPr>
        <w:t>LA PARTE</w:t>
      </w:r>
      <w:r w:rsidRPr="001B33FF">
        <w:rPr>
          <w:rFonts w:ascii="Palatino Linotype" w:eastAsia="Palatino Linotype" w:hAnsi="Palatino Linotype" w:cs="Palatino Linotype"/>
          <w:sz w:val="22"/>
          <w:szCs w:val="22"/>
        </w:rPr>
        <w:t xml:space="preserve"> </w:t>
      </w:r>
      <w:r w:rsidRPr="001B33FF">
        <w:rPr>
          <w:rFonts w:ascii="Palatino Linotype" w:eastAsia="Palatino Linotype" w:hAnsi="Palatino Linotype" w:cs="Palatino Linotype"/>
          <w:b/>
          <w:sz w:val="22"/>
          <w:szCs w:val="22"/>
        </w:rPr>
        <w:t>RECURRENTE</w:t>
      </w:r>
      <w:r w:rsidRPr="001B33FF">
        <w:rPr>
          <w:rFonts w:ascii="Palatino Linotype" w:eastAsia="Palatino Linotype" w:hAnsi="Palatino Linotype" w:cs="Palatino Linotype"/>
          <w:sz w:val="22"/>
          <w:szCs w:val="22"/>
        </w:rPr>
        <w:t xml:space="preserve"> formuló solicitud de acceso a información pública a través del </w:t>
      </w:r>
      <w:r w:rsidRPr="001B33FF">
        <w:rPr>
          <w:rFonts w:ascii="Palatino Linotype" w:eastAsia="Palatino Linotype" w:hAnsi="Palatino Linotype" w:cs="Palatino Linotype"/>
          <w:b/>
          <w:sz w:val="22"/>
          <w:szCs w:val="22"/>
        </w:rPr>
        <w:t>SAIMEX</w:t>
      </w:r>
      <w:r w:rsidRPr="001B33FF">
        <w:rPr>
          <w:rFonts w:ascii="Palatino Linotype" w:eastAsia="Palatino Linotype" w:hAnsi="Palatino Linotype" w:cs="Palatino Linotype"/>
          <w:sz w:val="22"/>
          <w:szCs w:val="22"/>
        </w:rPr>
        <w:t xml:space="preserve">, en la que requirió lo siguiente: </w:t>
      </w:r>
    </w:p>
    <w:p w14:paraId="4EEACF59" w14:textId="77777777" w:rsidR="00C877F6" w:rsidRPr="001B33FF" w:rsidRDefault="00C877F6">
      <w:pPr>
        <w:spacing w:line="360" w:lineRule="auto"/>
        <w:jc w:val="both"/>
        <w:rPr>
          <w:rFonts w:ascii="Palatino Linotype" w:eastAsia="Palatino Linotype" w:hAnsi="Palatino Linotype" w:cs="Palatino Linotype"/>
          <w:sz w:val="22"/>
          <w:szCs w:val="22"/>
        </w:rPr>
      </w:pPr>
    </w:p>
    <w:p w14:paraId="21215815" w14:textId="62082F81" w:rsidR="00C877F6" w:rsidRPr="001B33FF" w:rsidRDefault="00A065B4" w:rsidP="001244B6">
      <w:pPr>
        <w:numPr>
          <w:ilvl w:val="0"/>
          <w:numId w:val="2"/>
        </w:numPr>
        <w:pBdr>
          <w:top w:val="nil"/>
          <w:left w:val="nil"/>
          <w:bottom w:val="nil"/>
          <w:right w:val="nil"/>
          <w:between w:val="nil"/>
        </w:pBdr>
        <w:spacing w:line="360" w:lineRule="auto"/>
        <w:ind w:left="567" w:right="49"/>
        <w:jc w:val="both"/>
        <w:rPr>
          <w:rFonts w:ascii="Palatino Linotype" w:eastAsia="Palatino Linotype" w:hAnsi="Palatino Linotype" w:cs="Palatino Linotype"/>
          <w:b/>
          <w:sz w:val="22"/>
          <w:szCs w:val="22"/>
        </w:rPr>
      </w:pPr>
      <w:bookmarkStart w:id="1" w:name="_heading=h.3znysh7" w:colFirst="0" w:colLast="0"/>
      <w:bookmarkEnd w:id="1"/>
      <w:r w:rsidRPr="001B33FF">
        <w:rPr>
          <w:rFonts w:ascii="Palatino Linotype" w:eastAsia="Palatino Linotype" w:hAnsi="Palatino Linotype" w:cs="Palatino Linotype"/>
          <w:b/>
          <w:sz w:val="22"/>
          <w:szCs w:val="22"/>
        </w:rPr>
        <w:t>00</w:t>
      </w:r>
      <w:r w:rsidR="00CC5F38" w:rsidRPr="001B33FF">
        <w:rPr>
          <w:rFonts w:ascii="Palatino Linotype" w:eastAsia="Palatino Linotype" w:hAnsi="Palatino Linotype" w:cs="Palatino Linotype"/>
          <w:b/>
          <w:sz w:val="22"/>
          <w:szCs w:val="22"/>
        </w:rPr>
        <w:t>153</w:t>
      </w:r>
      <w:r w:rsidRPr="001B33FF">
        <w:rPr>
          <w:rFonts w:ascii="Palatino Linotype" w:eastAsia="Palatino Linotype" w:hAnsi="Palatino Linotype" w:cs="Palatino Linotype"/>
          <w:b/>
          <w:sz w:val="22"/>
          <w:szCs w:val="22"/>
        </w:rPr>
        <w:t>/</w:t>
      </w:r>
      <w:r w:rsidR="00CC5F38" w:rsidRPr="001B33FF">
        <w:rPr>
          <w:rFonts w:ascii="Palatino Linotype" w:eastAsia="Palatino Linotype" w:hAnsi="Palatino Linotype" w:cs="Palatino Linotype"/>
          <w:b/>
          <w:sz w:val="22"/>
          <w:szCs w:val="22"/>
        </w:rPr>
        <w:t>VABRAVO</w:t>
      </w:r>
      <w:r w:rsidR="00F36565" w:rsidRPr="001B33FF">
        <w:rPr>
          <w:rFonts w:ascii="Palatino Linotype" w:eastAsia="Palatino Linotype" w:hAnsi="Palatino Linotype" w:cs="Palatino Linotype"/>
          <w:b/>
          <w:sz w:val="22"/>
          <w:szCs w:val="22"/>
        </w:rPr>
        <w:t>/IP/2025</w:t>
      </w:r>
    </w:p>
    <w:p w14:paraId="173CF3CD" w14:textId="18057E3C" w:rsidR="00C877F6" w:rsidRPr="001B33FF" w:rsidRDefault="00F36565">
      <w:pPr>
        <w:spacing w:line="276" w:lineRule="auto"/>
        <w:ind w:left="567" w:right="843"/>
        <w:jc w:val="both"/>
        <w:rPr>
          <w:rFonts w:ascii="Palatino Linotype" w:eastAsia="Palatino Linotype" w:hAnsi="Palatino Linotype" w:cs="Palatino Linotype"/>
          <w:b/>
          <w:i/>
          <w:sz w:val="22"/>
          <w:szCs w:val="22"/>
        </w:rPr>
      </w:pPr>
      <w:r w:rsidRPr="001B33FF">
        <w:rPr>
          <w:rFonts w:ascii="Palatino Linotype" w:eastAsia="Palatino Linotype" w:hAnsi="Palatino Linotype" w:cs="Palatino Linotype"/>
          <w:i/>
          <w:sz w:val="22"/>
          <w:szCs w:val="22"/>
        </w:rPr>
        <w:t>"</w:t>
      </w:r>
      <w:r w:rsidR="00CC5F38" w:rsidRPr="001B33FF">
        <w:rPr>
          <w:rFonts w:ascii="Palatino Linotype" w:eastAsia="Palatino Linotype" w:hAnsi="Palatino Linotype" w:cs="Palatino Linotype"/>
          <w:i/>
          <w:sz w:val="22"/>
          <w:szCs w:val="22"/>
        </w:rPr>
        <w:t>quiero saber que acciones a realizado la unidad de transparencia respecto a la solicitu de informacion 0090/VABRAVO/IP/2025 y que a echo la contralora para sancionar el incmuplimiento del otorgamiento de la informacion en tiempo y pido los documentos en los que se pueda ver lo que estas areas han echo para sancionar o llamar la atencion a la tesoreray si han dado parte al infoem y si no lo an hecho por que y si si quiero el documento que lo acredite ya que el dia 7 d ejulio de 2025 la unidad d etrasparencia envio el oficio UTAIP/290/2025 y eso fue lo unico jque contesto a mi solicitu pero no dio respuesta y se le a iniciado alguna denuncia o procedimientoy el nunero de expediente. gracias tambien quiero saber si la señora presidenta sabe de que la tesorerera no da respuesta a las solicitud es de informacion y que a echo al respecto</w:t>
      </w:r>
      <w:r w:rsidRPr="001B33FF">
        <w:rPr>
          <w:rFonts w:ascii="Palatino Linotype" w:eastAsia="Palatino Linotype" w:hAnsi="Palatino Linotype" w:cs="Palatino Linotype"/>
          <w:b/>
          <w:i/>
          <w:sz w:val="22"/>
          <w:szCs w:val="22"/>
        </w:rPr>
        <w:t>” (Sic.)</w:t>
      </w:r>
    </w:p>
    <w:p w14:paraId="1861AE9B" w14:textId="77777777" w:rsidR="00C877F6" w:rsidRPr="001B33FF" w:rsidRDefault="00C877F6">
      <w:pPr>
        <w:spacing w:line="360" w:lineRule="auto"/>
        <w:ind w:left="567" w:right="843"/>
        <w:jc w:val="both"/>
        <w:rPr>
          <w:rFonts w:ascii="Palatino Linotype" w:eastAsia="Palatino Linotype" w:hAnsi="Palatino Linotype" w:cs="Palatino Linotype"/>
          <w:i/>
          <w:sz w:val="22"/>
          <w:szCs w:val="22"/>
        </w:rPr>
      </w:pPr>
    </w:p>
    <w:p w14:paraId="76742D72" w14:textId="77777777" w:rsidR="00C877F6" w:rsidRPr="001B33FF" w:rsidRDefault="00F36565">
      <w:pPr>
        <w:spacing w:line="360" w:lineRule="auto"/>
        <w:ind w:right="49"/>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Modalidad elegida para la entrega de la información:</w:t>
      </w:r>
      <w:r w:rsidRPr="001B33FF">
        <w:rPr>
          <w:rFonts w:ascii="Palatino Linotype" w:eastAsia="Palatino Linotype" w:hAnsi="Palatino Linotype" w:cs="Palatino Linotype"/>
          <w:sz w:val="22"/>
          <w:szCs w:val="22"/>
        </w:rPr>
        <w:t xml:space="preserve"> a través del Sistema de Acceso a la Información Mexiquense (SAIMEX).</w:t>
      </w:r>
    </w:p>
    <w:p w14:paraId="62007702" w14:textId="77777777" w:rsidR="00C877F6" w:rsidRPr="001B33FF" w:rsidRDefault="00C877F6">
      <w:pPr>
        <w:widowControl w:val="0"/>
        <w:spacing w:line="360" w:lineRule="auto"/>
        <w:jc w:val="both"/>
        <w:rPr>
          <w:rFonts w:ascii="Palatino Linotype" w:eastAsia="Palatino Linotype" w:hAnsi="Palatino Linotype" w:cs="Palatino Linotype"/>
          <w:b/>
          <w:sz w:val="22"/>
          <w:szCs w:val="22"/>
        </w:rPr>
      </w:pPr>
    </w:p>
    <w:p w14:paraId="46E266A9" w14:textId="454770FE" w:rsidR="00C877F6" w:rsidRPr="001B33FF" w:rsidRDefault="00F36565">
      <w:pPr>
        <w:widowControl w:val="0"/>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2. Respuesta.</w:t>
      </w:r>
      <w:r w:rsidRPr="001B33FF">
        <w:rPr>
          <w:rFonts w:ascii="Palatino Linotype" w:eastAsia="Palatino Linotype" w:hAnsi="Palatino Linotype" w:cs="Palatino Linotype"/>
          <w:sz w:val="22"/>
          <w:szCs w:val="22"/>
        </w:rPr>
        <w:t xml:space="preserve"> El </w:t>
      </w:r>
      <w:r w:rsidR="00CC5F38" w:rsidRPr="001B33FF">
        <w:rPr>
          <w:rFonts w:ascii="Palatino Linotype" w:eastAsia="Palatino Linotype" w:hAnsi="Palatino Linotype" w:cs="Palatino Linotype"/>
          <w:b/>
          <w:sz w:val="22"/>
          <w:szCs w:val="22"/>
        </w:rPr>
        <w:t>veintiocho</w:t>
      </w:r>
      <w:r w:rsidRPr="001B33FF">
        <w:rPr>
          <w:rFonts w:ascii="Palatino Linotype" w:eastAsia="Palatino Linotype" w:hAnsi="Palatino Linotype" w:cs="Palatino Linotype"/>
          <w:sz w:val="22"/>
          <w:szCs w:val="22"/>
        </w:rPr>
        <w:t xml:space="preserve"> </w:t>
      </w:r>
      <w:r w:rsidRPr="001B33FF">
        <w:rPr>
          <w:rFonts w:ascii="Palatino Linotype" w:eastAsia="Palatino Linotype" w:hAnsi="Palatino Linotype" w:cs="Palatino Linotype"/>
          <w:b/>
          <w:sz w:val="22"/>
          <w:szCs w:val="22"/>
        </w:rPr>
        <w:t xml:space="preserve">de </w:t>
      </w:r>
      <w:r w:rsidR="00CC5F38" w:rsidRPr="001B33FF">
        <w:rPr>
          <w:rFonts w:ascii="Palatino Linotype" w:eastAsia="Palatino Linotype" w:hAnsi="Palatino Linotype" w:cs="Palatino Linotype"/>
          <w:b/>
          <w:sz w:val="22"/>
          <w:szCs w:val="22"/>
        </w:rPr>
        <w:t>noviembre</w:t>
      </w:r>
      <w:r w:rsidR="009456FA" w:rsidRPr="001B33FF">
        <w:rPr>
          <w:rFonts w:ascii="Palatino Linotype" w:eastAsia="Palatino Linotype" w:hAnsi="Palatino Linotype" w:cs="Palatino Linotype"/>
          <w:b/>
          <w:sz w:val="22"/>
          <w:szCs w:val="22"/>
        </w:rPr>
        <w:t xml:space="preserve"> </w:t>
      </w:r>
      <w:r w:rsidRPr="001B33FF">
        <w:rPr>
          <w:rFonts w:ascii="Palatino Linotype" w:eastAsia="Palatino Linotype" w:hAnsi="Palatino Linotype" w:cs="Palatino Linotype"/>
          <w:b/>
          <w:sz w:val="22"/>
          <w:szCs w:val="22"/>
        </w:rPr>
        <w:t>de dos mil veinticinco</w:t>
      </w:r>
      <w:r w:rsidRPr="001B33FF">
        <w:rPr>
          <w:rFonts w:ascii="Palatino Linotype" w:eastAsia="Palatino Linotype" w:hAnsi="Palatino Linotype" w:cs="Palatino Linotype"/>
          <w:sz w:val="22"/>
          <w:szCs w:val="22"/>
        </w:rPr>
        <w:t>, el Sujeto Obligado dio respuesta a la solicitud en los siguientes términos:</w:t>
      </w:r>
    </w:p>
    <w:p w14:paraId="7689408D" w14:textId="77777777" w:rsidR="00C877F6" w:rsidRPr="001B33FF" w:rsidRDefault="00C877F6">
      <w:pPr>
        <w:widowControl w:val="0"/>
        <w:spacing w:line="360" w:lineRule="auto"/>
        <w:jc w:val="both"/>
        <w:rPr>
          <w:rFonts w:ascii="Palatino Linotype" w:eastAsia="Palatino Linotype" w:hAnsi="Palatino Linotype" w:cs="Palatino Linotype"/>
          <w:sz w:val="22"/>
          <w:szCs w:val="22"/>
        </w:rPr>
      </w:pPr>
    </w:p>
    <w:p w14:paraId="43619AB9" w14:textId="77777777" w:rsidR="005C0A5D" w:rsidRPr="001B33FF" w:rsidRDefault="00F36565" w:rsidP="005C0A5D">
      <w:pPr>
        <w:widowControl w:val="0"/>
        <w:spacing w:line="360" w:lineRule="auto"/>
        <w:ind w:left="567" w:right="843"/>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w:t>
      </w:r>
      <w:r w:rsidR="005C0A5D" w:rsidRPr="001B33FF">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127974B7" w14:textId="77777777" w:rsidR="005C0A5D" w:rsidRPr="001B33FF" w:rsidRDefault="005C0A5D" w:rsidP="005C0A5D">
      <w:pPr>
        <w:widowControl w:val="0"/>
        <w:spacing w:line="360" w:lineRule="auto"/>
        <w:ind w:left="567" w:right="843"/>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Se envía adjunta la presente documentación, la cual fue turnada a la Unidad de Transparencia y Acceso a la Información Pública del Municipio de Valle de Bravo (UTAIPM), de conformidad con los artículos 12, 50, 51, 53 fracciones II y IV, y 59 de la Ley de Transparencia y Acceso a la Información Pública del Estado de México y Municipios.</w:t>
      </w:r>
    </w:p>
    <w:p w14:paraId="587F4B39" w14:textId="77777777" w:rsidR="005C0A5D" w:rsidRPr="001B33FF" w:rsidRDefault="005C0A5D" w:rsidP="005C0A5D">
      <w:pPr>
        <w:widowControl w:val="0"/>
        <w:spacing w:line="360" w:lineRule="auto"/>
        <w:ind w:left="567" w:right="843"/>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ATENTAMENTE</w:t>
      </w:r>
    </w:p>
    <w:p w14:paraId="7858BA1C" w14:textId="2675B322" w:rsidR="00C877F6" w:rsidRPr="001B33FF" w:rsidRDefault="005C0A5D" w:rsidP="005C0A5D">
      <w:pPr>
        <w:widowControl w:val="0"/>
        <w:spacing w:line="360" w:lineRule="auto"/>
        <w:ind w:left="567" w:right="843"/>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LIC ARELI JARAMILLO ALVAREZ</w:t>
      </w:r>
      <w:r w:rsidR="00287278" w:rsidRPr="001B33FF">
        <w:rPr>
          <w:rFonts w:ascii="Palatino Linotype" w:eastAsia="Palatino Linotype" w:hAnsi="Palatino Linotype" w:cs="Palatino Linotype"/>
          <w:i/>
          <w:sz w:val="22"/>
          <w:szCs w:val="22"/>
        </w:rPr>
        <w:t>”</w:t>
      </w:r>
    </w:p>
    <w:p w14:paraId="7C751FDF" w14:textId="77777777" w:rsidR="009456FA" w:rsidRPr="001B33FF" w:rsidRDefault="009456FA" w:rsidP="009456FA">
      <w:pPr>
        <w:widowControl w:val="0"/>
        <w:spacing w:line="360" w:lineRule="auto"/>
        <w:ind w:left="567" w:right="843"/>
        <w:jc w:val="both"/>
        <w:rPr>
          <w:rFonts w:ascii="Palatino Linotype" w:eastAsia="Palatino Linotype" w:hAnsi="Palatino Linotype" w:cs="Palatino Linotype"/>
          <w:i/>
          <w:sz w:val="22"/>
          <w:szCs w:val="22"/>
        </w:rPr>
      </w:pPr>
    </w:p>
    <w:p w14:paraId="369D8218" w14:textId="4D4472FF" w:rsidR="00D42C47" w:rsidRPr="001B33FF" w:rsidRDefault="00F36565">
      <w:pPr>
        <w:widowControl w:val="0"/>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El Sujeto Obligado adjunt</w:t>
      </w:r>
      <w:r w:rsidR="000D6BF4" w:rsidRPr="001B33FF">
        <w:rPr>
          <w:rFonts w:ascii="Palatino Linotype" w:eastAsia="Palatino Linotype" w:hAnsi="Palatino Linotype" w:cs="Palatino Linotype"/>
          <w:sz w:val="22"/>
          <w:szCs w:val="22"/>
        </w:rPr>
        <w:t xml:space="preserve">ó </w:t>
      </w:r>
      <w:r w:rsidR="005C0A5D" w:rsidRPr="001B33FF">
        <w:rPr>
          <w:rFonts w:ascii="Palatino Linotype" w:eastAsia="Palatino Linotype" w:hAnsi="Palatino Linotype" w:cs="Palatino Linotype"/>
          <w:sz w:val="22"/>
          <w:szCs w:val="22"/>
        </w:rPr>
        <w:t>el</w:t>
      </w:r>
      <w:r w:rsidR="00D42C47" w:rsidRPr="001B33FF">
        <w:rPr>
          <w:rFonts w:ascii="Palatino Linotype" w:eastAsia="Palatino Linotype" w:hAnsi="Palatino Linotype" w:cs="Palatino Linotype"/>
          <w:sz w:val="22"/>
          <w:szCs w:val="22"/>
        </w:rPr>
        <w:t xml:space="preserve"> documento electrónico siguiente:</w:t>
      </w:r>
    </w:p>
    <w:p w14:paraId="05AA89CB" w14:textId="77777777" w:rsidR="00D42C47" w:rsidRPr="001B33FF" w:rsidRDefault="00D42C47">
      <w:pPr>
        <w:widowControl w:val="0"/>
        <w:spacing w:line="360" w:lineRule="auto"/>
        <w:jc w:val="both"/>
        <w:rPr>
          <w:rFonts w:ascii="Palatino Linotype" w:eastAsia="Palatino Linotype" w:hAnsi="Palatino Linotype" w:cs="Palatino Linotype"/>
          <w:sz w:val="22"/>
          <w:szCs w:val="22"/>
        </w:rPr>
      </w:pPr>
    </w:p>
    <w:p w14:paraId="55FC747B" w14:textId="0E10FE92" w:rsidR="005C0A5D" w:rsidRPr="001B33FF" w:rsidRDefault="005C0A5D" w:rsidP="00A065B4">
      <w:pPr>
        <w:pStyle w:val="Prrafodelista"/>
        <w:widowControl w:val="0"/>
        <w:numPr>
          <w:ilvl w:val="0"/>
          <w:numId w:val="5"/>
        </w:numPr>
        <w:spacing w:line="360" w:lineRule="auto"/>
        <w:jc w:val="both"/>
        <w:rPr>
          <w:rFonts w:ascii="Palatino Linotype" w:eastAsia="Palatino Linotype" w:hAnsi="Palatino Linotype" w:cs="Palatino Linotype"/>
          <w:b/>
          <w:sz w:val="22"/>
          <w:szCs w:val="22"/>
        </w:rPr>
      </w:pPr>
      <w:r w:rsidRPr="001B33FF">
        <w:rPr>
          <w:rFonts w:ascii="Palatino Linotype" w:eastAsia="Palatino Linotype" w:hAnsi="Palatino Linotype" w:cs="Palatino Linotype"/>
          <w:b/>
          <w:sz w:val="22"/>
          <w:szCs w:val="22"/>
        </w:rPr>
        <w:t xml:space="preserve">0153 TRANPARENCIA.pdf: </w:t>
      </w:r>
      <w:r w:rsidRPr="001B33FF">
        <w:rPr>
          <w:rFonts w:ascii="Palatino Linotype" w:eastAsia="Palatino Linotype" w:hAnsi="Palatino Linotype" w:cs="Palatino Linotype"/>
          <w:sz w:val="22"/>
          <w:szCs w:val="22"/>
        </w:rPr>
        <w:t>Documento suscrito por la Titular de la Unidad de Transparencia mediante el cual enlista las acciones que realiza la unidad de transparencia en la atención de las solicitudes.</w:t>
      </w:r>
    </w:p>
    <w:p w14:paraId="510D7656" w14:textId="77777777" w:rsidR="005C0A5D" w:rsidRPr="001B33FF" w:rsidRDefault="005C0A5D" w:rsidP="005C0A5D">
      <w:pPr>
        <w:pStyle w:val="Prrafodelista"/>
        <w:widowControl w:val="0"/>
        <w:spacing w:line="360" w:lineRule="auto"/>
        <w:jc w:val="both"/>
        <w:rPr>
          <w:rFonts w:ascii="Palatino Linotype" w:eastAsia="Palatino Linotype" w:hAnsi="Palatino Linotype" w:cs="Palatino Linotype"/>
          <w:b/>
          <w:sz w:val="22"/>
          <w:szCs w:val="22"/>
        </w:rPr>
      </w:pPr>
    </w:p>
    <w:p w14:paraId="0C81B16A" w14:textId="77777777" w:rsidR="005C0A5D" w:rsidRPr="001B33FF" w:rsidRDefault="005C0A5D" w:rsidP="005C0A5D">
      <w:pPr>
        <w:pStyle w:val="Prrafodelista"/>
        <w:widowControl w:val="0"/>
        <w:spacing w:line="360" w:lineRule="auto"/>
        <w:jc w:val="both"/>
        <w:rPr>
          <w:rFonts w:ascii="Palatino Linotype" w:eastAsia="Palatino Linotype" w:hAnsi="Palatino Linotype" w:cs="Palatino Linotype"/>
          <w:b/>
          <w:sz w:val="22"/>
          <w:szCs w:val="22"/>
        </w:rPr>
      </w:pPr>
    </w:p>
    <w:p w14:paraId="4DA0D391" w14:textId="54C3533B" w:rsidR="00C877F6" w:rsidRPr="001B33FF" w:rsidRDefault="00F36565">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lastRenderedPageBreak/>
        <w:t xml:space="preserve">3. Del Recurso de Revisión. </w:t>
      </w:r>
      <w:r w:rsidRPr="001B33FF">
        <w:rPr>
          <w:rFonts w:ascii="Palatino Linotype" w:eastAsia="Palatino Linotype" w:hAnsi="Palatino Linotype" w:cs="Palatino Linotype"/>
          <w:sz w:val="22"/>
          <w:szCs w:val="22"/>
        </w:rPr>
        <w:t>Inconforme con la respuesta del</w:t>
      </w:r>
      <w:r w:rsidRPr="001B33FF">
        <w:rPr>
          <w:rFonts w:ascii="Palatino Linotype" w:eastAsia="Palatino Linotype" w:hAnsi="Palatino Linotype" w:cs="Palatino Linotype"/>
          <w:b/>
          <w:sz w:val="22"/>
          <w:szCs w:val="22"/>
        </w:rPr>
        <w:t xml:space="preserve"> SUJETO OBLIGADO, </w:t>
      </w:r>
      <w:r w:rsidRPr="001B33FF">
        <w:rPr>
          <w:rFonts w:ascii="Palatino Linotype" w:eastAsia="Palatino Linotype" w:hAnsi="Palatino Linotype" w:cs="Palatino Linotype"/>
          <w:sz w:val="22"/>
          <w:szCs w:val="22"/>
        </w:rPr>
        <w:t xml:space="preserve">el </w:t>
      </w:r>
      <w:r w:rsidR="005B4F46" w:rsidRPr="001B33FF">
        <w:rPr>
          <w:rFonts w:ascii="Palatino Linotype" w:eastAsia="Palatino Linotype" w:hAnsi="Palatino Linotype" w:cs="Palatino Linotype"/>
          <w:b/>
          <w:sz w:val="22"/>
          <w:szCs w:val="22"/>
        </w:rPr>
        <w:t>dieci</w:t>
      </w:r>
      <w:r w:rsidR="00CC5F38" w:rsidRPr="001B33FF">
        <w:rPr>
          <w:rFonts w:ascii="Palatino Linotype" w:eastAsia="Palatino Linotype" w:hAnsi="Palatino Linotype" w:cs="Palatino Linotype"/>
          <w:b/>
          <w:sz w:val="22"/>
          <w:szCs w:val="22"/>
        </w:rPr>
        <w:t>ocho</w:t>
      </w:r>
      <w:r w:rsidR="005B4F46" w:rsidRPr="001B33FF">
        <w:rPr>
          <w:rFonts w:ascii="Palatino Linotype" w:eastAsia="Palatino Linotype" w:hAnsi="Palatino Linotype" w:cs="Palatino Linotype"/>
          <w:b/>
          <w:sz w:val="22"/>
          <w:szCs w:val="22"/>
        </w:rPr>
        <w:t xml:space="preserve"> </w:t>
      </w:r>
      <w:r w:rsidRPr="001B33FF">
        <w:rPr>
          <w:rFonts w:ascii="Palatino Linotype" w:eastAsia="Palatino Linotype" w:hAnsi="Palatino Linotype" w:cs="Palatino Linotype"/>
          <w:sz w:val="22"/>
          <w:szCs w:val="22"/>
        </w:rPr>
        <w:t>d</w:t>
      </w:r>
      <w:r w:rsidRPr="001B33FF">
        <w:rPr>
          <w:rFonts w:ascii="Palatino Linotype" w:eastAsia="Palatino Linotype" w:hAnsi="Palatino Linotype" w:cs="Palatino Linotype"/>
          <w:b/>
          <w:sz w:val="22"/>
          <w:szCs w:val="22"/>
        </w:rPr>
        <w:t xml:space="preserve">e </w:t>
      </w:r>
      <w:r w:rsidR="00880AF9" w:rsidRPr="001B33FF">
        <w:rPr>
          <w:rFonts w:ascii="Palatino Linotype" w:eastAsia="Palatino Linotype" w:hAnsi="Palatino Linotype" w:cs="Palatino Linotype"/>
          <w:b/>
          <w:sz w:val="22"/>
          <w:szCs w:val="22"/>
        </w:rPr>
        <w:t>diciembre</w:t>
      </w:r>
      <w:r w:rsidRPr="001B33FF">
        <w:rPr>
          <w:rFonts w:ascii="Palatino Linotype" w:eastAsia="Palatino Linotype" w:hAnsi="Palatino Linotype" w:cs="Palatino Linotype"/>
          <w:b/>
          <w:sz w:val="22"/>
          <w:szCs w:val="22"/>
        </w:rPr>
        <w:t xml:space="preserve"> de dos mil veinticinco, LA PARTE RECURRENTE </w:t>
      </w:r>
      <w:r w:rsidRPr="001B33FF">
        <w:rPr>
          <w:rFonts w:ascii="Palatino Linotype" w:eastAsia="Palatino Linotype" w:hAnsi="Palatino Linotype" w:cs="Palatino Linotype"/>
          <w:sz w:val="22"/>
          <w:szCs w:val="22"/>
        </w:rPr>
        <w:t xml:space="preserve">interpuso el recurso de revisión, mediante el cual y manifestó lo siguiente: </w:t>
      </w:r>
    </w:p>
    <w:p w14:paraId="36671519" w14:textId="2FCCB3A8" w:rsidR="00C877F6" w:rsidRPr="001B33FF" w:rsidRDefault="00F36565" w:rsidP="00430146">
      <w:pPr>
        <w:pStyle w:val="Listaconvietas3"/>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b/>
          <w:i/>
          <w:sz w:val="22"/>
          <w:szCs w:val="22"/>
        </w:rPr>
        <w:t>Acto Impugnado:</w:t>
      </w:r>
      <w:r w:rsidRPr="001B33FF">
        <w:rPr>
          <w:rFonts w:ascii="Palatino Linotype" w:eastAsia="Palatino Linotype" w:hAnsi="Palatino Linotype" w:cs="Palatino Linotype"/>
          <w:i/>
          <w:sz w:val="22"/>
          <w:szCs w:val="22"/>
        </w:rPr>
        <w:t xml:space="preserve"> “</w:t>
      </w:r>
      <w:r w:rsidR="00430146" w:rsidRPr="001B33FF">
        <w:rPr>
          <w:rFonts w:ascii="Palatino Linotype" w:eastAsia="Palatino Linotype" w:hAnsi="Palatino Linotype" w:cs="Palatino Linotype"/>
          <w:i/>
          <w:sz w:val="22"/>
          <w:szCs w:val="22"/>
        </w:rPr>
        <w:t>La omisión de dar respuesta a una petición de información</w:t>
      </w:r>
      <w:r w:rsidRPr="001B33FF">
        <w:rPr>
          <w:rFonts w:ascii="Palatino Linotype" w:eastAsia="Palatino Linotype" w:hAnsi="Palatino Linotype" w:cs="Palatino Linotype"/>
          <w:i/>
          <w:sz w:val="22"/>
          <w:szCs w:val="22"/>
        </w:rPr>
        <w:t>” (Sic.)</w:t>
      </w:r>
    </w:p>
    <w:p w14:paraId="2BA13102" w14:textId="77777777" w:rsidR="00C877F6" w:rsidRPr="001B33FF" w:rsidRDefault="00C877F6" w:rsidP="00430146">
      <w:pPr>
        <w:pBdr>
          <w:top w:val="nil"/>
          <w:left w:val="nil"/>
          <w:bottom w:val="nil"/>
          <w:right w:val="nil"/>
          <w:between w:val="nil"/>
        </w:pBdr>
        <w:spacing w:line="276" w:lineRule="auto"/>
        <w:ind w:left="720" w:right="560"/>
        <w:jc w:val="both"/>
        <w:rPr>
          <w:rFonts w:ascii="Palatino Linotype" w:eastAsia="Palatino Linotype" w:hAnsi="Palatino Linotype" w:cs="Palatino Linotype"/>
          <w:i/>
          <w:sz w:val="22"/>
          <w:szCs w:val="22"/>
        </w:rPr>
      </w:pPr>
    </w:p>
    <w:p w14:paraId="61E1D3CB" w14:textId="16249BA7" w:rsidR="00C877F6" w:rsidRPr="001B33FF" w:rsidRDefault="00F36565" w:rsidP="00430146">
      <w:pPr>
        <w:pStyle w:val="Listaconvietas3"/>
        <w:jc w:val="both"/>
        <w:rPr>
          <w:rFonts w:ascii="Palatino Linotype" w:eastAsia="Palatino Linotype" w:hAnsi="Palatino Linotype"/>
          <w:sz w:val="22"/>
          <w:szCs w:val="22"/>
        </w:rPr>
      </w:pPr>
      <w:r w:rsidRPr="001B33FF">
        <w:rPr>
          <w:rFonts w:ascii="Palatino Linotype" w:eastAsia="Palatino Linotype" w:hAnsi="Palatino Linotype"/>
          <w:b/>
          <w:sz w:val="22"/>
          <w:szCs w:val="22"/>
        </w:rPr>
        <w:t>Motivo de inconformidad:</w:t>
      </w:r>
      <w:r w:rsidRPr="001B33FF">
        <w:rPr>
          <w:rFonts w:ascii="Palatino Linotype" w:eastAsia="Palatino Linotype" w:hAnsi="Palatino Linotype"/>
          <w:sz w:val="22"/>
          <w:szCs w:val="22"/>
        </w:rPr>
        <w:t xml:space="preserve"> “</w:t>
      </w:r>
      <w:r w:rsidR="00430146" w:rsidRPr="001B33FF">
        <w:rPr>
          <w:rFonts w:ascii="Palatino Linotype" w:eastAsia="Palatino Linotype" w:hAnsi="Palatino Linotype" w:cs="Palatino Linotype"/>
          <w:i/>
          <w:sz w:val="22"/>
          <w:szCs w:val="22"/>
        </w:rPr>
        <w:t>He solicitado información en diversas ocasiones y la misma se me ha negado de manera implícita y la Unidad de Transparencia de Vallle de Bravo no hace nada al respecto, incluso esta es cómplice de la falta de información de los sujetos obligados, puesto que a las respuestas solo agrega cualquier documento por cumplir con sus términos y plazos, pero en realidad no cumple con las atribuciones conferidas en términos de la normatividad aplicable</w:t>
      </w:r>
      <w:r w:rsidR="00880AF9" w:rsidRPr="001B33FF">
        <w:rPr>
          <w:rFonts w:ascii="Palatino Linotype" w:eastAsia="Palatino Linotype" w:hAnsi="Palatino Linotype" w:cs="Palatino Linotype"/>
          <w:i/>
          <w:sz w:val="22"/>
          <w:szCs w:val="22"/>
        </w:rPr>
        <w:t>.</w:t>
      </w:r>
      <w:r w:rsidRPr="001B33FF">
        <w:rPr>
          <w:rFonts w:ascii="Palatino Linotype" w:eastAsia="Palatino Linotype" w:hAnsi="Palatino Linotype"/>
          <w:sz w:val="22"/>
          <w:szCs w:val="22"/>
        </w:rPr>
        <w:t>” (Sic.)</w:t>
      </w:r>
    </w:p>
    <w:p w14:paraId="5FFC28A4" w14:textId="77777777" w:rsidR="00422637" w:rsidRPr="001B33FF" w:rsidRDefault="00422637" w:rsidP="00422637">
      <w:pPr>
        <w:pStyle w:val="Prrafodelista"/>
        <w:rPr>
          <w:rFonts w:ascii="Palatino Linotype" w:eastAsia="Palatino Linotype" w:hAnsi="Palatino Linotype" w:cs="Palatino Linotype"/>
          <w:i/>
          <w:sz w:val="22"/>
          <w:szCs w:val="22"/>
        </w:rPr>
      </w:pPr>
    </w:p>
    <w:p w14:paraId="6A9E7514" w14:textId="7193CE19" w:rsidR="00C877F6" w:rsidRPr="001B33FF" w:rsidRDefault="00F36565">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 xml:space="preserve">4. Turno. </w:t>
      </w:r>
      <w:r w:rsidRPr="001B33FF">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00E56AE7" w:rsidRPr="001B33FF">
        <w:rPr>
          <w:rFonts w:ascii="Palatino Linotype" w:eastAsia="Palatino Linotype" w:hAnsi="Palatino Linotype" w:cs="Palatino Linotype"/>
          <w:b/>
          <w:sz w:val="22"/>
          <w:szCs w:val="22"/>
        </w:rPr>
        <w:t>14669/INFOEM/IP/RR/2025</w:t>
      </w:r>
      <w:r w:rsidRPr="001B33FF">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Pr="001B33FF">
        <w:rPr>
          <w:rFonts w:ascii="Palatino Linotype" w:eastAsia="Palatino Linotype" w:hAnsi="Palatino Linotype" w:cs="Palatino Linotype"/>
          <w:b/>
          <w:sz w:val="22"/>
          <w:szCs w:val="22"/>
        </w:rPr>
        <w:t>Guadalupe Ramírez Peña</w:t>
      </w:r>
      <w:r w:rsidRPr="001B33FF">
        <w:rPr>
          <w:rFonts w:ascii="Palatino Linotype" w:eastAsia="Palatino Linotype" w:hAnsi="Palatino Linotype" w:cs="Palatino Linotype"/>
          <w:sz w:val="22"/>
          <w:szCs w:val="22"/>
        </w:rPr>
        <w:t>, para su análisis, estudio, elaboración del proyecto y presentación ante el Pleno de este Instituto.</w:t>
      </w:r>
    </w:p>
    <w:p w14:paraId="5BFE6F75" w14:textId="77777777" w:rsidR="00C877F6" w:rsidRPr="001B33FF" w:rsidRDefault="00C877F6">
      <w:pPr>
        <w:spacing w:line="360" w:lineRule="auto"/>
        <w:jc w:val="both"/>
        <w:rPr>
          <w:rFonts w:ascii="Palatino Linotype" w:eastAsia="Palatino Linotype" w:hAnsi="Palatino Linotype" w:cs="Palatino Linotype"/>
          <w:sz w:val="22"/>
          <w:szCs w:val="22"/>
        </w:rPr>
      </w:pPr>
    </w:p>
    <w:p w14:paraId="4B06CA9F" w14:textId="7D63DDDE" w:rsidR="00C877F6" w:rsidRPr="001B33FF" w:rsidRDefault="00F36565">
      <w:pPr>
        <w:spacing w:line="360" w:lineRule="auto"/>
        <w:jc w:val="both"/>
        <w:rPr>
          <w:rFonts w:ascii="Palatino Linotype" w:eastAsia="Palatino Linotype" w:hAnsi="Palatino Linotype" w:cs="Palatino Linotype"/>
          <w:b/>
          <w:sz w:val="22"/>
          <w:szCs w:val="22"/>
        </w:rPr>
      </w:pPr>
      <w:r w:rsidRPr="001B33FF">
        <w:rPr>
          <w:rFonts w:ascii="Palatino Linotype" w:eastAsia="Palatino Linotype" w:hAnsi="Palatino Linotype" w:cs="Palatino Linotype"/>
          <w:b/>
          <w:sz w:val="22"/>
          <w:szCs w:val="22"/>
        </w:rPr>
        <w:t xml:space="preserve">5. Admisión. </w:t>
      </w:r>
      <w:r w:rsidRPr="001B33FF">
        <w:rPr>
          <w:rFonts w:ascii="Palatino Linotype" w:eastAsia="Palatino Linotype" w:hAnsi="Palatino Linotype" w:cs="Palatino Linotype"/>
          <w:sz w:val="22"/>
          <w:szCs w:val="22"/>
        </w:rPr>
        <w:t xml:space="preserve">El </w:t>
      </w:r>
      <w:r w:rsidR="00CC5F38" w:rsidRPr="001B33FF">
        <w:rPr>
          <w:rFonts w:ascii="Palatino Linotype" w:eastAsia="Palatino Linotype" w:hAnsi="Palatino Linotype" w:cs="Palatino Linotype"/>
          <w:b/>
          <w:sz w:val="22"/>
          <w:szCs w:val="22"/>
        </w:rPr>
        <w:t>trece</w:t>
      </w:r>
      <w:r w:rsidR="005A4875" w:rsidRPr="001B33FF">
        <w:rPr>
          <w:rFonts w:ascii="Palatino Linotype" w:eastAsia="Palatino Linotype" w:hAnsi="Palatino Linotype" w:cs="Palatino Linotype"/>
          <w:b/>
          <w:sz w:val="22"/>
          <w:szCs w:val="22"/>
        </w:rPr>
        <w:t xml:space="preserve"> de </w:t>
      </w:r>
      <w:r w:rsidR="00B44028" w:rsidRPr="001B33FF">
        <w:rPr>
          <w:rFonts w:ascii="Palatino Linotype" w:eastAsia="Palatino Linotype" w:hAnsi="Palatino Linotype" w:cs="Palatino Linotype"/>
          <w:b/>
          <w:sz w:val="22"/>
          <w:szCs w:val="22"/>
        </w:rPr>
        <w:t>enero de dos mil veintiséis</w:t>
      </w:r>
      <w:r w:rsidRPr="001B33FF">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w:t>
      </w:r>
      <w:r w:rsidRPr="001B33FF">
        <w:rPr>
          <w:rFonts w:ascii="Palatino Linotype" w:eastAsia="Palatino Linotype" w:hAnsi="Palatino Linotype" w:cs="Palatino Linotype"/>
          <w:b/>
          <w:sz w:val="22"/>
          <w:szCs w:val="22"/>
        </w:rPr>
        <w:t>.</w:t>
      </w:r>
      <w:r w:rsidR="005A668A" w:rsidRPr="001B33FF">
        <w:rPr>
          <w:rFonts w:ascii="Palatino Linotype" w:eastAsia="Palatino Linotype" w:hAnsi="Palatino Linotype" w:cs="Palatino Linotype"/>
          <w:b/>
          <w:sz w:val="22"/>
          <w:szCs w:val="22"/>
        </w:rPr>
        <w:t xml:space="preserve"> </w:t>
      </w:r>
    </w:p>
    <w:p w14:paraId="5E981DE9" w14:textId="77777777" w:rsidR="00C877F6" w:rsidRPr="001B33FF" w:rsidRDefault="00C877F6">
      <w:pPr>
        <w:spacing w:line="360" w:lineRule="auto"/>
        <w:jc w:val="both"/>
        <w:rPr>
          <w:rFonts w:ascii="Palatino Linotype" w:eastAsia="Palatino Linotype" w:hAnsi="Palatino Linotype" w:cs="Palatino Linotype"/>
          <w:b/>
          <w:sz w:val="22"/>
          <w:szCs w:val="22"/>
        </w:rPr>
      </w:pPr>
    </w:p>
    <w:p w14:paraId="400F12CD" w14:textId="629662E3" w:rsidR="00B44028" w:rsidRPr="001B33FF" w:rsidRDefault="00F36565">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6. Manifestaciones.</w:t>
      </w:r>
      <w:r w:rsidRPr="001B33FF">
        <w:rPr>
          <w:rFonts w:ascii="Palatino Linotype" w:eastAsia="Palatino Linotype" w:hAnsi="Palatino Linotype" w:cs="Palatino Linotype"/>
          <w:sz w:val="22"/>
          <w:szCs w:val="22"/>
        </w:rPr>
        <w:t xml:space="preserve"> De las constancias que obran en el expediente electrónico del SAIMEX, se advierte que el Sujeto Obligado rindió su informe justificado, el</w:t>
      </w:r>
      <w:r w:rsidR="00B44028" w:rsidRPr="001B33FF">
        <w:rPr>
          <w:rFonts w:ascii="Palatino Linotype" w:eastAsia="Palatino Linotype" w:hAnsi="Palatino Linotype" w:cs="Palatino Linotype"/>
          <w:sz w:val="22"/>
          <w:szCs w:val="22"/>
        </w:rPr>
        <w:t xml:space="preserve"> </w:t>
      </w:r>
      <w:r w:rsidR="00CC5F38" w:rsidRPr="001B33FF">
        <w:rPr>
          <w:rFonts w:ascii="Palatino Linotype" w:eastAsia="Palatino Linotype" w:hAnsi="Palatino Linotype" w:cs="Palatino Linotype"/>
          <w:b/>
          <w:sz w:val="22"/>
          <w:szCs w:val="22"/>
        </w:rPr>
        <w:t>veintidós</w:t>
      </w:r>
      <w:r w:rsidRPr="001B33FF">
        <w:rPr>
          <w:rFonts w:ascii="Palatino Linotype" w:eastAsia="Palatino Linotype" w:hAnsi="Palatino Linotype" w:cs="Palatino Linotype"/>
          <w:b/>
          <w:sz w:val="22"/>
          <w:szCs w:val="22"/>
        </w:rPr>
        <w:t xml:space="preserve"> </w:t>
      </w:r>
      <w:r w:rsidR="00B44028" w:rsidRPr="001B33FF">
        <w:rPr>
          <w:rFonts w:ascii="Palatino Linotype" w:eastAsia="Palatino Linotype" w:hAnsi="Palatino Linotype" w:cs="Palatino Linotype"/>
          <w:b/>
          <w:sz w:val="22"/>
          <w:szCs w:val="22"/>
        </w:rPr>
        <w:t>de enero de dos mil veintiséis</w:t>
      </w:r>
      <w:r w:rsidRPr="001B33FF">
        <w:rPr>
          <w:rFonts w:ascii="Palatino Linotype" w:eastAsia="Palatino Linotype" w:hAnsi="Palatino Linotype" w:cs="Palatino Linotype"/>
          <w:b/>
          <w:sz w:val="22"/>
          <w:szCs w:val="22"/>
        </w:rPr>
        <w:t>,</w:t>
      </w:r>
      <w:r w:rsidRPr="001B33FF">
        <w:rPr>
          <w:rFonts w:ascii="Palatino Linotype" w:eastAsia="Palatino Linotype" w:hAnsi="Palatino Linotype" w:cs="Palatino Linotype"/>
          <w:sz w:val="22"/>
          <w:szCs w:val="22"/>
        </w:rPr>
        <w:t xml:space="preserve"> a través del documento electrónico denominado</w:t>
      </w:r>
      <w:r w:rsidR="007861D5" w:rsidRPr="001B33FF">
        <w:rPr>
          <w:rFonts w:ascii="Palatino Linotype" w:eastAsia="Palatino Linotype" w:hAnsi="Palatino Linotype" w:cs="Palatino Linotype"/>
          <w:sz w:val="22"/>
          <w:szCs w:val="22"/>
        </w:rPr>
        <w:t xml:space="preserve"> </w:t>
      </w:r>
      <w:r w:rsidR="00CC5F38" w:rsidRPr="001B33FF">
        <w:rPr>
          <w:rFonts w:ascii="Palatino Linotype" w:eastAsia="Palatino Linotype" w:hAnsi="Palatino Linotype" w:cs="Palatino Linotype"/>
          <w:b/>
          <w:i/>
          <w:sz w:val="22"/>
          <w:szCs w:val="22"/>
        </w:rPr>
        <w:t>Escáner_20260122.pdf</w:t>
      </w:r>
      <w:r w:rsidR="00CC5F38" w:rsidRPr="001B33FF">
        <w:rPr>
          <w:rFonts w:ascii="Palatino Linotype" w:eastAsia="Palatino Linotype" w:hAnsi="Palatino Linotype" w:cs="Palatino Linotype"/>
          <w:b/>
          <w:sz w:val="22"/>
          <w:szCs w:val="22"/>
        </w:rPr>
        <w:t xml:space="preserve"> </w:t>
      </w:r>
      <w:r w:rsidR="00CC5F38" w:rsidRPr="001B33FF">
        <w:rPr>
          <w:rFonts w:ascii="Palatino Linotype" w:eastAsia="Palatino Linotype" w:hAnsi="Palatino Linotype" w:cs="Palatino Linotype"/>
          <w:sz w:val="22"/>
          <w:szCs w:val="22"/>
        </w:rPr>
        <w:t xml:space="preserve">suscrito por el Titular de la Unidad de Transparencia mediante el cual </w:t>
      </w:r>
      <w:r w:rsidR="00227160" w:rsidRPr="001B33FF">
        <w:rPr>
          <w:rFonts w:ascii="Palatino Linotype" w:eastAsia="Palatino Linotype" w:hAnsi="Palatino Linotype" w:cs="Palatino Linotype"/>
          <w:sz w:val="22"/>
          <w:szCs w:val="22"/>
        </w:rPr>
        <w:t>enlista las acciones realizadas en la atención a la solicitud.</w:t>
      </w:r>
      <w:r w:rsidR="00227160" w:rsidRPr="001B33FF">
        <w:rPr>
          <w:rFonts w:ascii="Palatino Linotype" w:eastAsia="Palatino Linotype" w:hAnsi="Palatino Linotype" w:cs="Palatino Linotype"/>
          <w:b/>
          <w:sz w:val="22"/>
          <w:szCs w:val="22"/>
        </w:rPr>
        <w:t xml:space="preserve"> </w:t>
      </w:r>
      <w:r w:rsidR="00695950" w:rsidRPr="001B33FF">
        <w:rPr>
          <w:rFonts w:ascii="Palatino Linotype" w:eastAsia="Palatino Linotype" w:hAnsi="Palatino Linotype" w:cs="Palatino Linotype"/>
          <w:sz w:val="22"/>
          <w:szCs w:val="22"/>
        </w:rPr>
        <w:t>Asimismo, señala que se envió el turno a la Tesorería sin que se obtuviera respuesta; sin embargo, al no darle seguimiento a la solicitud se tuvo por concluida. Además, no se cuenta con la información solicitada debido a que no se interpuso recurso de revisión.</w:t>
      </w:r>
    </w:p>
    <w:p w14:paraId="07465F91" w14:textId="77777777" w:rsidR="00CC5F38" w:rsidRPr="001B33FF" w:rsidRDefault="00CC5F38">
      <w:pPr>
        <w:spacing w:line="360" w:lineRule="auto"/>
        <w:jc w:val="both"/>
        <w:rPr>
          <w:rFonts w:ascii="Palatino Linotype" w:eastAsia="Palatino Linotype" w:hAnsi="Palatino Linotype" w:cs="Palatino Linotype"/>
          <w:sz w:val="22"/>
          <w:szCs w:val="22"/>
        </w:rPr>
      </w:pPr>
    </w:p>
    <w:p w14:paraId="646D2EDF" w14:textId="5452A8C5" w:rsidR="00C877F6" w:rsidRPr="001B33FF" w:rsidRDefault="007A6765">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7</w:t>
      </w:r>
      <w:r w:rsidR="00F36565" w:rsidRPr="001B33FF">
        <w:rPr>
          <w:rFonts w:ascii="Palatino Linotype" w:eastAsia="Palatino Linotype" w:hAnsi="Palatino Linotype" w:cs="Palatino Linotype"/>
          <w:b/>
          <w:sz w:val="22"/>
          <w:szCs w:val="22"/>
        </w:rPr>
        <w:t>. Cierre de instrucción</w:t>
      </w:r>
      <w:r w:rsidR="00F36565" w:rsidRPr="001B33FF">
        <w:rPr>
          <w:rFonts w:ascii="Palatino Linotype" w:eastAsia="Palatino Linotype" w:hAnsi="Palatino Linotype" w:cs="Palatino Linotype"/>
          <w:sz w:val="22"/>
          <w:szCs w:val="22"/>
        </w:rPr>
        <w:t xml:space="preserve">. En fecha </w:t>
      </w:r>
      <w:r w:rsidR="00F94226" w:rsidRPr="001B33FF">
        <w:rPr>
          <w:rFonts w:ascii="Palatino Linotype" w:eastAsia="Palatino Linotype" w:hAnsi="Palatino Linotype" w:cs="Palatino Linotype"/>
          <w:b/>
          <w:sz w:val="22"/>
          <w:szCs w:val="22"/>
        </w:rPr>
        <w:t>veint</w:t>
      </w:r>
      <w:r w:rsidRPr="001B33FF">
        <w:rPr>
          <w:rFonts w:ascii="Palatino Linotype" w:eastAsia="Palatino Linotype" w:hAnsi="Palatino Linotype" w:cs="Palatino Linotype"/>
          <w:b/>
          <w:sz w:val="22"/>
          <w:szCs w:val="22"/>
        </w:rPr>
        <w:t>ic</w:t>
      </w:r>
      <w:r w:rsidR="00AB1669" w:rsidRPr="001B33FF">
        <w:rPr>
          <w:rFonts w:ascii="Palatino Linotype" w:eastAsia="Palatino Linotype" w:hAnsi="Palatino Linotype" w:cs="Palatino Linotype"/>
          <w:b/>
          <w:sz w:val="22"/>
          <w:szCs w:val="22"/>
        </w:rPr>
        <w:t>inco</w:t>
      </w:r>
      <w:r w:rsidR="00F94226" w:rsidRPr="001B33FF">
        <w:rPr>
          <w:rFonts w:ascii="Palatino Linotype" w:eastAsia="Palatino Linotype" w:hAnsi="Palatino Linotype" w:cs="Palatino Linotype"/>
          <w:sz w:val="22"/>
          <w:szCs w:val="22"/>
        </w:rPr>
        <w:t xml:space="preserve"> </w:t>
      </w:r>
      <w:r w:rsidR="00F36565" w:rsidRPr="001B33FF">
        <w:rPr>
          <w:rFonts w:ascii="Palatino Linotype" w:eastAsia="Palatino Linotype" w:hAnsi="Palatino Linotype" w:cs="Palatino Linotype"/>
          <w:b/>
          <w:sz w:val="22"/>
          <w:szCs w:val="22"/>
        </w:rPr>
        <w:t xml:space="preserve">de </w:t>
      </w:r>
      <w:r w:rsidR="000F3A18" w:rsidRPr="001B33FF">
        <w:rPr>
          <w:rFonts w:ascii="Palatino Linotype" w:eastAsia="Palatino Linotype" w:hAnsi="Palatino Linotype" w:cs="Palatino Linotype"/>
          <w:b/>
          <w:sz w:val="22"/>
          <w:szCs w:val="22"/>
        </w:rPr>
        <w:t>febrero</w:t>
      </w:r>
      <w:r w:rsidR="00F36565" w:rsidRPr="001B33FF">
        <w:rPr>
          <w:rFonts w:ascii="Palatino Linotype" w:eastAsia="Palatino Linotype" w:hAnsi="Palatino Linotype" w:cs="Palatino Linotype"/>
          <w:b/>
          <w:sz w:val="22"/>
          <w:szCs w:val="22"/>
        </w:rPr>
        <w:t xml:space="preserve"> de dos mil veinti</w:t>
      </w:r>
      <w:r w:rsidR="00E111DF" w:rsidRPr="001B33FF">
        <w:rPr>
          <w:rFonts w:ascii="Palatino Linotype" w:eastAsia="Palatino Linotype" w:hAnsi="Palatino Linotype" w:cs="Palatino Linotype"/>
          <w:b/>
          <w:sz w:val="22"/>
          <w:szCs w:val="22"/>
        </w:rPr>
        <w:t>séis</w:t>
      </w:r>
      <w:r w:rsidR="00F36565" w:rsidRPr="001B33FF">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BAC11C7" w14:textId="77777777" w:rsidR="00C877F6" w:rsidRPr="001B33FF" w:rsidRDefault="00C877F6">
      <w:pPr>
        <w:spacing w:line="360" w:lineRule="auto"/>
        <w:ind w:right="49"/>
        <w:jc w:val="both"/>
        <w:rPr>
          <w:rFonts w:ascii="Palatino Linotype" w:eastAsia="Palatino Linotype" w:hAnsi="Palatino Linotype" w:cs="Palatino Linotype"/>
          <w:sz w:val="22"/>
          <w:szCs w:val="22"/>
        </w:rPr>
      </w:pPr>
    </w:p>
    <w:p w14:paraId="2332E74C" w14:textId="1BEBEA7B" w:rsidR="00C877F6" w:rsidRPr="001B33FF" w:rsidRDefault="00F36565">
      <w:pPr>
        <w:spacing w:line="360" w:lineRule="auto"/>
        <w:ind w:right="49"/>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Debido a que fue</w:t>
      </w:r>
      <w:r w:rsidR="008D5D61" w:rsidRPr="001B33FF">
        <w:rPr>
          <w:rFonts w:ascii="Palatino Linotype" w:eastAsia="Palatino Linotype" w:hAnsi="Palatino Linotype" w:cs="Palatino Linotype"/>
          <w:sz w:val="22"/>
          <w:szCs w:val="22"/>
        </w:rPr>
        <w:t xml:space="preserve"> debidamente sustanciado</w:t>
      </w:r>
      <w:r w:rsidRPr="001B33FF">
        <w:rPr>
          <w:rFonts w:ascii="Palatino Linotype" w:eastAsia="Palatino Linotype" w:hAnsi="Palatino Linotype" w:cs="Palatino Linotype"/>
          <w:sz w:val="22"/>
          <w:szCs w:val="22"/>
        </w:rPr>
        <w:t xml:space="preserve"> </w:t>
      </w:r>
      <w:r w:rsidR="008D5D61" w:rsidRPr="001B33FF">
        <w:rPr>
          <w:rFonts w:ascii="Palatino Linotype" w:eastAsia="Palatino Linotype" w:hAnsi="Palatino Linotype" w:cs="Palatino Linotype"/>
          <w:sz w:val="22"/>
          <w:szCs w:val="22"/>
        </w:rPr>
        <w:tab/>
        <w:t>el</w:t>
      </w:r>
      <w:r w:rsidRPr="001B33FF">
        <w:rPr>
          <w:rFonts w:ascii="Palatino Linotype" w:eastAsia="Palatino Linotype" w:hAnsi="Palatino Linotype" w:cs="Palatino Linotype"/>
          <w:sz w:val="22"/>
          <w:szCs w:val="22"/>
        </w:rPr>
        <w:t xml:space="preserve"> expediente electrónico y no existe diligencia pendiente de desahogo, se emite la Resolución que conforme a Derecho proceda, de acuerdo con los siguientes: </w:t>
      </w:r>
    </w:p>
    <w:p w14:paraId="76DFC1EA" w14:textId="77777777" w:rsidR="008360A2" w:rsidRPr="001B33FF" w:rsidRDefault="008360A2">
      <w:pPr>
        <w:spacing w:line="360" w:lineRule="auto"/>
        <w:ind w:right="49"/>
        <w:jc w:val="both"/>
        <w:rPr>
          <w:rFonts w:ascii="Palatino Linotype" w:eastAsia="Palatino Linotype" w:hAnsi="Palatino Linotype" w:cs="Palatino Linotype"/>
          <w:sz w:val="22"/>
          <w:szCs w:val="22"/>
        </w:rPr>
      </w:pPr>
    </w:p>
    <w:p w14:paraId="17694FE8" w14:textId="549072A2" w:rsidR="00C877F6" w:rsidRPr="001B33FF" w:rsidRDefault="00F36565" w:rsidP="009A113E">
      <w:pPr>
        <w:spacing w:line="360" w:lineRule="auto"/>
        <w:ind w:left="720" w:right="49" w:hanging="720"/>
        <w:jc w:val="center"/>
        <w:rPr>
          <w:rFonts w:ascii="Palatino Linotype" w:eastAsia="Palatino Linotype" w:hAnsi="Palatino Linotype" w:cs="Palatino Linotype"/>
          <w:b/>
          <w:sz w:val="22"/>
          <w:szCs w:val="22"/>
        </w:rPr>
      </w:pPr>
      <w:r w:rsidRPr="001B33FF">
        <w:rPr>
          <w:rFonts w:ascii="Palatino Linotype" w:eastAsia="Palatino Linotype" w:hAnsi="Palatino Linotype" w:cs="Palatino Linotype"/>
          <w:b/>
          <w:sz w:val="22"/>
          <w:szCs w:val="22"/>
        </w:rPr>
        <w:t>II.</w:t>
      </w:r>
      <w:r w:rsidRPr="001B33FF">
        <w:rPr>
          <w:rFonts w:ascii="Palatino Linotype" w:eastAsia="Palatino Linotype" w:hAnsi="Palatino Linotype" w:cs="Palatino Linotype"/>
          <w:b/>
          <w:sz w:val="22"/>
          <w:szCs w:val="22"/>
        </w:rPr>
        <w:tab/>
        <w:t>C O N S I D E R A N D O:</w:t>
      </w:r>
      <w:r w:rsidR="00351E01" w:rsidRPr="001B33FF">
        <w:rPr>
          <w:rFonts w:ascii="Palatino Linotype" w:eastAsia="Palatino Linotype" w:hAnsi="Palatino Linotype" w:cs="Palatino Linotype"/>
          <w:b/>
          <w:sz w:val="22"/>
          <w:szCs w:val="22"/>
        </w:rPr>
        <w:t xml:space="preserve"> </w:t>
      </w:r>
    </w:p>
    <w:p w14:paraId="3E2B3FBD" w14:textId="77777777" w:rsidR="00C877F6" w:rsidRPr="001B33FF" w:rsidRDefault="00C877F6">
      <w:pPr>
        <w:spacing w:line="360" w:lineRule="auto"/>
        <w:ind w:right="49"/>
        <w:jc w:val="both"/>
        <w:rPr>
          <w:rFonts w:ascii="Palatino Linotype" w:eastAsia="Palatino Linotype" w:hAnsi="Palatino Linotype" w:cs="Palatino Linotype"/>
          <w:sz w:val="22"/>
          <w:szCs w:val="22"/>
        </w:rPr>
      </w:pPr>
    </w:p>
    <w:p w14:paraId="1C3901F1" w14:textId="77777777" w:rsidR="00C877F6" w:rsidRPr="001B33FF" w:rsidRDefault="00F36565">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Primero. Competencia.</w:t>
      </w:r>
      <w:r w:rsidRPr="001B33FF">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520C2A94" w14:textId="77777777" w:rsidR="00C877F6" w:rsidRPr="001B33FF" w:rsidRDefault="00F36565">
      <w:pPr>
        <w:spacing w:before="240" w:after="240"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 xml:space="preserve">Segundo. Oportunidad y Procedibilidad del Recurso de Revisión. </w:t>
      </w:r>
      <w:r w:rsidRPr="001B33FF">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37CA5A2A" w14:textId="77777777" w:rsidR="00C877F6" w:rsidRPr="001B33FF" w:rsidRDefault="00F36565">
      <w:pPr>
        <w:spacing w:before="240" w:after="240"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14:paraId="68F1D466" w14:textId="77777777" w:rsidR="00C877F6" w:rsidRPr="001B33FF" w:rsidRDefault="00F36565">
      <w:pPr>
        <w:spacing w:line="360" w:lineRule="auto"/>
        <w:ind w:left="851" w:right="900"/>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b/>
          <w:i/>
          <w:sz w:val="22"/>
          <w:szCs w:val="22"/>
        </w:rPr>
        <w:t xml:space="preserve">“Artículo 178. </w:t>
      </w:r>
      <w:r w:rsidRPr="001B33FF">
        <w:rPr>
          <w:rFonts w:ascii="Palatino Linotype" w:eastAsia="Palatino Linotype" w:hAnsi="Palatino Linotype" w:cs="Palatino Linotype"/>
          <w:i/>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206E3069" w14:textId="2A675C23" w:rsidR="00C877F6" w:rsidRPr="001B33FF" w:rsidRDefault="00F36565">
      <w:pPr>
        <w:spacing w:before="240" w:after="240" w:line="360" w:lineRule="auto"/>
        <w:ind w:right="49"/>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Del precepto legal transcrito, se desprende que cuando los solicitantes de información en el ejercicio del derecho de acceso a la información no se encuentren satisfechos con la información entregada por los sujetos obligados, podrán interponer recurso de revisión de manera directa o por medios electrónicos dentro de los quince días hábiles siguientes a la fecha de notificación de la respuesta, y, toda vez que el </w:t>
      </w:r>
      <w:r w:rsidRPr="001B33FF">
        <w:rPr>
          <w:rFonts w:ascii="Palatino Linotype" w:eastAsia="Palatino Linotype" w:hAnsi="Palatino Linotype" w:cs="Palatino Linotype"/>
          <w:b/>
          <w:sz w:val="22"/>
          <w:szCs w:val="22"/>
        </w:rPr>
        <w:t>SUJETO OBLIGADO</w:t>
      </w:r>
      <w:r w:rsidRPr="001B33FF">
        <w:rPr>
          <w:rFonts w:ascii="Palatino Linotype" w:eastAsia="Palatino Linotype" w:hAnsi="Palatino Linotype" w:cs="Palatino Linotype"/>
          <w:sz w:val="22"/>
          <w:szCs w:val="22"/>
        </w:rPr>
        <w:t xml:space="preserve"> remitió la respuesta a la solicitud de información el día </w:t>
      </w:r>
      <w:r w:rsidR="007477F6" w:rsidRPr="001B33FF">
        <w:rPr>
          <w:rFonts w:ascii="Palatino Linotype" w:eastAsia="Palatino Linotype" w:hAnsi="Palatino Linotype" w:cs="Palatino Linotype"/>
          <w:b/>
          <w:sz w:val="22"/>
          <w:szCs w:val="22"/>
        </w:rPr>
        <w:t>veintiocho</w:t>
      </w:r>
      <w:r w:rsidR="00F94226" w:rsidRPr="001B33FF">
        <w:rPr>
          <w:rFonts w:ascii="Palatino Linotype" w:eastAsia="Palatino Linotype" w:hAnsi="Palatino Linotype" w:cs="Palatino Linotype"/>
          <w:b/>
          <w:sz w:val="22"/>
          <w:szCs w:val="22"/>
        </w:rPr>
        <w:t xml:space="preserve"> de </w:t>
      </w:r>
      <w:r w:rsidR="007477F6" w:rsidRPr="001B33FF">
        <w:rPr>
          <w:rFonts w:ascii="Palatino Linotype" w:eastAsia="Palatino Linotype" w:hAnsi="Palatino Linotype" w:cs="Palatino Linotype"/>
          <w:b/>
          <w:sz w:val="22"/>
          <w:szCs w:val="22"/>
        </w:rPr>
        <w:t>noviembre</w:t>
      </w:r>
      <w:r w:rsidR="008E4A90" w:rsidRPr="001B33FF">
        <w:rPr>
          <w:rFonts w:ascii="Palatino Linotype" w:eastAsia="Palatino Linotype" w:hAnsi="Palatino Linotype" w:cs="Palatino Linotype"/>
          <w:b/>
          <w:sz w:val="22"/>
          <w:szCs w:val="22"/>
        </w:rPr>
        <w:t xml:space="preserve"> </w:t>
      </w:r>
      <w:r w:rsidRPr="001B33FF">
        <w:rPr>
          <w:rFonts w:ascii="Palatino Linotype" w:eastAsia="Palatino Linotype" w:hAnsi="Palatino Linotype" w:cs="Palatino Linotype"/>
          <w:b/>
          <w:sz w:val="22"/>
          <w:szCs w:val="22"/>
        </w:rPr>
        <w:t xml:space="preserve">de dos mil veinticinco, </w:t>
      </w:r>
      <w:r w:rsidRPr="001B33FF">
        <w:rPr>
          <w:rFonts w:ascii="Palatino Linotype" w:eastAsia="Palatino Linotype" w:hAnsi="Palatino Linotype" w:cs="Palatino Linotype"/>
          <w:sz w:val="22"/>
          <w:szCs w:val="22"/>
        </w:rPr>
        <w:t xml:space="preserve">mientras que el recurso de revisión interpuesto por la parte </w:t>
      </w:r>
      <w:r w:rsidRPr="001B33FF">
        <w:rPr>
          <w:rFonts w:ascii="Palatino Linotype" w:eastAsia="Palatino Linotype" w:hAnsi="Palatino Linotype" w:cs="Palatino Linotype"/>
          <w:b/>
          <w:sz w:val="22"/>
          <w:szCs w:val="22"/>
        </w:rPr>
        <w:t>RECURRENTE</w:t>
      </w:r>
      <w:r w:rsidRPr="001B33FF">
        <w:rPr>
          <w:rFonts w:ascii="Palatino Linotype" w:eastAsia="Palatino Linotype" w:hAnsi="Palatino Linotype" w:cs="Palatino Linotype"/>
          <w:sz w:val="22"/>
          <w:szCs w:val="22"/>
        </w:rPr>
        <w:t xml:space="preserve">, se tuvo por presentado el </w:t>
      </w:r>
      <w:r w:rsidR="007477F6" w:rsidRPr="001B33FF">
        <w:rPr>
          <w:rFonts w:ascii="Palatino Linotype" w:eastAsia="Palatino Linotype" w:hAnsi="Palatino Linotype" w:cs="Palatino Linotype"/>
          <w:b/>
          <w:sz w:val="22"/>
          <w:szCs w:val="22"/>
        </w:rPr>
        <w:t>dieciocho</w:t>
      </w:r>
      <w:r w:rsidRPr="001B33FF">
        <w:rPr>
          <w:rFonts w:ascii="Palatino Linotype" w:eastAsia="Palatino Linotype" w:hAnsi="Palatino Linotype" w:cs="Palatino Linotype"/>
          <w:b/>
          <w:sz w:val="22"/>
          <w:szCs w:val="22"/>
        </w:rPr>
        <w:t xml:space="preserve"> de </w:t>
      </w:r>
      <w:r w:rsidR="007A6765" w:rsidRPr="001B33FF">
        <w:rPr>
          <w:rFonts w:ascii="Palatino Linotype" w:eastAsia="Palatino Linotype" w:hAnsi="Palatino Linotype" w:cs="Palatino Linotype"/>
          <w:b/>
          <w:sz w:val="22"/>
          <w:szCs w:val="22"/>
        </w:rPr>
        <w:t>diciembre</w:t>
      </w:r>
      <w:r w:rsidRPr="001B33FF">
        <w:rPr>
          <w:rFonts w:ascii="Palatino Linotype" w:eastAsia="Palatino Linotype" w:hAnsi="Palatino Linotype" w:cs="Palatino Linotype"/>
          <w:b/>
          <w:sz w:val="22"/>
          <w:szCs w:val="22"/>
        </w:rPr>
        <w:t xml:space="preserve"> del año dos mil veinticinco</w:t>
      </w:r>
      <w:r w:rsidRPr="001B33FF">
        <w:rPr>
          <w:rFonts w:ascii="Palatino Linotype" w:eastAsia="Palatino Linotype" w:hAnsi="Palatino Linotype" w:cs="Palatino Linotype"/>
          <w:sz w:val="22"/>
          <w:szCs w:val="22"/>
        </w:rPr>
        <w:t xml:space="preserve">; esto es, al </w:t>
      </w:r>
      <w:r w:rsidR="007477F6" w:rsidRPr="001B33FF">
        <w:rPr>
          <w:rFonts w:ascii="Palatino Linotype" w:eastAsia="Palatino Linotype" w:hAnsi="Palatino Linotype" w:cs="Palatino Linotype"/>
          <w:b/>
          <w:sz w:val="22"/>
          <w:szCs w:val="22"/>
        </w:rPr>
        <w:t>décimo cuarto</w:t>
      </w:r>
      <w:r w:rsidR="009D625A" w:rsidRPr="001B33FF">
        <w:rPr>
          <w:rFonts w:ascii="Palatino Linotype" w:eastAsia="Palatino Linotype" w:hAnsi="Palatino Linotype" w:cs="Palatino Linotype"/>
          <w:b/>
          <w:sz w:val="22"/>
          <w:szCs w:val="22"/>
        </w:rPr>
        <w:t xml:space="preserve"> </w:t>
      </w:r>
      <w:r w:rsidRPr="001B33FF">
        <w:rPr>
          <w:rFonts w:ascii="Palatino Linotype" w:eastAsia="Palatino Linotype" w:hAnsi="Palatino Linotype" w:cs="Palatino Linotype"/>
          <w:b/>
          <w:sz w:val="22"/>
          <w:szCs w:val="22"/>
        </w:rPr>
        <w:t xml:space="preserve">día hábil </w:t>
      </w:r>
      <w:r w:rsidRPr="001B33FF">
        <w:rPr>
          <w:rFonts w:ascii="Palatino Linotype" w:eastAsia="Palatino Linotype" w:hAnsi="Palatino Linotype" w:cs="Palatino Linotype"/>
          <w:sz w:val="22"/>
          <w:szCs w:val="22"/>
        </w:rPr>
        <w:t>siguiente al que se tuvo conocimiento de la respuesta respectivamente.</w:t>
      </w:r>
    </w:p>
    <w:p w14:paraId="3E440070" w14:textId="77777777" w:rsidR="00C877F6" w:rsidRPr="001B33FF" w:rsidRDefault="00F36565">
      <w:pPr>
        <w:spacing w:before="240" w:after="240" w:line="360" w:lineRule="auto"/>
        <w:ind w:right="49"/>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Así también,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0199FA69" w14:textId="77777777" w:rsidR="007477F6" w:rsidRPr="001B33FF" w:rsidRDefault="007477F6" w:rsidP="007477F6">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Por otro lado, es de suma importancia mencionar que, si bien la parte Recurrente no proporcionó nombre,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0B284585" w14:textId="77777777" w:rsidR="007477F6" w:rsidRPr="001B33FF" w:rsidRDefault="007477F6" w:rsidP="007477F6">
      <w:pPr>
        <w:ind w:left="426" w:right="701"/>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br/>
      </w:r>
      <w:r w:rsidRPr="001B33FF">
        <w:rPr>
          <w:rFonts w:ascii="Palatino Linotype" w:eastAsia="Palatino Linotype" w:hAnsi="Palatino Linotype" w:cs="Palatino Linotype"/>
          <w:b/>
          <w:i/>
          <w:sz w:val="22"/>
          <w:szCs w:val="22"/>
        </w:rPr>
        <w:t xml:space="preserve">"Las solicitudes anónimas, </w:t>
      </w:r>
      <w:r w:rsidRPr="001B33FF">
        <w:rPr>
          <w:rFonts w:ascii="Palatino Linotype" w:eastAsia="Palatino Linotype" w:hAnsi="Palatino Linotype" w:cs="Palatino Linotype"/>
          <w:i/>
          <w:sz w:val="22"/>
          <w:szCs w:val="22"/>
        </w:rPr>
        <w:t>con nombre incompleto o seudónimo </w:t>
      </w:r>
      <w:r w:rsidRPr="001B33FF">
        <w:rPr>
          <w:rFonts w:ascii="Palatino Linotype" w:eastAsia="Palatino Linotype" w:hAnsi="Palatino Linotype" w:cs="Palatino Linotype"/>
          <w:b/>
          <w:i/>
          <w:sz w:val="22"/>
          <w:szCs w:val="22"/>
        </w:rPr>
        <w:t>serán procedentes para su trámite por parte del sujeto obligado ante quien se presente.</w:t>
      </w:r>
      <w:r w:rsidRPr="001B33FF">
        <w:rPr>
          <w:rFonts w:ascii="Palatino Linotype" w:eastAsia="Palatino Linotype" w:hAnsi="Palatino Linotype" w:cs="Palatino Linotype"/>
          <w:i/>
          <w:sz w:val="22"/>
          <w:szCs w:val="22"/>
        </w:rPr>
        <w:t xml:space="preserve"> No podrá requerirse información adicional con motivo del nombre proporcionado por el solicitante."</w:t>
      </w:r>
    </w:p>
    <w:p w14:paraId="7CD30A84" w14:textId="47D10388" w:rsidR="00C877F6" w:rsidRPr="001B33FF" w:rsidRDefault="00F36565">
      <w:pPr>
        <w:spacing w:before="240" w:after="240"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Asimismo, resulta procedente la interposición del recurso de revisión al rubro anotado, toda vez que se actualiza las hipótesis prevista</w:t>
      </w:r>
      <w:r w:rsidR="00923A7C" w:rsidRPr="001B33FF">
        <w:rPr>
          <w:rFonts w:ascii="Palatino Linotype" w:eastAsia="Palatino Linotype" w:hAnsi="Palatino Linotype" w:cs="Palatino Linotype"/>
          <w:sz w:val="22"/>
          <w:szCs w:val="22"/>
        </w:rPr>
        <w:t xml:space="preserve">s en el artículo 179, fracción </w:t>
      </w:r>
      <w:r w:rsidR="007477F6" w:rsidRPr="001B33FF">
        <w:rPr>
          <w:rFonts w:ascii="Palatino Linotype" w:eastAsia="Palatino Linotype" w:hAnsi="Palatino Linotype" w:cs="Palatino Linotype"/>
          <w:sz w:val="22"/>
          <w:szCs w:val="22"/>
        </w:rPr>
        <w:t>I</w:t>
      </w:r>
      <w:r w:rsidRPr="001B33FF">
        <w:rPr>
          <w:rFonts w:ascii="Palatino Linotype" w:eastAsia="Palatino Linotype" w:hAnsi="Palatino Linotype" w:cs="Palatino Linotype"/>
          <w:sz w:val="22"/>
          <w:szCs w:val="22"/>
        </w:rPr>
        <w:t xml:space="preserve"> de la ley de la materia, que a la letra dice:</w:t>
      </w:r>
    </w:p>
    <w:p w14:paraId="47475447" w14:textId="77777777" w:rsidR="00C877F6" w:rsidRPr="001B33FF" w:rsidRDefault="00F36565">
      <w:pPr>
        <w:spacing w:line="360" w:lineRule="auto"/>
        <w:ind w:left="851" w:right="1041"/>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w:t>
      </w:r>
      <w:r w:rsidRPr="001B33FF">
        <w:rPr>
          <w:rFonts w:ascii="Palatino Linotype" w:eastAsia="Palatino Linotype" w:hAnsi="Palatino Linotype" w:cs="Palatino Linotype"/>
          <w:b/>
          <w:i/>
          <w:sz w:val="22"/>
          <w:szCs w:val="22"/>
        </w:rPr>
        <w:t xml:space="preserve">Artículo 179. </w:t>
      </w:r>
      <w:r w:rsidRPr="001B33FF">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20CDBE73" w14:textId="77777777" w:rsidR="007477F6" w:rsidRPr="001B33FF" w:rsidRDefault="007477F6">
      <w:pPr>
        <w:spacing w:line="360" w:lineRule="auto"/>
        <w:ind w:left="851" w:right="1041"/>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I. La Negativa de la información solicitada</w:t>
      </w:r>
    </w:p>
    <w:p w14:paraId="1678F80B" w14:textId="101014E0" w:rsidR="00C877F6" w:rsidRPr="001B33FF" w:rsidRDefault="00F36565">
      <w:pPr>
        <w:spacing w:line="360" w:lineRule="auto"/>
        <w:ind w:left="851" w:right="1041"/>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w:t>
      </w:r>
    </w:p>
    <w:p w14:paraId="1A2EB9D0" w14:textId="77777777" w:rsidR="00C877F6" w:rsidRPr="001B33FF" w:rsidRDefault="00F36565">
      <w:pPr>
        <w:spacing w:before="240" w:after="240"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 xml:space="preserve">Tercero. Materia de la revisión. </w:t>
      </w:r>
      <w:r w:rsidRPr="001B33FF">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1B33FF">
        <w:rPr>
          <w:rFonts w:ascii="Palatino Linotype" w:eastAsia="Palatino Linotype" w:hAnsi="Palatino Linotype" w:cs="Palatino Linotype"/>
          <w:b/>
          <w:sz w:val="22"/>
          <w:szCs w:val="22"/>
        </w:rPr>
        <w:t xml:space="preserve">verificar si la respuesta otorgada por el Sujeto Obligado es adecuada y suficiente para satisfacer el derecho de acceso a la información pública </w:t>
      </w:r>
      <w:r w:rsidRPr="001B33FF">
        <w:rPr>
          <w:rFonts w:ascii="Palatino Linotype" w:eastAsia="Palatino Linotype" w:hAnsi="Palatino Linotype" w:cs="Palatino Linotype"/>
          <w:sz w:val="22"/>
          <w:szCs w:val="22"/>
        </w:rPr>
        <w:t xml:space="preserve">de la parte </w:t>
      </w:r>
      <w:r w:rsidRPr="001B33FF">
        <w:rPr>
          <w:rFonts w:ascii="Palatino Linotype" w:eastAsia="Palatino Linotype" w:hAnsi="Palatino Linotype" w:cs="Palatino Linotype"/>
          <w:b/>
          <w:sz w:val="22"/>
          <w:szCs w:val="22"/>
        </w:rPr>
        <w:t>Recurrente</w:t>
      </w:r>
      <w:r w:rsidRPr="001B33FF">
        <w:rPr>
          <w:rFonts w:ascii="Palatino Linotype" w:eastAsia="Palatino Linotype" w:hAnsi="Palatino Linotype" w:cs="Palatino Linotype"/>
          <w:sz w:val="22"/>
          <w:szCs w:val="22"/>
        </w:rPr>
        <w:t>, o en su defecto, en caso de ser procedente, ordenar la entrega de información.</w:t>
      </w:r>
    </w:p>
    <w:p w14:paraId="0D9B22BA" w14:textId="77777777" w:rsidR="00C877F6" w:rsidRPr="001B33FF" w:rsidRDefault="00F36565">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 xml:space="preserve">Cuarto. Estudio del asunto. </w:t>
      </w:r>
      <w:r w:rsidRPr="001B33FF">
        <w:rPr>
          <w:rFonts w:ascii="Palatino Linotype" w:eastAsia="Palatino Linotype" w:hAnsi="Palatino Linotype" w:cs="Palatino Linotype"/>
          <w:sz w:val="22"/>
          <w:szCs w:val="22"/>
        </w:rPr>
        <w:t xml:space="preserve">En principio, es conveniente analizar si la respuesta del </w:t>
      </w:r>
      <w:r w:rsidRPr="001B33FF">
        <w:rPr>
          <w:rFonts w:ascii="Palatino Linotype" w:eastAsia="Palatino Linotype" w:hAnsi="Palatino Linotype" w:cs="Palatino Linotype"/>
          <w:b/>
          <w:sz w:val="22"/>
          <w:szCs w:val="22"/>
        </w:rPr>
        <w:t>SUJETO OBLIGADO</w:t>
      </w:r>
      <w:r w:rsidRPr="001B33FF">
        <w:rPr>
          <w:rFonts w:ascii="Palatino Linotype" w:eastAsia="Palatino Linotype" w:hAnsi="Palatino Linotype" w:cs="Palatino Linotype"/>
          <w:sz w:val="22"/>
          <w:szCs w:val="22"/>
        </w:rPr>
        <w:t xml:space="preserve"> 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138FFBF6" w14:textId="77777777" w:rsidR="00C877F6" w:rsidRPr="001B33FF" w:rsidRDefault="00C877F6">
      <w:pPr>
        <w:spacing w:line="360" w:lineRule="auto"/>
        <w:jc w:val="both"/>
        <w:rPr>
          <w:rFonts w:ascii="Palatino Linotype" w:eastAsia="Palatino Linotype" w:hAnsi="Palatino Linotype" w:cs="Palatino Linotype"/>
          <w:sz w:val="22"/>
          <w:szCs w:val="22"/>
        </w:rPr>
      </w:pPr>
    </w:p>
    <w:p w14:paraId="15C1BD4C" w14:textId="77777777" w:rsidR="00C877F6" w:rsidRPr="001B33FF" w:rsidRDefault="00F36565">
      <w:pPr>
        <w:spacing w:line="276" w:lineRule="auto"/>
        <w:ind w:left="567" w:right="616"/>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w:t>
      </w:r>
      <w:r w:rsidRPr="001B33FF">
        <w:rPr>
          <w:rFonts w:ascii="Palatino Linotype" w:eastAsia="Palatino Linotype" w:hAnsi="Palatino Linotype" w:cs="Palatino Linotype"/>
          <w:b/>
          <w:i/>
          <w:sz w:val="22"/>
          <w:szCs w:val="22"/>
        </w:rPr>
        <w:t>Artículo 4</w:t>
      </w:r>
      <w:r w:rsidRPr="001B33FF">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4487D78A" w14:textId="77777777" w:rsidR="00C877F6" w:rsidRPr="001B33FF" w:rsidRDefault="00F36565">
      <w:pPr>
        <w:spacing w:line="276" w:lineRule="auto"/>
        <w:ind w:left="567" w:right="616"/>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1B33FF">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A649530" w14:textId="77777777" w:rsidR="00C877F6" w:rsidRPr="001B33FF" w:rsidRDefault="00F36565">
      <w:pPr>
        <w:spacing w:line="276" w:lineRule="auto"/>
        <w:ind w:left="567" w:right="616"/>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1B33FF">
        <w:rPr>
          <w:rFonts w:ascii="Palatino Linotype" w:eastAsia="Palatino Linotype" w:hAnsi="Palatino Linotype" w:cs="Palatino Linotype"/>
          <w:i/>
          <w:sz w:val="22"/>
          <w:szCs w:val="22"/>
        </w:rPr>
        <w:t>.”</w:t>
      </w:r>
    </w:p>
    <w:p w14:paraId="6FBC13EC" w14:textId="77777777" w:rsidR="00C877F6" w:rsidRPr="001B33FF" w:rsidRDefault="00C877F6">
      <w:pPr>
        <w:spacing w:line="276" w:lineRule="auto"/>
        <w:jc w:val="both"/>
        <w:rPr>
          <w:rFonts w:ascii="Palatino Linotype" w:eastAsia="Palatino Linotype" w:hAnsi="Palatino Linotype" w:cs="Palatino Linotype"/>
          <w:sz w:val="22"/>
          <w:szCs w:val="22"/>
        </w:rPr>
      </w:pPr>
    </w:p>
    <w:p w14:paraId="1D553B80" w14:textId="77777777" w:rsidR="00C877F6" w:rsidRPr="001B33FF" w:rsidRDefault="00F36565">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69D84D3A" w14:textId="77777777" w:rsidR="00C877F6" w:rsidRPr="001B33FF" w:rsidRDefault="00C877F6">
      <w:pPr>
        <w:spacing w:line="360" w:lineRule="auto"/>
        <w:jc w:val="both"/>
        <w:rPr>
          <w:rFonts w:ascii="Palatino Linotype" w:eastAsia="Palatino Linotype" w:hAnsi="Palatino Linotype" w:cs="Palatino Linotype"/>
          <w:sz w:val="22"/>
          <w:szCs w:val="22"/>
        </w:rPr>
      </w:pPr>
    </w:p>
    <w:p w14:paraId="2A179EF6" w14:textId="77777777" w:rsidR="00C877F6" w:rsidRPr="001B33FF" w:rsidRDefault="00F36565">
      <w:pPr>
        <w:spacing w:line="276" w:lineRule="auto"/>
        <w:ind w:left="567" w:right="616"/>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b/>
          <w:i/>
          <w:sz w:val="22"/>
          <w:szCs w:val="22"/>
        </w:rPr>
        <w:t>“Artículo 12.-</w:t>
      </w:r>
      <w:r w:rsidRPr="001B33FF">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673A04A1" w14:textId="77777777" w:rsidR="00C877F6" w:rsidRPr="001B33FF" w:rsidRDefault="00C877F6">
      <w:pPr>
        <w:spacing w:line="276" w:lineRule="auto"/>
        <w:ind w:left="567" w:right="616"/>
        <w:jc w:val="both"/>
        <w:rPr>
          <w:rFonts w:ascii="Palatino Linotype" w:eastAsia="Palatino Linotype" w:hAnsi="Palatino Linotype" w:cs="Palatino Linotype"/>
          <w:i/>
          <w:sz w:val="22"/>
          <w:szCs w:val="22"/>
        </w:rPr>
      </w:pPr>
    </w:p>
    <w:p w14:paraId="37D07658" w14:textId="77777777" w:rsidR="00C877F6" w:rsidRPr="001B33FF" w:rsidRDefault="00F36565">
      <w:pPr>
        <w:spacing w:line="276" w:lineRule="auto"/>
        <w:ind w:left="567" w:right="616"/>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1B33FF">
        <w:rPr>
          <w:rFonts w:ascii="Palatino Linotype" w:eastAsia="Palatino Linotype" w:hAnsi="Palatino Linotype" w:cs="Palatino Linotype"/>
          <w:i/>
          <w:sz w:val="22"/>
          <w:szCs w:val="22"/>
        </w:rPr>
        <w:t xml:space="preserve">. </w:t>
      </w:r>
      <w:r w:rsidRPr="001B33FF">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5358F059" w14:textId="77777777" w:rsidR="00C877F6" w:rsidRPr="001B33FF" w:rsidRDefault="00C877F6">
      <w:pPr>
        <w:spacing w:line="360" w:lineRule="auto"/>
        <w:ind w:right="-93"/>
        <w:jc w:val="both"/>
        <w:rPr>
          <w:rFonts w:ascii="Palatino Linotype" w:eastAsia="Palatino Linotype" w:hAnsi="Palatino Linotype" w:cs="Palatino Linotype"/>
          <w:sz w:val="22"/>
          <w:szCs w:val="22"/>
        </w:rPr>
      </w:pPr>
    </w:p>
    <w:p w14:paraId="16097321" w14:textId="77777777" w:rsidR="00C877F6" w:rsidRPr="001B33FF" w:rsidRDefault="00F36565">
      <w:pPr>
        <w:spacing w:line="360" w:lineRule="auto"/>
        <w:ind w:right="-93"/>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039288F1" w14:textId="77777777" w:rsidR="00C877F6" w:rsidRPr="001B33FF" w:rsidRDefault="00C877F6">
      <w:pPr>
        <w:spacing w:line="360" w:lineRule="auto"/>
        <w:ind w:right="-93"/>
        <w:jc w:val="both"/>
        <w:rPr>
          <w:rFonts w:ascii="Palatino Linotype" w:eastAsia="Palatino Linotype" w:hAnsi="Palatino Linotype" w:cs="Palatino Linotype"/>
          <w:sz w:val="22"/>
          <w:szCs w:val="22"/>
        </w:rPr>
      </w:pPr>
    </w:p>
    <w:p w14:paraId="279C31C3" w14:textId="77777777" w:rsidR="00C877F6" w:rsidRPr="001B33FF" w:rsidRDefault="00F36565">
      <w:pPr>
        <w:spacing w:line="360" w:lineRule="auto"/>
        <w:ind w:right="-93"/>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1B33FF">
        <w:rPr>
          <w:rFonts w:ascii="Palatino Linotype" w:eastAsia="Palatino Linotype" w:hAnsi="Palatino Linotype" w:cs="Palatino Linotype"/>
          <w:b/>
          <w:sz w:val="22"/>
          <w:szCs w:val="22"/>
        </w:rPr>
        <w:t xml:space="preserve"> </w:t>
      </w:r>
    </w:p>
    <w:p w14:paraId="2E2DBFC3" w14:textId="77777777" w:rsidR="00C877F6" w:rsidRPr="001B33FF" w:rsidRDefault="00C877F6">
      <w:pPr>
        <w:spacing w:line="360" w:lineRule="auto"/>
        <w:jc w:val="both"/>
        <w:rPr>
          <w:rFonts w:ascii="Palatino Linotype" w:eastAsia="Palatino Linotype" w:hAnsi="Palatino Linotype" w:cs="Palatino Linotype"/>
          <w:b/>
          <w:sz w:val="22"/>
          <w:szCs w:val="22"/>
        </w:rPr>
      </w:pPr>
    </w:p>
    <w:p w14:paraId="2C225EFA" w14:textId="77777777" w:rsidR="00C877F6" w:rsidRPr="001B33FF" w:rsidRDefault="00F36565">
      <w:pPr>
        <w:ind w:left="567" w:right="616"/>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w:t>
      </w:r>
      <w:r w:rsidRPr="001B33FF">
        <w:rPr>
          <w:rFonts w:ascii="Palatino Linotype" w:eastAsia="Palatino Linotype" w:hAnsi="Palatino Linotype" w:cs="Palatino Linotype"/>
          <w:b/>
          <w:i/>
          <w:sz w:val="22"/>
          <w:szCs w:val="22"/>
        </w:rPr>
        <w:t>No existe obligación de elaborar documentos ad hoc para atender las solicitudes de acceso a la información.</w:t>
      </w:r>
      <w:r w:rsidRPr="001B33FF">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DA26D12" w14:textId="77777777" w:rsidR="00C877F6" w:rsidRPr="001B33FF" w:rsidRDefault="00C877F6">
      <w:pPr>
        <w:spacing w:line="360" w:lineRule="auto"/>
        <w:ind w:right="-93"/>
        <w:jc w:val="both"/>
        <w:rPr>
          <w:rFonts w:ascii="Palatino Linotype" w:eastAsia="Palatino Linotype" w:hAnsi="Palatino Linotype" w:cs="Palatino Linotype"/>
          <w:sz w:val="22"/>
          <w:szCs w:val="22"/>
        </w:rPr>
      </w:pPr>
    </w:p>
    <w:p w14:paraId="1B3F139F" w14:textId="77777777" w:rsidR="00C877F6" w:rsidRPr="001B33FF" w:rsidRDefault="00F36565">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DE08A8F" w14:textId="77777777" w:rsidR="00C877F6" w:rsidRPr="001B33FF" w:rsidRDefault="00C877F6">
      <w:pPr>
        <w:spacing w:line="360" w:lineRule="auto"/>
        <w:jc w:val="both"/>
        <w:rPr>
          <w:rFonts w:ascii="Palatino Linotype" w:eastAsia="Palatino Linotype" w:hAnsi="Palatino Linotype" w:cs="Palatino Linotype"/>
          <w:sz w:val="22"/>
          <w:szCs w:val="22"/>
        </w:rPr>
      </w:pPr>
    </w:p>
    <w:p w14:paraId="0A307AF3" w14:textId="77777777" w:rsidR="00C877F6" w:rsidRPr="001B33FF" w:rsidRDefault="00F36565">
      <w:pPr>
        <w:spacing w:line="360" w:lineRule="auto"/>
        <w:ind w:right="49"/>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0E97E71" w14:textId="77777777" w:rsidR="00C877F6" w:rsidRPr="001B33FF" w:rsidRDefault="00C877F6">
      <w:pPr>
        <w:spacing w:line="360" w:lineRule="auto"/>
        <w:ind w:right="49"/>
        <w:jc w:val="both"/>
        <w:rPr>
          <w:rFonts w:ascii="Palatino Linotype" w:eastAsia="Palatino Linotype" w:hAnsi="Palatino Linotype" w:cs="Palatino Linotype"/>
          <w:sz w:val="22"/>
          <w:szCs w:val="22"/>
        </w:rPr>
      </w:pPr>
    </w:p>
    <w:p w14:paraId="18A47771" w14:textId="77777777" w:rsidR="00C877F6" w:rsidRPr="001B33FF" w:rsidRDefault="00F36565">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886DAFA" w14:textId="77777777" w:rsidR="00C877F6" w:rsidRPr="001B33FF" w:rsidRDefault="00C877F6">
      <w:pPr>
        <w:spacing w:line="360" w:lineRule="auto"/>
        <w:ind w:left="567" w:right="616"/>
        <w:jc w:val="both"/>
        <w:rPr>
          <w:rFonts w:ascii="Palatino Linotype" w:eastAsia="Palatino Linotype" w:hAnsi="Palatino Linotype" w:cs="Palatino Linotype"/>
          <w:i/>
          <w:sz w:val="22"/>
          <w:szCs w:val="22"/>
        </w:rPr>
      </w:pPr>
    </w:p>
    <w:p w14:paraId="688BA59C" w14:textId="77777777" w:rsidR="00C877F6" w:rsidRPr="001B33FF" w:rsidRDefault="00F36565">
      <w:pPr>
        <w:ind w:left="567" w:right="616"/>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w:t>
      </w:r>
      <w:r w:rsidRPr="001B33FF">
        <w:rPr>
          <w:rFonts w:ascii="Palatino Linotype" w:eastAsia="Palatino Linotype" w:hAnsi="Palatino Linotype" w:cs="Palatino Linotype"/>
          <w:b/>
          <w:i/>
          <w:sz w:val="22"/>
          <w:szCs w:val="22"/>
        </w:rPr>
        <w:t xml:space="preserve">Artículo 3. </w:t>
      </w:r>
      <w:r w:rsidRPr="001B33FF">
        <w:rPr>
          <w:rFonts w:ascii="Palatino Linotype" w:eastAsia="Palatino Linotype" w:hAnsi="Palatino Linotype" w:cs="Palatino Linotype"/>
          <w:i/>
          <w:sz w:val="22"/>
          <w:szCs w:val="22"/>
        </w:rPr>
        <w:t>Para los efectos de la presente Ley se entenderá por:</w:t>
      </w:r>
    </w:p>
    <w:p w14:paraId="505D52C6" w14:textId="77777777" w:rsidR="00C877F6" w:rsidRPr="001B33FF" w:rsidRDefault="00F36565">
      <w:pPr>
        <w:ind w:left="567" w:right="616"/>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w:t>
      </w:r>
    </w:p>
    <w:p w14:paraId="273D4E7F" w14:textId="77777777" w:rsidR="00C877F6" w:rsidRPr="001B33FF" w:rsidRDefault="00F36565">
      <w:pPr>
        <w:ind w:left="567" w:right="616"/>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b/>
          <w:i/>
          <w:sz w:val="22"/>
          <w:szCs w:val="22"/>
        </w:rPr>
        <w:t>XI. Documento:</w:t>
      </w:r>
      <w:r w:rsidRPr="001B33FF">
        <w:rPr>
          <w:rFonts w:ascii="Palatino Linotype" w:eastAsia="Palatino Linotype" w:hAnsi="Palatino Linotype" w:cs="Palatino Linotype"/>
          <w:i/>
          <w:sz w:val="22"/>
          <w:szCs w:val="22"/>
        </w:rPr>
        <w:t xml:space="preserve"> Los expedientes, reportes, estudios, actas</w:t>
      </w:r>
      <w:r w:rsidRPr="001B33FF">
        <w:rPr>
          <w:rFonts w:ascii="Palatino Linotype" w:eastAsia="Palatino Linotype" w:hAnsi="Palatino Linotype" w:cs="Palatino Linotype"/>
          <w:b/>
          <w:i/>
          <w:sz w:val="22"/>
          <w:szCs w:val="22"/>
        </w:rPr>
        <w:t>,</w:t>
      </w:r>
      <w:r w:rsidRPr="001B33FF">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75F92C6F" w14:textId="77777777" w:rsidR="00C877F6" w:rsidRPr="001B33FF" w:rsidRDefault="00C877F6">
      <w:pPr>
        <w:spacing w:line="360" w:lineRule="auto"/>
        <w:ind w:left="851" w:right="899"/>
        <w:jc w:val="both"/>
        <w:rPr>
          <w:rFonts w:ascii="Palatino Linotype" w:eastAsia="Palatino Linotype" w:hAnsi="Palatino Linotype" w:cs="Palatino Linotype"/>
          <w:sz w:val="22"/>
          <w:szCs w:val="22"/>
        </w:rPr>
      </w:pPr>
    </w:p>
    <w:p w14:paraId="732A9768" w14:textId="77777777" w:rsidR="00C877F6" w:rsidRPr="001B33FF" w:rsidRDefault="00F36565">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3FF5F00" w14:textId="77777777" w:rsidR="00C877F6" w:rsidRPr="001B33FF" w:rsidRDefault="00C877F6">
      <w:pPr>
        <w:spacing w:line="360" w:lineRule="auto"/>
        <w:jc w:val="both"/>
        <w:rPr>
          <w:rFonts w:ascii="Palatino Linotype" w:eastAsia="Palatino Linotype" w:hAnsi="Palatino Linotype" w:cs="Palatino Linotype"/>
          <w:sz w:val="22"/>
          <w:szCs w:val="22"/>
        </w:rPr>
      </w:pPr>
    </w:p>
    <w:p w14:paraId="36EC6455" w14:textId="77777777" w:rsidR="00C877F6" w:rsidRPr="001B33FF" w:rsidRDefault="00F36565">
      <w:pPr>
        <w:ind w:left="567" w:right="616"/>
        <w:jc w:val="both"/>
        <w:rPr>
          <w:rFonts w:ascii="Palatino Linotype" w:eastAsia="Palatino Linotype" w:hAnsi="Palatino Linotype" w:cs="Palatino Linotype"/>
          <w:b/>
          <w:i/>
          <w:sz w:val="22"/>
          <w:szCs w:val="22"/>
        </w:rPr>
      </w:pPr>
      <w:r w:rsidRPr="001B33FF">
        <w:rPr>
          <w:rFonts w:ascii="Palatino Linotype" w:eastAsia="Palatino Linotype" w:hAnsi="Palatino Linotype" w:cs="Palatino Linotype"/>
          <w:b/>
          <w:sz w:val="22"/>
          <w:szCs w:val="22"/>
        </w:rPr>
        <w:t>“</w:t>
      </w:r>
      <w:r w:rsidRPr="001B33FF">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1B33FF">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25D1E8D9" w14:textId="77777777" w:rsidR="00C877F6" w:rsidRPr="001B33FF" w:rsidRDefault="00F36565">
      <w:pPr>
        <w:ind w:left="567" w:right="616"/>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00DE89C1" w14:textId="77777777" w:rsidR="00C877F6" w:rsidRPr="001B33FF" w:rsidRDefault="00F36565">
      <w:pPr>
        <w:ind w:left="567" w:right="616"/>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4575813" w14:textId="77777777" w:rsidR="00C877F6" w:rsidRPr="001B33FF" w:rsidRDefault="00F36565">
      <w:pPr>
        <w:ind w:left="567" w:right="616"/>
        <w:jc w:val="both"/>
        <w:rPr>
          <w:rFonts w:ascii="Palatino Linotype" w:eastAsia="Palatino Linotype" w:hAnsi="Palatino Linotype" w:cs="Palatino Linotype"/>
          <w:b/>
          <w:i/>
          <w:sz w:val="22"/>
          <w:szCs w:val="22"/>
        </w:rPr>
      </w:pPr>
      <w:r w:rsidRPr="001B33FF">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55DABC20" w14:textId="77777777" w:rsidR="00C877F6" w:rsidRPr="001B33FF" w:rsidRDefault="00F36565">
      <w:pPr>
        <w:ind w:left="567" w:right="616"/>
        <w:jc w:val="both"/>
        <w:rPr>
          <w:rFonts w:ascii="Palatino Linotype" w:eastAsia="Palatino Linotype" w:hAnsi="Palatino Linotype" w:cs="Palatino Linotype"/>
          <w:b/>
          <w:i/>
          <w:sz w:val="22"/>
          <w:szCs w:val="22"/>
        </w:rPr>
      </w:pPr>
      <w:r w:rsidRPr="001B33FF">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436FFA4E" w14:textId="77777777" w:rsidR="00C877F6" w:rsidRPr="001B33FF" w:rsidRDefault="00C877F6">
      <w:pPr>
        <w:tabs>
          <w:tab w:val="left" w:pos="8647"/>
        </w:tabs>
        <w:spacing w:line="360" w:lineRule="auto"/>
        <w:jc w:val="both"/>
        <w:rPr>
          <w:rFonts w:ascii="Palatino Linotype" w:eastAsia="Palatino Linotype" w:hAnsi="Palatino Linotype" w:cs="Palatino Linotype"/>
          <w:b/>
          <w:sz w:val="22"/>
          <w:szCs w:val="22"/>
        </w:rPr>
      </w:pPr>
    </w:p>
    <w:p w14:paraId="28414BC4" w14:textId="1F143C10" w:rsidR="00697BED" w:rsidRPr="001B33FF" w:rsidRDefault="00F36565">
      <w:pPr>
        <w:spacing w:after="240"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Del análisis de la solicitud de información motivo del recurso de revisión que ahora se resuelve, </w:t>
      </w:r>
      <w:r w:rsidR="008E4A90" w:rsidRPr="001B33FF">
        <w:rPr>
          <w:rFonts w:ascii="Palatino Linotype" w:eastAsia="Palatino Linotype" w:hAnsi="Palatino Linotype" w:cs="Palatino Linotype"/>
          <w:sz w:val="22"/>
          <w:szCs w:val="22"/>
        </w:rPr>
        <w:t xml:space="preserve">se tiene que el Recurrente solicitó al </w:t>
      </w:r>
      <w:r w:rsidR="00E56AE7" w:rsidRPr="001B33FF">
        <w:rPr>
          <w:rFonts w:ascii="Palatino Linotype" w:eastAsia="Palatino Linotype" w:hAnsi="Palatino Linotype" w:cs="Palatino Linotype"/>
          <w:b/>
          <w:sz w:val="22"/>
          <w:szCs w:val="22"/>
        </w:rPr>
        <w:t>Ayuntamiento de Valle de Bravo</w:t>
      </w:r>
      <w:r w:rsidR="00697BED" w:rsidRPr="001B33FF">
        <w:rPr>
          <w:rFonts w:ascii="Palatino Linotype" w:eastAsia="Palatino Linotype" w:hAnsi="Palatino Linotype" w:cs="Palatino Linotype"/>
          <w:sz w:val="22"/>
          <w:szCs w:val="22"/>
        </w:rPr>
        <w:t xml:space="preserve"> la siguiente información:</w:t>
      </w:r>
    </w:p>
    <w:p w14:paraId="70514487" w14:textId="77777777" w:rsidR="00454B9B" w:rsidRPr="001B33FF" w:rsidRDefault="00285379" w:rsidP="00285379">
      <w:pPr>
        <w:pStyle w:val="Prrafodelista"/>
        <w:numPr>
          <w:ilvl w:val="0"/>
          <w:numId w:val="5"/>
        </w:numPr>
        <w:spacing w:after="240" w:line="360" w:lineRule="auto"/>
        <w:ind w:right="843"/>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Acciones realizadas por la unidad de transparencia respecto a la </w:t>
      </w:r>
      <w:r w:rsidR="00454B9B" w:rsidRPr="001B33FF">
        <w:rPr>
          <w:rFonts w:ascii="Palatino Linotype" w:eastAsia="Palatino Linotype" w:hAnsi="Palatino Linotype" w:cs="Palatino Linotype"/>
          <w:sz w:val="22"/>
          <w:szCs w:val="22"/>
        </w:rPr>
        <w:t>solicitud de información 0090/VABRAVO/IP/2025;</w:t>
      </w:r>
    </w:p>
    <w:p w14:paraId="3705CD54" w14:textId="77777777" w:rsidR="00454B9B" w:rsidRPr="001B33FF" w:rsidRDefault="00454B9B" w:rsidP="00285379">
      <w:pPr>
        <w:pStyle w:val="Prrafodelista"/>
        <w:numPr>
          <w:ilvl w:val="0"/>
          <w:numId w:val="5"/>
        </w:numPr>
        <w:spacing w:after="240" w:line="360" w:lineRule="auto"/>
        <w:ind w:right="843"/>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Q</w:t>
      </w:r>
      <w:r w:rsidR="00285379" w:rsidRPr="001B33FF">
        <w:rPr>
          <w:rFonts w:ascii="Palatino Linotype" w:eastAsia="Palatino Linotype" w:hAnsi="Palatino Linotype" w:cs="Palatino Linotype"/>
          <w:sz w:val="22"/>
          <w:szCs w:val="22"/>
        </w:rPr>
        <w:t xml:space="preserve">ue </w:t>
      </w:r>
      <w:r w:rsidRPr="001B33FF">
        <w:rPr>
          <w:rFonts w:ascii="Palatino Linotype" w:eastAsia="Palatino Linotype" w:hAnsi="Palatino Linotype" w:cs="Palatino Linotype"/>
          <w:sz w:val="22"/>
          <w:szCs w:val="22"/>
        </w:rPr>
        <w:t>h</w:t>
      </w:r>
      <w:r w:rsidR="00285379" w:rsidRPr="001B33FF">
        <w:rPr>
          <w:rFonts w:ascii="Palatino Linotype" w:eastAsia="Palatino Linotype" w:hAnsi="Palatino Linotype" w:cs="Palatino Linotype"/>
          <w:sz w:val="22"/>
          <w:szCs w:val="22"/>
        </w:rPr>
        <w:t xml:space="preserve">a </w:t>
      </w:r>
      <w:r w:rsidRPr="001B33FF">
        <w:rPr>
          <w:rFonts w:ascii="Palatino Linotype" w:eastAsia="Palatino Linotype" w:hAnsi="Palatino Linotype" w:cs="Palatino Linotype"/>
          <w:sz w:val="22"/>
          <w:szCs w:val="22"/>
        </w:rPr>
        <w:t>h</w:t>
      </w:r>
      <w:r w:rsidR="00285379" w:rsidRPr="001B33FF">
        <w:rPr>
          <w:rFonts w:ascii="Palatino Linotype" w:eastAsia="Palatino Linotype" w:hAnsi="Palatino Linotype" w:cs="Palatino Linotype"/>
          <w:sz w:val="22"/>
          <w:szCs w:val="22"/>
        </w:rPr>
        <w:t xml:space="preserve">echo la contralora para sancionar el </w:t>
      </w:r>
      <w:r w:rsidRPr="001B33FF">
        <w:rPr>
          <w:rFonts w:ascii="Palatino Linotype" w:eastAsia="Palatino Linotype" w:hAnsi="Palatino Linotype" w:cs="Palatino Linotype"/>
          <w:sz w:val="22"/>
          <w:szCs w:val="22"/>
        </w:rPr>
        <w:t>incumplimiento</w:t>
      </w:r>
      <w:r w:rsidR="00285379" w:rsidRPr="001B33FF">
        <w:rPr>
          <w:rFonts w:ascii="Palatino Linotype" w:eastAsia="Palatino Linotype" w:hAnsi="Palatino Linotype" w:cs="Palatino Linotype"/>
          <w:sz w:val="22"/>
          <w:szCs w:val="22"/>
        </w:rPr>
        <w:t xml:space="preserve"> del otorgamiento de la </w:t>
      </w:r>
      <w:r w:rsidRPr="001B33FF">
        <w:rPr>
          <w:rFonts w:ascii="Palatino Linotype" w:eastAsia="Palatino Linotype" w:hAnsi="Palatino Linotype" w:cs="Palatino Linotype"/>
          <w:sz w:val="22"/>
          <w:szCs w:val="22"/>
        </w:rPr>
        <w:t>información</w:t>
      </w:r>
      <w:r w:rsidR="00285379" w:rsidRPr="001B33FF">
        <w:rPr>
          <w:rFonts w:ascii="Palatino Linotype" w:eastAsia="Palatino Linotype" w:hAnsi="Palatino Linotype" w:cs="Palatino Linotype"/>
          <w:sz w:val="22"/>
          <w:szCs w:val="22"/>
        </w:rPr>
        <w:t xml:space="preserve"> en tiempo</w:t>
      </w:r>
      <w:r w:rsidRPr="001B33FF">
        <w:rPr>
          <w:rFonts w:ascii="Palatino Linotype" w:eastAsia="Palatino Linotype" w:hAnsi="Palatino Linotype" w:cs="Palatino Linotype"/>
          <w:sz w:val="22"/>
          <w:szCs w:val="22"/>
        </w:rPr>
        <w:t>;</w:t>
      </w:r>
    </w:p>
    <w:p w14:paraId="1C0B593C" w14:textId="77777777" w:rsidR="00454B9B" w:rsidRPr="001B33FF" w:rsidRDefault="00454B9B" w:rsidP="00285379">
      <w:pPr>
        <w:pStyle w:val="Prrafodelista"/>
        <w:numPr>
          <w:ilvl w:val="0"/>
          <w:numId w:val="5"/>
        </w:numPr>
        <w:spacing w:after="240" w:line="360" w:lineRule="auto"/>
        <w:ind w:right="843"/>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D</w:t>
      </w:r>
      <w:r w:rsidR="00285379" w:rsidRPr="001B33FF">
        <w:rPr>
          <w:rFonts w:ascii="Palatino Linotype" w:eastAsia="Palatino Linotype" w:hAnsi="Palatino Linotype" w:cs="Palatino Linotype"/>
          <w:sz w:val="22"/>
          <w:szCs w:val="22"/>
        </w:rPr>
        <w:t xml:space="preserve">ocumentos en los que se pueda ver lo que estas </w:t>
      </w:r>
      <w:r w:rsidRPr="001B33FF">
        <w:rPr>
          <w:rFonts w:ascii="Palatino Linotype" w:eastAsia="Palatino Linotype" w:hAnsi="Palatino Linotype" w:cs="Palatino Linotype"/>
          <w:sz w:val="22"/>
          <w:szCs w:val="22"/>
        </w:rPr>
        <w:t>áreas</w:t>
      </w:r>
      <w:r w:rsidR="00285379" w:rsidRPr="001B33FF">
        <w:rPr>
          <w:rFonts w:ascii="Palatino Linotype" w:eastAsia="Palatino Linotype" w:hAnsi="Palatino Linotype" w:cs="Palatino Linotype"/>
          <w:sz w:val="22"/>
          <w:szCs w:val="22"/>
        </w:rPr>
        <w:t xml:space="preserve"> han </w:t>
      </w:r>
      <w:r w:rsidRPr="001B33FF">
        <w:rPr>
          <w:rFonts w:ascii="Palatino Linotype" w:eastAsia="Palatino Linotype" w:hAnsi="Palatino Linotype" w:cs="Palatino Linotype"/>
          <w:sz w:val="22"/>
          <w:szCs w:val="22"/>
        </w:rPr>
        <w:t>hecho</w:t>
      </w:r>
      <w:r w:rsidR="00285379" w:rsidRPr="001B33FF">
        <w:rPr>
          <w:rFonts w:ascii="Palatino Linotype" w:eastAsia="Palatino Linotype" w:hAnsi="Palatino Linotype" w:cs="Palatino Linotype"/>
          <w:sz w:val="22"/>
          <w:szCs w:val="22"/>
        </w:rPr>
        <w:t xml:space="preserve"> para sancionar o llamar la </w:t>
      </w:r>
      <w:r w:rsidRPr="001B33FF">
        <w:rPr>
          <w:rFonts w:ascii="Palatino Linotype" w:eastAsia="Palatino Linotype" w:hAnsi="Palatino Linotype" w:cs="Palatino Linotype"/>
          <w:sz w:val="22"/>
          <w:szCs w:val="22"/>
        </w:rPr>
        <w:t>atención</w:t>
      </w:r>
      <w:r w:rsidR="00285379" w:rsidRPr="001B33FF">
        <w:rPr>
          <w:rFonts w:ascii="Palatino Linotype" w:eastAsia="Palatino Linotype" w:hAnsi="Palatino Linotype" w:cs="Palatino Linotype"/>
          <w:sz w:val="22"/>
          <w:szCs w:val="22"/>
        </w:rPr>
        <w:t xml:space="preserve"> a la tesorera</w:t>
      </w:r>
      <w:r w:rsidRPr="001B33FF">
        <w:rPr>
          <w:rFonts w:ascii="Palatino Linotype" w:eastAsia="Palatino Linotype" w:hAnsi="Palatino Linotype" w:cs="Palatino Linotype"/>
          <w:sz w:val="22"/>
          <w:szCs w:val="22"/>
        </w:rPr>
        <w:t>;</w:t>
      </w:r>
    </w:p>
    <w:p w14:paraId="57BD9A44" w14:textId="487A9EE6" w:rsidR="00454B9B" w:rsidRPr="001B33FF" w:rsidRDefault="000A2015" w:rsidP="00285379">
      <w:pPr>
        <w:pStyle w:val="Prrafodelista"/>
        <w:numPr>
          <w:ilvl w:val="0"/>
          <w:numId w:val="5"/>
        </w:numPr>
        <w:spacing w:after="240" w:line="360" w:lineRule="auto"/>
        <w:ind w:right="843"/>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Sí</w:t>
      </w:r>
      <w:r w:rsidR="00285379" w:rsidRPr="001B33FF">
        <w:rPr>
          <w:rFonts w:ascii="Palatino Linotype" w:eastAsia="Palatino Linotype" w:hAnsi="Palatino Linotype" w:cs="Palatino Linotype"/>
          <w:sz w:val="22"/>
          <w:szCs w:val="22"/>
        </w:rPr>
        <w:t xml:space="preserve"> han dado parte al </w:t>
      </w:r>
      <w:r w:rsidR="00454B9B" w:rsidRPr="001B33FF">
        <w:rPr>
          <w:rFonts w:ascii="Palatino Linotype" w:eastAsia="Palatino Linotype" w:hAnsi="Palatino Linotype" w:cs="Palatino Linotype"/>
          <w:sz w:val="22"/>
          <w:szCs w:val="22"/>
        </w:rPr>
        <w:t>INFOEM</w:t>
      </w:r>
      <w:r w:rsidR="00285379" w:rsidRPr="001B33FF">
        <w:rPr>
          <w:rFonts w:ascii="Palatino Linotype" w:eastAsia="Palatino Linotype" w:hAnsi="Palatino Linotype" w:cs="Palatino Linotype"/>
          <w:sz w:val="22"/>
          <w:szCs w:val="22"/>
        </w:rPr>
        <w:t xml:space="preserve"> y si no lo </w:t>
      </w:r>
      <w:r w:rsidR="00454B9B" w:rsidRPr="001B33FF">
        <w:rPr>
          <w:rFonts w:ascii="Palatino Linotype" w:eastAsia="Palatino Linotype" w:hAnsi="Palatino Linotype" w:cs="Palatino Linotype"/>
          <w:sz w:val="22"/>
          <w:szCs w:val="22"/>
        </w:rPr>
        <w:t>han hecho por que</w:t>
      </w:r>
    </w:p>
    <w:p w14:paraId="610EB4AA" w14:textId="77777777" w:rsidR="00454B9B" w:rsidRPr="001B33FF" w:rsidRDefault="00454B9B" w:rsidP="00285379">
      <w:pPr>
        <w:pStyle w:val="Prrafodelista"/>
        <w:numPr>
          <w:ilvl w:val="0"/>
          <w:numId w:val="5"/>
        </w:numPr>
        <w:spacing w:after="240" w:line="360" w:lineRule="auto"/>
        <w:ind w:right="843"/>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D</w:t>
      </w:r>
      <w:r w:rsidR="00285379" w:rsidRPr="001B33FF">
        <w:rPr>
          <w:rFonts w:ascii="Palatino Linotype" w:eastAsia="Palatino Linotype" w:hAnsi="Palatino Linotype" w:cs="Palatino Linotype"/>
          <w:sz w:val="22"/>
          <w:szCs w:val="22"/>
        </w:rPr>
        <w:t xml:space="preserve">ocumento que lo acredite ya que el </w:t>
      </w:r>
      <w:r w:rsidRPr="001B33FF">
        <w:rPr>
          <w:rFonts w:ascii="Palatino Linotype" w:eastAsia="Palatino Linotype" w:hAnsi="Palatino Linotype" w:cs="Palatino Linotype"/>
          <w:sz w:val="22"/>
          <w:szCs w:val="22"/>
        </w:rPr>
        <w:t>día 7 d</w:t>
      </w:r>
      <w:r w:rsidR="00285379" w:rsidRPr="001B33FF">
        <w:rPr>
          <w:rFonts w:ascii="Palatino Linotype" w:eastAsia="Palatino Linotype" w:hAnsi="Palatino Linotype" w:cs="Palatino Linotype"/>
          <w:sz w:val="22"/>
          <w:szCs w:val="22"/>
        </w:rPr>
        <w:t>e</w:t>
      </w:r>
      <w:r w:rsidRPr="001B33FF">
        <w:rPr>
          <w:rFonts w:ascii="Palatino Linotype" w:eastAsia="Palatino Linotype" w:hAnsi="Palatino Linotype" w:cs="Palatino Linotype"/>
          <w:sz w:val="22"/>
          <w:szCs w:val="22"/>
        </w:rPr>
        <w:t xml:space="preserve"> julio de 2025 la unidad de trasparencia</w:t>
      </w:r>
      <w:r w:rsidR="00285379" w:rsidRPr="001B33FF">
        <w:rPr>
          <w:rFonts w:ascii="Palatino Linotype" w:eastAsia="Palatino Linotype" w:hAnsi="Palatino Linotype" w:cs="Palatino Linotype"/>
          <w:sz w:val="22"/>
          <w:szCs w:val="22"/>
        </w:rPr>
        <w:t xml:space="preserve"> </w:t>
      </w:r>
      <w:r w:rsidRPr="001B33FF">
        <w:rPr>
          <w:rFonts w:ascii="Palatino Linotype" w:eastAsia="Palatino Linotype" w:hAnsi="Palatino Linotype" w:cs="Palatino Linotype"/>
          <w:sz w:val="22"/>
          <w:szCs w:val="22"/>
        </w:rPr>
        <w:t>envió</w:t>
      </w:r>
      <w:r w:rsidR="00285379" w:rsidRPr="001B33FF">
        <w:rPr>
          <w:rFonts w:ascii="Palatino Linotype" w:eastAsia="Palatino Linotype" w:hAnsi="Palatino Linotype" w:cs="Palatino Linotype"/>
          <w:sz w:val="22"/>
          <w:szCs w:val="22"/>
        </w:rPr>
        <w:t xml:space="preserve"> el oficio UTAIP/290/2025 y eso fue lo </w:t>
      </w:r>
      <w:r w:rsidRPr="001B33FF">
        <w:rPr>
          <w:rFonts w:ascii="Palatino Linotype" w:eastAsia="Palatino Linotype" w:hAnsi="Palatino Linotype" w:cs="Palatino Linotype"/>
          <w:sz w:val="22"/>
          <w:szCs w:val="22"/>
        </w:rPr>
        <w:t>único</w:t>
      </w:r>
      <w:r w:rsidR="00285379" w:rsidRPr="001B33FF">
        <w:rPr>
          <w:rFonts w:ascii="Palatino Linotype" w:eastAsia="Palatino Linotype" w:hAnsi="Palatino Linotype" w:cs="Palatino Linotype"/>
          <w:sz w:val="22"/>
          <w:szCs w:val="22"/>
        </w:rPr>
        <w:t xml:space="preserve"> </w:t>
      </w:r>
      <w:r w:rsidRPr="001B33FF">
        <w:rPr>
          <w:rFonts w:ascii="Palatino Linotype" w:eastAsia="Palatino Linotype" w:hAnsi="Palatino Linotype" w:cs="Palatino Linotype"/>
          <w:sz w:val="22"/>
          <w:szCs w:val="22"/>
        </w:rPr>
        <w:t>que contestó</w:t>
      </w:r>
      <w:r w:rsidR="00285379" w:rsidRPr="001B33FF">
        <w:rPr>
          <w:rFonts w:ascii="Palatino Linotype" w:eastAsia="Palatino Linotype" w:hAnsi="Palatino Linotype" w:cs="Palatino Linotype"/>
          <w:sz w:val="22"/>
          <w:szCs w:val="22"/>
        </w:rPr>
        <w:t xml:space="preserve"> a mi solicitu</w:t>
      </w:r>
      <w:r w:rsidRPr="001B33FF">
        <w:rPr>
          <w:rFonts w:ascii="Palatino Linotype" w:eastAsia="Palatino Linotype" w:hAnsi="Palatino Linotype" w:cs="Palatino Linotype"/>
          <w:sz w:val="22"/>
          <w:szCs w:val="22"/>
        </w:rPr>
        <w:t>d</w:t>
      </w:r>
      <w:r w:rsidR="00285379" w:rsidRPr="001B33FF">
        <w:rPr>
          <w:rFonts w:ascii="Palatino Linotype" w:eastAsia="Palatino Linotype" w:hAnsi="Palatino Linotype" w:cs="Palatino Linotype"/>
          <w:sz w:val="22"/>
          <w:szCs w:val="22"/>
        </w:rPr>
        <w:t xml:space="preserve"> pero no dio respuesta y se le </w:t>
      </w:r>
      <w:r w:rsidRPr="001B33FF">
        <w:rPr>
          <w:rFonts w:ascii="Palatino Linotype" w:eastAsia="Palatino Linotype" w:hAnsi="Palatino Linotype" w:cs="Palatino Linotype"/>
          <w:sz w:val="22"/>
          <w:szCs w:val="22"/>
        </w:rPr>
        <w:t>h</w:t>
      </w:r>
      <w:r w:rsidR="00285379" w:rsidRPr="001B33FF">
        <w:rPr>
          <w:rFonts w:ascii="Palatino Linotype" w:eastAsia="Palatino Linotype" w:hAnsi="Palatino Linotype" w:cs="Palatino Linotype"/>
          <w:sz w:val="22"/>
          <w:szCs w:val="22"/>
        </w:rPr>
        <w:t xml:space="preserve">a iniciado alguna denuncia o </w:t>
      </w:r>
      <w:r w:rsidRPr="001B33FF">
        <w:rPr>
          <w:rFonts w:ascii="Palatino Linotype" w:eastAsia="Palatino Linotype" w:hAnsi="Palatino Linotype" w:cs="Palatino Linotype"/>
          <w:sz w:val="22"/>
          <w:szCs w:val="22"/>
        </w:rPr>
        <w:t>procedimiento y</w:t>
      </w:r>
      <w:r w:rsidR="00285379" w:rsidRPr="001B33FF">
        <w:rPr>
          <w:rFonts w:ascii="Palatino Linotype" w:eastAsia="Palatino Linotype" w:hAnsi="Palatino Linotype" w:cs="Palatino Linotype"/>
          <w:sz w:val="22"/>
          <w:szCs w:val="22"/>
        </w:rPr>
        <w:t xml:space="preserve"> el </w:t>
      </w:r>
      <w:r w:rsidRPr="001B33FF">
        <w:rPr>
          <w:rFonts w:ascii="Palatino Linotype" w:eastAsia="Palatino Linotype" w:hAnsi="Palatino Linotype" w:cs="Palatino Linotype"/>
          <w:sz w:val="22"/>
          <w:szCs w:val="22"/>
        </w:rPr>
        <w:t>número</w:t>
      </w:r>
      <w:r w:rsidR="00285379" w:rsidRPr="001B33FF">
        <w:rPr>
          <w:rFonts w:ascii="Palatino Linotype" w:eastAsia="Palatino Linotype" w:hAnsi="Palatino Linotype" w:cs="Palatino Linotype"/>
          <w:sz w:val="22"/>
          <w:szCs w:val="22"/>
        </w:rPr>
        <w:t xml:space="preserve"> de expediente. </w:t>
      </w:r>
    </w:p>
    <w:p w14:paraId="073503D3" w14:textId="612A32F7" w:rsidR="00285379" w:rsidRPr="001B33FF" w:rsidRDefault="00454B9B" w:rsidP="00285379">
      <w:pPr>
        <w:pStyle w:val="Prrafodelista"/>
        <w:numPr>
          <w:ilvl w:val="0"/>
          <w:numId w:val="5"/>
        </w:numPr>
        <w:spacing w:after="240" w:line="360" w:lineRule="auto"/>
        <w:ind w:right="843"/>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Q</w:t>
      </w:r>
      <w:r w:rsidR="00285379" w:rsidRPr="001B33FF">
        <w:rPr>
          <w:rFonts w:ascii="Palatino Linotype" w:eastAsia="Palatino Linotype" w:hAnsi="Palatino Linotype" w:cs="Palatino Linotype"/>
          <w:sz w:val="22"/>
          <w:szCs w:val="22"/>
        </w:rPr>
        <w:t xml:space="preserve">uiero saber si la señora presidenta sabe de </w:t>
      </w:r>
      <w:r w:rsidRPr="001B33FF">
        <w:rPr>
          <w:rFonts w:ascii="Palatino Linotype" w:eastAsia="Palatino Linotype" w:hAnsi="Palatino Linotype" w:cs="Palatino Linotype"/>
          <w:sz w:val="22"/>
          <w:szCs w:val="22"/>
        </w:rPr>
        <w:t>qué</w:t>
      </w:r>
      <w:r w:rsidR="00285379" w:rsidRPr="001B33FF">
        <w:rPr>
          <w:rFonts w:ascii="Palatino Linotype" w:eastAsia="Palatino Linotype" w:hAnsi="Palatino Linotype" w:cs="Palatino Linotype"/>
          <w:sz w:val="22"/>
          <w:szCs w:val="22"/>
        </w:rPr>
        <w:t xml:space="preserve"> la </w:t>
      </w:r>
      <w:r w:rsidRPr="001B33FF">
        <w:rPr>
          <w:rFonts w:ascii="Palatino Linotype" w:eastAsia="Palatino Linotype" w:hAnsi="Palatino Linotype" w:cs="Palatino Linotype"/>
          <w:sz w:val="22"/>
          <w:szCs w:val="22"/>
        </w:rPr>
        <w:t>Tesorera</w:t>
      </w:r>
      <w:r w:rsidR="00285379" w:rsidRPr="001B33FF">
        <w:rPr>
          <w:rFonts w:ascii="Palatino Linotype" w:eastAsia="Palatino Linotype" w:hAnsi="Palatino Linotype" w:cs="Palatino Linotype"/>
          <w:sz w:val="22"/>
          <w:szCs w:val="22"/>
        </w:rPr>
        <w:t xml:space="preserve"> no da respuesta a las solicitud es de </w:t>
      </w:r>
      <w:r w:rsidRPr="001B33FF">
        <w:rPr>
          <w:rFonts w:ascii="Palatino Linotype" w:eastAsia="Palatino Linotype" w:hAnsi="Palatino Linotype" w:cs="Palatino Linotype"/>
          <w:sz w:val="22"/>
          <w:szCs w:val="22"/>
        </w:rPr>
        <w:t>información</w:t>
      </w:r>
      <w:r w:rsidR="00285379" w:rsidRPr="001B33FF">
        <w:rPr>
          <w:rFonts w:ascii="Palatino Linotype" w:eastAsia="Palatino Linotype" w:hAnsi="Palatino Linotype" w:cs="Palatino Linotype"/>
          <w:sz w:val="22"/>
          <w:szCs w:val="22"/>
        </w:rPr>
        <w:t xml:space="preserve"> y que a echo al respecto</w:t>
      </w:r>
    </w:p>
    <w:p w14:paraId="17EC3A15" w14:textId="77777777" w:rsidR="00402094" w:rsidRPr="001B33FF" w:rsidRDefault="00402094" w:rsidP="000D0009">
      <w:pPr>
        <w:pStyle w:val="Prrafodelista"/>
        <w:spacing w:line="360" w:lineRule="auto"/>
        <w:ind w:left="284"/>
        <w:jc w:val="both"/>
        <w:rPr>
          <w:rFonts w:ascii="Palatino Linotype" w:hAnsi="Palatino Linotype"/>
          <w:sz w:val="22"/>
          <w:szCs w:val="22"/>
        </w:rPr>
      </w:pPr>
    </w:p>
    <w:p w14:paraId="493F2351" w14:textId="7B5175E9" w:rsidR="00454B9B" w:rsidRPr="001B33FF" w:rsidRDefault="006E19B5" w:rsidP="006E19B5">
      <w:pPr>
        <w:spacing w:line="360" w:lineRule="auto"/>
        <w:jc w:val="both"/>
        <w:rPr>
          <w:rFonts w:ascii="Palatino Linotype" w:hAnsi="Palatino Linotype"/>
          <w:sz w:val="22"/>
          <w:szCs w:val="22"/>
        </w:rPr>
      </w:pPr>
      <w:r w:rsidRPr="001B33FF">
        <w:rPr>
          <w:rFonts w:ascii="Palatino Linotype" w:hAnsi="Palatino Linotype"/>
          <w:sz w:val="22"/>
          <w:szCs w:val="22"/>
        </w:rPr>
        <w:t>El Sujeto Obligado</w:t>
      </w:r>
      <w:r w:rsidR="00454B9B" w:rsidRPr="001B33FF">
        <w:rPr>
          <w:rFonts w:ascii="Palatino Linotype" w:hAnsi="Palatino Linotype"/>
          <w:sz w:val="22"/>
          <w:szCs w:val="22"/>
        </w:rPr>
        <w:t>, a través de la Unidad de Transparencia entregó la siguiente información:</w:t>
      </w:r>
    </w:p>
    <w:p w14:paraId="7F257236" w14:textId="77777777" w:rsidR="00454B9B" w:rsidRPr="001B33FF" w:rsidRDefault="00454B9B" w:rsidP="006E19B5">
      <w:pPr>
        <w:spacing w:line="360" w:lineRule="auto"/>
        <w:jc w:val="both"/>
        <w:rPr>
          <w:rFonts w:ascii="Palatino Linotype" w:hAnsi="Palatino Linotype"/>
          <w:sz w:val="22"/>
          <w:szCs w:val="22"/>
        </w:rPr>
      </w:pPr>
    </w:p>
    <w:p w14:paraId="5A9B8A83" w14:textId="07FCDF44" w:rsidR="00454B9B" w:rsidRPr="001B33FF" w:rsidRDefault="00454B9B" w:rsidP="006E19B5">
      <w:pPr>
        <w:spacing w:line="360" w:lineRule="auto"/>
        <w:jc w:val="both"/>
        <w:rPr>
          <w:rFonts w:ascii="Palatino Linotype" w:hAnsi="Palatino Linotype"/>
          <w:sz w:val="22"/>
          <w:szCs w:val="22"/>
        </w:rPr>
      </w:pPr>
      <w:r w:rsidRPr="001B33FF">
        <w:rPr>
          <w:rFonts w:ascii="Palatino Linotype" w:hAnsi="Palatino Linotype"/>
          <w:noProof/>
          <w:sz w:val="22"/>
          <w:szCs w:val="22"/>
        </w:rPr>
        <w:drawing>
          <wp:inline distT="0" distB="0" distL="0" distR="0" wp14:anchorId="0B0DF199" wp14:editId="24C67D8B">
            <wp:extent cx="5756275" cy="4091305"/>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4091305"/>
                    </a:xfrm>
                    <a:prstGeom prst="rect">
                      <a:avLst/>
                    </a:prstGeom>
                  </pic:spPr>
                </pic:pic>
              </a:graphicData>
            </a:graphic>
          </wp:inline>
        </w:drawing>
      </w:r>
    </w:p>
    <w:p w14:paraId="66BD73E1" w14:textId="77777777" w:rsidR="00454B9B" w:rsidRPr="001B33FF" w:rsidRDefault="00454B9B" w:rsidP="006E19B5">
      <w:pPr>
        <w:spacing w:line="360" w:lineRule="auto"/>
        <w:jc w:val="both"/>
        <w:rPr>
          <w:rFonts w:ascii="Palatino Linotype" w:hAnsi="Palatino Linotype"/>
          <w:sz w:val="22"/>
          <w:szCs w:val="22"/>
        </w:rPr>
      </w:pPr>
    </w:p>
    <w:p w14:paraId="20B805B0" w14:textId="5759A871" w:rsidR="00E70735" w:rsidRPr="001B33FF" w:rsidRDefault="00454B9B" w:rsidP="006E19B5">
      <w:pPr>
        <w:spacing w:line="360" w:lineRule="auto"/>
        <w:jc w:val="both"/>
        <w:rPr>
          <w:rFonts w:ascii="Palatino Linotype" w:hAnsi="Palatino Linotype"/>
          <w:sz w:val="22"/>
          <w:szCs w:val="22"/>
        </w:rPr>
      </w:pPr>
      <w:r w:rsidRPr="001B33FF">
        <w:rPr>
          <w:rFonts w:ascii="Palatino Linotype" w:hAnsi="Palatino Linotype"/>
          <w:sz w:val="22"/>
          <w:szCs w:val="22"/>
        </w:rPr>
        <w:t xml:space="preserve">Por su parte, </w:t>
      </w:r>
      <w:r w:rsidR="00E70735" w:rsidRPr="001B33FF">
        <w:rPr>
          <w:rFonts w:ascii="Palatino Linotype" w:hAnsi="Palatino Linotype"/>
          <w:sz w:val="22"/>
          <w:szCs w:val="22"/>
        </w:rPr>
        <w:t xml:space="preserve">el Recurrente promovió el recurso de revisión </w:t>
      </w:r>
      <w:r w:rsidR="004D3788" w:rsidRPr="001B33FF">
        <w:rPr>
          <w:rFonts w:ascii="Palatino Linotype" w:hAnsi="Palatino Linotype"/>
          <w:sz w:val="22"/>
          <w:szCs w:val="22"/>
        </w:rPr>
        <w:t>señalando como motivo de inconformidad, en términos generales la negativa de la información.</w:t>
      </w:r>
    </w:p>
    <w:p w14:paraId="259FC8E0" w14:textId="77777777" w:rsidR="004D3788" w:rsidRPr="001B33FF" w:rsidRDefault="004D3788" w:rsidP="006E19B5">
      <w:pPr>
        <w:spacing w:line="360" w:lineRule="auto"/>
        <w:jc w:val="both"/>
        <w:rPr>
          <w:rFonts w:ascii="Palatino Linotype" w:hAnsi="Palatino Linotype"/>
          <w:sz w:val="22"/>
          <w:szCs w:val="22"/>
        </w:rPr>
      </w:pPr>
    </w:p>
    <w:p w14:paraId="305846B7" w14:textId="77777777" w:rsidR="00824B71" w:rsidRPr="001B33FF" w:rsidRDefault="00824B71" w:rsidP="00824B71">
      <w:pPr>
        <w:pBdr>
          <w:top w:val="nil"/>
          <w:left w:val="nil"/>
          <w:bottom w:val="nil"/>
          <w:right w:val="nil"/>
          <w:between w:val="nil"/>
        </w:pBdr>
        <w:spacing w:line="360" w:lineRule="auto"/>
        <w:ind w:right="134"/>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Dicho lo anterior, es necesario precisar que los Sujetos Obligados tienen el deber de entregar la información que obra en sus archivos, en el estado que se encuentra sin que exista la obligación de generar documentos ad hoc para la atención de las solicitudes de acceso a la información pública, como se ha mencionado en líneas anteriores. </w:t>
      </w:r>
    </w:p>
    <w:p w14:paraId="459D9526" w14:textId="77777777" w:rsidR="00824B71" w:rsidRPr="001B33FF" w:rsidRDefault="00824B71" w:rsidP="00824B71">
      <w:pPr>
        <w:pBdr>
          <w:top w:val="nil"/>
          <w:left w:val="nil"/>
          <w:bottom w:val="nil"/>
          <w:right w:val="nil"/>
          <w:between w:val="nil"/>
        </w:pBdr>
        <w:spacing w:line="360" w:lineRule="auto"/>
        <w:ind w:right="134"/>
        <w:jc w:val="both"/>
        <w:rPr>
          <w:rFonts w:ascii="Palatino Linotype" w:eastAsia="Palatino Linotype" w:hAnsi="Palatino Linotype" w:cs="Palatino Linotype"/>
          <w:sz w:val="22"/>
          <w:szCs w:val="22"/>
        </w:rPr>
      </w:pPr>
    </w:p>
    <w:p w14:paraId="496FB543" w14:textId="0BCA6553" w:rsidR="00824B71" w:rsidRPr="001B33FF" w:rsidRDefault="00824B71" w:rsidP="00824B71">
      <w:pPr>
        <w:pBdr>
          <w:top w:val="nil"/>
          <w:left w:val="nil"/>
          <w:bottom w:val="nil"/>
          <w:right w:val="nil"/>
          <w:between w:val="nil"/>
        </w:pBdr>
        <w:spacing w:line="360" w:lineRule="auto"/>
        <w:ind w:right="134"/>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Ahora bien, de la lectura a los requerimientos del particular se advierte que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atención a dichos cuestionamientos no se pueden colmar con documentos que obren en los archivos del Sujeto Obligado.</w:t>
      </w:r>
    </w:p>
    <w:p w14:paraId="5D8998BD" w14:textId="77777777" w:rsidR="00824B71" w:rsidRPr="001B33FF" w:rsidRDefault="00824B71" w:rsidP="00824B71">
      <w:pPr>
        <w:pBdr>
          <w:top w:val="nil"/>
          <w:left w:val="nil"/>
          <w:bottom w:val="nil"/>
          <w:right w:val="nil"/>
          <w:between w:val="nil"/>
        </w:pBdr>
        <w:spacing w:line="360" w:lineRule="auto"/>
        <w:ind w:right="134"/>
        <w:jc w:val="both"/>
        <w:rPr>
          <w:rFonts w:ascii="Palatino Linotype" w:eastAsia="Palatino Linotype" w:hAnsi="Palatino Linotype" w:cs="Palatino Linotype"/>
          <w:sz w:val="22"/>
          <w:szCs w:val="22"/>
        </w:rPr>
      </w:pPr>
    </w:p>
    <w:p w14:paraId="02B57CDB" w14:textId="77777777" w:rsidR="00824B71" w:rsidRPr="001B33FF" w:rsidRDefault="00824B71" w:rsidP="00824B71">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Por lo anterior, del análisis realizado al expediente electrónico, se advierte que dichos requerimientos NO constituyen un derecho de acceso a la información y por lo tanto no son atendibles mediante una solicitud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643F055A" w14:textId="77777777" w:rsidR="00205000" w:rsidRPr="001B33FF" w:rsidRDefault="00205000" w:rsidP="00824B71">
      <w:pPr>
        <w:spacing w:line="360" w:lineRule="auto"/>
        <w:jc w:val="both"/>
        <w:rPr>
          <w:rFonts w:ascii="Palatino Linotype" w:eastAsia="Palatino Linotype" w:hAnsi="Palatino Linotype" w:cs="Palatino Linotype"/>
          <w:sz w:val="22"/>
          <w:szCs w:val="22"/>
        </w:rPr>
      </w:pPr>
    </w:p>
    <w:p w14:paraId="07838A25" w14:textId="77777777" w:rsidR="00824B71" w:rsidRPr="001B33FF" w:rsidRDefault="00824B71" w:rsidP="00824B71">
      <w:pPr>
        <w:pBdr>
          <w:top w:val="nil"/>
          <w:left w:val="nil"/>
          <w:bottom w:val="nil"/>
          <w:right w:val="nil"/>
          <w:between w:val="nil"/>
        </w:pBdr>
        <w:spacing w:line="360" w:lineRule="auto"/>
        <w:ind w:right="-150"/>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sz w:val="22"/>
          <w:szCs w:val="22"/>
        </w:rPr>
        <w:t xml:space="preserve">A efecto de sustentar lo anterior, es preciso mencionar que David Cienfuegos Salgado, concibe al derecho de petición como </w:t>
      </w:r>
      <w:r w:rsidRPr="001B33FF">
        <w:rPr>
          <w:rFonts w:ascii="Palatino Linotype" w:eastAsia="Palatino Linotype" w:hAnsi="Palatino Linotype" w:cs="Palatino Linotype"/>
          <w:i/>
          <w:sz w:val="22"/>
          <w:szCs w:val="22"/>
        </w:rPr>
        <w:t>“</w:t>
      </w:r>
      <w:r w:rsidRPr="001B33FF">
        <w:rPr>
          <w:rFonts w:ascii="Palatino Linotype" w:eastAsia="Palatino Linotype" w:hAnsi="Palatino Linotype" w:cs="Palatino Linotype"/>
          <w:b/>
          <w:i/>
          <w:sz w:val="22"/>
          <w:szCs w:val="22"/>
          <w:u w:val="single"/>
        </w:rPr>
        <w:t>el derecho de toda persona a ser escuchado por quienes ejercen el poder públic</w:t>
      </w:r>
      <w:r w:rsidRPr="001B33FF">
        <w:rPr>
          <w:rFonts w:ascii="Palatino Linotype" w:eastAsia="Palatino Linotype" w:hAnsi="Palatino Linotype" w:cs="Palatino Linotype"/>
          <w:i/>
          <w:sz w:val="22"/>
          <w:szCs w:val="22"/>
        </w:rPr>
        <w:t xml:space="preserve">o.”  </w:t>
      </w:r>
    </w:p>
    <w:p w14:paraId="60BD2DAD" w14:textId="77777777" w:rsidR="00205000" w:rsidRPr="001B33FF" w:rsidRDefault="00205000" w:rsidP="00824B71">
      <w:pPr>
        <w:pBdr>
          <w:top w:val="nil"/>
          <w:left w:val="nil"/>
          <w:bottom w:val="nil"/>
          <w:right w:val="nil"/>
          <w:between w:val="nil"/>
        </w:pBdr>
        <w:spacing w:line="360" w:lineRule="auto"/>
        <w:ind w:right="-150"/>
        <w:jc w:val="both"/>
        <w:rPr>
          <w:rFonts w:ascii="Palatino Linotype" w:eastAsia="Palatino Linotype" w:hAnsi="Palatino Linotype" w:cs="Palatino Linotype"/>
          <w:i/>
          <w:sz w:val="22"/>
          <w:szCs w:val="22"/>
        </w:rPr>
      </w:pPr>
    </w:p>
    <w:p w14:paraId="5C5763D7" w14:textId="77777777" w:rsidR="00824B71" w:rsidRPr="001B33FF" w:rsidRDefault="00824B71" w:rsidP="00824B7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De la misma manera, Miguel Carbonell en su libro </w:t>
      </w:r>
      <w:r w:rsidRPr="001B33FF">
        <w:rPr>
          <w:rFonts w:ascii="Palatino Linotype" w:eastAsia="Palatino Linotype" w:hAnsi="Palatino Linotype" w:cs="Palatino Linotype"/>
          <w:i/>
          <w:sz w:val="22"/>
          <w:szCs w:val="22"/>
        </w:rPr>
        <w:t>“Los derechos fundamentales”</w:t>
      </w:r>
      <w:r w:rsidRPr="001B33FF">
        <w:rPr>
          <w:rFonts w:ascii="Palatino Linotype" w:eastAsia="Palatino Linotype" w:hAnsi="Palatino Linotype" w:cs="Palatino Linotype"/>
          <w:sz w:val="22"/>
          <w:szCs w:val="22"/>
        </w:rPr>
        <w:t xml:space="preserve"> refiere que el </w:t>
      </w:r>
      <w:r w:rsidRPr="001B33FF">
        <w:rPr>
          <w:rFonts w:ascii="Palatino Linotype" w:eastAsia="Palatino Linotype" w:hAnsi="Palatino Linotype" w:cs="Palatino Linotype"/>
          <w:sz w:val="22"/>
          <w:szCs w:val="22"/>
          <w:u w:val="single"/>
        </w:rPr>
        <w:t>derecho de petición se ha entendido de dos distintitas maneras</w:t>
      </w:r>
      <w:r w:rsidRPr="001B33FF">
        <w:rPr>
          <w:rFonts w:ascii="Palatino Linotype" w:eastAsia="Palatino Linotype" w:hAnsi="Palatino Linotype" w:cs="Palatino Linotype"/>
          <w:sz w:val="22"/>
          <w:szCs w:val="22"/>
        </w:rPr>
        <w:t xml:space="preserve">, a saber: como un derecho fundamental de participación política ya que </w:t>
      </w:r>
      <w:r w:rsidRPr="001B33FF">
        <w:rPr>
          <w:rFonts w:ascii="Palatino Linotype" w:eastAsia="Palatino Linotype" w:hAnsi="Palatino Linotype" w:cs="Palatino Linotype"/>
          <w:sz w:val="22"/>
          <w:szCs w:val="22"/>
          <w:u w:val="single"/>
        </w:rPr>
        <w:t xml:space="preserve">permite a los </w:t>
      </w:r>
      <w:r w:rsidRPr="001B33FF">
        <w:rPr>
          <w:rFonts w:ascii="Palatino Linotype" w:eastAsia="Palatino Linotype" w:hAnsi="Palatino Linotype" w:cs="Palatino Linotype"/>
          <w:sz w:val="22"/>
          <w:szCs w:val="22"/>
        </w:rPr>
        <w:t xml:space="preserve">particulares trasladar a las autoridades sus </w:t>
      </w:r>
      <w:r w:rsidRPr="001B33FF">
        <w:rPr>
          <w:rFonts w:ascii="Palatino Linotype" w:eastAsia="Palatino Linotype" w:hAnsi="Palatino Linotype" w:cs="Palatino Linotype"/>
          <w:b/>
          <w:sz w:val="22"/>
          <w:szCs w:val="22"/>
        </w:rPr>
        <w:t>inquietudes, quejas</w:t>
      </w:r>
      <w:r w:rsidRPr="001B33FF">
        <w:rPr>
          <w:rFonts w:ascii="Palatino Linotype" w:eastAsia="Palatino Linotype" w:hAnsi="Palatino Linotype" w:cs="Palatino Linotype"/>
          <w:sz w:val="22"/>
          <w:szCs w:val="22"/>
        </w:rPr>
        <w:t xml:space="preserve">, sugerencias y requerimientos en cualquier materia o asunto; y como una </w:t>
      </w:r>
      <w:r w:rsidRPr="001B33FF">
        <w:rPr>
          <w:rFonts w:ascii="Palatino Linotype" w:eastAsia="Palatino Linotype" w:hAnsi="Palatino Linotype" w:cs="Palatino Linotype"/>
          <w:b/>
          <w:sz w:val="22"/>
          <w:szCs w:val="22"/>
        </w:rPr>
        <w:t>forma específica de la libertad de expresión</w:t>
      </w:r>
      <w:r w:rsidRPr="001B33FF">
        <w:rPr>
          <w:rFonts w:ascii="Palatino Linotype" w:eastAsia="Palatino Linotype" w:hAnsi="Palatino Linotype" w:cs="Palatino Linotype"/>
          <w:sz w:val="22"/>
          <w:szCs w:val="22"/>
        </w:rPr>
        <w:t xml:space="preserve">, en tanto que permite expresarse frente a las autoridades. </w:t>
      </w:r>
    </w:p>
    <w:p w14:paraId="548E39D6" w14:textId="77777777" w:rsidR="00205000" w:rsidRPr="001B33FF" w:rsidRDefault="00205000" w:rsidP="00824B7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F9E1AFF" w14:textId="77777777" w:rsidR="00824B71" w:rsidRPr="001B33FF" w:rsidRDefault="00824B71" w:rsidP="00824B7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De igual forma,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p>
    <w:p w14:paraId="0F7E6269" w14:textId="77777777" w:rsidR="00824B71" w:rsidRPr="001B33FF" w:rsidRDefault="00824B71" w:rsidP="00824B7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E920B57" w14:textId="77777777" w:rsidR="00824B71" w:rsidRPr="001B33FF" w:rsidRDefault="00824B71" w:rsidP="00824B7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Por otro lado, el autor anteriormente citado, indica que el </w:t>
      </w:r>
      <w:r w:rsidRPr="001B33FF">
        <w:rPr>
          <w:rFonts w:ascii="Palatino Linotype" w:eastAsia="Palatino Linotype" w:hAnsi="Palatino Linotype" w:cs="Palatino Linotype"/>
          <w:b/>
          <w:sz w:val="22"/>
          <w:szCs w:val="22"/>
        </w:rPr>
        <w:t>derecho de acceso a la información pública</w:t>
      </w:r>
      <w:r w:rsidRPr="001B33FF">
        <w:rPr>
          <w:rFonts w:ascii="Palatino Linotype" w:eastAsia="Palatino Linotype" w:hAnsi="Palatino Linotype" w:cs="Palatino Linotype"/>
          <w:sz w:val="22"/>
          <w:szCs w:val="22"/>
        </w:rPr>
        <w:t xml:space="preserve"> es el derecho de conocer la </w:t>
      </w:r>
      <w:r w:rsidRPr="001B33FF">
        <w:rPr>
          <w:rFonts w:ascii="Palatino Linotype" w:eastAsia="Palatino Linotype" w:hAnsi="Palatino Linotype" w:cs="Palatino Linotype"/>
          <w:sz w:val="22"/>
          <w:szCs w:val="22"/>
          <w:u w:val="single"/>
        </w:rPr>
        <w:t>información de carácter público que se genera o está en posesión de los órganos del poder público</w:t>
      </w:r>
      <w:r w:rsidRPr="001B33FF">
        <w:rPr>
          <w:rFonts w:ascii="Palatino Linotype" w:eastAsia="Palatino Linotype" w:hAnsi="Palatino Linotype" w:cs="Palatino Linotype"/>
          <w:sz w:val="22"/>
          <w:szCs w:val="22"/>
        </w:rPr>
        <w:t xml:space="preserve"> o de los sujetos que utilizan o se benefician con recursos provenientes del Estado, es el derecho que tienen los ciudadanos para acceder a documentos y datos que obren en el poder del gobierno.</w:t>
      </w:r>
    </w:p>
    <w:p w14:paraId="6F4DA779" w14:textId="77777777" w:rsidR="00205000" w:rsidRPr="001B33FF" w:rsidRDefault="00205000" w:rsidP="00824B7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43CA0776" w14:textId="77777777" w:rsidR="00824B71" w:rsidRPr="001B33FF" w:rsidRDefault="00824B71" w:rsidP="00824B7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p>
    <w:p w14:paraId="388D0146" w14:textId="77777777" w:rsidR="00824B71" w:rsidRPr="001B33FF" w:rsidRDefault="00824B71" w:rsidP="00824B7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De lo anterior, se puede concluir que la distinción entre el </w:t>
      </w:r>
      <w:r w:rsidRPr="001B33FF">
        <w:rPr>
          <w:rFonts w:ascii="Palatino Linotype" w:eastAsia="Palatino Linotype" w:hAnsi="Palatino Linotype" w:cs="Palatino Linotype"/>
          <w:b/>
          <w:sz w:val="22"/>
          <w:szCs w:val="22"/>
        </w:rPr>
        <w:t>derecho de petición</w:t>
      </w:r>
      <w:r w:rsidRPr="001B33FF">
        <w:rPr>
          <w:rFonts w:ascii="Palatino Linotype" w:eastAsia="Palatino Linotype" w:hAnsi="Palatino Linotype" w:cs="Palatino Linotype"/>
          <w:sz w:val="22"/>
          <w:szCs w:val="22"/>
        </w:rPr>
        <w:t xml:space="preserve"> y el derecho de acceso a la información descansa, principalmente, en que </w:t>
      </w:r>
      <w:r w:rsidRPr="001B33FF">
        <w:rPr>
          <w:rFonts w:ascii="Palatino Linotype" w:eastAsia="Palatino Linotype" w:hAnsi="Palatino Linotype" w:cs="Palatino Linotype"/>
          <w:b/>
          <w:sz w:val="22"/>
          <w:szCs w:val="22"/>
          <w:u w:val="single"/>
        </w:rPr>
        <w:t>la pretensión del peticionario consiste generalmente en obligar a la autoridad responsable a que actúe en el sentido de contestar lo solicitado</w:t>
      </w:r>
      <w:r w:rsidRPr="001B33FF">
        <w:rPr>
          <w:rFonts w:ascii="Palatino Linotype" w:eastAsia="Palatino Linotype" w:hAnsi="Palatino Linotype" w:cs="Palatino Linotype"/>
          <w:sz w:val="22"/>
          <w:szCs w:val="22"/>
        </w:rPr>
        <w:t>,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14:paraId="111EB9E8" w14:textId="77777777" w:rsidR="00205000" w:rsidRPr="001B33FF" w:rsidRDefault="00205000" w:rsidP="00824B7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476B83E" w14:textId="77777777" w:rsidR="00824B71" w:rsidRPr="001B33FF" w:rsidRDefault="00824B71" w:rsidP="00824B7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De esta manera, es que los requerimiento en análisis son inatendible vía acceso a la información pública; y, en tal virtud, a criterio de este Órgano Garante se procede al análisis del resto de los requerimientos, por advertirse de los mismos expresión documental que puede colmar el derecho de la persona solicitante.</w:t>
      </w:r>
    </w:p>
    <w:p w14:paraId="62CEB0F4" w14:textId="77777777" w:rsidR="00205000" w:rsidRPr="001B33FF" w:rsidRDefault="00205000" w:rsidP="00824B7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986E5E3" w14:textId="77777777" w:rsidR="00824B71" w:rsidRPr="001B33FF" w:rsidRDefault="00824B71" w:rsidP="00824B71">
      <w:pPr>
        <w:spacing w:line="360" w:lineRule="auto"/>
        <w:jc w:val="both"/>
        <w:rPr>
          <w:rFonts w:ascii="Palatino Linotype" w:hAnsi="Palatino Linotype"/>
          <w:sz w:val="22"/>
          <w:szCs w:val="22"/>
          <w:lang w:val="es-ES" w:eastAsia="es-ES_tradnl"/>
        </w:rPr>
      </w:pPr>
      <w:r w:rsidRPr="001B33FF">
        <w:rPr>
          <w:rFonts w:ascii="Palatino Linotype" w:hAnsi="Palatino Linotype"/>
          <w:bCs/>
          <w:sz w:val="22"/>
          <w:szCs w:val="22"/>
          <w:lang w:val="es-ES" w:eastAsia="es-ES_tradnl"/>
        </w:rPr>
        <w:t>En ese sentido, se tiene que, la solicitud de información se relaciona con el ejercicio del derecho de petición, situación que, no es factible atenderse vía acceso a la información pública. </w:t>
      </w:r>
    </w:p>
    <w:p w14:paraId="372DF441" w14:textId="77777777" w:rsidR="00824B71" w:rsidRPr="001B33FF" w:rsidRDefault="00824B71" w:rsidP="00824B71">
      <w:pPr>
        <w:spacing w:line="360" w:lineRule="auto"/>
        <w:rPr>
          <w:rFonts w:ascii="Palatino Linotype" w:hAnsi="Palatino Linotype"/>
          <w:sz w:val="22"/>
          <w:szCs w:val="22"/>
          <w:lang w:val="es-ES" w:eastAsia="es-ES_tradnl"/>
        </w:rPr>
      </w:pPr>
    </w:p>
    <w:p w14:paraId="790043B1" w14:textId="77777777" w:rsidR="00824B71" w:rsidRPr="001B33FF" w:rsidRDefault="00824B71" w:rsidP="00824B71">
      <w:pPr>
        <w:spacing w:line="360" w:lineRule="auto"/>
        <w:jc w:val="both"/>
        <w:rPr>
          <w:rFonts w:ascii="Palatino Linotype" w:hAnsi="Palatino Linotype"/>
          <w:sz w:val="22"/>
          <w:szCs w:val="22"/>
          <w:lang w:val="es-ES" w:eastAsia="es-ES_tradnl"/>
        </w:rPr>
      </w:pPr>
      <w:r w:rsidRPr="001B33FF">
        <w:rPr>
          <w:rFonts w:ascii="Palatino Linotype" w:hAnsi="Palatino Linotype"/>
          <w:sz w:val="22"/>
          <w:szCs w:val="22"/>
          <w:lang w:val="es-ES" w:eastAsia="es-ES_tradnl"/>
        </w:rPr>
        <w:t xml:space="preserve">Del mismo modo, no pasa inadvertido mencionar que, el Derecho de Acceso a la Información Pública se satisface en aquellos casos en que </w:t>
      </w:r>
      <w:r w:rsidRPr="001B33FF">
        <w:rPr>
          <w:rFonts w:ascii="Palatino Linotype" w:hAnsi="Palatino Linotype"/>
          <w:b/>
          <w:bCs/>
          <w:sz w:val="22"/>
          <w:szCs w:val="22"/>
          <w:u w:val="single"/>
          <w:lang w:val="es-ES" w:eastAsia="es-ES_tradnl"/>
        </w:rPr>
        <w:t>se entregue el soporte documental en que conste la información pública</w:t>
      </w:r>
      <w:r w:rsidRPr="001B33FF">
        <w:rPr>
          <w:rFonts w:ascii="Palatino Linotype" w:hAnsi="Palatino Linotype"/>
          <w:sz w:val="22"/>
          <w:szCs w:val="22"/>
          <w:lang w:val="es-ES" w:eastAsia="es-ES_tradnl"/>
        </w:rPr>
        <w:t xml:space="preserve">, toda vez que no se tiene el deber de generar un documento </w:t>
      </w:r>
      <w:r w:rsidRPr="001B33FF">
        <w:rPr>
          <w:rFonts w:ascii="Palatino Linotype" w:hAnsi="Palatino Linotype"/>
          <w:i/>
          <w:iCs/>
          <w:sz w:val="22"/>
          <w:szCs w:val="22"/>
          <w:lang w:val="es-ES" w:eastAsia="es-ES_tradnl"/>
        </w:rPr>
        <w:t>ad hoc</w:t>
      </w:r>
      <w:r w:rsidRPr="001B33FF">
        <w:rPr>
          <w:rFonts w:ascii="Palatino Linotype" w:hAnsi="Palatino Linotype"/>
          <w:sz w:val="22"/>
          <w:szCs w:val="22"/>
          <w:lang w:val="es-ES" w:eastAsia="es-ES_tradnl"/>
        </w:rPr>
        <w:t>, para satisfacer la solicitud.</w:t>
      </w:r>
    </w:p>
    <w:p w14:paraId="23C0A3CA" w14:textId="77777777" w:rsidR="00824B71" w:rsidRPr="001B33FF" w:rsidRDefault="00824B71" w:rsidP="006E19B5">
      <w:pPr>
        <w:spacing w:line="360" w:lineRule="auto"/>
        <w:jc w:val="both"/>
        <w:rPr>
          <w:rFonts w:ascii="Palatino Linotype" w:hAnsi="Palatino Linotype"/>
          <w:sz w:val="22"/>
          <w:szCs w:val="22"/>
        </w:rPr>
      </w:pPr>
    </w:p>
    <w:p w14:paraId="07CA0CD1" w14:textId="77777777" w:rsidR="00205000" w:rsidRPr="001B33FF" w:rsidRDefault="00205000" w:rsidP="006E19B5">
      <w:pPr>
        <w:spacing w:line="360" w:lineRule="auto"/>
        <w:jc w:val="both"/>
        <w:rPr>
          <w:rFonts w:ascii="Palatino Linotype" w:hAnsi="Palatino Linotype"/>
          <w:sz w:val="22"/>
          <w:szCs w:val="22"/>
        </w:rPr>
      </w:pPr>
      <w:r w:rsidRPr="001B33FF">
        <w:rPr>
          <w:rFonts w:ascii="Palatino Linotype" w:hAnsi="Palatino Linotype"/>
          <w:sz w:val="22"/>
          <w:szCs w:val="22"/>
        </w:rPr>
        <w:t xml:space="preserve">No obstante, el Sujeto Obligado a través de su respuesta entregó un documento ad hoc en el cual enlista </w:t>
      </w:r>
      <w:r w:rsidRPr="001B33FF">
        <w:rPr>
          <w:rFonts w:ascii="Palatino Linotype" w:hAnsi="Palatino Linotype"/>
          <w:b/>
          <w:sz w:val="22"/>
          <w:szCs w:val="22"/>
        </w:rPr>
        <w:t>las acciones que realiza la unidad de Transparencia en la atención de solicitudes de acceso a la información pública y en el ejercicio de los derechos ARCO</w:t>
      </w:r>
      <w:r w:rsidRPr="001B33FF">
        <w:rPr>
          <w:rFonts w:ascii="Palatino Linotype" w:hAnsi="Palatino Linotype"/>
          <w:sz w:val="22"/>
          <w:szCs w:val="22"/>
        </w:rPr>
        <w:t>.</w:t>
      </w:r>
    </w:p>
    <w:p w14:paraId="40B34E71" w14:textId="77777777" w:rsidR="00205000" w:rsidRPr="001B33FF" w:rsidRDefault="00205000" w:rsidP="006E19B5">
      <w:pPr>
        <w:spacing w:line="360" w:lineRule="auto"/>
        <w:jc w:val="both"/>
        <w:rPr>
          <w:rFonts w:ascii="Palatino Linotype" w:hAnsi="Palatino Linotype"/>
          <w:sz w:val="22"/>
          <w:szCs w:val="22"/>
        </w:rPr>
      </w:pPr>
    </w:p>
    <w:p w14:paraId="2E66691D" w14:textId="219814B4" w:rsidR="00205000" w:rsidRPr="001B33FF" w:rsidRDefault="00205000" w:rsidP="006E19B5">
      <w:pPr>
        <w:spacing w:line="360" w:lineRule="auto"/>
        <w:jc w:val="both"/>
        <w:rPr>
          <w:rFonts w:ascii="Palatino Linotype" w:hAnsi="Palatino Linotype"/>
          <w:sz w:val="22"/>
          <w:szCs w:val="22"/>
        </w:rPr>
      </w:pPr>
      <w:r w:rsidRPr="001B33FF">
        <w:rPr>
          <w:rFonts w:ascii="Palatino Linotype" w:hAnsi="Palatino Linotype"/>
          <w:sz w:val="22"/>
          <w:szCs w:val="22"/>
        </w:rPr>
        <w:t>Además, mediante el informe justificado</w:t>
      </w:r>
      <w:r w:rsidR="00CC330E" w:rsidRPr="001B33FF">
        <w:rPr>
          <w:rFonts w:ascii="Palatino Linotype" w:hAnsi="Palatino Linotype"/>
          <w:sz w:val="22"/>
          <w:szCs w:val="22"/>
        </w:rPr>
        <w:t>, el Sujeto Obligado amplió su respuesta señalando, lo siguiente:</w:t>
      </w:r>
    </w:p>
    <w:p w14:paraId="625EF01E" w14:textId="77777777" w:rsidR="00CC330E" w:rsidRPr="001B33FF" w:rsidRDefault="00CC330E" w:rsidP="006E19B5">
      <w:pPr>
        <w:spacing w:line="360" w:lineRule="auto"/>
        <w:jc w:val="both"/>
        <w:rPr>
          <w:rFonts w:ascii="Palatino Linotype" w:hAnsi="Palatino Linotype"/>
          <w:sz w:val="22"/>
          <w:szCs w:val="22"/>
        </w:rPr>
      </w:pPr>
    </w:p>
    <w:p w14:paraId="6F2E879C" w14:textId="1806847A" w:rsidR="00CC330E" w:rsidRPr="001B33FF" w:rsidRDefault="00CC330E" w:rsidP="006E19B5">
      <w:pPr>
        <w:spacing w:line="360" w:lineRule="auto"/>
        <w:jc w:val="both"/>
        <w:rPr>
          <w:rFonts w:ascii="Palatino Linotype" w:hAnsi="Palatino Linotype"/>
          <w:sz w:val="22"/>
          <w:szCs w:val="22"/>
        </w:rPr>
      </w:pPr>
      <w:r w:rsidRPr="001B33FF">
        <w:rPr>
          <w:rFonts w:ascii="Palatino Linotype" w:hAnsi="Palatino Linotype"/>
          <w:noProof/>
          <w:sz w:val="22"/>
          <w:szCs w:val="22"/>
        </w:rPr>
        <w:drawing>
          <wp:inline distT="0" distB="0" distL="0" distR="0" wp14:anchorId="4D1502C1" wp14:editId="075C009B">
            <wp:extent cx="5756275" cy="560641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275" cy="5606415"/>
                    </a:xfrm>
                    <a:prstGeom prst="rect">
                      <a:avLst/>
                    </a:prstGeom>
                  </pic:spPr>
                </pic:pic>
              </a:graphicData>
            </a:graphic>
          </wp:inline>
        </w:drawing>
      </w:r>
    </w:p>
    <w:p w14:paraId="63C4401E" w14:textId="31C13B18" w:rsidR="006F7CCC" w:rsidRPr="001B33FF" w:rsidRDefault="006F7CCC" w:rsidP="006E19B5">
      <w:pPr>
        <w:spacing w:line="360" w:lineRule="auto"/>
        <w:jc w:val="both"/>
        <w:rPr>
          <w:rFonts w:ascii="Palatino Linotype" w:hAnsi="Palatino Linotype"/>
          <w:sz w:val="22"/>
          <w:szCs w:val="22"/>
        </w:rPr>
      </w:pPr>
      <w:r w:rsidRPr="001B33FF">
        <w:rPr>
          <w:rFonts w:ascii="Palatino Linotype" w:hAnsi="Palatino Linotype"/>
          <w:noProof/>
          <w:sz w:val="22"/>
          <w:szCs w:val="22"/>
        </w:rPr>
        <w:drawing>
          <wp:inline distT="0" distB="0" distL="0" distR="0" wp14:anchorId="5D04E899" wp14:editId="58801221">
            <wp:extent cx="5756275" cy="27336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275" cy="2733675"/>
                    </a:xfrm>
                    <a:prstGeom prst="rect">
                      <a:avLst/>
                    </a:prstGeom>
                  </pic:spPr>
                </pic:pic>
              </a:graphicData>
            </a:graphic>
          </wp:inline>
        </w:drawing>
      </w:r>
    </w:p>
    <w:p w14:paraId="67156E45" w14:textId="77777777" w:rsidR="00CC330E" w:rsidRPr="001B33FF" w:rsidRDefault="00CC330E" w:rsidP="006E19B5">
      <w:pPr>
        <w:spacing w:line="360" w:lineRule="auto"/>
        <w:jc w:val="both"/>
        <w:rPr>
          <w:rFonts w:ascii="Palatino Linotype" w:hAnsi="Palatino Linotype"/>
          <w:sz w:val="22"/>
          <w:szCs w:val="22"/>
        </w:rPr>
      </w:pPr>
    </w:p>
    <w:p w14:paraId="7DE9FA56" w14:textId="4539A649" w:rsidR="004D3788" w:rsidRPr="001B33FF" w:rsidRDefault="006F7CCC" w:rsidP="006E19B5">
      <w:pPr>
        <w:spacing w:line="360" w:lineRule="auto"/>
        <w:jc w:val="both"/>
        <w:rPr>
          <w:rFonts w:ascii="Palatino Linotype" w:hAnsi="Palatino Linotype"/>
          <w:sz w:val="22"/>
          <w:szCs w:val="22"/>
        </w:rPr>
      </w:pPr>
      <w:r w:rsidRPr="001B33FF">
        <w:rPr>
          <w:rFonts w:ascii="Palatino Linotype" w:hAnsi="Palatino Linotype"/>
          <w:sz w:val="22"/>
          <w:szCs w:val="22"/>
        </w:rPr>
        <w:t>Tal y como se señala en el informe justificado, el Sujeto Obligado, a través de la Unidad de Transparencia refirió de manera puntual:</w:t>
      </w:r>
    </w:p>
    <w:p w14:paraId="4FAD1553" w14:textId="77777777" w:rsidR="006F7CCC" w:rsidRPr="001B33FF" w:rsidRDefault="006F7CCC" w:rsidP="006E19B5">
      <w:pPr>
        <w:spacing w:line="360" w:lineRule="auto"/>
        <w:jc w:val="both"/>
        <w:rPr>
          <w:rFonts w:ascii="Palatino Linotype" w:hAnsi="Palatino Linotype"/>
          <w:sz w:val="22"/>
          <w:szCs w:val="22"/>
        </w:rPr>
      </w:pPr>
    </w:p>
    <w:p w14:paraId="3E17E85F" w14:textId="290A20A9" w:rsidR="006F7CCC" w:rsidRPr="001B33FF" w:rsidRDefault="006F7CCC" w:rsidP="00D6741F">
      <w:pPr>
        <w:pStyle w:val="Prrafodelista"/>
        <w:numPr>
          <w:ilvl w:val="0"/>
          <w:numId w:val="29"/>
        </w:numPr>
        <w:spacing w:line="360" w:lineRule="auto"/>
        <w:jc w:val="both"/>
        <w:rPr>
          <w:rFonts w:ascii="Palatino Linotype" w:hAnsi="Palatino Linotype"/>
          <w:sz w:val="22"/>
          <w:szCs w:val="22"/>
        </w:rPr>
      </w:pPr>
      <w:r w:rsidRPr="001B33FF">
        <w:rPr>
          <w:rFonts w:ascii="Palatino Linotype" w:hAnsi="Palatino Linotype"/>
          <w:sz w:val="22"/>
          <w:szCs w:val="22"/>
        </w:rPr>
        <w:t>Si un área no entrega información, siempre ey cuando se halla interpuesto un Recurso Revisión se informa al Titular del Sujeto Obligado a la Contraloría Municipal;</w:t>
      </w:r>
    </w:p>
    <w:p w14:paraId="0493BD6D" w14:textId="0A68C893" w:rsidR="006F7CCC" w:rsidRPr="001B33FF" w:rsidRDefault="00D6741F" w:rsidP="00D6741F">
      <w:pPr>
        <w:pStyle w:val="Prrafodelista"/>
        <w:numPr>
          <w:ilvl w:val="0"/>
          <w:numId w:val="29"/>
        </w:numPr>
        <w:spacing w:line="360" w:lineRule="auto"/>
        <w:jc w:val="both"/>
        <w:rPr>
          <w:rFonts w:ascii="Palatino Linotype" w:hAnsi="Palatino Linotype"/>
          <w:sz w:val="22"/>
          <w:szCs w:val="22"/>
        </w:rPr>
      </w:pPr>
      <w:r w:rsidRPr="001B33FF">
        <w:rPr>
          <w:rFonts w:ascii="Palatino Linotype" w:hAnsi="Palatino Linotype"/>
          <w:sz w:val="22"/>
          <w:szCs w:val="22"/>
        </w:rPr>
        <w:t xml:space="preserve">La intervención del INFOEM con medidas administrativas para hacer cumplir a las áreas conforme a la Ley de Transparencia en el artículo 200 fracciones I, II y III. </w:t>
      </w:r>
    </w:p>
    <w:p w14:paraId="70E37502" w14:textId="23103EE7" w:rsidR="00D6741F" w:rsidRPr="001B33FF" w:rsidRDefault="00D6741F" w:rsidP="00D6741F">
      <w:pPr>
        <w:pStyle w:val="Prrafodelista"/>
        <w:numPr>
          <w:ilvl w:val="0"/>
          <w:numId w:val="29"/>
        </w:numPr>
        <w:spacing w:line="360" w:lineRule="auto"/>
        <w:jc w:val="both"/>
        <w:rPr>
          <w:rFonts w:ascii="Palatino Linotype" w:hAnsi="Palatino Linotype"/>
          <w:sz w:val="22"/>
          <w:szCs w:val="22"/>
        </w:rPr>
      </w:pPr>
      <w:r w:rsidRPr="001B33FF">
        <w:rPr>
          <w:rFonts w:ascii="Palatino Linotype" w:hAnsi="Palatino Linotype"/>
          <w:sz w:val="22"/>
          <w:szCs w:val="22"/>
        </w:rPr>
        <w:t>Al no darle seguimiento a la solicitud se tuvo por concluida al término del plazo de quince días hábiles para interponer recurso de revisión;</w:t>
      </w:r>
    </w:p>
    <w:p w14:paraId="4149F1CE" w14:textId="4B0FB423" w:rsidR="00D6741F" w:rsidRPr="001B33FF" w:rsidRDefault="00D6741F" w:rsidP="00D6741F">
      <w:pPr>
        <w:pStyle w:val="Prrafodelista"/>
        <w:numPr>
          <w:ilvl w:val="0"/>
          <w:numId w:val="29"/>
        </w:numPr>
        <w:spacing w:line="360" w:lineRule="auto"/>
        <w:jc w:val="both"/>
        <w:rPr>
          <w:rFonts w:ascii="Palatino Linotype" w:hAnsi="Palatino Linotype"/>
          <w:sz w:val="22"/>
          <w:szCs w:val="22"/>
        </w:rPr>
      </w:pPr>
      <w:r w:rsidRPr="001B33FF">
        <w:rPr>
          <w:rFonts w:ascii="Palatino Linotype" w:hAnsi="Palatino Linotype"/>
          <w:sz w:val="22"/>
          <w:szCs w:val="22"/>
        </w:rPr>
        <w:t>No se cuenta con los documentos solicitados debido a que no se interpuso recurso de revisión.</w:t>
      </w:r>
    </w:p>
    <w:p w14:paraId="2E6B6514" w14:textId="77777777" w:rsidR="00205000" w:rsidRPr="001B33FF" w:rsidRDefault="00205000" w:rsidP="006E19B5">
      <w:pPr>
        <w:spacing w:line="360" w:lineRule="auto"/>
        <w:jc w:val="both"/>
        <w:rPr>
          <w:rFonts w:ascii="Palatino Linotype" w:hAnsi="Palatino Linotype"/>
          <w:sz w:val="22"/>
          <w:szCs w:val="22"/>
        </w:rPr>
      </w:pPr>
    </w:p>
    <w:p w14:paraId="0DB8CA93" w14:textId="2688DAA9" w:rsidR="001778A6" w:rsidRPr="001B33FF" w:rsidRDefault="001778A6" w:rsidP="006E19B5">
      <w:pPr>
        <w:spacing w:line="360" w:lineRule="auto"/>
        <w:jc w:val="both"/>
        <w:rPr>
          <w:rFonts w:ascii="Palatino Linotype" w:hAnsi="Palatino Linotype"/>
          <w:sz w:val="22"/>
          <w:szCs w:val="22"/>
        </w:rPr>
      </w:pPr>
      <w:r w:rsidRPr="001B33FF">
        <w:rPr>
          <w:rFonts w:ascii="Palatino Linotype" w:hAnsi="Palatino Linotype"/>
          <w:sz w:val="22"/>
          <w:szCs w:val="22"/>
        </w:rPr>
        <w:t xml:space="preserve">Es así que, de la información presentada mediante el informe justificado </w:t>
      </w:r>
      <w:r w:rsidR="00875B5A" w:rsidRPr="001B33FF">
        <w:rPr>
          <w:rFonts w:ascii="Palatino Linotype" w:hAnsi="Palatino Linotype"/>
          <w:sz w:val="22"/>
          <w:szCs w:val="22"/>
        </w:rPr>
        <w:t>se tiene que no se han realizado las acciones que señala el particular por el hecho de que no se dio seguimiento a la solicitud, al no presentar el recurso de revisión.</w:t>
      </w:r>
    </w:p>
    <w:p w14:paraId="3D065494" w14:textId="77777777" w:rsidR="001778A6" w:rsidRPr="001B33FF" w:rsidRDefault="001778A6" w:rsidP="001778A6">
      <w:pPr>
        <w:pStyle w:val="NormalWeb"/>
        <w:spacing w:before="240" w:beforeAutospacing="0" w:after="240" w:afterAutospacing="0" w:line="360" w:lineRule="auto"/>
        <w:jc w:val="both"/>
        <w:rPr>
          <w:rFonts w:ascii="Palatino Linotype" w:hAnsi="Palatino Linotype"/>
          <w:sz w:val="22"/>
          <w:szCs w:val="22"/>
        </w:rPr>
      </w:pPr>
      <w:r w:rsidRPr="001B33FF">
        <w:rPr>
          <w:rFonts w:ascii="Palatino Linotype" w:hAnsi="Palatino Linotype"/>
          <w:sz w:val="22"/>
          <w:szCs w:val="22"/>
        </w:rPr>
        <w:t>Asimismo, no se trata de un caso por el cual la negación del hecho implique la afirmación del mismo, simplemente se está ante una notoria y evidente inexistencia fáctica de la información solicitada.</w:t>
      </w:r>
    </w:p>
    <w:p w14:paraId="36E774E7" w14:textId="77777777" w:rsidR="001778A6" w:rsidRPr="001B33FF" w:rsidRDefault="001778A6" w:rsidP="001778A6">
      <w:pPr>
        <w:pStyle w:val="NormalWeb"/>
        <w:spacing w:before="240" w:beforeAutospacing="0" w:after="240" w:afterAutospacing="0" w:line="360" w:lineRule="auto"/>
        <w:jc w:val="both"/>
        <w:rPr>
          <w:rFonts w:ascii="Palatino Linotype" w:hAnsi="Palatino Linotype"/>
          <w:sz w:val="22"/>
          <w:szCs w:val="22"/>
        </w:rPr>
      </w:pPr>
      <w:r w:rsidRPr="001B33FF">
        <w:rPr>
          <w:rFonts w:ascii="Palatino Linotype" w:hAnsi="Palatino Linotype"/>
          <w:sz w:val="22"/>
          <w:szCs w:val="22"/>
        </w:rPr>
        <w:t>Encontrándonos ante un hecho negativo, destacando entonces que el Pleno de este Organismo Garante, ha sostenido que, ante la presencia de un hecho negativo, resultaría innecesaria una declaratoria de inexistencia en términos de los artículos 19, 169 y 170 de la Ley de Transparencia y Acceso a la Información Pública del Estado de México y Municipios, y ante un hecho negativo resulta aplicable la siguiente tesis:</w:t>
      </w:r>
    </w:p>
    <w:p w14:paraId="687C922A" w14:textId="77777777" w:rsidR="001778A6" w:rsidRPr="001B33FF" w:rsidRDefault="001778A6" w:rsidP="001778A6">
      <w:pPr>
        <w:pStyle w:val="NormalWeb"/>
        <w:spacing w:before="0" w:beforeAutospacing="0" w:after="0" w:afterAutospacing="0"/>
        <w:ind w:left="860" w:right="560"/>
        <w:jc w:val="both"/>
        <w:rPr>
          <w:rFonts w:ascii="Palatino Linotype" w:hAnsi="Palatino Linotype"/>
          <w:sz w:val="22"/>
          <w:szCs w:val="22"/>
        </w:rPr>
      </w:pPr>
      <w:r w:rsidRPr="001B33FF">
        <w:rPr>
          <w:rFonts w:ascii="Palatino Linotype" w:hAnsi="Palatino Linotype"/>
          <w:b/>
          <w:bCs/>
          <w:i/>
          <w:iCs/>
          <w:sz w:val="22"/>
          <w:szCs w:val="22"/>
        </w:rPr>
        <w:t>HECHOS NEGATIVOS, NO SON SUSCEPTIBLES DE DEMOSTRACIÓN.</w:t>
      </w:r>
    </w:p>
    <w:p w14:paraId="0E0043B5" w14:textId="77777777" w:rsidR="001778A6" w:rsidRPr="001B33FF" w:rsidRDefault="001778A6" w:rsidP="001778A6">
      <w:pPr>
        <w:pStyle w:val="NormalWeb"/>
        <w:spacing w:before="0" w:beforeAutospacing="0" w:after="0" w:afterAutospacing="0"/>
        <w:ind w:left="860" w:right="560"/>
        <w:jc w:val="both"/>
        <w:rPr>
          <w:rFonts w:ascii="Palatino Linotype" w:hAnsi="Palatino Linotype"/>
          <w:sz w:val="22"/>
          <w:szCs w:val="22"/>
        </w:rPr>
      </w:pPr>
      <w:r w:rsidRPr="001B33FF">
        <w:rPr>
          <w:rFonts w:ascii="Palatino Linotype" w:hAnsi="Palatino Linotype"/>
          <w:i/>
          <w:iCs/>
          <w:sz w:val="22"/>
          <w:szCs w:val="22"/>
        </w:rPr>
        <w:t>Tratándose de un hecho negativo, el Juez no tiene por que invocar prueba alguna de la que se desprenda, ya que es bien sabido que esta clase de hechos no son susceptibles de demostración.</w:t>
      </w:r>
    </w:p>
    <w:p w14:paraId="3B322031" w14:textId="77777777" w:rsidR="001778A6" w:rsidRPr="001B33FF" w:rsidRDefault="001778A6" w:rsidP="001778A6">
      <w:pPr>
        <w:pStyle w:val="NormalWeb"/>
        <w:spacing w:before="0" w:beforeAutospacing="0" w:after="0" w:afterAutospacing="0"/>
        <w:ind w:left="860" w:right="560"/>
        <w:jc w:val="both"/>
        <w:rPr>
          <w:rFonts w:ascii="Palatino Linotype" w:hAnsi="Palatino Linotype"/>
          <w:sz w:val="22"/>
          <w:szCs w:val="22"/>
        </w:rPr>
      </w:pPr>
      <w:r w:rsidRPr="001B33FF">
        <w:rPr>
          <w:rFonts w:ascii="Palatino Linotype" w:hAnsi="Palatino Linotype"/>
          <w:i/>
          <w:iCs/>
          <w:sz w:val="22"/>
          <w:szCs w:val="22"/>
        </w:rPr>
        <w:t>Amparo en revisión 2022/61. José García Florín (Menor). 9 de octubre de 1961. Cinco votos. Ponente: José Rivera Pérez Campos.”</w:t>
      </w:r>
    </w:p>
    <w:p w14:paraId="0D09BC70" w14:textId="77777777" w:rsidR="001778A6" w:rsidRPr="001B33FF" w:rsidRDefault="001778A6" w:rsidP="001778A6">
      <w:pPr>
        <w:pStyle w:val="NormalWeb"/>
        <w:spacing w:before="240" w:beforeAutospacing="0" w:after="240" w:afterAutospacing="0" w:line="360" w:lineRule="auto"/>
        <w:jc w:val="both"/>
        <w:rPr>
          <w:rFonts w:ascii="Palatino Linotype" w:hAnsi="Palatino Linotype"/>
          <w:sz w:val="22"/>
          <w:szCs w:val="22"/>
        </w:rPr>
      </w:pPr>
      <w:r w:rsidRPr="001B33FF">
        <w:rPr>
          <w:rFonts w:ascii="Palatino Linotype" w:hAnsi="Palatino Linotype"/>
          <w:sz w:val="22"/>
          <w:szCs w:val="22"/>
        </w:rPr>
        <w:t xml:space="preserve">Además, y de conformidad con lo establecido en el artículo 12 de la Ley de Transparencia y Acceso a la Información Pública del Estado de México y Municipios, anteriormente invocado el </w:t>
      </w:r>
      <w:r w:rsidRPr="001B33FF">
        <w:rPr>
          <w:rFonts w:ascii="Palatino Linotype" w:hAnsi="Palatino Linotype"/>
          <w:b/>
          <w:bCs/>
          <w:sz w:val="22"/>
          <w:szCs w:val="22"/>
        </w:rPr>
        <w:t>SUJETO OBLIGADO</w:t>
      </w:r>
      <w:r w:rsidRPr="001B33FF">
        <w:rPr>
          <w:rFonts w:ascii="Palatino Linotype" w:hAnsi="Palatino Linotype"/>
          <w:sz w:val="22"/>
          <w:szCs w:val="22"/>
        </w:rPr>
        <w:t xml:space="preserve"> sólo proporcionará la información que obra en sus archivos, lo que a</w:t>
      </w:r>
      <w:r w:rsidRPr="001B33FF">
        <w:rPr>
          <w:rFonts w:ascii="Palatino Linotype" w:hAnsi="Palatino Linotype"/>
          <w:i/>
          <w:iCs/>
          <w:sz w:val="22"/>
          <w:szCs w:val="22"/>
        </w:rPr>
        <w:t xml:space="preserve"> contrario sensu</w:t>
      </w:r>
      <w:r w:rsidRPr="001B33FF">
        <w:rPr>
          <w:rFonts w:ascii="Palatino Linotype" w:hAnsi="Palatino Linotype"/>
          <w:sz w:val="22"/>
          <w:szCs w:val="22"/>
        </w:rPr>
        <w:t xml:space="preserve"> significa que no se está obligado a proporcionar lo que no obre en sus archivos; por ende, las razones o motivos de inconformidad al respecto devienen infundados.</w:t>
      </w:r>
    </w:p>
    <w:p w14:paraId="498ED6D9" w14:textId="77777777" w:rsidR="001778A6" w:rsidRPr="001B33FF" w:rsidRDefault="001778A6" w:rsidP="001778A6">
      <w:pPr>
        <w:spacing w:line="360" w:lineRule="auto"/>
        <w:ind w:right="49"/>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sz w:val="22"/>
          <w:szCs w:val="22"/>
        </w:rPr>
        <w:t>Asimismo, se precisa que conforme a lo establecido en el Criterio orientador 31/10 emitido por el entonces Instituto Nacional de Transparencia, Acceso a la Información Pública y Protección de Datos Personales INAI (anteriormente IFAI) que se procede a citar a continuación:</w:t>
      </w:r>
    </w:p>
    <w:p w14:paraId="07D52B96" w14:textId="77777777" w:rsidR="001778A6" w:rsidRPr="001B33FF" w:rsidRDefault="001778A6" w:rsidP="001778A6">
      <w:pPr>
        <w:spacing w:line="360" w:lineRule="auto"/>
        <w:ind w:right="49"/>
        <w:jc w:val="both"/>
        <w:rPr>
          <w:rFonts w:ascii="Palatino Linotype" w:eastAsia="Palatino Linotype" w:hAnsi="Palatino Linotype" w:cs="Palatino Linotype"/>
          <w:sz w:val="22"/>
          <w:szCs w:val="22"/>
        </w:rPr>
      </w:pPr>
    </w:p>
    <w:p w14:paraId="17F5CA6C" w14:textId="77777777" w:rsidR="001778A6" w:rsidRPr="001B33FF" w:rsidRDefault="001778A6" w:rsidP="001778A6">
      <w:pPr>
        <w:tabs>
          <w:tab w:val="left" w:pos="8222"/>
        </w:tabs>
        <w:ind w:left="567" w:right="567"/>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b/>
          <w:i/>
          <w:sz w:val="22"/>
          <w:szCs w:val="22"/>
        </w:rPr>
        <w:t>“El Instituto Federal de Acceso a la Información y Protección de Datos no cuenta con facultades para pronunciarse respecto de la veracidad de los documentos proporcionados por los sujetos obligados.</w:t>
      </w:r>
      <w:r w:rsidRPr="001B33FF">
        <w:rPr>
          <w:rFonts w:ascii="Palatino Linotype" w:eastAsia="Palatino Linotype" w:hAnsi="Palatino Linotype" w:cs="Palatino Linotype"/>
          <w:i/>
          <w:sz w:val="22"/>
          <w:szCs w:val="22"/>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6B393BF1" w14:textId="77777777" w:rsidR="00875B5A" w:rsidRPr="001B33FF" w:rsidRDefault="00875B5A" w:rsidP="001778A6">
      <w:pPr>
        <w:tabs>
          <w:tab w:val="left" w:pos="8222"/>
        </w:tabs>
        <w:ind w:left="567" w:right="567"/>
        <w:jc w:val="both"/>
        <w:rPr>
          <w:rFonts w:ascii="Palatino Linotype" w:eastAsia="Palatino Linotype" w:hAnsi="Palatino Linotype" w:cs="Palatino Linotype"/>
          <w:i/>
          <w:sz w:val="22"/>
          <w:szCs w:val="22"/>
        </w:rPr>
      </w:pPr>
    </w:p>
    <w:p w14:paraId="4B635C2A" w14:textId="77777777" w:rsidR="001778A6" w:rsidRPr="001B33FF" w:rsidRDefault="001778A6" w:rsidP="001778A6">
      <w:pPr>
        <w:spacing w:line="360" w:lineRule="auto"/>
        <w:ind w:right="49"/>
        <w:jc w:val="both"/>
        <w:rPr>
          <w:rFonts w:ascii="Palatino Linotype" w:eastAsia="Palatino Linotype" w:hAnsi="Palatino Linotype" w:cs="Palatino Linotype"/>
          <w:bCs/>
          <w:sz w:val="22"/>
          <w:szCs w:val="22"/>
        </w:rPr>
      </w:pPr>
      <w:r w:rsidRPr="001B33FF">
        <w:rPr>
          <w:rFonts w:ascii="Palatino Linotype" w:eastAsia="Palatino Linotype" w:hAnsi="Palatino Linotype" w:cs="Palatino Linotype"/>
          <w:bCs/>
          <w:sz w:val="22"/>
          <w:szCs w:val="22"/>
        </w:rPr>
        <w:t xml:space="preserve">Por lo que, este Organismo Garante carece de facultades para dudar de la veracidad de la información que el Sujeto Obligado puso a disposición de la parte Recurrente. </w:t>
      </w:r>
    </w:p>
    <w:p w14:paraId="0DBD6F62" w14:textId="77777777" w:rsidR="00875B5A" w:rsidRPr="001B33FF" w:rsidRDefault="00875B5A" w:rsidP="001778A6">
      <w:pPr>
        <w:spacing w:line="360" w:lineRule="auto"/>
        <w:ind w:right="49"/>
        <w:jc w:val="both"/>
        <w:rPr>
          <w:rFonts w:ascii="Palatino Linotype" w:eastAsia="Palatino Linotype" w:hAnsi="Palatino Linotype" w:cs="Palatino Linotype"/>
          <w:bCs/>
          <w:sz w:val="22"/>
          <w:szCs w:val="22"/>
        </w:rPr>
      </w:pPr>
    </w:p>
    <w:p w14:paraId="3DD3834F" w14:textId="77777777" w:rsidR="001778A6" w:rsidRPr="001B33FF" w:rsidRDefault="001778A6" w:rsidP="001778A6">
      <w:pPr>
        <w:spacing w:line="360" w:lineRule="auto"/>
        <w:ind w:right="49"/>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Es así que, debido a que, el </w:t>
      </w:r>
      <w:r w:rsidRPr="001B33FF">
        <w:rPr>
          <w:rFonts w:ascii="Palatino Linotype" w:eastAsia="Palatino Linotype" w:hAnsi="Palatino Linotype" w:cs="Palatino Linotype"/>
          <w:b/>
          <w:sz w:val="22"/>
          <w:szCs w:val="22"/>
        </w:rPr>
        <w:t>Sujeto Obligado</w:t>
      </w:r>
      <w:r w:rsidRPr="001B33FF">
        <w:rPr>
          <w:rFonts w:ascii="Palatino Linotype" w:eastAsia="Palatino Linotype" w:hAnsi="Palatino Linotype" w:cs="Palatino Linotype"/>
          <w:sz w:val="22"/>
          <w:szCs w:val="22"/>
        </w:rPr>
        <w:t>, a través de su unidad administrativa competente, mediante informe justificado entregó la información que atiende los requerimientos del particular; se actualiza la causal prevista en la fracción III del artículo 192 de la Ley de Transparencia y Acceso a la Información Pública del Estado de México y Municipios, que establece que el sobreseimiento del recurso de revisión procede en los siguientes casos:</w:t>
      </w:r>
    </w:p>
    <w:p w14:paraId="7661558C" w14:textId="77777777" w:rsidR="001778A6" w:rsidRPr="001B33FF" w:rsidRDefault="001778A6" w:rsidP="001778A6">
      <w:pPr>
        <w:spacing w:line="360" w:lineRule="auto"/>
        <w:ind w:right="49"/>
        <w:jc w:val="both"/>
        <w:rPr>
          <w:rFonts w:ascii="Palatino Linotype" w:eastAsia="Palatino Linotype" w:hAnsi="Palatino Linotype" w:cs="Palatino Linotype"/>
          <w:sz w:val="22"/>
          <w:szCs w:val="22"/>
        </w:rPr>
      </w:pPr>
    </w:p>
    <w:p w14:paraId="0F1BD2A0" w14:textId="77777777" w:rsidR="001778A6" w:rsidRPr="001B33FF" w:rsidRDefault="001778A6" w:rsidP="001778A6">
      <w:pPr>
        <w:spacing w:line="360" w:lineRule="auto"/>
        <w:ind w:right="900" w:firstLine="567"/>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a) Cuando el sujeto obligado modifique el acto impugnado y;</w:t>
      </w:r>
    </w:p>
    <w:p w14:paraId="396BF3DB" w14:textId="77777777" w:rsidR="001778A6" w:rsidRPr="001B33FF" w:rsidRDefault="001778A6" w:rsidP="001778A6">
      <w:pPr>
        <w:spacing w:line="360" w:lineRule="auto"/>
        <w:ind w:right="900" w:firstLine="567"/>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b) Cuando el sujeto obligado revoque el acto impugnado.</w:t>
      </w:r>
    </w:p>
    <w:p w14:paraId="7D76E714" w14:textId="77777777" w:rsidR="001778A6" w:rsidRPr="001B33FF" w:rsidRDefault="001778A6" w:rsidP="001778A6">
      <w:pPr>
        <w:spacing w:line="360" w:lineRule="auto"/>
        <w:ind w:right="900" w:firstLine="567"/>
        <w:jc w:val="both"/>
        <w:rPr>
          <w:rFonts w:ascii="Palatino Linotype" w:eastAsia="Palatino Linotype" w:hAnsi="Palatino Linotype" w:cs="Palatino Linotype"/>
          <w:sz w:val="22"/>
          <w:szCs w:val="22"/>
        </w:rPr>
      </w:pPr>
    </w:p>
    <w:p w14:paraId="558BF841" w14:textId="77777777" w:rsidR="001778A6" w:rsidRPr="001B33FF" w:rsidRDefault="001778A6" w:rsidP="001778A6">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Quedando en ambos casos el acto combatido sin materia o sin efectos.</w:t>
      </w:r>
    </w:p>
    <w:p w14:paraId="75BFB78B" w14:textId="77777777" w:rsidR="001778A6" w:rsidRPr="001B33FF" w:rsidRDefault="001778A6" w:rsidP="001778A6">
      <w:pPr>
        <w:spacing w:line="360" w:lineRule="auto"/>
        <w:jc w:val="both"/>
        <w:rPr>
          <w:rFonts w:ascii="Palatino Linotype" w:eastAsia="Palatino Linotype" w:hAnsi="Palatino Linotype" w:cs="Palatino Linotype"/>
          <w:sz w:val="22"/>
          <w:szCs w:val="22"/>
        </w:rPr>
      </w:pPr>
    </w:p>
    <w:p w14:paraId="56F138D8" w14:textId="187E2A33" w:rsidR="001778A6" w:rsidRPr="001B33FF" w:rsidRDefault="001778A6" w:rsidP="001778A6">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Como se observa de lo anterior, un acto impugnado es modificado en aquellos casos en los que el </w:t>
      </w:r>
      <w:r w:rsidRPr="001B33FF">
        <w:rPr>
          <w:rFonts w:ascii="Palatino Linotype" w:eastAsia="Palatino Linotype" w:hAnsi="Palatino Linotype" w:cs="Palatino Linotype"/>
          <w:b/>
          <w:sz w:val="22"/>
          <w:szCs w:val="22"/>
        </w:rPr>
        <w:t>Sujeto Obligado</w:t>
      </w:r>
      <w:r w:rsidRPr="001B33FF">
        <w:rPr>
          <w:rFonts w:ascii="Palatino Linotype" w:eastAsia="Palatino Linotype" w:hAnsi="Palatino Linotype" w:cs="Palatino Linotype"/>
          <w:sz w:val="22"/>
          <w:szCs w:val="22"/>
        </w:rPr>
        <w:t xml:space="preserve"> después de haber otorgado una respuesta, emite una diversa de manera posterior y en esta subsana las deficiencias que hubiera tenido, quedando satisfecho el derecho subjetivo accionado por la parte </w:t>
      </w:r>
      <w:r w:rsidRPr="001B33FF">
        <w:rPr>
          <w:rFonts w:ascii="Palatino Linotype" w:eastAsia="Palatino Linotype" w:hAnsi="Palatino Linotype" w:cs="Palatino Linotype"/>
          <w:b/>
          <w:sz w:val="22"/>
          <w:szCs w:val="22"/>
        </w:rPr>
        <w:t>Recurrente</w:t>
      </w:r>
      <w:r w:rsidRPr="001B33FF">
        <w:rPr>
          <w:rFonts w:ascii="Palatino Linotype" w:eastAsia="Palatino Linotype" w:hAnsi="Palatino Linotype" w:cs="Palatino Linotype"/>
          <w:sz w:val="22"/>
          <w:szCs w:val="22"/>
        </w:rPr>
        <w:t>.</w:t>
      </w:r>
    </w:p>
    <w:p w14:paraId="3766CC8E" w14:textId="77777777" w:rsidR="00875B5A" w:rsidRPr="001B33FF" w:rsidRDefault="00875B5A" w:rsidP="001778A6">
      <w:pPr>
        <w:spacing w:line="360" w:lineRule="auto"/>
        <w:jc w:val="both"/>
        <w:rPr>
          <w:rFonts w:ascii="Palatino Linotype" w:eastAsia="Palatino Linotype" w:hAnsi="Palatino Linotype" w:cs="Palatino Linotype"/>
          <w:sz w:val="22"/>
          <w:szCs w:val="22"/>
        </w:rPr>
      </w:pPr>
    </w:p>
    <w:p w14:paraId="7F1E9F4A" w14:textId="1608644F" w:rsidR="001778A6" w:rsidRPr="001B33FF" w:rsidRDefault="001778A6" w:rsidP="001778A6">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Por lo que hace a la revocación, esta se actualiza cuando el </w:t>
      </w:r>
      <w:r w:rsidRPr="001B33FF">
        <w:rPr>
          <w:rFonts w:ascii="Palatino Linotype" w:eastAsia="Palatino Linotype" w:hAnsi="Palatino Linotype" w:cs="Palatino Linotype"/>
          <w:b/>
          <w:sz w:val="22"/>
          <w:szCs w:val="22"/>
        </w:rPr>
        <w:t xml:space="preserve">Sujeto Obligado </w:t>
      </w:r>
      <w:r w:rsidRPr="001B33FF">
        <w:rPr>
          <w:rFonts w:ascii="Palatino Linotype" w:eastAsia="Palatino Linotype" w:hAnsi="Palatino Linotype" w:cs="Palatino Linotype"/>
          <w:sz w:val="22"/>
          <w:szCs w:val="22"/>
        </w:rPr>
        <w:t>deja sin efectos la primera respuesta y en su lugar emite otra con las características y cualidades suficientes para dejar satisfecho el ejercicio del derecho al acceso a la información pública.</w:t>
      </w:r>
    </w:p>
    <w:p w14:paraId="7DC24823" w14:textId="77777777" w:rsidR="00875B5A" w:rsidRPr="001B33FF" w:rsidRDefault="00875B5A" w:rsidP="001778A6">
      <w:pPr>
        <w:spacing w:line="360" w:lineRule="auto"/>
        <w:jc w:val="both"/>
        <w:rPr>
          <w:rFonts w:ascii="Palatino Linotype" w:eastAsia="Palatino Linotype" w:hAnsi="Palatino Linotype" w:cs="Palatino Linotype"/>
          <w:sz w:val="22"/>
          <w:szCs w:val="22"/>
        </w:rPr>
      </w:pPr>
    </w:p>
    <w:p w14:paraId="54D1DE81" w14:textId="77777777" w:rsidR="001778A6" w:rsidRPr="001B33FF" w:rsidRDefault="001778A6" w:rsidP="001778A6">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En ese tenor, un acto impugnado queda sin efectos, cuando aun existiendo jurídicamente (esto es, que no se ha modificado, ni revocado) ya no genera ninguna consecuencia legal.</w:t>
      </w:r>
    </w:p>
    <w:p w14:paraId="21565DC7" w14:textId="77777777" w:rsidR="00875B5A" w:rsidRPr="001B33FF" w:rsidRDefault="00875B5A" w:rsidP="001778A6">
      <w:pPr>
        <w:spacing w:line="360" w:lineRule="auto"/>
        <w:jc w:val="both"/>
        <w:rPr>
          <w:rFonts w:ascii="Palatino Linotype" w:eastAsia="Palatino Linotype" w:hAnsi="Palatino Linotype" w:cs="Palatino Linotype"/>
          <w:sz w:val="22"/>
          <w:szCs w:val="22"/>
        </w:rPr>
      </w:pPr>
    </w:p>
    <w:p w14:paraId="1251E830" w14:textId="7632E8D4" w:rsidR="001778A6" w:rsidRPr="001B33FF" w:rsidRDefault="001778A6" w:rsidP="001778A6">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En tanto, el recurso de revisión de referencia queda sin materia, toda vez que, con el informe justificado, el </w:t>
      </w:r>
      <w:r w:rsidRPr="001B33FF">
        <w:rPr>
          <w:rFonts w:ascii="Palatino Linotype" w:eastAsia="Palatino Linotype" w:hAnsi="Palatino Linotype" w:cs="Palatino Linotype"/>
          <w:b/>
          <w:sz w:val="22"/>
          <w:szCs w:val="22"/>
        </w:rPr>
        <w:t>Sujeto Obligado</w:t>
      </w:r>
      <w:r w:rsidRPr="001B33FF">
        <w:rPr>
          <w:rFonts w:ascii="Palatino Linotype" w:eastAsia="Palatino Linotype" w:hAnsi="Palatino Linotype" w:cs="Palatino Linotype"/>
          <w:sz w:val="22"/>
          <w:szCs w:val="22"/>
        </w:rPr>
        <w:t xml:space="preserve"> </w:t>
      </w:r>
      <w:r w:rsidR="00875B5A" w:rsidRPr="001B33FF">
        <w:rPr>
          <w:rFonts w:ascii="Palatino Linotype" w:eastAsia="Palatino Linotype" w:hAnsi="Palatino Linotype" w:cs="Palatino Linotype"/>
          <w:sz w:val="22"/>
          <w:szCs w:val="22"/>
        </w:rPr>
        <w:t>modificó</w:t>
      </w:r>
      <w:r w:rsidRPr="001B33FF">
        <w:rPr>
          <w:rFonts w:ascii="Palatino Linotype" w:eastAsia="Palatino Linotype" w:hAnsi="Palatino Linotype" w:cs="Palatino Linotype"/>
          <w:sz w:val="22"/>
          <w:szCs w:val="22"/>
        </w:rPr>
        <w:t xml:space="preserve"> la respuesta al pronunciarse sobre lo solicitado.</w:t>
      </w:r>
    </w:p>
    <w:p w14:paraId="1A1AFD90" w14:textId="77777777" w:rsidR="00875B5A" w:rsidRPr="001B33FF" w:rsidRDefault="00875B5A" w:rsidP="001778A6">
      <w:pPr>
        <w:spacing w:line="360" w:lineRule="auto"/>
        <w:jc w:val="both"/>
        <w:rPr>
          <w:rFonts w:ascii="Palatino Linotype" w:eastAsia="Palatino Linotype" w:hAnsi="Palatino Linotype" w:cs="Palatino Linotype"/>
          <w:sz w:val="22"/>
          <w:szCs w:val="22"/>
        </w:rPr>
      </w:pPr>
    </w:p>
    <w:p w14:paraId="6B452D6F" w14:textId="58099DAF" w:rsidR="001778A6" w:rsidRPr="001B33FF" w:rsidRDefault="001778A6" w:rsidP="001778A6">
      <w:pPr>
        <w:spacing w:line="360" w:lineRule="auto"/>
        <w:jc w:val="both"/>
        <w:rPr>
          <w:rFonts w:ascii="Palatino Linotype" w:eastAsia="Palatino Linotype" w:hAnsi="Palatino Linotype" w:cs="Palatino Linotype"/>
          <w:sz w:val="22"/>
          <w:szCs w:val="22"/>
        </w:rPr>
      </w:pPr>
      <w:bookmarkStart w:id="2" w:name="_heading=h.lnxbz9" w:colFirst="0" w:colLast="0"/>
      <w:bookmarkEnd w:id="2"/>
      <w:r w:rsidRPr="001B33FF">
        <w:rPr>
          <w:rFonts w:ascii="Palatino Linotype" w:eastAsia="Palatino Linotype" w:hAnsi="Palatino Linotype" w:cs="Palatino Linotype"/>
          <w:sz w:val="22"/>
          <w:szCs w:val="22"/>
        </w:rPr>
        <w:t xml:space="preserve">Por lo que, tomando en consideración dicha circunstancia, así como el hecho de que la información proporcionada por el </w:t>
      </w:r>
      <w:r w:rsidRPr="001B33FF">
        <w:rPr>
          <w:rFonts w:ascii="Palatino Linotype" w:eastAsia="Palatino Linotype" w:hAnsi="Palatino Linotype" w:cs="Palatino Linotype"/>
          <w:b/>
          <w:sz w:val="22"/>
          <w:szCs w:val="22"/>
        </w:rPr>
        <w:t>Sujeto Obligado</w:t>
      </w:r>
      <w:r w:rsidRPr="001B33FF">
        <w:rPr>
          <w:rFonts w:ascii="Palatino Linotype" w:eastAsia="Palatino Linotype" w:hAnsi="Palatino Linotype" w:cs="Palatino Linotype"/>
          <w:sz w:val="22"/>
          <w:szCs w:val="22"/>
        </w:rPr>
        <w:t xml:space="preserve"> en informe justificado fue puesta a la vista de la parte </w:t>
      </w:r>
      <w:r w:rsidRPr="001B33FF">
        <w:rPr>
          <w:rFonts w:ascii="Palatino Linotype" w:eastAsia="Palatino Linotype" w:hAnsi="Palatino Linotype" w:cs="Palatino Linotype"/>
          <w:b/>
          <w:sz w:val="22"/>
          <w:szCs w:val="22"/>
        </w:rPr>
        <w:t>Recurrente</w:t>
      </w:r>
      <w:r w:rsidRPr="001B33FF">
        <w:rPr>
          <w:rFonts w:ascii="Palatino Linotype" w:eastAsia="Palatino Linotype" w:hAnsi="Palatino Linotype" w:cs="Palatino Linotype"/>
          <w:sz w:val="22"/>
          <w:szCs w:val="22"/>
        </w:rPr>
        <w:t xml:space="preserve">, y de su análisis se advierte que colma el derecho de acceso a la información del particular, por ende, queda sin materia el recurso de revisión </w:t>
      </w:r>
      <w:r w:rsidRPr="001B33FF">
        <w:rPr>
          <w:rFonts w:ascii="Palatino Linotype" w:eastAsia="Palatino Linotype" w:hAnsi="Palatino Linotype" w:cs="Palatino Linotype"/>
          <w:b/>
          <w:sz w:val="22"/>
          <w:szCs w:val="22"/>
        </w:rPr>
        <w:t>14669/INFOEM/IP/RR/2025</w:t>
      </w:r>
      <w:r w:rsidRPr="001B33FF">
        <w:rPr>
          <w:rFonts w:ascii="Palatino Linotype" w:eastAsia="Palatino Linotype" w:hAnsi="Palatino Linotype" w:cs="Palatino Linotype"/>
          <w:sz w:val="22"/>
          <w:szCs w:val="22"/>
        </w:rPr>
        <w:t>, consecuentemente se actualiza la causal prevista de sobreseimiento antes transcrita; resultando procedente el sobreseimiento de dicho medio de impugnación en términos del artículo 186, fracción I de la Ley de Transparencia y Acceso a la Información Pública del Estado de México y Municipios.</w:t>
      </w:r>
    </w:p>
    <w:p w14:paraId="57ECFDC6" w14:textId="77777777" w:rsidR="001778A6" w:rsidRPr="001B33FF" w:rsidRDefault="001778A6" w:rsidP="001778A6">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Lo anterior, pues se insiste el </w:t>
      </w:r>
      <w:r w:rsidRPr="001B33FF">
        <w:rPr>
          <w:rFonts w:ascii="Palatino Linotype" w:eastAsia="Palatino Linotype" w:hAnsi="Palatino Linotype" w:cs="Palatino Linotype"/>
          <w:b/>
          <w:sz w:val="22"/>
          <w:szCs w:val="22"/>
        </w:rPr>
        <w:t>Sujeto Obligado</w:t>
      </w:r>
      <w:r w:rsidRPr="001B33FF">
        <w:rPr>
          <w:rFonts w:ascii="Palatino Linotype" w:eastAsia="Palatino Linotype" w:hAnsi="Palatino Linotype" w:cs="Palatino Linotype"/>
          <w:sz w:val="22"/>
          <w:szCs w:val="22"/>
        </w:rPr>
        <w:t xml:space="preserve"> atendió de la solicitud de acceso a la información pública de la parte </w:t>
      </w:r>
      <w:r w:rsidRPr="001B33FF">
        <w:rPr>
          <w:rFonts w:ascii="Palatino Linotype" w:eastAsia="Palatino Linotype" w:hAnsi="Palatino Linotype" w:cs="Palatino Linotype"/>
          <w:b/>
          <w:sz w:val="22"/>
          <w:szCs w:val="22"/>
        </w:rPr>
        <w:t>Recurrente</w:t>
      </w:r>
      <w:r w:rsidRPr="001B33FF">
        <w:rPr>
          <w:rFonts w:ascii="Palatino Linotype" w:eastAsia="Palatino Linotype" w:hAnsi="Palatino Linotype" w:cs="Palatino Linotype"/>
          <w:sz w:val="22"/>
          <w:szCs w:val="22"/>
        </w:rPr>
        <w:t xml:space="preserve">; aunque ello haya sido de manera posterior a su respuesta inicial; dejando con ello sin materia el presente recurso de revisión, actualizándose entonces la causal prevista en la fracción III del artículo 192 de la Ley de la Materia vigente en la Entidad, antes transcrita. </w:t>
      </w:r>
    </w:p>
    <w:p w14:paraId="302A8C91" w14:textId="77777777" w:rsidR="001778A6" w:rsidRPr="001B33FF" w:rsidRDefault="001778A6" w:rsidP="001778A6">
      <w:pPr>
        <w:rPr>
          <w:rFonts w:ascii="Palatino Linotype" w:eastAsia="Palatino Linotype" w:hAnsi="Palatino Linotype" w:cs="Palatino Linotype"/>
          <w:sz w:val="22"/>
          <w:szCs w:val="22"/>
        </w:rPr>
      </w:pPr>
    </w:p>
    <w:p w14:paraId="39D077E9" w14:textId="77777777" w:rsidR="001778A6" w:rsidRPr="001B33FF" w:rsidRDefault="001778A6" w:rsidP="001778A6">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Siendo el </w:t>
      </w:r>
      <w:r w:rsidRPr="001B33FF">
        <w:rPr>
          <w:rFonts w:ascii="Palatino Linotype" w:eastAsia="Palatino Linotype" w:hAnsi="Palatino Linotype" w:cs="Palatino Linotype"/>
          <w:i/>
          <w:sz w:val="22"/>
          <w:szCs w:val="22"/>
        </w:rPr>
        <w:t>sobreseimiento</w:t>
      </w:r>
      <w:r w:rsidRPr="001B33FF">
        <w:rPr>
          <w:rFonts w:ascii="Palatino Linotype" w:eastAsia="Palatino Linotype" w:hAnsi="Palatino Linotype" w:cs="Palatino Linotype"/>
          <w:sz w:val="22"/>
          <w:szCs w:val="22"/>
        </w:rPr>
        <w:t xml:space="preserve"> un acto que da por terminado el procedimiento administrativo de impugnación sin resolver el fondo de la cuestión planteada, por presentarse causas que impiden a la autoridad referirse a lo sustancial de lo planteado por la parte </w:t>
      </w:r>
      <w:r w:rsidRPr="001B33FF">
        <w:rPr>
          <w:rFonts w:ascii="Palatino Linotype" w:eastAsia="Palatino Linotype" w:hAnsi="Palatino Linotype" w:cs="Palatino Linotype"/>
          <w:b/>
          <w:sz w:val="22"/>
          <w:szCs w:val="22"/>
        </w:rPr>
        <w:t>Recurrente</w:t>
      </w:r>
      <w:r w:rsidRPr="001B33FF">
        <w:rPr>
          <w:rFonts w:ascii="Palatino Linotype" w:eastAsia="Palatino Linotype" w:hAnsi="Palatino Linotype" w:cs="Palatino Linotype"/>
          <w:sz w:val="22"/>
          <w:szCs w:val="22"/>
        </w:rPr>
        <w:t>, los efectos del sobreseimiento son los de dar por concluido el recurso administrativo sin entrar al estudio de fondo del asunto de que se trate; lo anterior con apoyo en el criterio del Poder Judicial de la Federación con rubro:</w:t>
      </w:r>
    </w:p>
    <w:p w14:paraId="0D94FD77" w14:textId="77777777" w:rsidR="001778A6" w:rsidRPr="001B33FF" w:rsidRDefault="001778A6" w:rsidP="001778A6">
      <w:pPr>
        <w:spacing w:before="240" w:line="360" w:lineRule="auto"/>
        <w:ind w:left="567" w:right="567"/>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w:t>
      </w:r>
      <w:r w:rsidRPr="001B33FF">
        <w:rPr>
          <w:rFonts w:ascii="Palatino Linotype" w:eastAsia="Palatino Linotype" w:hAnsi="Palatino Linotype" w:cs="Palatino Linotype"/>
          <w:b/>
          <w:i/>
          <w:sz w:val="22"/>
          <w:szCs w:val="22"/>
        </w:rPr>
        <w:t xml:space="preserve">SOBRESEIMIENTO, NO PERMITE ENTRAR AL ESTUDIO DE LAS CUESTIONES DE FONDO </w:t>
      </w:r>
      <w:r w:rsidRPr="001B33FF">
        <w:rPr>
          <w:rFonts w:ascii="Palatino Linotype" w:eastAsia="Palatino Linotype" w:hAnsi="Palatino Linotype" w:cs="Palatino Linotype"/>
          <w:i/>
          <w:sz w:val="22"/>
          <w:szCs w:val="22"/>
        </w:rPr>
        <w:t>Localización: 213609. II.2o.183 K. Tribunales Colegiados de Circuito. Octava Época. Semanario Judicial de la Federación. Tomo XIII, Febrero de 1994, Pág. 420</w:t>
      </w:r>
    </w:p>
    <w:p w14:paraId="27CC6D36" w14:textId="77777777" w:rsidR="001778A6" w:rsidRPr="001B33FF" w:rsidRDefault="001778A6" w:rsidP="001778A6">
      <w:pPr>
        <w:spacing w:line="360" w:lineRule="auto"/>
        <w:ind w:left="567" w:right="567"/>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14:paraId="6886862F" w14:textId="77777777" w:rsidR="001778A6" w:rsidRPr="001B33FF" w:rsidRDefault="001778A6" w:rsidP="001778A6">
      <w:pPr>
        <w:spacing w:after="240"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Cabe destacar que la decisión de este órgano colegiado de sobreseer el recurso de revisión no implica una limitación o negación a la justicia, según lo ha establecido el Poder Judicial Federal, en el criterio que es aplicable por analogía, con rubro:</w:t>
      </w:r>
    </w:p>
    <w:p w14:paraId="0BD6A38D" w14:textId="77777777" w:rsidR="001778A6" w:rsidRPr="001B33FF" w:rsidRDefault="001778A6" w:rsidP="001778A6">
      <w:pPr>
        <w:spacing w:before="240" w:line="360" w:lineRule="auto"/>
        <w:ind w:left="567" w:right="567"/>
        <w:jc w:val="both"/>
        <w:rPr>
          <w:rFonts w:ascii="Palatino Linotype" w:eastAsia="Palatino Linotype" w:hAnsi="Palatino Linotype" w:cs="Palatino Linotype"/>
          <w:b/>
          <w:i/>
          <w:sz w:val="22"/>
          <w:szCs w:val="22"/>
        </w:rPr>
      </w:pPr>
      <w:r w:rsidRPr="001B33FF">
        <w:rPr>
          <w:rFonts w:ascii="Palatino Linotype" w:eastAsia="Palatino Linotype" w:hAnsi="Palatino Linotype" w:cs="Palatino Linotype"/>
          <w:sz w:val="22"/>
          <w:szCs w:val="22"/>
        </w:rPr>
        <w:t xml:space="preserve"> </w:t>
      </w:r>
      <w:r w:rsidRPr="001B33FF">
        <w:rPr>
          <w:rFonts w:ascii="Palatino Linotype" w:eastAsia="Palatino Linotype" w:hAnsi="Palatino Linotype" w:cs="Palatino Linotype"/>
          <w:b/>
          <w:i/>
          <w:sz w:val="22"/>
          <w:szCs w:val="22"/>
        </w:rPr>
        <w:t>“DESECHAMIENTO O SOBRESEIMIENTO EN EL JUICIO DE AMPARO. NO IMPLICA DENEGACIÓN DE JUSTICIA NI GENERA INSEGURIDAD JURÍDICA”</w:t>
      </w:r>
    </w:p>
    <w:p w14:paraId="444D0FF8" w14:textId="77777777" w:rsidR="001778A6" w:rsidRPr="001B33FF" w:rsidRDefault="001778A6" w:rsidP="001778A6">
      <w:pPr>
        <w:spacing w:line="360" w:lineRule="auto"/>
        <w:ind w:left="567" w:right="567"/>
        <w:jc w:val="both"/>
        <w:rPr>
          <w:rFonts w:ascii="Palatino Linotype" w:eastAsia="Palatino Linotype" w:hAnsi="Palatino Linotype" w:cs="Palatino Linotype"/>
          <w:i/>
          <w:sz w:val="22"/>
          <w:szCs w:val="22"/>
        </w:rPr>
      </w:pPr>
      <w:r w:rsidRPr="001B33FF">
        <w:rPr>
          <w:rFonts w:ascii="Palatino Linotype" w:eastAsia="Palatino Linotype" w:hAnsi="Palatino Linotype" w:cs="Palatino Linotype"/>
          <w:i/>
          <w:sz w:val="22"/>
          <w:szCs w:val="22"/>
        </w:rPr>
        <w:t>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p>
    <w:p w14:paraId="5B6A7C54" w14:textId="243C1627" w:rsidR="001778A6" w:rsidRPr="001B33FF" w:rsidRDefault="001778A6" w:rsidP="001778A6">
      <w:pPr>
        <w:spacing w:line="360" w:lineRule="auto"/>
        <w:jc w:val="both"/>
        <w:rPr>
          <w:rFonts w:ascii="Palatino Linotype" w:eastAsia="Palatino Linotype" w:hAnsi="Palatino Linotype" w:cs="Palatino Linotype"/>
          <w:sz w:val="22"/>
          <w:szCs w:val="22"/>
        </w:rPr>
      </w:pPr>
      <w:bookmarkStart w:id="3" w:name="_heading=h.2et92p0" w:colFirst="0" w:colLast="0"/>
      <w:bookmarkEnd w:id="3"/>
      <w:r w:rsidRPr="001B33FF">
        <w:rPr>
          <w:rFonts w:ascii="Palatino Linotype" w:eastAsia="Palatino Linotype" w:hAnsi="Palatino Linotype" w:cs="Palatino Linotype"/>
          <w:sz w:val="22"/>
          <w:szCs w:val="22"/>
        </w:rPr>
        <w:t xml:space="preserve">Bajo ese tenor con fundamento en la segunda hipótesis de la fracción I del artículo 186, de la Ley de Transparencia y Acceso a la Información Pública del Estado de México y Municipios, se </w:t>
      </w:r>
      <w:r w:rsidRPr="001B33FF">
        <w:rPr>
          <w:rFonts w:ascii="Palatino Linotype" w:eastAsia="Palatino Linotype" w:hAnsi="Palatino Linotype" w:cs="Palatino Linotype"/>
          <w:i/>
          <w:sz w:val="22"/>
          <w:szCs w:val="22"/>
        </w:rPr>
        <w:t>Sobresee</w:t>
      </w:r>
      <w:r w:rsidRPr="001B33FF">
        <w:rPr>
          <w:rFonts w:ascii="Palatino Linotype" w:eastAsia="Palatino Linotype" w:hAnsi="Palatino Linotype" w:cs="Palatino Linotype"/>
          <w:b/>
          <w:sz w:val="22"/>
          <w:szCs w:val="22"/>
        </w:rPr>
        <w:t xml:space="preserve"> </w:t>
      </w:r>
      <w:r w:rsidRPr="001B33FF">
        <w:rPr>
          <w:rFonts w:ascii="Palatino Linotype" w:eastAsia="Palatino Linotype" w:hAnsi="Palatino Linotype" w:cs="Palatino Linotype"/>
          <w:sz w:val="22"/>
          <w:szCs w:val="22"/>
        </w:rPr>
        <w:t xml:space="preserve">el recurso de revisión </w:t>
      </w:r>
      <w:r w:rsidRPr="001B33FF">
        <w:rPr>
          <w:rFonts w:ascii="Palatino Linotype" w:eastAsia="Palatino Linotype" w:hAnsi="Palatino Linotype" w:cs="Palatino Linotype"/>
          <w:b/>
          <w:sz w:val="22"/>
          <w:szCs w:val="22"/>
        </w:rPr>
        <w:t>14669/INFOEM/IP/RR/2025</w:t>
      </w:r>
      <w:r w:rsidRPr="001B33FF">
        <w:rPr>
          <w:rFonts w:ascii="Palatino Linotype" w:eastAsia="Palatino Linotype" w:hAnsi="Palatino Linotype" w:cs="Palatino Linotype"/>
          <w:sz w:val="22"/>
          <w:szCs w:val="22"/>
        </w:rPr>
        <w:t>, que ha sido materia del presente fallo.</w:t>
      </w:r>
    </w:p>
    <w:p w14:paraId="5DC6E787" w14:textId="77777777" w:rsidR="00973D69" w:rsidRPr="001B33FF" w:rsidRDefault="00973D69" w:rsidP="001778A6">
      <w:pPr>
        <w:spacing w:line="360" w:lineRule="auto"/>
        <w:jc w:val="both"/>
        <w:rPr>
          <w:rFonts w:ascii="Palatino Linotype" w:eastAsia="Palatino Linotype" w:hAnsi="Palatino Linotype" w:cs="Palatino Linotype"/>
          <w:sz w:val="22"/>
          <w:szCs w:val="22"/>
        </w:rPr>
      </w:pPr>
    </w:p>
    <w:p w14:paraId="215929A8" w14:textId="77777777" w:rsidR="001778A6" w:rsidRPr="001B33FF" w:rsidRDefault="001778A6" w:rsidP="001778A6">
      <w:pPr>
        <w:spacing w:line="360" w:lineRule="auto"/>
        <w:ind w:right="49"/>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sz w:val="22"/>
          <w:szCs w:val="22"/>
        </w:rPr>
        <w:t xml:space="preserve">Así, con fundamento en lo prescrito en los artículos </w:t>
      </w:r>
      <w:r w:rsidRPr="001B33FF">
        <w:rPr>
          <w:rFonts w:ascii="Palatino Linotype" w:hAnsi="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1B33FF">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32B62363" w14:textId="77777777" w:rsidR="001778A6" w:rsidRPr="001B33FF" w:rsidRDefault="001778A6" w:rsidP="001778A6">
      <w:pPr>
        <w:spacing w:line="360" w:lineRule="auto"/>
        <w:ind w:right="49"/>
        <w:jc w:val="center"/>
        <w:rPr>
          <w:rFonts w:ascii="Palatino Linotype" w:eastAsia="Palatino Linotype" w:hAnsi="Palatino Linotype" w:cs="Palatino Linotype"/>
          <w:b/>
          <w:sz w:val="22"/>
          <w:szCs w:val="22"/>
        </w:rPr>
      </w:pPr>
      <w:r w:rsidRPr="001B33FF">
        <w:rPr>
          <w:rFonts w:ascii="Palatino Linotype" w:eastAsia="Palatino Linotype" w:hAnsi="Palatino Linotype" w:cs="Palatino Linotype"/>
          <w:b/>
          <w:sz w:val="22"/>
          <w:szCs w:val="22"/>
        </w:rPr>
        <w:t>III.</w:t>
      </w:r>
      <w:r w:rsidRPr="001B33FF">
        <w:rPr>
          <w:rFonts w:ascii="Palatino Linotype" w:eastAsia="Palatino Linotype" w:hAnsi="Palatino Linotype" w:cs="Palatino Linotype"/>
          <w:b/>
          <w:sz w:val="22"/>
          <w:szCs w:val="22"/>
        </w:rPr>
        <w:tab/>
        <w:t>R E S U E L V E:</w:t>
      </w:r>
    </w:p>
    <w:p w14:paraId="1078659C" w14:textId="77777777" w:rsidR="001778A6" w:rsidRPr="001B33FF" w:rsidRDefault="001778A6" w:rsidP="001778A6">
      <w:pPr>
        <w:spacing w:line="360" w:lineRule="auto"/>
        <w:ind w:right="49"/>
        <w:jc w:val="both"/>
        <w:rPr>
          <w:rFonts w:ascii="Palatino Linotype" w:eastAsia="Palatino Linotype" w:hAnsi="Palatino Linotype" w:cs="Palatino Linotype"/>
          <w:sz w:val="22"/>
          <w:szCs w:val="22"/>
        </w:rPr>
      </w:pPr>
    </w:p>
    <w:p w14:paraId="75DEC093" w14:textId="5DF33AB0" w:rsidR="001778A6" w:rsidRPr="001B33FF" w:rsidRDefault="001778A6" w:rsidP="001778A6">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 xml:space="preserve">PRIMERO. </w:t>
      </w:r>
      <w:r w:rsidRPr="001B33FF">
        <w:rPr>
          <w:rFonts w:ascii="Palatino Linotype" w:eastAsia="Palatino Linotype" w:hAnsi="Palatino Linotype" w:cs="Palatino Linotype"/>
          <w:sz w:val="22"/>
          <w:szCs w:val="22"/>
        </w:rPr>
        <w:t xml:space="preserve">Se </w:t>
      </w:r>
      <w:r w:rsidRPr="001B33FF">
        <w:rPr>
          <w:rFonts w:ascii="Palatino Linotype" w:eastAsia="Palatino Linotype" w:hAnsi="Palatino Linotype" w:cs="Palatino Linotype"/>
          <w:b/>
          <w:sz w:val="22"/>
          <w:szCs w:val="22"/>
        </w:rPr>
        <w:t xml:space="preserve">Sobresee </w:t>
      </w:r>
      <w:r w:rsidRPr="001B33FF">
        <w:rPr>
          <w:rFonts w:ascii="Palatino Linotype" w:eastAsia="Palatino Linotype" w:hAnsi="Palatino Linotype" w:cs="Palatino Linotype"/>
          <w:sz w:val="22"/>
          <w:szCs w:val="22"/>
        </w:rPr>
        <w:t>el Recurso de Revisión número</w:t>
      </w:r>
      <w:r w:rsidRPr="001B33FF">
        <w:rPr>
          <w:rFonts w:ascii="Palatino Linotype" w:eastAsia="Palatino Linotype" w:hAnsi="Palatino Linotype" w:cs="Palatino Linotype"/>
          <w:b/>
          <w:sz w:val="22"/>
          <w:szCs w:val="22"/>
        </w:rPr>
        <w:t xml:space="preserve"> 14669/INFOEM/IP/RR/2025</w:t>
      </w:r>
      <w:r w:rsidRPr="001B33FF">
        <w:rPr>
          <w:rFonts w:ascii="Palatino Linotype" w:eastAsia="Palatino Linotype" w:hAnsi="Palatino Linotype" w:cs="Palatino Linotype"/>
          <w:sz w:val="22"/>
          <w:szCs w:val="22"/>
        </w:rPr>
        <w:t xml:space="preserve">, porque al </w:t>
      </w:r>
      <w:r w:rsidR="00363193" w:rsidRPr="001B33FF">
        <w:rPr>
          <w:rFonts w:ascii="Palatino Linotype" w:eastAsia="Palatino Linotype" w:hAnsi="Palatino Linotype" w:cs="Palatino Linotype"/>
          <w:sz w:val="22"/>
          <w:szCs w:val="22"/>
        </w:rPr>
        <w:t>modificar la respuesta</w:t>
      </w:r>
      <w:r w:rsidRPr="001B33FF">
        <w:rPr>
          <w:rFonts w:ascii="Palatino Linotype" w:eastAsia="Palatino Linotype" w:hAnsi="Palatino Linotype" w:cs="Palatino Linotype"/>
          <w:sz w:val="22"/>
          <w:szCs w:val="22"/>
        </w:rPr>
        <w:t xml:space="preserve">, mediante informe justificado, el medio de impugnación quedó sin materia, de conformidad con lo dispuesto en la fracción III del artículo 192 de la Ley de Transparencia y Acceso a la Información Pública del Estado de México y Municipios en términos del </w:t>
      </w:r>
      <w:r w:rsidRPr="001B33FF">
        <w:rPr>
          <w:rFonts w:ascii="Palatino Linotype" w:eastAsia="Palatino Linotype" w:hAnsi="Palatino Linotype" w:cs="Palatino Linotype"/>
          <w:b/>
          <w:sz w:val="22"/>
          <w:szCs w:val="22"/>
        </w:rPr>
        <w:t>Considerando Tercero</w:t>
      </w:r>
      <w:r w:rsidRPr="001B33FF">
        <w:rPr>
          <w:rFonts w:ascii="Palatino Linotype" w:eastAsia="Palatino Linotype" w:hAnsi="Palatino Linotype" w:cs="Palatino Linotype"/>
          <w:sz w:val="22"/>
          <w:szCs w:val="22"/>
        </w:rPr>
        <w:t xml:space="preserve"> de la presente resolución.</w:t>
      </w:r>
    </w:p>
    <w:p w14:paraId="7D8EBC5D" w14:textId="77777777" w:rsidR="001778A6" w:rsidRPr="001B33FF" w:rsidRDefault="001778A6" w:rsidP="001778A6">
      <w:pPr>
        <w:spacing w:line="360" w:lineRule="auto"/>
        <w:jc w:val="both"/>
        <w:rPr>
          <w:rFonts w:ascii="Palatino Linotype" w:eastAsia="Palatino Linotype" w:hAnsi="Palatino Linotype" w:cs="Palatino Linotype"/>
          <w:sz w:val="22"/>
          <w:szCs w:val="22"/>
        </w:rPr>
      </w:pPr>
    </w:p>
    <w:p w14:paraId="67DD2A74" w14:textId="77777777" w:rsidR="001778A6" w:rsidRPr="001B33FF" w:rsidRDefault="001778A6" w:rsidP="001778A6">
      <w:pPr>
        <w:spacing w:line="360" w:lineRule="auto"/>
        <w:jc w:val="both"/>
        <w:rPr>
          <w:rFonts w:ascii="Palatino Linotype" w:eastAsia="Palatino Linotype" w:hAnsi="Palatino Linotype" w:cs="Palatino Linotype"/>
          <w:b/>
          <w:sz w:val="22"/>
          <w:szCs w:val="22"/>
        </w:rPr>
      </w:pPr>
      <w:r w:rsidRPr="001B33FF">
        <w:rPr>
          <w:rFonts w:ascii="Palatino Linotype" w:eastAsia="Palatino Linotype" w:hAnsi="Palatino Linotype" w:cs="Palatino Linotype"/>
          <w:b/>
          <w:sz w:val="22"/>
          <w:szCs w:val="22"/>
        </w:rPr>
        <w:t xml:space="preserve">SEGUNDO. Notifíquese </w:t>
      </w:r>
      <w:r w:rsidRPr="001B33FF">
        <w:rPr>
          <w:rFonts w:ascii="Palatino Linotype" w:eastAsia="Palatino Linotype" w:hAnsi="Palatino Linotype" w:cs="Palatino Linotype"/>
          <w:sz w:val="22"/>
          <w:szCs w:val="22"/>
        </w:rPr>
        <w:t>a través del</w:t>
      </w:r>
      <w:r w:rsidRPr="001B33FF">
        <w:rPr>
          <w:rFonts w:ascii="Palatino Linotype" w:eastAsia="Palatino Linotype" w:hAnsi="Palatino Linotype" w:cs="Palatino Linotype"/>
          <w:b/>
          <w:sz w:val="22"/>
          <w:szCs w:val="22"/>
        </w:rPr>
        <w:t xml:space="preserve"> Sistema de Acceso a la Información Mexiquense</w:t>
      </w:r>
      <w:r w:rsidRPr="001B33FF">
        <w:rPr>
          <w:rFonts w:ascii="Palatino Linotype" w:eastAsia="Palatino Linotype" w:hAnsi="Palatino Linotype" w:cs="Palatino Linotype"/>
          <w:sz w:val="22"/>
          <w:szCs w:val="22"/>
        </w:rPr>
        <w:t xml:space="preserve"> </w:t>
      </w:r>
      <w:r w:rsidRPr="001B33FF">
        <w:rPr>
          <w:rFonts w:ascii="Palatino Linotype" w:eastAsia="Palatino Linotype" w:hAnsi="Palatino Linotype" w:cs="Palatino Linotype"/>
          <w:b/>
          <w:sz w:val="22"/>
          <w:szCs w:val="22"/>
        </w:rPr>
        <w:t xml:space="preserve">(SAIMEX) </w:t>
      </w:r>
      <w:r w:rsidRPr="001B33FF">
        <w:rPr>
          <w:rFonts w:ascii="Palatino Linotype" w:eastAsia="Palatino Linotype" w:hAnsi="Palatino Linotype" w:cs="Palatino Linotype"/>
          <w:sz w:val="22"/>
          <w:szCs w:val="22"/>
        </w:rPr>
        <w:t>la presente resolución a la Titular de la Unidad de Transparencia del</w:t>
      </w:r>
      <w:r w:rsidRPr="001B33FF">
        <w:rPr>
          <w:rFonts w:ascii="Palatino Linotype" w:eastAsia="Palatino Linotype" w:hAnsi="Palatino Linotype" w:cs="Palatino Linotype"/>
          <w:b/>
          <w:sz w:val="22"/>
          <w:szCs w:val="22"/>
        </w:rPr>
        <w:t xml:space="preserve"> Sujeto Obligado. </w:t>
      </w:r>
    </w:p>
    <w:p w14:paraId="2AB288EC" w14:textId="77777777" w:rsidR="001778A6" w:rsidRPr="001B33FF" w:rsidRDefault="001778A6" w:rsidP="001778A6">
      <w:pPr>
        <w:spacing w:line="360" w:lineRule="auto"/>
        <w:jc w:val="both"/>
        <w:rPr>
          <w:rFonts w:ascii="Palatino Linotype" w:eastAsia="Palatino Linotype" w:hAnsi="Palatino Linotype" w:cs="Palatino Linotype"/>
          <w:b/>
          <w:sz w:val="22"/>
          <w:szCs w:val="22"/>
        </w:rPr>
      </w:pPr>
    </w:p>
    <w:p w14:paraId="1E3B84FA" w14:textId="77777777" w:rsidR="001778A6" w:rsidRPr="001B33FF" w:rsidRDefault="001778A6" w:rsidP="001778A6">
      <w:pPr>
        <w:spacing w:line="360" w:lineRule="auto"/>
        <w:jc w:val="both"/>
        <w:rPr>
          <w:rFonts w:ascii="Palatino Linotype" w:eastAsia="Palatino Linotype" w:hAnsi="Palatino Linotype" w:cs="Palatino Linotype"/>
          <w:sz w:val="22"/>
          <w:szCs w:val="22"/>
        </w:rPr>
      </w:pPr>
      <w:r w:rsidRPr="001B33FF">
        <w:rPr>
          <w:rFonts w:ascii="Palatino Linotype" w:eastAsia="Palatino Linotype" w:hAnsi="Palatino Linotype" w:cs="Palatino Linotype"/>
          <w:b/>
          <w:sz w:val="22"/>
          <w:szCs w:val="22"/>
        </w:rPr>
        <w:t xml:space="preserve">TERCERO. Notifíquese a través del Sistema de Acceso a la Información Mexiquense (SAIMEX) </w:t>
      </w:r>
      <w:r w:rsidRPr="001B33FF">
        <w:rPr>
          <w:rFonts w:ascii="Palatino Linotype" w:eastAsia="Palatino Linotype" w:hAnsi="Palatino Linotype" w:cs="Palatino Linotype"/>
          <w:sz w:val="22"/>
          <w:szCs w:val="22"/>
        </w:rPr>
        <w:t xml:space="preserve">a la parte </w:t>
      </w:r>
      <w:r w:rsidRPr="001B33FF">
        <w:rPr>
          <w:rFonts w:ascii="Palatino Linotype" w:eastAsia="Palatino Linotype" w:hAnsi="Palatino Linotype" w:cs="Palatino Linotype"/>
          <w:b/>
          <w:sz w:val="22"/>
          <w:szCs w:val="22"/>
        </w:rPr>
        <w:t>Recurrente,</w:t>
      </w:r>
      <w:r w:rsidRPr="001B33FF">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podrá impugnarla en la vía Juicio de Amparo en los términos de las leyes aplicables.</w:t>
      </w:r>
    </w:p>
    <w:p w14:paraId="107286B5" w14:textId="77777777" w:rsidR="001778A6" w:rsidRPr="001B33FF" w:rsidRDefault="001778A6" w:rsidP="006E19B5">
      <w:pPr>
        <w:spacing w:line="360" w:lineRule="auto"/>
        <w:jc w:val="both"/>
        <w:rPr>
          <w:rFonts w:ascii="Palatino Linotype" w:hAnsi="Palatino Linotype"/>
          <w:sz w:val="22"/>
          <w:szCs w:val="22"/>
        </w:rPr>
      </w:pPr>
    </w:p>
    <w:p w14:paraId="124DF890" w14:textId="61806DA3" w:rsidR="00C877F6" w:rsidRPr="00AB1669" w:rsidRDefault="00F36565">
      <w:pPr>
        <w:spacing w:line="360" w:lineRule="auto"/>
        <w:ind w:right="-93"/>
        <w:jc w:val="both"/>
        <w:rPr>
          <w:rFonts w:ascii="Palatino Linotype" w:eastAsia="Palatino Linotype" w:hAnsi="Palatino Linotype" w:cs="Palatino Linotype"/>
          <w:sz w:val="22"/>
          <w:szCs w:val="22"/>
        </w:rPr>
      </w:pPr>
      <w:bookmarkStart w:id="4" w:name="_heading=h.jl0dlasot4f" w:colFirst="0" w:colLast="0"/>
      <w:bookmarkEnd w:id="4"/>
      <w:r w:rsidRPr="001B33FF">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5957F2" w:rsidRPr="001B33FF">
        <w:rPr>
          <w:rFonts w:ascii="Palatino Linotype" w:eastAsia="Palatino Linotype" w:hAnsi="Palatino Linotype" w:cs="Palatino Linotype"/>
          <w:sz w:val="22"/>
          <w:szCs w:val="22"/>
        </w:rPr>
        <w:t>SÉPTIMA</w:t>
      </w:r>
      <w:r w:rsidRPr="001B33FF">
        <w:rPr>
          <w:rFonts w:ascii="Palatino Linotype" w:eastAsia="Palatino Linotype" w:hAnsi="Palatino Linotype" w:cs="Palatino Linotype"/>
          <w:sz w:val="22"/>
          <w:szCs w:val="22"/>
        </w:rPr>
        <w:t xml:space="preserve"> S</w:t>
      </w:r>
      <w:r w:rsidR="001244B6" w:rsidRPr="001B33FF">
        <w:rPr>
          <w:rFonts w:ascii="Palatino Linotype" w:eastAsia="Palatino Linotype" w:hAnsi="Palatino Linotype" w:cs="Palatino Linotype"/>
          <w:sz w:val="22"/>
          <w:szCs w:val="22"/>
        </w:rPr>
        <w:t xml:space="preserve">ESIÓN ORDINARIA CELEBRADA EL </w:t>
      </w:r>
      <w:r w:rsidR="005957F2" w:rsidRPr="001B33FF">
        <w:rPr>
          <w:rFonts w:ascii="Palatino Linotype" w:eastAsia="Palatino Linotype" w:hAnsi="Palatino Linotype" w:cs="Palatino Linotype"/>
          <w:sz w:val="22"/>
          <w:szCs w:val="22"/>
        </w:rPr>
        <w:t>VEINTICINCO</w:t>
      </w:r>
      <w:r w:rsidRPr="001B33FF">
        <w:rPr>
          <w:rFonts w:ascii="Palatino Linotype" w:eastAsia="Palatino Linotype" w:hAnsi="Palatino Linotype" w:cs="Palatino Linotype"/>
          <w:sz w:val="22"/>
          <w:szCs w:val="22"/>
        </w:rPr>
        <w:t xml:space="preserve"> DE </w:t>
      </w:r>
      <w:r w:rsidR="005C2ED1" w:rsidRPr="001B33FF">
        <w:rPr>
          <w:rFonts w:ascii="Palatino Linotype" w:eastAsia="Palatino Linotype" w:hAnsi="Palatino Linotype" w:cs="Palatino Linotype"/>
          <w:sz w:val="22"/>
          <w:szCs w:val="22"/>
        </w:rPr>
        <w:t>FEBRERO</w:t>
      </w:r>
      <w:r w:rsidRPr="001B33FF">
        <w:rPr>
          <w:rFonts w:ascii="Palatino Linotype" w:eastAsia="Palatino Linotype" w:hAnsi="Palatino Linotype" w:cs="Palatino Linotype"/>
          <w:sz w:val="22"/>
          <w:szCs w:val="22"/>
        </w:rPr>
        <w:t xml:space="preserve"> DE DOS MIL VEINTI</w:t>
      </w:r>
      <w:r w:rsidR="000C6DFE" w:rsidRPr="001B33FF">
        <w:rPr>
          <w:rFonts w:ascii="Palatino Linotype" w:eastAsia="Palatino Linotype" w:hAnsi="Palatino Linotype" w:cs="Palatino Linotype"/>
          <w:sz w:val="22"/>
          <w:szCs w:val="22"/>
        </w:rPr>
        <w:t>SÉIS</w:t>
      </w:r>
      <w:r w:rsidRPr="001B33FF">
        <w:rPr>
          <w:rFonts w:ascii="Palatino Linotype" w:eastAsia="Palatino Linotype" w:hAnsi="Palatino Linotype" w:cs="Palatino Linotype"/>
          <w:sz w:val="22"/>
          <w:szCs w:val="22"/>
        </w:rPr>
        <w:t>, ANTE EL SECRETARIO TÉCNICO DEL PLENO ALEXIS TAPIA RAMÍREZ.</w:t>
      </w:r>
    </w:p>
    <w:p w14:paraId="54455659" w14:textId="77777777" w:rsidR="00C877F6" w:rsidRPr="00AB1669" w:rsidRDefault="00C877F6">
      <w:pPr>
        <w:spacing w:line="360" w:lineRule="auto"/>
        <w:ind w:right="-93"/>
        <w:jc w:val="both"/>
        <w:rPr>
          <w:rFonts w:ascii="Palatino Linotype" w:eastAsia="Palatino Linotype" w:hAnsi="Palatino Linotype" w:cs="Palatino Linotype"/>
          <w:sz w:val="22"/>
          <w:szCs w:val="22"/>
        </w:rPr>
      </w:pPr>
    </w:p>
    <w:p w14:paraId="030E6A5B" w14:textId="77777777" w:rsidR="00C877F6" w:rsidRPr="00AB1669" w:rsidRDefault="00C877F6">
      <w:pPr>
        <w:spacing w:line="360" w:lineRule="auto"/>
        <w:ind w:right="-93"/>
        <w:jc w:val="both"/>
        <w:rPr>
          <w:rFonts w:ascii="Palatino Linotype" w:eastAsia="Palatino Linotype" w:hAnsi="Palatino Linotype" w:cs="Palatino Linotype"/>
          <w:sz w:val="22"/>
          <w:szCs w:val="22"/>
        </w:rPr>
      </w:pPr>
    </w:p>
    <w:p w14:paraId="5B12C640" w14:textId="77777777" w:rsidR="00C877F6" w:rsidRPr="00AB1669" w:rsidRDefault="00C877F6">
      <w:pPr>
        <w:spacing w:line="360" w:lineRule="auto"/>
        <w:ind w:right="-93"/>
        <w:jc w:val="both"/>
        <w:rPr>
          <w:rFonts w:ascii="Palatino Linotype" w:eastAsia="Palatino Linotype" w:hAnsi="Palatino Linotype" w:cs="Palatino Linotype"/>
          <w:sz w:val="22"/>
          <w:szCs w:val="22"/>
        </w:rPr>
      </w:pPr>
    </w:p>
    <w:p w14:paraId="7A4C70FF" w14:textId="77777777" w:rsidR="00C877F6" w:rsidRPr="00AB1669" w:rsidRDefault="00C877F6">
      <w:pPr>
        <w:spacing w:line="360" w:lineRule="auto"/>
        <w:ind w:right="-93"/>
        <w:jc w:val="both"/>
        <w:rPr>
          <w:rFonts w:ascii="Palatino Linotype" w:eastAsia="Palatino Linotype" w:hAnsi="Palatino Linotype" w:cs="Palatino Linotype"/>
          <w:sz w:val="22"/>
          <w:szCs w:val="22"/>
        </w:rPr>
      </w:pPr>
    </w:p>
    <w:p w14:paraId="6197DF1F" w14:textId="77777777" w:rsidR="00C877F6" w:rsidRPr="00AB1669" w:rsidRDefault="00C877F6">
      <w:pPr>
        <w:spacing w:line="360" w:lineRule="auto"/>
        <w:ind w:right="-93"/>
        <w:jc w:val="both"/>
        <w:rPr>
          <w:rFonts w:ascii="Palatino Linotype" w:eastAsia="Palatino Linotype" w:hAnsi="Palatino Linotype" w:cs="Palatino Linotype"/>
          <w:sz w:val="22"/>
          <w:szCs w:val="22"/>
        </w:rPr>
      </w:pPr>
    </w:p>
    <w:p w14:paraId="1A57851A" w14:textId="02218289" w:rsidR="00C877F6" w:rsidRPr="00AB1669" w:rsidRDefault="00C877F6">
      <w:pPr>
        <w:spacing w:line="360" w:lineRule="auto"/>
        <w:ind w:right="49"/>
        <w:jc w:val="both"/>
        <w:rPr>
          <w:rFonts w:ascii="Palatino Linotype" w:eastAsia="Palatino Linotype" w:hAnsi="Palatino Linotype" w:cs="Palatino Linotype"/>
          <w:sz w:val="22"/>
          <w:szCs w:val="22"/>
        </w:rPr>
      </w:pPr>
    </w:p>
    <w:p w14:paraId="5A9963A3" w14:textId="499041F4" w:rsidR="00AB1669" w:rsidRPr="00AB1669" w:rsidRDefault="00AB1669">
      <w:pPr>
        <w:spacing w:line="360" w:lineRule="auto"/>
        <w:ind w:right="49"/>
        <w:jc w:val="both"/>
        <w:rPr>
          <w:rFonts w:ascii="Palatino Linotype" w:eastAsia="Palatino Linotype" w:hAnsi="Palatino Linotype" w:cs="Palatino Linotype"/>
          <w:sz w:val="22"/>
          <w:szCs w:val="22"/>
        </w:rPr>
      </w:pPr>
    </w:p>
    <w:p w14:paraId="3E3F0109" w14:textId="1217967B" w:rsidR="00AB1669" w:rsidRPr="00AB1669" w:rsidRDefault="00AB1669">
      <w:pPr>
        <w:spacing w:line="360" w:lineRule="auto"/>
        <w:ind w:right="49"/>
        <w:jc w:val="both"/>
        <w:rPr>
          <w:rFonts w:ascii="Palatino Linotype" w:eastAsia="Palatino Linotype" w:hAnsi="Palatino Linotype" w:cs="Palatino Linotype"/>
          <w:sz w:val="22"/>
          <w:szCs w:val="22"/>
        </w:rPr>
      </w:pPr>
    </w:p>
    <w:p w14:paraId="2DF4A8DA" w14:textId="1DFE8791" w:rsidR="00AB1669" w:rsidRPr="00AB1669" w:rsidRDefault="00AB1669">
      <w:pPr>
        <w:spacing w:line="360" w:lineRule="auto"/>
        <w:ind w:right="49"/>
        <w:jc w:val="both"/>
        <w:rPr>
          <w:rFonts w:ascii="Palatino Linotype" w:eastAsia="Palatino Linotype" w:hAnsi="Palatino Linotype" w:cs="Palatino Linotype"/>
          <w:sz w:val="22"/>
          <w:szCs w:val="22"/>
        </w:rPr>
      </w:pPr>
    </w:p>
    <w:p w14:paraId="48A38D62" w14:textId="4573BBEC" w:rsidR="00AB1669" w:rsidRPr="00AB1669" w:rsidRDefault="00AB1669">
      <w:pPr>
        <w:spacing w:line="360" w:lineRule="auto"/>
        <w:ind w:right="49"/>
        <w:jc w:val="both"/>
        <w:rPr>
          <w:rFonts w:ascii="Palatino Linotype" w:eastAsia="Palatino Linotype" w:hAnsi="Palatino Linotype" w:cs="Palatino Linotype"/>
          <w:sz w:val="22"/>
          <w:szCs w:val="22"/>
        </w:rPr>
      </w:pPr>
    </w:p>
    <w:p w14:paraId="03FD25FA" w14:textId="21A6A81C" w:rsidR="00AB1669" w:rsidRPr="00AB1669" w:rsidRDefault="00AB1669">
      <w:pPr>
        <w:spacing w:line="360" w:lineRule="auto"/>
        <w:ind w:right="49"/>
        <w:jc w:val="both"/>
        <w:rPr>
          <w:rFonts w:ascii="Palatino Linotype" w:eastAsia="Palatino Linotype" w:hAnsi="Palatino Linotype" w:cs="Palatino Linotype"/>
          <w:sz w:val="22"/>
          <w:szCs w:val="22"/>
        </w:rPr>
      </w:pPr>
    </w:p>
    <w:p w14:paraId="118C0E2B" w14:textId="450852D9" w:rsidR="00AB1669" w:rsidRPr="00AB1669" w:rsidRDefault="00AB1669">
      <w:pPr>
        <w:spacing w:line="360" w:lineRule="auto"/>
        <w:ind w:right="49"/>
        <w:jc w:val="both"/>
        <w:rPr>
          <w:rFonts w:ascii="Palatino Linotype" w:eastAsia="Palatino Linotype" w:hAnsi="Palatino Linotype" w:cs="Palatino Linotype"/>
          <w:sz w:val="22"/>
          <w:szCs w:val="22"/>
        </w:rPr>
      </w:pPr>
    </w:p>
    <w:p w14:paraId="6B5F36C1" w14:textId="3EC487D8" w:rsidR="00AB1669" w:rsidRPr="00AB1669" w:rsidRDefault="00AB1669">
      <w:pPr>
        <w:spacing w:line="360" w:lineRule="auto"/>
        <w:ind w:right="49"/>
        <w:jc w:val="both"/>
        <w:rPr>
          <w:rFonts w:ascii="Palatino Linotype" w:eastAsia="Palatino Linotype" w:hAnsi="Palatino Linotype" w:cs="Palatino Linotype"/>
          <w:sz w:val="22"/>
          <w:szCs w:val="22"/>
        </w:rPr>
      </w:pPr>
    </w:p>
    <w:p w14:paraId="149C3B85" w14:textId="48A40CD2" w:rsidR="00AB1669" w:rsidRPr="00AB1669" w:rsidRDefault="00AB1669">
      <w:pPr>
        <w:spacing w:line="360" w:lineRule="auto"/>
        <w:ind w:right="49"/>
        <w:jc w:val="both"/>
        <w:rPr>
          <w:rFonts w:ascii="Palatino Linotype" w:eastAsia="Palatino Linotype" w:hAnsi="Palatino Linotype" w:cs="Palatino Linotype"/>
          <w:sz w:val="22"/>
          <w:szCs w:val="22"/>
        </w:rPr>
      </w:pPr>
    </w:p>
    <w:p w14:paraId="588CB445" w14:textId="28ECAF0F" w:rsidR="00AB1669" w:rsidRPr="00AB1669" w:rsidRDefault="00AB1669">
      <w:pPr>
        <w:spacing w:line="360" w:lineRule="auto"/>
        <w:ind w:right="49"/>
        <w:jc w:val="both"/>
        <w:rPr>
          <w:rFonts w:ascii="Palatino Linotype" w:eastAsia="Palatino Linotype" w:hAnsi="Palatino Linotype" w:cs="Palatino Linotype"/>
          <w:sz w:val="22"/>
          <w:szCs w:val="22"/>
        </w:rPr>
      </w:pPr>
    </w:p>
    <w:p w14:paraId="1B048CD2" w14:textId="189B1AE0" w:rsidR="00AB1669" w:rsidRPr="00AB1669" w:rsidRDefault="00AB1669">
      <w:pPr>
        <w:spacing w:line="360" w:lineRule="auto"/>
        <w:ind w:right="49"/>
        <w:jc w:val="both"/>
        <w:rPr>
          <w:rFonts w:ascii="Palatino Linotype" w:eastAsia="Palatino Linotype" w:hAnsi="Palatino Linotype" w:cs="Palatino Linotype"/>
          <w:sz w:val="22"/>
          <w:szCs w:val="22"/>
        </w:rPr>
      </w:pPr>
    </w:p>
    <w:p w14:paraId="1162BAE6" w14:textId="13A8D3E3" w:rsidR="00AB1669" w:rsidRPr="00AB1669" w:rsidRDefault="00AB1669">
      <w:pPr>
        <w:spacing w:line="360" w:lineRule="auto"/>
        <w:ind w:right="49"/>
        <w:jc w:val="both"/>
        <w:rPr>
          <w:rFonts w:ascii="Palatino Linotype" w:eastAsia="Palatino Linotype" w:hAnsi="Palatino Linotype" w:cs="Palatino Linotype"/>
          <w:sz w:val="22"/>
          <w:szCs w:val="22"/>
        </w:rPr>
      </w:pPr>
    </w:p>
    <w:p w14:paraId="4ED56622" w14:textId="6BBC08CE" w:rsidR="00AB1669" w:rsidRPr="00AB1669" w:rsidRDefault="00AB1669">
      <w:pPr>
        <w:spacing w:line="360" w:lineRule="auto"/>
        <w:ind w:right="49"/>
        <w:jc w:val="both"/>
        <w:rPr>
          <w:rFonts w:ascii="Palatino Linotype" w:eastAsia="Palatino Linotype" w:hAnsi="Palatino Linotype" w:cs="Palatino Linotype"/>
          <w:sz w:val="22"/>
          <w:szCs w:val="22"/>
        </w:rPr>
      </w:pPr>
    </w:p>
    <w:p w14:paraId="27AABA9A" w14:textId="5BC571D9" w:rsidR="00AB1669" w:rsidRPr="00AB1669" w:rsidRDefault="00AB1669">
      <w:pPr>
        <w:spacing w:line="360" w:lineRule="auto"/>
        <w:ind w:right="49"/>
        <w:jc w:val="both"/>
        <w:rPr>
          <w:rFonts w:ascii="Palatino Linotype" w:eastAsia="Palatino Linotype" w:hAnsi="Palatino Linotype" w:cs="Palatino Linotype"/>
          <w:sz w:val="22"/>
          <w:szCs w:val="22"/>
        </w:rPr>
      </w:pPr>
    </w:p>
    <w:p w14:paraId="40AD6BBF" w14:textId="580B5707" w:rsidR="00AB1669" w:rsidRPr="00AB1669" w:rsidRDefault="00AB1669">
      <w:pPr>
        <w:spacing w:line="360" w:lineRule="auto"/>
        <w:ind w:right="49"/>
        <w:jc w:val="both"/>
        <w:rPr>
          <w:rFonts w:ascii="Palatino Linotype" w:eastAsia="Palatino Linotype" w:hAnsi="Palatino Linotype" w:cs="Palatino Linotype"/>
          <w:sz w:val="22"/>
          <w:szCs w:val="22"/>
        </w:rPr>
      </w:pPr>
    </w:p>
    <w:p w14:paraId="46167CD0" w14:textId="67BF0629" w:rsidR="00AB1669" w:rsidRPr="00AB1669" w:rsidRDefault="00AB1669">
      <w:pPr>
        <w:spacing w:line="360" w:lineRule="auto"/>
        <w:ind w:right="49"/>
        <w:jc w:val="both"/>
        <w:rPr>
          <w:rFonts w:ascii="Palatino Linotype" w:eastAsia="Palatino Linotype" w:hAnsi="Palatino Linotype" w:cs="Palatino Linotype"/>
          <w:sz w:val="22"/>
          <w:szCs w:val="22"/>
        </w:rPr>
      </w:pPr>
    </w:p>
    <w:p w14:paraId="265C417E" w14:textId="3C493625" w:rsidR="00AB1669" w:rsidRPr="00AB1669" w:rsidRDefault="00AB1669">
      <w:pPr>
        <w:spacing w:line="360" w:lineRule="auto"/>
        <w:ind w:right="49"/>
        <w:jc w:val="both"/>
        <w:rPr>
          <w:rFonts w:ascii="Palatino Linotype" w:eastAsia="Palatino Linotype" w:hAnsi="Palatino Linotype" w:cs="Palatino Linotype"/>
          <w:sz w:val="22"/>
          <w:szCs w:val="22"/>
        </w:rPr>
      </w:pPr>
    </w:p>
    <w:p w14:paraId="5FAF0C32" w14:textId="5973C370" w:rsidR="00AB1669" w:rsidRPr="00AB1669" w:rsidRDefault="00AB1669">
      <w:pPr>
        <w:spacing w:line="360" w:lineRule="auto"/>
        <w:ind w:right="49"/>
        <w:jc w:val="both"/>
        <w:rPr>
          <w:rFonts w:ascii="Palatino Linotype" w:eastAsia="Palatino Linotype" w:hAnsi="Palatino Linotype" w:cs="Palatino Linotype"/>
          <w:sz w:val="22"/>
          <w:szCs w:val="22"/>
        </w:rPr>
      </w:pPr>
    </w:p>
    <w:p w14:paraId="491D8165" w14:textId="0BF9D424" w:rsidR="00AB1669" w:rsidRPr="00AB1669" w:rsidRDefault="00AB1669">
      <w:pPr>
        <w:spacing w:line="360" w:lineRule="auto"/>
        <w:ind w:right="49"/>
        <w:jc w:val="both"/>
        <w:rPr>
          <w:rFonts w:ascii="Palatino Linotype" w:eastAsia="Palatino Linotype" w:hAnsi="Palatino Linotype" w:cs="Palatino Linotype"/>
          <w:sz w:val="22"/>
          <w:szCs w:val="22"/>
        </w:rPr>
      </w:pPr>
    </w:p>
    <w:p w14:paraId="0A4C1165" w14:textId="2343F888" w:rsidR="00AB1669" w:rsidRPr="00AB1669" w:rsidRDefault="00AB1669">
      <w:pPr>
        <w:spacing w:line="360" w:lineRule="auto"/>
        <w:ind w:right="49"/>
        <w:jc w:val="both"/>
        <w:rPr>
          <w:rFonts w:ascii="Palatino Linotype" w:eastAsia="Palatino Linotype" w:hAnsi="Palatino Linotype" w:cs="Palatino Linotype"/>
          <w:sz w:val="22"/>
          <w:szCs w:val="22"/>
        </w:rPr>
      </w:pPr>
    </w:p>
    <w:p w14:paraId="01A22CA9" w14:textId="45980C29" w:rsidR="00AB1669" w:rsidRPr="00AB1669" w:rsidRDefault="00AB1669">
      <w:pPr>
        <w:spacing w:line="360" w:lineRule="auto"/>
        <w:ind w:right="49"/>
        <w:jc w:val="both"/>
        <w:rPr>
          <w:rFonts w:ascii="Palatino Linotype" w:eastAsia="Palatino Linotype" w:hAnsi="Palatino Linotype" w:cs="Palatino Linotype"/>
          <w:sz w:val="22"/>
          <w:szCs w:val="22"/>
        </w:rPr>
      </w:pPr>
    </w:p>
    <w:p w14:paraId="751766A5" w14:textId="1DC9C6DF" w:rsidR="00AB1669" w:rsidRPr="00AB1669" w:rsidRDefault="00AB1669">
      <w:pPr>
        <w:spacing w:line="360" w:lineRule="auto"/>
        <w:ind w:right="49"/>
        <w:jc w:val="both"/>
        <w:rPr>
          <w:rFonts w:ascii="Palatino Linotype" w:eastAsia="Palatino Linotype" w:hAnsi="Palatino Linotype" w:cs="Palatino Linotype"/>
          <w:sz w:val="22"/>
          <w:szCs w:val="22"/>
        </w:rPr>
      </w:pPr>
    </w:p>
    <w:p w14:paraId="60DF2776" w14:textId="6BF9BA86" w:rsidR="00AB1669" w:rsidRPr="00AB1669" w:rsidRDefault="00AB1669">
      <w:pPr>
        <w:spacing w:line="360" w:lineRule="auto"/>
        <w:ind w:right="49"/>
        <w:jc w:val="both"/>
        <w:rPr>
          <w:rFonts w:ascii="Palatino Linotype" w:eastAsia="Palatino Linotype" w:hAnsi="Palatino Linotype" w:cs="Palatino Linotype"/>
          <w:sz w:val="22"/>
          <w:szCs w:val="22"/>
        </w:rPr>
      </w:pPr>
    </w:p>
    <w:p w14:paraId="66758CA8" w14:textId="77777777" w:rsidR="00AB1669" w:rsidRPr="00AB1669" w:rsidRDefault="00AB1669">
      <w:pPr>
        <w:spacing w:line="360" w:lineRule="auto"/>
        <w:ind w:right="49"/>
        <w:jc w:val="both"/>
        <w:rPr>
          <w:rFonts w:ascii="Palatino Linotype" w:eastAsia="Palatino Linotype" w:hAnsi="Palatino Linotype" w:cs="Palatino Linotype"/>
          <w:sz w:val="22"/>
          <w:szCs w:val="22"/>
        </w:rPr>
      </w:pPr>
    </w:p>
    <w:sectPr w:rsidR="00AB1669" w:rsidRPr="00AB1669">
      <w:headerReference w:type="default" r:id="rId12"/>
      <w:footerReference w:type="default" r:id="rId13"/>
      <w:headerReference w:type="first" r:id="rId14"/>
      <w:footerReference w:type="first" r:id="rId15"/>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E6EBE" w14:textId="77777777" w:rsidR="00A6333B" w:rsidRDefault="00A6333B">
      <w:r>
        <w:separator/>
      </w:r>
    </w:p>
  </w:endnote>
  <w:endnote w:type="continuationSeparator" w:id="0">
    <w:p w14:paraId="6EB69FE7" w14:textId="77777777" w:rsidR="00A6333B" w:rsidRDefault="00A6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embedRegular r:id="rId1" w:fontKey="{A77A60AD-C095-43AD-AC7F-542FD798E344}"/>
    <w:embedBold r:id="rId2" w:fontKey="{4DDFCEFE-440F-4548-83F2-5C8C7038B10C}"/>
    <w:embedItalic r:id="rId3" w:fontKey="{A0AFFB31-79B3-4891-AFC7-F05FE17834C4}"/>
    <w:embedBoldItalic r:id="rId4" w:fontKey="{4600793E-C20A-46CB-8F9F-0CADC21C572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5" w:fontKey="{CD3AB668-3920-411F-A774-1BA9E6E148B5}"/>
    <w:embedBold r:id="rId6" w:fontKey="{31330409-56B4-4B49-95A8-100CC0648E1D}"/>
  </w:font>
  <w:font w:name="Tahoma">
    <w:panose1 w:val="020B0604030504040204"/>
    <w:charset w:val="00"/>
    <w:family w:val="swiss"/>
    <w:pitch w:val="variable"/>
    <w:sig w:usb0="E1002EFF" w:usb1="C000605B" w:usb2="00000029" w:usb3="00000000" w:csb0="000101FF" w:csb1="00000000"/>
    <w:embedRegular r:id="rId7" w:fontKey="{472286F0-ED9D-435C-A30A-B8D4DA2EF0A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99D80925-02E6-415C-B2F5-FA82D9F091E2}"/>
    <w:embedBold r:id="rId9" w:fontKey="{2CBB8FB6-C851-49FD-BC38-636058043135}"/>
    <w:embedItalic r:id="rId10" w:fontKey="{6F3F328F-D387-4873-B3B4-91A3912B98C8}"/>
  </w:font>
  <w:font w:name="Georgia">
    <w:panose1 w:val="02040502050405020303"/>
    <w:charset w:val="00"/>
    <w:family w:val="roman"/>
    <w:pitch w:val="variable"/>
    <w:sig w:usb0="00000287" w:usb1="00000000" w:usb2="00000000" w:usb3="00000000" w:csb0="0000009F" w:csb1="00000000"/>
    <w:embedRegular r:id="rId11" w:fontKey="{7D2CBFCC-E5CE-46AD-8A06-2DDA9463E503}"/>
    <w:embedItalic r:id="rId12" w:fontKey="{EFE18898-D742-43A6-87BC-FFCA83A342CC}"/>
  </w:font>
  <w:font w:name="Calibri Light">
    <w:panose1 w:val="020F0302020204030204"/>
    <w:charset w:val="00"/>
    <w:family w:val="swiss"/>
    <w:pitch w:val="variable"/>
    <w:sig w:usb0="E4002EFF" w:usb1="C200247B" w:usb2="00000009" w:usb3="00000000" w:csb0="000001FF" w:csb1="00000000"/>
    <w:embedRegular r:id="rId13" w:fontKey="{19AEA296-2838-4050-B95B-17421DB24A9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27024" w14:textId="750EFE74" w:rsidR="006F7CCC" w:rsidRDefault="006F7CCC">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9F2B01">
      <w:rPr>
        <w:b/>
        <w:noProof/>
        <w:color w:val="000000"/>
      </w:rPr>
      <w:t>15</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9F2B01">
      <w:rPr>
        <w:b/>
        <w:noProof/>
        <w:color w:val="000000"/>
      </w:rPr>
      <w:t>25</w:t>
    </w:r>
    <w:r>
      <w:rPr>
        <w:b/>
        <w:color w:val="000000"/>
      </w:rPr>
      <w:fldChar w:fldCharType="end"/>
    </w:r>
  </w:p>
  <w:p w14:paraId="7AE4EEFD" w14:textId="77777777" w:rsidR="006F7CCC" w:rsidRDefault="006F7CCC">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1E332" w14:textId="18BE6D7B" w:rsidR="006F7CCC" w:rsidRDefault="006F7CCC">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9F2B01">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9F2B01">
      <w:rPr>
        <w:b/>
        <w:noProof/>
        <w:color w:val="000000"/>
      </w:rPr>
      <w:t>25</w:t>
    </w:r>
    <w:r>
      <w:rPr>
        <w:b/>
        <w:color w:val="000000"/>
      </w:rPr>
      <w:fldChar w:fldCharType="end"/>
    </w:r>
  </w:p>
  <w:p w14:paraId="6675DA9D" w14:textId="77777777" w:rsidR="006F7CCC" w:rsidRDefault="006F7CC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704D8" w14:textId="77777777" w:rsidR="00A6333B" w:rsidRDefault="00A6333B">
      <w:r>
        <w:separator/>
      </w:r>
    </w:p>
  </w:footnote>
  <w:footnote w:type="continuationSeparator" w:id="0">
    <w:p w14:paraId="481CE2F7" w14:textId="77777777" w:rsidR="00A6333B" w:rsidRDefault="00A633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7457D" w14:textId="77777777" w:rsidR="006F7CCC" w:rsidRDefault="006F7CCC">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093A9E0D" wp14:editId="28CE1BC9">
          <wp:simplePos x="0" y="0"/>
          <wp:positionH relativeFrom="column">
            <wp:posOffset>0</wp:posOffset>
          </wp:positionH>
          <wp:positionV relativeFrom="paragraph">
            <wp:posOffset>-401953</wp:posOffset>
          </wp:positionV>
          <wp:extent cx="7809876" cy="10165823"/>
          <wp:effectExtent l="0" t="0" r="0" b="0"/>
          <wp:wrapNone/>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6"/>
      <w:tblW w:w="5603" w:type="dxa"/>
      <w:tblInd w:w="3611" w:type="dxa"/>
      <w:tblLayout w:type="fixed"/>
      <w:tblLook w:val="0400" w:firstRow="0" w:lastRow="0" w:firstColumn="0" w:lastColumn="0" w:noHBand="0" w:noVBand="1"/>
    </w:tblPr>
    <w:tblGrid>
      <w:gridCol w:w="2551"/>
      <w:gridCol w:w="3052"/>
    </w:tblGrid>
    <w:tr w:rsidR="006F7CCC" w14:paraId="3DE1F927" w14:textId="77777777">
      <w:tc>
        <w:tcPr>
          <w:tcW w:w="2551" w:type="dxa"/>
          <w:vAlign w:val="center"/>
        </w:tcPr>
        <w:p w14:paraId="27218DF9" w14:textId="77777777" w:rsidR="006F7CCC" w:rsidRDefault="006F7CC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Recurso de Revisión:</w:t>
          </w:r>
        </w:p>
        <w:p w14:paraId="4D5060D3" w14:textId="77777777" w:rsidR="006F7CCC" w:rsidRDefault="006F7CC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p>
      </w:tc>
      <w:tc>
        <w:tcPr>
          <w:tcW w:w="3052" w:type="dxa"/>
          <w:vAlign w:val="center"/>
        </w:tcPr>
        <w:p w14:paraId="1F9F508D" w14:textId="5EC2FE5C" w:rsidR="006F7CCC" w:rsidRDefault="006F7CCC" w:rsidP="00F9422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sz w:val="22"/>
              <w:szCs w:val="22"/>
            </w:rPr>
            <w:t>14669</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6F7CCC" w14:paraId="6E2D1273" w14:textId="77777777">
      <w:trPr>
        <w:trHeight w:val="217"/>
      </w:trPr>
      <w:tc>
        <w:tcPr>
          <w:tcW w:w="2551" w:type="dxa"/>
          <w:vAlign w:val="center"/>
        </w:tcPr>
        <w:p w14:paraId="21203565" w14:textId="77777777" w:rsidR="006F7CCC" w:rsidRDefault="006F7CC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Sujeto obligado:</w:t>
          </w:r>
        </w:p>
      </w:tc>
      <w:tc>
        <w:tcPr>
          <w:tcW w:w="3052" w:type="dxa"/>
          <w:vAlign w:val="center"/>
        </w:tcPr>
        <w:p w14:paraId="6BAD3091" w14:textId="450EDD24" w:rsidR="006F7CCC" w:rsidRDefault="006F7CCC" w:rsidP="00A065B4">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Ayuntamiento de Valle de Bravo</w:t>
          </w:r>
        </w:p>
      </w:tc>
    </w:tr>
    <w:tr w:rsidR="006F7CCC" w14:paraId="651D01A7" w14:textId="77777777">
      <w:tc>
        <w:tcPr>
          <w:tcW w:w="2551" w:type="dxa"/>
          <w:vAlign w:val="center"/>
        </w:tcPr>
        <w:p w14:paraId="5229B5A5" w14:textId="77777777" w:rsidR="006F7CCC" w:rsidRDefault="006F7CC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Comisionada ponente:</w:t>
          </w:r>
        </w:p>
      </w:tc>
      <w:tc>
        <w:tcPr>
          <w:tcW w:w="3052" w:type="dxa"/>
          <w:vAlign w:val="center"/>
        </w:tcPr>
        <w:p w14:paraId="252A5C20" w14:textId="77777777" w:rsidR="006F7CCC" w:rsidRDefault="006F7CC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Guadalupe Ramírez Peña</w:t>
          </w:r>
        </w:p>
      </w:tc>
    </w:tr>
  </w:tbl>
  <w:p w14:paraId="24D54F31" w14:textId="77777777" w:rsidR="006F7CCC" w:rsidRDefault="006F7CCC">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0C5A" w14:textId="77777777" w:rsidR="006F7CCC" w:rsidRDefault="006F7CCC">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14:anchorId="060CB74E" wp14:editId="30E0D12D">
          <wp:simplePos x="0" y="0"/>
          <wp:positionH relativeFrom="column">
            <wp:posOffset>-929004</wp:posOffset>
          </wp:positionH>
          <wp:positionV relativeFrom="paragraph">
            <wp:posOffset>-644524</wp:posOffset>
          </wp:positionV>
          <wp:extent cx="7809865" cy="1016571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7"/>
      <w:tblW w:w="5461" w:type="dxa"/>
      <w:tblInd w:w="3611" w:type="dxa"/>
      <w:tblLayout w:type="fixed"/>
      <w:tblLook w:val="0400" w:firstRow="0" w:lastRow="0" w:firstColumn="0" w:lastColumn="0" w:noHBand="0" w:noVBand="1"/>
    </w:tblPr>
    <w:tblGrid>
      <w:gridCol w:w="2343"/>
      <w:gridCol w:w="3118"/>
    </w:tblGrid>
    <w:tr w:rsidR="006F7CCC" w14:paraId="1419E4B9" w14:textId="77777777">
      <w:tc>
        <w:tcPr>
          <w:tcW w:w="2343" w:type="dxa"/>
          <w:vAlign w:val="center"/>
        </w:tcPr>
        <w:p w14:paraId="0A4DAE44" w14:textId="77777777" w:rsidR="006F7CCC" w:rsidRDefault="006F7CC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Recurso de Revisión:</w:t>
          </w:r>
        </w:p>
        <w:p w14:paraId="61232AD0" w14:textId="77777777" w:rsidR="006F7CCC" w:rsidRDefault="006F7CC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1D2E4BAD" w14:textId="08742273" w:rsidR="006F7CCC" w:rsidRDefault="006F7CCC" w:rsidP="00E56AE7">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sz w:val="22"/>
              <w:szCs w:val="22"/>
            </w:rPr>
            <w:t>14669</w:t>
          </w:r>
          <w:r w:rsidRPr="005C2ED1">
            <w:rPr>
              <w:rFonts w:ascii="Palatino Linotype" w:eastAsia="Palatino Linotype" w:hAnsi="Palatino Linotype" w:cs="Palatino Linotype"/>
              <w:b/>
              <w:color w:val="000000"/>
              <w:sz w:val="22"/>
              <w:szCs w:val="22"/>
            </w:rPr>
            <w:t>/INFOEM</w:t>
          </w:r>
          <w:r>
            <w:rPr>
              <w:rFonts w:ascii="Palatino Linotype" w:eastAsia="Palatino Linotype" w:hAnsi="Palatino Linotype" w:cs="Palatino Linotype"/>
              <w:b/>
              <w:color w:val="000000"/>
              <w:sz w:val="22"/>
              <w:szCs w:val="22"/>
            </w:rPr>
            <w:t>/IP/RR/2025</w:t>
          </w:r>
        </w:p>
      </w:tc>
    </w:tr>
    <w:tr w:rsidR="006F7CCC" w14:paraId="5406FED2" w14:textId="77777777">
      <w:tc>
        <w:tcPr>
          <w:tcW w:w="2343" w:type="dxa"/>
          <w:vAlign w:val="center"/>
        </w:tcPr>
        <w:p w14:paraId="40683B83" w14:textId="77777777" w:rsidR="006F7CCC" w:rsidRDefault="006F7CC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Recurrente:</w:t>
          </w:r>
        </w:p>
      </w:tc>
      <w:tc>
        <w:tcPr>
          <w:tcW w:w="3118" w:type="dxa"/>
          <w:vAlign w:val="center"/>
        </w:tcPr>
        <w:p w14:paraId="79BFF42B" w14:textId="5113C938" w:rsidR="006F7CCC" w:rsidRDefault="006F7CC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r>
    <w:tr w:rsidR="006F7CCC" w14:paraId="0CE2BEAE" w14:textId="77777777">
      <w:trPr>
        <w:trHeight w:val="152"/>
      </w:trPr>
      <w:tc>
        <w:tcPr>
          <w:tcW w:w="2343" w:type="dxa"/>
          <w:vAlign w:val="center"/>
        </w:tcPr>
        <w:p w14:paraId="2B6A9907" w14:textId="77777777" w:rsidR="006F7CCC" w:rsidRDefault="006F7CCC">
          <w:pP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Sujeto obligado:</w:t>
          </w:r>
        </w:p>
        <w:p w14:paraId="337D7A1C" w14:textId="77777777" w:rsidR="006F7CCC" w:rsidRDefault="006F7CCC">
          <w:pPr>
            <w:tabs>
              <w:tab w:val="center" w:pos="4419"/>
              <w:tab w:val="right" w:pos="8838"/>
            </w:tabs>
            <w:rPr>
              <w:rFonts w:ascii="Palatino Linotype" w:eastAsia="Palatino Linotype" w:hAnsi="Palatino Linotype" w:cs="Palatino Linotype"/>
              <w:b/>
              <w:color w:val="000000"/>
              <w:sz w:val="20"/>
              <w:szCs w:val="20"/>
            </w:rPr>
          </w:pPr>
        </w:p>
      </w:tc>
      <w:tc>
        <w:tcPr>
          <w:tcW w:w="3118" w:type="dxa"/>
          <w:vAlign w:val="center"/>
        </w:tcPr>
        <w:p w14:paraId="6FC25278" w14:textId="435D3348" w:rsidR="006F7CCC" w:rsidRDefault="006F7CCC" w:rsidP="00E56AE7">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2"/>
              <w:szCs w:val="22"/>
            </w:rPr>
            <w:t>Ayuntamiento de Valle de Bravo</w:t>
          </w:r>
        </w:p>
      </w:tc>
    </w:tr>
    <w:tr w:rsidR="006F7CCC" w14:paraId="1EF4B579" w14:textId="77777777">
      <w:tc>
        <w:tcPr>
          <w:tcW w:w="2343" w:type="dxa"/>
          <w:vAlign w:val="center"/>
        </w:tcPr>
        <w:p w14:paraId="71B9E111" w14:textId="77777777" w:rsidR="006F7CCC" w:rsidRDefault="006F7CC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Comisionada ponente:</w:t>
          </w:r>
        </w:p>
      </w:tc>
      <w:tc>
        <w:tcPr>
          <w:tcW w:w="3118" w:type="dxa"/>
          <w:vAlign w:val="center"/>
        </w:tcPr>
        <w:p w14:paraId="02FC2A70" w14:textId="77777777" w:rsidR="006F7CCC" w:rsidRDefault="006F7CCC">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Guadalupe Ramírez Peña</w:t>
          </w:r>
        </w:p>
      </w:tc>
    </w:tr>
  </w:tbl>
  <w:p w14:paraId="2CE2B1EF" w14:textId="77777777" w:rsidR="006F7CCC" w:rsidRDefault="006F7CCC">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52D9"/>
    <w:multiLevelType w:val="hybridMultilevel"/>
    <w:tmpl w:val="40626B42"/>
    <w:lvl w:ilvl="0" w:tplc="3C3C5B4E">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E428E9"/>
    <w:multiLevelType w:val="hybridMultilevel"/>
    <w:tmpl w:val="523082EA"/>
    <w:lvl w:ilvl="0" w:tplc="3C3C5B4E">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D8054D"/>
    <w:multiLevelType w:val="multilevel"/>
    <w:tmpl w:val="F5348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801CE9"/>
    <w:multiLevelType w:val="multilevel"/>
    <w:tmpl w:val="96B62F4E"/>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A433EBA"/>
    <w:multiLevelType w:val="multilevel"/>
    <w:tmpl w:val="4D760B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B861DC7"/>
    <w:multiLevelType w:val="hybridMultilevel"/>
    <w:tmpl w:val="DD661264"/>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1C1C17CE"/>
    <w:multiLevelType w:val="hybridMultilevel"/>
    <w:tmpl w:val="E3B29E8A"/>
    <w:lvl w:ilvl="0" w:tplc="AC00FD0C">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0E1769"/>
    <w:multiLevelType w:val="hybridMultilevel"/>
    <w:tmpl w:val="7C1CCCF2"/>
    <w:lvl w:ilvl="0" w:tplc="CB4498A8">
      <w:start w:val="1"/>
      <w:numFmt w:val="bullet"/>
      <w:lvlText w:val=""/>
      <w:lvlJc w:val="left"/>
      <w:pPr>
        <w:ind w:left="1287" w:hanging="360"/>
      </w:pPr>
      <w:rPr>
        <w:rFonts w:ascii="Wingdings" w:hAnsi="Wingdings"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BA60E1"/>
    <w:multiLevelType w:val="hybridMultilevel"/>
    <w:tmpl w:val="833C01C6"/>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3130A81"/>
    <w:multiLevelType w:val="multilevel"/>
    <w:tmpl w:val="6D783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47E72E3"/>
    <w:multiLevelType w:val="hybridMultilevel"/>
    <w:tmpl w:val="9CECA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4E74C6D"/>
    <w:multiLevelType w:val="multilevel"/>
    <w:tmpl w:val="61E029E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7DD64BD"/>
    <w:multiLevelType w:val="hybridMultilevel"/>
    <w:tmpl w:val="D1B48FD6"/>
    <w:lvl w:ilvl="0" w:tplc="70C24986">
      <w:start w:val="1"/>
      <w:numFmt w:val="lowerLetter"/>
      <w:lvlText w:val="%1)"/>
      <w:lvlJc w:val="left"/>
      <w:pPr>
        <w:ind w:left="720" w:hanging="360"/>
      </w:pPr>
      <w:rPr>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9164836"/>
    <w:multiLevelType w:val="hybridMultilevel"/>
    <w:tmpl w:val="0E009BD2"/>
    <w:lvl w:ilvl="0" w:tplc="3C3C5B4E">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5F05287"/>
    <w:multiLevelType w:val="hybridMultilevel"/>
    <w:tmpl w:val="883039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6B12C71"/>
    <w:multiLevelType w:val="hybridMultilevel"/>
    <w:tmpl w:val="270EA23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99D408D"/>
    <w:multiLevelType w:val="hybridMultilevel"/>
    <w:tmpl w:val="5372B9D2"/>
    <w:lvl w:ilvl="0" w:tplc="080A000F">
      <w:start w:val="1"/>
      <w:numFmt w:val="decimal"/>
      <w:lvlText w:val="%1."/>
      <w:lvlJc w:val="left"/>
      <w:pPr>
        <w:ind w:left="1287" w:hanging="360"/>
      </w:pPr>
      <w:rPr>
        <w:rFont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9" w15:restartNumberingAfterBreak="0">
    <w:nsid w:val="50691881"/>
    <w:multiLevelType w:val="multilevel"/>
    <w:tmpl w:val="9208DD3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2B53A72"/>
    <w:multiLevelType w:val="hybridMultilevel"/>
    <w:tmpl w:val="B0647A12"/>
    <w:lvl w:ilvl="0" w:tplc="080A0017">
      <w:start w:val="1"/>
      <w:numFmt w:val="lowerLetter"/>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21" w15:restartNumberingAfterBreak="0">
    <w:nsid w:val="555B5A8F"/>
    <w:multiLevelType w:val="hybridMultilevel"/>
    <w:tmpl w:val="D5BE9928"/>
    <w:lvl w:ilvl="0" w:tplc="3C3C5B4E">
      <w:start w:val="2"/>
      <w:numFmt w:val="bullet"/>
      <w:lvlText w:val="-"/>
      <w:lvlJc w:val="left"/>
      <w:pPr>
        <w:ind w:left="1440" w:hanging="360"/>
      </w:pPr>
      <w:rPr>
        <w:rFonts w:ascii="Palatino Linotype" w:eastAsia="Palatino Linotype" w:hAnsi="Palatino Linotype" w:cs="Palatino Linotype"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5A7573AA"/>
    <w:multiLevelType w:val="hybridMultilevel"/>
    <w:tmpl w:val="2A2C282C"/>
    <w:lvl w:ilvl="0" w:tplc="080A0011">
      <w:start w:val="1"/>
      <w:numFmt w:val="decimal"/>
      <w:lvlText w:val="%1)"/>
      <w:lvlJc w:val="left"/>
      <w:pPr>
        <w:ind w:left="1287" w:hanging="360"/>
      </w:pPr>
      <w:rPr>
        <w:rFonts w:hint="default"/>
        <w:sz w:val="22"/>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3" w15:restartNumberingAfterBreak="0">
    <w:nsid w:val="65070C84"/>
    <w:multiLevelType w:val="multilevel"/>
    <w:tmpl w:val="8A2A1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7142C49"/>
    <w:multiLevelType w:val="multilevel"/>
    <w:tmpl w:val="30B4AF1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68717A16"/>
    <w:multiLevelType w:val="multilevel"/>
    <w:tmpl w:val="FE0A5F92"/>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9C01BB5"/>
    <w:multiLevelType w:val="multilevel"/>
    <w:tmpl w:val="5D2CB75E"/>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B083A9B"/>
    <w:multiLevelType w:val="multilevel"/>
    <w:tmpl w:val="01A0AE9C"/>
    <w:lvl w:ilvl="0">
      <w:start w:val="2"/>
      <w:numFmt w:val="bullet"/>
      <w:pStyle w:val="Listaconvietas"/>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8" w15:restartNumberingAfterBreak="0">
    <w:nsid w:val="7B2C08A8"/>
    <w:multiLevelType w:val="hybridMultilevel"/>
    <w:tmpl w:val="708873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2"/>
  </w:num>
  <w:num w:numId="3">
    <w:abstractNumId w:val="27"/>
  </w:num>
  <w:num w:numId="4">
    <w:abstractNumId w:val="15"/>
  </w:num>
  <w:num w:numId="5">
    <w:abstractNumId w:val="6"/>
  </w:num>
  <w:num w:numId="6">
    <w:abstractNumId w:val="16"/>
  </w:num>
  <w:num w:numId="7">
    <w:abstractNumId w:val="3"/>
  </w:num>
  <w:num w:numId="8">
    <w:abstractNumId w:val="5"/>
  </w:num>
  <w:num w:numId="9">
    <w:abstractNumId w:val="7"/>
  </w:num>
  <w:num w:numId="10">
    <w:abstractNumId w:val="28"/>
  </w:num>
  <w:num w:numId="11">
    <w:abstractNumId w:val="9"/>
  </w:num>
  <w:num w:numId="12">
    <w:abstractNumId w:val="17"/>
  </w:num>
  <w:num w:numId="13">
    <w:abstractNumId w:val="13"/>
  </w:num>
  <w:num w:numId="14">
    <w:abstractNumId w:val="18"/>
  </w:num>
  <w:num w:numId="15">
    <w:abstractNumId w:val="22"/>
  </w:num>
  <w:num w:numId="16">
    <w:abstractNumId w:val="23"/>
  </w:num>
  <w:num w:numId="17">
    <w:abstractNumId w:val="4"/>
  </w:num>
  <w:num w:numId="18">
    <w:abstractNumId w:val="10"/>
  </w:num>
  <w:num w:numId="19">
    <w:abstractNumId w:val="26"/>
  </w:num>
  <w:num w:numId="20">
    <w:abstractNumId w:val="25"/>
  </w:num>
  <w:num w:numId="21">
    <w:abstractNumId w:val="12"/>
  </w:num>
  <w:num w:numId="22">
    <w:abstractNumId w:val="24"/>
  </w:num>
  <w:num w:numId="23">
    <w:abstractNumId w:val="0"/>
  </w:num>
  <w:num w:numId="24">
    <w:abstractNumId w:val="8"/>
  </w:num>
  <w:num w:numId="25">
    <w:abstractNumId w:val="20"/>
  </w:num>
  <w:num w:numId="26">
    <w:abstractNumId w:val="21"/>
  </w:num>
  <w:num w:numId="27">
    <w:abstractNumId w:val="1"/>
  </w:num>
  <w:num w:numId="28">
    <w:abstractNumId w:val="14"/>
  </w:num>
  <w:num w:numId="2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F6"/>
    <w:rsid w:val="00003CC0"/>
    <w:rsid w:val="00011BB7"/>
    <w:rsid w:val="000140E9"/>
    <w:rsid w:val="00020E27"/>
    <w:rsid w:val="00022FF0"/>
    <w:rsid w:val="00035362"/>
    <w:rsid w:val="0004101C"/>
    <w:rsid w:val="000414EC"/>
    <w:rsid w:val="000472DB"/>
    <w:rsid w:val="000505A2"/>
    <w:rsid w:val="00050C84"/>
    <w:rsid w:val="00085E1F"/>
    <w:rsid w:val="0009354C"/>
    <w:rsid w:val="00094B03"/>
    <w:rsid w:val="000A2015"/>
    <w:rsid w:val="000C2D35"/>
    <w:rsid w:val="000C6DFE"/>
    <w:rsid w:val="000D0009"/>
    <w:rsid w:val="000D62A4"/>
    <w:rsid w:val="000D6BF4"/>
    <w:rsid w:val="000E264E"/>
    <w:rsid w:val="000F3A18"/>
    <w:rsid w:val="000F461B"/>
    <w:rsid w:val="00102B00"/>
    <w:rsid w:val="00104A39"/>
    <w:rsid w:val="00106A63"/>
    <w:rsid w:val="00106CF0"/>
    <w:rsid w:val="0010766B"/>
    <w:rsid w:val="0011572F"/>
    <w:rsid w:val="00115C81"/>
    <w:rsid w:val="0012241A"/>
    <w:rsid w:val="001244B6"/>
    <w:rsid w:val="0012725B"/>
    <w:rsid w:val="00137C81"/>
    <w:rsid w:val="00167CFB"/>
    <w:rsid w:val="00177120"/>
    <w:rsid w:val="001775F5"/>
    <w:rsid w:val="001778A6"/>
    <w:rsid w:val="00195613"/>
    <w:rsid w:val="001A2C55"/>
    <w:rsid w:val="001B33FF"/>
    <w:rsid w:val="001C5C24"/>
    <w:rsid w:val="001E1DB3"/>
    <w:rsid w:val="001F52E8"/>
    <w:rsid w:val="00205000"/>
    <w:rsid w:val="00215433"/>
    <w:rsid w:val="00220962"/>
    <w:rsid w:val="0022312E"/>
    <w:rsid w:val="00227160"/>
    <w:rsid w:val="00240A2A"/>
    <w:rsid w:val="00241C45"/>
    <w:rsid w:val="00244C94"/>
    <w:rsid w:val="002460CA"/>
    <w:rsid w:val="00251552"/>
    <w:rsid w:val="00255A16"/>
    <w:rsid w:val="00261424"/>
    <w:rsid w:val="00271603"/>
    <w:rsid w:val="00272A31"/>
    <w:rsid w:val="00282A93"/>
    <w:rsid w:val="00285379"/>
    <w:rsid w:val="00287278"/>
    <w:rsid w:val="00294BBE"/>
    <w:rsid w:val="002A38A5"/>
    <w:rsid w:val="002A4A12"/>
    <w:rsid w:val="002A642E"/>
    <w:rsid w:val="002A76E9"/>
    <w:rsid w:val="002B39AC"/>
    <w:rsid w:val="002C4916"/>
    <w:rsid w:val="002C63CA"/>
    <w:rsid w:val="002D25A9"/>
    <w:rsid w:val="002D4381"/>
    <w:rsid w:val="002E51A0"/>
    <w:rsid w:val="002F289C"/>
    <w:rsid w:val="00301A49"/>
    <w:rsid w:val="00310AAA"/>
    <w:rsid w:val="00336C8D"/>
    <w:rsid w:val="003412FF"/>
    <w:rsid w:val="00351E01"/>
    <w:rsid w:val="003535F7"/>
    <w:rsid w:val="00357E62"/>
    <w:rsid w:val="003610C8"/>
    <w:rsid w:val="00363193"/>
    <w:rsid w:val="00374863"/>
    <w:rsid w:val="00381615"/>
    <w:rsid w:val="00382B63"/>
    <w:rsid w:val="003A539C"/>
    <w:rsid w:val="003B746B"/>
    <w:rsid w:val="003C0D60"/>
    <w:rsid w:val="003D17CE"/>
    <w:rsid w:val="003E151E"/>
    <w:rsid w:val="003E62A8"/>
    <w:rsid w:val="003F6A2A"/>
    <w:rsid w:val="00401114"/>
    <w:rsid w:val="00402094"/>
    <w:rsid w:val="00405804"/>
    <w:rsid w:val="004066C2"/>
    <w:rsid w:val="00407432"/>
    <w:rsid w:val="00413D80"/>
    <w:rsid w:val="00420E52"/>
    <w:rsid w:val="00421C3A"/>
    <w:rsid w:val="00422637"/>
    <w:rsid w:val="00430146"/>
    <w:rsid w:val="00431AFC"/>
    <w:rsid w:val="004413E6"/>
    <w:rsid w:val="004422C9"/>
    <w:rsid w:val="00443D93"/>
    <w:rsid w:val="0045016F"/>
    <w:rsid w:val="00454B9B"/>
    <w:rsid w:val="004621D1"/>
    <w:rsid w:val="00477E95"/>
    <w:rsid w:val="0049337B"/>
    <w:rsid w:val="004A4D59"/>
    <w:rsid w:val="004B37BF"/>
    <w:rsid w:val="004B699A"/>
    <w:rsid w:val="004C6A5F"/>
    <w:rsid w:val="004D3788"/>
    <w:rsid w:val="004D64F1"/>
    <w:rsid w:val="004F40D3"/>
    <w:rsid w:val="00502F3A"/>
    <w:rsid w:val="00507CDE"/>
    <w:rsid w:val="00510789"/>
    <w:rsid w:val="005116B7"/>
    <w:rsid w:val="00521904"/>
    <w:rsid w:val="00524582"/>
    <w:rsid w:val="0053486A"/>
    <w:rsid w:val="00541989"/>
    <w:rsid w:val="005509CC"/>
    <w:rsid w:val="005644E2"/>
    <w:rsid w:val="00571BF7"/>
    <w:rsid w:val="005764D6"/>
    <w:rsid w:val="0058244A"/>
    <w:rsid w:val="00590594"/>
    <w:rsid w:val="005957F2"/>
    <w:rsid w:val="0059705D"/>
    <w:rsid w:val="005A4875"/>
    <w:rsid w:val="005A668A"/>
    <w:rsid w:val="005B15F7"/>
    <w:rsid w:val="005B4F46"/>
    <w:rsid w:val="005B79A1"/>
    <w:rsid w:val="005C0A5D"/>
    <w:rsid w:val="005C2ED1"/>
    <w:rsid w:val="005C3FA2"/>
    <w:rsid w:val="005C74CB"/>
    <w:rsid w:val="005D08E7"/>
    <w:rsid w:val="005D28FA"/>
    <w:rsid w:val="005D2D77"/>
    <w:rsid w:val="005D6395"/>
    <w:rsid w:val="005E009A"/>
    <w:rsid w:val="005F460A"/>
    <w:rsid w:val="005F6923"/>
    <w:rsid w:val="006008B4"/>
    <w:rsid w:val="00602DB8"/>
    <w:rsid w:val="0060454F"/>
    <w:rsid w:val="00605693"/>
    <w:rsid w:val="00605991"/>
    <w:rsid w:val="00607DE9"/>
    <w:rsid w:val="00612CCA"/>
    <w:rsid w:val="00617B63"/>
    <w:rsid w:val="00641C48"/>
    <w:rsid w:val="0065110C"/>
    <w:rsid w:val="0067251B"/>
    <w:rsid w:val="00674954"/>
    <w:rsid w:val="006949BC"/>
    <w:rsid w:val="00695950"/>
    <w:rsid w:val="00697BED"/>
    <w:rsid w:val="006B413C"/>
    <w:rsid w:val="006C5268"/>
    <w:rsid w:val="006D2F09"/>
    <w:rsid w:val="006D4025"/>
    <w:rsid w:val="006D4A7D"/>
    <w:rsid w:val="006E19B5"/>
    <w:rsid w:val="006F7CCC"/>
    <w:rsid w:val="00707E5B"/>
    <w:rsid w:val="0071796C"/>
    <w:rsid w:val="00730751"/>
    <w:rsid w:val="007321EB"/>
    <w:rsid w:val="00732598"/>
    <w:rsid w:val="00737A90"/>
    <w:rsid w:val="00740429"/>
    <w:rsid w:val="007425E8"/>
    <w:rsid w:val="00745DF3"/>
    <w:rsid w:val="007477F6"/>
    <w:rsid w:val="007668BD"/>
    <w:rsid w:val="007671AC"/>
    <w:rsid w:val="00776154"/>
    <w:rsid w:val="00783979"/>
    <w:rsid w:val="007861D5"/>
    <w:rsid w:val="007A250C"/>
    <w:rsid w:val="007A4352"/>
    <w:rsid w:val="007A6122"/>
    <w:rsid w:val="007A6765"/>
    <w:rsid w:val="007B023D"/>
    <w:rsid w:val="007C2210"/>
    <w:rsid w:val="007C365E"/>
    <w:rsid w:val="007E577A"/>
    <w:rsid w:val="008012C6"/>
    <w:rsid w:val="008120F9"/>
    <w:rsid w:val="00816709"/>
    <w:rsid w:val="00822722"/>
    <w:rsid w:val="00822FC6"/>
    <w:rsid w:val="00824B71"/>
    <w:rsid w:val="0083209D"/>
    <w:rsid w:val="008360A2"/>
    <w:rsid w:val="00843597"/>
    <w:rsid w:val="00847CD8"/>
    <w:rsid w:val="00850987"/>
    <w:rsid w:val="0085476E"/>
    <w:rsid w:val="008626D6"/>
    <w:rsid w:val="008655BD"/>
    <w:rsid w:val="008741F1"/>
    <w:rsid w:val="00874AC1"/>
    <w:rsid w:val="00875B5A"/>
    <w:rsid w:val="00880AF9"/>
    <w:rsid w:val="008903B9"/>
    <w:rsid w:val="0089595B"/>
    <w:rsid w:val="008A3B54"/>
    <w:rsid w:val="008D1422"/>
    <w:rsid w:val="008D57B1"/>
    <w:rsid w:val="008D5D61"/>
    <w:rsid w:val="008D6E2B"/>
    <w:rsid w:val="008E4A90"/>
    <w:rsid w:val="008E5996"/>
    <w:rsid w:val="008E5C4C"/>
    <w:rsid w:val="00923A7C"/>
    <w:rsid w:val="0092733C"/>
    <w:rsid w:val="00943813"/>
    <w:rsid w:val="00943908"/>
    <w:rsid w:val="00944A08"/>
    <w:rsid w:val="009456FA"/>
    <w:rsid w:val="009653D4"/>
    <w:rsid w:val="00973D69"/>
    <w:rsid w:val="00980F4D"/>
    <w:rsid w:val="00992177"/>
    <w:rsid w:val="00992C9D"/>
    <w:rsid w:val="009A113E"/>
    <w:rsid w:val="009A3CFC"/>
    <w:rsid w:val="009C5423"/>
    <w:rsid w:val="009D0B8C"/>
    <w:rsid w:val="009D1375"/>
    <w:rsid w:val="009D625A"/>
    <w:rsid w:val="009D7455"/>
    <w:rsid w:val="009E3BCC"/>
    <w:rsid w:val="009E6D1D"/>
    <w:rsid w:val="009F2B01"/>
    <w:rsid w:val="00A04074"/>
    <w:rsid w:val="00A065B4"/>
    <w:rsid w:val="00A330C2"/>
    <w:rsid w:val="00A6333B"/>
    <w:rsid w:val="00A63BCF"/>
    <w:rsid w:val="00A91027"/>
    <w:rsid w:val="00AA08AE"/>
    <w:rsid w:val="00AA5D5B"/>
    <w:rsid w:val="00AB1669"/>
    <w:rsid w:val="00AB4893"/>
    <w:rsid w:val="00AB5DB3"/>
    <w:rsid w:val="00AB6007"/>
    <w:rsid w:val="00AC3FEF"/>
    <w:rsid w:val="00AD189E"/>
    <w:rsid w:val="00AD35BC"/>
    <w:rsid w:val="00AD391C"/>
    <w:rsid w:val="00AE1500"/>
    <w:rsid w:val="00AE181D"/>
    <w:rsid w:val="00AE34F4"/>
    <w:rsid w:val="00AE4C99"/>
    <w:rsid w:val="00AE6C8D"/>
    <w:rsid w:val="00AF516B"/>
    <w:rsid w:val="00AF6459"/>
    <w:rsid w:val="00AF6A93"/>
    <w:rsid w:val="00B01B4E"/>
    <w:rsid w:val="00B01F31"/>
    <w:rsid w:val="00B05773"/>
    <w:rsid w:val="00B0784B"/>
    <w:rsid w:val="00B11D16"/>
    <w:rsid w:val="00B21479"/>
    <w:rsid w:val="00B230A4"/>
    <w:rsid w:val="00B27D30"/>
    <w:rsid w:val="00B36960"/>
    <w:rsid w:val="00B4317F"/>
    <w:rsid w:val="00B44028"/>
    <w:rsid w:val="00B50137"/>
    <w:rsid w:val="00B5111D"/>
    <w:rsid w:val="00B64821"/>
    <w:rsid w:val="00B67B0F"/>
    <w:rsid w:val="00B705EB"/>
    <w:rsid w:val="00B8230E"/>
    <w:rsid w:val="00BA12AE"/>
    <w:rsid w:val="00BF7077"/>
    <w:rsid w:val="00C2497E"/>
    <w:rsid w:val="00C26595"/>
    <w:rsid w:val="00C36B10"/>
    <w:rsid w:val="00C4295C"/>
    <w:rsid w:val="00C5418E"/>
    <w:rsid w:val="00C64701"/>
    <w:rsid w:val="00C779B4"/>
    <w:rsid w:val="00C877F6"/>
    <w:rsid w:val="00C93CB2"/>
    <w:rsid w:val="00C94A83"/>
    <w:rsid w:val="00C975DF"/>
    <w:rsid w:val="00C9792E"/>
    <w:rsid w:val="00CA0CC9"/>
    <w:rsid w:val="00CA5CFB"/>
    <w:rsid w:val="00CB4251"/>
    <w:rsid w:val="00CC330E"/>
    <w:rsid w:val="00CC5F38"/>
    <w:rsid w:val="00CC63A3"/>
    <w:rsid w:val="00CC7522"/>
    <w:rsid w:val="00CD4BE9"/>
    <w:rsid w:val="00CF2D4D"/>
    <w:rsid w:val="00CF57A2"/>
    <w:rsid w:val="00CF6480"/>
    <w:rsid w:val="00CF7200"/>
    <w:rsid w:val="00D06EB7"/>
    <w:rsid w:val="00D261B6"/>
    <w:rsid w:val="00D3382D"/>
    <w:rsid w:val="00D35935"/>
    <w:rsid w:val="00D42C47"/>
    <w:rsid w:val="00D47A86"/>
    <w:rsid w:val="00D501D9"/>
    <w:rsid w:val="00D503A7"/>
    <w:rsid w:val="00D5108C"/>
    <w:rsid w:val="00D52078"/>
    <w:rsid w:val="00D548D9"/>
    <w:rsid w:val="00D561F5"/>
    <w:rsid w:val="00D632AD"/>
    <w:rsid w:val="00D63364"/>
    <w:rsid w:val="00D6741F"/>
    <w:rsid w:val="00D71419"/>
    <w:rsid w:val="00D7671F"/>
    <w:rsid w:val="00D86E05"/>
    <w:rsid w:val="00D95379"/>
    <w:rsid w:val="00DA22DE"/>
    <w:rsid w:val="00DA6825"/>
    <w:rsid w:val="00DB08DD"/>
    <w:rsid w:val="00DB175B"/>
    <w:rsid w:val="00DB20F5"/>
    <w:rsid w:val="00DB2ED8"/>
    <w:rsid w:val="00DB3E69"/>
    <w:rsid w:val="00DC2CE2"/>
    <w:rsid w:val="00DC5898"/>
    <w:rsid w:val="00DF2ABD"/>
    <w:rsid w:val="00DF4BF2"/>
    <w:rsid w:val="00DF7C85"/>
    <w:rsid w:val="00E111DF"/>
    <w:rsid w:val="00E218CB"/>
    <w:rsid w:val="00E21C9B"/>
    <w:rsid w:val="00E26AFB"/>
    <w:rsid w:val="00E3411D"/>
    <w:rsid w:val="00E34B63"/>
    <w:rsid w:val="00E36FCB"/>
    <w:rsid w:val="00E40539"/>
    <w:rsid w:val="00E41166"/>
    <w:rsid w:val="00E4184F"/>
    <w:rsid w:val="00E45568"/>
    <w:rsid w:val="00E53604"/>
    <w:rsid w:val="00E53B00"/>
    <w:rsid w:val="00E542DD"/>
    <w:rsid w:val="00E56AE7"/>
    <w:rsid w:val="00E649BA"/>
    <w:rsid w:val="00E70735"/>
    <w:rsid w:val="00E70C81"/>
    <w:rsid w:val="00E90A7F"/>
    <w:rsid w:val="00E97AD5"/>
    <w:rsid w:val="00EA2D40"/>
    <w:rsid w:val="00EB1F6C"/>
    <w:rsid w:val="00EB6FCF"/>
    <w:rsid w:val="00EC1F60"/>
    <w:rsid w:val="00EC3DA1"/>
    <w:rsid w:val="00EC7027"/>
    <w:rsid w:val="00ED1F46"/>
    <w:rsid w:val="00EE30D8"/>
    <w:rsid w:val="00EE5678"/>
    <w:rsid w:val="00EE6872"/>
    <w:rsid w:val="00F0001E"/>
    <w:rsid w:val="00F0041B"/>
    <w:rsid w:val="00F11903"/>
    <w:rsid w:val="00F36565"/>
    <w:rsid w:val="00F50538"/>
    <w:rsid w:val="00F60B31"/>
    <w:rsid w:val="00F63FA8"/>
    <w:rsid w:val="00F6784D"/>
    <w:rsid w:val="00F80CD2"/>
    <w:rsid w:val="00F90408"/>
    <w:rsid w:val="00F94226"/>
    <w:rsid w:val="00F96AC2"/>
    <w:rsid w:val="00FA6C9F"/>
    <w:rsid w:val="00FB1184"/>
    <w:rsid w:val="00FB389B"/>
    <w:rsid w:val="00FF48B2"/>
    <w:rsid w:val="00FF492B"/>
    <w:rsid w:val="00FF4F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03C616"/>
  <w15:docId w15:val="{9B6F5DC6-6478-4D7C-BEBD-2CE44165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top w:w="15" w:type="dxa"/>
        <w:left w:w="115" w:type="dxa"/>
        <w:bottom w:w="15" w:type="dxa"/>
        <w:right w:w="115" w:type="dxa"/>
      </w:tblCellMar>
    </w:tblPr>
  </w:style>
  <w:style w:type="table" w:customStyle="1" w:styleId="a4">
    <w:basedOn w:val="TableNormal4"/>
    <w:tblPr>
      <w:tblStyleRowBandSize w:val="1"/>
      <w:tblStyleColBandSize w:val="1"/>
      <w:tblCellMar>
        <w:top w:w="15" w:type="dxa"/>
        <w:left w:w="115" w:type="dxa"/>
        <w:bottom w:w="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top w:w="15" w:type="dxa"/>
        <w:left w:w="115" w:type="dxa"/>
        <w:bottom w:w="15" w:type="dxa"/>
        <w:right w:w="115" w:type="dxa"/>
      </w:tblCellMar>
    </w:tblPr>
  </w:style>
  <w:style w:type="table" w:customStyle="1" w:styleId="aa">
    <w:basedOn w:val="TableNormal3"/>
    <w:tblPr>
      <w:tblStyleRowBandSize w:val="1"/>
      <w:tblStyleColBandSize w:val="1"/>
      <w:tblCellMar>
        <w:top w:w="15" w:type="dxa"/>
        <w:left w:w="115" w:type="dxa"/>
        <w:bottom w:w="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08" w:type="dxa"/>
        <w:right w:w="108" w:type="dxa"/>
      </w:tblCellMar>
    </w:tblPr>
  </w:style>
  <w:style w:type="table" w:customStyle="1" w:styleId="af0">
    <w:basedOn w:val="TableNormal2"/>
    <w:tblPr>
      <w:tblStyleRowBandSize w:val="1"/>
      <w:tblStyleColBandSize w:val="1"/>
      <w:tblCellMar>
        <w:left w:w="108" w:type="dxa"/>
        <w:right w:w="108" w:type="dxa"/>
      </w:tblCellMar>
    </w:tblPr>
  </w:style>
  <w:style w:type="table" w:customStyle="1" w:styleId="af1">
    <w:basedOn w:val="TableNormal2"/>
    <w:tblPr>
      <w:tblStyleRowBandSize w:val="1"/>
      <w:tblStyleColBandSize w:val="1"/>
      <w:tblCellMar>
        <w:top w:w="15" w:type="dxa"/>
        <w:left w:w="115" w:type="dxa"/>
        <w:bottom w:w="15" w:type="dxa"/>
        <w:right w:w="115" w:type="dxa"/>
      </w:tblCellMar>
    </w:tblPr>
  </w:style>
  <w:style w:type="table" w:customStyle="1" w:styleId="af2">
    <w:basedOn w:val="TableNormal2"/>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1"/>
      </w:numPr>
      <w:contextualSpacing/>
    </w:p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top w:w="15" w:type="dxa"/>
        <w:left w:w="115" w:type="dxa"/>
        <w:bottom w:w="15" w:type="dxa"/>
        <w:right w:w="115" w:type="dxa"/>
      </w:tblCellMar>
    </w:tblPr>
  </w:style>
  <w:style w:type="table" w:customStyle="1" w:styleId="af5">
    <w:basedOn w:val="TableNormal1"/>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3"/>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 w:type="table" w:customStyle="1" w:styleId="11">
    <w:name w:val="11"/>
    <w:basedOn w:val="Tablanormal"/>
    <w:rsid w:val="0087332C"/>
    <w:rPr>
      <w:lang w:val="es-ES"/>
    </w:rPr>
    <w:tblPr>
      <w:tblStyleRowBandSize w:val="1"/>
      <w:tblStyleColBandSize w:val="1"/>
      <w:tblInd w:w="0" w:type="nil"/>
      <w:tblCellMar>
        <w:left w:w="115" w:type="dxa"/>
        <w:right w:w="115" w:type="dxa"/>
      </w:tblCellMar>
    </w:tblPr>
  </w:style>
  <w:style w:type="table" w:customStyle="1" w:styleId="10">
    <w:name w:val="10"/>
    <w:basedOn w:val="Tablanormal"/>
    <w:rsid w:val="0087332C"/>
    <w:rPr>
      <w:lang w:val="es-ES"/>
    </w:rPr>
    <w:tblPr>
      <w:tblStyleRowBandSize w:val="1"/>
      <w:tblStyleColBandSize w:val="1"/>
      <w:tblInd w:w="0" w:type="nil"/>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0"/>
    <w:tblPr>
      <w:tblStyleRowBandSize w:val="1"/>
      <w:tblStyleColBandSize w:val="1"/>
      <w:tblCellMar>
        <w:top w:w="15" w:type="dxa"/>
        <w:left w:w="115" w:type="dxa"/>
        <w:bottom w:w="15" w:type="dxa"/>
        <w:right w:w="115" w:type="dxa"/>
      </w:tblCellMar>
    </w:tblPr>
  </w:style>
  <w:style w:type="table" w:customStyle="1" w:styleId="af7">
    <w:basedOn w:val="TableNormal0"/>
    <w:tblPr>
      <w:tblStyleRowBandSize w:val="1"/>
      <w:tblStyleColBandSize w:val="1"/>
      <w:tblCellMar>
        <w:top w:w="15" w:type="dxa"/>
        <w:left w:w="115" w:type="dxa"/>
        <w:bottom w:w="15" w:type="dxa"/>
        <w:right w:w="115" w:type="dxa"/>
      </w:tblCellMar>
    </w:tblPr>
  </w:style>
  <w:style w:type="paragraph" w:styleId="Textoindependiente">
    <w:name w:val="Body Text"/>
    <w:basedOn w:val="Normal"/>
    <w:link w:val="TextoindependienteCar"/>
    <w:uiPriority w:val="99"/>
    <w:unhideWhenUsed/>
    <w:rsid w:val="00FB389B"/>
    <w:pPr>
      <w:spacing w:after="120"/>
    </w:pPr>
    <w:rPr>
      <w:lang w:val="es-ES" w:eastAsia="es-ES"/>
    </w:rPr>
  </w:style>
  <w:style w:type="character" w:customStyle="1" w:styleId="TextoindependienteCar">
    <w:name w:val="Texto independiente Car"/>
    <w:basedOn w:val="Fuentedeprrafopredeter"/>
    <w:link w:val="Textoindependiente"/>
    <w:uiPriority w:val="99"/>
    <w:rsid w:val="00FB389B"/>
    <w:rPr>
      <w:lang w:val="es-ES" w:eastAsia="es-ES"/>
    </w:rPr>
  </w:style>
  <w:style w:type="paragraph" w:customStyle="1" w:styleId="INFOEM">
    <w:name w:val="INFOEM"/>
    <w:basedOn w:val="Normal"/>
    <w:qFormat/>
    <w:rsid w:val="00D5108C"/>
    <w:pPr>
      <w:spacing w:before="240" w:after="160" w:line="360" w:lineRule="auto"/>
      <w:ind w:left="851" w:right="851"/>
      <w:jc w:val="both"/>
    </w:pPr>
    <w:rPr>
      <w:rFonts w:ascii="Palatino Linotype" w:eastAsiaTheme="minorHAnsi" w:hAnsi="Palatino Linotype" w:cstheme="minorBidi"/>
      <w:i/>
      <w:sz w:val="22"/>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859">
      <w:bodyDiv w:val="1"/>
      <w:marLeft w:val="0"/>
      <w:marRight w:val="0"/>
      <w:marTop w:val="0"/>
      <w:marBottom w:val="0"/>
      <w:divBdr>
        <w:top w:val="none" w:sz="0" w:space="0" w:color="auto"/>
        <w:left w:val="none" w:sz="0" w:space="0" w:color="auto"/>
        <w:bottom w:val="none" w:sz="0" w:space="0" w:color="auto"/>
        <w:right w:val="none" w:sz="0" w:space="0" w:color="auto"/>
      </w:divBdr>
    </w:div>
    <w:div w:id="65151976">
      <w:bodyDiv w:val="1"/>
      <w:marLeft w:val="0"/>
      <w:marRight w:val="0"/>
      <w:marTop w:val="0"/>
      <w:marBottom w:val="0"/>
      <w:divBdr>
        <w:top w:val="none" w:sz="0" w:space="0" w:color="auto"/>
        <w:left w:val="none" w:sz="0" w:space="0" w:color="auto"/>
        <w:bottom w:val="none" w:sz="0" w:space="0" w:color="auto"/>
        <w:right w:val="none" w:sz="0" w:space="0" w:color="auto"/>
      </w:divBdr>
    </w:div>
    <w:div w:id="85078891">
      <w:bodyDiv w:val="1"/>
      <w:marLeft w:val="0"/>
      <w:marRight w:val="0"/>
      <w:marTop w:val="0"/>
      <w:marBottom w:val="0"/>
      <w:divBdr>
        <w:top w:val="none" w:sz="0" w:space="0" w:color="auto"/>
        <w:left w:val="none" w:sz="0" w:space="0" w:color="auto"/>
        <w:bottom w:val="none" w:sz="0" w:space="0" w:color="auto"/>
        <w:right w:val="none" w:sz="0" w:space="0" w:color="auto"/>
      </w:divBdr>
    </w:div>
    <w:div w:id="155191324">
      <w:bodyDiv w:val="1"/>
      <w:marLeft w:val="0"/>
      <w:marRight w:val="0"/>
      <w:marTop w:val="0"/>
      <w:marBottom w:val="0"/>
      <w:divBdr>
        <w:top w:val="none" w:sz="0" w:space="0" w:color="auto"/>
        <w:left w:val="none" w:sz="0" w:space="0" w:color="auto"/>
        <w:bottom w:val="none" w:sz="0" w:space="0" w:color="auto"/>
        <w:right w:val="none" w:sz="0" w:space="0" w:color="auto"/>
      </w:divBdr>
    </w:div>
    <w:div w:id="177890315">
      <w:bodyDiv w:val="1"/>
      <w:marLeft w:val="0"/>
      <w:marRight w:val="0"/>
      <w:marTop w:val="0"/>
      <w:marBottom w:val="0"/>
      <w:divBdr>
        <w:top w:val="none" w:sz="0" w:space="0" w:color="auto"/>
        <w:left w:val="none" w:sz="0" w:space="0" w:color="auto"/>
        <w:bottom w:val="none" w:sz="0" w:space="0" w:color="auto"/>
        <w:right w:val="none" w:sz="0" w:space="0" w:color="auto"/>
      </w:divBdr>
    </w:div>
    <w:div w:id="202131205">
      <w:bodyDiv w:val="1"/>
      <w:marLeft w:val="0"/>
      <w:marRight w:val="0"/>
      <w:marTop w:val="0"/>
      <w:marBottom w:val="0"/>
      <w:divBdr>
        <w:top w:val="none" w:sz="0" w:space="0" w:color="auto"/>
        <w:left w:val="none" w:sz="0" w:space="0" w:color="auto"/>
        <w:bottom w:val="none" w:sz="0" w:space="0" w:color="auto"/>
        <w:right w:val="none" w:sz="0" w:space="0" w:color="auto"/>
      </w:divBdr>
    </w:div>
    <w:div w:id="325672825">
      <w:bodyDiv w:val="1"/>
      <w:marLeft w:val="0"/>
      <w:marRight w:val="0"/>
      <w:marTop w:val="0"/>
      <w:marBottom w:val="0"/>
      <w:divBdr>
        <w:top w:val="none" w:sz="0" w:space="0" w:color="auto"/>
        <w:left w:val="none" w:sz="0" w:space="0" w:color="auto"/>
        <w:bottom w:val="none" w:sz="0" w:space="0" w:color="auto"/>
        <w:right w:val="none" w:sz="0" w:space="0" w:color="auto"/>
      </w:divBdr>
    </w:div>
    <w:div w:id="349335976">
      <w:bodyDiv w:val="1"/>
      <w:marLeft w:val="0"/>
      <w:marRight w:val="0"/>
      <w:marTop w:val="0"/>
      <w:marBottom w:val="0"/>
      <w:divBdr>
        <w:top w:val="none" w:sz="0" w:space="0" w:color="auto"/>
        <w:left w:val="none" w:sz="0" w:space="0" w:color="auto"/>
        <w:bottom w:val="none" w:sz="0" w:space="0" w:color="auto"/>
        <w:right w:val="none" w:sz="0" w:space="0" w:color="auto"/>
      </w:divBdr>
    </w:div>
    <w:div w:id="372192082">
      <w:bodyDiv w:val="1"/>
      <w:marLeft w:val="0"/>
      <w:marRight w:val="0"/>
      <w:marTop w:val="0"/>
      <w:marBottom w:val="0"/>
      <w:divBdr>
        <w:top w:val="none" w:sz="0" w:space="0" w:color="auto"/>
        <w:left w:val="none" w:sz="0" w:space="0" w:color="auto"/>
        <w:bottom w:val="none" w:sz="0" w:space="0" w:color="auto"/>
        <w:right w:val="none" w:sz="0" w:space="0" w:color="auto"/>
      </w:divBdr>
    </w:div>
    <w:div w:id="387192999">
      <w:bodyDiv w:val="1"/>
      <w:marLeft w:val="0"/>
      <w:marRight w:val="0"/>
      <w:marTop w:val="0"/>
      <w:marBottom w:val="0"/>
      <w:divBdr>
        <w:top w:val="none" w:sz="0" w:space="0" w:color="auto"/>
        <w:left w:val="none" w:sz="0" w:space="0" w:color="auto"/>
        <w:bottom w:val="none" w:sz="0" w:space="0" w:color="auto"/>
        <w:right w:val="none" w:sz="0" w:space="0" w:color="auto"/>
      </w:divBdr>
    </w:div>
    <w:div w:id="423452016">
      <w:bodyDiv w:val="1"/>
      <w:marLeft w:val="0"/>
      <w:marRight w:val="0"/>
      <w:marTop w:val="0"/>
      <w:marBottom w:val="0"/>
      <w:divBdr>
        <w:top w:val="none" w:sz="0" w:space="0" w:color="auto"/>
        <w:left w:val="none" w:sz="0" w:space="0" w:color="auto"/>
        <w:bottom w:val="none" w:sz="0" w:space="0" w:color="auto"/>
        <w:right w:val="none" w:sz="0" w:space="0" w:color="auto"/>
      </w:divBdr>
    </w:div>
    <w:div w:id="424571006">
      <w:bodyDiv w:val="1"/>
      <w:marLeft w:val="0"/>
      <w:marRight w:val="0"/>
      <w:marTop w:val="0"/>
      <w:marBottom w:val="0"/>
      <w:divBdr>
        <w:top w:val="none" w:sz="0" w:space="0" w:color="auto"/>
        <w:left w:val="none" w:sz="0" w:space="0" w:color="auto"/>
        <w:bottom w:val="none" w:sz="0" w:space="0" w:color="auto"/>
        <w:right w:val="none" w:sz="0" w:space="0" w:color="auto"/>
      </w:divBdr>
    </w:div>
    <w:div w:id="435564847">
      <w:bodyDiv w:val="1"/>
      <w:marLeft w:val="0"/>
      <w:marRight w:val="0"/>
      <w:marTop w:val="0"/>
      <w:marBottom w:val="0"/>
      <w:divBdr>
        <w:top w:val="none" w:sz="0" w:space="0" w:color="auto"/>
        <w:left w:val="none" w:sz="0" w:space="0" w:color="auto"/>
        <w:bottom w:val="none" w:sz="0" w:space="0" w:color="auto"/>
        <w:right w:val="none" w:sz="0" w:space="0" w:color="auto"/>
      </w:divBdr>
    </w:div>
    <w:div w:id="453137758">
      <w:bodyDiv w:val="1"/>
      <w:marLeft w:val="0"/>
      <w:marRight w:val="0"/>
      <w:marTop w:val="0"/>
      <w:marBottom w:val="0"/>
      <w:divBdr>
        <w:top w:val="none" w:sz="0" w:space="0" w:color="auto"/>
        <w:left w:val="none" w:sz="0" w:space="0" w:color="auto"/>
        <w:bottom w:val="none" w:sz="0" w:space="0" w:color="auto"/>
        <w:right w:val="none" w:sz="0" w:space="0" w:color="auto"/>
      </w:divBdr>
    </w:div>
    <w:div w:id="475949336">
      <w:bodyDiv w:val="1"/>
      <w:marLeft w:val="0"/>
      <w:marRight w:val="0"/>
      <w:marTop w:val="0"/>
      <w:marBottom w:val="0"/>
      <w:divBdr>
        <w:top w:val="none" w:sz="0" w:space="0" w:color="auto"/>
        <w:left w:val="none" w:sz="0" w:space="0" w:color="auto"/>
        <w:bottom w:val="none" w:sz="0" w:space="0" w:color="auto"/>
        <w:right w:val="none" w:sz="0" w:space="0" w:color="auto"/>
      </w:divBdr>
    </w:div>
    <w:div w:id="493766585">
      <w:bodyDiv w:val="1"/>
      <w:marLeft w:val="0"/>
      <w:marRight w:val="0"/>
      <w:marTop w:val="0"/>
      <w:marBottom w:val="0"/>
      <w:divBdr>
        <w:top w:val="none" w:sz="0" w:space="0" w:color="auto"/>
        <w:left w:val="none" w:sz="0" w:space="0" w:color="auto"/>
        <w:bottom w:val="none" w:sz="0" w:space="0" w:color="auto"/>
        <w:right w:val="none" w:sz="0" w:space="0" w:color="auto"/>
      </w:divBdr>
    </w:div>
    <w:div w:id="502672679">
      <w:bodyDiv w:val="1"/>
      <w:marLeft w:val="0"/>
      <w:marRight w:val="0"/>
      <w:marTop w:val="0"/>
      <w:marBottom w:val="0"/>
      <w:divBdr>
        <w:top w:val="none" w:sz="0" w:space="0" w:color="auto"/>
        <w:left w:val="none" w:sz="0" w:space="0" w:color="auto"/>
        <w:bottom w:val="none" w:sz="0" w:space="0" w:color="auto"/>
        <w:right w:val="none" w:sz="0" w:space="0" w:color="auto"/>
      </w:divBdr>
    </w:div>
    <w:div w:id="536428436">
      <w:bodyDiv w:val="1"/>
      <w:marLeft w:val="0"/>
      <w:marRight w:val="0"/>
      <w:marTop w:val="0"/>
      <w:marBottom w:val="0"/>
      <w:divBdr>
        <w:top w:val="none" w:sz="0" w:space="0" w:color="auto"/>
        <w:left w:val="none" w:sz="0" w:space="0" w:color="auto"/>
        <w:bottom w:val="none" w:sz="0" w:space="0" w:color="auto"/>
        <w:right w:val="none" w:sz="0" w:space="0" w:color="auto"/>
      </w:divBdr>
    </w:div>
    <w:div w:id="544413487">
      <w:bodyDiv w:val="1"/>
      <w:marLeft w:val="0"/>
      <w:marRight w:val="0"/>
      <w:marTop w:val="0"/>
      <w:marBottom w:val="0"/>
      <w:divBdr>
        <w:top w:val="none" w:sz="0" w:space="0" w:color="auto"/>
        <w:left w:val="none" w:sz="0" w:space="0" w:color="auto"/>
        <w:bottom w:val="none" w:sz="0" w:space="0" w:color="auto"/>
        <w:right w:val="none" w:sz="0" w:space="0" w:color="auto"/>
      </w:divBdr>
    </w:div>
    <w:div w:id="652173721">
      <w:bodyDiv w:val="1"/>
      <w:marLeft w:val="0"/>
      <w:marRight w:val="0"/>
      <w:marTop w:val="0"/>
      <w:marBottom w:val="0"/>
      <w:divBdr>
        <w:top w:val="none" w:sz="0" w:space="0" w:color="auto"/>
        <w:left w:val="none" w:sz="0" w:space="0" w:color="auto"/>
        <w:bottom w:val="none" w:sz="0" w:space="0" w:color="auto"/>
        <w:right w:val="none" w:sz="0" w:space="0" w:color="auto"/>
      </w:divBdr>
    </w:div>
    <w:div w:id="690185658">
      <w:bodyDiv w:val="1"/>
      <w:marLeft w:val="0"/>
      <w:marRight w:val="0"/>
      <w:marTop w:val="0"/>
      <w:marBottom w:val="0"/>
      <w:divBdr>
        <w:top w:val="none" w:sz="0" w:space="0" w:color="auto"/>
        <w:left w:val="none" w:sz="0" w:space="0" w:color="auto"/>
        <w:bottom w:val="none" w:sz="0" w:space="0" w:color="auto"/>
        <w:right w:val="none" w:sz="0" w:space="0" w:color="auto"/>
      </w:divBdr>
    </w:div>
    <w:div w:id="718289741">
      <w:bodyDiv w:val="1"/>
      <w:marLeft w:val="0"/>
      <w:marRight w:val="0"/>
      <w:marTop w:val="0"/>
      <w:marBottom w:val="0"/>
      <w:divBdr>
        <w:top w:val="none" w:sz="0" w:space="0" w:color="auto"/>
        <w:left w:val="none" w:sz="0" w:space="0" w:color="auto"/>
        <w:bottom w:val="none" w:sz="0" w:space="0" w:color="auto"/>
        <w:right w:val="none" w:sz="0" w:space="0" w:color="auto"/>
      </w:divBdr>
    </w:div>
    <w:div w:id="787360933">
      <w:bodyDiv w:val="1"/>
      <w:marLeft w:val="0"/>
      <w:marRight w:val="0"/>
      <w:marTop w:val="0"/>
      <w:marBottom w:val="0"/>
      <w:divBdr>
        <w:top w:val="none" w:sz="0" w:space="0" w:color="auto"/>
        <w:left w:val="none" w:sz="0" w:space="0" w:color="auto"/>
        <w:bottom w:val="none" w:sz="0" w:space="0" w:color="auto"/>
        <w:right w:val="none" w:sz="0" w:space="0" w:color="auto"/>
      </w:divBdr>
    </w:div>
    <w:div w:id="791166650">
      <w:bodyDiv w:val="1"/>
      <w:marLeft w:val="0"/>
      <w:marRight w:val="0"/>
      <w:marTop w:val="0"/>
      <w:marBottom w:val="0"/>
      <w:divBdr>
        <w:top w:val="none" w:sz="0" w:space="0" w:color="auto"/>
        <w:left w:val="none" w:sz="0" w:space="0" w:color="auto"/>
        <w:bottom w:val="none" w:sz="0" w:space="0" w:color="auto"/>
        <w:right w:val="none" w:sz="0" w:space="0" w:color="auto"/>
      </w:divBdr>
    </w:div>
    <w:div w:id="873923322">
      <w:bodyDiv w:val="1"/>
      <w:marLeft w:val="0"/>
      <w:marRight w:val="0"/>
      <w:marTop w:val="0"/>
      <w:marBottom w:val="0"/>
      <w:divBdr>
        <w:top w:val="none" w:sz="0" w:space="0" w:color="auto"/>
        <w:left w:val="none" w:sz="0" w:space="0" w:color="auto"/>
        <w:bottom w:val="none" w:sz="0" w:space="0" w:color="auto"/>
        <w:right w:val="none" w:sz="0" w:space="0" w:color="auto"/>
      </w:divBdr>
    </w:div>
    <w:div w:id="920993389">
      <w:bodyDiv w:val="1"/>
      <w:marLeft w:val="0"/>
      <w:marRight w:val="0"/>
      <w:marTop w:val="0"/>
      <w:marBottom w:val="0"/>
      <w:divBdr>
        <w:top w:val="none" w:sz="0" w:space="0" w:color="auto"/>
        <w:left w:val="none" w:sz="0" w:space="0" w:color="auto"/>
        <w:bottom w:val="none" w:sz="0" w:space="0" w:color="auto"/>
        <w:right w:val="none" w:sz="0" w:space="0" w:color="auto"/>
      </w:divBdr>
    </w:div>
    <w:div w:id="942223247">
      <w:bodyDiv w:val="1"/>
      <w:marLeft w:val="0"/>
      <w:marRight w:val="0"/>
      <w:marTop w:val="0"/>
      <w:marBottom w:val="0"/>
      <w:divBdr>
        <w:top w:val="none" w:sz="0" w:space="0" w:color="auto"/>
        <w:left w:val="none" w:sz="0" w:space="0" w:color="auto"/>
        <w:bottom w:val="none" w:sz="0" w:space="0" w:color="auto"/>
        <w:right w:val="none" w:sz="0" w:space="0" w:color="auto"/>
      </w:divBdr>
    </w:div>
    <w:div w:id="1031340583">
      <w:bodyDiv w:val="1"/>
      <w:marLeft w:val="0"/>
      <w:marRight w:val="0"/>
      <w:marTop w:val="0"/>
      <w:marBottom w:val="0"/>
      <w:divBdr>
        <w:top w:val="none" w:sz="0" w:space="0" w:color="auto"/>
        <w:left w:val="none" w:sz="0" w:space="0" w:color="auto"/>
        <w:bottom w:val="none" w:sz="0" w:space="0" w:color="auto"/>
        <w:right w:val="none" w:sz="0" w:space="0" w:color="auto"/>
      </w:divBdr>
    </w:div>
    <w:div w:id="1051925407">
      <w:bodyDiv w:val="1"/>
      <w:marLeft w:val="0"/>
      <w:marRight w:val="0"/>
      <w:marTop w:val="0"/>
      <w:marBottom w:val="0"/>
      <w:divBdr>
        <w:top w:val="none" w:sz="0" w:space="0" w:color="auto"/>
        <w:left w:val="none" w:sz="0" w:space="0" w:color="auto"/>
        <w:bottom w:val="none" w:sz="0" w:space="0" w:color="auto"/>
        <w:right w:val="none" w:sz="0" w:space="0" w:color="auto"/>
      </w:divBdr>
    </w:div>
    <w:div w:id="1055548714">
      <w:bodyDiv w:val="1"/>
      <w:marLeft w:val="0"/>
      <w:marRight w:val="0"/>
      <w:marTop w:val="0"/>
      <w:marBottom w:val="0"/>
      <w:divBdr>
        <w:top w:val="none" w:sz="0" w:space="0" w:color="auto"/>
        <w:left w:val="none" w:sz="0" w:space="0" w:color="auto"/>
        <w:bottom w:val="none" w:sz="0" w:space="0" w:color="auto"/>
        <w:right w:val="none" w:sz="0" w:space="0" w:color="auto"/>
      </w:divBdr>
    </w:div>
    <w:div w:id="1057316751">
      <w:bodyDiv w:val="1"/>
      <w:marLeft w:val="0"/>
      <w:marRight w:val="0"/>
      <w:marTop w:val="0"/>
      <w:marBottom w:val="0"/>
      <w:divBdr>
        <w:top w:val="none" w:sz="0" w:space="0" w:color="auto"/>
        <w:left w:val="none" w:sz="0" w:space="0" w:color="auto"/>
        <w:bottom w:val="none" w:sz="0" w:space="0" w:color="auto"/>
        <w:right w:val="none" w:sz="0" w:space="0" w:color="auto"/>
      </w:divBdr>
    </w:div>
    <w:div w:id="1073239938">
      <w:bodyDiv w:val="1"/>
      <w:marLeft w:val="0"/>
      <w:marRight w:val="0"/>
      <w:marTop w:val="0"/>
      <w:marBottom w:val="0"/>
      <w:divBdr>
        <w:top w:val="none" w:sz="0" w:space="0" w:color="auto"/>
        <w:left w:val="none" w:sz="0" w:space="0" w:color="auto"/>
        <w:bottom w:val="none" w:sz="0" w:space="0" w:color="auto"/>
        <w:right w:val="none" w:sz="0" w:space="0" w:color="auto"/>
      </w:divBdr>
    </w:div>
    <w:div w:id="1119957017">
      <w:bodyDiv w:val="1"/>
      <w:marLeft w:val="0"/>
      <w:marRight w:val="0"/>
      <w:marTop w:val="0"/>
      <w:marBottom w:val="0"/>
      <w:divBdr>
        <w:top w:val="none" w:sz="0" w:space="0" w:color="auto"/>
        <w:left w:val="none" w:sz="0" w:space="0" w:color="auto"/>
        <w:bottom w:val="none" w:sz="0" w:space="0" w:color="auto"/>
        <w:right w:val="none" w:sz="0" w:space="0" w:color="auto"/>
      </w:divBdr>
    </w:div>
    <w:div w:id="1159809554">
      <w:bodyDiv w:val="1"/>
      <w:marLeft w:val="0"/>
      <w:marRight w:val="0"/>
      <w:marTop w:val="0"/>
      <w:marBottom w:val="0"/>
      <w:divBdr>
        <w:top w:val="none" w:sz="0" w:space="0" w:color="auto"/>
        <w:left w:val="none" w:sz="0" w:space="0" w:color="auto"/>
        <w:bottom w:val="none" w:sz="0" w:space="0" w:color="auto"/>
        <w:right w:val="none" w:sz="0" w:space="0" w:color="auto"/>
      </w:divBdr>
    </w:div>
    <w:div w:id="1268462703">
      <w:bodyDiv w:val="1"/>
      <w:marLeft w:val="0"/>
      <w:marRight w:val="0"/>
      <w:marTop w:val="0"/>
      <w:marBottom w:val="0"/>
      <w:divBdr>
        <w:top w:val="none" w:sz="0" w:space="0" w:color="auto"/>
        <w:left w:val="none" w:sz="0" w:space="0" w:color="auto"/>
        <w:bottom w:val="none" w:sz="0" w:space="0" w:color="auto"/>
        <w:right w:val="none" w:sz="0" w:space="0" w:color="auto"/>
      </w:divBdr>
    </w:div>
    <w:div w:id="1271425973">
      <w:bodyDiv w:val="1"/>
      <w:marLeft w:val="0"/>
      <w:marRight w:val="0"/>
      <w:marTop w:val="0"/>
      <w:marBottom w:val="0"/>
      <w:divBdr>
        <w:top w:val="none" w:sz="0" w:space="0" w:color="auto"/>
        <w:left w:val="none" w:sz="0" w:space="0" w:color="auto"/>
        <w:bottom w:val="none" w:sz="0" w:space="0" w:color="auto"/>
        <w:right w:val="none" w:sz="0" w:space="0" w:color="auto"/>
      </w:divBdr>
    </w:div>
    <w:div w:id="1294407462">
      <w:bodyDiv w:val="1"/>
      <w:marLeft w:val="0"/>
      <w:marRight w:val="0"/>
      <w:marTop w:val="0"/>
      <w:marBottom w:val="0"/>
      <w:divBdr>
        <w:top w:val="none" w:sz="0" w:space="0" w:color="auto"/>
        <w:left w:val="none" w:sz="0" w:space="0" w:color="auto"/>
        <w:bottom w:val="none" w:sz="0" w:space="0" w:color="auto"/>
        <w:right w:val="none" w:sz="0" w:space="0" w:color="auto"/>
      </w:divBdr>
    </w:div>
    <w:div w:id="1338843004">
      <w:bodyDiv w:val="1"/>
      <w:marLeft w:val="0"/>
      <w:marRight w:val="0"/>
      <w:marTop w:val="0"/>
      <w:marBottom w:val="0"/>
      <w:divBdr>
        <w:top w:val="none" w:sz="0" w:space="0" w:color="auto"/>
        <w:left w:val="none" w:sz="0" w:space="0" w:color="auto"/>
        <w:bottom w:val="none" w:sz="0" w:space="0" w:color="auto"/>
        <w:right w:val="none" w:sz="0" w:space="0" w:color="auto"/>
      </w:divBdr>
    </w:div>
    <w:div w:id="1416324621">
      <w:bodyDiv w:val="1"/>
      <w:marLeft w:val="0"/>
      <w:marRight w:val="0"/>
      <w:marTop w:val="0"/>
      <w:marBottom w:val="0"/>
      <w:divBdr>
        <w:top w:val="none" w:sz="0" w:space="0" w:color="auto"/>
        <w:left w:val="none" w:sz="0" w:space="0" w:color="auto"/>
        <w:bottom w:val="none" w:sz="0" w:space="0" w:color="auto"/>
        <w:right w:val="none" w:sz="0" w:space="0" w:color="auto"/>
      </w:divBdr>
    </w:div>
    <w:div w:id="1461847975">
      <w:bodyDiv w:val="1"/>
      <w:marLeft w:val="0"/>
      <w:marRight w:val="0"/>
      <w:marTop w:val="0"/>
      <w:marBottom w:val="0"/>
      <w:divBdr>
        <w:top w:val="none" w:sz="0" w:space="0" w:color="auto"/>
        <w:left w:val="none" w:sz="0" w:space="0" w:color="auto"/>
        <w:bottom w:val="none" w:sz="0" w:space="0" w:color="auto"/>
        <w:right w:val="none" w:sz="0" w:space="0" w:color="auto"/>
      </w:divBdr>
    </w:div>
    <w:div w:id="1473593885">
      <w:bodyDiv w:val="1"/>
      <w:marLeft w:val="0"/>
      <w:marRight w:val="0"/>
      <w:marTop w:val="0"/>
      <w:marBottom w:val="0"/>
      <w:divBdr>
        <w:top w:val="none" w:sz="0" w:space="0" w:color="auto"/>
        <w:left w:val="none" w:sz="0" w:space="0" w:color="auto"/>
        <w:bottom w:val="none" w:sz="0" w:space="0" w:color="auto"/>
        <w:right w:val="none" w:sz="0" w:space="0" w:color="auto"/>
      </w:divBdr>
    </w:div>
    <w:div w:id="1513911030">
      <w:bodyDiv w:val="1"/>
      <w:marLeft w:val="0"/>
      <w:marRight w:val="0"/>
      <w:marTop w:val="0"/>
      <w:marBottom w:val="0"/>
      <w:divBdr>
        <w:top w:val="none" w:sz="0" w:space="0" w:color="auto"/>
        <w:left w:val="none" w:sz="0" w:space="0" w:color="auto"/>
        <w:bottom w:val="none" w:sz="0" w:space="0" w:color="auto"/>
        <w:right w:val="none" w:sz="0" w:space="0" w:color="auto"/>
      </w:divBdr>
    </w:div>
    <w:div w:id="1597059607">
      <w:bodyDiv w:val="1"/>
      <w:marLeft w:val="0"/>
      <w:marRight w:val="0"/>
      <w:marTop w:val="0"/>
      <w:marBottom w:val="0"/>
      <w:divBdr>
        <w:top w:val="none" w:sz="0" w:space="0" w:color="auto"/>
        <w:left w:val="none" w:sz="0" w:space="0" w:color="auto"/>
        <w:bottom w:val="none" w:sz="0" w:space="0" w:color="auto"/>
        <w:right w:val="none" w:sz="0" w:space="0" w:color="auto"/>
      </w:divBdr>
    </w:div>
    <w:div w:id="1600870388">
      <w:bodyDiv w:val="1"/>
      <w:marLeft w:val="0"/>
      <w:marRight w:val="0"/>
      <w:marTop w:val="0"/>
      <w:marBottom w:val="0"/>
      <w:divBdr>
        <w:top w:val="none" w:sz="0" w:space="0" w:color="auto"/>
        <w:left w:val="none" w:sz="0" w:space="0" w:color="auto"/>
        <w:bottom w:val="none" w:sz="0" w:space="0" w:color="auto"/>
        <w:right w:val="none" w:sz="0" w:space="0" w:color="auto"/>
      </w:divBdr>
    </w:div>
    <w:div w:id="1757701172">
      <w:bodyDiv w:val="1"/>
      <w:marLeft w:val="0"/>
      <w:marRight w:val="0"/>
      <w:marTop w:val="0"/>
      <w:marBottom w:val="0"/>
      <w:divBdr>
        <w:top w:val="none" w:sz="0" w:space="0" w:color="auto"/>
        <w:left w:val="none" w:sz="0" w:space="0" w:color="auto"/>
        <w:bottom w:val="none" w:sz="0" w:space="0" w:color="auto"/>
        <w:right w:val="none" w:sz="0" w:space="0" w:color="auto"/>
      </w:divBdr>
    </w:div>
    <w:div w:id="1832330758">
      <w:bodyDiv w:val="1"/>
      <w:marLeft w:val="0"/>
      <w:marRight w:val="0"/>
      <w:marTop w:val="0"/>
      <w:marBottom w:val="0"/>
      <w:divBdr>
        <w:top w:val="none" w:sz="0" w:space="0" w:color="auto"/>
        <w:left w:val="none" w:sz="0" w:space="0" w:color="auto"/>
        <w:bottom w:val="none" w:sz="0" w:space="0" w:color="auto"/>
        <w:right w:val="none" w:sz="0" w:space="0" w:color="auto"/>
      </w:divBdr>
    </w:div>
    <w:div w:id="1925145090">
      <w:bodyDiv w:val="1"/>
      <w:marLeft w:val="0"/>
      <w:marRight w:val="0"/>
      <w:marTop w:val="0"/>
      <w:marBottom w:val="0"/>
      <w:divBdr>
        <w:top w:val="none" w:sz="0" w:space="0" w:color="auto"/>
        <w:left w:val="none" w:sz="0" w:space="0" w:color="auto"/>
        <w:bottom w:val="none" w:sz="0" w:space="0" w:color="auto"/>
        <w:right w:val="none" w:sz="0" w:space="0" w:color="auto"/>
      </w:divBdr>
    </w:div>
    <w:div w:id="1947302258">
      <w:bodyDiv w:val="1"/>
      <w:marLeft w:val="0"/>
      <w:marRight w:val="0"/>
      <w:marTop w:val="0"/>
      <w:marBottom w:val="0"/>
      <w:divBdr>
        <w:top w:val="none" w:sz="0" w:space="0" w:color="auto"/>
        <w:left w:val="none" w:sz="0" w:space="0" w:color="auto"/>
        <w:bottom w:val="none" w:sz="0" w:space="0" w:color="auto"/>
        <w:right w:val="none" w:sz="0" w:space="0" w:color="auto"/>
      </w:divBdr>
    </w:div>
    <w:div w:id="1957441510">
      <w:bodyDiv w:val="1"/>
      <w:marLeft w:val="0"/>
      <w:marRight w:val="0"/>
      <w:marTop w:val="0"/>
      <w:marBottom w:val="0"/>
      <w:divBdr>
        <w:top w:val="none" w:sz="0" w:space="0" w:color="auto"/>
        <w:left w:val="none" w:sz="0" w:space="0" w:color="auto"/>
        <w:bottom w:val="none" w:sz="0" w:space="0" w:color="auto"/>
        <w:right w:val="none" w:sz="0" w:space="0" w:color="auto"/>
      </w:divBdr>
    </w:div>
    <w:div w:id="1968580742">
      <w:bodyDiv w:val="1"/>
      <w:marLeft w:val="0"/>
      <w:marRight w:val="0"/>
      <w:marTop w:val="0"/>
      <w:marBottom w:val="0"/>
      <w:divBdr>
        <w:top w:val="none" w:sz="0" w:space="0" w:color="auto"/>
        <w:left w:val="none" w:sz="0" w:space="0" w:color="auto"/>
        <w:bottom w:val="none" w:sz="0" w:space="0" w:color="auto"/>
        <w:right w:val="none" w:sz="0" w:space="0" w:color="auto"/>
      </w:divBdr>
    </w:div>
    <w:div w:id="2013333216">
      <w:bodyDiv w:val="1"/>
      <w:marLeft w:val="0"/>
      <w:marRight w:val="0"/>
      <w:marTop w:val="0"/>
      <w:marBottom w:val="0"/>
      <w:divBdr>
        <w:top w:val="none" w:sz="0" w:space="0" w:color="auto"/>
        <w:left w:val="none" w:sz="0" w:space="0" w:color="auto"/>
        <w:bottom w:val="none" w:sz="0" w:space="0" w:color="auto"/>
        <w:right w:val="none" w:sz="0" w:space="0" w:color="auto"/>
      </w:divBdr>
    </w:div>
    <w:div w:id="2029284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BLDjWTp6p2cViPwAICSzCfqg==">CgMxLjAyCWguM3pueXNoNzIOaC55aGJmdjc1Njc2bXQyDmguajNwcHl4d2xiMXMyMghoLnR5amN3dDINaC5qbDBkbGFzb3Q0ZjgAciExT2VTcXNycWJ5dV9lUFpCNllQZmpuS1pnTFpXX0ZnbnM=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FBA9D3-AD1A-4449-AF22-C43D81B7A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5628</Words>
  <Characters>30959</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cp:lastPrinted>2026-02-27T18:18:00Z</cp:lastPrinted>
  <dcterms:created xsi:type="dcterms:W3CDTF">2026-04-06T23:06:00Z</dcterms:created>
  <dcterms:modified xsi:type="dcterms:W3CDTF">2026-04-06T23:06:00Z</dcterms:modified>
</cp:coreProperties>
</file>