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171B9" w14:textId="57E6B8C7" w:rsidR="00841865" w:rsidRPr="00B356D9" w:rsidRDefault="00841865" w:rsidP="00B356D9">
      <w:pPr>
        <w:tabs>
          <w:tab w:val="left" w:pos="0"/>
        </w:tabs>
        <w:spacing w:line="360" w:lineRule="auto"/>
        <w:jc w:val="both"/>
        <w:rPr>
          <w:rFonts w:ascii="Palatino Linotype" w:hAnsi="Palatino Linotype"/>
        </w:rPr>
      </w:pPr>
      <w:bookmarkStart w:id="0" w:name="_GoBack"/>
      <w:bookmarkEnd w:id="0"/>
      <w:r w:rsidRPr="00B356D9">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del </w:t>
      </w:r>
      <w:r w:rsidR="00CC1195" w:rsidRPr="00B356D9">
        <w:rPr>
          <w:rFonts w:ascii="Palatino Linotype" w:hAnsi="Palatino Linotype"/>
          <w:b/>
        </w:rPr>
        <w:t xml:space="preserve">veinte </w:t>
      </w:r>
      <w:r w:rsidR="003925F1" w:rsidRPr="00B356D9">
        <w:rPr>
          <w:rFonts w:ascii="Palatino Linotype" w:hAnsi="Palatino Linotype"/>
          <w:b/>
        </w:rPr>
        <w:t>(</w:t>
      </w:r>
      <w:r w:rsidR="00CC1195" w:rsidRPr="00B356D9">
        <w:rPr>
          <w:rFonts w:ascii="Palatino Linotype" w:hAnsi="Palatino Linotype"/>
          <w:b/>
        </w:rPr>
        <w:t>20</w:t>
      </w:r>
      <w:r w:rsidR="003925F1" w:rsidRPr="00B356D9">
        <w:rPr>
          <w:rFonts w:ascii="Palatino Linotype" w:hAnsi="Palatino Linotype"/>
          <w:b/>
        </w:rPr>
        <w:t>) de mayo de dos mil veintiséis</w:t>
      </w:r>
      <w:r w:rsidRPr="00B356D9">
        <w:rPr>
          <w:rFonts w:ascii="Palatino Linotype" w:hAnsi="Palatino Linotype"/>
          <w:b/>
        </w:rPr>
        <w:t>.</w:t>
      </w:r>
      <w:r w:rsidRPr="00B356D9">
        <w:rPr>
          <w:rFonts w:ascii="Palatino Linotype" w:hAnsi="Palatino Linotype"/>
        </w:rPr>
        <w:t xml:space="preserve"> </w:t>
      </w:r>
    </w:p>
    <w:p w14:paraId="551493FB" w14:textId="77777777" w:rsidR="00841865" w:rsidRPr="00B356D9" w:rsidRDefault="00841865" w:rsidP="00B356D9">
      <w:pPr>
        <w:tabs>
          <w:tab w:val="left" w:pos="0"/>
        </w:tabs>
        <w:spacing w:line="360" w:lineRule="auto"/>
        <w:jc w:val="both"/>
        <w:rPr>
          <w:rFonts w:ascii="Palatino Linotype" w:hAnsi="Palatino Linotype"/>
        </w:rPr>
      </w:pPr>
    </w:p>
    <w:p w14:paraId="117DF2DB" w14:textId="3C500AB9" w:rsidR="007721BA" w:rsidRPr="00B356D9" w:rsidRDefault="00841865" w:rsidP="00B356D9">
      <w:pPr>
        <w:pStyle w:val="Prrafodelista"/>
        <w:spacing w:line="360" w:lineRule="auto"/>
        <w:ind w:left="0"/>
        <w:jc w:val="both"/>
        <w:rPr>
          <w:rFonts w:ascii="Palatino Linotype" w:eastAsia="Calibri" w:hAnsi="Palatino Linotype" w:cs="Arial"/>
          <w:b/>
          <w:sz w:val="24"/>
        </w:rPr>
      </w:pPr>
      <w:r w:rsidRPr="00B356D9">
        <w:rPr>
          <w:rFonts w:ascii="Palatino Linotype" w:hAnsi="Palatino Linotype"/>
          <w:b/>
          <w:sz w:val="24"/>
        </w:rPr>
        <w:t>VISTO</w:t>
      </w:r>
      <w:r w:rsidRPr="00B356D9">
        <w:rPr>
          <w:rFonts w:ascii="Palatino Linotype" w:hAnsi="Palatino Linotype"/>
          <w:sz w:val="24"/>
        </w:rPr>
        <w:t xml:space="preserve"> el expediente electrónico formado con motivo del recurso de revisión </w:t>
      </w:r>
      <w:r w:rsidR="00CC1195" w:rsidRPr="00B356D9">
        <w:rPr>
          <w:rFonts w:ascii="Palatino Linotype" w:eastAsia="Calibri" w:hAnsi="Palatino Linotype" w:cs="Arial"/>
          <w:b/>
          <w:sz w:val="24"/>
        </w:rPr>
        <w:t>01238</w:t>
      </w:r>
      <w:r w:rsidR="007721BA" w:rsidRPr="00B356D9">
        <w:rPr>
          <w:rFonts w:ascii="Palatino Linotype" w:eastAsia="Calibri" w:hAnsi="Palatino Linotype" w:cs="Arial"/>
          <w:b/>
          <w:sz w:val="24"/>
        </w:rPr>
        <w:t>/INFOEM/IP/RR/202</w:t>
      </w:r>
      <w:r w:rsidR="003925F1" w:rsidRPr="00B356D9">
        <w:rPr>
          <w:rFonts w:ascii="Palatino Linotype" w:eastAsia="Calibri" w:hAnsi="Palatino Linotype" w:cs="Arial"/>
          <w:b/>
          <w:sz w:val="24"/>
        </w:rPr>
        <w:t>6</w:t>
      </w:r>
      <w:r w:rsidRPr="00B356D9">
        <w:rPr>
          <w:rFonts w:ascii="Palatino Linotype" w:hAnsi="Palatino Linotype" w:cs="Arial"/>
          <w:b/>
          <w:bCs/>
          <w:sz w:val="24"/>
        </w:rPr>
        <w:t xml:space="preserve">, </w:t>
      </w:r>
      <w:r w:rsidRPr="00B356D9">
        <w:rPr>
          <w:rFonts w:ascii="Palatino Linotype" w:hAnsi="Palatino Linotype"/>
          <w:sz w:val="24"/>
        </w:rPr>
        <w:t xml:space="preserve">promovido por </w:t>
      </w:r>
      <w:r w:rsidR="008C68CF">
        <w:rPr>
          <w:rFonts w:ascii="Palatino Linotype" w:eastAsia="Calibri" w:hAnsi="Palatino Linotype" w:cs="Tahoma"/>
          <w:b/>
          <w:sz w:val="24"/>
          <w:szCs w:val="22"/>
          <w:lang w:val="es-ES" w:eastAsia="en-US"/>
        </w:rPr>
        <w:t>XXXX</w:t>
      </w:r>
      <w:r w:rsidRPr="00B356D9">
        <w:rPr>
          <w:rFonts w:ascii="Palatino Linotype" w:hAnsi="Palatino Linotype"/>
          <w:sz w:val="24"/>
        </w:rPr>
        <w:t xml:space="preserve">, </w:t>
      </w:r>
      <w:r w:rsidR="007721BA" w:rsidRPr="00B356D9">
        <w:rPr>
          <w:rFonts w:ascii="Palatino Linotype" w:eastAsia="Calibri" w:hAnsi="Palatino Linotype" w:cs="Arial"/>
          <w:sz w:val="24"/>
        </w:rPr>
        <w:t xml:space="preserve">a través del Sistema de Acceso a la Información Mexiquense (SAIMEX), a quien en lo sucesivo se le identificará como </w:t>
      </w:r>
      <w:r w:rsidR="007721BA" w:rsidRPr="00B356D9">
        <w:rPr>
          <w:rFonts w:ascii="Palatino Linotype" w:eastAsia="Calibri" w:hAnsi="Palatino Linotype" w:cs="Arial"/>
          <w:b/>
          <w:sz w:val="24"/>
        </w:rPr>
        <w:t>EL RECURRENTE</w:t>
      </w:r>
      <w:r w:rsidR="007721BA" w:rsidRPr="00B356D9">
        <w:rPr>
          <w:rFonts w:ascii="Palatino Linotype" w:eastAsia="Calibri" w:hAnsi="Palatino Linotype" w:cs="Arial"/>
          <w:sz w:val="24"/>
        </w:rPr>
        <w:t xml:space="preserve">, en contra de la respuesta del </w:t>
      </w:r>
      <w:r w:rsidR="00240434" w:rsidRPr="00B356D9">
        <w:rPr>
          <w:rFonts w:ascii="Palatino Linotype" w:eastAsia="Calibri" w:hAnsi="Palatino Linotype" w:cs="Arial"/>
          <w:b/>
          <w:sz w:val="24"/>
        </w:rPr>
        <w:t xml:space="preserve">Ayuntamiento de </w:t>
      </w:r>
      <w:r w:rsidR="00CC1195" w:rsidRPr="00B356D9">
        <w:rPr>
          <w:rFonts w:ascii="Palatino Linotype" w:eastAsia="Calibri" w:hAnsi="Palatino Linotype" w:cs="Arial"/>
          <w:b/>
          <w:sz w:val="24"/>
        </w:rPr>
        <w:t>Valle de Bravo</w:t>
      </w:r>
      <w:r w:rsidR="007721BA" w:rsidRPr="00B356D9">
        <w:rPr>
          <w:rFonts w:ascii="Palatino Linotype" w:eastAsia="Calibri" w:hAnsi="Palatino Linotype" w:cs="Arial"/>
          <w:sz w:val="24"/>
        </w:rPr>
        <w:t xml:space="preserve">, en lo sucesivo </w:t>
      </w:r>
      <w:r w:rsidR="007721BA" w:rsidRPr="00B356D9">
        <w:rPr>
          <w:rFonts w:ascii="Palatino Linotype" w:eastAsia="Calibri" w:hAnsi="Palatino Linotype" w:cs="Arial"/>
          <w:b/>
          <w:sz w:val="24"/>
        </w:rPr>
        <w:t>EL SUJETO OBLIGADO</w:t>
      </w:r>
      <w:r w:rsidR="007721BA" w:rsidRPr="00B356D9">
        <w:rPr>
          <w:rFonts w:ascii="Palatino Linotype" w:eastAsia="Calibri" w:hAnsi="Palatino Linotype" w:cs="Arial"/>
          <w:sz w:val="24"/>
        </w:rPr>
        <w:t>, se procede a dictar la presente resolución, con base en los siguientes:</w:t>
      </w:r>
    </w:p>
    <w:p w14:paraId="27DA79E7" w14:textId="77777777" w:rsidR="00841865" w:rsidRPr="00B356D9" w:rsidRDefault="00841865" w:rsidP="00B356D9">
      <w:pPr>
        <w:spacing w:line="360" w:lineRule="auto"/>
        <w:jc w:val="both"/>
        <w:rPr>
          <w:rFonts w:ascii="Palatino Linotype" w:hAnsi="Palatino Linotype"/>
        </w:rPr>
      </w:pPr>
    </w:p>
    <w:p w14:paraId="03834B31" w14:textId="77777777" w:rsidR="00841865" w:rsidRPr="00B356D9" w:rsidRDefault="00841865" w:rsidP="00B356D9">
      <w:pPr>
        <w:keepNext/>
        <w:keepLines/>
        <w:tabs>
          <w:tab w:val="left" w:pos="0"/>
        </w:tabs>
        <w:spacing w:line="360" w:lineRule="auto"/>
        <w:jc w:val="both"/>
        <w:outlineLvl w:val="0"/>
        <w:rPr>
          <w:rFonts w:ascii="Palatino Linotype" w:hAnsi="Palatino Linotype"/>
          <w:b/>
          <w:lang w:eastAsia="en-US"/>
        </w:rPr>
      </w:pPr>
      <w:bookmarkStart w:id="1" w:name="_Toc496274633"/>
      <w:bookmarkStart w:id="2" w:name="_Toc490060616"/>
      <w:bookmarkStart w:id="3" w:name="_Toc499727165"/>
      <w:bookmarkStart w:id="4" w:name="_Toc94119610"/>
      <w:r w:rsidRPr="00B356D9">
        <w:rPr>
          <w:rFonts w:ascii="Palatino Linotype" w:hAnsi="Palatino Linotype"/>
          <w:b/>
          <w:lang w:eastAsia="en-US"/>
        </w:rPr>
        <w:t>ANTECEDENTES</w:t>
      </w:r>
      <w:bookmarkEnd w:id="1"/>
      <w:bookmarkEnd w:id="2"/>
      <w:bookmarkEnd w:id="3"/>
      <w:bookmarkEnd w:id="4"/>
    </w:p>
    <w:p w14:paraId="5EE85A16" w14:textId="77777777" w:rsidR="00841865" w:rsidRPr="00B356D9" w:rsidRDefault="00841865" w:rsidP="00B356D9">
      <w:pPr>
        <w:keepNext/>
        <w:keepLines/>
        <w:tabs>
          <w:tab w:val="left" w:pos="0"/>
        </w:tabs>
        <w:spacing w:line="360" w:lineRule="auto"/>
        <w:jc w:val="both"/>
        <w:outlineLvl w:val="0"/>
        <w:rPr>
          <w:rFonts w:ascii="Palatino Linotype" w:hAnsi="Palatino Linotype"/>
          <w:b/>
          <w:lang w:eastAsia="en-US"/>
        </w:rPr>
      </w:pPr>
    </w:p>
    <w:p w14:paraId="12D4DC2E" w14:textId="74F42264" w:rsidR="00841865" w:rsidRPr="00B356D9" w:rsidRDefault="00B72D54" w:rsidP="00B356D9">
      <w:pPr>
        <w:numPr>
          <w:ilvl w:val="0"/>
          <w:numId w:val="1"/>
        </w:numPr>
        <w:tabs>
          <w:tab w:val="left" w:pos="0"/>
        </w:tabs>
        <w:spacing w:line="360" w:lineRule="auto"/>
        <w:ind w:left="0" w:firstLine="0"/>
        <w:contextualSpacing/>
        <w:jc w:val="both"/>
        <w:rPr>
          <w:rFonts w:ascii="Palatino Linotype" w:eastAsia="Calibri" w:hAnsi="Palatino Linotype" w:cs="Arial"/>
          <w:lang w:val="es-ES"/>
        </w:rPr>
      </w:pPr>
      <w:r w:rsidRPr="00B356D9">
        <w:rPr>
          <w:rFonts w:ascii="Palatino Linotype" w:eastAsia="Calibri" w:hAnsi="Palatino Linotype" w:cs="Arial"/>
          <w:lang w:val="es-ES"/>
        </w:rPr>
        <w:t xml:space="preserve">El </w:t>
      </w:r>
      <w:r w:rsidR="00CC1195" w:rsidRPr="00B356D9">
        <w:rPr>
          <w:rFonts w:ascii="Palatino Linotype" w:eastAsia="Calibri" w:hAnsi="Palatino Linotype" w:cs="Arial"/>
          <w:b/>
          <w:lang w:val="es-ES"/>
        </w:rPr>
        <w:t xml:space="preserve">doce </w:t>
      </w:r>
      <w:r w:rsidR="003925F1" w:rsidRPr="00B356D9">
        <w:rPr>
          <w:rFonts w:ascii="Palatino Linotype" w:eastAsia="Calibri" w:hAnsi="Palatino Linotype" w:cs="Arial"/>
          <w:b/>
          <w:lang w:val="es-ES"/>
        </w:rPr>
        <w:t>de enero de dos mil veintiséis</w:t>
      </w:r>
      <w:r w:rsidR="00841865" w:rsidRPr="00B356D9">
        <w:rPr>
          <w:rFonts w:ascii="Palatino Linotype" w:eastAsia="Calibri" w:hAnsi="Palatino Linotype" w:cs="Arial"/>
          <w:lang w:val="es-ES"/>
        </w:rPr>
        <w:t>,</w:t>
      </w:r>
      <w:r w:rsidR="00841865" w:rsidRPr="00B356D9">
        <w:rPr>
          <w:rFonts w:ascii="Palatino Linotype" w:eastAsia="Calibri" w:hAnsi="Palatino Linotype"/>
          <w:lang w:val="es-ES"/>
        </w:rPr>
        <w:t xml:space="preserve"> </w:t>
      </w:r>
      <w:r w:rsidR="00841865" w:rsidRPr="00B356D9">
        <w:rPr>
          <w:rFonts w:ascii="Palatino Linotype" w:hAnsi="Palatino Linotype"/>
        </w:rPr>
        <w:t>el</w:t>
      </w:r>
      <w:r w:rsidR="00841865" w:rsidRPr="00B356D9">
        <w:rPr>
          <w:rFonts w:ascii="Palatino Linotype" w:hAnsi="Palatino Linotype"/>
          <w:b/>
        </w:rPr>
        <w:t xml:space="preserve"> </w:t>
      </w:r>
      <w:r w:rsidR="00841865" w:rsidRPr="00B356D9">
        <w:rPr>
          <w:rFonts w:ascii="Palatino Linotype" w:hAnsi="Palatino Linotype"/>
        </w:rPr>
        <w:t>solicitante</w:t>
      </w:r>
      <w:r w:rsidR="004F06DC" w:rsidRPr="00B356D9">
        <w:rPr>
          <w:rFonts w:ascii="Palatino Linotype" w:hAnsi="Palatino Linotype"/>
          <w:b/>
        </w:rPr>
        <w:t xml:space="preserve"> </w:t>
      </w:r>
      <w:r w:rsidR="00841865" w:rsidRPr="00B356D9">
        <w:rPr>
          <w:rFonts w:ascii="Palatino Linotype" w:hAnsi="Palatino Linotype"/>
        </w:rPr>
        <w:t>presentó</w:t>
      </w:r>
      <w:r w:rsidR="00841865" w:rsidRPr="00B356D9">
        <w:rPr>
          <w:rFonts w:ascii="Palatino Linotype" w:hAnsi="Palatino Linotype"/>
          <w:b/>
        </w:rPr>
        <w:t xml:space="preserve"> </w:t>
      </w:r>
      <w:r w:rsidR="00841865" w:rsidRPr="00B356D9">
        <w:rPr>
          <w:rFonts w:ascii="Palatino Linotype" w:eastAsia="Calibri" w:hAnsi="Palatino Linotype" w:cs="Arial"/>
          <w:lang w:val="es-ES"/>
        </w:rPr>
        <w:t xml:space="preserve">ante el </w:t>
      </w:r>
      <w:r w:rsidR="00841865" w:rsidRPr="00B356D9">
        <w:rPr>
          <w:rFonts w:ascii="Palatino Linotype" w:eastAsia="Calibri" w:hAnsi="Palatino Linotype" w:cs="Arial"/>
          <w:b/>
          <w:lang w:val="es-ES"/>
        </w:rPr>
        <w:t>SUJETO OBLIGADO,</w:t>
      </w:r>
      <w:r w:rsidR="00841865" w:rsidRPr="00B356D9">
        <w:rPr>
          <w:rFonts w:ascii="Palatino Linotype" w:eastAsia="Calibri" w:hAnsi="Palatino Linotype" w:cs="Arial"/>
        </w:rPr>
        <w:t xml:space="preserve"> a través del Sistema de Acceso a la Información Mexiquense (SAIMEX),</w:t>
      </w:r>
      <w:r w:rsidR="00841865" w:rsidRPr="00B356D9">
        <w:rPr>
          <w:rFonts w:ascii="Palatino Linotype" w:eastAsia="Calibri" w:hAnsi="Palatino Linotype" w:cs="Arial"/>
          <w:lang w:val="es-ES"/>
        </w:rPr>
        <w:t xml:space="preserve"> la solicitud de información pública registrada con </w:t>
      </w:r>
      <w:r w:rsidR="00104E76" w:rsidRPr="00B356D9">
        <w:rPr>
          <w:rFonts w:ascii="Palatino Linotype" w:eastAsia="Calibri" w:hAnsi="Palatino Linotype" w:cs="Arial"/>
          <w:lang w:val="es-ES"/>
        </w:rPr>
        <w:t>e</w:t>
      </w:r>
      <w:r w:rsidR="001252DB" w:rsidRPr="00B356D9">
        <w:rPr>
          <w:rFonts w:ascii="Palatino Linotype" w:eastAsia="Calibri" w:hAnsi="Palatino Linotype" w:cs="Arial"/>
          <w:lang w:val="es-ES"/>
        </w:rPr>
        <w:t xml:space="preserve">l </w:t>
      </w:r>
      <w:r w:rsidR="00841865" w:rsidRPr="00B356D9">
        <w:rPr>
          <w:rFonts w:ascii="Palatino Linotype" w:eastAsia="Calibri" w:hAnsi="Palatino Linotype" w:cs="Arial"/>
          <w:lang w:val="es-ES"/>
        </w:rPr>
        <w:t xml:space="preserve">número </w:t>
      </w:r>
      <w:r w:rsidR="00CC1195" w:rsidRPr="00B356D9">
        <w:rPr>
          <w:rFonts w:ascii="Palatino Linotype" w:eastAsia="Calibri" w:hAnsi="Palatino Linotype" w:cs="Arial"/>
          <w:b/>
          <w:lang w:val="es-ES"/>
        </w:rPr>
        <w:t>00010</w:t>
      </w:r>
      <w:r w:rsidR="007721BA" w:rsidRPr="00B356D9">
        <w:rPr>
          <w:rFonts w:ascii="Palatino Linotype" w:hAnsi="Palatino Linotype"/>
          <w:b/>
          <w:bCs/>
        </w:rPr>
        <w:t>/</w:t>
      </w:r>
      <w:r w:rsidR="00CC1195" w:rsidRPr="00B356D9">
        <w:rPr>
          <w:rFonts w:ascii="Palatino Linotype" w:hAnsi="Palatino Linotype"/>
          <w:b/>
          <w:bCs/>
        </w:rPr>
        <w:t>VABRAVO</w:t>
      </w:r>
      <w:r w:rsidR="007721BA" w:rsidRPr="00B356D9">
        <w:rPr>
          <w:rFonts w:ascii="Palatino Linotype" w:hAnsi="Palatino Linotype"/>
          <w:b/>
          <w:bCs/>
        </w:rPr>
        <w:t>/IP/202</w:t>
      </w:r>
      <w:r w:rsidR="003925F1" w:rsidRPr="00B356D9">
        <w:rPr>
          <w:rFonts w:ascii="Palatino Linotype" w:hAnsi="Palatino Linotype"/>
          <w:b/>
          <w:bCs/>
        </w:rPr>
        <w:t>6</w:t>
      </w:r>
      <w:r w:rsidR="00841865" w:rsidRPr="00B356D9">
        <w:rPr>
          <w:rFonts w:ascii="Palatino Linotype" w:eastAsia="Calibri" w:hAnsi="Palatino Linotype" w:cs="Arial"/>
          <w:lang w:val="es-ES"/>
        </w:rPr>
        <w:t>, mediante la cual se solicitó:</w:t>
      </w:r>
    </w:p>
    <w:p w14:paraId="37C18A07" w14:textId="77777777" w:rsidR="00854AF7" w:rsidRPr="00B356D9" w:rsidRDefault="00854AF7" w:rsidP="00B356D9">
      <w:pPr>
        <w:tabs>
          <w:tab w:val="left" w:pos="0"/>
        </w:tabs>
        <w:spacing w:line="360" w:lineRule="auto"/>
        <w:contextualSpacing/>
        <w:jc w:val="both"/>
        <w:rPr>
          <w:rFonts w:ascii="Palatino Linotype" w:eastAsia="Calibri" w:hAnsi="Palatino Linotype" w:cs="Arial"/>
          <w:lang w:val="es-ES"/>
        </w:rPr>
      </w:pPr>
    </w:p>
    <w:p w14:paraId="685162AC" w14:textId="2E936141" w:rsidR="002835B4" w:rsidRPr="00B356D9" w:rsidRDefault="002835B4" w:rsidP="00B356D9">
      <w:pPr>
        <w:pStyle w:val="Prrafodelista"/>
        <w:ind w:left="360" w:right="539"/>
        <w:jc w:val="both"/>
        <w:rPr>
          <w:rFonts w:ascii="Palatino Linotype" w:eastAsia="Calibri" w:hAnsi="Palatino Linotype" w:cs="Arial"/>
          <w:b/>
          <w:i/>
          <w:sz w:val="24"/>
        </w:rPr>
      </w:pPr>
      <w:r w:rsidRPr="00B356D9">
        <w:rPr>
          <w:rFonts w:ascii="Palatino Linotype" w:eastAsia="Calibri" w:hAnsi="Palatino Linotype" w:cs="Arial"/>
          <w:b/>
          <w:i/>
          <w:sz w:val="24"/>
        </w:rPr>
        <w:t>Solicitud</w:t>
      </w:r>
    </w:p>
    <w:p w14:paraId="15434651" w14:textId="77777777" w:rsidR="002835B4" w:rsidRPr="00B356D9" w:rsidRDefault="002835B4" w:rsidP="00B356D9">
      <w:pPr>
        <w:pStyle w:val="Prrafodelista"/>
        <w:tabs>
          <w:tab w:val="left" w:pos="1005"/>
        </w:tabs>
        <w:ind w:left="360" w:right="539"/>
        <w:jc w:val="both"/>
        <w:rPr>
          <w:rFonts w:ascii="Palatino Linotype" w:eastAsia="Calibri" w:hAnsi="Palatino Linotype" w:cs="Arial"/>
          <w:b/>
          <w:i/>
          <w:sz w:val="24"/>
        </w:rPr>
      </w:pPr>
    </w:p>
    <w:p w14:paraId="50ED3F22" w14:textId="57431617" w:rsidR="002835B4" w:rsidRPr="00B356D9" w:rsidRDefault="002835B4" w:rsidP="00B356D9">
      <w:pPr>
        <w:pStyle w:val="Prrafodelista"/>
        <w:ind w:left="360" w:right="539"/>
        <w:jc w:val="both"/>
        <w:rPr>
          <w:rFonts w:ascii="Palatino Linotype" w:eastAsia="Calibri" w:hAnsi="Palatino Linotype" w:cs="Arial"/>
          <w:bCs/>
          <w:i/>
          <w:sz w:val="24"/>
        </w:rPr>
      </w:pPr>
      <w:r w:rsidRPr="00B356D9">
        <w:rPr>
          <w:rFonts w:ascii="Palatino Linotype" w:eastAsia="Calibri" w:hAnsi="Palatino Linotype" w:cs="Arial"/>
          <w:bCs/>
          <w:i/>
          <w:sz w:val="24"/>
        </w:rPr>
        <w:t>“</w:t>
      </w:r>
      <w:r w:rsidR="00CC1195" w:rsidRPr="00B356D9">
        <w:rPr>
          <w:rFonts w:ascii="Palatino Linotype" w:eastAsia="Calibri" w:hAnsi="Palatino Linotype" w:cs="Arial"/>
          <w:bCs/>
          <w:i/>
          <w:sz w:val="24"/>
        </w:rPr>
        <w:t xml:space="preserve">Con fundamento en el Artículo 6° de la Constitución Política de los Estados Unidos Mexicanos, los Artículos 4, 12 y 161 de la Ley de Transparencia y Acceso a la Información Pública del Estado de México y Municipios, y el Artículo 32 de la Ley de Responsabilidades Administrativas del Estado de México y Municipios, y con sustento en la jurisprudencia con registro digital 2000299 emitida por la Suprema Corte de Justicia de la Nación; solicito la entrega en formato digital (PDF) de la versión pública de las </w:t>
      </w:r>
      <w:r w:rsidR="00CC1195" w:rsidRPr="00101BE2">
        <w:rPr>
          <w:rFonts w:ascii="Palatino Linotype" w:eastAsia="Calibri" w:hAnsi="Palatino Linotype" w:cs="Arial"/>
          <w:b/>
          <w:i/>
          <w:sz w:val="24"/>
          <w:u w:val="single"/>
        </w:rPr>
        <w:t xml:space="preserve">Declaraciones de Situación Patrimonial en sus modalidades de inicio, modificación y conclusión de la totalidad de las </w:t>
      </w:r>
      <w:r w:rsidR="00CC1195" w:rsidRPr="00101BE2">
        <w:rPr>
          <w:rFonts w:ascii="Palatino Linotype" w:eastAsia="Calibri" w:hAnsi="Palatino Linotype" w:cs="Arial"/>
          <w:b/>
          <w:i/>
          <w:sz w:val="24"/>
          <w:u w:val="single"/>
        </w:rPr>
        <w:lastRenderedPageBreak/>
        <w:t>personas titulares de las Direcciones que integran la administración pública del Ayuntamiento de Valle de Bravo, Estado de México; abarcando el periodo del año 2022 al año 2025;</w:t>
      </w:r>
      <w:r w:rsidR="00CC1195" w:rsidRPr="00B356D9">
        <w:rPr>
          <w:rFonts w:ascii="Palatino Linotype" w:eastAsia="Calibri" w:hAnsi="Palatino Linotype" w:cs="Arial"/>
          <w:bCs/>
          <w:i/>
          <w:sz w:val="24"/>
        </w:rPr>
        <w:t xml:space="preserve"> garantizando el acceso a los datos sobre ingresos, bienes y patrimonio que son de naturaleza pública para funcionarios de dicho nivel jerárquico." Sírvase de apoyo lo antes solicitado con sustento en el criterio de interpretación 02/2017 de la Segunda Época de Criterios del INFOEM(Instituto de Transparencia, Acceso a la Información Pública y Protección de Datos Personales del Estado de México y Municipios).</w:t>
      </w:r>
      <w:r w:rsidRPr="00B356D9">
        <w:rPr>
          <w:rFonts w:ascii="Palatino Linotype" w:eastAsia="Calibri" w:hAnsi="Palatino Linotype" w:cs="Arial"/>
          <w:bCs/>
          <w:i/>
          <w:sz w:val="24"/>
        </w:rPr>
        <w:t>”. (Sic.)</w:t>
      </w:r>
    </w:p>
    <w:p w14:paraId="389BCD8C" w14:textId="77777777" w:rsidR="002835B4" w:rsidRPr="00B356D9" w:rsidRDefault="002835B4" w:rsidP="00B356D9">
      <w:pPr>
        <w:pStyle w:val="Prrafodelista"/>
        <w:spacing w:line="360" w:lineRule="auto"/>
        <w:ind w:left="360" w:right="539"/>
        <w:jc w:val="both"/>
        <w:rPr>
          <w:rFonts w:ascii="Palatino Linotype" w:eastAsia="Calibri" w:hAnsi="Palatino Linotype" w:cs="Arial"/>
          <w:bCs/>
          <w:i/>
          <w:sz w:val="24"/>
        </w:rPr>
      </w:pPr>
    </w:p>
    <w:p w14:paraId="49DF1983" w14:textId="77777777" w:rsidR="00841865" w:rsidRPr="00B356D9" w:rsidRDefault="00841865" w:rsidP="00B356D9">
      <w:pPr>
        <w:pStyle w:val="Prrafodelista"/>
        <w:numPr>
          <w:ilvl w:val="0"/>
          <w:numId w:val="1"/>
        </w:numPr>
        <w:spacing w:line="360" w:lineRule="auto"/>
        <w:ind w:left="0" w:firstLine="0"/>
        <w:jc w:val="both"/>
        <w:rPr>
          <w:rFonts w:ascii="Palatino Linotype" w:hAnsi="Palatino Linotype" w:cs="Arial"/>
          <w:i/>
          <w:sz w:val="24"/>
        </w:rPr>
      </w:pPr>
      <w:r w:rsidRPr="00B356D9">
        <w:rPr>
          <w:rFonts w:ascii="Palatino Linotype" w:hAnsi="Palatino Linotype" w:cs="Arial"/>
          <w:sz w:val="24"/>
        </w:rPr>
        <w:t>Se hace constar que se señaló como modalidad de entrega de la información a través de SAIMEX.</w:t>
      </w:r>
    </w:p>
    <w:p w14:paraId="0EE288CA" w14:textId="77777777" w:rsidR="00841865" w:rsidRPr="00B356D9" w:rsidRDefault="00841865" w:rsidP="00B356D9">
      <w:pPr>
        <w:spacing w:line="360" w:lineRule="auto"/>
        <w:jc w:val="both"/>
        <w:rPr>
          <w:rFonts w:ascii="Palatino Linotype" w:eastAsia="Calibri" w:hAnsi="Palatino Linotype" w:cs="Arial"/>
          <w:lang w:val="es-AR"/>
        </w:rPr>
      </w:pPr>
    </w:p>
    <w:p w14:paraId="23A6764A" w14:textId="5CBB2E7F" w:rsidR="00841865" w:rsidRPr="00B356D9" w:rsidRDefault="00841865" w:rsidP="00B356D9">
      <w:pPr>
        <w:numPr>
          <w:ilvl w:val="0"/>
          <w:numId w:val="1"/>
        </w:numPr>
        <w:tabs>
          <w:tab w:val="left" w:pos="0"/>
        </w:tabs>
        <w:spacing w:line="360" w:lineRule="auto"/>
        <w:ind w:left="0" w:firstLine="0"/>
        <w:contextualSpacing/>
        <w:jc w:val="both"/>
        <w:rPr>
          <w:rFonts w:ascii="Palatino Linotype" w:hAnsi="Palatino Linotype" w:cs="Arial"/>
          <w:lang w:val="es-ES"/>
        </w:rPr>
      </w:pPr>
      <w:r w:rsidRPr="00B356D9">
        <w:rPr>
          <w:rFonts w:ascii="Palatino Linotype" w:hAnsi="Palatino Linotype" w:cs="Arial"/>
          <w:lang w:val="es-ES"/>
        </w:rPr>
        <w:t xml:space="preserve">El </w:t>
      </w:r>
      <w:r w:rsidR="00CC1195" w:rsidRPr="00B356D9">
        <w:rPr>
          <w:rFonts w:ascii="Palatino Linotype" w:eastAsiaTheme="minorEastAsia" w:hAnsi="Palatino Linotype" w:cs="Arial"/>
          <w:b/>
          <w:lang w:val="es-ES_tradnl"/>
        </w:rPr>
        <w:t xml:space="preserve">tres de febrero </w:t>
      </w:r>
      <w:r w:rsidR="003925F1" w:rsidRPr="00B356D9">
        <w:rPr>
          <w:rFonts w:ascii="Palatino Linotype" w:eastAsiaTheme="minorEastAsia" w:hAnsi="Palatino Linotype" w:cs="Arial"/>
          <w:b/>
          <w:lang w:val="es-ES_tradnl"/>
        </w:rPr>
        <w:t>de dos mil veintiséis</w:t>
      </w:r>
      <w:r w:rsidRPr="00B356D9">
        <w:rPr>
          <w:rFonts w:ascii="Palatino Linotype" w:hAnsi="Palatino Linotype" w:cs="Arial"/>
          <w:lang w:val="es-ES"/>
        </w:rPr>
        <w:t xml:space="preserve">, el Sujeto Obligado dio respuesta a la solicitud de información </w:t>
      </w:r>
      <w:r w:rsidR="004E7DDC" w:rsidRPr="00B356D9">
        <w:rPr>
          <w:rFonts w:ascii="Palatino Linotype" w:hAnsi="Palatino Linotype" w:cs="Arial"/>
          <w:lang w:val="es-ES"/>
        </w:rPr>
        <w:t xml:space="preserve">en </w:t>
      </w:r>
      <w:r w:rsidR="008E2C58" w:rsidRPr="00B356D9">
        <w:rPr>
          <w:rFonts w:ascii="Palatino Linotype" w:hAnsi="Palatino Linotype" w:cs="Arial"/>
          <w:lang w:val="es-ES"/>
        </w:rPr>
        <w:t>los siguientes términos</w:t>
      </w:r>
      <w:r w:rsidRPr="00B356D9">
        <w:rPr>
          <w:rFonts w:ascii="Palatino Linotype" w:hAnsi="Palatino Linotype" w:cs="Arial"/>
          <w:lang w:val="es-ES"/>
        </w:rPr>
        <w:t>:</w:t>
      </w:r>
    </w:p>
    <w:p w14:paraId="65F4610F" w14:textId="6384CD41" w:rsidR="00CC1195" w:rsidRPr="00B356D9" w:rsidRDefault="008E2C58" w:rsidP="00B356D9">
      <w:pPr>
        <w:ind w:left="567" w:right="680"/>
        <w:jc w:val="both"/>
        <w:rPr>
          <w:rFonts w:ascii="Palatino Linotype" w:eastAsiaTheme="minorEastAsia" w:hAnsi="Palatino Linotype" w:cs="Arial"/>
          <w:i/>
          <w:lang w:val="es-ES_tradnl"/>
        </w:rPr>
      </w:pPr>
      <w:r w:rsidRPr="00B356D9">
        <w:rPr>
          <w:rFonts w:ascii="Palatino Linotype" w:eastAsiaTheme="minorEastAsia" w:hAnsi="Palatino Linotype" w:cs="Arial"/>
          <w:i/>
          <w:lang w:val="es-ES_tradnl"/>
        </w:rPr>
        <w:t>“</w:t>
      </w:r>
      <w:r w:rsidR="00CC1195" w:rsidRPr="00B356D9">
        <w:rPr>
          <w:rFonts w:ascii="Palatino Linotype" w:eastAsiaTheme="minorEastAsia" w:hAnsi="Palatino Linotype" w:cs="Arial"/>
          <w:i/>
          <w:lang w:val="es-ES_tradnl"/>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9B22DEA" w14:textId="77777777" w:rsidR="00CC1195" w:rsidRPr="00B356D9" w:rsidRDefault="00CC1195" w:rsidP="00B356D9">
      <w:pPr>
        <w:ind w:left="567" w:right="680"/>
        <w:jc w:val="both"/>
        <w:rPr>
          <w:rFonts w:ascii="Palatino Linotype" w:eastAsiaTheme="minorEastAsia" w:hAnsi="Palatino Linotype" w:cs="Arial"/>
          <w:i/>
          <w:lang w:val="es-ES_tradnl"/>
        </w:rPr>
      </w:pPr>
    </w:p>
    <w:p w14:paraId="2C24FC55" w14:textId="0B555404" w:rsidR="00240434" w:rsidRPr="00B356D9" w:rsidRDefault="00CC1195" w:rsidP="00B356D9">
      <w:pPr>
        <w:ind w:left="567" w:right="680"/>
        <w:jc w:val="both"/>
        <w:rPr>
          <w:rFonts w:ascii="Palatino Linotype" w:eastAsiaTheme="minorEastAsia" w:hAnsi="Palatino Linotype" w:cs="Arial"/>
          <w:i/>
          <w:lang w:val="es-ES_tradnl"/>
        </w:rPr>
      </w:pPr>
      <w:r w:rsidRPr="00B356D9">
        <w:rPr>
          <w:rFonts w:ascii="Palatino Linotype" w:eastAsiaTheme="minorEastAsia" w:hAnsi="Palatino Linotype" w:cs="Arial"/>
          <w:i/>
          <w:lang w:val="es-ES_tradnl"/>
        </w:rPr>
        <w:t>Se envía adjunta la presente documentación, la cual fue turnada a la Unidad de Transparencia y Acceso a la Información Pública del Municipio de Valle de Bravo (UTAIPM), de conformidad con los artículos 12, 50, 51, 53 fracciones II y IV, y 59 de la Ley de Transparencia y Acceso a la Información Pública del Estado de México y Municipios</w:t>
      </w:r>
      <w:r w:rsidR="003925F1" w:rsidRPr="00B356D9">
        <w:rPr>
          <w:rFonts w:ascii="Palatino Linotype" w:eastAsiaTheme="minorEastAsia" w:hAnsi="Palatino Linotype" w:cs="Arial"/>
          <w:i/>
          <w:lang w:val="es-ES_tradnl"/>
        </w:rPr>
        <w:t>.(Sic.)</w:t>
      </w:r>
    </w:p>
    <w:p w14:paraId="21F10307" w14:textId="77777777" w:rsidR="00240434" w:rsidRPr="00B356D9" w:rsidRDefault="00240434" w:rsidP="00B356D9">
      <w:pPr>
        <w:ind w:left="567" w:right="680"/>
        <w:jc w:val="both"/>
        <w:rPr>
          <w:rFonts w:ascii="Palatino Linotype" w:eastAsiaTheme="minorEastAsia" w:hAnsi="Palatino Linotype" w:cs="Arial"/>
          <w:i/>
          <w:lang w:val="es-ES_tradnl"/>
        </w:rPr>
      </w:pPr>
    </w:p>
    <w:p w14:paraId="7D4FF4FA" w14:textId="109F9C4B" w:rsidR="008E2C58" w:rsidRPr="00B356D9" w:rsidRDefault="004E7DDC" w:rsidP="00B356D9">
      <w:pPr>
        <w:tabs>
          <w:tab w:val="left" w:pos="567"/>
        </w:tabs>
        <w:spacing w:line="360" w:lineRule="auto"/>
        <w:ind w:left="567" w:right="539"/>
        <w:contextualSpacing/>
        <w:jc w:val="both"/>
        <w:rPr>
          <w:rFonts w:ascii="Palatino Linotype" w:hAnsi="Palatino Linotype" w:cs="Arial"/>
          <w:lang w:val="es-ES"/>
        </w:rPr>
      </w:pPr>
      <w:r w:rsidRPr="00B356D9">
        <w:rPr>
          <w:rFonts w:ascii="Palatino Linotype" w:hAnsi="Palatino Linotype" w:cs="Arial"/>
          <w:lang w:val="es-ES"/>
        </w:rPr>
        <w:t>Archivo</w:t>
      </w:r>
      <w:r w:rsidR="008E2C58" w:rsidRPr="00B356D9">
        <w:rPr>
          <w:rFonts w:ascii="Palatino Linotype" w:hAnsi="Palatino Linotype" w:cs="Arial"/>
          <w:lang w:val="es-ES"/>
        </w:rPr>
        <w:t xml:space="preserve"> electrónico adjunto:</w:t>
      </w:r>
    </w:p>
    <w:p w14:paraId="28D1ED1A" w14:textId="358A6EED" w:rsidR="003925F1" w:rsidRPr="00B356D9" w:rsidRDefault="002A7E5D" w:rsidP="00B356D9">
      <w:pPr>
        <w:pStyle w:val="Prrafodelista"/>
        <w:numPr>
          <w:ilvl w:val="0"/>
          <w:numId w:val="27"/>
        </w:numPr>
        <w:tabs>
          <w:tab w:val="left" w:pos="567"/>
        </w:tabs>
        <w:spacing w:line="360" w:lineRule="auto"/>
        <w:ind w:right="539"/>
        <w:jc w:val="both"/>
        <w:rPr>
          <w:rFonts w:ascii="Palatino Linotype" w:hAnsi="Palatino Linotype" w:cs="Arial"/>
          <w:sz w:val="24"/>
          <w:lang w:val="es-ES"/>
        </w:rPr>
      </w:pPr>
      <w:hyperlink r:id="rId8" w:tgtFrame="_blank" w:history="1">
        <w:r w:rsidR="00CC1195" w:rsidRPr="00B356D9">
          <w:rPr>
            <w:rFonts w:ascii="Palatino Linotype" w:eastAsiaTheme="minorEastAsia" w:hAnsi="Palatino Linotype"/>
            <w:b/>
            <w:sz w:val="24"/>
            <w:lang w:val="es-ES_tradnl"/>
          </w:rPr>
          <w:t>Escáner_20260203</w:t>
        </w:r>
        <w:r w:rsidR="003925F1" w:rsidRPr="00B356D9">
          <w:rPr>
            <w:rFonts w:ascii="Palatino Linotype" w:eastAsiaTheme="minorEastAsia" w:hAnsi="Palatino Linotype"/>
            <w:b/>
            <w:sz w:val="24"/>
            <w:lang w:val="es-ES_tradnl"/>
          </w:rPr>
          <w:t>.pdf</w:t>
        </w:r>
      </w:hyperlink>
      <w:r w:rsidR="008E2C58" w:rsidRPr="00B356D9">
        <w:rPr>
          <w:rFonts w:ascii="Palatino Linotype" w:hAnsi="Palatino Linotype" w:cs="Arial"/>
          <w:b/>
          <w:sz w:val="24"/>
          <w:lang w:val="es-ES"/>
        </w:rPr>
        <w:t xml:space="preserve">: </w:t>
      </w:r>
      <w:r w:rsidR="003925F1" w:rsidRPr="00B356D9">
        <w:rPr>
          <w:rFonts w:ascii="Palatino Linotype" w:hAnsi="Palatino Linotype" w:cs="Arial"/>
          <w:sz w:val="24"/>
          <w:lang w:val="es-ES"/>
        </w:rPr>
        <w:t xml:space="preserve">Oficio de fecha </w:t>
      </w:r>
      <w:r w:rsidR="00CC1195" w:rsidRPr="00B356D9">
        <w:rPr>
          <w:rFonts w:ascii="Palatino Linotype" w:hAnsi="Palatino Linotype" w:cs="Arial"/>
          <w:sz w:val="24"/>
          <w:lang w:val="es-ES"/>
        </w:rPr>
        <w:t xml:space="preserve">doce </w:t>
      </w:r>
      <w:r w:rsidR="003925F1" w:rsidRPr="00B356D9">
        <w:rPr>
          <w:rFonts w:ascii="Palatino Linotype" w:hAnsi="Palatino Linotype" w:cs="Arial"/>
          <w:sz w:val="24"/>
          <w:lang w:val="es-ES"/>
        </w:rPr>
        <w:t xml:space="preserve">de enero de enero de dos mil veintiséis, suscrito por el </w:t>
      </w:r>
      <w:r w:rsidR="00CC1195" w:rsidRPr="00B356D9">
        <w:rPr>
          <w:rFonts w:ascii="Palatino Linotype" w:hAnsi="Palatino Linotype" w:cs="Arial"/>
          <w:sz w:val="24"/>
          <w:lang w:val="es-ES"/>
        </w:rPr>
        <w:t>Contralor Municipal</w:t>
      </w:r>
      <w:r w:rsidR="003925F1" w:rsidRPr="00B356D9">
        <w:rPr>
          <w:rFonts w:ascii="Palatino Linotype" w:hAnsi="Palatino Linotype" w:cs="Arial"/>
          <w:sz w:val="24"/>
          <w:lang w:val="es-ES"/>
        </w:rPr>
        <w:t xml:space="preserve">, a través del cual informa su incompetencia para brindar respuesta a la solicitud de información, toda vez que la información requerida corresponde a </w:t>
      </w:r>
      <w:r w:rsidR="003925F1" w:rsidRPr="00B356D9">
        <w:rPr>
          <w:rFonts w:ascii="Palatino Linotype" w:hAnsi="Palatino Linotype" w:cs="Arial"/>
          <w:sz w:val="24"/>
          <w:lang w:val="es-ES"/>
        </w:rPr>
        <w:lastRenderedPageBreak/>
        <w:t xml:space="preserve">un </w:t>
      </w:r>
      <w:r w:rsidR="003925F1" w:rsidRPr="00B356D9">
        <w:rPr>
          <w:rFonts w:ascii="Palatino Linotype" w:hAnsi="Palatino Linotype" w:cs="Arial"/>
          <w:b/>
          <w:sz w:val="24"/>
          <w:lang w:val="es-ES"/>
        </w:rPr>
        <w:t xml:space="preserve">SUJETO OBLIGADO DIVERSO, </w:t>
      </w:r>
      <w:r w:rsidR="00CC1195" w:rsidRPr="00B356D9">
        <w:rPr>
          <w:rFonts w:ascii="Palatino Linotype" w:hAnsi="Palatino Linotype" w:cs="Arial"/>
          <w:sz w:val="24"/>
          <w:lang w:val="es-ES"/>
        </w:rPr>
        <w:t xml:space="preserve"> como lo es la </w:t>
      </w:r>
      <w:r w:rsidR="00CC1195" w:rsidRPr="00B356D9">
        <w:rPr>
          <w:rFonts w:ascii="Palatino Linotype" w:hAnsi="Palatino Linotype" w:cs="Arial"/>
          <w:b/>
          <w:sz w:val="24"/>
          <w:lang w:val="es-ES"/>
        </w:rPr>
        <w:t>Secretaría de la Contraloría</w:t>
      </w:r>
      <w:r w:rsidR="00457178" w:rsidRPr="00B356D9">
        <w:rPr>
          <w:rFonts w:ascii="Palatino Linotype" w:hAnsi="Palatino Linotype" w:cs="Arial"/>
          <w:sz w:val="24"/>
          <w:lang w:val="es-ES"/>
        </w:rPr>
        <w:t>.</w:t>
      </w:r>
    </w:p>
    <w:p w14:paraId="04A5292E" w14:textId="77777777" w:rsidR="00240434" w:rsidRPr="00B356D9" w:rsidRDefault="00240434" w:rsidP="00B356D9">
      <w:pPr>
        <w:tabs>
          <w:tab w:val="left" w:pos="567"/>
        </w:tabs>
        <w:spacing w:line="360" w:lineRule="auto"/>
        <w:ind w:left="567" w:right="539"/>
        <w:contextualSpacing/>
        <w:jc w:val="both"/>
        <w:rPr>
          <w:rFonts w:ascii="Palatino Linotype" w:hAnsi="Palatino Linotype" w:cs="Arial"/>
          <w:lang w:val="es-ES"/>
        </w:rPr>
      </w:pPr>
    </w:p>
    <w:p w14:paraId="50EDB7B3" w14:textId="20DAE23D" w:rsidR="007721BA" w:rsidRPr="00B356D9" w:rsidRDefault="007721BA" w:rsidP="00B356D9">
      <w:pPr>
        <w:pStyle w:val="Prrafodelista"/>
        <w:numPr>
          <w:ilvl w:val="0"/>
          <w:numId w:val="1"/>
        </w:numPr>
        <w:spacing w:line="360" w:lineRule="auto"/>
        <w:ind w:left="0" w:firstLine="0"/>
        <w:contextualSpacing w:val="0"/>
        <w:jc w:val="both"/>
        <w:rPr>
          <w:rFonts w:ascii="Palatino Linotype" w:hAnsi="Palatino Linotype"/>
          <w:sz w:val="24"/>
        </w:rPr>
      </w:pPr>
      <w:bookmarkStart w:id="5" w:name="_Toc472500652"/>
      <w:bookmarkStart w:id="6" w:name="_Toc472427085"/>
      <w:bookmarkStart w:id="7" w:name="_Toc462307683"/>
      <w:r w:rsidRPr="00B356D9">
        <w:rPr>
          <w:rFonts w:ascii="Palatino Linotype" w:eastAsia="Calibri" w:hAnsi="Palatino Linotype" w:cs="Arial"/>
          <w:sz w:val="24"/>
          <w:lang w:val="es-AR"/>
        </w:rPr>
        <w:t xml:space="preserve">El </w:t>
      </w:r>
      <w:r w:rsidR="00CC1195" w:rsidRPr="00B356D9">
        <w:rPr>
          <w:rFonts w:ascii="Palatino Linotype" w:eastAsia="Calibri" w:hAnsi="Palatino Linotype" w:cs="Arial"/>
          <w:b/>
          <w:sz w:val="24"/>
          <w:lang w:val="es-AR"/>
        </w:rPr>
        <w:t>cuatro de febrero de dos mil veintiséis</w:t>
      </w:r>
      <w:r w:rsidRPr="00B356D9">
        <w:rPr>
          <w:rFonts w:ascii="Palatino Linotype" w:hAnsi="Palatino Linotype"/>
          <w:sz w:val="24"/>
        </w:rPr>
        <w:t xml:space="preserve">, el solicitante interpuso recurso de revisión en la solicitud de información </w:t>
      </w:r>
      <w:r w:rsidR="000B7E40" w:rsidRPr="00B356D9">
        <w:rPr>
          <w:rFonts w:ascii="Palatino Linotype" w:hAnsi="Palatino Linotype"/>
          <w:b/>
          <w:bCs/>
          <w:sz w:val="24"/>
        </w:rPr>
        <w:t>0</w:t>
      </w:r>
      <w:r w:rsidR="00CC1195" w:rsidRPr="00B356D9">
        <w:rPr>
          <w:rFonts w:ascii="Palatino Linotype" w:hAnsi="Palatino Linotype"/>
          <w:b/>
          <w:bCs/>
          <w:sz w:val="24"/>
        </w:rPr>
        <w:t>0010</w:t>
      </w:r>
      <w:r w:rsidRPr="00B356D9">
        <w:rPr>
          <w:rFonts w:ascii="Palatino Linotype" w:hAnsi="Palatino Linotype"/>
          <w:b/>
          <w:bCs/>
          <w:sz w:val="24"/>
        </w:rPr>
        <w:t>/</w:t>
      </w:r>
      <w:r w:rsidR="00CC1195" w:rsidRPr="00B356D9">
        <w:rPr>
          <w:rFonts w:ascii="Palatino Linotype" w:hAnsi="Palatino Linotype"/>
          <w:b/>
          <w:bCs/>
          <w:sz w:val="24"/>
        </w:rPr>
        <w:t>VABRAVO</w:t>
      </w:r>
      <w:r w:rsidRPr="00B356D9">
        <w:rPr>
          <w:rFonts w:ascii="Palatino Linotype" w:hAnsi="Palatino Linotype"/>
          <w:b/>
          <w:bCs/>
          <w:sz w:val="24"/>
        </w:rPr>
        <w:t>/IP/202</w:t>
      </w:r>
      <w:r w:rsidR="00CC1195" w:rsidRPr="00B356D9">
        <w:rPr>
          <w:rFonts w:ascii="Palatino Linotype" w:hAnsi="Palatino Linotype"/>
          <w:b/>
          <w:bCs/>
          <w:sz w:val="24"/>
        </w:rPr>
        <w:t>6</w:t>
      </w:r>
      <w:r w:rsidR="002835B4" w:rsidRPr="00B356D9">
        <w:rPr>
          <w:rFonts w:ascii="Palatino Linotype" w:hAnsi="Palatino Linotype"/>
          <w:b/>
          <w:bCs/>
          <w:sz w:val="24"/>
        </w:rPr>
        <w:t>,</w:t>
      </w:r>
      <w:r w:rsidRPr="00B356D9">
        <w:rPr>
          <w:rFonts w:ascii="Palatino Linotype" w:hAnsi="Palatino Linotype"/>
          <w:b/>
          <w:bCs/>
          <w:color w:val="000000" w:themeColor="text1"/>
          <w:sz w:val="24"/>
        </w:rPr>
        <w:t xml:space="preserve"> </w:t>
      </w:r>
      <w:r w:rsidRPr="00B356D9">
        <w:rPr>
          <w:rFonts w:ascii="Palatino Linotype" w:hAnsi="Palatino Linotype"/>
          <w:sz w:val="24"/>
        </w:rPr>
        <w:t xml:space="preserve">en contra de la respuesta emitida por el </w:t>
      </w:r>
      <w:r w:rsidRPr="00B356D9">
        <w:rPr>
          <w:rFonts w:ascii="Palatino Linotype" w:hAnsi="Palatino Linotype"/>
          <w:b/>
          <w:sz w:val="24"/>
        </w:rPr>
        <w:t>SUJETO OBLIGADO</w:t>
      </w:r>
      <w:r w:rsidRPr="00B356D9">
        <w:rPr>
          <w:rFonts w:ascii="Palatino Linotype" w:hAnsi="Palatino Linotype" w:cs="Arial"/>
          <w:sz w:val="24"/>
        </w:rPr>
        <w:t>, señalando las siguientes razones o motivos de inconformidad:</w:t>
      </w:r>
    </w:p>
    <w:p w14:paraId="2A9EF1BE" w14:textId="77777777" w:rsidR="002835B4" w:rsidRPr="00B356D9" w:rsidRDefault="002835B4" w:rsidP="00B356D9">
      <w:pPr>
        <w:pStyle w:val="Prrafodelista"/>
        <w:spacing w:line="360" w:lineRule="auto"/>
        <w:ind w:left="0"/>
        <w:contextualSpacing w:val="0"/>
        <w:jc w:val="both"/>
        <w:rPr>
          <w:rFonts w:ascii="Palatino Linotype" w:hAnsi="Palatino Linotype"/>
          <w:sz w:val="24"/>
        </w:rPr>
      </w:pPr>
    </w:p>
    <w:bookmarkEnd w:id="5"/>
    <w:bookmarkEnd w:id="6"/>
    <w:bookmarkEnd w:id="7"/>
    <w:p w14:paraId="71F8C922" w14:textId="77777777" w:rsidR="007721BA" w:rsidRPr="00B356D9" w:rsidRDefault="007721BA" w:rsidP="00B356D9">
      <w:pPr>
        <w:pStyle w:val="Prrafodelista"/>
        <w:ind w:left="567" w:right="539"/>
        <w:jc w:val="both"/>
        <w:rPr>
          <w:rFonts w:ascii="Palatino Linotype" w:hAnsi="Palatino Linotype"/>
          <w:b/>
          <w:bCs/>
          <w:sz w:val="24"/>
        </w:rPr>
      </w:pPr>
      <w:r w:rsidRPr="00B356D9">
        <w:rPr>
          <w:rFonts w:ascii="Palatino Linotype" w:hAnsi="Palatino Linotype"/>
          <w:b/>
          <w:bCs/>
          <w:sz w:val="24"/>
        </w:rPr>
        <w:t>Acto Impugnado</w:t>
      </w:r>
    </w:p>
    <w:p w14:paraId="704919BB" w14:textId="7B6F3799" w:rsidR="007721BA" w:rsidRPr="00B356D9" w:rsidRDefault="007721BA" w:rsidP="00B356D9">
      <w:pPr>
        <w:pStyle w:val="Prrafodelista"/>
        <w:ind w:left="567" w:right="539"/>
        <w:jc w:val="both"/>
        <w:rPr>
          <w:rFonts w:ascii="Palatino Linotype" w:eastAsiaTheme="minorEastAsia" w:hAnsi="Palatino Linotype" w:cs="Arial"/>
          <w:i/>
          <w:sz w:val="24"/>
          <w:lang w:val="es-ES_tradnl"/>
        </w:rPr>
      </w:pPr>
      <w:r w:rsidRPr="00B356D9">
        <w:rPr>
          <w:rFonts w:ascii="Palatino Linotype" w:eastAsiaTheme="minorEastAsia" w:hAnsi="Palatino Linotype" w:cs="Arial"/>
          <w:i/>
          <w:sz w:val="24"/>
          <w:lang w:val="es-ES_tradnl"/>
        </w:rPr>
        <w:t>“</w:t>
      </w:r>
      <w:r w:rsidR="00CC1195" w:rsidRPr="00B356D9">
        <w:rPr>
          <w:rFonts w:ascii="Palatino Linotype" w:eastAsiaTheme="minorEastAsia" w:hAnsi="Palatino Linotype" w:cs="Arial"/>
          <w:i/>
          <w:sz w:val="24"/>
          <w:lang w:val="es-ES_tradnl"/>
        </w:rPr>
        <w:t xml:space="preserve">La respuesta contenida en el oficio AVB/CM/023/ENERO/2026 de fecha 12 de enero de 2026, firmada por la Contralora Municipal Eva Cabrera Callejas, mediante la cual declara una notoria incompetencia y la consecuente negativa de acceso a la información, argumentando indebidamente que no posee la información por encontrarse en un sistema informático estatal.” </w:t>
      </w:r>
      <w:r w:rsidR="00D033FC" w:rsidRPr="00B356D9">
        <w:rPr>
          <w:rFonts w:ascii="Palatino Linotype" w:eastAsiaTheme="minorEastAsia" w:hAnsi="Palatino Linotype" w:cs="Arial"/>
          <w:i/>
          <w:sz w:val="24"/>
          <w:lang w:val="es-ES_tradnl"/>
        </w:rPr>
        <w:t>(Sic.)</w:t>
      </w:r>
    </w:p>
    <w:p w14:paraId="546B13CD" w14:textId="77777777" w:rsidR="00457178" w:rsidRPr="00B356D9" w:rsidRDefault="00457178" w:rsidP="00B356D9">
      <w:pPr>
        <w:pStyle w:val="Prrafodelista"/>
        <w:ind w:left="567" w:right="539"/>
        <w:jc w:val="both"/>
        <w:rPr>
          <w:rFonts w:ascii="Palatino Linotype" w:eastAsiaTheme="minorEastAsia" w:hAnsi="Palatino Linotype" w:cs="Arial"/>
          <w:i/>
          <w:sz w:val="24"/>
          <w:lang w:val="es-ES_tradnl"/>
        </w:rPr>
      </w:pPr>
    </w:p>
    <w:p w14:paraId="3F6D08DB" w14:textId="77777777" w:rsidR="007721BA" w:rsidRPr="00B356D9" w:rsidRDefault="007721BA" w:rsidP="00B356D9">
      <w:pPr>
        <w:pStyle w:val="Prrafodelista"/>
        <w:spacing w:line="360" w:lineRule="auto"/>
        <w:ind w:left="567" w:right="539"/>
        <w:jc w:val="both"/>
        <w:rPr>
          <w:rFonts w:ascii="Palatino Linotype" w:hAnsi="Palatino Linotype"/>
          <w:b/>
          <w:bCs/>
          <w:sz w:val="24"/>
        </w:rPr>
      </w:pPr>
      <w:r w:rsidRPr="00B356D9">
        <w:rPr>
          <w:rFonts w:ascii="Palatino Linotype" w:hAnsi="Palatino Linotype"/>
          <w:b/>
          <w:bCs/>
          <w:sz w:val="24"/>
        </w:rPr>
        <w:t>Razones o Motivos de la Inconformidad</w:t>
      </w:r>
    </w:p>
    <w:p w14:paraId="54F97F04" w14:textId="304F9FF5" w:rsidR="007721BA" w:rsidRPr="00B356D9" w:rsidRDefault="007721BA" w:rsidP="00B356D9">
      <w:pPr>
        <w:pStyle w:val="Prrafodelista"/>
        <w:ind w:left="567" w:right="539"/>
        <w:jc w:val="both"/>
        <w:rPr>
          <w:rFonts w:ascii="Palatino Linotype" w:eastAsiaTheme="minorEastAsia" w:hAnsi="Palatino Linotype" w:cs="Arial"/>
          <w:i/>
          <w:sz w:val="24"/>
          <w:lang w:val="es-ES_tradnl"/>
        </w:rPr>
      </w:pPr>
      <w:r w:rsidRPr="00B356D9">
        <w:rPr>
          <w:rFonts w:ascii="Palatino Linotype" w:eastAsiaTheme="minorEastAsia" w:hAnsi="Palatino Linotype" w:cs="Arial"/>
          <w:i/>
          <w:sz w:val="24"/>
          <w:lang w:val="es-ES_tradnl"/>
        </w:rPr>
        <w:t>“</w:t>
      </w:r>
      <w:r w:rsidR="00CC1195" w:rsidRPr="00B356D9">
        <w:rPr>
          <w:rFonts w:ascii="Palatino Linotype" w:eastAsiaTheme="minorEastAsia" w:hAnsi="Palatino Linotype" w:cs="Arial"/>
          <w:i/>
          <w:sz w:val="24"/>
          <w:lang w:val="es-ES_tradnl"/>
        </w:rPr>
        <w:t xml:space="preserve">Me inconformo contra la respuesta del Sujeto Obligado por ser infundada, ilegal y restrictiva de mi derecho de acceso a la información, basándome en los siguientes agravios: 1. FALSA INCOMPETENCIA Y POSESIÓN VIRTUAL: la C. Eva Cabrera CALLEJAS, Contralora Municipal de Valle de Bravo, México; argumenta erróneamente en el cuerpo del oficio que la documentación 'escapa de su competencia' y que 'no cuenta con la documentación' bajo el pretexto de que el sistema (DeclaraNET) es controlado por la Secretaría de la Contraloría del Poder Ejecutivo Estatal. Este argumento es falaz. Si bien el Ayuntamiento utiliza la plataforma tecnológica del Gobierno del Estado mediante convenio, esto no exime a la Contraloría Municipal de su carácter de autoridad responsable y poseedora de la información. De acuerdo con la Ley de Responsabilidades Administrativas del Estado de México y Municipios, son los Órganos Internos de Control (Contralorías Municipales) quienes tienen la obligación legal de recibir y resguardar las declaraciones. 2. ACCESO ADMINISTRATIVO VIGENTE: Es de conocimiento público y criterio reiterado por este Órgano Garante (INFOEM) que los Contralores Municipales poseen claves de acceso (usuario y contraseña) con </w:t>
      </w:r>
      <w:r w:rsidR="00CC1195" w:rsidRPr="00B356D9">
        <w:rPr>
          <w:rFonts w:ascii="Palatino Linotype" w:eastAsiaTheme="minorEastAsia" w:hAnsi="Palatino Linotype" w:cs="Arial"/>
          <w:i/>
          <w:sz w:val="24"/>
          <w:lang w:val="es-ES_tradnl"/>
        </w:rPr>
        <w:lastRenderedPageBreak/>
        <w:t>privilegios de administrador sobre los registros de sus propios servidores públicos dentro de la plataforma estatal. Por lo tanto, la C. Eva Cabrera SÍ tiene la capacidad material y técnica para ingresar al sistema, consultar los registros de los directores de su administración y generar las versiones públicas solicitadas. Alegar que el software es de un tercero para negar la información es una barrera administrativa inaceptable. 3. PRINCIPIO DE PUBLICIDAD: La información solicitada (versiones públicas de declaraciones patrimoniales) es una Obligación de Transparencia Común y Específica. Al derivarme a una instancia estatal (Secretaría Ejecutiva) para obtener información de funcionarios que cobran en la nómina municipal, el Sujeto Obligado está violando el principio de sencillez y rapidez, intentando ocultar información que debe tener disponible. SOLICITUD: Solicito al INFOEM que revoque la respuesta y ordene al Ayuntamiento de Valle de Bravo que ejerza sus facultades de acceso al sistema, descargue la información que legalmente le pertenece y entregue las versiones públicas requeridas</w:t>
      </w:r>
      <w:r w:rsidR="000B7E40" w:rsidRPr="00B356D9">
        <w:rPr>
          <w:rFonts w:ascii="Palatino Linotype" w:eastAsiaTheme="minorEastAsia" w:hAnsi="Palatino Linotype" w:cs="Arial"/>
          <w:i/>
          <w:sz w:val="24"/>
          <w:lang w:val="es-ES_tradnl"/>
        </w:rPr>
        <w:t>.</w:t>
      </w:r>
      <w:r w:rsidR="00D033FC" w:rsidRPr="00B356D9">
        <w:rPr>
          <w:rFonts w:ascii="Palatino Linotype" w:eastAsiaTheme="minorEastAsia" w:hAnsi="Palatino Linotype" w:cs="Arial"/>
          <w:i/>
          <w:sz w:val="24"/>
          <w:lang w:val="es-ES_tradnl"/>
        </w:rPr>
        <w:t>”(Sic.)</w:t>
      </w:r>
    </w:p>
    <w:p w14:paraId="7F72CDF0" w14:textId="77777777" w:rsidR="002835B4" w:rsidRPr="00B356D9" w:rsidRDefault="002835B4" w:rsidP="00B356D9">
      <w:pPr>
        <w:pStyle w:val="Prrafodelista"/>
        <w:spacing w:line="360" w:lineRule="auto"/>
        <w:ind w:left="567" w:right="539"/>
        <w:jc w:val="both"/>
        <w:rPr>
          <w:rFonts w:ascii="Palatino Linotype" w:eastAsiaTheme="minorEastAsia" w:hAnsi="Palatino Linotype" w:cs="Arial"/>
          <w:i/>
          <w:sz w:val="24"/>
          <w:lang w:val="es-ES_tradnl"/>
        </w:rPr>
      </w:pPr>
    </w:p>
    <w:p w14:paraId="74165F35" w14:textId="159E3609" w:rsidR="00457178" w:rsidRPr="00B356D9" w:rsidRDefault="00457178" w:rsidP="00B356D9">
      <w:pPr>
        <w:pStyle w:val="Prrafodelista"/>
        <w:spacing w:line="360" w:lineRule="auto"/>
        <w:ind w:left="567" w:right="539"/>
        <w:jc w:val="both"/>
        <w:rPr>
          <w:rFonts w:ascii="Palatino Linotype" w:eastAsiaTheme="minorEastAsia" w:hAnsi="Palatino Linotype" w:cs="Arial"/>
          <w:sz w:val="24"/>
          <w:lang w:val="es-ES_tradnl"/>
        </w:rPr>
      </w:pPr>
      <w:r w:rsidRPr="00B356D9">
        <w:rPr>
          <w:rFonts w:ascii="Palatino Linotype" w:eastAsiaTheme="minorEastAsia" w:hAnsi="Palatino Linotype" w:cs="Arial"/>
          <w:sz w:val="24"/>
          <w:lang w:val="es-ES_tradnl"/>
        </w:rPr>
        <w:t xml:space="preserve">A su inconformidad agregó el documento </w:t>
      </w:r>
      <w:r w:rsidR="00CC1195" w:rsidRPr="00B356D9">
        <w:rPr>
          <w:rFonts w:ascii="Palatino Linotype" w:eastAsiaTheme="minorEastAsia" w:hAnsi="Palatino Linotype" w:cs="Arial"/>
          <w:sz w:val="24"/>
          <w:lang w:val="es-ES_tradnl"/>
        </w:rPr>
        <w:t>remitido en respuesta</w:t>
      </w:r>
      <w:r w:rsidR="00CC1195" w:rsidRPr="00B356D9">
        <w:rPr>
          <w:rFonts w:ascii="Palatino Linotype" w:eastAsiaTheme="minorEastAsia" w:hAnsi="Palatino Linotype" w:cs="Arial"/>
          <w:b/>
          <w:sz w:val="24"/>
          <w:lang w:val="es-ES_tradnl"/>
        </w:rPr>
        <w:t xml:space="preserve"> del SUJETO OBLIGADO</w:t>
      </w:r>
      <w:r w:rsidRPr="00B356D9">
        <w:rPr>
          <w:rFonts w:ascii="Palatino Linotype" w:eastAsiaTheme="minorEastAsia" w:hAnsi="Palatino Linotype" w:cs="Arial"/>
          <w:sz w:val="24"/>
          <w:lang w:val="es-ES_tradnl"/>
        </w:rPr>
        <w:t>.</w:t>
      </w:r>
    </w:p>
    <w:p w14:paraId="13C41143" w14:textId="77777777" w:rsidR="00457178" w:rsidRPr="00B356D9" w:rsidRDefault="00457178" w:rsidP="00B356D9">
      <w:pPr>
        <w:pStyle w:val="Prrafodelista"/>
        <w:spacing w:line="360" w:lineRule="auto"/>
        <w:ind w:left="567" w:right="539"/>
        <w:jc w:val="both"/>
        <w:rPr>
          <w:rFonts w:ascii="Palatino Linotype" w:eastAsiaTheme="minorEastAsia" w:hAnsi="Palatino Linotype" w:cs="Arial"/>
          <w:i/>
          <w:sz w:val="24"/>
          <w:lang w:val="es-ES_tradnl"/>
        </w:rPr>
      </w:pPr>
    </w:p>
    <w:p w14:paraId="7E1AFA4D" w14:textId="2C7E55C7" w:rsidR="002835B4" w:rsidRPr="00B356D9" w:rsidRDefault="004E7DDC" w:rsidP="00B356D9">
      <w:pPr>
        <w:numPr>
          <w:ilvl w:val="0"/>
          <w:numId w:val="1"/>
        </w:numPr>
        <w:spacing w:line="360" w:lineRule="auto"/>
        <w:ind w:left="0" w:firstLine="0"/>
        <w:contextualSpacing/>
        <w:jc w:val="both"/>
        <w:rPr>
          <w:rFonts w:ascii="Palatino Linotype" w:eastAsia="MS Mincho" w:hAnsi="Palatino Linotype"/>
          <w:i/>
          <w:color w:val="000000"/>
        </w:rPr>
      </w:pPr>
      <w:r w:rsidRPr="00B356D9">
        <w:rPr>
          <w:rFonts w:ascii="Palatino Linotype" w:hAnsi="Palatino Linotype" w:cs="Arial"/>
          <w:lang w:val="es-ES"/>
        </w:rPr>
        <w:t xml:space="preserve">Se registró el </w:t>
      </w:r>
      <w:r w:rsidR="002835B4" w:rsidRPr="00B356D9">
        <w:rPr>
          <w:rFonts w:ascii="Palatino Linotype" w:hAnsi="Palatino Linotype" w:cs="Arial"/>
          <w:lang w:val="es-ES"/>
        </w:rPr>
        <w:t xml:space="preserve">recurso de revisión bajo </w:t>
      </w:r>
      <w:r w:rsidRPr="00B356D9">
        <w:rPr>
          <w:rFonts w:ascii="Palatino Linotype" w:hAnsi="Palatino Linotype" w:cs="Arial"/>
          <w:lang w:val="es-ES"/>
        </w:rPr>
        <w:t xml:space="preserve">el </w:t>
      </w:r>
      <w:r w:rsidR="002835B4" w:rsidRPr="00B356D9">
        <w:rPr>
          <w:rFonts w:ascii="Palatino Linotype" w:hAnsi="Palatino Linotype" w:cs="Arial"/>
          <w:lang w:val="es-ES"/>
        </w:rPr>
        <w:t xml:space="preserve">número de expediente </w:t>
      </w:r>
      <w:r w:rsidR="002835B4" w:rsidRPr="00B356D9">
        <w:rPr>
          <w:rFonts w:ascii="Palatino Linotype" w:eastAsia="MS Mincho" w:hAnsi="Palatino Linotype" w:cs="Arial"/>
          <w:bCs/>
        </w:rPr>
        <w:t xml:space="preserve">al rubro indicado, asimismo con fundamento en lo dispuesto por el </w:t>
      </w:r>
      <w:r w:rsidR="002835B4" w:rsidRPr="00B356D9">
        <w:rPr>
          <w:rFonts w:ascii="Palatino Linotype" w:eastAsia="Calibri" w:hAnsi="Palatino Linotype" w:cs="Arial"/>
          <w:lang w:val="es-ES"/>
        </w:rPr>
        <w:t xml:space="preserve">artículo 185 fracción I de la Ley de Transparencia y Acceso a la Información Pública del Estado de México y Municipios </w:t>
      </w:r>
      <w:r w:rsidRPr="00B356D9">
        <w:rPr>
          <w:rFonts w:ascii="Palatino Linotype" w:hAnsi="Palatino Linotype" w:cs="Arial"/>
          <w:lang w:val="es-ES"/>
        </w:rPr>
        <w:t xml:space="preserve">se turnó </w:t>
      </w:r>
      <w:r w:rsidR="002835B4" w:rsidRPr="00B356D9">
        <w:rPr>
          <w:rFonts w:ascii="Palatino Linotype" w:hAnsi="Palatino Linotype" w:cs="Arial"/>
          <w:lang w:val="es-ES"/>
        </w:rPr>
        <w:t xml:space="preserve">a la </w:t>
      </w:r>
      <w:r w:rsidR="002835B4" w:rsidRPr="00B356D9">
        <w:rPr>
          <w:rFonts w:ascii="Palatino Linotype" w:hAnsi="Palatino Linotype" w:cs="Arial"/>
          <w:b/>
          <w:lang w:val="es-ES"/>
        </w:rPr>
        <w:t xml:space="preserve">Comisionada María del Rosario Mejía Ayala </w:t>
      </w:r>
      <w:r w:rsidR="002835B4" w:rsidRPr="00B356D9">
        <w:rPr>
          <w:rFonts w:ascii="Palatino Linotype" w:hAnsi="Palatino Linotype" w:cs="Arial"/>
          <w:lang w:val="es-ES"/>
        </w:rPr>
        <w:t xml:space="preserve">con el objeto de </w:t>
      </w:r>
      <w:r w:rsidR="002835B4" w:rsidRPr="00B356D9">
        <w:rPr>
          <w:rFonts w:ascii="Palatino Linotype" w:hAnsi="Palatino Linotype" w:cs="Arial"/>
        </w:rPr>
        <w:t>su análisis.</w:t>
      </w:r>
    </w:p>
    <w:p w14:paraId="3E319571" w14:textId="77777777" w:rsidR="005F0B19" w:rsidRPr="00B356D9" w:rsidRDefault="005F0B19" w:rsidP="00B356D9">
      <w:pPr>
        <w:spacing w:line="360" w:lineRule="auto"/>
        <w:contextualSpacing/>
        <w:jc w:val="both"/>
        <w:rPr>
          <w:rFonts w:ascii="Palatino Linotype" w:eastAsia="MS Mincho" w:hAnsi="Palatino Linotype"/>
          <w:i/>
          <w:color w:val="000000"/>
        </w:rPr>
      </w:pPr>
    </w:p>
    <w:p w14:paraId="64FC636C" w14:textId="21C00E15" w:rsidR="00BA0D34" w:rsidRPr="00B356D9" w:rsidRDefault="004E7DDC" w:rsidP="00B356D9">
      <w:pPr>
        <w:numPr>
          <w:ilvl w:val="0"/>
          <w:numId w:val="1"/>
        </w:numPr>
        <w:spacing w:line="360" w:lineRule="auto"/>
        <w:ind w:left="0" w:firstLine="0"/>
        <w:contextualSpacing/>
        <w:jc w:val="both"/>
        <w:rPr>
          <w:rFonts w:ascii="Palatino Linotype" w:eastAsia="MS Mincho" w:hAnsi="Palatino Linotype"/>
          <w:i/>
          <w:color w:val="000000"/>
        </w:rPr>
      </w:pPr>
      <w:r w:rsidRPr="00B356D9">
        <w:rPr>
          <w:rFonts w:ascii="Palatino Linotype" w:hAnsi="Palatino Linotype"/>
          <w:color w:val="000000"/>
        </w:rPr>
        <w:t>La Comisionada</w:t>
      </w:r>
      <w:r w:rsidR="002835B4" w:rsidRPr="00B356D9">
        <w:rPr>
          <w:rFonts w:ascii="Palatino Linotype" w:hAnsi="Palatino Linotype"/>
          <w:color w:val="000000"/>
        </w:rPr>
        <w:t xml:space="preserve"> Ponente </w:t>
      </w:r>
      <w:r w:rsidR="00B805D7" w:rsidRPr="00B356D9">
        <w:rPr>
          <w:rFonts w:ascii="Palatino Linotype" w:hAnsi="Palatino Linotype"/>
          <w:color w:val="000000"/>
        </w:rPr>
        <w:t xml:space="preserve">de origen </w:t>
      </w:r>
      <w:r w:rsidR="002835B4" w:rsidRPr="00B356D9">
        <w:rPr>
          <w:rFonts w:ascii="Palatino Linotype" w:hAnsi="Palatino Linotype"/>
          <w:color w:val="000000"/>
        </w:rPr>
        <w:t xml:space="preserve">con fundamento en lo dispuesto por el artículo 185 </w:t>
      </w:r>
      <w:r w:rsidR="002835B4" w:rsidRPr="00B356D9">
        <w:rPr>
          <w:rFonts w:ascii="Palatino Linotype" w:eastAsia="Calibri" w:hAnsi="Palatino Linotype" w:cs="Arial"/>
        </w:rPr>
        <w:t>fracción</w:t>
      </w:r>
      <w:r w:rsidR="002835B4" w:rsidRPr="00B356D9">
        <w:rPr>
          <w:rFonts w:ascii="Palatino Linotype" w:hAnsi="Palatino Linotype"/>
          <w:color w:val="000000"/>
        </w:rPr>
        <w:t xml:space="preserve"> II de la ley de la materia, a través del </w:t>
      </w:r>
      <w:r w:rsidR="002835B4" w:rsidRPr="00B356D9">
        <w:rPr>
          <w:rFonts w:ascii="Palatino Linotype" w:hAnsi="Palatino Linotype"/>
          <w:b/>
          <w:color w:val="000000"/>
        </w:rPr>
        <w:t xml:space="preserve">acuerdo de admisión </w:t>
      </w:r>
      <w:r w:rsidRPr="00B356D9">
        <w:rPr>
          <w:rFonts w:ascii="Palatino Linotype" w:hAnsi="Palatino Linotype"/>
          <w:color w:val="000000"/>
        </w:rPr>
        <w:t xml:space="preserve">de fecha </w:t>
      </w:r>
      <w:r w:rsidR="00457178" w:rsidRPr="00B356D9">
        <w:rPr>
          <w:rFonts w:ascii="Palatino Linotype" w:hAnsi="Palatino Linotype"/>
          <w:b/>
          <w:color w:val="000000"/>
        </w:rPr>
        <w:t xml:space="preserve">cinco de febrero de dos mil </w:t>
      </w:r>
      <w:r w:rsidR="00CC1195" w:rsidRPr="00B356D9">
        <w:rPr>
          <w:rFonts w:ascii="Palatino Linotype" w:hAnsi="Palatino Linotype"/>
          <w:b/>
          <w:color w:val="000000"/>
        </w:rPr>
        <w:t>veintiséis</w:t>
      </w:r>
      <w:r w:rsidR="002835B4" w:rsidRPr="00B356D9">
        <w:rPr>
          <w:rFonts w:ascii="Palatino Linotype" w:hAnsi="Palatino Linotype"/>
          <w:color w:val="000000"/>
        </w:rPr>
        <w:t>, pus</w:t>
      </w:r>
      <w:r w:rsidRPr="00B356D9">
        <w:rPr>
          <w:rFonts w:ascii="Palatino Linotype" w:hAnsi="Palatino Linotype"/>
          <w:color w:val="000000"/>
        </w:rPr>
        <w:t xml:space="preserve">o </w:t>
      </w:r>
      <w:r w:rsidR="002835B4" w:rsidRPr="00B356D9">
        <w:rPr>
          <w:rFonts w:ascii="Palatino Linotype" w:hAnsi="Palatino Linotype"/>
          <w:color w:val="000000"/>
        </w:rPr>
        <w:t xml:space="preserve">a disposición de las partes el expediente electrónico vía SAIMEX a efecto de que en un plazo máximo de siete días manifestaran lo que a su derecho conviniera, ofrecieran pruebas y alegatos según </w:t>
      </w:r>
      <w:r w:rsidR="002835B4" w:rsidRPr="00B356D9">
        <w:rPr>
          <w:rFonts w:ascii="Palatino Linotype" w:hAnsi="Palatino Linotype"/>
          <w:color w:val="000000"/>
        </w:rPr>
        <w:lastRenderedPageBreak/>
        <w:t xml:space="preserve">corresponda al caso concreto, de esta forma para que el </w:t>
      </w:r>
      <w:r w:rsidR="002835B4" w:rsidRPr="00B356D9">
        <w:rPr>
          <w:rFonts w:ascii="Palatino Linotype" w:hAnsi="Palatino Linotype"/>
          <w:b/>
          <w:color w:val="000000"/>
        </w:rPr>
        <w:t xml:space="preserve">SUJETO OBLIGADO </w:t>
      </w:r>
      <w:r w:rsidR="002835B4" w:rsidRPr="00B356D9">
        <w:rPr>
          <w:rFonts w:ascii="Palatino Linotype" w:hAnsi="Palatino Linotype"/>
          <w:color w:val="000000"/>
        </w:rPr>
        <w:t>presentara el Informe Justificado procedente.</w:t>
      </w:r>
    </w:p>
    <w:p w14:paraId="4368C596" w14:textId="77777777" w:rsidR="00BA0D34" w:rsidRPr="00B356D9" w:rsidRDefault="00BA0D34" w:rsidP="00B356D9">
      <w:pPr>
        <w:pStyle w:val="Prrafodelista"/>
        <w:spacing w:line="360" w:lineRule="auto"/>
        <w:jc w:val="both"/>
        <w:rPr>
          <w:rFonts w:ascii="Palatino Linotype" w:eastAsia="Palatino Linotype" w:hAnsi="Palatino Linotype" w:cs="Palatino Linotype"/>
          <w:sz w:val="24"/>
        </w:rPr>
      </w:pPr>
    </w:p>
    <w:p w14:paraId="7B65E83F" w14:textId="3B2B1047" w:rsidR="00BA0D34" w:rsidRPr="00B356D9" w:rsidRDefault="00BA0D34" w:rsidP="00B356D9">
      <w:pPr>
        <w:numPr>
          <w:ilvl w:val="0"/>
          <w:numId w:val="1"/>
        </w:numPr>
        <w:spacing w:line="360" w:lineRule="auto"/>
        <w:ind w:left="0" w:firstLine="0"/>
        <w:contextualSpacing/>
        <w:jc w:val="both"/>
        <w:rPr>
          <w:rFonts w:ascii="Palatino Linotype" w:eastAsia="MS Mincho" w:hAnsi="Palatino Linotype"/>
          <w:i/>
          <w:color w:val="000000"/>
        </w:rPr>
      </w:pPr>
      <w:r w:rsidRPr="00B356D9">
        <w:rPr>
          <w:rFonts w:ascii="Palatino Linotype" w:eastAsia="Palatino Linotype" w:hAnsi="Palatino Linotype" w:cs="Palatino Linotype"/>
        </w:rPr>
        <w:t xml:space="preserve">De las constancias en el expediente electrónico SAIMEX, se advierte que en fecha </w:t>
      </w:r>
      <w:r w:rsidR="00CC1195" w:rsidRPr="00B356D9">
        <w:rPr>
          <w:rFonts w:ascii="Palatino Linotype" w:eastAsia="Palatino Linotype" w:hAnsi="Palatino Linotype" w:cs="Palatino Linotype"/>
          <w:b/>
        </w:rPr>
        <w:t xml:space="preserve">dieciséis </w:t>
      </w:r>
      <w:r w:rsidR="00457178" w:rsidRPr="00B356D9">
        <w:rPr>
          <w:rFonts w:ascii="Palatino Linotype" w:eastAsia="Palatino Linotype" w:hAnsi="Palatino Linotype" w:cs="Palatino Linotype"/>
          <w:b/>
        </w:rPr>
        <w:t>de febrero de dos mil veintiséis</w:t>
      </w:r>
      <w:r w:rsidRPr="00B356D9">
        <w:rPr>
          <w:rFonts w:ascii="Palatino Linotype" w:eastAsia="Palatino Linotype" w:hAnsi="Palatino Linotype" w:cs="Palatino Linotype"/>
          <w:b/>
        </w:rPr>
        <w:t xml:space="preserve">, </w:t>
      </w:r>
      <w:r w:rsidRPr="00B356D9">
        <w:rPr>
          <w:rFonts w:ascii="Palatino Linotype" w:eastAsia="Palatino Linotype" w:hAnsi="Palatino Linotype" w:cs="Palatino Linotype"/>
        </w:rPr>
        <w:t xml:space="preserve">el </w:t>
      </w:r>
      <w:r w:rsidRPr="00B356D9">
        <w:rPr>
          <w:rFonts w:ascii="Palatino Linotype" w:eastAsia="Palatino Linotype" w:hAnsi="Palatino Linotype" w:cs="Palatino Linotype"/>
          <w:b/>
        </w:rPr>
        <w:t xml:space="preserve">SUJETO OBLIGADO, </w:t>
      </w:r>
      <w:r w:rsidRPr="00B356D9">
        <w:rPr>
          <w:rFonts w:ascii="Palatino Linotype" w:eastAsia="Palatino Linotype" w:hAnsi="Palatino Linotype" w:cs="Palatino Linotype"/>
        </w:rPr>
        <w:t>mediante</w:t>
      </w:r>
      <w:r w:rsidRPr="00B356D9">
        <w:rPr>
          <w:rFonts w:ascii="Palatino Linotype" w:eastAsia="Palatino Linotype" w:hAnsi="Palatino Linotype" w:cs="Palatino Linotype"/>
          <w:b/>
        </w:rPr>
        <w:t xml:space="preserve"> Informe Justificado, </w:t>
      </w:r>
      <w:r w:rsidRPr="00B356D9">
        <w:rPr>
          <w:rFonts w:ascii="Palatino Linotype" w:eastAsia="Palatino Linotype" w:hAnsi="Palatino Linotype" w:cs="Palatino Linotype"/>
        </w:rPr>
        <w:t xml:space="preserve">remitió </w:t>
      </w:r>
      <w:r w:rsidR="00CC1195" w:rsidRPr="00B356D9">
        <w:rPr>
          <w:rFonts w:ascii="Palatino Linotype" w:eastAsia="Palatino Linotype" w:hAnsi="Palatino Linotype" w:cs="Palatino Linotype"/>
        </w:rPr>
        <w:t>el</w:t>
      </w:r>
      <w:r w:rsidRPr="00B356D9">
        <w:rPr>
          <w:rFonts w:ascii="Palatino Linotype" w:eastAsia="Palatino Linotype" w:hAnsi="Palatino Linotype" w:cs="Palatino Linotype"/>
        </w:rPr>
        <w:t xml:space="preserve"> archivo denominado </w:t>
      </w:r>
      <w:r w:rsidR="00CC1195" w:rsidRPr="00B356D9">
        <w:rPr>
          <w:rFonts w:ascii="Palatino Linotype" w:eastAsia="Palatino Linotype" w:hAnsi="Palatino Linotype" w:cs="Palatino Linotype"/>
          <w:b/>
        </w:rPr>
        <w:t>RR 01238</w:t>
      </w:r>
      <w:r w:rsidR="00457178" w:rsidRPr="00B356D9">
        <w:rPr>
          <w:rFonts w:ascii="Palatino Linotype" w:eastAsia="Palatino Linotype" w:hAnsi="Palatino Linotype" w:cs="Palatino Linotype"/>
          <w:b/>
        </w:rPr>
        <w:t>.pdf</w:t>
      </w:r>
      <w:r w:rsidRPr="00B356D9">
        <w:rPr>
          <w:rFonts w:ascii="Palatino Linotype" w:eastAsia="Palatino Linotype" w:hAnsi="Palatino Linotype" w:cs="Palatino Linotype"/>
          <w:b/>
        </w:rPr>
        <w:t xml:space="preserve">, </w:t>
      </w:r>
      <w:r w:rsidRPr="00B356D9">
        <w:rPr>
          <w:rFonts w:ascii="Palatino Linotype" w:eastAsia="Palatino Linotype" w:hAnsi="Palatino Linotype" w:cs="Palatino Linotype"/>
        </w:rPr>
        <w:t xml:space="preserve">a través del cual ratificó la respuesta, mismo que se puso a la vista del </w:t>
      </w:r>
      <w:r w:rsidRPr="00B356D9">
        <w:rPr>
          <w:rFonts w:ascii="Palatino Linotype" w:eastAsia="Palatino Linotype" w:hAnsi="Palatino Linotype" w:cs="Palatino Linotype"/>
          <w:b/>
        </w:rPr>
        <w:t xml:space="preserve">RECURRENTE, </w:t>
      </w:r>
      <w:r w:rsidRPr="00B356D9">
        <w:rPr>
          <w:rFonts w:ascii="Palatino Linotype" w:eastAsia="Palatino Linotype" w:hAnsi="Palatino Linotype" w:cs="Palatino Linotype"/>
        </w:rPr>
        <w:t xml:space="preserve">en fecha </w:t>
      </w:r>
      <w:r w:rsidR="00457178" w:rsidRPr="00B356D9">
        <w:rPr>
          <w:rFonts w:ascii="Palatino Linotype" w:eastAsia="Palatino Linotype" w:hAnsi="Palatino Linotype" w:cs="Palatino Linotype"/>
          <w:b/>
        </w:rPr>
        <w:t xml:space="preserve">veinticuatro de abril </w:t>
      </w:r>
      <w:r w:rsidRPr="00B356D9">
        <w:rPr>
          <w:rFonts w:ascii="Palatino Linotype" w:eastAsia="Palatino Linotype" w:hAnsi="Palatino Linotype" w:cs="Palatino Linotype"/>
          <w:b/>
        </w:rPr>
        <w:t>de dos mil veintiséis</w:t>
      </w:r>
      <w:r w:rsidR="00457178" w:rsidRPr="00B356D9">
        <w:rPr>
          <w:rFonts w:ascii="Palatino Linotype" w:eastAsia="Palatino Linotype" w:hAnsi="Palatino Linotype" w:cs="Palatino Linotype"/>
          <w:b/>
        </w:rPr>
        <w:t>.</w:t>
      </w:r>
    </w:p>
    <w:p w14:paraId="4A08390E" w14:textId="77777777" w:rsidR="00BA0D34" w:rsidRPr="00B356D9" w:rsidRDefault="00BA0D34" w:rsidP="00B356D9">
      <w:pPr>
        <w:spacing w:line="360" w:lineRule="auto"/>
        <w:contextualSpacing/>
        <w:jc w:val="both"/>
        <w:rPr>
          <w:rFonts w:ascii="Palatino Linotype" w:eastAsia="MS Mincho" w:hAnsi="Palatino Linotype"/>
          <w:i/>
          <w:color w:val="000000"/>
        </w:rPr>
      </w:pPr>
    </w:p>
    <w:p w14:paraId="1B68CD3A" w14:textId="77777777" w:rsidR="008A59C5" w:rsidRPr="00B356D9" w:rsidRDefault="008A59C5" w:rsidP="00B356D9">
      <w:pPr>
        <w:numPr>
          <w:ilvl w:val="0"/>
          <w:numId w:val="1"/>
        </w:numPr>
        <w:spacing w:line="360" w:lineRule="auto"/>
        <w:ind w:left="0" w:firstLine="0"/>
        <w:contextualSpacing/>
        <w:jc w:val="both"/>
        <w:rPr>
          <w:rFonts w:ascii="Palatino Linotype" w:eastAsia="MS Mincho" w:hAnsi="Palatino Linotype"/>
          <w:i/>
          <w:color w:val="000000"/>
        </w:rPr>
      </w:pPr>
      <w:r w:rsidRPr="00B356D9">
        <w:rPr>
          <w:rFonts w:ascii="Palatino Linotype" w:hAnsi="Palatino Linotype"/>
        </w:rPr>
        <w:t xml:space="preserve">De lo anterior el </w:t>
      </w:r>
      <w:r w:rsidRPr="00B356D9">
        <w:rPr>
          <w:rFonts w:ascii="Palatino Linotype" w:hAnsi="Palatino Linotype"/>
          <w:b/>
        </w:rPr>
        <w:t xml:space="preserve">RECURRENTE </w:t>
      </w:r>
      <w:r w:rsidR="00BA0D34" w:rsidRPr="00B356D9">
        <w:rPr>
          <w:rFonts w:ascii="Palatino Linotype" w:hAnsi="Palatino Linotype"/>
        </w:rPr>
        <w:t>dejó</w:t>
      </w:r>
      <w:r w:rsidRPr="00B356D9">
        <w:rPr>
          <w:rFonts w:ascii="Palatino Linotype" w:hAnsi="Palatino Linotype"/>
        </w:rPr>
        <w:t xml:space="preserve"> de realizar manifestaciones que a su derecho conviniera y asistiera, respectivamente en </w:t>
      </w:r>
      <w:r w:rsidR="00CF0C1B" w:rsidRPr="00B356D9">
        <w:rPr>
          <w:rFonts w:ascii="Palatino Linotype" w:hAnsi="Palatino Linotype"/>
        </w:rPr>
        <w:t xml:space="preserve">el </w:t>
      </w:r>
      <w:r w:rsidRPr="00B356D9">
        <w:rPr>
          <w:rFonts w:ascii="Palatino Linotype" w:hAnsi="Palatino Linotype"/>
        </w:rPr>
        <w:t xml:space="preserve">recurso de revisión. </w:t>
      </w:r>
    </w:p>
    <w:p w14:paraId="0B266A07" w14:textId="77777777" w:rsidR="00BA0D34" w:rsidRPr="00B356D9" w:rsidRDefault="00BA0D34" w:rsidP="00B356D9">
      <w:pPr>
        <w:pStyle w:val="Prrafodelista"/>
        <w:spacing w:line="360" w:lineRule="auto"/>
        <w:jc w:val="both"/>
        <w:rPr>
          <w:rFonts w:ascii="Palatino Linotype" w:eastAsia="MS Mincho" w:hAnsi="Palatino Linotype"/>
          <w:i/>
          <w:color w:val="000000"/>
          <w:sz w:val="24"/>
        </w:rPr>
      </w:pPr>
    </w:p>
    <w:p w14:paraId="76EDD83E" w14:textId="7D8BB1E8" w:rsidR="00BA0D34" w:rsidRPr="00B356D9" w:rsidRDefault="00BA0D34" w:rsidP="00B356D9">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B356D9">
        <w:rPr>
          <w:rFonts w:ascii="Palatino Linotype" w:eastAsia="Palatino Linotype" w:hAnsi="Palatino Linotype" w:cs="Palatino Linotype"/>
          <w:color w:val="000000"/>
        </w:rPr>
        <w:t xml:space="preserve">El </w:t>
      </w:r>
      <w:r w:rsidR="00457178" w:rsidRPr="00B356D9">
        <w:rPr>
          <w:rFonts w:ascii="Palatino Linotype" w:eastAsia="Palatino Linotype" w:hAnsi="Palatino Linotype" w:cs="Palatino Linotype"/>
          <w:b/>
          <w:color w:val="000000"/>
        </w:rPr>
        <w:t xml:space="preserve">veintiuno de abril </w:t>
      </w:r>
      <w:r w:rsidRPr="00B356D9">
        <w:rPr>
          <w:rFonts w:ascii="Palatino Linotype" w:eastAsia="Palatino Linotype" w:hAnsi="Palatino Linotype" w:cs="Palatino Linotype"/>
          <w:b/>
          <w:color w:val="000000"/>
        </w:rPr>
        <w:t>de dos mil veintiséis</w:t>
      </w:r>
      <w:r w:rsidRPr="00B356D9">
        <w:rPr>
          <w:rFonts w:ascii="Palatino Linotype" w:eastAsia="Palatino Linotype" w:hAnsi="Palatino Linotype" w:cs="Palatino Linotype"/>
          <w:color w:val="000000"/>
        </w:rPr>
        <w:t>, se notificó el acuerdo mediante el cual se amplió el plazo para emitir resolución por un término de 15 días adicionales.</w:t>
      </w:r>
    </w:p>
    <w:p w14:paraId="5EAC511D" w14:textId="77777777" w:rsidR="00BA0D34" w:rsidRPr="00B356D9" w:rsidRDefault="00BA0D34" w:rsidP="00B356D9">
      <w:pPr>
        <w:spacing w:line="360" w:lineRule="auto"/>
        <w:contextualSpacing/>
        <w:jc w:val="both"/>
        <w:rPr>
          <w:rFonts w:ascii="Palatino Linotype" w:eastAsia="MS Mincho" w:hAnsi="Palatino Linotype"/>
          <w:i/>
          <w:color w:val="000000"/>
        </w:rPr>
      </w:pPr>
    </w:p>
    <w:p w14:paraId="2E3CB50D" w14:textId="58912F09" w:rsidR="00841865" w:rsidRPr="00B356D9" w:rsidRDefault="00B805D7" w:rsidP="00B356D9">
      <w:pPr>
        <w:numPr>
          <w:ilvl w:val="0"/>
          <w:numId w:val="1"/>
        </w:numPr>
        <w:spacing w:line="360" w:lineRule="auto"/>
        <w:ind w:left="0" w:firstLine="0"/>
        <w:contextualSpacing/>
        <w:jc w:val="both"/>
        <w:rPr>
          <w:rFonts w:ascii="Palatino Linotype" w:eastAsia="MS Mincho" w:hAnsi="Palatino Linotype"/>
          <w:i/>
          <w:color w:val="000000"/>
        </w:rPr>
      </w:pPr>
      <w:r w:rsidRPr="00B356D9">
        <w:rPr>
          <w:rFonts w:ascii="Palatino Linotype" w:hAnsi="Palatino Linotype"/>
        </w:rPr>
        <w:t>Finalmente</w:t>
      </w:r>
      <w:r w:rsidR="008A59C5" w:rsidRPr="00B356D9">
        <w:rPr>
          <w:rFonts w:ascii="Palatino Linotype" w:hAnsi="Palatino Linotype"/>
        </w:rPr>
        <w:t>, la Comisionada</w:t>
      </w:r>
      <w:r w:rsidR="005F0B19" w:rsidRPr="00B356D9">
        <w:rPr>
          <w:rFonts w:ascii="Palatino Linotype" w:hAnsi="Palatino Linotype"/>
        </w:rPr>
        <w:t xml:space="preserve"> Ponente mediante acuerdo del </w:t>
      </w:r>
      <w:r w:rsidR="00457178" w:rsidRPr="00B356D9">
        <w:rPr>
          <w:rFonts w:ascii="Palatino Linotype" w:hAnsi="Palatino Linotype"/>
          <w:b/>
        </w:rPr>
        <w:t xml:space="preserve">treinta de abril </w:t>
      </w:r>
      <w:r w:rsidR="00BA0D34" w:rsidRPr="00B356D9">
        <w:rPr>
          <w:rFonts w:ascii="Palatino Linotype" w:hAnsi="Palatino Linotype"/>
          <w:b/>
        </w:rPr>
        <w:t>de dos mil veintiséis</w:t>
      </w:r>
      <w:r w:rsidR="005F0B19" w:rsidRPr="00B356D9">
        <w:rPr>
          <w:rFonts w:ascii="Palatino Linotype" w:hAnsi="Palatino Linotype"/>
        </w:rPr>
        <w:t>, decretó el cierre de instrucción del expediente</w:t>
      </w:r>
      <w:r w:rsidR="005F0B19" w:rsidRPr="00B356D9">
        <w:rPr>
          <w:rFonts w:ascii="Palatino Linotype" w:hAnsi="Palatino Linotype" w:cs="Arial"/>
        </w:rPr>
        <w:t>, por lo que no habiendo más que hacer constar, y</w:t>
      </w:r>
      <w:r w:rsidR="00841865" w:rsidRPr="00B356D9">
        <w:rPr>
          <w:rFonts w:ascii="Palatino Linotype" w:eastAsia="MS Mincho" w:hAnsi="Palatino Linotype"/>
          <w:color w:val="000000"/>
        </w:rPr>
        <w:t xml:space="preserve">. </w:t>
      </w:r>
    </w:p>
    <w:p w14:paraId="69FA816C" w14:textId="77777777" w:rsidR="00841865" w:rsidRPr="00B356D9" w:rsidRDefault="00841865" w:rsidP="00B356D9">
      <w:pPr>
        <w:spacing w:line="360" w:lineRule="auto"/>
        <w:contextualSpacing/>
        <w:jc w:val="both"/>
        <w:rPr>
          <w:rFonts w:ascii="Palatino Linotype" w:eastAsia="MS Mincho" w:hAnsi="Palatino Linotype"/>
          <w:b/>
        </w:rPr>
      </w:pPr>
    </w:p>
    <w:p w14:paraId="4A43F3EF" w14:textId="247659B9" w:rsidR="00841865" w:rsidRDefault="00841865" w:rsidP="007A61D7">
      <w:pPr>
        <w:keepNext/>
        <w:keepLines/>
        <w:spacing w:line="360" w:lineRule="auto"/>
        <w:jc w:val="center"/>
        <w:outlineLvl w:val="0"/>
        <w:rPr>
          <w:rFonts w:ascii="Palatino Linotype" w:eastAsia="MS Gothic" w:hAnsi="Palatino Linotype"/>
          <w:b/>
          <w:lang w:eastAsia="en-US"/>
        </w:rPr>
      </w:pPr>
      <w:bookmarkStart w:id="8" w:name="_Toc491791302"/>
      <w:bookmarkStart w:id="9" w:name="_Toc528153788"/>
      <w:bookmarkStart w:id="10" w:name="_Toc94119611"/>
      <w:r w:rsidRPr="00B356D9">
        <w:rPr>
          <w:rFonts w:ascii="Palatino Linotype" w:eastAsia="MS Gothic" w:hAnsi="Palatino Linotype"/>
          <w:b/>
          <w:lang w:eastAsia="en-US"/>
        </w:rPr>
        <w:t>C</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O</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N</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S</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I</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D</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E</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R</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A</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N</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D</w:t>
      </w:r>
      <w:r w:rsidR="007A61D7">
        <w:rPr>
          <w:rFonts w:ascii="Palatino Linotype" w:eastAsia="MS Gothic" w:hAnsi="Palatino Linotype"/>
          <w:b/>
          <w:lang w:eastAsia="en-US"/>
        </w:rPr>
        <w:t xml:space="preserve"> </w:t>
      </w:r>
      <w:r w:rsidRPr="00B356D9">
        <w:rPr>
          <w:rFonts w:ascii="Palatino Linotype" w:eastAsia="MS Gothic" w:hAnsi="Palatino Linotype"/>
          <w:b/>
          <w:lang w:eastAsia="en-US"/>
        </w:rPr>
        <w:t>O</w:t>
      </w:r>
      <w:bookmarkEnd w:id="8"/>
      <w:bookmarkEnd w:id="9"/>
      <w:bookmarkEnd w:id="10"/>
    </w:p>
    <w:p w14:paraId="6B5CD7EF" w14:textId="77777777" w:rsidR="007A61D7" w:rsidRPr="00B356D9" w:rsidRDefault="007A61D7" w:rsidP="007A61D7">
      <w:pPr>
        <w:keepNext/>
        <w:keepLines/>
        <w:spacing w:line="360" w:lineRule="auto"/>
        <w:jc w:val="center"/>
        <w:outlineLvl w:val="0"/>
        <w:rPr>
          <w:rFonts w:ascii="Palatino Linotype" w:eastAsia="MS Gothic" w:hAnsi="Palatino Linotype"/>
          <w:b/>
          <w:lang w:eastAsia="en-US"/>
        </w:rPr>
      </w:pPr>
    </w:p>
    <w:p w14:paraId="7E0FBE90" w14:textId="77777777" w:rsidR="00841865" w:rsidRPr="00B356D9" w:rsidRDefault="00841865" w:rsidP="00B356D9">
      <w:pPr>
        <w:keepNext/>
        <w:keepLines/>
        <w:spacing w:line="360" w:lineRule="auto"/>
        <w:jc w:val="both"/>
        <w:outlineLvl w:val="1"/>
        <w:rPr>
          <w:rFonts w:ascii="Palatino Linotype" w:eastAsia="MS Gothic" w:hAnsi="Palatino Linotype"/>
          <w:b/>
          <w:lang w:eastAsia="en-US"/>
        </w:rPr>
      </w:pPr>
      <w:bookmarkStart w:id="11" w:name="_Toc491791303"/>
      <w:bookmarkStart w:id="12" w:name="_Toc528153789"/>
      <w:bookmarkStart w:id="13" w:name="_Toc94119612"/>
      <w:r w:rsidRPr="00B356D9">
        <w:rPr>
          <w:rFonts w:ascii="Palatino Linotype" w:eastAsia="MS Gothic" w:hAnsi="Palatino Linotype"/>
          <w:b/>
          <w:lang w:eastAsia="en-US"/>
        </w:rPr>
        <w:t>PRIMERO. De la competencia</w:t>
      </w:r>
      <w:bookmarkEnd w:id="11"/>
      <w:bookmarkEnd w:id="12"/>
      <w:r w:rsidRPr="00B356D9">
        <w:rPr>
          <w:rFonts w:ascii="Palatino Linotype" w:eastAsia="MS Gothic" w:hAnsi="Palatino Linotype"/>
          <w:b/>
          <w:lang w:eastAsia="en-US"/>
        </w:rPr>
        <w:t>.</w:t>
      </w:r>
      <w:bookmarkEnd w:id="13"/>
    </w:p>
    <w:p w14:paraId="71706C8C" w14:textId="40B5BF51" w:rsidR="00841865" w:rsidRPr="00B356D9" w:rsidRDefault="008A59C5" w:rsidP="00B356D9">
      <w:pPr>
        <w:pStyle w:val="Prrafodelista"/>
        <w:numPr>
          <w:ilvl w:val="0"/>
          <w:numId w:val="1"/>
        </w:numPr>
        <w:spacing w:before="240" w:after="240" w:line="360" w:lineRule="auto"/>
        <w:ind w:left="0" w:firstLine="0"/>
        <w:jc w:val="both"/>
        <w:rPr>
          <w:rFonts w:ascii="Palatino Linotype" w:hAnsi="Palatino Linotype"/>
          <w:sz w:val="24"/>
        </w:rPr>
      </w:pPr>
      <w:r w:rsidRPr="00B356D9">
        <w:rPr>
          <w:rFonts w:ascii="Palatino Linotype" w:hAnsi="Palatino Linotype"/>
          <w:sz w:val="24"/>
          <w:bdr w:val="none" w:sz="0" w:space="0" w:color="auto" w:frame="1"/>
          <w:shd w:val="clear" w:color="auto" w:fill="FFFFFF"/>
        </w:rPr>
        <w:t xml:space="preserve">Este Instituto de Transparencia, Acceso a la Información Pública y Protección de Datos Personales del Estado de México y Municipios, es competente para conocer </w:t>
      </w:r>
      <w:r w:rsidRPr="00B356D9">
        <w:rPr>
          <w:rFonts w:ascii="Palatino Linotype" w:hAnsi="Palatino Linotype"/>
          <w:sz w:val="24"/>
          <w:bdr w:val="none" w:sz="0" w:space="0" w:color="auto" w:frame="1"/>
          <w:shd w:val="clear" w:color="auto" w:fill="FFFFFF"/>
        </w:rPr>
        <w:lastRenderedPageBreak/>
        <w:t>y resolver del presente recurso de conformidad con el artículo: 6, apartado A, fracción IV de la </w:t>
      </w:r>
      <w:r w:rsidRPr="00B356D9">
        <w:rPr>
          <w:rFonts w:ascii="Palatino Linotype" w:hAnsi="Palatino Linotype"/>
          <w:b/>
          <w:bCs/>
          <w:sz w:val="24"/>
          <w:bdr w:val="none" w:sz="0" w:space="0" w:color="auto" w:frame="1"/>
          <w:shd w:val="clear" w:color="auto" w:fill="FFFFFF"/>
        </w:rPr>
        <w:t>Constitución Política de los Estados Unidos Mexicanos</w:t>
      </w:r>
      <w:r w:rsidRPr="00B356D9">
        <w:rPr>
          <w:rFonts w:ascii="Palatino Linotype" w:hAnsi="Palatino Linotype"/>
          <w:sz w:val="24"/>
          <w:bdr w:val="none" w:sz="0" w:space="0" w:color="auto" w:frame="1"/>
          <w:shd w:val="clear" w:color="auto" w:fill="FFFFFF"/>
        </w:rPr>
        <w:t>; 5, párrafos trigésimo segundo, trigésimo tercero y trigésimo cuarto fracciones IV y V de la </w:t>
      </w:r>
      <w:r w:rsidRPr="00B356D9">
        <w:rPr>
          <w:rFonts w:ascii="Palatino Linotype" w:hAnsi="Palatino Linotype"/>
          <w:b/>
          <w:bCs/>
          <w:sz w:val="24"/>
          <w:bdr w:val="none" w:sz="0" w:space="0" w:color="auto" w:frame="1"/>
          <w:shd w:val="clear" w:color="auto" w:fill="FFFFFF"/>
        </w:rPr>
        <w:t>Constitución Política del Estado Libre y Soberano de México</w:t>
      </w:r>
      <w:r w:rsidRPr="00B356D9">
        <w:rPr>
          <w:rFonts w:ascii="Palatino Linotype" w:hAnsi="Palatino Linotype"/>
          <w:sz w:val="24"/>
          <w:bdr w:val="none" w:sz="0" w:space="0" w:color="auto" w:frame="1"/>
          <w:shd w:val="clear" w:color="auto" w:fill="FFFFFF"/>
        </w:rPr>
        <w:t>; artículos 1, 2 fracción II, 13, 29, 36 fracciones I y II, 176, 178, 179, 181 párrafo tercero y 185 de la </w:t>
      </w:r>
      <w:r w:rsidRPr="00B356D9">
        <w:rPr>
          <w:rFonts w:ascii="Palatino Linotype" w:hAnsi="Palatino Linotype"/>
          <w:b/>
          <w:bCs/>
          <w:sz w:val="24"/>
          <w:bdr w:val="none" w:sz="0" w:space="0" w:color="auto" w:frame="1"/>
          <w:shd w:val="clear" w:color="auto" w:fill="FFFFFF"/>
        </w:rPr>
        <w:t>Ley de Transparencia y Acceso a la Información Pública del Estado de México y Municipios</w:t>
      </w:r>
      <w:r w:rsidRPr="00B356D9">
        <w:rPr>
          <w:rFonts w:ascii="Palatino Linotype" w:hAnsi="Palatino Linotype"/>
          <w:sz w:val="24"/>
          <w:bdr w:val="none" w:sz="0" w:space="0" w:color="auto" w:frame="1"/>
          <w:shd w:val="clear" w:color="auto" w:fill="FFFFFF"/>
        </w:rPr>
        <w:t>; y 7, 9 fracciones I y XXIII, y 11 del </w:t>
      </w:r>
      <w:r w:rsidRPr="00B356D9">
        <w:rPr>
          <w:rFonts w:ascii="Palatino Linotype" w:hAnsi="Palatino Linotype"/>
          <w:b/>
          <w:bCs/>
          <w:sz w:val="24"/>
          <w:bdr w:val="none" w:sz="0" w:space="0" w:color="auto" w:frame="1"/>
          <w:shd w:val="clear" w:color="auto" w:fill="FFFFFF"/>
        </w:rPr>
        <w:t>Reglamento Interior del Instituto de Transparencia, Acceso a la Información Pública y Protección de Datos Personales del Estado de México y Municipios</w:t>
      </w:r>
      <w:r w:rsidRPr="00B356D9">
        <w:rPr>
          <w:rFonts w:ascii="Palatino Linotype" w:hAnsi="Palatino Linotype"/>
          <w:sz w:val="24"/>
          <w:bdr w:val="none" w:sz="0" w:space="0" w:color="auto" w:frame="1"/>
          <w:shd w:val="clear" w:color="auto" w:fill="FFFFFF"/>
        </w:rPr>
        <w:t>.</w:t>
      </w:r>
    </w:p>
    <w:p w14:paraId="01012229" w14:textId="77777777" w:rsidR="00841865" w:rsidRPr="00B356D9" w:rsidRDefault="00841865" w:rsidP="00B356D9">
      <w:pPr>
        <w:keepNext/>
        <w:keepLines/>
        <w:spacing w:line="360" w:lineRule="auto"/>
        <w:jc w:val="both"/>
        <w:outlineLvl w:val="1"/>
        <w:rPr>
          <w:rFonts w:ascii="Palatino Linotype" w:eastAsia="MS Gothic" w:hAnsi="Palatino Linotype"/>
          <w:b/>
          <w:lang w:eastAsia="en-US"/>
        </w:rPr>
      </w:pPr>
      <w:bookmarkStart w:id="14" w:name="_Toc491791304"/>
      <w:bookmarkStart w:id="15" w:name="_Toc528153790"/>
      <w:bookmarkStart w:id="16" w:name="_Toc94119613"/>
      <w:r w:rsidRPr="00B356D9">
        <w:rPr>
          <w:rFonts w:ascii="Palatino Linotype" w:eastAsia="MS Gothic" w:hAnsi="Palatino Linotype"/>
          <w:b/>
          <w:lang w:eastAsia="en-US"/>
        </w:rPr>
        <w:t>SEGUNDO. De la oportunidad y procedencia.</w:t>
      </w:r>
      <w:bookmarkEnd w:id="14"/>
      <w:bookmarkEnd w:id="15"/>
      <w:bookmarkEnd w:id="16"/>
    </w:p>
    <w:p w14:paraId="16BFF5DE" w14:textId="0A7039FB" w:rsidR="00BA0D34" w:rsidRPr="00B356D9" w:rsidRDefault="002835B4" w:rsidP="00B356D9">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B356D9">
        <w:rPr>
          <w:rFonts w:ascii="Palatino Linotype" w:eastAsia="Calibri" w:hAnsi="Palatino Linotype" w:cs="Arial"/>
          <w:sz w:val="24"/>
          <w:lang w:val="es-ES_tradnl" w:eastAsia="es-ES"/>
        </w:rPr>
        <w:t xml:space="preserve">El medio de impugnación fue presentado a través del </w:t>
      </w:r>
      <w:r w:rsidRPr="00B356D9">
        <w:rPr>
          <w:rFonts w:ascii="Palatino Linotype" w:eastAsia="Calibri" w:hAnsi="Palatino Linotype" w:cs="Arial"/>
          <w:b/>
          <w:sz w:val="24"/>
          <w:lang w:val="es-ES_tradnl" w:eastAsia="es-ES"/>
        </w:rPr>
        <w:t>SAIMEX,</w:t>
      </w:r>
      <w:r w:rsidRPr="00B356D9">
        <w:rPr>
          <w:rFonts w:ascii="Palatino Linotype" w:eastAsia="Calibri" w:hAnsi="Palatino Linotype" w:cs="Arial"/>
          <w:sz w:val="24"/>
          <w:lang w:val="es-ES_tradnl" w:eastAsia="es-ES"/>
        </w:rPr>
        <w:t xml:space="preserve"> en el formato previamente aprobado para tal efecto y dentro del plazo legal de quince días hábiles otorgados; para el caso en particular es de señalar que el </w:t>
      </w:r>
      <w:r w:rsidRPr="00B356D9">
        <w:rPr>
          <w:rFonts w:ascii="Palatino Linotype" w:eastAsia="Calibri" w:hAnsi="Palatino Linotype" w:cs="Arial"/>
          <w:b/>
          <w:sz w:val="24"/>
          <w:lang w:val="es-ES_tradnl" w:eastAsia="es-ES"/>
        </w:rPr>
        <w:t>SUJETO OBLIGADO</w:t>
      </w:r>
      <w:r w:rsidRPr="00B356D9">
        <w:rPr>
          <w:rFonts w:ascii="Palatino Linotype" w:eastAsia="Calibri" w:hAnsi="Palatino Linotype" w:cs="Arial"/>
          <w:sz w:val="24"/>
          <w:lang w:val="es-ES_tradnl" w:eastAsia="es-ES"/>
        </w:rPr>
        <w:t xml:space="preserve"> ent</w:t>
      </w:r>
      <w:r w:rsidR="00CF0C1B" w:rsidRPr="00B356D9">
        <w:rPr>
          <w:rFonts w:ascii="Palatino Linotype" w:eastAsia="Calibri" w:hAnsi="Palatino Linotype" w:cs="Arial"/>
          <w:sz w:val="24"/>
          <w:lang w:val="es-ES_tradnl" w:eastAsia="es-ES"/>
        </w:rPr>
        <w:t>regó respuesta</w:t>
      </w:r>
      <w:r w:rsidRPr="00B356D9">
        <w:rPr>
          <w:rFonts w:ascii="Palatino Linotype" w:eastAsia="Calibri" w:hAnsi="Palatino Linotype" w:cs="Arial"/>
          <w:sz w:val="24"/>
          <w:lang w:val="es-ES_tradnl" w:eastAsia="es-ES"/>
        </w:rPr>
        <w:t xml:space="preserve"> el día </w:t>
      </w:r>
      <w:r w:rsidR="00CC1195" w:rsidRPr="00B356D9">
        <w:rPr>
          <w:rFonts w:ascii="Palatino Linotype" w:eastAsia="Calibri" w:hAnsi="Palatino Linotype" w:cs="Arial"/>
          <w:b/>
          <w:sz w:val="24"/>
        </w:rPr>
        <w:t xml:space="preserve">tres de febrero </w:t>
      </w:r>
      <w:r w:rsidR="00457178" w:rsidRPr="00B356D9">
        <w:rPr>
          <w:rFonts w:ascii="Palatino Linotype" w:eastAsia="Calibri" w:hAnsi="Palatino Linotype" w:cs="Arial"/>
          <w:b/>
          <w:sz w:val="24"/>
        </w:rPr>
        <w:t>de dos mil veintiséis</w:t>
      </w:r>
      <w:r w:rsidRPr="00B356D9">
        <w:rPr>
          <w:rFonts w:ascii="Palatino Linotype" w:eastAsia="Calibri" w:hAnsi="Palatino Linotype" w:cs="Arial"/>
          <w:sz w:val="24"/>
          <w:lang w:val="es-ES_tradnl" w:eastAsia="es-ES"/>
        </w:rPr>
        <w:t xml:space="preserve">, </w:t>
      </w:r>
      <w:r w:rsidRPr="00B356D9">
        <w:rPr>
          <w:rFonts w:ascii="Palatino Linotype" w:eastAsiaTheme="minorEastAsia" w:hAnsi="Palatino Linotype" w:cs="Arial"/>
          <w:sz w:val="24"/>
          <w:lang w:val="es-ES_tradnl" w:eastAsia="es-ES"/>
        </w:rPr>
        <w:t xml:space="preserve">de tal forma que el plazo para interponer el recurso transcurrió del </w:t>
      </w:r>
      <w:r w:rsidR="00CC1195" w:rsidRPr="00B356D9">
        <w:rPr>
          <w:rFonts w:ascii="Palatino Linotype" w:eastAsiaTheme="minorEastAsia" w:hAnsi="Palatino Linotype" w:cs="Arial"/>
          <w:b/>
          <w:sz w:val="24"/>
          <w:lang w:val="es-ES_tradnl" w:eastAsia="es-ES"/>
        </w:rPr>
        <w:t xml:space="preserve">cuatro al veinticinco de febrero </w:t>
      </w:r>
      <w:r w:rsidR="00457178" w:rsidRPr="00B356D9">
        <w:rPr>
          <w:rFonts w:ascii="Palatino Linotype" w:eastAsiaTheme="minorEastAsia" w:hAnsi="Palatino Linotype" w:cs="Arial"/>
          <w:b/>
          <w:sz w:val="24"/>
          <w:lang w:val="es-ES_tradnl" w:eastAsia="es-ES"/>
        </w:rPr>
        <w:t>de dos mil veintiséis</w:t>
      </w:r>
      <w:r w:rsidRPr="00B356D9">
        <w:rPr>
          <w:rFonts w:ascii="Palatino Linotype" w:eastAsiaTheme="minorEastAsia" w:hAnsi="Palatino Linotype" w:cs="Arial"/>
          <w:sz w:val="24"/>
          <w:lang w:val="es-ES_tradnl" w:eastAsia="es-ES"/>
        </w:rPr>
        <w:t>, de acuerdo al calendario oficial del Instituto de Transparencia del Estado de México y Municipios; en consecuencia, si el particular</w:t>
      </w:r>
      <w:r w:rsidR="00CF0C1B" w:rsidRPr="00B356D9">
        <w:rPr>
          <w:rFonts w:ascii="Palatino Linotype" w:eastAsiaTheme="minorEastAsia" w:hAnsi="Palatino Linotype" w:cs="Arial"/>
          <w:sz w:val="24"/>
          <w:lang w:val="es-ES_tradnl" w:eastAsia="es-ES"/>
        </w:rPr>
        <w:t xml:space="preserve"> presentó su inconformidad</w:t>
      </w:r>
      <w:r w:rsidR="008A59C5" w:rsidRPr="00B356D9">
        <w:rPr>
          <w:rFonts w:ascii="Palatino Linotype" w:eastAsiaTheme="minorEastAsia" w:hAnsi="Palatino Linotype" w:cs="Arial"/>
          <w:sz w:val="24"/>
          <w:lang w:val="es-ES_tradnl" w:eastAsia="es-ES"/>
        </w:rPr>
        <w:t xml:space="preserve"> </w:t>
      </w:r>
      <w:r w:rsidR="00CF0C1B" w:rsidRPr="00B356D9">
        <w:rPr>
          <w:rFonts w:ascii="Palatino Linotype" w:eastAsiaTheme="minorEastAsia" w:hAnsi="Palatino Linotype" w:cs="Arial"/>
          <w:sz w:val="24"/>
          <w:lang w:val="es-ES_tradnl" w:eastAsia="es-ES"/>
        </w:rPr>
        <w:t xml:space="preserve">el </w:t>
      </w:r>
      <w:r w:rsidRPr="00B356D9">
        <w:rPr>
          <w:rFonts w:ascii="Palatino Linotype" w:eastAsiaTheme="minorEastAsia" w:hAnsi="Palatino Linotype" w:cs="Arial"/>
          <w:sz w:val="24"/>
          <w:lang w:val="es-ES_tradnl" w:eastAsia="es-ES"/>
        </w:rPr>
        <w:t xml:space="preserve">día </w:t>
      </w:r>
      <w:r w:rsidR="00E31BB1" w:rsidRPr="00B356D9">
        <w:rPr>
          <w:rFonts w:ascii="Palatino Linotype" w:hAnsi="Palatino Linotype" w:cs="Arial"/>
          <w:b/>
          <w:sz w:val="24"/>
        </w:rPr>
        <w:t xml:space="preserve">cuatro de febrero </w:t>
      </w:r>
      <w:r w:rsidR="00457178" w:rsidRPr="00B356D9">
        <w:rPr>
          <w:rFonts w:ascii="Palatino Linotype" w:hAnsi="Palatino Linotype" w:cs="Arial"/>
          <w:b/>
          <w:sz w:val="24"/>
        </w:rPr>
        <w:t>de dos mil veintiséis</w:t>
      </w:r>
      <w:r w:rsidR="00BA0D34" w:rsidRPr="00B356D9">
        <w:rPr>
          <w:rFonts w:ascii="Palatino Linotype" w:hAnsi="Palatino Linotype" w:cs="Arial"/>
          <w:b/>
          <w:sz w:val="24"/>
        </w:rPr>
        <w:t xml:space="preserve">, </w:t>
      </w:r>
      <w:r w:rsidR="00BA0D34" w:rsidRPr="00B356D9">
        <w:rPr>
          <w:rFonts w:ascii="Palatino Linotype" w:eastAsia="Palatino Linotype" w:hAnsi="Palatino Linotype" w:cs="Palatino Linotype"/>
          <w:sz w:val="24"/>
        </w:rPr>
        <w:t xml:space="preserve">por lo que se encuentra dentro de los márgenes temporales previstos en el artículo 178 de la </w:t>
      </w:r>
      <w:r w:rsidR="00BA0D34" w:rsidRPr="00B356D9">
        <w:rPr>
          <w:rFonts w:ascii="Palatino Linotype" w:eastAsia="Palatino Linotype" w:hAnsi="Palatino Linotype" w:cs="Palatino Linotype"/>
          <w:b/>
          <w:sz w:val="24"/>
        </w:rPr>
        <w:t xml:space="preserve">Ley de Transparencia y Acceso a la Información Pública del Estado de México y Municipios </w:t>
      </w:r>
      <w:r w:rsidR="00BA0D34" w:rsidRPr="00B356D9">
        <w:rPr>
          <w:rFonts w:ascii="Palatino Linotype" w:eastAsia="Palatino Linotype" w:hAnsi="Palatino Linotype" w:cs="Palatino Linotype"/>
          <w:sz w:val="24"/>
        </w:rPr>
        <w:t>vigente.</w:t>
      </w:r>
    </w:p>
    <w:p w14:paraId="1C77E6BD" w14:textId="77777777" w:rsidR="00457178" w:rsidRPr="00B356D9" w:rsidRDefault="00457178" w:rsidP="00B356D9">
      <w:pPr>
        <w:spacing w:line="360" w:lineRule="auto"/>
        <w:jc w:val="both"/>
        <w:rPr>
          <w:rFonts w:ascii="Palatino Linotype" w:eastAsia="Palatino Linotype" w:hAnsi="Palatino Linotype" w:cs="Palatino Linotype"/>
        </w:rPr>
      </w:pPr>
    </w:p>
    <w:p w14:paraId="2CC9F1F4" w14:textId="77777777" w:rsidR="00D8288F" w:rsidRPr="00B356D9" w:rsidRDefault="00D8288F" w:rsidP="00B356D9">
      <w:pPr>
        <w:numPr>
          <w:ilvl w:val="0"/>
          <w:numId w:val="1"/>
        </w:numPr>
        <w:spacing w:line="360" w:lineRule="auto"/>
        <w:ind w:left="0" w:firstLine="0"/>
        <w:contextualSpacing/>
        <w:jc w:val="both"/>
        <w:rPr>
          <w:rFonts w:ascii="Palatino Linotype" w:eastAsiaTheme="minorEastAsia" w:hAnsi="Palatino Linotype"/>
          <w:lang w:eastAsia="es-ES"/>
        </w:rPr>
      </w:pPr>
      <w:r w:rsidRPr="00B356D9">
        <w:rPr>
          <w:rFonts w:ascii="Palatino Linotype" w:eastAsia="Calibri" w:hAnsi="Palatino Linotype" w:cs="Arial"/>
        </w:rPr>
        <w:t xml:space="preserve">Por otro lado, es de suma importancia señalar que la parte recurrente no proporciona un nombre o datos de identificación como se advierte en el detalle de seguimiento del SAIMEX, no obstante lo anterior, no proporcionar el nombre </w:t>
      </w:r>
      <w:r w:rsidRPr="00B356D9">
        <w:rPr>
          <w:rFonts w:ascii="Palatino Linotype" w:eastAsia="Calibri" w:hAnsi="Palatino Linotype" w:cs="Arial"/>
        </w:rPr>
        <w:lastRenderedPageBreak/>
        <w:t>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60729090" w14:textId="77777777" w:rsidR="00D8288F" w:rsidRPr="00B356D9" w:rsidRDefault="00D8288F" w:rsidP="00B356D9">
      <w:pPr>
        <w:pStyle w:val="Prrafodelista"/>
        <w:tabs>
          <w:tab w:val="left" w:pos="7655"/>
        </w:tabs>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w:t>
      </w:r>
      <w:r w:rsidRPr="00B356D9">
        <w:rPr>
          <w:rFonts w:ascii="Palatino Linotype" w:eastAsia="Palatino Linotype" w:hAnsi="Palatino Linotype" w:cs="Palatino Linotype"/>
          <w:b/>
          <w:i/>
          <w:sz w:val="24"/>
        </w:rPr>
        <w:t>Las solicitudes anónimas</w:t>
      </w:r>
      <w:r w:rsidRPr="00B356D9">
        <w:rPr>
          <w:rFonts w:ascii="Palatino Linotype" w:eastAsia="Palatino Linotype" w:hAnsi="Palatino Linotype" w:cs="Palatino Linotype"/>
          <w:i/>
          <w:sz w:val="24"/>
        </w:rPr>
        <w:t xml:space="preserve">, con nombre incompleto o seudónimo </w:t>
      </w:r>
      <w:r w:rsidRPr="00B356D9">
        <w:rPr>
          <w:rFonts w:ascii="Palatino Linotype" w:eastAsia="Palatino Linotype" w:hAnsi="Palatino Linotype" w:cs="Palatino Linotype"/>
          <w:b/>
          <w:i/>
          <w:sz w:val="24"/>
        </w:rPr>
        <w:t>serán procedentes para su trámite por parte del sujeto obligado ante quien se presente</w:t>
      </w:r>
      <w:r w:rsidRPr="00B356D9">
        <w:rPr>
          <w:rFonts w:ascii="Palatino Linotype" w:eastAsia="Palatino Linotype" w:hAnsi="Palatino Linotype" w:cs="Palatino Linotype"/>
          <w:i/>
          <w:sz w:val="24"/>
        </w:rPr>
        <w:t>. No podrá requerirse información adicional con motivo del nombre proporcionado por el solicitante."</w:t>
      </w:r>
    </w:p>
    <w:p w14:paraId="2620D562" w14:textId="77777777" w:rsidR="00D8288F" w:rsidRPr="00B356D9" w:rsidRDefault="00D8288F" w:rsidP="00B356D9">
      <w:pPr>
        <w:pStyle w:val="Prrafodelista"/>
        <w:spacing w:line="360" w:lineRule="auto"/>
        <w:jc w:val="both"/>
        <w:rPr>
          <w:rFonts w:ascii="Palatino Linotype" w:eastAsiaTheme="minorEastAsia" w:hAnsi="Palatino Linotype"/>
          <w:sz w:val="24"/>
          <w:lang w:val="es-ES_tradnl" w:eastAsia="es-ES"/>
        </w:rPr>
      </w:pPr>
    </w:p>
    <w:p w14:paraId="54A6C7BF" w14:textId="77777777" w:rsidR="00D8288F" w:rsidRPr="00B356D9" w:rsidRDefault="00D8288F" w:rsidP="00B356D9">
      <w:pPr>
        <w:pStyle w:val="Prrafodelista"/>
        <w:numPr>
          <w:ilvl w:val="0"/>
          <w:numId w:val="1"/>
        </w:numPr>
        <w:spacing w:line="360" w:lineRule="auto"/>
        <w:ind w:left="0" w:firstLine="0"/>
        <w:jc w:val="both"/>
        <w:rPr>
          <w:rFonts w:ascii="Palatino Linotype" w:eastAsia="Calibri" w:hAnsi="Palatino Linotype" w:cs="Arial"/>
          <w:sz w:val="24"/>
        </w:rPr>
      </w:pPr>
      <w:r w:rsidRPr="00B356D9">
        <w:rPr>
          <w:rFonts w:ascii="Palatino Linotype" w:eastAsia="Calibri" w:hAnsi="Palatino Linotype" w:cs="Arial"/>
          <w:sz w:val="24"/>
        </w:rPr>
        <w:t>Robusteciendo lo anterior se encuentra lo dispuesto en el artículo 6, Apartado A, fracciones III de la Constitución Política de los Estados Unidos Mexicanos que establece:</w:t>
      </w:r>
    </w:p>
    <w:p w14:paraId="1D49DE9A"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w:t>
      </w:r>
      <w:r w:rsidRPr="00B356D9">
        <w:rPr>
          <w:rFonts w:ascii="Palatino Linotype" w:eastAsia="Palatino Linotype" w:hAnsi="Palatino Linotype" w:cs="Palatino Linotype"/>
          <w:b/>
          <w:i/>
          <w:sz w:val="24"/>
        </w:rPr>
        <w:t>Artículo 6.-</w:t>
      </w:r>
      <w:r w:rsidRPr="00B356D9">
        <w:rPr>
          <w:rFonts w:ascii="Palatino Linotype" w:eastAsia="Palatino Linotype" w:hAnsi="Palatino Linotype" w:cs="Palatino Linotype"/>
          <w:i/>
          <w:sz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5ED8938"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p>
    <w:p w14:paraId="74B609EC"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Para efectos de lo dispuesto en el presente artículo se observará lo siguiente:</w:t>
      </w:r>
    </w:p>
    <w:p w14:paraId="06A7A81C"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p>
    <w:p w14:paraId="68E8F9EF"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A. Para el ejercicio del derecho de acceso a la información, la Federación, los Estados y el Distrito Federal, en el ámbito de sus respectivas competencias, se regirán por los siguientes principios y bases:</w:t>
      </w:r>
    </w:p>
    <w:p w14:paraId="4CC935C4"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p>
    <w:p w14:paraId="5E208847"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 xml:space="preserve">III. Toda persona, sin necesidad de acreditar interés alguno o justificar su utilización, tendrá acceso gratuito a la información pública, a sus datos personales o a la rectificación de éstos.” </w:t>
      </w:r>
      <w:r w:rsidRPr="00B356D9">
        <w:rPr>
          <w:rFonts w:ascii="Palatino Linotype" w:eastAsia="Palatino Linotype" w:hAnsi="Palatino Linotype" w:cs="Palatino Linotype"/>
          <w:sz w:val="24"/>
        </w:rPr>
        <w:t>(Sic)</w:t>
      </w:r>
    </w:p>
    <w:p w14:paraId="2118F119" w14:textId="77777777" w:rsidR="00D8288F" w:rsidRPr="00B356D9" w:rsidRDefault="00D8288F" w:rsidP="00B356D9">
      <w:pPr>
        <w:pStyle w:val="Prrafodelista"/>
        <w:spacing w:line="360" w:lineRule="auto"/>
        <w:ind w:left="0"/>
        <w:jc w:val="both"/>
        <w:rPr>
          <w:rFonts w:ascii="Palatino Linotype" w:eastAsia="Calibri" w:hAnsi="Palatino Linotype" w:cs="Arial"/>
          <w:sz w:val="24"/>
        </w:rPr>
      </w:pPr>
    </w:p>
    <w:p w14:paraId="54E615BC" w14:textId="77777777" w:rsidR="00D8288F" w:rsidRPr="00B356D9" w:rsidRDefault="00D8288F" w:rsidP="00B356D9">
      <w:pPr>
        <w:pStyle w:val="Prrafodelista"/>
        <w:numPr>
          <w:ilvl w:val="0"/>
          <w:numId w:val="1"/>
        </w:numPr>
        <w:spacing w:line="360" w:lineRule="auto"/>
        <w:ind w:left="0" w:firstLine="0"/>
        <w:jc w:val="both"/>
        <w:rPr>
          <w:rFonts w:ascii="Palatino Linotype" w:eastAsia="Calibri" w:hAnsi="Palatino Linotype" w:cs="Arial"/>
          <w:sz w:val="24"/>
        </w:rPr>
      </w:pPr>
      <w:r w:rsidRPr="00B356D9">
        <w:rPr>
          <w:rFonts w:ascii="Palatino Linotype" w:eastAsia="Calibri" w:hAnsi="Palatino Linotype" w:cs="Arial"/>
          <w:sz w:val="24"/>
        </w:rPr>
        <w:t>Así como el artículo 5 fracción III, párrafo vigésimo noveno, trigésimo y trigésimo primero, de la Constitución Política del Estado Libre y Soberano de México, que determina lo siguiente:</w:t>
      </w:r>
    </w:p>
    <w:p w14:paraId="19DCBC58" w14:textId="77777777" w:rsidR="00D8288F" w:rsidRPr="00B356D9" w:rsidRDefault="00D8288F" w:rsidP="00B356D9">
      <w:pPr>
        <w:tabs>
          <w:tab w:val="left" w:pos="7655"/>
        </w:tabs>
        <w:ind w:left="567"/>
        <w:jc w:val="both"/>
        <w:rPr>
          <w:rFonts w:ascii="Palatino Linotype" w:eastAsia="Palatino Linotype" w:hAnsi="Palatino Linotype" w:cs="Palatino Linotype"/>
          <w:i/>
        </w:rPr>
      </w:pPr>
    </w:p>
    <w:p w14:paraId="443236CA"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w:t>
      </w:r>
      <w:r w:rsidRPr="00B356D9">
        <w:rPr>
          <w:rFonts w:ascii="Palatino Linotype" w:eastAsia="Palatino Linotype" w:hAnsi="Palatino Linotype" w:cs="Palatino Linotype"/>
          <w:b/>
          <w:i/>
          <w:sz w:val="24"/>
        </w:rPr>
        <w:t>Artículo 5.-</w:t>
      </w:r>
      <w:r w:rsidRPr="00B356D9">
        <w:rPr>
          <w:rFonts w:ascii="Palatino Linotype" w:eastAsia="Palatino Linotype" w:hAnsi="Palatino Linotype" w:cs="Palatino Linotype"/>
          <w:i/>
          <w:sz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556CAD69"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w:t>
      </w:r>
    </w:p>
    <w:p w14:paraId="454580AB"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Toda persona en el Estado de México, tiene derecho al libre acceso a la información plural y oportuna, así como a buscar recibir y difundir información e ideas de toda índole por cualquier medio de expresión.</w:t>
      </w:r>
    </w:p>
    <w:p w14:paraId="1665ECB3"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w:t>
      </w:r>
    </w:p>
    <w:p w14:paraId="5F365AEE"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El derecho a la información será garantizado por el Estado. La ley establecerá las previsiones que permitan asegurar la protección, el respeto y la difusión de este derecho.</w:t>
      </w:r>
    </w:p>
    <w:p w14:paraId="434B3660"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3771D984"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III. Toda persona, sin necesidad de acreditar interés alguno o justificar su utilización, tendrá acceso gratuito a la información pública, a sus datos personales o a la rectificación de éstos;</w:t>
      </w:r>
    </w:p>
    <w:p w14:paraId="25B27239"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w:t>
      </w:r>
    </w:p>
    <w:p w14:paraId="49D4C34E"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B356D9">
        <w:rPr>
          <w:rFonts w:ascii="Palatino Linotype" w:eastAsia="Palatino Linotype" w:hAnsi="Palatino Linotype" w:cs="Palatino Linotype"/>
          <w:sz w:val="24"/>
        </w:rPr>
        <w:t>(Sic)</w:t>
      </w:r>
    </w:p>
    <w:p w14:paraId="025575EF" w14:textId="77777777" w:rsidR="00D8288F" w:rsidRPr="00B356D9" w:rsidRDefault="00D8288F" w:rsidP="00B356D9">
      <w:pPr>
        <w:tabs>
          <w:tab w:val="left" w:pos="7655"/>
        </w:tabs>
        <w:spacing w:line="360" w:lineRule="auto"/>
        <w:ind w:left="567"/>
        <w:jc w:val="both"/>
        <w:rPr>
          <w:rFonts w:ascii="Palatino Linotype" w:eastAsia="Palatino Linotype" w:hAnsi="Palatino Linotype" w:cs="Palatino Linotype"/>
          <w:i/>
        </w:rPr>
      </w:pPr>
    </w:p>
    <w:p w14:paraId="239A0933" w14:textId="77777777" w:rsidR="00D8288F" w:rsidRPr="00B356D9" w:rsidRDefault="00D8288F" w:rsidP="00B356D9">
      <w:pPr>
        <w:pStyle w:val="Prrafodelista"/>
        <w:numPr>
          <w:ilvl w:val="0"/>
          <w:numId w:val="1"/>
        </w:numPr>
        <w:spacing w:line="360" w:lineRule="auto"/>
        <w:ind w:left="0" w:firstLine="0"/>
        <w:jc w:val="both"/>
        <w:rPr>
          <w:rFonts w:ascii="Palatino Linotype" w:eastAsia="Calibri" w:hAnsi="Palatino Linotype" w:cs="Arial"/>
          <w:sz w:val="24"/>
        </w:rPr>
      </w:pPr>
      <w:r w:rsidRPr="00B356D9">
        <w:rPr>
          <w:rFonts w:ascii="Palatino Linotype" w:eastAsia="Calibri" w:hAnsi="Palatino Linotype" w:cs="Arial"/>
          <w:sz w:val="24"/>
        </w:rPr>
        <w:t>Por otra parte, del contenido del artículo 1 de la Constitución Política de los Estados Unidos mexicanos, se destaca lo siguiente:</w:t>
      </w:r>
    </w:p>
    <w:p w14:paraId="675FA5EB" w14:textId="77777777" w:rsidR="00D8288F" w:rsidRPr="00B356D9" w:rsidRDefault="00D8288F" w:rsidP="00B356D9">
      <w:pPr>
        <w:spacing w:line="360" w:lineRule="auto"/>
        <w:jc w:val="both"/>
        <w:rPr>
          <w:rFonts w:ascii="Palatino Linotype" w:eastAsia="Calibri" w:hAnsi="Palatino Linotype" w:cs="Arial"/>
        </w:rPr>
      </w:pPr>
    </w:p>
    <w:p w14:paraId="5B6D28A6"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w:t>
      </w:r>
      <w:r w:rsidRPr="00B356D9">
        <w:rPr>
          <w:rFonts w:ascii="Palatino Linotype" w:eastAsia="Palatino Linotype" w:hAnsi="Palatino Linotype" w:cs="Palatino Linotype"/>
          <w:b/>
          <w:i/>
          <w:sz w:val="24"/>
        </w:rPr>
        <w:t>Artículo 1</w:t>
      </w:r>
      <w:r w:rsidRPr="00B356D9">
        <w:rPr>
          <w:rFonts w:ascii="Palatino Linotype" w:eastAsia="Palatino Linotype" w:hAnsi="Palatino Linotype" w:cs="Palatino Linotype"/>
          <w:i/>
          <w:sz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5BD40F3"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Las normas relativas a los derechos humanos se interpretarán de conformidad con esta Constitución y con los tratados internacionales de la materia favoreciendo en todo tiempo a las personas la protección más amplia.</w:t>
      </w:r>
    </w:p>
    <w:p w14:paraId="4871592F" w14:textId="77777777" w:rsidR="00D8288F" w:rsidRPr="00B356D9" w:rsidRDefault="00D8288F" w:rsidP="00B356D9">
      <w:pPr>
        <w:pStyle w:val="Prrafodelista"/>
        <w:ind w:left="567" w:right="539"/>
        <w:jc w:val="both"/>
        <w:rPr>
          <w:rFonts w:ascii="Palatino Linotype" w:eastAsia="Palatino Linotype" w:hAnsi="Palatino Linotype" w:cs="Palatino Linotype"/>
          <w:i/>
          <w:sz w:val="24"/>
        </w:rPr>
      </w:pPr>
      <w:r w:rsidRPr="00B356D9">
        <w:rPr>
          <w:rFonts w:ascii="Palatino Linotype" w:eastAsia="Palatino Linotype" w:hAnsi="Palatino Linotype" w:cs="Palatino Linotype"/>
          <w:i/>
          <w:sz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3F772EAD" w14:textId="77777777" w:rsidR="00D8288F" w:rsidRPr="00B356D9" w:rsidRDefault="00D8288F" w:rsidP="00B356D9">
      <w:pPr>
        <w:spacing w:line="360" w:lineRule="auto"/>
        <w:jc w:val="both"/>
        <w:rPr>
          <w:rFonts w:ascii="Palatino Linotype" w:eastAsia="Calibri" w:hAnsi="Palatino Linotype" w:cs="Arial"/>
        </w:rPr>
      </w:pPr>
    </w:p>
    <w:p w14:paraId="5A466B14" w14:textId="77777777" w:rsidR="00D8288F" w:rsidRPr="00B356D9" w:rsidRDefault="00D8288F" w:rsidP="00B356D9">
      <w:pPr>
        <w:numPr>
          <w:ilvl w:val="0"/>
          <w:numId w:val="1"/>
        </w:numPr>
        <w:spacing w:line="360" w:lineRule="auto"/>
        <w:ind w:left="0" w:firstLine="0"/>
        <w:jc w:val="both"/>
        <w:rPr>
          <w:rFonts w:ascii="Palatino Linotype" w:eastAsia="Calibri" w:hAnsi="Palatino Linotype" w:cs="Arial"/>
        </w:rPr>
      </w:pPr>
      <w:r w:rsidRPr="00B356D9">
        <w:rPr>
          <w:rFonts w:ascii="Palatino Linotype" w:eastAsia="Calibri" w:hAnsi="Palatino Linotype" w:cs="Arial"/>
        </w:rPr>
        <w:t>Esto es, que el derecho humano de acceso a la información pública, se aprecia que toda persona, sin necesidad de acreditar interés alguno o justificar su interposición, deberá tener acceso a la información pública, es decir, dicho</w:t>
      </w:r>
      <w:r w:rsidRPr="00B356D9">
        <w:rPr>
          <w:rFonts w:ascii="Palatino Linotype" w:eastAsia="Palatino Linotype" w:hAnsi="Palatino Linotype" w:cs="Palatino Linotype"/>
          <w:lang w:val="es-ES" w:eastAsia="en-US"/>
        </w:rPr>
        <w:t xml:space="preserve"> </w:t>
      </w:r>
      <w:r w:rsidRPr="00B356D9">
        <w:rPr>
          <w:rFonts w:ascii="Palatino Linotype" w:eastAsia="Palatino Linotype" w:hAnsi="Palatino Linotype" w:cs="Palatino Linotype"/>
          <w:i/>
          <w:lang w:val="es-ES" w:eastAsia="en-US"/>
        </w:rPr>
        <w:t>derecho fundamental exime a quien lo ejerce</w:t>
      </w:r>
      <w:r w:rsidRPr="00B356D9">
        <w:rPr>
          <w:rFonts w:ascii="Palatino Linotype" w:eastAsia="Palatino Linotype" w:hAnsi="Palatino Linotype" w:cs="Palatino Linotype"/>
          <w:lang w:val="es-ES" w:eastAsia="en-US"/>
        </w:rPr>
        <w:t xml:space="preserve">, </w:t>
      </w:r>
      <w:r w:rsidRPr="00B356D9">
        <w:rPr>
          <w:rFonts w:ascii="Palatino Linotype" w:eastAsia="Calibri"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A86BC00" w14:textId="77777777" w:rsidR="00D8288F" w:rsidRPr="00B356D9" w:rsidRDefault="00D8288F" w:rsidP="00B356D9">
      <w:pPr>
        <w:spacing w:line="360" w:lineRule="auto"/>
        <w:contextualSpacing/>
        <w:jc w:val="both"/>
        <w:rPr>
          <w:rFonts w:ascii="Palatino Linotype" w:eastAsia="Calibri" w:hAnsi="Palatino Linotype" w:cs="Arial"/>
          <w:b/>
        </w:rPr>
      </w:pPr>
    </w:p>
    <w:p w14:paraId="7DE72EC1" w14:textId="77777777" w:rsidR="00D8288F" w:rsidRPr="00B356D9" w:rsidRDefault="00D8288F" w:rsidP="00B356D9">
      <w:pPr>
        <w:numPr>
          <w:ilvl w:val="0"/>
          <w:numId w:val="1"/>
        </w:numPr>
        <w:spacing w:line="360" w:lineRule="auto"/>
        <w:ind w:left="0" w:firstLine="0"/>
        <w:jc w:val="both"/>
        <w:rPr>
          <w:rFonts w:ascii="Palatino Linotype" w:eastAsia="Calibri" w:hAnsi="Palatino Linotype" w:cs="Arial"/>
        </w:rPr>
      </w:pPr>
      <w:r w:rsidRPr="00B356D9">
        <w:rPr>
          <w:rFonts w:ascii="Palatino Linotype" w:eastAsia="Calibri" w:hAnsi="Palatino Linotype" w:cs="Arial"/>
        </w:rPr>
        <w:t xml:space="preserve">En consecuencia, dado lo expuesto y fundado con anterioridad, se estima que el requisito relativo al nombre del </w:t>
      </w:r>
      <w:r w:rsidRPr="00B356D9">
        <w:rPr>
          <w:rFonts w:ascii="Palatino Linotype" w:eastAsia="Calibri" w:hAnsi="Palatino Linotype" w:cs="Arial"/>
          <w:b/>
        </w:rPr>
        <w:t>RECURRENTE</w:t>
      </w:r>
      <w:r w:rsidRPr="00B356D9">
        <w:rPr>
          <w:rFonts w:ascii="Palatino Linotype" w:eastAsia="Calibri" w:hAnsi="Palatino Linotype" w:cs="Arial"/>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w:t>
      </w:r>
      <w:r w:rsidRPr="00B356D9">
        <w:rPr>
          <w:rFonts w:ascii="Palatino Linotype" w:eastAsia="Calibri" w:hAnsi="Palatino Linotype" w:cs="Arial"/>
        </w:rPr>
        <w:lastRenderedPageBreak/>
        <w:t>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1209E67C" w14:textId="77777777" w:rsidR="00D8288F" w:rsidRPr="00B356D9" w:rsidRDefault="00D8288F" w:rsidP="00B356D9">
      <w:pPr>
        <w:spacing w:line="360" w:lineRule="auto"/>
        <w:contextualSpacing/>
        <w:jc w:val="both"/>
        <w:rPr>
          <w:rFonts w:ascii="Palatino Linotype" w:eastAsia="Calibri" w:hAnsi="Palatino Linotype" w:cs="Arial"/>
          <w:b/>
        </w:rPr>
      </w:pPr>
    </w:p>
    <w:p w14:paraId="54537540" w14:textId="77777777" w:rsidR="005F0B19" w:rsidRPr="00B356D9" w:rsidRDefault="00841865" w:rsidP="00B356D9">
      <w:pPr>
        <w:numPr>
          <w:ilvl w:val="0"/>
          <w:numId w:val="1"/>
        </w:numPr>
        <w:spacing w:line="360" w:lineRule="auto"/>
        <w:ind w:left="0" w:firstLine="0"/>
        <w:contextualSpacing/>
        <w:jc w:val="both"/>
        <w:rPr>
          <w:rFonts w:ascii="Palatino Linotype" w:eastAsia="Calibri" w:hAnsi="Palatino Linotype" w:cs="Arial"/>
          <w:b/>
        </w:rPr>
      </w:pPr>
      <w:r w:rsidRPr="00B356D9">
        <w:rPr>
          <w:rFonts w:ascii="Palatino Linotype" w:eastAsia="Calibri" w:hAnsi="Palatino Linotype" w:cs="Arial"/>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0C60D37" w14:textId="77777777" w:rsidR="005F0B19" w:rsidRPr="00B356D9" w:rsidRDefault="005F0B19" w:rsidP="00B356D9">
      <w:pPr>
        <w:pStyle w:val="Prrafodelista"/>
        <w:spacing w:line="360" w:lineRule="auto"/>
        <w:jc w:val="both"/>
        <w:rPr>
          <w:rFonts w:ascii="Palatino Linotype" w:eastAsia="Calibri" w:hAnsi="Palatino Linotype" w:cs="Arial"/>
          <w:b/>
          <w:sz w:val="24"/>
        </w:rPr>
      </w:pPr>
    </w:p>
    <w:p w14:paraId="36B5585A" w14:textId="77777777" w:rsidR="00841865" w:rsidRPr="00B356D9" w:rsidRDefault="00841865" w:rsidP="00B356D9">
      <w:pPr>
        <w:keepNext/>
        <w:keepLines/>
        <w:spacing w:line="360" w:lineRule="auto"/>
        <w:jc w:val="both"/>
        <w:outlineLvl w:val="0"/>
        <w:rPr>
          <w:rFonts w:ascii="Palatino Linotype" w:eastAsia="MS Gothic" w:hAnsi="Palatino Linotype"/>
          <w:b/>
        </w:rPr>
      </w:pPr>
      <w:bookmarkStart w:id="17" w:name="_Toc65713731"/>
      <w:bookmarkStart w:id="18" w:name="_Toc94119614"/>
      <w:r w:rsidRPr="00B356D9">
        <w:rPr>
          <w:rFonts w:ascii="Palatino Linotype" w:eastAsia="MS Mincho" w:hAnsi="Palatino Linotype" w:cstheme="majorBidi"/>
          <w:b/>
          <w:lang w:val="es-ES_tradnl" w:eastAsia="es-ES"/>
        </w:rPr>
        <w:t>TERCERO. Planteamiento de la Litis</w:t>
      </w:r>
      <w:r w:rsidRPr="00B356D9">
        <w:rPr>
          <w:rFonts w:ascii="Palatino Linotype" w:eastAsia="MS Gothic" w:hAnsi="Palatino Linotype"/>
          <w:b/>
        </w:rPr>
        <w:t>.</w:t>
      </w:r>
      <w:bookmarkEnd w:id="17"/>
      <w:bookmarkEnd w:id="18"/>
    </w:p>
    <w:p w14:paraId="4E70D517" w14:textId="46B7B50F" w:rsidR="00DB093E" w:rsidRPr="00B356D9" w:rsidRDefault="002835B4" w:rsidP="00B356D9">
      <w:pPr>
        <w:pStyle w:val="Prrafodelista"/>
        <w:numPr>
          <w:ilvl w:val="0"/>
          <w:numId w:val="1"/>
        </w:numPr>
        <w:spacing w:line="360" w:lineRule="auto"/>
        <w:ind w:left="0" w:firstLine="0"/>
        <w:jc w:val="both"/>
        <w:rPr>
          <w:rFonts w:ascii="Palatino Linotype" w:eastAsia="MS Mincho" w:hAnsi="Palatino Linotype" w:cs="Arial"/>
          <w:b/>
          <w:i/>
          <w:sz w:val="24"/>
          <w:lang w:val="es-ES_tradnl" w:eastAsia="es-ES"/>
        </w:rPr>
      </w:pPr>
      <w:r w:rsidRPr="00B356D9">
        <w:rPr>
          <w:rFonts w:ascii="Palatino Linotype" w:hAnsi="Palatino Linotype" w:cs="Arial"/>
          <w:color w:val="000000" w:themeColor="text1"/>
          <w:sz w:val="24"/>
        </w:rPr>
        <w:t xml:space="preserve">El particular </w:t>
      </w:r>
      <w:r w:rsidRPr="00B356D9">
        <w:rPr>
          <w:rFonts w:ascii="Palatino Linotype" w:hAnsi="Palatino Linotype" w:cs="Arial"/>
          <w:b/>
          <w:color w:val="000000" w:themeColor="text1"/>
          <w:sz w:val="24"/>
        </w:rPr>
        <w:t>solicitó</w:t>
      </w:r>
      <w:r w:rsidR="00E31BB1" w:rsidRPr="00B356D9">
        <w:rPr>
          <w:rFonts w:ascii="Palatino Linotype" w:hAnsi="Palatino Linotype" w:cs="Arial"/>
          <w:b/>
          <w:color w:val="000000" w:themeColor="text1"/>
          <w:sz w:val="24"/>
        </w:rPr>
        <w:t xml:space="preserve"> en versión pública, la declaración de situación patrimonial de los Titulares de la Direcciones que integran la administración del Ayuntamiento.</w:t>
      </w:r>
    </w:p>
    <w:p w14:paraId="188FC9F8" w14:textId="77777777" w:rsidR="00D8288F" w:rsidRPr="00B356D9" w:rsidRDefault="00D8288F" w:rsidP="00B356D9">
      <w:pPr>
        <w:spacing w:line="360" w:lineRule="auto"/>
        <w:jc w:val="both"/>
        <w:rPr>
          <w:rFonts w:ascii="Palatino Linotype" w:eastAsia="MS Mincho" w:hAnsi="Palatino Linotype" w:cs="Arial"/>
          <w:b/>
          <w:i/>
          <w:lang w:val="es-ES_tradnl" w:eastAsia="es-ES"/>
        </w:rPr>
      </w:pPr>
    </w:p>
    <w:p w14:paraId="3F2CDCAB" w14:textId="33545B51" w:rsidR="00DB093E" w:rsidRPr="00B356D9" w:rsidRDefault="00CD4D44" w:rsidP="00B356D9">
      <w:pPr>
        <w:pStyle w:val="Prrafodelista"/>
        <w:numPr>
          <w:ilvl w:val="0"/>
          <w:numId w:val="1"/>
        </w:numPr>
        <w:spacing w:line="360" w:lineRule="auto"/>
        <w:ind w:left="0" w:firstLine="0"/>
        <w:jc w:val="both"/>
        <w:rPr>
          <w:rFonts w:ascii="Palatino Linotype" w:hAnsi="Palatino Linotype" w:cs="Arial"/>
          <w:sz w:val="24"/>
        </w:rPr>
      </w:pPr>
      <w:r w:rsidRPr="00B356D9">
        <w:rPr>
          <w:rFonts w:ascii="Palatino Linotype" w:hAnsi="Palatino Linotype" w:cs="Arial"/>
          <w:sz w:val="24"/>
        </w:rPr>
        <w:t xml:space="preserve">En respuesta, el </w:t>
      </w:r>
      <w:r w:rsidRPr="00B356D9">
        <w:rPr>
          <w:rFonts w:ascii="Palatino Linotype" w:hAnsi="Palatino Linotype" w:cs="Arial"/>
          <w:b/>
          <w:sz w:val="24"/>
        </w:rPr>
        <w:t xml:space="preserve">SUJETO OBLIGADO </w:t>
      </w:r>
      <w:r w:rsidR="00DB093E" w:rsidRPr="00B356D9">
        <w:rPr>
          <w:rFonts w:ascii="Palatino Linotype" w:hAnsi="Palatino Linotype" w:cs="Arial"/>
          <w:sz w:val="24"/>
        </w:rPr>
        <w:t xml:space="preserve">por medio del </w:t>
      </w:r>
      <w:r w:rsidR="00E31BB1" w:rsidRPr="00B356D9">
        <w:rPr>
          <w:rFonts w:ascii="Palatino Linotype" w:hAnsi="Palatino Linotype" w:cs="Arial"/>
          <w:sz w:val="24"/>
        </w:rPr>
        <w:t>Contralor Municipal</w:t>
      </w:r>
      <w:r w:rsidR="00DB093E" w:rsidRPr="00B356D9">
        <w:rPr>
          <w:rFonts w:ascii="Palatino Linotype" w:hAnsi="Palatino Linotype" w:cs="Arial"/>
          <w:sz w:val="24"/>
        </w:rPr>
        <w:t>, señaló su incompetencia para brindar respuesta y atender la solic</w:t>
      </w:r>
      <w:r w:rsidR="008702A2" w:rsidRPr="00B356D9">
        <w:rPr>
          <w:rFonts w:ascii="Palatino Linotype" w:hAnsi="Palatino Linotype" w:cs="Arial"/>
          <w:sz w:val="24"/>
        </w:rPr>
        <w:t>i</w:t>
      </w:r>
      <w:r w:rsidR="00DB093E" w:rsidRPr="00B356D9">
        <w:rPr>
          <w:rFonts w:ascii="Palatino Linotype" w:hAnsi="Palatino Linotype" w:cs="Arial"/>
          <w:sz w:val="24"/>
        </w:rPr>
        <w:t xml:space="preserve">tud de </w:t>
      </w:r>
      <w:r w:rsidR="008702A2" w:rsidRPr="00B356D9">
        <w:rPr>
          <w:rFonts w:ascii="Palatino Linotype" w:hAnsi="Palatino Linotype" w:cs="Arial"/>
          <w:sz w:val="24"/>
        </w:rPr>
        <w:t xml:space="preserve">información, toda vez que a información requerida corresponde a un </w:t>
      </w:r>
      <w:r w:rsidR="008702A2" w:rsidRPr="00B356D9">
        <w:rPr>
          <w:rFonts w:ascii="Palatino Linotype" w:hAnsi="Palatino Linotype" w:cs="Arial"/>
          <w:b/>
          <w:sz w:val="24"/>
        </w:rPr>
        <w:t xml:space="preserve">SUJETO OBLIGADO </w:t>
      </w:r>
      <w:r w:rsidR="008702A2" w:rsidRPr="00B356D9">
        <w:rPr>
          <w:rFonts w:ascii="Palatino Linotype" w:hAnsi="Palatino Linotype" w:cs="Arial"/>
          <w:sz w:val="24"/>
        </w:rPr>
        <w:t>diverso</w:t>
      </w:r>
      <w:r w:rsidR="008702A2" w:rsidRPr="00B356D9">
        <w:rPr>
          <w:rFonts w:ascii="Palatino Linotype" w:hAnsi="Palatino Linotype" w:cs="Arial"/>
          <w:b/>
          <w:sz w:val="24"/>
        </w:rPr>
        <w:t>.</w:t>
      </w:r>
    </w:p>
    <w:p w14:paraId="093C7313" w14:textId="77777777" w:rsidR="00446A7A" w:rsidRPr="00B356D9" w:rsidRDefault="00446A7A" w:rsidP="00B356D9">
      <w:pPr>
        <w:pStyle w:val="Prrafodelista"/>
        <w:spacing w:line="360" w:lineRule="auto"/>
        <w:jc w:val="both"/>
        <w:rPr>
          <w:rFonts w:ascii="Palatino Linotype" w:hAnsi="Palatino Linotype" w:cs="Arial"/>
          <w:sz w:val="24"/>
        </w:rPr>
      </w:pPr>
    </w:p>
    <w:p w14:paraId="7571009C" w14:textId="77777777" w:rsidR="002835B4" w:rsidRPr="00B356D9" w:rsidRDefault="002835B4" w:rsidP="00B356D9">
      <w:pPr>
        <w:pStyle w:val="Prrafodelista"/>
        <w:numPr>
          <w:ilvl w:val="0"/>
          <w:numId w:val="1"/>
        </w:numPr>
        <w:spacing w:line="360" w:lineRule="auto"/>
        <w:ind w:left="0" w:firstLine="0"/>
        <w:jc w:val="both"/>
        <w:rPr>
          <w:rFonts w:ascii="Palatino Linotype" w:hAnsi="Palatino Linotype" w:cs="Arial"/>
          <w:color w:val="FF0000"/>
          <w:sz w:val="24"/>
        </w:rPr>
      </w:pPr>
      <w:r w:rsidRPr="00B356D9">
        <w:rPr>
          <w:rFonts w:ascii="Palatino Linotype" w:hAnsi="Palatino Linotype" w:cs="Arial"/>
          <w:color w:val="000000" w:themeColor="text1"/>
          <w:sz w:val="24"/>
        </w:rPr>
        <w:t xml:space="preserve">El </w:t>
      </w:r>
      <w:r w:rsidRPr="00B356D9">
        <w:rPr>
          <w:rFonts w:ascii="Palatino Linotype" w:hAnsi="Palatino Linotype" w:cs="Arial"/>
          <w:b/>
          <w:color w:val="000000" w:themeColor="text1"/>
          <w:sz w:val="24"/>
        </w:rPr>
        <w:t>RECURRENTE</w:t>
      </w:r>
      <w:r w:rsidRPr="00B356D9">
        <w:rPr>
          <w:rFonts w:ascii="Palatino Linotype" w:hAnsi="Palatino Linotype" w:cs="Arial"/>
          <w:color w:val="000000" w:themeColor="text1"/>
          <w:sz w:val="24"/>
        </w:rPr>
        <w:t xml:space="preserve">, se inconformó por la negativa de la información solicitada, en los siguientes términos: </w:t>
      </w:r>
    </w:p>
    <w:p w14:paraId="670BE3AE" w14:textId="77777777" w:rsidR="002835B4" w:rsidRPr="00B356D9" w:rsidRDefault="002835B4" w:rsidP="00B356D9">
      <w:pPr>
        <w:pStyle w:val="Prrafodelista"/>
        <w:ind w:left="567" w:right="539"/>
        <w:jc w:val="both"/>
        <w:rPr>
          <w:rFonts w:ascii="Palatino Linotype" w:hAnsi="Palatino Linotype" w:cs="Arial"/>
          <w:i/>
          <w:color w:val="000000" w:themeColor="text1"/>
          <w:sz w:val="24"/>
        </w:rPr>
      </w:pPr>
    </w:p>
    <w:p w14:paraId="3D4F2A82" w14:textId="7CF2C71F" w:rsidR="002835B4" w:rsidRPr="00B356D9" w:rsidRDefault="002835B4" w:rsidP="00B356D9">
      <w:pPr>
        <w:pStyle w:val="Prrafodelista"/>
        <w:ind w:left="567" w:right="539"/>
        <w:jc w:val="both"/>
        <w:rPr>
          <w:rFonts w:ascii="Palatino Linotype" w:hAnsi="Palatino Linotype" w:cs="Arial"/>
          <w:color w:val="FF0000"/>
          <w:sz w:val="24"/>
        </w:rPr>
      </w:pPr>
      <w:r w:rsidRPr="00B356D9">
        <w:rPr>
          <w:rFonts w:ascii="Palatino Linotype" w:hAnsi="Palatino Linotype" w:cs="Arial"/>
          <w:i/>
          <w:color w:val="000000" w:themeColor="text1"/>
          <w:sz w:val="24"/>
        </w:rPr>
        <w:lastRenderedPageBreak/>
        <w:t>“</w:t>
      </w:r>
      <w:r w:rsidR="00E31BB1" w:rsidRPr="00B356D9">
        <w:rPr>
          <w:rFonts w:ascii="Palatino Linotype" w:hAnsi="Palatino Linotype" w:cs="Arial"/>
          <w:i/>
          <w:color w:val="000000" w:themeColor="text1"/>
          <w:sz w:val="24"/>
        </w:rPr>
        <w:t>Me inconformo contra la respuesta del Sujeto Obligado por ser infundada, ilegal y restrictiva de mi derecho de acceso a la información, basándome en los siguientes agravios: 1. FALSA INCOMPETENCIA Y POSESIÓN VIRTUAL: la C. Eva Cabrera CALLEJAS, Contralora Municipal de Valle de Bravo, México; argumenta erróneamente en el cuerpo del oficio que la documentación 'escapa de su competencia' y que 'no cuenta con la documentación' bajo el pretexto de que el sistema (DeclaraNET) es controlado por la Secretaría de la Contraloría del Poder Ejecutivo Estatal. Este argumento es falaz. Si bien el Ayuntamiento utiliza la plataforma tecnológica del Gobierno del Estado mediante convenio, esto no exime a la Contraloría Municipal de su carácter de autoridad responsable y poseedora de la información. De acuerdo con la Ley de Responsabilidades Administrativas del Estado de México y Municipios, son los Órganos Internos de Control (Contralorías Municipales) quienes tienen la obligación legal de recibir y resguardar las declaraciones. 2. ACCESO ADMINISTRATIVO VIGENTE: Es de conocimiento público y criterio reiterado por este Órgano Garante (INFOEM) que los Contralores Municipales poseen claves de acceso (usuario y contraseña) con privilegios de administrador sobre los registros de sus propios servidores públicos dentro de la plataforma estatal. Por lo tanto, la C. Eva Cabrera SÍ tiene la capacidad material y técnica para ingresar al sistema, consultar los registros de los directores de su administración y generar las versiones públicas solicitadas. Alegar que el software es de un tercero para negar la información es una barrera administrativa inaceptable. 3. PRINCIPIO DE PUBLICIDAD: La información solicitada (versiones públicas de declaraciones patrimoniales) es una Obligación de Transparencia Común y Específica. Al derivarme a una instancia estatal (Secretaría Ejecutiva) para obtener información de funcionarios que cobran en la nómina municipal, el Sujeto Obligado está violando el principio de sencillez y rapidez, intentando ocultar información que debe tener disponible. SOLICITUD: Solicito al INFOEM que revoque la respuesta y ordene al Ayuntamiento de Valle de Bravo que ejerza sus facultades de acceso al sistema, descargue la información que legalmente le pertenece y entregue las versiones públicas requeridas</w:t>
      </w:r>
      <w:r w:rsidRPr="00B356D9">
        <w:rPr>
          <w:rFonts w:ascii="Palatino Linotype" w:hAnsi="Palatino Linotype" w:cs="Arial"/>
          <w:i/>
          <w:color w:val="000000" w:themeColor="text1"/>
          <w:sz w:val="24"/>
        </w:rPr>
        <w:t>.” (Sic)</w:t>
      </w:r>
    </w:p>
    <w:p w14:paraId="211E9E43" w14:textId="77777777" w:rsidR="002835B4" w:rsidRPr="00B356D9" w:rsidRDefault="002835B4" w:rsidP="00B356D9">
      <w:pPr>
        <w:pStyle w:val="Prrafodelista"/>
        <w:spacing w:line="360" w:lineRule="auto"/>
        <w:ind w:left="0"/>
        <w:jc w:val="both"/>
        <w:rPr>
          <w:rFonts w:ascii="Palatino Linotype" w:hAnsi="Palatino Linotype" w:cs="Arial"/>
          <w:color w:val="FF0000"/>
          <w:sz w:val="24"/>
        </w:rPr>
      </w:pPr>
    </w:p>
    <w:p w14:paraId="72C87FAD" w14:textId="77777777" w:rsidR="00C1457F" w:rsidRPr="00B356D9" w:rsidRDefault="00C1457F" w:rsidP="00B356D9">
      <w:pPr>
        <w:pStyle w:val="Prrafodelista"/>
        <w:numPr>
          <w:ilvl w:val="0"/>
          <w:numId w:val="1"/>
        </w:numPr>
        <w:spacing w:line="360" w:lineRule="auto"/>
        <w:ind w:left="0" w:firstLine="0"/>
        <w:jc w:val="both"/>
        <w:rPr>
          <w:rFonts w:ascii="Palatino Linotype" w:eastAsia="MS Mincho" w:hAnsi="Palatino Linotype" w:cs="Arial"/>
          <w:i/>
          <w:sz w:val="24"/>
          <w:lang w:val="es-ES_tradnl" w:eastAsia="es-ES"/>
        </w:rPr>
      </w:pPr>
      <w:r w:rsidRPr="00B356D9">
        <w:rPr>
          <w:rFonts w:ascii="Palatino Linotype" w:eastAsia="MS Mincho" w:hAnsi="Palatino Linotype" w:cs="Arial"/>
          <w:sz w:val="24"/>
        </w:rPr>
        <w:t xml:space="preserve">En </w:t>
      </w:r>
      <w:r w:rsidRPr="00B356D9">
        <w:rPr>
          <w:rFonts w:ascii="Palatino Linotype" w:hAnsi="Palatino Linotype" w:cs="Arial"/>
          <w:sz w:val="24"/>
        </w:rPr>
        <w:t xml:space="preserve">dichas condiciones, la </w:t>
      </w:r>
      <w:r w:rsidRPr="00B356D9">
        <w:rPr>
          <w:rFonts w:ascii="Palatino Linotype" w:hAnsi="Palatino Linotype" w:cs="Arial"/>
          <w:i/>
          <w:sz w:val="24"/>
        </w:rPr>
        <w:t>Litis</w:t>
      </w:r>
      <w:r w:rsidRPr="00B356D9">
        <w:rPr>
          <w:rFonts w:ascii="Palatino Linotype" w:hAnsi="Palatino Linotype" w:cs="Arial"/>
          <w:sz w:val="24"/>
        </w:rPr>
        <w:t xml:space="preserve"> a resolver en este recurso se circunscribe a determinar si </w:t>
      </w:r>
      <w:r w:rsidRPr="00B356D9">
        <w:rPr>
          <w:rFonts w:ascii="Palatino Linotype" w:eastAsia="MS Mincho" w:hAnsi="Palatino Linotype" w:cs="Arial"/>
          <w:sz w:val="24"/>
        </w:rPr>
        <w:t xml:space="preserve">se actualizan las causales de procedencia previstas en el artículo 179, </w:t>
      </w:r>
      <w:r w:rsidRPr="00B356D9">
        <w:rPr>
          <w:rFonts w:ascii="Palatino Linotype" w:eastAsia="MS Mincho" w:hAnsi="Palatino Linotype" w:cs="Arial"/>
          <w:b/>
          <w:sz w:val="24"/>
        </w:rPr>
        <w:t xml:space="preserve">fracción I </w:t>
      </w:r>
      <w:r w:rsidRPr="00B356D9">
        <w:rPr>
          <w:rFonts w:ascii="Palatino Linotype" w:eastAsia="MS Mincho" w:hAnsi="Palatino Linotype" w:cs="Arial"/>
          <w:sz w:val="24"/>
        </w:rPr>
        <w:t>de la</w:t>
      </w:r>
      <w:r w:rsidRPr="00B356D9">
        <w:rPr>
          <w:rFonts w:ascii="Palatino Linotype" w:hAnsi="Palatino Linotype" w:cs="Arial"/>
          <w:color w:val="000000" w:themeColor="text1"/>
          <w:sz w:val="24"/>
        </w:rPr>
        <w:t xml:space="preserve"> Ley</w:t>
      </w:r>
      <w:r w:rsidRPr="00B356D9">
        <w:rPr>
          <w:rFonts w:ascii="Palatino Linotype" w:eastAsia="MS Mincho" w:hAnsi="Palatino Linotype" w:cs="Arial"/>
          <w:b/>
          <w:sz w:val="24"/>
        </w:rPr>
        <w:t xml:space="preserve"> de Transparencia y Acceso a la Información Pública del Estado de </w:t>
      </w:r>
      <w:r w:rsidRPr="00B356D9">
        <w:rPr>
          <w:rFonts w:ascii="Palatino Linotype" w:hAnsi="Palatino Linotype" w:cs="Arial"/>
          <w:sz w:val="24"/>
        </w:rPr>
        <w:t>México</w:t>
      </w:r>
      <w:r w:rsidRPr="00B356D9">
        <w:rPr>
          <w:rFonts w:ascii="Palatino Linotype" w:eastAsia="MS Mincho" w:hAnsi="Palatino Linotype" w:cs="Arial"/>
          <w:b/>
          <w:sz w:val="24"/>
        </w:rPr>
        <w:t xml:space="preserve"> y Municipios</w:t>
      </w:r>
      <w:r w:rsidRPr="00B356D9">
        <w:rPr>
          <w:rFonts w:ascii="Palatino Linotype" w:eastAsia="MS Mincho" w:hAnsi="Palatino Linotype" w:cs="Arial"/>
          <w:sz w:val="24"/>
        </w:rPr>
        <w:t xml:space="preserve">; </w:t>
      </w:r>
      <w:r w:rsidRPr="00B356D9">
        <w:rPr>
          <w:rFonts w:ascii="Palatino Linotype" w:hAnsi="Palatino Linotype" w:cs="Arial"/>
          <w:color w:val="000000" w:themeColor="text1"/>
          <w:sz w:val="24"/>
        </w:rPr>
        <w:t xml:space="preserve">fracción que determina la hipótesis jurídica relativa a </w:t>
      </w:r>
      <w:r w:rsidRPr="00B356D9">
        <w:rPr>
          <w:rFonts w:ascii="Palatino Linotype" w:hAnsi="Palatino Linotype" w:cs="Arial"/>
          <w:b/>
          <w:color w:val="000000" w:themeColor="text1"/>
          <w:sz w:val="24"/>
        </w:rPr>
        <w:t xml:space="preserve">la </w:t>
      </w:r>
      <w:r w:rsidRPr="00B356D9">
        <w:rPr>
          <w:rFonts w:ascii="Palatino Linotype" w:hAnsi="Palatino Linotype" w:cs="Arial"/>
          <w:b/>
          <w:color w:val="000000" w:themeColor="text1"/>
          <w:sz w:val="24"/>
        </w:rPr>
        <w:lastRenderedPageBreak/>
        <w:t xml:space="preserve">negativa de la información solicitada </w:t>
      </w:r>
      <w:r w:rsidRPr="00B356D9">
        <w:rPr>
          <w:rFonts w:ascii="Palatino Linotype" w:hAnsi="Palatino Linotype" w:cs="Arial"/>
          <w:color w:val="000000" w:themeColor="text1"/>
          <w:sz w:val="24"/>
        </w:rPr>
        <w:t xml:space="preserve">por el </w:t>
      </w:r>
      <w:r w:rsidRPr="00B356D9">
        <w:rPr>
          <w:rFonts w:ascii="Palatino Linotype" w:hAnsi="Palatino Linotype" w:cs="Arial"/>
          <w:b/>
          <w:color w:val="000000" w:themeColor="text1"/>
          <w:sz w:val="24"/>
        </w:rPr>
        <w:t>SUJETO OBLIGADO</w:t>
      </w:r>
      <w:r w:rsidRPr="00B356D9">
        <w:rPr>
          <w:rFonts w:ascii="Palatino Linotype" w:hAnsi="Palatino Linotype" w:cs="Arial"/>
          <w:color w:val="000000" w:themeColor="text1"/>
          <w:sz w:val="24"/>
        </w:rPr>
        <w:t xml:space="preserve">; </w:t>
      </w:r>
      <w:r w:rsidRPr="00B356D9">
        <w:rPr>
          <w:rFonts w:ascii="Palatino Linotype" w:eastAsia="MS Mincho" w:hAnsi="Palatino Linotype" w:cs="Arial"/>
          <w:sz w:val="24"/>
        </w:rPr>
        <w:t xml:space="preserve">contexto del cual se dolió </w:t>
      </w:r>
      <w:r w:rsidRPr="00B356D9">
        <w:rPr>
          <w:rFonts w:ascii="Palatino Linotype" w:eastAsia="MS Mincho" w:hAnsi="Palatino Linotype" w:cs="Arial"/>
          <w:b/>
          <w:sz w:val="24"/>
        </w:rPr>
        <w:t xml:space="preserve">EL RECURRENTE </w:t>
      </w:r>
      <w:r w:rsidRPr="00B356D9">
        <w:rPr>
          <w:rFonts w:ascii="Palatino Linotype" w:eastAsia="MS Mincho" w:hAnsi="Palatino Linotype" w:cs="Arial"/>
          <w:sz w:val="24"/>
        </w:rPr>
        <w:t>al momento de interponer su inconformidad.</w:t>
      </w:r>
    </w:p>
    <w:p w14:paraId="10D6FB99" w14:textId="77777777" w:rsidR="00841865" w:rsidRPr="00B356D9" w:rsidRDefault="00841865" w:rsidP="00B356D9">
      <w:pPr>
        <w:pStyle w:val="Prrafodelista"/>
        <w:spacing w:line="360" w:lineRule="auto"/>
        <w:ind w:left="0"/>
        <w:jc w:val="both"/>
        <w:rPr>
          <w:rFonts w:ascii="Palatino Linotype" w:eastAsia="MS Gothic" w:hAnsi="Palatino Linotype"/>
          <w:sz w:val="24"/>
        </w:rPr>
      </w:pPr>
    </w:p>
    <w:p w14:paraId="227ED7DA" w14:textId="77777777" w:rsidR="00841865" w:rsidRPr="00B356D9" w:rsidRDefault="00841865" w:rsidP="00B356D9">
      <w:pPr>
        <w:pStyle w:val="Ttulo1"/>
        <w:spacing w:before="0" w:line="360" w:lineRule="auto"/>
        <w:jc w:val="both"/>
        <w:rPr>
          <w:rFonts w:ascii="Palatino Linotype" w:eastAsia="MS Gothic" w:hAnsi="Palatino Linotype"/>
          <w:b/>
          <w:color w:val="auto"/>
          <w:sz w:val="24"/>
          <w:szCs w:val="24"/>
          <w:lang w:val="es-ES_tradnl"/>
        </w:rPr>
      </w:pPr>
      <w:bookmarkStart w:id="19" w:name="_Toc65713733"/>
      <w:bookmarkStart w:id="20" w:name="_Toc94119615"/>
      <w:r w:rsidRPr="00B356D9">
        <w:rPr>
          <w:rFonts w:ascii="Palatino Linotype" w:eastAsia="MS Gothic" w:hAnsi="Palatino Linotype"/>
          <w:b/>
          <w:color w:val="auto"/>
          <w:sz w:val="24"/>
          <w:szCs w:val="24"/>
          <w:lang w:val="es-ES_tradnl"/>
        </w:rPr>
        <w:t>CUARTO. Del estudio y resolución del recurso de revisión.</w:t>
      </w:r>
      <w:bookmarkEnd w:id="19"/>
      <w:bookmarkEnd w:id="20"/>
    </w:p>
    <w:p w14:paraId="5DCD0047" w14:textId="77777777" w:rsidR="00C1457F" w:rsidRPr="00B356D9" w:rsidRDefault="00C1457F" w:rsidP="00B356D9">
      <w:pPr>
        <w:keepNext/>
        <w:keepLines/>
        <w:numPr>
          <w:ilvl w:val="0"/>
          <w:numId w:val="10"/>
        </w:numPr>
        <w:spacing w:after="240" w:line="360" w:lineRule="auto"/>
        <w:ind w:left="786"/>
        <w:jc w:val="both"/>
        <w:rPr>
          <w:rFonts w:ascii="Palatino Linotype" w:eastAsia="Palatino Linotype" w:hAnsi="Palatino Linotype" w:cs="Palatino Linotype"/>
          <w:b/>
        </w:rPr>
      </w:pPr>
      <w:r w:rsidRPr="00B356D9">
        <w:rPr>
          <w:rFonts w:ascii="Palatino Linotype" w:eastAsia="Palatino Linotype" w:hAnsi="Palatino Linotype" w:cs="Palatino Linotype"/>
          <w:b/>
        </w:rPr>
        <w:t>Del derecho de acceso a la información.</w:t>
      </w:r>
    </w:p>
    <w:p w14:paraId="1A614894" w14:textId="77777777" w:rsidR="006517CD" w:rsidRPr="00B356D9" w:rsidRDefault="006517CD" w:rsidP="00B356D9">
      <w:pPr>
        <w:numPr>
          <w:ilvl w:val="0"/>
          <w:numId w:val="1"/>
        </w:numPr>
        <w:spacing w:line="360" w:lineRule="auto"/>
        <w:ind w:left="0" w:firstLine="0"/>
        <w:jc w:val="both"/>
        <w:rPr>
          <w:rFonts w:ascii="Palatino Linotype" w:eastAsia="Palatino Linotype" w:hAnsi="Palatino Linotype" w:cs="Palatino Linotype"/>
        </w:rPr>
      </w:pPr>
      <w:r w:rsidRPr="00B356D9">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14:paraId="1FB6235A" w14:textId="77777777" w:rsidR="006517CD" w:rsidRPr="00B356D9" w:rsidRDefault="006517CD" w:rsidP="00B356D9">
      <w:pPr>
        <w:pStyle w:val="Prrafodelista"/>
        <w:spacing w:line="360" w:lineRule="auto"/>
        <w:ind w:left="0"/>
        <w:jc w:val="both"/>
        <w:rPr>
          <w:rFonts w:ascii="Palatino Linotype" w:hAnsi="Palatino Linotype" w:cs="Arial"/>
          <w:color w:val="000000" w:themeColor="text1"/>
          <w:sz w:val="24"/>
        </w:rPr>
      </w:pPr>
    </w:p>
    <w:p w14:paraId="3CE547D2" w14:textId="77777777" w:rsidR="00E31BB1" w:rsidRPr="00B356D9" w:rsidRDefault="006517CD" w:rsidP="00B356D9">
      <w:pPr>
        <w:pStyle w:val="Prrafodelista"/>
        <w:numPr>
          <w:ilvl w:val="0"/>
          <w:numId w:val="1"/>
        </w:numPr>
        <w:spacing w:line="360" w:lineRule="auto"/>
        <w:ind w:left="0" w:firstLine="0"/>
        <w:jc w:val="both"/>
        <w:rPr>
          <w:rFonts w:ascii="Palatino Linotype" w:eastAsia="Calibri" w:hAnsi="Palatino Linotype" w:cs="Arial"/>
          <w:sz w:val="24"/>
        </w:rPr>
      </w:pPr>
      <w:r w:rsidRPr="00B356D9">
        <w:rPr>
          <w:rFonts w:ascii="Palatino Linotype" w:eastAsia="Calibri" w:hAnsi="Palatino Linotype" w:cs="Arial"/>
          <w:sz w:val="24"/>
        </w:rPr>
        <w:t>En un principio debemos recordar que el particular</w:t>
      </w:r>
      <w:r w:rsidR="005C556D" w:rsidRPr="00B356D9">
        <w:rPr>
          <w:rFonts w:ascii="Palatino Linotype" w:eastAsia="Palatino Linotype" w:hAnsi="Palatino Linotype" w:cs="Palatino Linotype"/>
          <w:sz w:val="24"/>
        </w:rPr>
        <w:t xml:space="preserve"> </w:t>
      </w:r>
      <w:r w:rsidR="005C556D" w:rsidRPr="00B356D9">
        <w:rPr>
          <w:rFonts w:ascii="Palatino Linotype" w:eastAsia="Palatino Linotype" w:hAnsi="Palatino Linotype" w:cs="Palatino Linotype"/>
          <w:b/>
          <w:sz w:val="24"/>
        </w:rPr>
        <w:t xml:space="preserve">requirió </w:t>
      </w:r>
      <w:r w:rsidR="00E31BB1" w:rsidRPr="00B356D9">
        <w:rPr>
          <w:rFonts w:ascii="Palatino Linotype" w:hAnsi="Palatino Linotype" w:cs="Arial"/>
          <w:b/>
          <w:color w:val="000000" w:themeColor="text1"/>
          <w:sz w:val="24"/>
        </w:rPr>
        <w:t>en versión pública, la declaración de situación patrimonial de los Titulares de la Direcciones que integran la administración del Ayuntamiento.</w:t>
      </w:r>
    </w:p>
    <w:p w14:paraId="1996F164" w14:textId="77777777" w:rsidR="00E31BB1" w:rsidRPr="00B356D9" w:rsidRDefault="00E31BB1" w:rsidP="00B356D9">
      <w:pPr>
        <w:pStyle w:val="Prrafodelista"/>
        <w:spacing w:line="360" w:lineRule="auto"/>
        <w:jc w:val="both"/>
        <w:rPr>
          <w:rFonts w:ascii="Palatino Linotype" w:eastAsia="Cambria" w:hAnsi="Palatino Linotype"/>
          <w:color w:val="000000" w:themeColor="text1"/>
          <w:sz w:val="24"/>
        </w:rPr>
      </w:pPr>
    </w:p>
    <w:p w14:paraId="43C2B043" w14:textId="6A55C88E" w:rsidR="008702A2" w:rsidRPr="000B0130" w:rsidRDefault="00823CDD" w:rsidP="00B356D9">
      <w:pPr>
        <w:pStyle w:val="Prrafodelista"/>
        <w:numPr>
          <w:ilvl w:val="0"/>
          <w:numId w:val="1"/>
        </w:numPr>
        <w:spacing w:line="360" w:lineRule="auto"/>
        <w:ind w:left="0" w:firstLine="0"/>
        <w:jc w:val="both"/>
        <w:rPr>
          <w:rFonts w:ascii="Palatino Linotype" w:eastAsia="Calibri" w:hAnsi="Palatino Linotype" w:cs="Arial"/>
          <w:sz w:val="24"/>
        </w:rPr>
      </w:pPr>
      <w:r w:rsidRPr="00B356D9">
        <w:rPr>
          <w:rFonts w:ascii="Palatino Linotype" w:eastAsia="Cambria" w:hAnsi="Palatino Linotype"/>
          <w:color w:val="000000" w:themeColor="text1"/>
          <w:sz w:val="24"/>
        </w:rPr>
        <w:t>En respuesta</w:t>
      </w:r>
      <w:r w:rsidR="008E2A12" w:rsidRPr="00B356D9">
        <w:rPr>
          <w:rFonts w:ascii="Palatino Linotype" w:hAnsi="Palatino Linotype"/>
          <w:color w:val="000000" w:themeColor="text1"/>
          <w:sz w:val="24"/>
        </w:rPr>
        <w:t xml:space="preserve"> el</w:t>
      </w:r>
      <w:r w:rsidR="008E2A12" w:rsidRPr="00B356D9">
        <w:rPr>
          <w:rFonts w:ascii="Palatino Linotype" w:hAnsi="Palatino Linotype" w:cs="Arial"/>
          <w:color w:val="000000" w:themeColor="text1"/>
          <w:sz w:val="24"/>
        </w:rPr>
        <w:t xml:space="preserve"> </w:t>
      </w:r>
      <w:r w:rsidR="008E2A12" w:rsidRPr="00B356D9">
        <w:rPr>
          <w:rFonts w:ascii="Palatino Linotype" w:hAnsi="Palatino Linotype" w:cs="Arial"/>
          <w:b/>
          <w:color w:val="000000" w:themeColor="text1"/>
          <w:sz w:val="24"/>
        </w:rPr>
        <w:t>SUJETO OBLIGADO</w:t>
      </w:r>
      <w:r w:rsidR="005C556D" w:rsidRPr="00B356D9">
        <w:rPr>
          <w:rFonts w:ascii="Palatino Linotype" w:hAnsi="Palatino Linotype" w:cs="Arial"/>
          <w:color w:val="000000" w:themeColor="text1"/>
          <w:sz w:val="24"/>
        </w:rPr>
        <w:t>,</w:t>
      </w:r>
      <w:r w:rsidR="009F2034" w:rsidRPr="00B356D9">
        <w:rPr>
          <w:rFonts w:ascii="Palatino Linotype" w:hAnsi="Palatino Linotype" w:cs="Arial"/>
          <w:color w:val="000000" w:themeColor="text1"/>
          <w:sz w:val="24"/>
        </w:rPr>
        <w:t xml:space="preserve"> </w:t>
      </w:r>
      <w:r w:rsidR="009F2034" w:rsidRPr="00B356D9">
        <w:rPr>
          <w:rFonts w:ascii="Palatino Linotype" w:hAnsi="Palatino Linotype" w:cs="Arial"/>
          <w:sz w:val="24"/>
        </w:rPr>
        <w:t>por medio de</w:t>
      </w:r>
      <w:r w:rsidR="00E31BB1" w:rsidRPr="00B356D9">
        <w:rPr>
          <w:rFonts w:ascii="Palatino Linotype" w:hAnsi="Palatino Linotype" w:cs="Arial"/>
          <w:sz w:val="24"/>
        </w:rPr>
        <w:t>l Contralor Municipal</w:t>
      </w:r>
      <w:r w:rsidR="008702A2" w:rsidRPr="00B356D9">
        <w:rPr>
          <w:rFonts w:ascii="Palatino Linotype" w:hAnsi="Palatino Linotype" w:cs="Arial"/>
          <w:sz w:val="24"/>
        </w:rPr>
        <w:t xml:space="preserve">, informó su incompetencia para brindar respuesta al requerimiento, toda vez que la información requerida </w:t>
      </w:r>
      <w:r w:rsidR="0027677C" w:rsidRPr="00B356D9">
        <w:rPr>
          <w:rFonts w:ascii="Palatino Linotype" w:hAnsi="Palatino Linotype" w:cs="Arial"/>
          <w:sz w:val="24"/>
        </w:rPr>
        <w:t xml:space="preserve">se encuentra en posesión de </w:t>
      </w:r>
      <w:r w:rsidR="008702A2" w:rsidRPr="00B356D9">
        <w:rPr>
          <w:rFonts w:ascii="Palatino Linotype" w:hAnsi="Palatino Linotype" w:cs="Arial"/>
          <w:sz w:val="24"/>
        </w:rPr>
        <w:t xml:space="preserve">un </w:t>
      </w:r>
      <w:r w:rsidR="008702A2" w:rsidRPr="00B356D9">
        <w:rPr>
          <w:rFonts w:ascii="Palatino Linotype" w:hAnsi="Palatino Linotype" w:cs="Arial"/>
          <w:b/>
          <w:sz w:val="24"/>
        </w:rPr>
        <w:t xml:space="preserve">SUJETO OBLIGADO </w:t>
      </w:r>
      <w:r w:rsidR="00E31BB1" w:rsidRPr="00B356D9">
        <w:rPr>
          <w:rFonts w:ascii="Palatino Linotype" w:hAnsi="Palatino Linotype" w:cs="Arial"/>
          <w:sz w:val="24"/>
        </w:rPr>
        <w:t xml:space="preserve">diverso, </w:t>
      </w:r>
      <w:r w:rsidR="00E31BB1" w:rsidRPr="000B0130">
        <w:rPr>
          <w:rFonts w:ascii="Palatino Linotype" w:hAnsi="Palatino Linotype" w:cs="Arial"/>
          <w:sz w:val="24"/>
        </w:rPr>
        <w:t xml:space="preserve">como lo es la </w:t>
      </w:r>
      <w:r w:rsidR="00E31BB1" w:rsidRPr="000B0130">
        <w:rPr>
          <w:rFonts w:ascii="Palatino Linotype" w:hAnsi="Palatino Linotype" w:cs="Arial"/>
          <w:b/>
          <w:sz w:val="24"/>
        </w:rPr>
        <w:t>Secretaría de la Contraloría</w:t>
      </w:r>
      <w:r w:rsidR="008702A2" w:rsidRPr="000B0130">
        <w:rPr>
          <w:rFonts w:ascii="Palatino Linotype" w:hAnsi="Palatino Linotype" w:cs="Arial"/>
          <w:b/>
          <w:sz w:val="24"/>
        </w:rPr>
        <w:t>.</w:t>
      </w:r>
    </w:p>
    <w:p w14:paraId="0EC478AD" w14:textId="77777777" w:rsidR="009F2034" w:rsidRPr="000B0130" w:rsidRDefault="009F2034" w:rsidP="00B356D9">
      <w:pPr>
        <w:pStyle w:val="Prrafodelista"/>
        <w:spacing w:line="360" w:lineRule="auto"/>
        <w:jc w:val="both"/>
        <w:rPr>
          <w:rFonts w:ascii="Palatino Linotype" w:eastAsia="Calibri" w:hAnsi="Palatino Linotype" w:cs="Arial"/>
          <w:sz w:val="24"/>
        </w:rPr>
      </w:pPr>
    </w:p>
    <w:p w14:paraId="313DF9D5" w14:textId="07129991" w:rsidR="00823CDD" w:rsidRPr="000B0130" w:rsidRDefault="00823CDD" w:rsidP="00B356D9">
      <w:pPr>
        <w:pStyle w:val="Prrafodelista"/>
        <w:numPr>
          <w:ilvl w:val="0"/>
          <w:numId w:val="1"/>
        </w:numPr>
        <w:spacing w:line="360" w:lineRule="auto"/>
        <w:ind w:left="0" w:firstLine="0"/>
        <w:jc w:val="both"/>
        <w:rPr>
          <w:rFonts w:ascii="Palatino Linotype" w:eastAsia="Calibri" w:hAnsi="Palatino Linotype" w:cs="Arial"/>
          <w:sz w:val="24"/>
        </w:rPr>
      </w:pPr>
      <w:r w:rsidRPr="000B0130">
        <w:rPr>
          <w:rFonts w:ascii="Palatino Linotype" w:eastAsia="Calibri" w:hAnsi="Palatino Linotype" w:cs="Arial"/>
          <w:sz w:val="24"/>
        </w:rPr>
        <w:t xml:space="preserve">Posteriormente el </w:t>
      </w:r>
      <w:r w:rsidRPr="000B0130">
        <w:rPr>
          <w:rFonts w:ascii="Palatino Linotype" w:eastAsia="Calibri" w:hAnsi="Palatino Linotype" w:cs="Arial"/>
          <w:b/>
          <w:sz w:val="24"/>
        </w:rPr>
        <w:t>RECURRENTE</w:t>
      </w:r>
      <w:r w:rsidRPr="000B0130">
        <w:rPr>
          <w:rFonts w:ascii="Palatino Linotype" w:eastAsia="Calibri" w:hAnsi="Palatino Linotype" w:cs="Arial"/>
          <w:sz w:val="24"/>
        </w:rPr>
        <w:t xml:space="preserve">, </w:t>
      </w:r>
      <w:r w:rsidR="00B84C5A" w:rsidRPr="000B0130">
        <w:rPr>
          <w:rFonts w:ascii="Palatino Linotype" w:eastAsia="Calibri" w:hAnsi="Palatino Linotype" w:cs="Arial"/>
          <w:sz w:val="24"/>
        </w:rPr>
        <w:t>se inconformo</w:t>
      </w:r>
      <w:r w:rsidR="009F2034" w:rsidRPr="000B0130">
        <w:rPr>
          <w:rFonts w:ascii="Palatino Linotype" w:eastAsia="Calibri" w:hAnsi="Palatino Linotype" w:cs="Arial"/>
          <w:sz w:val="24"/>
        </w:rPr>
        <w:t>, por la negativa de</w:t>
      </w:r>
      <w:r w:rsidR="006517CD" w:rsidRPr="000B0130">
        <w:rPr>
          <w:rFonts w:ascii="Palatino Linotype" w:eastAsia="Calibri" w:hAnsi="Palatino Linotype" w:cs="Arial"/>
          <w:sz w:val="24"/>
        </w:rPr>
        <w:t xml:space="preserve"> </w:t>
      </w:r>
      <w:r w:rsidR="009F2034" w:rsidRPr="000B0130">
        <w:rPr>
          <w:rFonts w:ascii="Palatino Linotype" w:eastAsia="Calibri" w:hAnsi="Palatino Linotype" w:cs="Arial"/>
          <w:sz w:val="24"/>
        </w:rPr>
        <w:t>la información solicitada</w:t>
      </w:r>
      <w:r w:rsidR="00B84C5A" w:rsidRPr="000B0130">
        <w:rPr>
          <w:rFonts w:ascii="Palatino Linotype" w:eastAsia="Calibri" w:hAnsi="Palatino Linotype" w:cs="Arial"/>
          <w:sz w:val="24"/>
        </w:rPr>
        <w:t xml:space="preserve">. </w:t>
      </w:r>
    </w:p>
    <w:p w14:paraId="55100D01" w14:textId="77777777" w:rsidR="00B84C5A" w:rsidRPr="00B356D9" w:rsidRDefault="00B84C5A" w:rsidP="00B356D9">
      <w:pPr>
        <w:pStyle w:val="Prrafodelista"/>
        <w:spacing w:line="360" w:lineRule="auto"/>
        <w:jc w:val="both"/>
        <w:rPr>
          <w:rFonts w:ascii="Palatino Linotype" w:eastAsia="Calibri" w:hAnsi="Palatino Linotype" w:cs="Arial"/>
          <w:sz w:val="24"/>
        </w:rPr>
      </w:pPr>
    </w:p>
    <w:p w14:paraId="6FE26949" w14:textId="77777777" w:rsidR="00E31BB1" w:rsidRPr="00B356D9" w:rsidRDefault="00E31BB1" w:rsidP="00B356D9">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B356D9">
        <w:rPr>
          <w:rFonts w:ascii="Palatino Linotype" w:eastAsia="Palatino Linotype" w:hAnsi="Palatino Linotype" w:cs="Palatino Linotype"/>
          <w:sz w:val="24"/>
        </w:rPr>
        <w:lastRenderedPageBreak/>
        <w:t xml:space="preserve">Al respecto, es importante señalar que, en la página oficial de la Secretaría de la Contraloría, en el apartado de Declaración Patrimonial y de Intereses, precisa que dicha dependencia ofrece el portal </w:t>
      </w:r>
      <w:r w:rsidRPr="00B356D9">
        <w:rPr>
          <w:rFonts w:ascii="Palatino Linotype" w:eastAsia="Palatino Linotype" w:hAnsi="Palatino Linotype" w:cs="Palatino Linotype"/>
          <w:b/>
          <w:sz w:val="24"/>
        </w:rPr>
        <w:t>Decl@ranet</w:t>
      </w:r>
      <w:r w:rsidRPr="00B356D9">
        <w:rPr>
          <w:rFonts w:ascii="Palatino Linotype" w:eastAsia="Palatino Linotype" w:hAnsi="Palatino Linotype" w:cs="Palatino Linotype"/>
          <w:sz w:val="24"/>
        </w:rPr>
        <w:t>, con la finalidad de facilitar a los servidores públicos del Estado de México, presenten su Declaración de Situación Patrimonial, Declaración de Intereses o Posible Conflicto de Intereses y presentación de Constancia de Declaración Fiscal.</w:t>
      </w:r>
    </w:p>
    <w:p w14:paraId="1685128C" w14:textId="77777777" w:rsidR="00E31BB1" w:rsidRPr="00B356D9" w:rsidRDefault="00E31BB1" w:rsidP="00B356D9">
      <w:pPr>
        <w:pStyle w:val="Prrafodelista"/>
        <w:spacing w:line="360" w:lineRule="auto"/>
        <w:jc w:val="both"/>
        <w:rPr>
          <w:rFonts w:ascii="Palatino Linotype" w:hAnsi="Palatino Linotype"/>
          <w:sz w:val="24"/>
        </w:rPr>
      </w:pPr>
    </w:p>
    <w:p w14:paraId="38C44559" w14:textId="77777777" w:rsidR="00E31BB1" w:rsidRPr="00B356D9" w:rsidRDefault="00E31BB1" w:rsidP="00B356D9">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B356D9">
        <w:rPr>
          <w:rFonts w:ascii="Palatino Linotype" w:eastAsia="Palatino Linotype" w:hAnsi="Palatino Linotype" w:cs="Palatino Linotype"/>
          <w:sz w:val="24"/>
        </w:rPr>
        <w:t>Además, que el díptico denominado “</w:t>
      </w:r>
      <w:r w:rsidRPr="00B356D9">
        <w:rPr>
          <w:rFonts w:ascii="Palatino Linotype" w:eastAsia="Palatino Linotype" w:hAnsi="Palatino Linotype" w:cs="Palatino Linotype"/>
          <w:b/>
          <w:sz w:val="24"/>
        </w:rPr>
        <w:t>Sistema Declaranet</w:t>
      </w:r>
      <w:r w:rsidRPr="00B356D9">
        <w:rPr>
          <w:rFonts w:ascii="Palatino Linotype" w:eastAsia="Palatino Linotype" w:hAnsi="Palatino Linotype" w:cs="Palatino Linotype"/>
          <w:sz w:val="24"/>
        </w:rPr>
        <w:t xml:space="preserve">”, precisa que dicho sistema es administrado por la </w:t>
      </w:r>
      <w:r w:rsidRPr="00B356D9">
        <w:rPr>
          <w:rFonts w:ascii="Palatino Linotype" w:eastAsia="Palatino Linotype" w:hAnsi="Palatino Linotype" w:cs="Palatino Linotype"/>
          <w:b/>
          <w:sz w:val="24"/>
        </w:rPr>
        <w:t>Secretaría de la Contraloría</w:t>
      </w:r>
      <w:r w:rsidRPr="00B356D9">
        <w:rPr>
          <w:rFonts w:ascii="Palatino Linotype" w:eastAsia="Palatino Linotype" w:hAnsi="Palatino Linotype" w:cs="Palatino Linotype"/>
          <w:sz w:val="24"/>
        </w:rPr>
        <w:t>, y cuyo fin es los servidores públicos del Poder Ejecutivo y los ciento veinticinco Ayuntamientos, presenten su Manifestación de Bienes o Declaración Patrimonial.</w:t>
      </w:r>
    </w:p>
    <w:p w14:paraId="0A254839" w14:textId="77777777" w:rsidR="00E31BB1" w:rsidRPr="00B356D9" w:rsidRDefault="00E31BB1" w:rsidP="00B356D9">
      <w:pPr>
        <w:spacing w:line="360" w:lineRule="auto"/>
        <w:contextualSpacing/>
        <w:jc w:val="both"/>
        <w:rPr>
          <w:rFonts w:ascii="Palatino Linotype" w:hAnsi="Palatino Linotype"/>
        </w:rPr>
      </w:pPr>
    </w:p>
    <w:p w14:paraId="34379ADB" w14:textId="77777777" w:rsidR="00E31BB1" w:rsidRPr="00B356D9" w:rsidRDefault="00E31BB1" w:rsidP="00B356D9">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B356D9">
        <w:rPr>
          <w:rFonts w:ascii="Palatino Linotype" w:eastAsia="Palatino Linotype" w:hAnsi="Palatino Linotype" w:cs="Palatino Linotype"/>
          <w:sz w:val="24"/>
        </w:rPr>
        <w:t xml:space="preserve">Como se logra observar, el </w:t>
      </w:r>
      <w:r w:rsidRPr="00B356D9">
        <w:rPr>
          <w:rFonts w:ascii="Palatino Linotype" w:eastAsia="Palatino Linotype" w:hAnsi="Palatino Linotype" w:cs="Palatino Linotype"/>
          <w:b/>
          <w:sz w:val="24"/>
        </w:rPr>
        <w:t>Sistema Decl@ranet</w:t>
      </w:r>
      <w:r w:rsidRPr="00B356D9">
        <w:rPr>
          <w:rFonts w:ascii="Palatino Linotype" w:eastAsia="Palatino Linotype" w:hAnsi="Palatino Linotype" w:cs="Palatino Linotype"/>
          <w:sz w:val="24"/>
        </w:rPr>
        <w:t xml:space="preserve">, es administrado y operado únicamente por la Secretaría de la Contraloría, por lo que, es la única dependencia que tiene acceso a las declaraciones presentadas por dicha plataforma; situación que se robustece con el Manual General de Organización de la Secretaría de la Contraloría, que precisa que dicha dependencia cuenta con diversas unidades administrativas para el ejercicio de sus funciones, entre las cuales se encuentra la </w:t>
      </w:r>
      <w:r w:rsidRPr="00B356D9">
        <w:rPr>
          <w:rFonts w:ascii="Palatino Linotype" w:eastAsia="Palatino Linotype" w:hAnsi="Palatino Linotype" w:cs="Palatino Linotype"/>
          <w:b/>
          <w:sz w:val="24"/>
        </w:rPr>
        <w:t>Dirección de Registro de Declaraciones y de Sanciones, encargada de realizar la recepción, registro y resguardo de las declaraciones de situación patrimonial de los servidores públicos de las Administraciones Públicas Estatal y Municipal.</w:t>
      </w:r>
    </w:p>
    <w:p w14:paraId="5350717F" w14:textId="77777777" w:rsidR="00E31BB1" w:rsidRPr="00B356D9" w:rsidRDefault="00E31BB1" w:rsidP="00B356D9">
      <w:pPr>
        <w:spacing w:line="360" w:lineRule="auto"/>
        <w:contextualSpacing/>
        <w:jc w:val="both"/>
        <w:rPr>
          <w:rFonts w:ascii="Palatino Linotype" w:hAnsi="Palatino Linotype"/>
        </w:rPr>
      </w:pPr>
    </w:p>
    <w:p w14:paraId="5C9FB0F4" w14:textId="1A7E31F3" w:rsidR="00E31BB1" w:rsidRPr="00B356D9" w:rsidRDefault="00E31BB1" w:rsidP="00B356D9">
      <w:pPr>
        <w:numPr>
          <w:ilvl w:val="0"/>
          <w:numId w:val="1"/>
        </w:numPr>
        <w:spacing w:line="360" w:lineRule="auto"/>
        <w:ind w:left="0" w:firstLine="0"/>
        <w:contextualSpacing/>
        <w:jc w:val="both"/>
        <w:rPr>
          <w:rFonts w:ascii="Palatino Linotype" w:hAnsi="Palatino Linotype"/>
        </w:rPr>
      </w:pPr>
      <w:r w:rsidRPr="00B356D9">
        <w:rPr>
          <w:rFonts w:ascii="Palatino Linotype" w:eastAsia="Palatino Linotype" w:hAnsi="Palatino Linotype" w:cs="Palatino Linotype"/>
        </w:rPr>
        <w:t xml:space="preserve">En continuidad, del Directorio de Sujetos Obligados del Instituto de Transparencia, Acceso a la Información Pública y Protección de Datos Personales del Estado de México y Municipios, señala que el Ayuntamiento de Valle de Bravo y la </w:t>
      </w:r>
      <w:r w:rsidRPr="00B356D9">
        <w:rPr>
          <w:rFonts w:ascii="Palatino Linotype" w:eastAsia="Palatino Linotype" w:hAnsi="Palatino Linotype" w:cs="Palatino Linotype"/>
        </w:rPr>
        <w:lastRenderedPageBreak/>
        <w:t>Secretaría de la Contraloría, son Sujetos Obligados diversos, como se muestra a continuación:</w:t>
      </w:r>
    </w:p>
    <w:p w14:paraId="764F0054" w14:textId="77777777" w:rsidR="00E31BB1" w:rsidRPr="00B356D9" w:rsidRDefault="00E31BB1" w:rsidP="00B356D9">
      <w:pPr>
        <w:spacing w:line="360" w:lineRule="auto"/>
        <w:contextualSpacing/>
        <w:jc w:val="both"/>
        <w:rPr>
          <w:rFonts w:ascii="Palatino Linotype" w:hAnsi="Palatino Linotype"/>
        </w:rPr>
      </w:pPr>
    </w:p>
    <w:p w14:paraId="4FCC9A8A" w14:textId="49B218F6" w:rsidR="00E31BB1" w:rsidRPr="00B356D9" w:rsidRDefault="00E31BB1" w:rsidP="00B356D9">
      <w:pPr>
        <w:spacing w:line="360" w:lineRule="auto"/>
        <w:contextualSpacing/>
        <w:jc w:val="center"/>
        <w:rPr>
          <w:rFonts w:ascii="Palatino Linotype" w:hAnsi="Palatino Linotype"/>
        </w:rPr>
      </w:pPr>
      <w:r w:rsidRPr="00B356D9">
        <w:rPr>
          <w:rFonts w:ascii="Palatino Linotype" w:hAnsi="Palatino Linotype"/>
          <w:noProof/>
        </w:rPr>
        <w:drawing>
          <wp:inline distT="0" distB="0" distL="0" distR="0" wp14:anchorId="507481A3" wp14:editId="209E361D">
            <wp:extent cx="4686954" cy="6096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6954" cy="609685"/>
                    </a:xfrm>
                    <a:prstGeom prst="rect">
                      <a:avLst/>
                    </a:prstGeom>
                  </pic:spPr>
                </pic:pic>
              </a:graphicData>
            </a:graphic>
          </wp:inline>
        </w:drawing>
      </w:r>
    </w:p>
    <w:p w14:paraId="77517C11" w14:textId="0FE9269E" w:rsidR="00E31BB1" w:rsidRPr="00B356D9" w:rsidRDefault="00E31BB1" w:rsidP="00B356D9">
      <w:pPr>
        <w:spacing w:line="360" w:lineRule="auto"/>
        <w:contextualSpacing/>
        <w:jc w:val="center"/>
        <w:rPr>
          <w:rFonts w:ascii="Palatino Linotype" w:hAnsi="Palatino Linotype"/>
        </w:rPr>
      </w:pPr>
      <w:r w:rsidRPr="00B356D9">
        <w:rPr>
          <w:rFonts w:ascii="Palatino Linotype" w:hAnsi="Palatino Linotype"/>
          <w:noProof/>
        </w:rPr>
        <w:drawing>
          <wp:inline distT="0" distB="0" distL="0" distR="0" wp14:anchorId="7E7B3D55" wp14:editId="58ECE016">
            <wp:extent cx="4715533" cy="638264"/>
            <wp:effectExtent l="0" t="0" r="889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15533" cy="638264"/>
                    </a:xfrm>
                    <a:prstGeom prst="rect">
                      <a:avLst/>
                    </a:prstGeom>
                  </pic:spPr>
                </pic:pic>
              </a:graphicData>
            </a:graphic>
          </wp:inline>
        </w:drawing>
      </w:r>
    </w:p>
    <w:p w14:paraId="28EDE513" w14:textId="77777777" w:rsidR="00E31BB1" w:rsidRPr="00B356D9" w:rsidRDefault="00E31BB1" w:rsidP="00B356D9">
      <w:pPr>
        <w:pStyle w:val="Prrafodelista"/>
        <w:spacing w:line="360" w:lineRule="auto"/>
        <w:jc w:val="both"/>
        <w:rPr>
          <w:rFonts w:ascii="Palatino Linotype" w:eastAsia="Palatino Linotype" w:hAnsi="Palatino Linotype" w:cs="Palatino Linotype"/>
          <w:sz w:val="24"/>
        </w:rPr>
      </w:pPr>
    </w:p>
    <w:p w14:paraId="4796514D" w14:textId="77777777" w:rsidR="00E31BB1" w:rsidRPr="00B356D9" w:rsidRDefault="00E31BB1" w:rsidP="00B356D9">
      <w:pPr>
        <w:pStyle w:val="Prrafodelista"/>
        <w:numPr>
          <w:ilvl w:val="0"/>
          <w:numId w:val="1"/>
        </w:numPr>
        <w:spacing w:line="360" w:lineRule="auto"/>
        <w:ind w:left="0" w:firstLine="0"/>
        <w:jc w:val="both"/>
        <w:rPr>
          <w:rFonts w:ascii="Palatino Linotype" w:eastAsia="Palatino Linotype" w:hAnsi="Palatino Linotype" w:cs="Palatino Linotype"/>
          <w:color w:val="000000"/>
          <w:sz w:val="24"/>
        </w:rPr>
      </w:pPr>
      <w:r w:rsidRPr="00B356D9">
        <w:rPr>
          <w:rFonts w:ascii="Palatino Linotype" w:hAnsi="Palatino Linotype"/>
          <w:sz w:val="24"/>
        </w:rPr>
        <w:t xml:space="preserve">Precisado lo anterior, se advierte la notoria incompetencia del </w:t>
      </w:r>
      <w:r w:rsidRPr="00B356D9">
        <w:rPr>
          <w:rFonts w:ascii="Palatino Linotype" w:hAnsi="Palatino Linotype"/>
          <w:b/>
          <w:sz w:val="24"/>
        </w:rPr>
        <w:t xml:space="preserve">SUJETO OBLIGADO, </w:t>
      </w:r>
      <w:r w:rsidRPr="00B356D9">
        <w:rPr>
          <w:rFonts w:ascii="Palatino Linotype" w:hAnsi="Palatino Linotype"/>
          <w:sz w:val="24"/>
        </w:rPr>
        <w:t xml:space="preserve">para pronunciarse respecto a la solicitud de información, por lo que no es necesario ordenar el Acuerdo de Incompetencia, </w:t>
      </w:r>
      <w:r w:rsidRPr="00B356D9">
        <w:rPr>
          <w:rFonts w:ascii="Palatino Linotype" w:hAnsi="Palatino Linotype"/>
          <w:b/>
          <w:sz w:val="24"/>
        </w:rPr>
        <w:t xml:space="preserve">puesto que se le solicitó información que es competencia de un SUJETO OBLIGADO diverso al que se le formulo la solicitud; </w:t>
      </w:r>
      <w:r w:rsidRPr="00B356D9">
        <w:rPr>
          <w:rFonts w:ascii="Palatino Linotype" w:eastAsia="Palatino Linotype" w:hAnsi="Palatino Linotype" w:cs="Palatino Linotype"/>
          <w:color w:val="000000"/>
          <w:sz w:val="24"/>
        </w:rPr>
        <w:t>por lo que es imperativo traer a estudio lo dispuesto por el artículo 167 de la Ley de Transparencia y Acceso a la Información Pública del Estado de México y Municipios, que es de la literalidad siguiente:</w:t>
      </w:r>
    </w:p>
    <w:p w14:paraId="4979D4D5" w14:textId="77777777" w:rsidR="00E31BB1" w:rsidRPr="00B356D9" w:rsidRDefault="00E31BB1" w:rsidP="00B356D9">
      <w:pPr>
        <w:spacing w:line="360" w:lineRule="auto"/>
        <w:contextualSpacing/>
        <w:jc w:val="both"/>
        <w:rPr>
          <w:rFonts w:ascii="Palatino Linotype" w:hAnsi="Palatino Linotype"/>
        </w:rPr>
      </w:pPr>
    </w:p>
    <w:p w14:paraId="1F33E594" w14:textId="77777777" w:rsidR="00E31BB1" w:rsidRPr="00B356D9" w:rsidRDefault="00E31BB1" w:rsidP="00B356D9">
      <w:pPr>
        <w:tabs>
          <w:tab w:val="left" w:pos="142"/>
          <w:tab w:val="left" w:pos="284"/>
          <w:tab w:val="left" w:pos="426"/>
        </w:tabs>
        <w:ind w:left="567" w:right="539"/>
        <w:jc w:val="both"/>
        <w:rPr>
          <w:rFonts w:ascii="Palatino Linotype" w:eastAsia="Palatino Linotype" w:hAnsi="Palatino Linotype" w:cs="Palatino Linotype"/>
          <w:i/>
        </w:rPr>
      </w:pPr>
      <w:r w:rsidRPr="00B356D9">
        <w:rPr>
          <w:rFonts w:ascii="Palatino Linotype" w:eastAsia="Palatino Linotype" w:hAnsi="Palatino Linotype" w:cs="Palatino Linotype"/>
        </w:rPr>
        <w:t>“</w:t>
      </w:r>
      <w:r w:rsidRPr="00B356D9">
        <w:rPr>
          <w:rFonts w:ascii="Palatino Linotype" w:eastAsia="Palatino Linotype" w:hAnsi="Palatino Linotype" w:cs="Palatino Linotype"/>
          <w:b/>
          <w:i/>
        </w:rPr>
        <w:t>Artículo 167.</w:t>
      </w:r>
      <w:r w:rsidRPr="00B356D9">
        <w:rPr>
          <w:rFonts w:ascii="Palatino Linotype" w:eastAsia="Palatino Linotype" w:hAnsi="Palatino Linotype" w:cs="Palatino Linotype"/>
          <w:i/>
        </w:rPr>
        <w:t xml:space="preserve"> </w:t>
      </w:r>
      <w:r w:rsidRPr="00B356D9">
        <w:rPr>
          <w:rFonts w:ascii="Palatino Linotype" w:eastAsia="Palatino Linotype" w:hAnsi="Palatino Linotype" w:cs="Palatino Linotype"/>
          <w:b/>
          <w:i/>
        </w:rPr>
        <w:t>Cuando las unidades de transparencia determinen la</w:t>
      </w:r>
      <w:r w:rsidRPr="00B356D9">
        <w:rPr>
          <w:rFonts w:ascii="Palatino Linotype" w:eastAsia="Palatino Linotype" w:hAnsi="Palatino Linotype" w:cs="Palatino Linotype"/>
          <w:i/>
        </w:rPr>
        <w:t xml:space="preserve"> notoria </w:t>
      </w:r>
      <w:r w:rsidRPr="00B356D9">
        <w:rPr>
          <w:rFonts w:ascii="Palatino Linotype" w:eastAsia="Palatino Linotype" w:hAnsi="Palatino Linotype" w:cs="Palatino Linotype"/>
          <w:b/>
          <w:i/>
        </w:rPr>
        <w:t>incompetencia por parte de los sujetos obligados</w:t>
      </w:r>
      <w:r w:rsidRPr="00B356D9">
        <w:rPr>
          <w:rFonts w:ascii="Palatino Linotype" w:eastAsia="Palatino Linotype" w:hAnsi="Palatino Linotype" w:cs="Palatino Linotype"/>
          <w:i/>
        </w:rPr>
        <w:t xml:space="preserve">, dentro del ámbito de aplicación, para atender la solicitud de acceso a la información, </w:t>
      </w:r>
      <w:r w:rsidRPr="00B356D9">
        <w:rPr>
          <w:rFonts w:ascii="Palatino Linotype" w:eastAsia="Palatino Linotype" w:hAnsi="Palatino Linotype" w:cs="Palatino Linotype"/>
          <w:b/>
          <w:i/>
        </w:rPr>
        <w:t>deberán comunicarlo al solicitante, dentro de los tres días hábiles posteriores a la recepción de la solicitud y, en su caso orientar al solicitante, el o los sujetos obligados competentes.</w:t>
      </w:r>
      <w:r w:rsidRPr="00B356D9">
        <w:rPr>
          <w:rFonts w:ascii="Palatino Linotype" w:eastAsia="Palatino Linotype" w:hAnsi="Palatino Linotype" w:cs="Palatino Linotype"/>
          <w:i/>
        </w:rPr>
        <w:t xml:space="preserve"> </w:t>
      </w:r>
    </w:p>
    <w:p w14:paraId="24FB183D" w14:textId="77777777" w:rsidR="00E31BB1" w:rsidRPr="00B356D9" w:rsidRDefault="00E31BB1" w:rsidP="00B356D9">
      <w:pPr>
        <w:tabs>
          <w:tab w:val="left" w:pos="142"/>
          <w:tab w:val="left" w:pos="284"/>
        </w:tabs>
        <w:ind w:left="567" w:right="539"/>
        <w:jc w:val="both"/>
        <w:rPr>
          <w:rFonts w:ascii="Palatino Linotype" w:eastAsia="Palatino Linotype" w:hAnsi="Palatino Linotype" w:cs="Palatino Linotype"/>
          <w:i/>
          <w:u w:val="single"/>
        </w:rPr>
      </w:pPr>
      <w:r w:rsidRPr="00B356D9">
        <w:rPr>
          <w:rFonts w:ascii="Palatino Linotype" w:eastAsia="Palatino Linotype" w:hAnsi="Palatino Linotype" w:cs="Palatino Linotype"/>
          <w:b/>
          <w:i/>
          <w:u w:val="single"/>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r w:rsidRPr="00B356D9">
        <w:rPr>
          <w:rFonts w:ascii="Palatino Linotype" w:eastAsia="Palatino Linotype" w:hAnsi="Palatino Linotype" w:cs="Palatino Linotype"/>
          <w:i/>
          <w:u w:val="single"/>
        </w:rPr>
        <w:t xml:space="preserve">. </w:t>
      </w:r>
    </w:p>
    <w:p w14:paraId="4FDD9BD9" w14:textId="77777777" w:rsidR="00E31BB1" w:rsidRPr="00B356D9" w:rsidRDefault="00E31BB1" w:rsidP="00B356D9">
      <w:pPr>
        <w:tabs>
          <w:tab w:val="left" w:pos="142"/>
          <w:tab w:val="left" w:pos="284"/>
        </w:tabs>
        <w:ind w:left="567" w:right="539"/>
        <w:jc w:val="both"/>
        <w:rPr>
          <w:rFonts w:ascii="Palatino Linotype" w:eastAsia="Palatino Linotype" w:hAnsi="Palatino Linotype" w:cs="Palatino Linotype"/>
        </w:rPr>
      </w:pPr>
      <w:r w:rsidRPr="00B356D9">
        <w:rPr>
          <w:rFonts w:ascii="Palatino Linotype" w:eastAsia="Palatino Linotype" w:hAnsi="Palatino Linotype" w:cs="Palatino Linotype"/>
          <w:b/>
          <w:i/>
        </w:rPr>
        <w:lastRenderedPageBreak/>
        <w:t>Si transcurrido el plazo señalado en el primer párrafo de este artículo, el sujeto obligado no declina la competencia en los términos establecidos, podrá canalizar la solicitud ante el sujeto obligado competente.</w:t>
      </w:r>
      <w:r w:rsidRPr="00B356D9">
        <w:rPr>
          <w:rFonts w:ascii="Palatino Linotype" w:eastAsia="Palatino Linotype" w:hAnsi="Palatino Linotype" w:cs="Palatino Linotype"/>
          <w:i/>
        </w:rPr>
        <w:t>”</w:t>
      </w:r>
    </w:p>
    <w:p w14:paraId="03B0BCD0" w14:textId="77777777" w:rsidR="00E31BB1" w:rsidRPr="00B356D9" w:rsidRDefault="00E31BB1" w:rsidP="00B356D9">
      <w:pPr>
        <w:tabs>
          <w:tab w:val="left" w:pos="142"/>
          <w:tab w:val="left" w:pos="284"/>
        </w:tabs>
        <w:ind w:left="567" w:right="539"/>
        <w:jc w:val="both"/>
        <w:rPr>
          <w:rFonts w:ascii="Palatino Linotype" w:eastAsia="Palatino Linotype" w:hAnsi="Palatino Linotype" w:cs="Palatino Linotype"/>
        </w:rPr>
      </w:pPr>
      <w:r w:rsidRPr="00B356D9">
        <w:rPr>
          <w:rFonts w:ascii="Palatino Linotype" w:eastAsia="Palatino Linotype" w:hAnsi="Palatino Linotype" w:cs="Palatino Linotype"/>
        </w:rPr>
        <w:t>(Énfasis añadido)</w:t>
      </w:r>
    </w:p>
    <w:p w14:paraId="64CB6AEF" w14:textId="77777777" w:rsidR="00E31BB1" w:rsidRPr="00B356D9" w:rsidRDefault="00E31BB1" w:rsidP="00B356D9">
      <w:pPr>
        <w:spacing w:line="360" w:lineRule="auto"/>
        <w:contextualSpacing/>
        <w:jc w:val="both"/>
        <w:rPr>
          <w:rFonts w:ascii="Palatino Linotype" w:hAnsi="Palatino Linotype"/>
        </w:rPr>
      </w:pPr>
    </w:p>
    <w:p w14:paraId="1FDC3CA9" w14:textId="77777777" w:rsidR="00E31BB1" w:rsidRPr="00B356D9" w:rsidRDefault="00E31BB1" w:rsidP="00B356D9">
      <w:pPr>
        <w:numPr>
          <w:ilvl w:val="0"/>
          <w:numId w:val="1"/>
        </w:numPr>
        <w:spacing w:line="360" w:lineRule="auto"/>
        <w:ind w:left="0" w:right="51" w:firstLine="0"/>
        <w:jc w:val="both"/>
        <w:rPr>
          <w:rFonts w:ascii="Palatino Linotype" w:eastAsia="Palatino Linotype" w:hAnsi="Palatino Linotype" w:cs="Palatino Linotype"/>
          <w:color w:val="000000"/>
        </w:rPr>
      </w:pPr>
      <w:r w:rsidRPr="00B356D9">
        <w:rPr>
          <w:rFonts w:ascii="Palatino Linotype" w:eastAsia="Palatino Linotype" w:hAnsi="Palatino Linotype" w:cs="Palatino Linotype"/>
          <w:color w:val="000000"/>
        </w:rPr>
        <w:t xml:space="preserve">De tal forma que, una vez recibida una solicitud de información, el </w:t>
      </w:r>
      <w:r w:rsidRPr="00B356D9">
        <w:rPr>
          <w:rFonts w:ascii="Palatino Linotype" w:eastAsia="Palatino Linotype" w:hAnsi="Palatino Linotype" w:cs="Palatino Linotype"/>
          <w:b/>
          <w:color w:val="000000"/>
        </w:rPr>
        <w:t>SUJETO OBLIGADO de</w:t>
      </w:r>
      <w:r w:rsidRPr="00B356D9">
        <w:rPr>
          <w:rFonts w:ascii="Palatino Linotype" w:eastAsia="Palatino Linotype" w:hAnsi="Palatino Linotype" w:cs="Palatino Linotype"/>
          <w:color w:val="000000"/>
        </w:rPr>
        <w:t xml:space="preserve">termine que es incompetente para para poseer, generar o administrar lo solicitado, dentro de los primeros tres días posteriores a la recepción de la solicitud, deberá hacerlo del conocimiento del particular y, deberá orientarlo sobre el </w:t>
      </w:r>
      <w:r w:rsidRPr="00B356D9">
        <w:rPr>
          <w:rFonts w:ascii="Palatino Linotype" w:eastAsia="Palatino Linotype" w:hAnsi="Palatino Linotype" w:cs="Palatino Linotype"/>
          <w:b/>
          <w:color w:val="000000"/>
        </w:rPr>
        <w:t>SUJETO OBLIGADO</w:t>
      </w:r>
      <w:r w:rsidRPr="00B356D9">
        <w:rPr>
          <w:rFonts w:ascii="Palatino Linotype" w:eastAsia="Palatino Linotype" w:hAnsi="Palatino Linotype" w:cs="Palatino Linotype"/>
          <w:color w:val="000000"/>
        </w:rPr>
        <w:t xml:space="preserve"> competente para atender lo requerido; Sin embargo, en el presente asunto, al ser de </w:t>
      </w:r>
      <w:r w:rsidRPr="00B356D9">
        <w:rPr>
          <w:rFonts w:ascii="Palatino Linotype" w:eastAsia="Palatino Linotype" w:hAnsi="Palatino Linotype" w:cs="Palatino Linotype"/>
          <w:b/>
          <w:color w:val="000000"/>
        </w:rPr>
        <w:t>notoria incompetencia</w:t>
      </w:r>
      <w:r w:rsidRPr="00B356D9">
        <w:rPr>
          <w:rFonts w:ascii="Palatino Linotype" w:eastAsia="Palatino Linotype" w:hAnsi="Palatino Linotype" w:cs="Palatino Linotype"/>
          <w:color w:val="000000"/>
        </w:rPr>
        <w:t>, no es necesario que el Sujeto Obligado remita el Acuerdo de Incompetencia.</w:t>
      </w:r>
    </w:p>
    <w:p w14:paraId="61E6BB6E" w14:textId="77777777" w:rsidR="00E31BB1" w:rsidRPr="00B356D9" w:rsidRDefault="00E31BB1" w:rsidP="00B356D9">
      <w:pPr>
        <w:spacing w:line="360" w:lineRule="auto"/>
        <w:contextualSpacing/>
        <w:jc w:val="both"/>
        <w:rPr>
          <w:rFonts w:ascii="Palatino Linotype" w:hAnsi="Palatino Linotype"/>
        </w:rPr>
      </w:pPr>
    </w:p>
    <w:p w14:paraId="4964F2FB" w14:textId="77777777" w:rsidR="00E31BB1" w:rsidRPr="00B356D9" w:rsidRDefault="00E31BB1" w:rsidP="00B356D9">
      <w:pPr>
        <w:numPr>
          <w:ilvl w:val="0"/>
          <w:numId w:val="1"/>
        </w:numPr>
        <w:spacing w:line="360" w:lineRule="auto"/>
        <w:ind w:left="0" w:firstLine="0"/>
        <w:contextualSpacing/>
        <w:jc w:val="both"/>
        <w:rPr>
          <w:rFonts w:ascii="Palatino Linotype" w:hAnsi="Palatino Linotype"/>
        </w:rPr>
      </w:pPr>
      <w:r w:rsidRPr="00B356D9">
        <w:rPr>
          <w:rFonts w:ascii="Palatino Linotype" w:hAnsi="Palatino Linotype"/>
        </w:rPr>
        <w:t>Entonces, al ser dos entes distintos en materia de transparencia, resulta en obviedad de razones que uno no puede atender las solicitudes de información de otro, puesto que es información que cada</w:t>
      </w:r>
      <w:r w:rsidRPr="00B356D9">
        <w:rPr>
          <w:rFonts w:ascii="Palatino Linotype" w:hAnsi="Palatino Linotype"/>
          <w:b/>
        </w:rPr>
        <w:t xml:space="preserve"> SUJETO OBLIGADO</w:t>
      </w:r>
      <w:r w:rsidRPr="00B356D9">
        <w:rPr>
          <w:rFonts w:ascii="Palatino Linotype" w:hAnsi="Palatino Linotype"/>
        </w:rPr>
        <w:t xml:space="preserve"> pesee, genera y administra.</w:t>
      </w:r>
    </w:p>
    <w:p w14:paraId="628C080F" w14:textId="77777777" w:rsidR="00E31BB1" w:rsidRPr="00B356D9" w:rsidRDefault="00E31BB1" w:rsidP="00B356D9">
      <w:pPr>
        <w:spacing w:line="360" w:lineRule="auto"/>
        <w:contextualSpacing/>
        <w:jc w:val="both"/>
        <w:rPr>
          <w:rFonts w:ascii="Palatino Linotype" w:hAnsi="Palatino Linotype"/>
        </w:rPr>
      </w:pPr>
    </w:p>
    <w:p w14:paraId="765393C0" w14:textId="77777777" w:rsidR="00E31BB1" w:rsidRPr="00B356D9" w:rsidRDefault="00E31BB1" w:rsidP="00B356D9">
      <w:pPr>
        <w:numPr>
          <w:ilvl w:val="0"/>
          <w:numId w:val="1"/>
        </w:numPr>
        <w:spacing w:line="360" w:lineRule="auto"/>
        <w:ind w:left="0" w:firstLine="0"/>
        <w:contextualSpacing/>
        <w:jc w:val="both"/>
        <w:rPr>
          <w:rFonts w:ascii="Palatino Linotype" w:hAnsi="Palatino Linotype"/>
        </w:rPr>
      </w:pPr>
      <w:r w:rsidRPr="00B356D9">
        <w:rPr>
          <w:rFonts w:ascii="Palatino Linotype" w:hAnsi="Palatino Linotype"/>
        </w:rPr>
        <w:t>Como se logra observar, si bien la Ley de la materia, prevé el supuesto de incompetencia para que los sujetos obligados den atención a solicitudes de información, también lo es, que no se precisa en que consiste dicho concepto; al respecto, Cabanellas, Guillermo (1993), en el “Diccionario Jurídico Elemental” (p. 32 y 161), precisó los siguientes conceptos:</w:t>
      </w:r>
    </w:p>
    <w:p w14:paraId="7F5820A9" w14:textId="77777777" w:rsidR="00E31BB1" w:rsidRPr="00B356D9" w:rsidRDefault="00E31BB1" w:rsidP="00B356D9">
      <w:pPr>
        <w:pStyle w:val="Prrafodelista"/>
        <w:spacing w:line="360" w:lineRule="auto"/>
        <w:jc w:val="both"/>
        <w:rPr>
          <w:rFonts w:ascii="Palatino Linotype" w:eastAsia="Palatino Linotype" w:hAnsi="Palatino Linotype" w:cs="Palatino Linotype"/>
          <w:sz w:val="24"/>
        </w:rPr>
      </w:pPr>
    </w:p>
    <w:p w14:paraId="72E9F398" w14:textId="77777777" w:rsidR="00E31BB1" w:rsidRPr="00B356D9" w:rsidRDefault="00E31BB1" w:rsidP="00B356D9">
      <w:pPr>
        <w:pStyle w:val="Prrafodelista"/>
        <w:widowControl w:val="0"/>
        <w:numPr>
          <w:ilvl w:val="0"/>
          <w:numId w:val="35"/>
        </w:numPr>
        <w:autoSpaceDE w:val="0"/>
        <w:autoSpaceDN w:val="0"/>
        <w:adjustRightInd w:val="0"/>
        <w:spacing w:line="360" w:lineRule="auto"/>
        <w:jc w:val="both"/>
        <w:rPr>
          <w:rFonts w:ascii="Palatino Linotype" w:hAnsi="Palatino Linotype"/>
          <w:sz w:val="24"/>
        </w:rPr>
      </w:pPr>
      <w:r w:rsidRPr="00B356D9">
        <w:rPr>
          <w:rFonts w:ascii="Palatino Linotype" w:hAnsi="Palatino Linotype"/>
          <w:b/>
          <w:sz w:val="24"/>
        </w:rPr>
        <w:t>Competencia:</w:t>
      </w:r>
      <w:r w:rsidRPr="00B356D9">
        <w:rPr>
          <w:rFonts w:ascii="Palatino Linotype" w:hAnsi="Palatino Linotype"/>
          <w:sz w:val="24"/>
        </w:rPr>
        <w:t xml:space="preserve"> La capacidad de una autoridad para conocer sobre una materia o asunto. </w:t>
      </w:r>
    </w:p>
    <w:p w14:paraId="14330655" w14:textId="77777777" w:rsidR="00E31BB1" w:rsidRPr="00B356D9" w:rsidRDefault="00E31BB1" w:rsidP="00B356D9">
      <w:pPr>
        <w:pStyle w:val="Prrafodelista"/>
        <w:widowControl w:val="0"/>
        <w:numPr>
          <w:ilvl w:val="0"/>
          <w:numId w:val="35"/>
        </w:numPr>
        <w:autoSpaceDE w:val="0"/>
        <w:autoSpaceDN w:val="0"/>
        <w:adjustRightInd w:val="0"/>
        <w:spacing w:line="360" w:lineRule="auto"/>
        <w:jc w:val="both"/>
        <w:rPr>
          <w:rFonts w:ascii="Palatino Linotype" w:hAnsi="Palatino Linotype"/>
          <w:sz w:val="24"/>
        </w:rPr>
      </w:pPr>
      <w:r w:rsidRPr="00B356D9">
        <w:rPr>
          <w:rFonts w:ascii="Palatino Linotype" w:hAnsi="Palatino Linotype"/>
          <w:b/>
          <w:sz w:val="24"/>
        </w:rPr>
        <w:t>Incompetencia:</w:t>
      </w:r>
      <w:r w:rsidRPr="00B356D9">
        <w:rPr>
          <w:rFonts w:ascii="Palatino Linotype" w:hAnsi="Palatino Linotype"/>
          <w:sz w:val="24"/>
        </w:rPr>
        <w:t xml:space="preserve"> Falta de Competencia.</w:t>
      </w:r>
    </w:p>
    <w:p w14:paraId="3C72CF5A" w14:textId="4266F680" w:rsidR="00E31BB1" w:rsidRPr="00B356D9" w:rsidRDefault="00E31BB1" w:rsidP="00B356D9">
      <w:pPr>
        <w:pStyle w:val="Prrafodelista"/>
        <w:widowControl w:val="0"/>
        <w:numPr>
          <w:ilvl w:val="0"/>
          <w:numId w:val="1"/>
        </w:numPr>
        <w:autoSpaceDE w:val="0"/>
        <w:autoSpaceDN w:val="0"/>
        <w:adjustRightInd w:val="0"/>
        <w:spacing w:line="360" w:lineRule="auto"/>
        <w:ind w:left="0" w:firstLine="0"/>
        <w:jc w:val="both"/>
        <w:rPr>
          <w:rFonts w:ascii="Palatino Linotype" w:hAnsi="Palatino Linotype"/>
          <w:sz w:val="24"/>
        </w:rPr>
      </w:pPr>
      <w:r w:rsidRPr="00B356D9">
        <w:rPr>
          <w:rFonts w:ascii="Palatino Linotype" w:hAnsi="Palatino Linotype"/>
          <w:sz w:val="24"/>
        </w:rPr>
        <w:lastRenderedPageBreak/>
        <w:t>Por lo que, la incompetencia,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w:t>
      </w:r>
    </w:p>
    <w:p w14:paraId="03C1FD3A" w14:textId="77777777" w:rsidR="00E31BB1" w:rsidRPr="00B356D9" w:rsidRDefault="00E31BB1" w:rsidP="00B356D9">
      <w:pPr>
        <w:ind w:left="567" w:right="567"/>
        <w:jc w:val="both"/>
        <w:rPr>
          <w:rFonts w:ascii="Palatino Linotype" w:hAnsi="Palatino Linotype" w:cs="Arial"/>
          <w:bCs/>
          <w:i/>
          <w:iCs/>
        </w:rPr>
      </w:pPr>
      <w:r w:rsidRPr="00B356D9">
        <w:rPr>
          <w:rFonts w:ascii="Palatino Linotype" w:hAnsi="Palatino Linotype" w:cs="Arial"/>
          <w:b/>
          <w:bCs/>
          <w:i/>
          <w:iCs/>
        </w:rPr>
        <w:t>“LEGITIMACIÓN DE FUNCIONARIOS PÚBLICOS. LOS TRIBUNALES DE AMPARO, POR ESTAR VINCULADOS CON EL CONCEPTO DE COMPETENCIA A QUE SE REFIERE EL ARTÍCULO 16 CONSTITUCIONAL, NO PUEDEN CONOCER DE AQUÉLLA</w:t>
      </w:r>
      <w:r w:rsidRPr="00B356D9">
        <w:rPr>
          <w:rFonts w:ascii="Palatino Linotype" w:hAnsi="Palatino Linotype" w:cs="Arial"/>
          <w:bCs/>
          <w:i/>
          <w:iCs/>
        </w:rPr>
        <w:t>. El artículo 16 constitucional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441C3C76" w14:textId="77777777" w:rsidR="00E31BB1" w:rsidRPr="00B356D9" w:rsidRDefault="00E31BB1" w:rsidP="00B356D9">
      <w:pPr>
        <w:widowControl w:val="0"/>
        <w:autoSpaceDE w:val="0"/>
        <w:autoSpaceDN w:val="0"/>
        <w:adjustRightInd w:val="0"/>
        <w:spacing w:line="360" w:lineRule="auto"/>
        <w:jc w:val="both"/>
        <w:rPr>
          <w:rFonts w:ascii="Palatino Linotype" w:hAnsi="Palatino Linotype"/>
        </w:rPr>
      </w:pPr>
    </w:p>
    <w:p w14:paraId="0A486305" w14:textId="15BBB059" w:rsidR="00E31BB1" w:rsidRPr="00B356D9" w:rsidRDefault="00E31BB1" w:rsidP="00B356D9">
      <w:pPr>
        <w:pStyle w:val="Prrafodelista"/>
        <w:numPr>
          <w:ilvl w:val="0"/>
          <w:numId w:val="1"/>
        </w:numPr>
        <w:spacing w:line="360" w:lineRule="auto"/>
        <w:ind w:left="0" w:firstLine="0"/>
        <w:jc w:val="both"/>
        <w:rPr>
          <w:rFonts w:ascii="Palatino Linotype" w:hAnsi="Palatino Linotype"/>
          <w:sz w:val="24"/>
        </w:rPr>
      </w:pPr>
      <w:r w:rsidRPr="00B356D9">
        <w:rPr>
          <w:rFonts w:ascii="Palatino Linotype" w:hAnsi="Palatino Linotype"/>
          <w:sz w:val="24"/>
        </w:rPr>
        <w:t xml:space="preserve">Así, se logra observar que el </w:t>
      </w:r>
      <w:r w:rsidRPr="00B356D9">
        <w:rPr>
          <w:rFonts w:ascii="Palatino Linotype" w:hAnsi="Palatino Linotype"/>
          <w:b/>
          <w:sz w:val="24"/>
        </w:rPr>
        <w:t xml:space="preserve">SUJETO OBLIGADO </w:t>
      </w:r>
      <w:r w:rsidRPr="00B356D9">
        <w:rPr>
          <w:rFonts w:ascii="Palatino Linotype" w:hAnsi="Palatino Linotype"/>
          <w:sz w:val="24"/>
        </w:rPr>
        <w:t>no tiene competencia para conocer de las declaraciones patrimoniales de los servidores públicos adscritos al mismo, pues el encargado de recibir, registrar y resguardar las declaraciones pat</w:t>
      </w:r>
      <w:r w:rsidR="001D6A7C" w:rsidRPr="00B356D9">
        <w:rPr>
          <w:rFonts w:ascii="Palatino Linotype" w:hAnsi="Palatino Linotype"/>
          <w:sz w:val="24"/>
        </w:rPr>
        <w:t>rimoniales del Ayuntamiento de Valle de Bravo</w:t>
      </w:r>
      <w:r w:rsidRPr="00B356D9">
        <w:rPr>
          <w:rFonts w:ascii="Palatino Linotype" w:hAnsi="Palatino Linotype"/>
          <w:sz w:val="24"/>
        </w:rPr>
        <w:t xml:space="preserve">, es únicamente la </w:t>
      </w:r>
      <w:r w:rsidRPr="00B356D9">
        <w:rPr>
          <w:rFonts w:ascii="Palatino Linotype" w:hAnsi="Palatino Linotype"/>
          <w:b/>
          <w:sz w:val="24"/>
        </w:rPr>
        <w:t>Secretaría de la Contraloría.</w:t>
      </w:r>
    </w:p>
    <w:p w14:paraId="160B7CBA" w14:textId="77777777" w:rsidR="00E31BB1" w:rsidRPr="00B356D9" w:rsidRDefault="00E31BB1" w:rsidP="00B356D9">
      <w:pPr>
        <w:pStyle w:val="Prrafodelista"/>
        <w:spacing w:line="360" w:lineRule="auto"/>
        <w:jc w:val="both"/>
        <w:rPr>
          <w:rFonts w:ascii="Palatino Linotype" w:hAnsi="Palatino Linotype"/>
          <w:sz w:val="24"/>
        </w:rPr>
      </w:pPr>
    </w:p>
    <w:p w14:paraId="64930D47" w14:textId="78CE1C63" w:rsidR="002C2896" w:rsidRPr="00F11754" w:rsidRDefault="002C2896" w:rsidP="00B356D9">
      <w:pPr>
        <w:numPr>
          <w:ilvl w:val="0"/>
          <w:numId w:val="1"/>
        </w:numPr>
        <w:spacing w:line="360" w:lineRule="auto"/>
        <w:ind w:left="0" w:firstLine="0"/>
        <w:contextualSpacing/>
        <w:jc w:val="both"/>
        <w:rPr>
          <w:rFonts w:ascii="Palatino Linotype" w:hAnsi="Palatino Linotype"/>
        </w:rPr>
      </w:pPr>
      <w:r w:rsidRPr="00F11754">
        <w:rPr>
          <w:rFonts w:ascii="Palatino Linotype" w:hAnsi="Palatino Linotype"/>
        </w:rPr>
        <w:t>Entonces, al ser dos entes distintos en materia de transparencia, resulta en obviedad de razones que uno no puede atender las solicitudes de información de otro, puesto que es información que cada</w:t>
      </w:r>
      <w:r w:rsidRPr="00F11754">
        <w:rPr>
          <w:rFonts w:ascii="Palatino Linotype" w:hAnsi="Palatino Linotype"/>
          <w:b/>
        </w:rPr>
        <w:t xml:space="preserve"> SUJETO OBLIGADO</w:t>
      </w:r>
      <w:r w:rsidRPr="00F11754">
        <w:rPr>
          <w:rFonts w:ascii="Palatino Linotype" w:hAnsi="Palatino Linotype"/>
        </w:rPr>
        <w:t xml:space="preserve"> pese, </w:t>
      </w:r>
      <w:r w:rsidR="009012DB" w:rsidRPr="00F11754">
        <w:rPr>
          <w:rFonts w:ascii="Palatino Linotype" w:hAnsi="Palatino Linotype"/>
        </w:rPr>
        <w:t>genera y administra</w:t>
      </w:r>
    </w:p>
    <w:p w14:paraId="7EB61A77" w14:textId="77777777" w:rsidR="009012DB" w:rsidRPr="00F11754" w:rsidRDefault="009012DB" w:rsidP="009012DB">
      <w:pPr>
        <w:pStyle w:val="Prrafodelista"/>
        <w:rPr>
          <w:rFonts w:ascii="Palatino Linotype" w:hAnsi="Palatino Linotype"/>
        </w:rPr>
      </w:pPr>
    </w:p>
    <w:p w14:paraId="2B2242DD" w14:textId="77777777" w:rsidR="009012DB" w:rsidRPr="00F11754" w:rsidRDefault="009012DB" w:rsidP="009012DB">
      <w:pPr>
        <w:pStyle w:val="Prrafodelista"/>
        <w:rPr>
          <w:rFonts w:ascii="Palatino Linotype" w:eastAsia="Palatino Linotype" w:hAnsi="Palatino Linotype" w:cs="Palatino Linotype"/>
          <w:sz w:val="24"/>
        </w:rPr>
      </w:pPr>
    </w:p>
    <w:p w14:paraId="5C6BE709" w14:textId="77777777" w:rsidR="009012DB" w:rsidRPr="00F11754" w:rsidRDefault="009012DB" w:rsidP="009012D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F11754">
        <w:rPr>
          <w:rFonts w:ascii="Palatino Linotype" w:eastAsia="Palatino Linotype" w:hAnsi="Palatino Linotype" w:cs="Palatino Linotype"/>
          <w:color w:val="000000"/>
        </w:rPr>
        <w:lastRenderedPageBreak/>
        <w:t>No obstante, se dejan a salvo los derechos del particular para que presente nuevas solicitudes para el ejercicio de acceso a datos personales, que a sus intereses convenga.</w:t>
      </w:r>
    </w:p>
    <w:p w14:paraId="68CC860B" w14:textId="77777777" w:rsidR="002C2896" w:rsidRPr="00B356D9" w:rsidRDefault="002C2896" w:rsidP="00B356D9">
      <w:pPr>
        <w:pStyle w:val="Prrafodelista"/>
        <w:spacing w:line="360" w:lineRule="auto"/>
        <w:jc w:val="both"/>
        <w:rPr>
          <w:rFonts w:ascii="Palatino Linotype" w:hAnsi="Palatino Linotype"/>
          <w:sz w:val="24"/>
        </w:rPr>
      </w:pPr>
    </w:p>
    <w:p w14:paraId="1A0CCC22" w14:textId="480B0D90" w:rsidR="002C2896" w:rsidRPr="00B356D9" w:rsidRDefault="002C2896" w:rsidP="00B356D9">
      <w:pPr>
        <w:numPr>
          <w:ilvl w:val="0"/>
          <w:numId w:val="1"/>
        </w:numPr>
        <w:pBdr>
          <w:top w:val="nil"/>
          <w:left w:val="nil"/>
          <w:bottom w:val="nil"/>
          <w:right w:val="nil"/>
          <w:between w:val="nil"/>
        </w:pBdr>
        <w:spacing w:line="360" w:lineRule="auto"/>
        <w:ind w:left="0" w:right="-144" w:firstLine="0"/>
        <w:jc w:val="both"/>
        <w:rPr>
          <w:rFonts w:ascii="Palatino Linotype" w:eastAsia="Palatino Linotype" w:hAnsi="Palatino Linotype" w:cs="Palatino Linotype"/>
          <w:color w:val="000000"/>
        </w:rPr>
      </w:pPr>
      <w:r w:rsidRPr="00B356D9">
        <w:rPr>
          <w:rFonts w:ascii="Palatino Linotype" w:eastAsia="Palatino Linotype" w:hAnsi="Palatino Linotype" w:cs="Palatino Linotype"/>
          <w:color w:val="000000"/>
        </w:rPr>
        <w:t>Por lo anteriormente expuesto, este Órgano Garante considera infundadas las razones o motivos de inconformidad que plantea el</w:t>
      </w:r>
      <w:r w:rsidRPr="00B356D9">
        <w:rPr>
          <w:rFonts w:ascii="Palatino Linotype" w:eastAsia="Palatino Linotype" w:hAnsi="Palatino Linotype" w:cs="Palatino Linotype"/>
          <w:b/>
          <w:color w:val="000000"/>
        </w:rPr>
        <w:t xml:space="preserve"> RECURRENTE</w:t>
      </w:r>
      <w:r w:rsidRPr="00B356D9">
        <w:rPr>
          <w:rFonts w:ascii="Palatino Linotype" w:eastAsia="Palatino Linotype" w:hAnsi="Palatino Linotype" w:cs="Palatino Linotype"/>
          <w:color w:val="000000"/>
        </w:rPr>
        <w:t xml:space="preserve">, determinando </w:t>
      </w:r>
      <w:r w:rsidRPr="00B356D9">
        <w:rPr>
          <w:rFonts w:ascii="Palatino Linotype" w:eastAsia="Palatino Linotype" w:hAnsi="Palatino Linotype" w:cs="Palatino Linotype"/>
          <w:b/>
          <w:color w:val="000000"/>
        </w:rPr>
        <w:t xml:space="preserve">CONFIRMAR </w:t>
      </w:r>
      <w:r w:rsidRPr="00B356D9">
        <w:rPr>
          <w:rFonts w:ascii="Palatino Linotype" w:eastAsia="Palatino Linotype" w:hAnsi="Palatino Linotype" w:cs="Palatino Linotype"/>
          <w:color w:val="000000"/>
        </w:rPr>
        <w:t xml:space="preserve">la respuesta del </w:t>
      </w:r>
      <w:r w:rsidRPr="00B356D9">
        <w:rPr>
          <w:rFonts w:ascii="Palatino Linotype" w:eastAsia="Palatino Linotype" w:hAnsi="Palatino Linotype" w:cs="Palatino Linotype"/>
          <w:b/>
          <w:color w:val="000000"/>
        </w:rPr>
        <w:t>SUJETO OBLIGADO</w:t>
      </w:r>
      <w:r w:rsidRPr="00B356D9">
        <w:rPr>
          <w:rFonts w:ascii="Palatino Linotype" w:eastAsia="Palatino Linotype" w:hAnsi="Palatino Linotype" w:cs="Palatino Linotype"/>
          <w:color w:val="000000"/>
        </w:rPr>
        <w:t xml:space="preserve">, por lo que hace al recurso de revisión </w:t>
      </w:r>
      <w:r w:rsidR="001D6A7C" w:rsidRPr="00B356D9">
        <w:rPr>
          <w:rFonts w:ascii="Palatino Linotype" w:eastAsia="Palatino Linotype" w:hAnsi="Palatino Linotype" w:cs="Palatino Linotype"/>
          <w:b/>
          <w:color w:val="000000"/>
        </w:rPr>
        <w:t>01238</w:t>
      </w:r>
      <w:r w:rsidR="00034D2A" w:rsidRPr="00B356D9">
        <w:rPr>
          <w:rFonts w:ascii="Palatino Linotype" w:eastAsia="Palatino Linotype" w:hAnsi="Palatino Linotype" w:cs="Palatino Linotype"/>
          <w:b/>
          <w:color w:val="000000"/>
        </w:rPr>
        <w:t>INFOEM/IP/RR/2026</w:t>
      </w:r>
      <w:r w:rsidRPr="00B356D9">
        <w:rPr>
          <w:rFonts w:ascii="Palatino Linotype" w:eastAsia="Palatino Linotype" w:hAnsi="Palatino Linotype" w:cs="Palatino Linotype"/>
          <w:b/>
          <w:color w:val="000000"/>
        </w:rPr>
        <w:t xml:space="preserve"> </w:t>
      </w:r>
      <w:r w:rsidRPr="00B356D9">
        <w:rPr>
          <w:rFonts w:ascii="Palatino Linotype" w:eastAsia="Palatino Linotype" w:hAnsi="Palatino Linotype" w:cs="Palatino Linotype"/>
          <w:color w:val="000000"/>
        </w:rPr>
        <w:t xml:space="preserve">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B356D9">
        <w:rPr>
          <w:rFonts w:ascii="Palatino Linotype" w:eastAsia="Palatino Linotype" w:hAnsi="Palatino Linotype" w:cs="Palatino Linotype"/>
          <w:b/>
          <w:color w:val="000000"/>
        </w:rPr>
        <w:t>ÓRGANO GARANTE</w:t>
      </w:r>
      <w:r w:rsidRPr="00B356D9">
        <w:rPr>
          <w:rFonts w:ascii="Palatino Linotype" w:eastAsia="Palatino Linotype" w:hAnsi="Palatino Linotype" w:cs="Palatino Linotype"/>
          <w:color w:val="000000"/>
        </w:rPr>
        <w:t xml:space="preserve"> emite los siguientes.</w:t>
      </w:r>
    </w:p>
    <w:p w14:paraId="77FFF7C9" w14:textId="77777777" w:rsidR="002C2896" w:rsidRPr="00B356D9" w:rsidRDefault="002C2896" w:rsidP="00B356D9">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B356D9">
        <w:rPr>
          <w:rFonts w:ascii="Palatino Linotype" w:eastAsia="Palatino Linotype" w:hAnsi="Palatino Linotype" w:cs="Palatino Linotype"/>
        </w:rPr>
        <w:t xml:space="preserve">Por lo anteriormente expuesto y fundado, este </w:t>
      </w:r>
      <w:r w:rsidRPr="00B356D9">
        <w:rPr>
          <w:rFonts w:ascii="Palatino Linotype" w:eastAsia="Palatino Linotype" w:hAnsi="Palatino Linotype" w:cs="Palatino Linotype"/>
          <w:b/>
        </w:rPr>
        <w:t>ÓRGANO GARANTE</w:t>
      </w:r>
      <w:r w:rsidRPr="00B356D9">
        <w:rPr>
          <w:rFonts w:ascii="Palatino Linotype" w:eastAsia="Palatino Linotype" w:hAnsi="Palatino Linotype" w:cs="Palatino Linotype"/>
        </w:rPr>
        <w:t xml:space="preserve"> emite los siguientes:</w:t>
      </w:r>
    </w:p>
    <w:p w14:paraId="531B4EA2" w14:textId="77777777" w:rsidR="00841865" w:rsidRPr="00B356D9" w:rsidRDefault="00841865" w:rsidP="00B356D9">
      <w:pPr>
        <w:keepNext/>
        <w:keepLines/>
        <w:spacing w:line="360" w:lineRule="auto"/>
        <w:jc w:val="center"/>
        <w:outlineLvl w:val="0"/>
        <w:rPr>
          <w:rFonts w:ascii="Palatino Linotype" w:eastAsiaTheme="majorEastAsia" w:hAnsi="Palatino Linotype" w:cstheme="majorBidi"/>
          <w:b/>
          <w:color w:val="000000" w:themeColor="text1"/>
          <w:lang w:eastAsia="en-US"/>
        </w:rPr>
      </w:pPr>
      <w:bookmarkStart w:id="21" w:name="_Toc528153792"/>
      <w:bookmarkStart w:id="22" w:name="_Toc94119621"/>
      <w:r w:rsidRPr="00B356D9">
        <w:rPr>
          <w:rFonts w:ascii="Palatino Linotype" w:eastAsiaTheme="majorEastAsia" w:hAnsi="Palatino Linotype" w:cstheme="majorBidi"/>
          <w:b/>
          <w:color w:val="000000" w:themeColor="text1"/>
          <w:lang w:eastAsia="en-US"/>
        </w:rPr>
        <w:t>R E S O L U T I V O S</w:t>
      </w:r>
      <w:bookmarkEnd w:id="21"/>
      <w:bookmarkEnd w:id="22"/>
    </w:p>
    <w:p w14:paraId="59A48FCA" w14:textId="77777777" w:rsidR="00841865" w:rsidRPr="00B356D9" w:rsidRDefault="00841865" w:rsidP="00B356D9">
      <w:pPr>
        <w:keepNext/>
        <w:keepLines/>
        <w:spacing w:line="360" w:lineRule="auto"/>
        <w:jc w:val="both"/>
        <w:outlineLvl w:val="0"/>
        <w:rPr>
          <w:rFonts w:ascii="Palatino Linotype" w:eastAsiaTheme="majorEastAsia" w:hAnsi="Palatino Linotype" w:cstheme="majorBidi"/>
          <w:b/>
          <w:color w:val="000000" w:themeColor="text1"/>
          <w:lang w:eastAsia="en-US"/>
        </w:rPr>
      </w:pPr>
    </w:p>
    <w:p w14:paraId="26E7AF1C" w14:textId="11552678" w:rsidR="002C2896" w:rsidRPr="00B356D9" w:rsidRDefault="002C2896" w:rsidP="00B356D9">
      <w:pPr>
        <w:spacing w:line="360" w:lineRule="auto"/>
        <w:jc w:val="both"/>
        <w:rPr>
          <w:rFonts w:ascii="Palatino Linotype" w:eastAsia="Palatino Linotype" w:hAnsi="Palatino Linotype" w:cs="Palatino Linotype"/>
        </w:rPr>
      </w:pPr>
      <w:r w:rsidRPr="00B356D9">
        <w:rPr>
          <w:rFonts w:ascii="Palatino Linotype" w:eastAsia="Palatino Linotype" w:hAnsi="Palatino Linotype" w:cs="Palatino Linotype"/>
          <w:b/>
        </w:rPr>
        <w:t>PRIMERO</w:t>
      </w:r>
      <w:r w:rsidRPr="00B356D9">
        <w:rPr>
          <w:rFonts w:ascii="Palatino Linotype" w:eastAsia="Palatino Linotype" w:hAnsi="Palatino Linotype" w:cs="Palatino Linotype"/>
        </w:rPr>
        <w:t>. Resultan infundadas las</w:t>
      </w:r>
      <w:r w:rsidRPr="00B356D9">
        <w:rPr>
          <w:rFonts w:ascii="Palatino Linotype" w:eastAsia="Palatino Linotype" w:hAnsi="Palatino Linotype" w:cs="Palatino Linotype"/>
          <w:b/>
        </w:rPr>
        <w:t xml:space="preserve"> </w:t>
      </w:r>
      <w:r w:rsidRPr="00B356D9">
        <w:rPr>
          <w:rFonts w:ascii="Palatino Linotype" w:eastAsia="Palatino Linotype" w:hAnsi="Palatino Linotype" w:cs="Palatino Linotype"/>
        </w:rPr>
        <w:t xml:space="preserve">razones o motivos de inconformidad hechos valer en el recurso de revisión </w:t>
      </w:r>
      <w:r w:rsidR="001D6A7C" w:rsidRPr="00B356D9">
        <w:rPr>
          <w:rFonts w:ascii="Palatino Linotype" w:eastAsia="Palatino Linotype" w:hAnsi="Palatino Linotype" w:cs="Palatino Linotype"/>
          <w:b/>
        </w:rPr>
        <w:t>01238</w:t>
      </w:r>
      <w:r w:rsidR="00034D2A" w:rsidRPr="00B356D9">
        <w:rPr>
          <w:rFonts w:ascii="Palatino Linotype" w:eastAsia="Palatino Linotype" w:hAnsi="Palatino Linotype" w:cs="Palatino Linotype"/>
          <w:b/>
        </w:rPr>
        <w:t>/INFOEM/IP/RR/2026</w:t>
      </w:r>
      <w:r w:rsidRPr="00B356D9">
        <w:rPr>
          <w:rFonts w:ascii="Palatino Linotype" w:eastAsia="Palatino Linotype" w:hAnsi="Palatino Linotype" w:cs="Palatino Linotype"/>
          <w:b/>
        </w:rPr>
        <w:t xml:space="preserve">, </w:t>
      </w:r>
      <w:r w:rsidRPr="00B356D9">
        <w:rPr>
          <w:rFonts w:ascii="Palatino Linotype" w:eastAsia="Palatino Linotype" w:hAnsi="Palatino Linotype" w:cs="Palatino Linotype"/>
        </w:rPr>
        <w:t xml:space="preserve">en términos del </w:t>
      </w:r>
      <w:r w:rsidRPr="00B356D9">
        <w:rPr>
          <w:rFonts w:ascii="Palatino Linotype" w:eastAsia="Palatino Linotype" w:hAnsi="Palatino Linotype" w:cs="Palatino Linotype"/>
          <w:b/>
        </w:rPr>
        <w:t>Considerando</w:t>
      </w:r>
      <w:r w:rsidRPr="00B356D9">
        <w:rPr>
          <w:rFonts w:ascii="Palatino Linotype" w:eastAsia="Palatino Linotype" w:hAnsi="Palatino Linotype" w:cs="Palatino Linotype"/>
        </w:rPr>
        <w:t xml:space="preserve"> </w:t>
      </w:r>
      <w:r w:rsidRPr="00B356D9">
        <w:rPr>
          <w:rFonts w:ascii="Palatino Linotype" w:eastAsia="Palatino Linotype" w:hAnsi="Palatino Linotype" w:cs="Palatino Linotype"/>
          <w:b/>
        </w:rPr>
        <w:t>CUARTO</w:t>
      </w:r>
      <w:r w:rsidRPr="00B356D9">
        <w:rPr>
          <w:rFonts w:ascii="Palatino Linotype" w:eastAsia="Palatino Linotype" w:hAnsi="Palatino Linotype" w:cs="Palatino Linotype"/>
        </w:rPr>
        <w:t xml:space="preserve"> de la presente resolución.</w:t>
      </w:r>
    </w:p>
    <w:p w14:paraId="74C9FC37" w14:textId="77777777" w:rsidR="00841865" w:rsidRPr="00B356D9" w:rsidRDefault="00841865" w:rsidP="00B356D9">
      <w:pPr>
        <w:spacing w:line="360" w:lineRule="auto"/>
        <w:jc w:val="both"/>
        <w:rPr>
          <w:rFonts w:ascii="Palatino Linotype" w:hAnsi="Palatino Linotype" w:cs="Arial"/>
          <w:bCs/>
          <w:lang w:eastAsia="es-ES"/>
        </w:rPr>
      </w:pPr>
    </w:p>
    <w:p w14:paraId="5528F725" w14:textId="2096C296" w:rsidR="00FB40B2" w:rsidRPr="00B356D9" w:rsidRDefault="002C2896" w:rsidP="00B356D9">
      <w:pPr>
        <w:spacing w:line="360" w:lineRule="auto"/>
        <w:jc w:val="both"/>
        <w:rPr>
          <w:rFonts w:ascii="Palatino Linotype" w:hAnsi="Palatino Linotype" w:cs="Arial"/>
          <w:lang w:val="es-ES" w:eastAsia="es-ES"/>
        </w:rPr>
      </w:pPr>
      <w:r w:rsidRPr="00B356D9">
        <w:rPr>
          <w:rFonts w:ascii="Palatino Linotype" w:eastAsia="Palatino Linotype" w:hAnsi="Palatino Linotype" w:cs="Palatino Linotype"/>
          <w:b/>
          <w:highlight w:val="white"/>
        </w:rPr>
        <w:t>SEGUNDO.</w:t>
      </w:r>
      <w:r w:rsidRPr="00B356D9">
        <w:rPr>
          <w:rFonts w:ascii="Palatino Linotype" w:eastAsia="Palatino Linotype" w:hAnsi="Palatino Linotype" w:cs="Palatino Linotype"/>
          <w:highlight w:val="white"/>
        </w:rPr>
        <w:t xml:space="preserve"> Se</w:t>
      </w:r>
      <w:r w:rsidRPr="00B356D9">
        <w:rPr>
          <w:rFonts w:ascii="Palatino Linotype" w:eastAsia="Palatino Linotype" w:hAnsi="Palatino Linotype" w:cs="Palatino Linotype"/>
          <w:b/>
          <w:highlight w:val="white"/>
        </w:rPr>
        <w:t xml:space="preserve"> CONFIRMA </w:t>
      </w:r>
      <w:r w:rsidRPr="00B356D9">
        <w:rPr>
          <w:rFonts w:ascii="Palatino Linotype" w:eastAsia="Palatino Linotype" w:hAnsi="Palatino Linotype" w:cs="Palatino Linotype"/>
          <w:highlight w:val="white"/>
        </w:rPr>
        <w:t xml:space="preserve">la respuesta emitida por el </w:t>
      </w:r>
      <w:r w:rsidRPr="00B356D9">
        <w:rPr>
          <w:rFonts w:ascii="Palatino Linotype" w:eastAsia="Palatino Linotype" w:hAnsi="Palatino Linotype" w:cs="Palatino Linotype"/>
          <w:b/>
          <w:highlight w:val="white"/>
        </w:rPr>
        <w:t xml:space="preserve">Ayuntamiento </w:t>
      </w:r>
      <w:r w:rsidR="00E55B32" w:rsidRPr="00B356D9">
        <w:rPr>
          <w:rFonts w:ascii="Palatino Linotype" w:eastAsia="Palatino Linotype" w:hAnsi="Palatino Linotype" w:cs="Palatino Linotype"/>
          <w:b/>
          <w:highlight w:val="white"/>
        </w:rPr>
        <w:t xml:space="preserve">de </w:t>
      </w:r>
      <w:r w:rsidR="001D6A7C" w:rsidRPr="00B356D9">
        <w:rPr>
          <w:rFonts w:ascii="Palatino Linotype" w:eastAsia="Palatino Linotype" w:hAnsi="Palatino Linotype" w:cs="Palatino Linotype"/>
          <w:b/>
          <w:highlight w:val="white"/>
        </w:rPr>
        <w:t>Valle de Bravo</w:t>
      </w:r>
      <w:r w:rsidRPr="00B356D9">
        <w:rPr>
          <w:rFonts w:ascii="Palatino Linotype" w:eastAsia="Palatino Linotype" w:hAnsi="Palatino Linotype" w:cs="Palatino Linotype"/>
          <w:b/>
          <w:highlight w:val="white"/>
        </w:rPr>
        <w:t xml:space="preserve">, México </w:t>
      </w:r>
      <w:r w:rsidRPr="00B356D9">
        <w:rPr>
          <w:rFonts w:ascii="Palatino Linotype" w:eastAsia="Palatino Linotype" w:hAnsi="Palatino Linotype" w:cs="Palatino Linotype"/>
          <w:highlight w:val="white"/>
        </w:rPr>
        <w:t>a la solicitud</w:t>
      </w:r>
      <w:r w:rsidRPr="00B356D9">
        <w:rPr>
          <w:rFonts w:ascii="Palatino Linotype" w:eastAsia="Palatino Linotype" w:hAnsi="Palatino Linotype" w:cs="Palatino Linotype"/>
        </w:rPr>
        <w:t xml:space="preserve"> </w:t>
      </w:r>
      <w:r w:rsidR="001D6A7C" w:rsidRPr="00B356D9">
        <w:rPr>
          <w:rFonts w:ascii="Palatino Linotype" w:eastAsia="Palatino Linotype" w:hAnsi="Palatino Linotype" w:cs="Palatino Linotype"/>
          <w:b/>
        </w:rPr>
        <w:t>00010</w:t>
      </w:r>
      <w:r w:rsidRPr="00B356D9">
        <w:rPr>
          <w:rFonts w:ascii="Palatino Linotype" w:eastAsia="Palatino Linotype" w:hAnsi="Palatino Linotype" w:cs="Palatino Linotype"/>
          <w:b/>
        </w:rPr>
        <w:t>/</w:t>
      </w:r>
      <w:r w:rsidR="001D6A7C" w:rsidRPr="00B356D9">
        <w:rPr>
          <w:rFonts w:ascii="Palatino Linotype" w:eastAsia="Palatino Linotype" w:hAnsi="Palatino Linotype" w:cs="Palatino Linotype"/>
          <w:b/>
        </w:rPr>
        <w:t>VABRAVO</w:t>
      </w:r>
      <w:r w:rsidR="00E55B32" w:rsidRPr="00B356D9">
        <w:rPr>
          <w:rFonts w:ascii="Palatino Linotype" w:eastAsia="Palatino Linotype" w:hAnsi="Palatino Linotype" w:cs="Palatino Linotype"/>
          <w:b/>
        </w:rPr>
        <w:t>/IP/2026</w:t>
      </w:r>
      <w:r w:rsidRPr="00B356D9">
        <w:rPr>
          <w:rFonts w:ascii="Palatino Linotype" w:eastAsia="Palatino Linotype" w:hAnsi="Palatino Linotype" w:cs="Palatino Linotype"/>
          <w:b/>
        </w:rPr>
        <w:t>.</w:t>
      </w:r>
    </w:p>
    <w:p w14:paraId="4DF80BE5" w14:textId="77777777" w:rsidR="002C2896" w:rsidRPr="00B356D9" w:rsidRDefault="002C2896" w:rsidP="00B356D9">
      <w:pPr>
        <w:tabs>
          <w:tab w:val="left" w:pos="8080"/>
        </w:tabs>
        <w:spacing w:line="360" w:lineRule="auto"/>
        <w:contextualSpacing/>
        <w:jc w:val="both"/>
        <w:rPr>
          <w:rFonts w:ascii="Palatino Linotype" w:eastAsia="Palatino Linotype" w:hAnsi="Palatino Linotype" w:cs="Palatino Linotype"/>
          <w:b/>
        </w:rPr>
      </w:pPr>
    </w:p>
    <w:p w14:paraId="287FE204" w14:textId="6227B588" w:rsidR="002C2896" w:rsidRPr="00B356D9" w:rsidRDefault="002C2896" w:rsidP="00B356D9">
      <w:pPr>
        <w:spacing w:before="240" w:after="240" w:line="360" w:lineRule="auto"/>
        <w:ind w:right="40"/>
        <w:jc w:val="both"/>
        <w:rPr>
          <w:rFonts w:ascii="Palatino Linotype" w:eastAsia="Palatino Linotype" w:hAnsi="Palatino Linotype" w:cs="Palatino Linotype"/>
          <w:b/>
          <w:highlight w:val="white"/>
        </w:rPr>
      </w:pPr>
      <w:r w:rsidRPr="00B356D9">
        <w:rPr>
          <w:rFonts w:ascii="Palatino Linotype" w:eastAsia="Palatino Linotype" w:hAnsi="Palatino Linotype" w:cs="Palatino Linotype"/>
          <w:b/>
          <w:highlight w:val="white"/>
        </w:rPr>
        <w:lastRenderedPageBreak/>
        <w:t xml:space="preserve">TERCERO. </w:t>
      </w:r>
      <w:r w:rsidR="000B0130">
        <w:rPr>
          <w:rFonts w:ascii="Palatino Linotype" w:eastAsia="Palatino Linotype" w:hAnsi="Palatino Linotype" w:cs="Palatino Linotype"/>
          <w:b/>
          <w:highlight w:val="white"/>
        </w:rPr>
        <w:t>Notifíquese</w:t>
      </w:r>
      <w:r w:rsidRPr="00B356D9">
        <w:rPr>
          <w:rFonts w:ascii="Palatino Linotype" w:eastAsia="Palatino Linotype" w:hAnsi="Palatino Linotype" w:cs="Palatino Linotype"/>
          <w:b/>
          <w:highlight w:val="white"/>
        </w:rPr>
        <w:t xml:space="preserve"> </w:t>
      </w:r>
      <w:r w:rsidRPr="00B356D9">
        <w:rPr>
          <w:rFonts w:ascii="Palatino Linotype" w:eastAsia="Palatino Linotype" w:hAnsi="Palatino Linotype" w:cs="Palatino Linotype"/>
          <w:highlight w:val="white"/>
        </w:rPr>
        <w:t xml:space="preserve">vía Sistema de Acceso a la Información Mexiquense (SAIMEX), la presente resolución al Titular de la Unidad de Transparencia del </w:t>
      </w:r>
      <w:r w:rsidRPr="00B356D9">
        <w:rPr>
          <w:rFonts w:ascii="Palatino Linotype" w:eastAsia="Palatino Linotype" w:hAnsi="Palatino Linotype" w:cs="Palatino Linotype"/>
          <w:b/>
          <w:highlight w:val="white"/>
        </w:rPr>
        <w:t>SUJETO OBLIGADO.</w:t>
      </w:r>
    </w:p>
    <w:p w14:paraId="299167C9" w14:textId="77777777" w:rsidR="00841865" w:rsidRPr="00B356D9" w:rsidRDefault="00841865" w:rsidP="00B356D9">
      <w:pPr>
        <w:tabs>
          <w:tab w:val="left" w:pos="8080"/>
        </w:tabs>
        <w:spacing w:line="360" w:lineRule="auto"/>
        <w:contextualSpacing/>
        <w:jc w:val="both"/>
        <w:rPr>
          <w:rFonts w:ascii="Palatino Linotype" w:hAnsi="Palatino Linotype"/>
          <w:color w:val="222222"/>
          <w:shd w:val="clear" w:color="auto" w:fill="FFFFFF"/>
        </w:rPr>
      </w:pPr>
    </w:p>
    <w:p w14:paraId="2CD502DE" w14:textId="409D3B72" w:rsidR="00841865" w:rsidRPr="00B356D9" w:rsidRDefault="002C2896" w:rsidP="00B356D9">
      <w:pPr>
        <w:shd w:val="clear" w:color="auto" w:fill="FFFFFF"/>
        <w:spacing w:line="360" w:lineRule="auto"/>
        <w:jc w:val="both"/>
        <w:rPr>
          <w:rFonts w:ascii="Palatino Linotype" w:eastAsia="Palatino Linotype" w:hAnsi="Palatino Linotype" w:cs="Palatino Linotype"/>
        </w:rPr>
      </w:pPr>
      <w:r w:rsidRPr="00B356D9">
        <w:rPr>
          <w:rFonts w:ascii="Palatino Linotype" w:eastAsia="Palatino Linotype" w:hAnsi="Palatino Linotype" w:cs="Palatino Linotype"/>
          <w:b/>
          <w:highlight w:val="white"/>
        </w:rPr>
        <w:t xml:space="preserve">CUARTO. Notifíquese al RECURRENTE </w:t>
      </w:r>
      <w:r w:rsidRPr="00B356D9">
        <w:rPr>
          <w:rFonts w:ascii="Palatino Linotype" w:eastAsia="Palatino Linotype" w:hAnsi="Palatino Linotype" w:cs="Palatino Linotype"/>
          <w:highlight w:val="white"/>
        </w:rPr>
        <w:t>la presente resolución vía SAIMEX.</w:t>
      </w:r>
    </w:p>
    <w:p w14:paraId="26BD24BB" w14:textId="77777777" w:rsidR="00E55B32" w:rsidRPr="00B356D9" w:rsidRDefault="00E55B32" w:rsidP="00B356D9">
      <w:pPr>
        <w:shd w:val="clear" w:color="auto" w:fill="FFFFFF"/>
        <w:spacing w:line="360" w:lineRule="auto"/>
        <w:jc w:val="both"/>
        <w:rPr>
          <w:rFonts w:ascii="Palatino Linotype" w:hAnsi="Palatino Linotype"/>
          <w:b/>
          <w:color w:val="FF0000"/>
        </w:rPr>
      </w:pPr>
    </w:p>
    <w:p w14:paraId="43EB092A" w14:textId="520FCD49" w:rsidR="00841865" w:rsidRPr="00B356D9" w:rsidRDefault="002C2896" w:rsidP="00B356D9">
      <w:pPr>
        <w:spacing w:line="360" w:lineRule="auto"/>
        <w:jc w:val="both"/>
        <w:rPr>
          <w:rFonts w:ascii="Palatino Linotype" w:eastAsia="Palatino Linotype" w:hAnsi="Palatino Linotype" w:cs="Palatino Linotype"/>
        </w:rPr>
      </w:pPr>
      <w:r w:rsidRPr="00B356D9">
        <w:rPr>
          <w:rFonts w:ascii="Palatino Linotype" w:eastAsia="Palatino Linotype" w:hAnsi="Palatino Linotype" w:cs="Palatino Linotype"/>
          <w:b/>
          <w:highlight w:val="white"/>
        </w:rPr>
        <w:t>QUINTO.</w:t>
      </w:r>
      <w:r w:rsidRPr="00B356D9">
        <w:rPr>
          <w:rFonts w:ascii="Palatino Linotype" w:eastAsia="Palatino Linotype" w:hAnsi="Palatino Linotype" w:cs="Palatino Linotype"/>
          <w:highlight w:val="white"/>
        </w:rPr>
        <w:t xml:space="preserve"> Se hace del conocimiento del </w:t>
      </w:r>
      <w:r w:rsidRPr="00B356D9">
        <w:rPr>
          <w:rFonts w:ascii="Palatino Linotype" w:eastAsia="Palatino Linotype" w:hAnsi="Palatino Linotype" w:cs="Palatino Linotype"/>
          <w:b/>
          <w:highlight w:val="white"/>
        </w:rPr>
        <w:t xml:space="preserve">RECURRENTE </w:t>
      </w:r>
      <w:r w:rsidRPr="00B356D9">
        <w:rPr>
          <w:rFonts w:ascii="Palatino Linotype" w:eastAsia="Palatino Linotype" w:hAnsi="Palatino Linotype" w:cs="Palatino Linotype"/>
          <w:highlight w:val="whit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5875CC79" w14:textId="77777777" w:rsidR="00841865" w:rsidRPr="00B356D9" w:rsidRDefault="00841865" w:rsidP="00B356D9">
      <w:pPr>
        <w:shd w:val="clear" w:color="auto" w:fill="FFFFFF"/>
        <w:spacing w:line="360" w:lineRule="auto"/>
        <w:jc w:val="both"/>
        <w:rPr>
          <w:rFonts w:ascii="Palatino Linotype" w:hAnsi="Palatino Linotype"/>
          <w:lang w:val="es-ES"/>
        </w:rPr>
      </w:pPr>
    </w:p>
    <w:p w14:paraId="1A0E716C" w14:textId="77777777" w:rsidR="000B0130" w:rsidRPr="003E2295" w:rsidRDefault="000B0130" w:rsidP="000B0130">
      <w:pPr>
        <w:spacing w:before="240" w:after="240" w:line="360" w:lineRule="auto"/>
        <w:ind w:firstLine="1"/>
        <w:jc w:val="both"/>
        <w:rPr>
          <w:rFonts w:ascii="Palatino Linotype" w:hAnsi="Palatino Linotype"/>
        </w:rPr>
      </w:pPr>
      <w:bookmarkStart w:id="23"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23"/>
    <w:p w14:paraId="64D02DB8" w14:textId="77777777" w:rsidR="00841865" w:rsidRPr="00B356D9" w:rsidRDefault="00841865" w:rsidP="00B356D9">
      <w:pPr>
        <w:spacing w:line="360" w:lineRule="auto"/>
        <w:jc w:val="both"/>
        <w:rPr>
          <w:rFonts w:ascii="Palatino Linotype" w:hAnsi="Palatino Linotype"/>
        </w:rPr>
      </w:pPr>
    </w:p>
    <w:p w14:paraId="2176D87E" w14:textId="77777777" w:rsidR="00841865" w:rsidRPr="00B356D9" w:rsidRDefault="00841865" w:rsidP="00B356D9">
      <w:pPr>
        <w:spacing w:line="360" w:lineRule="auto"/>
        <w:jc w:val="both"/>
        <w:rPr>
          <w:rFonts w:ascii="Palatino Linotype" w:hAnsi="Palatino Linotype"/>
        </w:rPr>
      </w:pPr>
    </w:p>
    <w:p w14:paraId="675C1BC8" w14:textId="77777777" w:rsidR="00841865" w:rsidRPr="00B356D9" w:rsidRDefault="00841865" w:rsidP="00B356D9">
      <w:pPr>
        <w:spacing w:line="360" w:lineRule="auto"/>
        <w:jc w:val="both"/>
        <w:rPr>
          <w:rFonts w:ascii="Palatino Linotype" w:hAnsi="Palatino Linotype"/>
        </w:rPr>
      </w:pPr>
    </w:p>
    <w:p w14:paraId="53A2C8D5" w14:textId="77777777" w:rsidR="00841865" w:rsidRPr="00B356D9" w:rsidRDefault="00841865" w:rsidP="00B356D9">
      <w:pPr>
        <w:spacing w:line="360" w:lineRule="auto"/>
        <w:jc w:val="both"/>
        <w:rPr>
          <w:rFonts w:ascii="Palatino Linotype" w:hAnsi="Palatino Linotype"/>
        </w:rPr>
      </w:pPr>
    </w:p>
    <w:p w14:paraId="26FF72EA" w14:textId="77777777" w:rsidR="003F55CB" w:rsidRPr="00B356D9" w:rsidRDefault="003F55CB" w:rsidP="00B356D9">
      <w:pPr>
        <w:spacing w:line="360" w:lineRule="auto"/>
        <w:jc w:val="both"/>
        <w:rPr>
          <w:rFonts w:ascii="Palatino Linotype" w:hAnsi="Palatino Linotype"/>
        </w:rPr>
      </w:pPr>
    </w:p>
    <w:p w14:paraId="30E84530" w14:textId="77777777" w:rsidR="003F55CB" w:rsidRPr="00B356D9" w:rsidRDefault="003F55CB" w:rsidP="00B356D9">
      <w:pPr>
        <w:spacing w:line="360" w:lineRule="auto"/>
        <w:jc w:val="both"/>
        <w:rPr>
          <w:rFonts w:ascii="Palatino Linotype" w:hAnsi="Palatino Linotype"/>
        </w:rPr>
      </w:pPr>
    </w:p>
    <w:p w14:paraId="59B31588" w14:textId="77777777" w:rsidR="003F55CB" w:rsidRPr="00B356D9" w:rsidRDefault="003F55CB" w:rsidP="00B356D9">
      <w:pPr>
        <w:spacing w:line="360" w:lineRule="auto"/>
        <w:jc w:val="both"/>
        <w:rPr>
          <w:rFonts w:ascii="Palatino Linotype" w:hAnsi="Palatino Linotype"/>
        </w:rPr>
      </w:pPr>
    </w:p>
    <w:p w14:paraId="464DED1B" w14:textId="77777777" w:rsidR="003F55CB" w:rsidRPr="00B356D9" w:rsidRDefault="003F55CB" w:rsidP="00B356D9">
      <w:pPr>
        <w:spacing w:line="360" w:lineRule="auto"/>
        <w:jc w:val="both"/>
        <w:rPr>
          <w:rFonts w:ascii="Palatino Linotype" w:hAnsi="Palatino Linotype"/>
        </w:rPr>
      </w:pPr>
    </w:p>
    <w:p w14:paraId="368DF176" w14:textId="77777777" w:rsidR="003F55CB" w:rsidRPr="00B356D9" w:rsidRDefault="003F55CB" w:rsidP="00B356D9">
      <w:pPr>
        <w:spacing w:line="360" w:lineRule="auto"/>
        <w:jc w:val="both"/>
        <w:rPr>
          <w:rFonts w:ascii="Palatino Linotype" w:hAnsi="Palatino Linotype"/>
        </w:rPr>
      </w:pPr>
    </w:p>
    <w:p w14:paraId="7E750EBC" w14:textId="77777777" w:rsidR="00841865" w:rsidRPr="00B356D9" w:rsidRDefault="00841865" w:rsidP="00B356D9">
      <w:pPr>
        <w:spacing w:line="360" w:lineRule="auto"/>
        <w:jc w:val="both"/>
        <w:rPr>
          <w:rFonts w:ascii="Palatino Linotype" w:hAnsi="Palatino Linotype"/>
        </w:rPr>
      </w:pPr>
    </w:p>
    <w:p w14:paraId="6BC33E73" w14:textId="77777777" w:rsidR="00841865" w:rsidRPr="00B356D9" w:rsidRDefault="00841865" w:rsidP="00B356D9">
      <w:pPr>
        <w:spacing w:line="360" w:lineRule="auto"/>
        <w:jc w:val="both"/>
        <w:rPr>
          <w:rFonts w:ascii="Palatino Linotype" w:hAnsi="Palatino Linotype"/>
        </w:rPr>
      </w:pPr>
    </w:p>
    <w:p w14:paraId="0E99BB92" w14:textId="77777777" w:rsidR="00894D45" w:rsidRPr="00B356D9" w:rsidRDefault="00894D45" w:rsidP="00B356D9">
      <w:pPr>
        <w:spacing w:line="360" w:lineRule="auto"/>
        <w:jc w:val="both"/>
        <w:rPr>
          <w:rFonts w:ascii="Palatino Linotype" w:hAnsi="Palatino Linotype"/>
        </w:rPr>
      </w:pPr>
    </w:p>
    <w:p w14:paraId="3ABD8504" w14:textId="77777777" w:rsidR="00894D45" w:rsidRPr="00B356D9" w:rsidRDefault="00894D45" w:rsidP="00B356D9">
      <w:pPr>
        <w:spacing w:line="360" w:lineRule="auto"/>
        <w:jc w:val="both"/>
        <w:rPr>
          <w:rFonts w:ascii="Palatino Linotype" w:hAnsi="Palatino Linotype"/>
        </w:rPr>
      </w:pPr>
    </w:p>
    <w:p w14:paraId="13A4AE0B" w14:textId="77777777" w:rsidR="00894D45" w:rsidRPr="00B356D9" w:rsidRDefault="00894D45" w:rsidP="00B356D9">
      <w:pPr>
        <w:spacing w:line="360" w:lineRule="auto"/>
        <w:jc w:val="both"/>
        <w:rPr>
          <w:rFonts w:ascii="Palatino Linotype" w:hAnsi="Palatino Linotype"/>
        </w:rPr>
      </w:pPr>
    </w:p>
    <w:p w14:paraId="2FB58954" w14:textId="77777777" w:rsidR="00894D45" w:rsidRPr="00B356D9" w:rsidRDefault="00894D45" w:rsidP="00B356D9">
      <w:pPr>
        <w:spacing w:line="360" w:lineRule="auto"/>
        <w:jc w:val="both"/>
        <w:rPr>
          <w:rFonts w:ascii="Palatino Linotype" w:hAnsi="Palatino Linotype"/>
        </w:rPr>
      </w:pPr>
    </w:p>
    <w:p w14:paraId="6262313B" w14:textId="77777777" w:rsidR="00894D45" w:rsidRPr="00B356D9" w:rsidRDefault="00894D45" w:rsidP="00B356D9">
      <w:pPr>
        <w:spacing w:line="360" w:lineRule="auto"/>
        <w:jc w:val="both"/>
        <w:rPr>
          <w:rFonts w:ascii="Palatino Linotype" w:hAnsi="Palatino Linotype"/>
        </w:rPr>
      </w:pPr>
    </w:p>
    <w:p w14:paraId="6C079CD7" w14:textId="77777777" w:rsidR="00894D45" w:rsidRPr="00B356D9" w:rsidRDefault="00894D45" w:rsidP="00B356D9">
      <w:pPr>
        <w:spacing w:line="360" w:lineRule="auto"/>
        <w:jc w:val="both"/>
        <w:rPr>
          <w:rFonts w:ascii="Palatino Linotype" w:hAnsi="Palatino Linotype"/>
        </w:rPr>
      </w:pPr>
    </w:p>
    <w:p w14:paraId="7B18E055" w14:textId="77777777" w:rsidR="00894D45" w:rsidRPr="00B356D9" w:rsidRDefault="00894D45" w:rsidP="00B356D9">
      <w:pPr>
        <w:spacing w:line="360" w:lineRule="auto"/>
        <w:jc w:val="both"/>
        <w:rPr>
          <w:rFonts w:ascii="Palatino Linotype" w:hAnsi="Palatino Linotype"/>
        </w:rPr>
      </w:pPr>
    </w:p>
    <w:p w14:paraId="04632361" w14:textId="77777777" w:rsidR="00894D45" w:rsidRPr="00B356D9" w:rsidRDefault="00894D45" w:rsidP="00B356D9">
      <w:pPr>
        <w:spacing w:line="360" w:lineRule="auto"/>
        <w:jc w:val="both"/>
        <w:rPr>
          <w:rFonts w:ascii="Palatino Linotype" w:hAnsi="Palatino Linotype"/>
        </w:rPr>
      </w:pPr>
    </w:p>
    <w:p w14:paraId="6A50F583" w14:textId="77777777" w:rsidR="00894D45" w:rsidRPr="00B356D9" w:rsidRDefault="00894D45" w:rsidP="00B356D9">
      <w:pPr>
        <w:spacing w:line="360" w:lineRule="auto"/>
        <w:jc w:val="both"/>
        <w:rPr>
          <w:rFonts w:ascii="Palatino Linotype" w:hAnsi="Palatino Linotype"/>
        </w:rPr>
      </w:pPr>
    </w:p>
    <w:p w14:paraId="3EE7820D" w14:textId="77777777" w:rsidR="00894D45" w:rsidRPr="00B356D9" w:rsidRDefault="00894D45" w:rsidP="00B356D9">
      <w:pPr>
        <w:spacing w:line="360" w:lineRule="auto"/>
        <w:jc w:val="both"/>
        <w:rPr>
          <w:rFonts w:ascii="Palatino Linotype" w:hAnsi="Palatino Linotype"/>
        </w:rPr>
      </w:pPr>
    </w:p>
    <w:p w14:paraId="5274EFEF" w14:textId="77777777" w:rsidR="00894D45" w:rsidRPr="00B356D9" w:rsidRDefault="00894D45" w:rsidP="00B356D9">
      <w:pPr>
        <w:spacing w:line="360" w:lineRule="auto"/>
        <w:jc w:val="both"/>
        <w:rPr>
          <w:rFonts w:ascii="Palatino Linotype" w:hAnsi="Palatino Linotype"/>
        </w:rPr>
      </w:pPr>
    </w:p>
    <w:p w14:paraId="6B257B0A" w14:textId="77777777" w:rsidR="00894D45" w:rsidRPr="00B356D9" w:rsidRDefault="00894D45" w:rsidP="00B356D9">
      <w:pPr>
        <w:spacing w:line="360" w:lineRule="auto"/>
        <w:jc w:val="both"/>
        <w:rPr>
          <w:rFonts w:ascii="Palatino Linotype" w:hAnsi="Palatino Linotype"/>
        </w:rPr>
      </w:pPr>
    </w:p>
    <w:sectPr w:rsidR="00894D45" w:rsidRPr="00B356D9" w:rsidSect="00E834B8">
      <w:headerReference w:type="even" r:id="rId11"/>
      <w:headerReference w:type="default" r:id="rId12"/>
      <w:footerReference w:type="default" r:id="rId13"/>
      <w:headerReference w:type="first" r:id="rId14"/>
      <w:footerReference w:type="first" r:id="rId15"/>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E4669" w14:textId="77777777" w:rsidR="002A7E5D" w:rsidRDefault="002A7E5D" w:rsidP="00841865">
      <w:r>
        <w:separator/>
      </w:r>
    </w:p>
  </w:endnote>
  <w:endnote w:type="continuationSeparator" w:id="0">
    <w:p w14:paraId="7A8CCA63" w14:textId="77777777" w:rsidR="002A7E5D" w:rsidRDefault="002A7E5D" w:rsidP="0084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E3374" w14:textId="77777777" w:rsidR="00E31BB1" w:rsidRDefault="00E31BB1">
    <w:pPr>
      <w:pStyle w:val="Piedepgina"/>
      <w:jc w:val="right"/>
    </w:pPr>
    <w:r>
      <w:rPr>
        <w:lang w:val="es-ES"/>
      </w:rPr>
      <w:t xml:space="preserve">Página </w:t>
    </w:r>
    <w:r>
      <w:rPr>
        <w:b/>
        <w:bCs/>
      </w:rPr>
      <w:fldChar w:fldCharType="begin"/>
    </w:r>
    <w:r>
      <w:rPr>
        <w:b/>
        <w:bCs/>
      </w:rPr>
      <w:instrText>PAGE</w:instrText>
    </w:r>
    <w:r>
      <w:rPr>
        <w:b/>
        <w:bCs/>
      </w:rPr>
      <w:fldChar w:fldCharType="separate"/>
    </w:r>
    <w:r w:rsidR="008C68CF">
      <w:rPr>
        <w:b/>
        <w:bCs/>
        <w:noProof/>
      </w:rPr>
      <w:t>19</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8C68CF">
      <w:rPr>
        <w:b/>
        <w:bCs/>
        <w:noProof/>
      </w:rPr>
      <w:t>19</w:t>
    </w:r>
    <w:r>
      <w:rPr>
        <w:b/>
        <w:bCs/>
      </w:rPr>
      <w:fldChar w:fldCharType="end"/>
    </w:r>
  </w:p>
  <w:p w14:paraId="2D38D962" w14:textId="77777777" w:rsidR="00E31BB1" w:rsidRDefault="00E31BB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E4F7" w14:textId="77777777" w:rsidR="00E31BB1" w:rsidRDefault="00E31BB1">
    <w:pPr>
      <w:pStyle w:val="Piedepgina"/>
      <w:jc w:val="right"/>
    </w:pPr>
    <w:r>
      <w:rPr>
        <w:lang w:val="es-ES"/>
      </w:rPr>
      <w:t xml:space="preserve">Página </w:t>
    </w:r>
    <w:r>
      <w:rPr>
        <w:b/>
        <w:bCs/>
      </w:rPr>
      <w:fldChar w:fldCharType="begin"/>
    </w:r>
    <w:r>
      <w:rPr>
        <w:b/>
        <w:bCs/>
      </w:rPr>
      <w:instrText>PAGE</w:instrText>
    </w:r>
    <w:r>
      <w:rPr>
        <w:b/>
        <w:bCs/>
      </w:rPr>
      <w:fldChar w:fldCharType="separate"/>
    </w:r>
    <w:r w:rsidR="008C68CF">
      <w:rPr>
        <w:b/>
        <w:bCs/>
        <w:noProof/>
      </w:rPr>
      <w:t>1</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8C68CF">
      <w:rPr>
        <w:b/>
        <w:bCs/>
        <w:noProof/>
      </w:rPr>
      <w:t>19</w:t>
    </w:r>
    <w:r>
      <w:rPr>
        <w:b/>
        <w:bCs/>
      </w:rPr>
      <w:fldChar w:fldCharType="end"/>
    </w:r>
  </w:p>
  <w:p w14:paraId="065796E6" w14:textId="77777777" w:rsidR="00E31BB1" w:rsidRDefault="00E31B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D0121" w14:textId="77777777" w:rsidR="002A7E5D" w:rsidRDefault="002A7E5D" w:rsidP="00841865">
      <w:r>
        <w:separator/>
      </w:r>
    </w:p>
  </w:footnote>
  <w:footnote w:type="continuationSeparator" w:id="0">
    <w:p w14:paraId="01345CC5" w14:textId="77777777" w:rsidR="002A7E5D" w:rsidRDefault="002A7E5D" w:rsidP="00841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32322" w14:textId="77777777" w:rsidR="00E31BB1" w:rsidRDefault="002A7E5D">
    <w:pPr>
      <w:pStyle w:val="Encabezado"/>
    </w:pPr>
    <w:r>
      <w:rPr>
        <w:noProof/>
      </w:rPr>
      <w:pict w14:anchorId="15D43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49" type="#_x0000_t75" style="position:absolute;margin-left:0;margin-top:0;width:589.8pt;height:768pt;z-index:-251657216;mso-wrap-edited:f;mso-position-horizontal:center;mso-position-horizontal-relative:margin;mso-position-vertical:center;mso-position-vertical-relative:margin"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A0" w:firstRow="1" w:lastRow="0" w:firstColumn="1" w:lastColumn="0" w:noHBand="0" w:noVBand="1"/>
    </w:tblPr>
    <w:tblGrid>
      <w:gridCol w:w="2268"/>
      <w:gridCol w:w="7797"/>
    </w:tblGrid>
    <w:tr w:rsidR="00E31BB1" w:rsidRPr="005C106F" w14:paraId="30A3F043" w14:textId="77777777" w:rsidTr="007A61D7">
      <w:trPr>
        <w:trHeight w:val="1435"/>
      </w:trPr>
      <w:tc>
        <w:tcPr>
          <w:tcW w:w="2268" w:type="dxa"/>
          <w:shd w:val="clear" w:color="auto" w:fill="auto"/>
        </w:tcPr>
        <w:p w14:paraId="09506D33" w14:textId="77777777" w:rsidR="00E31BB1" w:rsidRPr="005C106F" w:rsidRDefault="00E31BB1" w:rsidP="00E834B8">
          <w:pPr>
            <w:tabs>
              <w:tab w:val="right" w:pos="4273"/>
            </w:tabs>
            <w:rPr>
              <w:rFonts w:ascii="Garamond" w:eastAsia="Calibri" w:hAnsi="Garamond"/>
              <w:sz w:val="16"/>
              <w:szCs w:val="16"/>
              <w:lang w:eastAsia="en-US"/>
            </w:rPr>
          </w:pPr>
        </w:p>
      </w:tc>
      <w:tc>
        <w:tcPr>
          <w:tcW w:w="7797" w:type="dxa"/>
          <w:shd w:val="clear" w:color="auto" w:fill="auto"/>
        </w:tcPr>
        <w:p w14:paraId="6D79F45F" w14:textId="77777777" w:rsidR="00E31BB1" w:rsidRDefault="00E31BB1" w:rsidP="00E834B8"/>
        <w:tbl>
          <w:tblPr>
            <w:tblW w:w="7507" w:type="dxa"/>
            <w:tblInd w:w="459" w:type="dxa"/>
            <w:tblLayout w:type="fixed"/>
            <w:tblLook w:val="0420" w:firstRow="1" w:lastRow="0" w:firstColumn="0" w:lastColumn="0" w:noHBand="0" w:noVBand="1"/>
          </w:tblPr>
          <w:tblGrid>
            <w:gridCol w:w="3396"/>
            <w:gridCol w:w="4111"/>
          </w:tblGrid>
          <w:tr w:rsidR="00E31BB1" w14:paraId="0217B1B2" w14:textId="77777777" w:rsidTr="007A61D7">
            <w:trPr>
              <w:trHeight w:val="150"/>
            </w:trPr>
            <w:tc>
              <w:tcPr>
                <w:tcW w:w="3396" w:type="dxa"/>
                <w:shd w:val="clear" w:color="auto" w:fill="auto"/>
              </w:tcPr>
              <w:p w14:paraId="7AA0DF36" w14:textId="77777777" w:rsidR="00E31BB1" w:rsidRPr="007A61D7" w:rsidRDefault="00E31BB1" w:rsidP="000B0130">
                <w:pPr>
                  <w:tabs>
                    <w:tab w:val="right" w:pos="8838"/>
                  </w:tabs>
                  <w:ind w:left="595" w:right="-105"/>
                  <w:rPr>
                    <w:rFonts w:ascii="Palatino Linotype" w:eastAsia="Calibri" w:hAnsi="Palatino Linotype" w:cs="Tahoma"/>
                    <w:b/>
                    <w:szCs w:val="22"/>
                    <w:lang w:val="es-ES" w:eastAsia="en-US"/>
                  </w:rPr>
                </w:pPr>
                <w:r w:rsidRPr="007A61D7">
                  <w:rPr>
                    <w:rFonts w:ascii="Palatino Linotype" w:eastAsia="Calibri" w:hAnsi="Palatino Linotype" w:cs="Tahoma"/>
                    <w:b/>
                    <w:szCs w:val="22"/>
                    <w:lang w:val="es-ES" w:eastAsia="en-US"/>
                  </w:rPr>
                  <w:t>Recurso de Revisión:</w:t>
                </w:r>
              </w:p>
            </w:tc>
            <w:tc>
              <w:tcPr>
                <w:tcW w:w="4111" w:type="dxa"/>
                <w:shd w:val="clear" w:color="auto" w:fill="auto"/>
              </w:tcPr>
              <w:p w14:paraId="08A020D1" w14:textId="41C88089" w:rsidR="00E31BB1" w:rsidRPr="007A61D7" w:rsidRDefault="00E31BB1" w:rsidP="007A61D7">
                <w:pPr>
                  <w:tabs>
                    <w:tab w:val="right" w:pos="8838"/>
                  </w:tabs>
                  <w:ind w:right="-102"/>
                  <w:jc w:val="both"/>
                  <w:rPr>
                    <w:rFonts w:ascii="Palatino Linotype" w:eastAsia="Calibri" w:hAnsi="Palatino Linotype" w:cs="Tahoma"/>
                    <w:bCs/>
                    <w:szCs w:val="22"/>
                    <w:lang w:val="es-ES" w:eastAsia="en-US"/>
                  </w:rPr>
                </w:pPr>
                <w:r w:rsidRPr="007A61D7">
                  <w:rPr>
                    <w:rFonts w:ascii="Palatino Linotype" w:eastAsia="Calibri" w:hAnsi="Palatino Linotype" w:cs="Tahoma"/>
                    <w:bCs/>
                    <w:szCs w:val="22"/>
                    <w:lang w:eastAsia="en-US"/>
                  </w:rPr>
                  <w:t>01238/INFOEM/IP/RR/2026</w:t>
                </w:r>
              </w:p>
            </w:tc>
          </w:tr>
          <w:tr w:rsidR="00E31BB1" w14:paraId="1EA466DF" w14:textId="77777777" w:rsidTr="007A61D7">
            <w:trPr>
              <w:trHeight w:val="295"/>
            </w:trPr>
            <w:tc>
              <w:tcPr>
                <w:tcW w:w="3396" w:type="dxa"/>
                <w:shd w:val="clear" w:color="auto" w:fill="auto"/>
              </w:tcPr>
              <w:p w14:paraId="62089CE1" w14:textId="77777777" w:rsidR="00E31BB1" w:rsidRPr="007A61D7" w:rsidRDefault="00E31BB1" w:rsidP="000B0130">
                <w:pPr>
                  <w:tabs>
                    <w:tab w:val="right" w:pos="8838"/>
                  </w:tabs>
                  <w:ind w:left="595" w:right="-105"/>
                  <w:rPr>
                    <w:rFonts w:ascii="Palatino Linotype" w:eastAsia="Calibri" w:hAnsi="Palatino Linotype" w:cs="Tahoma"/>
                    <w:b/>
                    <w:szCs w:val="22"/>
                    <w:lang w:val="es-ES" w:eastAsia="en-US"/>
                  </w:rPr>
                </w:pPr>
                <w:r w:rsidRPr="007A61D7">
                  <w:rPr>
                    <w:rFonts w:ascii="Palatino Linotype" w:eastAsia="Calibri" w:hAnsi="Palatino Linotype" w:cs="Tahoma"/>
                    <w:b/>
                    <w:szCs w:val="22"/>
                    <w:lang w:val="es-ES" w:eastAsia="en-US"/>
                  </w:rPr>
                  <w:t>Sujeto Obligado:</w:t>
                </w:r>
              </w:p>
            </w:tc>
            <w:tc>
              <w:tcPr>
                <w:tcW w:w="4111" w:type="dxa"/>
                <w:shd w:val="clear" w:color="auto" w:fill="auto"/>
              </w:tcPr>
              <w:p w14:paraId="7F774BD0" w14:textId="2624226C" w:rsidR="00E31BB1" w:rsidRPr="007A61D7" w:rsidRDefault="00E31BB1" w:rsidP="007A61D7">
                <w:pPr>
                  <w:tabs>
                    <w:tab w:val="left" w:pos="2834"/>
                    <w:tab w:val="right" w:pos="8838"/>
                  </w:tabs>
                  <w:ind w:right="-102"/>
                  <w:jc w:val="both"/>
                  <w:rPr>
                    <w:rFonts w:ascii="Palatino Linotype" w:eastAsia="Calibri" w:hAnsi="Palatino Linotype" w:cs="Tahoma"/>
                    <w:szCs w:val="22"/>
                    <w:lang w:val="es-ES" w:eastAsia="en-US"/>
                  </w:rPr>
                </w:pPr>
                <w:r w:rsidRPr="007A61D7">
                  <w:rPr>
                    <w:rFonts w:ascii="Palatino Linotype" w:eastAsia="Calibri" w:hAnsi="Palatino Linotype" w:cs="Tahoma"/>
                    <w:bCs/>
                    <w:szCs w:val="22"/>
                    <w:lang w:eastAsia="en-US"/>
                  </w:rPr>
                  <w:t>Ayuntamiento de Valle de Bravo</w:t>
                </w:r>
              </w:p>
            </w:tc>
          </w:tr>
          <w:tr w:rsidR="00E31BB1" w14:paraId="10A4E5BB" w14:textId="77777777" w:rsidTr="007A61D7">
            <w:trPr>
              <w:trHeight w:val="295"/>
            </w:trPr>
            <w:tc>
              <w:tcPr>
                <w:tcW w:w="3396" w:type="dxa"/>
                <w:shd w:val="clear" w:color="auto" w:fill="auto"/>
              </w:tcPr>
              <w:p w14:paraId="240B39AD" w14:textId="77777777" w:rsidR="00E31BB1" w:rsidRPr="007A61D7" w:rsidRDefault="00E31BB1" w:rsidP="000B0130">
                <w:pPr>
                  <w:tabs>
                    <w:tab w:val="right" w:pos="8838"/>
                  </w:tabs>
                  <w:ind w:left="595" w:right="-105"/>
                  <w:rPr>
                    <w:rFonts w:ascii="Palatino Linotype" w:eastAsia="Calibri" w:hAnsi="Palatino Linotype" w:cs="Tahoma"/>
                    <w:b/>
                    <w:szCs w:val="22"/>
                    <w:lang w:val="es-ES" w:eastAsia="en-US"/>
                  </w:rPr>
                </w:pPr>
                <w:r w:rsidRPr="007A61D7">
                  <w:rPr>
                    <w:rFonts w:ascii="Palatino Linotype" w:eastAsia="Calibri" w:hAnsi="Palatino Linotype" w:cs="Tahoma"/>
                    <w:b/>
                    <w:szCs w:val="22"/>
                    <w:lang w:val="es-ES" w:eastAsia="en-US"/>
                  </w:rPr>
                  <w:t>Comisionada ponente:</w:t>
                </w:r>
              </w:p>
            </w:tc>
            <w:tc>
              <w:tcPr>
                <w:tcW w:w="4111" w:type="dxa"/>
                <w:shd w:val="clear" w:color="auto" w:fill="auto"/>
              </w:tcPr>
              <w:p w14:paraId="551E90C6" w14:textId="563E16A1" w:rsidR="00E31BB1" w:rsidRPr="007A61D7" w:rsidRDefault="00E31BB1" w:rsidP="007A61D7">
                <w:pPr>
                  <w:tabs>
                    <w:tab w:val="right" w:pos="8838"/>
                  </w:tabs>
                  <w:ind w:right="171"/>
                  <w:jc w:val="both"/>
                  <w:rPr>
                    <w:rFonts w:ascii="Palatino Linotype" w:eastAsia="Calibri" w:hAnsi="Palatino Linotype" w:cs="Tahoma"/>
                    <w:szCs w:val="22"/>
                    <w:lang w:val="es-ES" w:eastAsia="en-US"/>
                  </w:rPr>
                </w:pPr>
                <w:r w:rsidRPr="007A61D7">
                  <w:rPr>
                    <w:rFonts w:ascii="Palatino Linotype" w:eastAsia="Calibri" w:hAnsi="Palatino Linotype" w:cs="Tahoma"/>
                    <w:szCs w:val="22"/>
                    <w:lang w:val="es-ES" w:eastAsia="en-US"/>
                  </w:rPr>
                  <w:t xml:space="preserve">María del Rosario Mejía </w:t>
                </w:r>
                <w:r w:rsidR="007A61D7">
                  <w:rPr>
                    <w:rFonts w:ascii="Palatino Linotype" w:eastAsia="Calibri" w:hAnsi="Palatino Linotype" w:cs="Tahoma"/>
                    <w:szCs w:val="22"/>
                    <w:lang w:val="es-ES" w:eastAsia="en-US"/>
                  </w:rPr>
                  <w:t>Ayala</w:t>
                </w:r>
              </w:p>
            </w:tc>
          </w:tr>
        </w:tbl>
        <w:p w14:paraId="210DFCB2" w14:textId="77777777" w:rsidR="00E31BB1" w:rsidRPr="005C106F" w:rsidRDefault="00E31BB1" w:rsidP="00E834B8">
          <w:pPr>
            <w:tabs>
              <w:tab w:val="right" w:pos="8838"/>
            </w:tabs>
            <w:ind w:left="-28"/>
            <w:jc w:val="both"/>
            <w:rPr>
              <w:rFonts w:ascii="Arial" w:eastAsia="Calibri" w:hAnsi="Arial" w:cs="Arial"/>
              <w:b/>
              <w:sz w:val="22"/>
              <w:szCs w:val="22"/>
              <w:lang w:eastAsia="en-US"/>
            </w:rPr>
          </w:pPr>
        </w:p>
      </w:tc>
    </w:tr>
  </w:tbl>
  <w:p w14:paraId="1C450BA4" w14:textId="77777777" w:rsidR="00E31BB1" w:rsidRPr="00443C6B" w:rsidRDefault="002A7E5D" w:rsidP="00E834B8">
    <w:pPr>
      <w:pStyle w:val="Encabezado"/>
      <w:rPr>
        <w:sz w:val="14"/>
      </w:rPr>
    </w:pPr>
    <w:r>
      <w:rPr>
        <w:noProof/>
        <w:sz w:val="14"/>
      </w:rPr>
      <w:pict w14:anchorId="09F28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style="position:absolute;margin-left:-68.8pt;margin-top:-120.5pt;width:589.8pt;height:768pt;z-index:-251656192;mso-wrap-edited:f;mso-position-horizontal-relative:margin;mso-position-vertical-relative:margin"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A0" w:firstRow="1" w:lastRow="0" w:firstColumn="1" w:lastColumn="0" w:noHBand="0" w:noVBand="1"/>
    </w:tblPr>
    <w:tblGrid>
      <w:gridCol w:w="2268"/>
      <w:gridCol w:w="8364"/>
    </w:tblGrid>
    <w:tr w:rsidR="00E31BB1" w:rsidRPr="00330DA7" w14:paraId="378C3EE6" w14:textId="77777777" w:rsidTr="007A61D7">
      <w:trPr>
        <w:trHeight w:val="1435"/>
      </w:trPr>
      <w:tc>
        <w:tcPr>
          <w:tcW w:w="2268" w:type="dxa"/>
          <w:shd w:val="clear" w:color="auto" w:fill="auto"/>
        </w:tcPr>
        <w:p w14:paraId="6BDBA041" w14:textId="77777777" w:rsidR="00E31BB1" w:rsidRPr="00330DA7" w:rsidRDefault="00E31BB1" w:rsidP="00E834B8">
          <w:pPr>
            <w:tabs>
              <w:tab w:val="right" w:pos="4273"/>
            </w:tabs>
            <w:rPr>
              <w:rFonts w:ascii="Garamond" w:eastAsia="Calibri" w:hAnsi="Garamond"/>
              <w:sz w:val="22"/>
              <w:szCs w:val="22"/>
              <w:lang w:eastAsia="en-US"/>
            </w:rPr>
          </w:pPr>
        </w:p>
      </w:tc>
      <w:tc>
        <w:tcPr>
          <w:tcW w:w="8364" w:type="dxa"/>
          <w:shd w:val="clear" w:color="auto" w:fill="auto"/>
        </w:tcPr>
        <w:tbl>
          <w:tblPr>
            <w:tblW w:w="7053" w:type="dxa"/>
            <w:tblInd w:w="1310" w:type="dxa"/>
            <w:tblLayout w:type="fixed"/>
            <w:tblLook w:val="0420" w:firstRow="1" w:lastRow="0" w:firstColumn="0" w:lastColumn="0" w:noHBand="0" w:noVBand="1"/>
          </w:tblPr>
          <w:tblGrid>
            <w:gridCol w:w="2835"/>
            <w:gridCol w:w="4218"/>
          </w:tblGrid>
          <w:tr w:rsidR="00E31BB1" w:rsidRPr="00330DA7" w14:paraId="3B25D046" w14:textId="77777777" w:rsidTr="007A61D7">
            <w:trPr>
              <w:trHeight w:val="144"/>
            </w:trPr>
            <w:tc>
              <w:tcPr>
                <w:tcW w:w="2835" w:type="dxa"/>
                <w:shd w:val="clear" w:color="auto" w:fill="auto"/>
              </w:tcPr>
              <w:p w14:paraId="639FCF21" w14:textId="77777777" w:rsidR="00E31BB1" w:rsidRPr="007A61D7" w:rsidRDefault="00E31BB1" w:rsidP="00E834B8">
                <w:pPr>
                  <w:tabs>
                    <w:tab w:val="right" w:pos="8838"/>
                  </w:tabs>
                  <w:ind w:left="-264" w:right="-105" w:firstLine="195"/>
                  <w:rPr>
                    <w:rFonts w:ascii="Palatino Linotype" w:eastAsia="Calibri" w:hAnsi="Palatino Linotype" w:cs="Tahoma"/>
                    <w:b/>
                    <w:szCs w:val="22"/>
                    <w:lang w:val="es-ES" w:eastAsia="en-US"/>
                  </w:rPr>
                </w:pPr>
                <w:r w:rsidRPr="007A61D7">
                  <w:rPr>
                    <w:rFonts w:ascii="Palatino Linotype" w:eastAsia="Calibri" w:hAnsi="Palatino Linotype" w:cs="Tahoma"/>
                    <w:b/>
                    <w:szCs w:val="22"/>
                    <w:lang w:val="es-ES" w:eastAsia="en-US"/>
                  </w:rPr>
                  <w:t>Recurso de Revisión:</w:t>
                </w:r>
              </w:p>
            </w:tc>
            <w:tc>
              <w:tcPr>
                <w:tcW w:w="4218" w:type="dxa"/>
                <w:shd w:val="clear" w:color="auto" w:fill="auto"/>
              </w:tcPr>
              <w:p w14:paraId="04DA0606" w14:textId="1C6D8F4D" w:rsidR="00E31BB1" w:rsidRPr="007A61D7" w:rsidRDefault="00E31BB1" w:rsidP="00CC1195">
                <w:pPr>
                  <w:tabs>
                    <w:tab w:val="right" w:pos="8838"/>
                  </w:tabs>
                  <w:ind w:left="-74" w:right="-105"/>
                  <w:jc w:val="both"/>
                  <w:rPr>
                    <w:rFonts w:ascii="Palatino Linotype" w:eastAsia="Calibri" w:hAnsi="Palatino Linotype" w:cs="Tahoma"/>
                    <w:bCs/>
                    <w:szCs w:val="22"/>
                    <w:lang w:val="es-ES" w:eastAsia="en-US"/>
                  </w:rPr>
                </w:pPr>
                <w:r w:rsidRPr="007A61D7">
                  <w:rPr>
                    <w:rFonts w:ascii="Palatino Linotype" w:eastAsia="Calibri" w:hAnsi="Palatino Linotype" w:cs="Tahoma"/>
                    <w:szCs w:val="22"/>
                    <w:lang w:eastAsia="en-US"/>
                  </w:rPr>
                  <w:t xml:space="preserve">01238/INFOEM/IP/RR/2026 </w:t>
                </w:r>
              </w:p>
            </w:tc>
          </w:tr>
          <w:tr w:rsidR="00E31BB1" w:rsidRPr="00330DA7" w14:paraId="6CA56932" w14:textId="77777777" w:rsidTr="007A61D7">
            <w:trPr>
              <w:trHeight w:val="144"/>
            </w:trPr>
            <w:tc>
              <w:tcPr>
                <w:tcW w:w="2835" w:type="dxa"/>
                <w:shd w:val="clear" w:color="auto" w:fill="auto"/>
              </w:tcPr>
              <w:p w14:paraId="34B3DAD5" w14:textId="77777777" w:rsidR="00E31BB1" w:rsidRPr="007A61D7" w:rsidRDefault="00E31BB1" w:rsidP="00E834B8">
                <w:pPr>
                  <w:tabs>
                    <w:tab w:val="right" w:pos="8838"/>
                  </w:tabs>
                  <w:ind w:left="-74" w:right="-105"/>
                  <w:rPr>
                    <w:rFonts w:ascii="Palatino Linotype" w:eastAsia="Calibri" w:hAnsi="Palatino Linotype" w:cs="Tahoma"/>
                    <w:b/>
                    <w:szCs w:val="22"/>
                    <w:lang w:val="es-ES" w:eastAsia="en-US"/>
                  </w:rPr>
                </w:pPr>
                <w:r w:rsidRPr="007A61D7">
                  <w:rPr>
                    <w:rFonts w:ascii="Palatino Linotype" w:eastAsia="Calibri" w:hAnsi="Palatino Linotype" w:cs="Tahoma"/>
                    <w:b/>
                    <w:szCs w:val="22"/>
                    <w:lang w:val="es-ES" w:eastAsia="en-US"/>
                  </w:rPr>
                  <w:t>Recurrente:</w:t>
                </w:r>
              </w:p>
            </w:tc>
            <w:tc>
              <w:tcPr>
                <w:tcW w:w="4218" w:type="dxa"/>
                <w:shd w:val="clear" w:color="auto" w:fill="auto"/>
              </w:tcPr>
              <w:p w14:paraId="72DEE934" w14:textId="52059C0D" w:rsidR="00E31BB1" w:rsidRPr="007A61D7" w:rsidRDefault="008C68CF" w:rsidP="00CC1195">
                <w:pPr>
                  <w:tabs>
                    <w:tab w:val="left" w:pos="3122"/>
                    <w:tab w:val="right" w:pos="8838"/>
                  </w:tabs>
                  <w:ind w:left="-74" w:right="-105"/>
                  <w:jc w:val="both"/>
                  <w:rPr>
                    <w:rFonts w:ascii="Palatino Linotype" w:eastAsia="Calibri" w:hAnsi="Palatino Linotype" w:cs="Tahoma"/>
                    <w:szCs w:val="22"/>
                    <w:lang w:val="es-ES" w:eastAsia="en-US"/>
                  </w:rPr>
                </w:pPr>
                <w:r>
                  <w:rPr>
                    <w:rFonts w:ascii="Palatino Linotype" w:eastAsia="Calibri" w:hAnsi="Palatino Linotype" w:cs="Tahoma"/>
                    <w:szCs w:val="22"/>
                    <w:lang w:val="es-ES" w:eastAsia="en-US"/>
                  </w:rPr>
                  <w:t>XXXX</w:t>
                </w:r>
                <w:r w:rsidR="00E31BB1" w:rsidRPr="007A61D7">
                  <w:rPr>
                    <w:rFonts w:ascii="Palatino Linotype" w:eastAsia="Calibri" w:hAnsi="Palatino Linotype" w:cs="Tahoma"/>
                    <w:szCs w:val="22"/>
                    <w:lang w:val="es-ES" w:eastAsia="en-US"/>
                  </w:rPr>
                  <w:t xml:space="preserve"> </w:t>
                </w:r>
              </w:p>
            </w:tc>
          </w:tr>
          <w:tr w:rsidR="00E31BB1" w:rsidRPr="00330DA7" w14:paraId="779FA32C" w14:textId="77777777" w:rsidTr="007A61D7">
            <w:trPr>
              <w:trHeight w:val="283"/>
            </w:trPr>
            <w:tc>
              <w:tcPr>
                <w:tcW w:w="2835" w:type="dxa"/>
                <w:shd w:val="clear" w:color="auto" w:fill="auto"/>
              </w:tcPr>
              <w:p w14:paraId="20C1A65E" w14:textId="77777777" w:rsidR="00E31BB1" w:rsidRPr="007A61D7" w:rsidRDefault="00E31BB1" w:rsidP="00E834B8">
                <w:pPr>
                  <w:tabs>
                    <w:tab w:val="right" w:pos="8838"/>
                  </w:tabs>
                  <w:ind w:left="-74" w:right="-105"/>
                  <w:rPr>
                    <w:rFonts w:ascii="Palatino Linotype" w:eastAsia="Calibri" w:hAnsi="Palatino Linotype" w:cs="Tahoma"/>
                    <w:b/>
                    <w:szCs w:val="22"/>
                    <w:lang w:val="es-ES" w:eastAsia="en-US"/>
                  </w:rPr>
                </w:pPr>
                <w:r w:rsidRPr="007A61D7">
                  <w:rPr>
                    <w:rFonts w:ascii="Palatino Linotype" w:eastAsia="Calibri" w:hAnsi="Palatino Linotype" w:cs="Tahoma"/>
                    <w:b/>
                    <w:szCs w:val="22"/>
                    <w:lang w:val="es-ES" w:eastAsia="en-US"/>
                  </w:rPr>
                  <w:t>Sujeto Obligado:</w:t>
                </w:r>
              </w:p>
            </w:tc>
            <w:tc>
              <w:tcPr>
                <w:tcW w:w="4218" w:type="dxa"/>
                <w:shd w:val="clear" w:color="auto" w:fill="auto"/>
              </w:tcPr>
              <w:p w14:paraId="401819B9" w14:textId="14992FC4" w:rsidR="00E31BB1" w:rsidRPr="007A61D7" w:rsidRDefault="00E31BB1" w:rsidP="00CC1195">
                <w:pPr>
                  <w:tabs>
                    <w:tab w:val="left" w:pos="2834"/>
                    <w:tab w:val="right" w:pos="8838"/>
                  </w:tabs>
                  <w:ind w:left="-74" w:right="-105"/>
                  <w:jc w:val="both"/>
                  <w:rPr>
                    <w:rFonts w:ascii="Palatino Linotype" w:eastAsia="Calibri" w:hAnsi="Palatino Linotype" w:cs="Tahoma"/>
                    <w:szCs w:val="22"/>
                    <w:lang w:val="es-ES" w:eastAsia="en-US"/>
                  </w:rPr>
                </w:pPr>
                <w:r w:rsidRPr="007A61D7">
                  <w:rPr>
                    <w:rFonts w:ascii="Palatino Linotype" w:eastAsia="Calibri" w:hAnsi="Palatino Linotype" w:cs="Tahoma"/>
                    <w:bCs/>
                    <w:szCs w:val="22"/>
                    <w:lang w:eastAsia="en-US"/>
                  </w:rPr>
                  <w:t>Ayuntamiento de Valle de Bravo</w:t>
                </w:r>
              </w:p>
            </w:tc>
          </w:tr>
          <w:tr w:rsidR="00E31BB1" w:rsidRPr="00330DA7" w14:paraId="6D390F66" w14:textId="77777777" w:rsidTr="007A61D7">
            <w:trPr>
              <w:trHeight w:val="283"/>
            </w:trPr>
            <w:tc>
              <w:tcPr>
                <w:tcW w:w="2835" w:type="dxa"/>
                <w:shd w:val="clear" w:color="auto" w:fill="auto"/>
              </w:tcPr>
              <w:p w14:paraId="4243CE70" w14:textId="77777777" w:rsidR="00E31BB1" w:rsidRPr="007A61D7" w:rsidRDefault="00E31BB1" w:rsidP="00E834B8">
                <w:pPr>
                  <w:tabs>
                    <w:tab w:val="right" w:pos="8838"/>
                  </w:tabs>
                  <w:ind w:left="-74" w:right="-105"/>
                  <w:rPr>
                    <w:rFonts w:ascii="Palatino Linotype" w:eastAsia="Calibri" w:hAnsi="Palatino Linotype" w:cs="Tahoma"/>
                    <w:b/>
                    <w:szCs w:val="22"/>
                    <w:lang w:val="es-ES" w:eastAsia="en-US"/>
                  </w:rPr>
                </w:pPr>
                <w:r w:rsidRPr="007A61D7">
                  <w:rPr>
                    <w:rFonts w:ascii="Palatino Linotype" w:eastAsia="Calibri" w:hAnsi="Palatino Linotype" w:cs="Tahoma"/>
                    <w:b/>
                    <w:szCs w:val="22"/>
                    <w:lang w:val="es-ES" w:eastAsia="en-US"/>
                  </w:rPr>
                  <w:t>Comisionada ponente:</w:t>
                </w:r>
              </w:p>
            </w:tc>
            <w:tc>
              <w:tcPr>
                <w:tcW w:w="4218" w:type="dxa"/>
                <w:shd w:val="clear" w:color="auto" w:fill="auto"/>
              </w:tcPr>
              <w:p w14:paraId="3E53777A" w14:textId="77777777" w:rsidR="00E31BB1" w:rsidRPr="007A61D7" w:rsidRDefault="00E31BB1" w:rsidP="00E834B8">
                <w:pPr>
                  <w:tabs>
                    <w:tab w:val="right" w:pos="8838"/>
                  </w:tabs>
                  <w:ind w:left="-74" w:right="-105"/>
                  <w:jc w:val="both"/>
                  <w:rPr>
                    <w:rFonts w:ascii="Palatino Linotype" w:eastAsia="Calibri" w:hAnsi="Palatino Linotype" w:cs="Tahoma"/>
                    <w:szCs w:val="22"/>
                    <w:lang w:val="es-ES" w:eastAsia="en-US"/>
                  </w:rPr>
                </w:pPr>
                <w:r w:rsidRPr="007A61D7">
                  <w:rPr>
                    <w:rFonts w:ascii="Palatino Linotype" w:eastAsia="Calibri" w:hAnsi="Palatino Linotype" w:cs="Tahoma"/>
                    <w:szCs w:val="22"/>
                    <w:lang w:val="es-ES" w:eastAsia="en-US"/>
                  </w:rPr>
                  <w:t>María del Rosario Mejía Ayala</w:t>
                </w:r>
              </w:p>
              <w:p w14:paraId="231B6687" w14:textId="77777777" w:rsidR="00E31BB1" w:rsidRPr="007A61D7" w:rsidRDefault="00E31BB1" w:rsidP="00E834B8">
                <w:pPr>
                  <w:tabs>
                    <w:tab w:val="right" w:pos="8838"/>
                  </w:tabs>
                  <w:ind w:left="-74" w:right="-105"/>
                  <w:jc w:val="both"/>
                  <w:rPr>
                    <w:rFonts w:ascii="Palatino Linotype" w:eastAsia="Calibri" w:hAnsi="Palatino Linotype" w:cs="Tahoma"/>
                    <w:szCs w:val="22"/>
                    <w:lang w:val="es-ES" w:eastAsia="en-US"/>
                  </w:rPr>
                </w:pPr>
              </w:p>
            </w:tc>
          </w:tr>
        </w:tbl>
        <w:p w14:paraId="4110AB66" w14:textId="77777777" w:rsidR="00E31BB1" w:rsidRPr="00330DA7" w:rsidRDefault="00E31BB1" w:rsidP="00E834B8">
          <w:pPr>
            <w:tabs>
              <w:tab w:val="right" w:pos="8838"/>
            </w:tabs>
            <w:ind w:left="-28"/>
            <w:jc w:val="both"/>
            <w:rPr>
              <w:rFonts w:ascii="Arial" w:eastAsia="Calibri" w:hAnsi="Arial" w:cs="Arial"/>
              <w:b/>
              <w:sz w:val="22"/>
              <w:szCs w:val="22"/>
              <w:lang w:eastAsia="en-US"/>
            </w:rPr>
          </w:pPr>
        </w:p>
      </w:tc>
    </w:tr>
  </w:tbl>
  <w:p w14:paraId="1A55C50A" w14:textId="77777777" w:rsidR="00E31BB1" w:rsidRPr="00827FA0" w:rsidRDefault="002A7E5D" w:rsidP="00E834B8">
    <w:pPr>
      <w:pStyle w:val="Encabezado"/>
      <w:rPr>
        <w:sz w:val="2"/>
        <w:szCs w:val="22"/>
      </w:rPr>
    </w:pPr>
    <w:r>
      <w:rPr>
        <w:noProof/>
        <w:sz w:val="2"/>
        <w:szCs w:val="22"/>
      </w:rPr>
      <w:pict w14:anchorId="37F98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51" type="#_x0000_t75" style="position:absolute;margin-left:-68.8pt;margin-top:-117.6pt;width:589.8pt;height:768pt;z-index:-251655168;mso-wrap-edited:f;mso-position-horizontal-relative:margin;mso-position-vertical-relative:margin"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027ED8"/>
    <w:multiLevelType w:val="multilevel"/>
    <w:tmpl w:val="EAC8B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333D17"/>
    <w:multiLevelType w:val="hybridMultilevel"/>
    <w:tmpl w:val="C1F69D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D22FB7"/>
    <w:multiLevelType w:val="hybridMultilevel"/>
    <w:tmpl w:val="79C4CC4C"/>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1F0A732F"/>
    <w:multiLevelType w:val="hybridMultilevel"/>
    <w:tmpl w:val="051E9D7E"/>
    <w:lvl w:ilvl="0" w:tplc="080A0017">
      <w:start w:val="1"/>
      <w:numFmt w:val="lowerLetter"/>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5A96BF2"/>
    <w:multiLevelType w:val="hybridMultilevel"/>
    <w:tmpl w:val="3962F470"/>
    <w:lvl w:ilvl="0" w:tplc="23967CE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8" w15:restartNumberingAfterBreak="0">
    <w:nsid w:val="26251CEA"/>
    <w:multiLevelType w:val="multilevel"/>
    <w:tmpl w:val="E5E05C8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6F7797"/>
    <w:multiLevelType w:val="hybridMultilevel"/>
    <w:tmpl w:val="7F4A9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DC4879"/>
    <w:multiLevelType w:val="hybridMultilevel"/>
    <w:tmpl w:val="D4D823D0"/>
    <w:lvl w:ilvl="0" w:tplc="E52EB74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153A95"/>
    <w:multiLevelType w:val="multilevel"/>
    <w:tmpl w:val="541662C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B74507"/>
    <w:multiLevelType w:val="hybridMultilevel"/>
    <w:tmpl w:val="E71CD8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42B09E7"/>
    <w:multiLevelType w:val="hybridMultilevel"/>
    <w:tmpl w:val="53F09B54"/>
    <w:lvl w:ilvl="0" w:tplc="57F009C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4317490"/>
    <w:multiLevelType w:val="hybridMultilevel"/>
    <w:tmpl w:val="9ABCAD30"/>
    <w:lvl w:ilvl="0" w:tplc="E6E6863C">
      <w:start w:val="1"/>
      <w:numFmt w:val="decimal"/>
      <w:lvlText w:val="%1."/>
      <w:lvlJc w:val="left"/>
      <w:pPr>
        <w:ind w:left="360" w:hanging="360"/>
      </w:pPr>
      <w:rPr>
        <w:rFonts w:ascii="Palatino Linotype" w:hAnsi="Palatino Linotype" w:hint="default"/>
        <w:b/>
        <w:i w:val="0"/>
        <w:sz w:val="24"/>
      </w:rPr>
    </w:lvl>
    <w:lvl w:ilvl="1" w:tplc="080A0019">
      <w:start w:val="1"/>
      <w:numFmt w:val="lowerLetter"/>
      <w:lvlText w:val="%2."/>
      <w:lvlJc w:val="left"/>
      <w:pPr>
        <w:ind w:left="1440" w:hanging="360"/>
      </w:pPr>
    </w:lvl>
    <w:lvl w:ilvl="2" w:tplc="9CEA342A">
      <w:start w:val="1"/>
      <w:numFmt w:val="upperLetter"/>
      <w:lvlText w:val="%3."/>
      <w:lvlJc w:val="left"/>
      <w:pPr>
        <w:ind w:left="2340" w:hanging="360"/>
      </w:pPr>
      <w:rPr>
        <w:rFonts w:cs="Arial" w:hint="default"/>
        <w:color w:val="000000" w:themeColor="text1"/>
        <w:sz w:val="24"/>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231C79"/>
    <w:multiLevelType w:val="hybridMultilevel"/>
    <w:tmpl w:val="29FC2A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4BEE3890"/>
    <w:multiLevelType w:val="hybridMultilevel"/>
    <w:tmpl w:val="6BE4A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8E517CE"/>
    <w:multiLevelType w:val="hybridMultilevel"/>
    <w:tmpl w:val="E16456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857244"/>
    <w:multiLevelType w:val="hybridMultilevel"/>
    <w:tmpl w:val="E4E24A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2B190D"/>
    <w:multiLevelType w:val="hybridMultilevel"/>
    <w:tmpl w:val="DFB4762C"/>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FAD439FA">
      <w:start w:val="1"/>
      <w:numFmt w:val="upperRoman"/>
      <w:lvlText w:val="%4."/>
      <w:lvlJc w:val="left"/>
      <w:pPr>
        <w:ind w:left="2880" w:hanging="360"/>
      </w:pPr>
      <w:rPr>
        <w:rFonts w:ascii="Times New Roman" w:eastAsia="Times New Roman" w:hAnsi="Times New Roman" w:cs="Times New Roman"/>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606853C6"/>
    <w:multiLevelType w:val="hybridMultilevel"/>
    <w:tmpl w:val="A02AEB6E"/>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95405FB4">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7"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616099"/>
    <w:multiLevelType w:val="hybridMultilevel"/>
    <w:tmpl w:val="B2445F5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9" w15:restartNumberingAfterBreak="0">
    <w:nsid w:val="724345E5"/>
    <w:multiLevelType w:val="hybridMultilevel"/>
    <w:tmpl w:val="F8B60B06"/>
    <w:lvl w:ilvl="0" w:tplc="080A0001">
      <w:start w:val="1"/>
      <w:numFmt w:val="bullet"/>
      <w:lvlText w:val=""/>
      <w:lvlJc w:val="left"/>
      <w:pPr>
        <w:ind w:left="786"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70136A0"/>
    <w:multiLevelType w:val="hybridMultilevel"/>
    <w:tmpl w:val="F072DB56"/>
    <w:lvl w:ilvl="0" w:tplc="080A000F">
      <w:start w:val="1"/>
      <w:numFmt w:val="decimal"/>
      <w:lvlText w:val="%1."/>
      <w:lvlJc w:val="left"/>
      <w:pPr>
        <w:ind w:left="360"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7862E5"/>
    <w:multiLevelType w:val="hybridMultilevel"/>
    <w:tmpl w:val="4EE8AC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D5F7D90"/>
    <w:multiLevelType w:val="hybridMultilevel"/>
    <w:tmpl w:val="22649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EE72835"/>
    <w:multiLevelType w:val="multilevel"/>
    <w:tmpl w:val="7D6031D4"/>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7C0502"/>
    <w:multiLevelType w:val="hybridMultilevel"/>
    <w:tmpl w:val="823CACE2"/>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num w:numId="1">
    <w:abstractNumId w:val="24"/>
  </w:num>
  <w:num w:numId="2">
    <w:abstractNumId w:val="16"/>
  </w:num>
  <w:num w:numId="3">
    <w:abstractNumId w:val="29"/>
  </w:num>
  <w:num w:numId="4">
    <w:abstractNumId w:val="32"/>
  </w:num>
  <w:num w:numId="5">
    <w:abstractNumId w:val="17"/>
  </w:num>
  <w:num w:numId="6">
    <w:abstractNumId w:val="20"/>
  </w:num>
  <w:num w:numId="7">
    <w:abstractNumId w:val="9"/>
  </w:num>
  <w:num w:numId="8">
    <w:abstractNumId w:val="14"/>
  </w:num>
  <w:num w:numId="9">
    <w:abstractNumId w:val="28"/>
  </w:num>
  <w:num w:numId="10">
    <w:abstractNumId w:val="12"/>
  </w:num>
  <w:num w:numId="11">
    <w:abstractNumId w:val="25"/>
  </w:num>
  <w:num w:numId="12">
    <w:abstractNumId w:val="15"/>
  </w:num>
  <w:num w:numId="13">
    <w:abstractNumId w:val="13"/>
  </w:num>
  <w:num w:numId="14">
    <w:abstractNumId w:val="11"/>
  </w:num>
  <w:num w:numId="15">
    <w:abstractNumId w:val="31"/>
  </w:num>
  <w:num w:numId="16">
    <w:abstractNumId w:val="21"/>
  </w:num>
  <w:num w:numId="17">
    <w:abstractNumId w:val="7"/>
  </w:num>
  <w:num w:numId="18">
    <w:abstractNumId w:val="4"/>
  </w:num>
  <w:num w:numId="19">
    <w:abstractNumId w:val="23"/>
  </w:num>
  <w:num w:numId="20">
    <w:abstractNumId w:val="5"/>
  </w:num>
  <w:num w:numId="21">
    <w:abstractNumId w:val="34"/>
  </w:num>
  <w:num w:numId="22">
    <w:abstractNumId w:val="10"/>
  </w:num>
  <w:num w:numId="23">
    <w:abstractNumId w:val="6"/>
  </w:num>
  <w:num w:numId="24">
    <w:abstractNumId w:val="3"/>
  </w:num>
  <w:num w:numId="25">
    <w:abstractNumId w:val="30"/>
  </w:num>
  <w:num w:numId="26">
    <w:abstractNumId w:val="1"/>
    <w:lvlOverride w:ilvl="0">
      <w:lvl w:ilvl="0">
        <w:numFmt w:val="upperRoman"/>
        <w:lvlText w:val="%1."/>
        <w:lvlJc w:val="right"/>
      </w:lvl>
    </w:lvlOverride>
  </w:num>
  <w:num w:numId="27">
    <w:abstractNumId w:val="18"/>
  </w:num>
  <w:num w:numId="28">
    <w:abstractNumId w:val="33"/>
  </w:num>
  <w:num w:numId="29">
    <w:abstractNumId w:val="0"/>
  </w:num>
  <w:num w:numId="30">
    <w:abstractNumId w:val="22"/>
  </w:num>
  <w:num w:numId="31">
    <w:abstractNumId w:val="27"/>
  </w:num>
  <w:num w:numId="32">
    <w:abstractNumId w:val="26"/>
  </w:num>
  <w:num w:numId="33">
    <w:abstractNumId w:val="2"/>
  </w:num>
  <w:num w:numId="34">
    <w:abstractNumId w:val="8"/>
  </w:num>
  <w:num w:numId="3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65"/>
    <w:rsid w:val="00034D2A"/>
    <w:rsid w:val="00041C5B"/>
    <w:rsid w:val="000456CC"/>
    <w:rsid w:val="00052691"/>
    <w:rsid w:val="000655B3"/>
    <w:rsid w:val="00071895"/>
    <w:rsid w:val="00083FB9"/>
    <w:rsid w:val="0008621B"/>
    <w:rsid w:val="00087965"/>
    <w:rsid w:val="00090364"/>
    <w:rsid w:val="000956F2"/>
    <w:rsid w:val="000A31F5"/>
    <w:rsid w:val="000A5C32"/>
    <w:rsid w:val="000B0130"/>
    <w:rsid w:val="000B7E40"/>
    <w:rsid w:val="000C5731"/>
    <w:rsid w:val="000C7529"/>
    <w:rsid w:val="000D1366"/>
    <w:rsid w:val="000D3036"/>
    <w:rsid w:val="00101BE2"/>
    <w:rsid w:val="00103918"/>
    <w:rsid w:val="00104E76"/>
    <w:rsid w:val="001125A7"/>
    <w:rsid w:val="001135DE"/>
    <w:rsid w:val="001164F7"/>
    <w:rsid w:val="00116D79"/>
    <w:rsid w:val="001252DB"/>
    <w:rsid w:val="001301A7"/>
    <w:rsid w:val="001524B6"/>
    <w:rsid w:val="00173472"/>
    <w:rsid w:val="00174CED"/>
    <w:rsid w:val="00180DD2"/>
    <w:rsid w:val="001C5409"/>
    <w:rsid w:val="001D5736"/>
    <w:rsid w:val="001D6A7C"/>
    <w:rsid w:val="001E58AC"/>
    <w:rsid w:val="001F1364"/>
    <w:rsid w:val="001F2BC5"/>
    <w:rsid w:val="001F7E98"/>
    <w:rsid w:val="0020485B"/>
    <w:rsid w:val="00205D46"/>
    <w:rsid w:val="0021698B"/>
    <w:rsid w:val="00226081"/>
    <w:rsid w:val="0023264C"/>
    <w:rsid w:val="00237DEA"/>
    <w:rsid w:val="00240434"/>
    <w:rsid w:val="00241A0C"/>
    <w:rsid w:val="0025550E"/>
    <w:rsid w:val="00255DEA"/>
    <w:rsid w:val="00266823"/>
    <w:rsid w:val="00266E0C"/>
    <w:rsid w:val="00272048"/>
    <w:rsid w:val="0027677C"/>
    <w:rsid w:val="002835B4"/>
    <w:rsid w:val="00287A4A"/>
    <w:rsid w:val="00293778"/>
    <w:rsid w:val="002A425C"/>
    <w:rsid w:val="002A43BC"/>
    <w:rsid w:val="002A7E5D"/>
    <w:rsid w:val="002C0970"/>
    <w:rsid w:val="002C2896"/>
    <w:rsid w:val="002E74E9"/>
    <w:rsid w:val="002F0A9F"/>
    <w:rsid w:val="002F1854"/>
    <w:rsid w:val="002F63DB"/>
    <w:rsid w:val="003031EB"/>
    <w:rsid w:val="0030345E"/>
    <w:rsid w:val="003076DB"/>
    <w:rsid w:val="003234EE"/>
    <w:rsid w:val="00326DB7"/>
    <w:rsid w:val="00334140"/>
    <w:rsid w:val="0033673F"/>
    <w:rsid w:val="00337B9D"/>
    <w:rsid w:val="00370EF2"/>
    <w:rsid w:val="00385252"/>
    <w:rsid w:val="003925F1"/>
    <w:rsid w:val="003A453A"/>
    <w:rsid w:val="003A5FE7"/>
    <w:rsid w:val="003B4BB1"/>
    <w:rsid w:val="003E7098"/>
    <w:rsid w:val="003E7736"/>
    <w:rsid w:val="003E7B92"/>
    <w:rsid w:val="003E7D2E"/>
    <w:rsid w:val="003F55CB"/>
    <w:rsid w:val="004124AA"/>
    <w:rsid w:val="00425F9E"/>
    <w:rsid w:val="00432995"/>
    <w:rsid w:val="004333C7"/>
    <w:rsid w:val="00440EBA"/>
    <w:rsid w:val="00445071"/>
    <w:rsid w:val="00446A7A"/>
    <w:rsid w:val="00450C3B"/>
    <w:rsid w:val="0045111F"/>
    <w:rsid w:val="00453EC2"/>
    <w:rsid w:val="00457178"/>
    <w:rsid w:val="00457D85"/>
    <w:rsid w:val="0046218C"/>
    <w:rsid w:val="00477EB3"/>
    <w:rsid w:val="004867F4"/>
    <w:rsid w:val="00487445"/>
    <w:rsid w:val="004A7ED3"/>
    <w:rsid w:val="004C2A1B"/>
    <w:rsid w:val="004C59F7"/>
    <w:rsid w:val="004E50B8"/>
    <w:rsid w:val="004E7DDC"/>
    <w:rsid w:val="004F06DC"/>
    <w:rsid w:val="004F0A68"/>
    <w:rsid w:val="005004DD"/>
    <w:rsid w:val="00503690"/>
    <w:rsid w:val="00504EAE"/>
    <w:rsid w:val="005140D4"/>
    <w:rsid w:val="00516A22"/>
    <w:rsid w:val="00525F31"/>
    <w:rsid w:val="00530128"/>
    <w:rsid w:val="00532680"/>
    <w:rsid w:val="005331B4"/>
    <w:rsid w:val="00534AAF"/>
    <w:rsid w:val="005400DA"/>
    <w:rsid w:val="005521E3"/>
    <w:rsid w:val="005533B7"/>
    <w:rsid w:val="00554441"/>
    <w:rsid w:val="00577D74"/>
    <w:rsid w:val="00596227"/>
    <w:rsid w:val="005A0B5D"/>
    <w:rsid w:val="005A12EC"/>
    <w:rsid w:val="005B620E"/>
    <w:rsid w:val="005C0126"/>
    <w:rsid w:val="005C11BB"/>
    <w:rsid w:val="005C26A5"/>
    <w:rsid w:val="005C556D"/>
    <w:rsid w:val="005D1F1A"/>
    <w:rsid w:val="005D5140"/>
    <w:rsid w:val="005E04F3"/>
    <w:rsid w:val="005E311A"/>
    <w:rsid w:val="005E46B9"/>
    <w:rsid w:val="005F0B19"/>
    <w:rsid w:val="005F5FFA"/>
    <w:rsid w:val="005F763A"/>
    <w:rsid w:val="00612B25"/>
    <w:rsid w:val="00614FAF"/>
    <w:rsid w:val="006206C0"/>
    <w:rsid w:val="00621F7C"/>
    <w:rsid w:val="00643303"/>
    <w:rsid w:val="006477EB"/>
    <w:rsid w:val="006517CD"/>
    <w:rsid w:val="00653A97"/>
    <w:rsid w:val="00684A82"/>
    <w:rsid w:val="00685E5C"/>
    <w:rsid w:val="006A669D"/>
    <w:rsid w:val="006C70DB"/>
    <w:rsid w:val="006D4056"/>
    <w:rsid w:val="006D5569"/>
    <w:rsid w:val="006E137F"/>
    <w:rsid w:val="006E21B1"/>
    <w:rsid w:val="006E3223"/>
    <w:rsid w:val="006E6763"/>
    <w:rsid w:val="00700E1D"/>
    <w:rsid w:val="00732130"/>
    <w:rsid w:val="007721BA"/>
    <w:rsid w:val="0079374A"/>
    <w:rsid w:val="007977C4"/>
    <w:rsid w:val="007A12C1"/>
    <w:rsid w:val="007A61D7"/>
    <w:rsid w:val="007B54BD"/>
    <w:rsid w:val="007C31FB"/>
    <w:rsid w:val="007C6F65"/>
    <w:rsid w:val="007D6CF4"/>
    <w:rsid w:val="007E6403"/>
    <w:rsid w:val="007F404D"/>
    <w:rsid w:val="00805183"/>
    <w:rsid w:val="0081455B"/>
    <w:rsid w:val="00823CDD"/>
    <w:rsid w:val="00833569"/>
    <w:rsid w:val="00841865"/>
    <w:rsid w:val="00854AF7"/>
    <w:rsid w:val="00856C07"/>
    <w:rsid w:val="008576AE"/>
    <w:rsid w:val="008612C3"/>
    <w:rsid w:val="008702A2"/>
    <w:rsid w:val="00880D1C"/>
    <w:rsid w:val="00894D45"/>
    <w:rsid w:val="00896961"/>
    <w:rsid w:val="008A1647"/>
    <w:rsid w:val="008A2074"/>
    <w:rsid w:val="008A59C5"/>
    <w:rsid w:val="008A73C5"/>
    <w:rsid w:val="008B2368"/>
    <w:rsid w:val="008B7418"/>
    <w:rsid w:val="008B7AA0"/>
    <w:rsid w:val="008C68CF"/>
    <w:rsid w:val="008D1F05"/>
    <w:rsid w:val="008D6B70"/>
    <w:rsid w:val="008E0317"/>
    <w:rsid w:val="008E19C7"/>
    <w:rsid w:val="008E2A12"/>
    <w:rsid w:val="008E2C58"/>
    <w:rsid w:val="008E3400"/>
    <w:rsid w:val="008E4008"/>
    <w:rsid w:val="008E5CD4"/>
    <w:rsid w:val="008E5EE8"/>
    <w:rsid w:val="00900387"/>
    <w:rsid w:val="009012DB"/>
    <w:rsid w:val="00905808"/>
    <w:rsid w:val="00914B46"/>
    <w:rsid w:val="00920F1A"/>
    <w:rsid w:val="00925146"/>
    <w:rsid w:val="00934ECD"/>
    <w:rsid w:val="00952D00"/>
    <w:rsid w:val="009611B4"/>
    <w:rsid w:val="009B28A1"/>
    <w:rsid w:val="009C3756"/>
    <w:rsid w:val="009C605B"/>
    <w:rsid w:val="009D35AF"/>
    <w:rsid w:val="009D49C8"/>
    <w:rsid w:val="009F2034"/>
    <w:rsid w:val="00A02ECA"/>
    <w:rsid w:val="00A05714"/>
    <w:rsid w:val="00A25071"/>
    <w:rsid w:val="00A30D16"/>
    <w:rsid w:val="00A52A5D"/>
    <w:rsid w:val="00A77F04"/>
    <w:rsid w:val="00A824F1"/>
    <w:rsid w:val="00A853FA"/>
    <w:rsid w:val="00AA2DED"/>
    <w:rsid w:val="00AA3024"/>
    <w:rsid w:val="00AB74BF"/>
    <w:rsid w:val="00AE05E1"/>
    <w:rsid w:val="00AE2E4C"/>
    <w:rsid w:val="00AE3DEC"/>
    <w:rsid w:val="00AE7CF3"/>
    <w:rsid w:val="00B01C5D"/>
    <w:rsid w:val="00B05E37"/>
    <w:rsid w:val="00B204A8"/>
    <w:rsid w:val="00B350FC"/>
    <w:rsid w:val="00B356D9"/>
    <w:rsid w:val="00B411AD"/>
    <w:rsid w:val="00B47B6A"/>
    <w:rsid w:val="00B572FB"/>
    <w:rsid w:val="00B70E82"/>
    <w:rsid w:val="00B72D54"/>
    <w:rsid w:val="00B75ADB"/>
    <w:rsid w:val="00B77DF2"/>
    <w:rsid w:val="00B805D7"/>
    <w:rsid w:val="00B84C5A"/>
    <w:rsid w:val="00B85A08"/>
    <w:rsid w:val="00B874DD"/>
    <w:rsid w:val="00B92389"/>
    <w:rsid w:val="00BA0D34"/>
    <w:rsid w:val="00BA3A0F"/>
    <w:rsid w:val="00BA6AB4"/>
    <w:rsid w:val="00BB1F02"/>
    <w:rsid w:val="00BC0A2D"/>
    <w:rsid w:val="00BD0C91"/>
    <w:rsid w:val="00BF4139"/>
    <w:rsid w:val="00C04A27"/>
    <w:rsid w:val="00C1457F"/>
    <w:rsid w:val="00C20F80"/>
    <w:rsid w:val="00C218B2"/>
    <w:rsid w:val="00C2287E"/>
    <w:rsid w:val="00C23194"/>
    <w:rsid w:val="00C244EB"/>
    <w:rsid w:val="00C2512C"/>
    <w:rsid w:val="00C27F15"/>
    <w:rsid w:val="00C31E50"/>
    <w:rsid w:val="00C36E77"/>
    <w:rsid w:val="00C461D7"/>
    <w:rsid w:val="00C60470"/>
    <w:rsid w:val="00C72FE3"/>
    <w:rsid w:val="00C9242C"/>
    <w:rsid w:val="00C93A4E"/>
    <w:rsid w:val="00CA02A5"/>
    <w:rsid w:val="00CA23B2"/>
    <w:rsid w:val="00CC06CC"/>
    <w:rsid w:val="00CC1195"/>
    <w:rsid w:val="00CD15FA"/>
    <w:rsid w:val="00CD4D44"/>
    <w:rsid w:val="00CE55FF"/>
    <w:rsid w:val="00CF0C1B"/>
    <w:rsid w:val="00CF3F38"/>
    <w:rsid w:val="00CF4888"/>
    <w:rsid w:val="00CF4D90"/>
    <w:rsid w:val="00CF71F6"/>
    <w:rsid w:val="00D033FC"/>
    <w:rsid w:val="00D07470"/>
    <w:rsid w:val="00D211CA"/>
    <w:rsid w:val="00D325D1"/>
    <w:rsid w:val="00D32A26"/>
    <w:rsid w:val="00D45154"/>
    <w:rsid w:val="00D6333D"/>
    <w:rsid w:val="00D65F1F"/>
    <w:rsid w:val="00D66728"/>
    <w:rsid w:val="00D8178C"/>
    <w:rsid w:val="00D8288F"/>
    <w:rsid w:val="00D854BD"/>
    <w:rsid w:val="00DB093E"/>
    <w:rsid w:val="00DB26F0"/>
    <w:rsid w:val="00DB5EF0"/>
    <w:rsid w:val="00DC2B47"/>
    <w:rsid w:val="00DE7F67"/>
    <w:rsid w:val="00DF32A2"/>
    <w:rsid w:val="00DF58B2"/>
    <w:rsid w:val="00E00B69"/>
    <w:rsid w:val="00E01AEA"/>
    <w:rsid w:val="00E31BB1"/>
    <w:rsid w:val="00E41FFD"/>
    <w:rsid w:val="00E4216A"/>
    <w:rsid w:val="00E55B32"/>
    <w:rsid w:val="00E57E55"/>
    <w:rsid w:val="00E617B5"/>
    <w:rsid w:val="00E67C11"/>
    <w:rsid w:val="00E834B8"/>
    <w:rsid w:val="00E861C9"/>
    <w:rsid w:val="00E86488"/>
    <w:rsid w:val="00E870F6"/>
    <w:rsid w:val="00EA438C"/>
    <w:rsid w:val="00EB0396"/>
    <w:rsid w:val="00EB19FB"/>
    <w:rsid w:val="00EC3184"/>
    <w:rsid w:val="00ED2ECA"/>
    <w:rsid w:val="00EE11E0"/>
    <w:rsid w:val="00EF19FB"/>
    <w:rsid w:val="00F01DD7"/>
    <w:rsid w:val="00F11754"/>
    <w:rsid w:val="00F15026"/>
    <w:rsid w:val="00F243BE"/>
    <w:rsid w:val="00F35AC6"/>
    <w:rsid w:val="00F41755"/>
    <w:rsid w:val="00F5197A"/>
    <w:rsid w:val="00F55072"/>
    <w:rsid w:val="00F73619"/>
    <w:rsid w:val="00FA2E17"/>
    <w:rsid w:val="00FB0DAB"/>
    <w:rsid w:val="00FB40B2"/>
    <w:rsid w:val="00FC06C1"/>
    <w:rsid w:val="00FC68AD"/>
    <w:rsid w:val="00FD3DAD"/>
    <w:rsid w:val="00FE3D3F"/>
    <w:rsid w:val="00FF06DD"/>
    <w:rsid w:val="00FF6071"/>
    <w:rsid w:val="00FF68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648525"/>
  <w15:chartTrackingRefBased/>
  <w15:docId w15:val="{23553156-06CA-4440-84CF-605E03EC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86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418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370EF2"/>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1865"/>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841865"/>
    <w:pPr>
      <w:tabs>
        <w:tab w:val="center" w:pos="4419"/>
        <w:tab w:val="right" w:pos="8838"/>
      </w:tabs>
    </w:pPr>
  </w:style>
  <w:style w:type="character" w:customStyle="1" w:styleId="EncabezadoCar">
    <w:name w:val="Encabezado Car"/>
    <w:basedOn w:val="Fuentedeprrafopredeter"/>
    <w:link w:val="Encabezado"/>
    <w:uiPriority w:val="99"/>
    <w:rsid w:val="0084186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41865"/>
    <w:pPr>
      <w:tabs>
        <w:tab w:val="center" w:pos="4419"/>
        <w:tab w:val="right" w:pos="8838"/>
      </w:tabs>
    </w:pPr>
  </w:style>
  <w:style w:type="character" w:customStyle="1" w:styleId="PiedepginaCar">
    <w:name w:val="Pie de página Car"/>
    <w:basedOn w:val="Fuentedeprrafopredeter"/>
    <w:link w:val="Piedepgina"/>
    <w:uiPriority w:val="99"/>
    <w:rsid w:val="0084186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4186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4186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41865"/>
    <w:rPr>
      <w:color w:val="0563C1"/>
      <w:u w:val="single"/>
    </w:rPr>
  </w:style>
  <w:style w:type="table" w:styleId="Tablaconcuadrcula">
    <w:name w:val="Table Grid"/>
    <w:basedOn w:val="Tablanormal"/>
    <w:uiPriority w:val="39"/>
    <w:rsid w:val="002E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2E74E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6672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672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66728"/>
    <w:rPr>
      <w:vertAlign w:val="superscript"/>
    </w:rPr>
  </w:style>
  <w:style w:type="paragraph" w:styleId="Sinespaciado">
    <w:name w:val="No Spacing"/>
    <w:aliases w:val="Francesa,INAI"/>
    <w:link w:val="SinespaciadoCar"/>
    <w:uiPriority w:val="1"/>
    <w:qFormat/>
    <w:rsid w:val="004124A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124AA"/>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370EF2"/>
    <w:rPr>
      <w:rFonts w:asciiTheme="majorHAnsi" w:eastAsiaTheme="majorEastAsia" w:hAnsiTheme="majorHAnsi" w:cstheme="majorBidi"/>
      <w:color w:val="1F4D78" w:themeColor="accent1" w:themeShade="7F"/>
      <w:sz w:val="24"/>
      <w:szCs w:val="24"/>
      <w:lang w:val="es-ES_tradnl" w:eastAsia="es-ES"/>
    </w:rPr>
  </w:style>
  <w:style w:type="paragraph" w:customStyle="1" w:styleId="xgmail-msolistparagraph">
    <w:name w:val="x_gmail-msolistparagraph"/>
    <w:basedOn w:val="Normal"/>
    <w:rsid w:val="0023264C"/>
    <w:pPr>
      <w:spacing w:before="100" w:beforeAutospacing="1" w:after="100" w:afterAutospacing="1"/>
    </w:pPr>
  </w:style>
  <w:style w:type="paragraph" w:customStyle="1" w:styleId="xmsonormal">
    <w:name w:val="x_msonormal"/>
    <w:basedOn w:val="Normal"/>
    <w:rsid w:val="0023264C"/>
    <w:pPr>
      <w:spacing w:before="100" w:beforeAutospacing="1" w:after="100" w:afterAutospacing="1"/>
    </w:pPr>
  </w:style>
  <w:style w:type="paragraph" w:customStyle="1" w:styleId="xgmail-msonormal">
    <w:name w:val="x_gmail-msonormal"/>
    <w:basedOn w:val="Normal"/>
    <w:rsid w:val="0023264C"/>
    <w:pPr>
      <w:spacing w:before="100" w:beforeAutospacing="1" w:after="100" w:afterAutospacing="1"/>
    </w:pPr>
  </w:style>
  <w:style w:type="paragraph" w:styleId="NormalWeb">
    <w:name w:val="Normal (Web)"/>
    <w:basedOn w:val="Normal"/>
    <w:uiPriority w:val="99"/>
    <w:unhideWhenUsed/>
    <w:rsid w:val="00FA2E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60326">
      <w:bodyDiv w:val="1"/>
      <w:marLeft w:val="0"/>
      <w:marRight w:val="0"/>
      <w:marTop w:val="0"/>
      <w:marBottom w:val="0"/>
      <w:divBdr>
        <w:top w:val="none" w:sz="0" w:space="0" w:color="auto"/>
        <w:left w:val="none" w:sz="0" w:space="0" w:color="auto"/>
        <w:bottom w:val="none" w:sz="0" w:space="0" w:color="auto"/>
        <w:right w:val="none" w:sz="0" w:space="0" w:color="auto"/>
      </w:divBdr>
    </w:div>
    <w:div w:id="173305816">
      <w:bodyDiv w:val="1"/>
      <w:marLeft w:val="0"/>
      <w:marRight w:val="0"/>
      <w:marTop w:val="0"/>
      <w:marBottom w:val="0"/>
      <w:divBdr>
        <w:top w:val="none" w:sz="0" w:space="0" w:color="auto"/>
        <w:left w:val="none" w:sz="0" w:space="0" w:color="auto"/>
        <w:bottom w:val="none" w:sz="0" w:space="0" w:color="auto"/>
        <w:right w:val="none" w:sz="0" w:space="0" w:color="auto"/>
      </w:divBdr>
    </w:div>
    <w:div w:id="888105368">
      <w:bodyDiv w:val="1"/>
      <w:marLeft w:val="0"/>
      <w:marRight w:val="0"/>
      <w:marTop w:val="0"/>
      <w:marBottom w:val="0"/>
      <w:divBdr>
        <w:top w:val="none" w:sz="0" w:space="0" w:color="auto"/>
        <w:left w:val="none" w:sz="0" w:space="0" w:color="auto"/>
        <w:bottom w:val="none" w:sz="0" w:space="0" w:color="auto"/>
        <w:right w:val="none" w:sz="0" w:space="0" w:color="auto"/>
      </w:divBdr>
    </w:div>
    <w:div w:id="1269968364">
      <w:bodyDiv w:val="1"/>
      <w:marLeft w:val="0"/>
      <w:marRight w:val="0"/>
      <w:marTop w:val="0"/>
      <w:marBottom w:val="0"/>
      <w:divBdr>
        <w:top w:val="none" w:sz="0" w:space="0" w:color="auto"/>
        <w:left w:val="none" w:sz="0" w:space="0" w:color="auto"/>
        <w:bottom w:val="none" w:sz="0" w:space="0" w:color="auto"/>
        <w:right w:val="none" w:sz="0" w:space="0" w:color="auto"/>
      </w:divBdr>
    </w:div>
    <w:div w:id="1467434281">
      <w:bodyDiv w:val="1"/>
      <w:marLeft w:val="0"/>
      <w:marRight w:val="0"/>
      <w:marTop w:val="0"/>
      <w:marBottom w:val="0"/>
      <w:divBdr>
        <w:top w:val="none" w:sz="0" w:space="0" w:color="auto"/>
        <w:left w:val="none" w:sz="0" w:space="0" w:color="auto"/>
        <w:bottom w:val="none" w:sz="0" w:space="0" w:color="auto"/>
        <w:right w:val="none" w:sz="0" w:space="0" w:color="auto"/>
      </w:divBdr>
    </w:div>
    <w:div w:id="1666277568">
      <w:bodyDiv w:val="1"/>
      <w:marLeft w:val="0"/>
      <w:marRight w:val="0"/>
      <w:marTop w:val="0"/>
      <w:marBottom w:val="0"/>
      <w:divBdr>
        <w:top w:val="none" w:sz="0" w:space="0" w:color="auto"/>
        <w:left w:val="none" w:sz="0" w:space="0" w:color="auto"/>
        <w:bottom w:val="none" w:sz="0" w:space="0" w:color="auto"/>
        <w:right w:val="none" w:sz="0" w:space="0" w:color="auto"/>
      </w:divBdr>
    </w:div>
    <w:div w:id="195494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55269.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CE9F5-DEF5-40F4-B6C9-69950FB3D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4653</Words>
  <Characters>25593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10</cp:revision>
  <cp:lastPrinted>2026-05-21T23:12:00Z</cp:lastPrinted>
  <dcterms:created xsi:type="dcterms:W3CDTF">2026-05-14T20:50:00Z</dcterms:created>
  <dcterms:modified xsi:type="dcterms:W3CDTF">2026-05-28T23:18:00Z</dcterms:modified>
</cp:coreProperties>
</file>