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7085BA6B" w:rsidR="00562A90" w:rsidRPr="00853B52"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853B5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853B52">
        <w:rPr>
          <w:rFonts w:ascii="Palatino Linotype" w:eastAsia="Palatino Linotype" w:hAnsi="Palatino Linotype" w:cs="Palatino Linotype"/>
          <w:sz w:val="22"/>
          <w:szCs w:val="22"/>
        </w:rPr>
        <w:t xml:space="preserve">en Metepec, Estado de México, a </w:t>
      </w:r>
      <w:r w:rsidR="00202176" w:rsidRPr="00853B52">
        <w:rPr>
          <w:rFonts w:ascii="Palatino Linotype" w:eastAsia="Palatino Linotype" w:hAnsi="Palatino Linotype" w:cs="Palatino Linotype"/>
          <w:sz w:val="22"/>
          <w:szCs w:val="22"/>
        </w:rPr>
        <w:t>dieciocho de febrero de dos mil veintiséis</w:t>
      </w:r>
      <w:r w:rsidRPr="00853B52">
        <w:rPr>
          <w:rFonts w:ascii="Palatino Linotype" w:eastAsia="Palatino Linotype" w:hAnsi="Palatino Linotype" w:cs="Palatino Linotype"/>
          <w:sz w:val="22"/>
          <w:szCs w:val="22"/>
        </w:rPr>
        <w:t xml:space="preserve">. </w:t>
      </w:r>
    </w:p>
    <w:p w14:paraId="4795114A" w14:textId="17FC1283" w:rsidR="00562A90" w:rsidRPr="00853B52"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853B52">
        <w:rPr>
          <w:rFonts w:ascii="Palatino Linotype" w:eastAsia="Palatino Linotype" w:hAnsi="Palatino Linotype" w:cs="Palatino Linotype"/>
          <w:b/>
          <w:sz w:val="22"/>
          <w:szCs w:val="22"/>
        </w:rPr>
        <w:t>VISTO</w:t>
      </w:r>
      <w:r w:rsidRPr="00853B52">
        <w:rPr>
          <w:rFonts w:ascii="Palatino Linotype" w:eastAsia="Palatino Linotype" w:hAnsi="Palatino Linotype" w:cs="Palatino Linotype"/>
          <w:sz w:val="22"/>
          <w:szCs w:val="22"/>
        </w:rPr>
        <w:t xml:space="preserve"> el expediente formado con motivo del recurso de revisión </w:t>
      </w:r>
      <w:r w:rsidR="00376936" w:rsidRPr="00853B52">
        <w:rPr>
          <w:rFonts w:ascii="Palatino Linotype" w:eastAsia="Palatino Linotype" w:hAnsi="Palatino Linotype" w:cs="Palatino Linotype"/>
          <w:b/>
          <w:sz w:val="22"/>
          <w:szCs w:val="22"/>
        </w:rPr>
        <w:t>13914/INFOEM/IP/RR/2025</w:t>
      </w:r>
      <w:r w:rsidRPr="00853B52">
        <w:rPr>
          <w:rFonts w:ascii="Palatino Linotype" w:eastAsia="Palatino Linotype" w:hAnsi="Palatino Linotype" w:cs="Palatino Linotype"/>
          <w:sz w:val="22"/>
          <w:szCs w:val="22"/>
        </w:rPr>
        <w:t>, interpuesto por</w:t>
      </w:r>
      <w:r w:rsidRPr="00853B52">
        <w:rPr>
          <w:rFonts w:ascii="Palatino Linotype" w:eastAsia="Palatino Linotype" w:hAnsi="Palatino Linotype" w:cs="Palatino Linotype"/>
          <w:b/>
          <w:sz w:val="22"/>
          <w:szCs w:val="22"/>
        </w:rPr>
        <w:t xml:space="preserve"> </w:t>
      </w:r>
      <w:r w:rsidR="00010B60">
        <w:rPr>
          <w:rFonts w:ascii="Palatino Linotype" w:eastAsia="Palatino Linotype" w:hAnsi="Palatino Linotype" w:cs="Palatino Linotype"/>
          <w:b/>
          <w:sz w:val="22"/>
          <w:szCs w:val="22"/>
        </w:rPr>
        <w:t>XXX XXXX XXX</w:t>
      </w:r>
      <w:bookmarkStart w:id="2" w:name="_GoBack"/>
      <w:bookmarkEnd w:id="2"/>
      <w:r w:rsidRPr="00853B52">
        <w:rPr>
          <w:rFonts w:ascii="Palatino Linotype" w:eastAsia="Palatino Linotype" w:hAnsi="Palatino Linotype" w:cs="Palatino Linotype"/>
          <w:b/>
          <w:sz w:val="22"/>
          <w:szCs w:val="22"/>
        </w:rPr>
        <w:t>,</w:t>
      </w:r>
      <w:r w:rsidRPr="00853B52">
        <w:rPr>
          <w:rFonts w:ascii="Palatino Linotype" w:eastAsia="Palatino Linotype" w:hAnsi="Palatino Linotype" w:cs="Palatino Linotype"/>
          <w:sz w:val="22"/>
          <w:szCs w:val="22"/>
        </w:rPr>
        <w:t xml:space="preserve"> en lo sucesivo</w:t>
      </w:r>
      <w:r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sz w:val="22"/>
          <w:szCs w:val="22"/>
        </w:rPr>
        <w:t xml:space="preserve">la parte </w:t>
      </w:r>
      <w:r w:rsidRPr="00853B52">
        <w:rPr>
          <w:rFonts w:ascii="Palatino Linotype" w:eastAsia="Palatino Linotype" w:hAnsi="Palatino Linotype" w:cs="Palatino Linotype"/>
          <w:b/>
          <w:sz w:val="22"/>
          <w:szCs w:val="22"/>
        </w:rPr>
        <w:t>Recurrente,</w:t>
      </w:r>
      <w:r w:rsidRPr="00853B52">
        <w:rPr>
          <w:rFonts w:ascii="Palatino Linotype" w:eastAsia="Palatino Linotype" w:hAnsi="Palatino Linotype" w:cs="Palatino Linotype"/>
          <w:sz w:val="22"/>
          <w:szCs w:val="22"/>
        </w:rPr>
        <w:t xml:space="preserve"> en contra de la respuesta a la solicitud de información con número de folio</w:t>
      </w:r>
      <w:r w:rsidRPr="00853B52">
        <w:rPr>
          <w:rFonts w:ascii="Palatino Linotype" w:eastAsia="Palatino Linotype" w:hAnsi="Palatino Linotype" w:cs="Palatino Linotype"/>
          <w:b/>
          <w:sz w:val="22"/>
          <w:szCs w:val="22"/>
        </w:rPr>
        <w:t xml:space="preserve"> </w:t>
      </w:r>
      <w:r w:rsidR="00376936" w:rsidRPr="00853B52">
        <w:rPr>
          <w:rFonts w:ascii="Palatino Linotype" w:eastAsia="Palatino Linotype" w:hAnsi="Palatino Linotype" w:cs="Palatino Linotype"/>
          <w:b/>
          <w:sz w:val="22"/>
          <w:szCs w:val="22"/>
        </w:rPr>
        <w:t>00145/ELORO/IP/2025</w:t>
      </w:r>
      <w:r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sz w:val="22"/>
          <w:szCs w:val="22"/>
        </w:rPr>
        <w:t xml:space="preserve">por parte del </w:t>
      </w:r>
      <w:r w:rsidR="00376936" w:rsidRPr="00853B52">
        <w:rPr>
          <w:rFonts w:ascii="Palatino Linotype" w:eastAsia="Palatino Linotype" w:hAnsi="Palatino Linotype" w:cs="Palatino Linotype"/>
          <w:b/>
          <w:sz w:val="22"/>
          <w:szCs w:val="22"/>
        </w:rPr>
        <w:t>Ayuntamiento de el Oro</w:t>
      </w:r>
      <w:r w:rsidR="00EF0D72" w:rsidRPr="00853B52">
        <w:rPr>
          <w:rFonts w:ascii="Palatino Linotype" w:eastAsia="Palatino Linotype" w:hAnsi="Palatino Linotype" w:cs="Palatino Linotype"/>
          <w:b/>
          <w:sz w:val="22"/>
          <w:szCs w:val="22"/>
        </w:rPr>
        <w:t>,</w:t>
      </w:r>
      <w:r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sz w:val="22"/>
          <w:szCs w:val="22"/>
        </w:rPr>
        <w:t xml:space="preserve">en lo sucesivo el </w:t>
      </w:r>
      <w:r w:rsidRPr="00853B52">
        <w:rPr>
          <w:rFonts w:ascii="Palatino Linotype" w:eastAsia="Palatino Linotype" w:hAnsi="Palatino Linotype" w:cs="Palatino Linotype"/>
          <w:b/>
          <w:sz w:val="22"/>
          <w:szCs w:val="22"/>
        </w:rPr>
        <w:t xml:space="preserve">Sujeto Obligado, </w:t>
      </w:r>
      <w:r w:rsidRPr="00853B52">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853B52" w:rsidRDefault="0062255D">
      <w:pPr>
        <w:spacing w:before="240" w:after="240" w:line="360" w:lineRule="auto"/>
        <w:jc w:val="center"/>
        <w:rPr>
          <w:rFonts w:ascii="Palatino Linotype" w:eastAsia="Palatino Linotype" w:hAnsi="Palatino Linotype" w:cs="Palatino Linotype"/>
          <w:b/>
          <w:sz w:val="22"/>
          <w:szCs w:val="22"/>
        </w:rPr>
      </w:pPr>
      <w:r w:rsidRPr="00853B52">
        <w:rPr>
          <w:rFonts w:ascii="Palatino Linotype" w:eastAsia="Palatino Linotype" w:hAnsi="Palatino Linotype" w:cs="Palatino Linotype"/>
          <w:b/>
          <w:sz w:val="22"/>
          <w:szCs w:val="22"/>
        </w:rPr>
        <w:t>I. A N T E C E D E N T E S</w:t>
      </w:r>
    </w:p>
    <w:p w14:paraId="72C70038" w14:textId="482C615B" w:rsidR="00562A90" w:rsidRPr="00853B52"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853B52">
        <w:rPr>
          <w:rFonts w:ascii="Palatino Linotype" w:eastAsia="Palatino Linotype" w:hAnsi="Palatino Linotype" w:cs="Palatino Linotype"/>
          <w:b/>
          <w:sz w:val="22"/>
          <w:szCs w:val="22"/>
        </w:rPr>
        <w:t>1. Solicitud de acceso a la información.</w:t>
      </w:r>
      <w:r w:rsidRPr="00853B52">
        <w:rPr>
          <w:rFonts w:ascii="Palatino Linotype" w:eastAsia="Palatino Linotype" w:hAnsi="Palatino Linotype" w:cs="Palatino Linotype"/>
          <w:sz w:val="22"/>
          <w:szCs w:val="22"/>
        </w:rPr>
        <w:t xml:space="preserve"> El </w:t>
      </w:r>
      <w:bookmarkStart w:id="4" w:name="_Hlk212125406"/>
      <w:r w:rsidR="00993199" w:rsidRPr="00853B52">
        <w:rPr>
          <w:rFonts w:ascii="Palatino Linotype" w:eastAsia="Palatino Linotype" w:hAnsi="Palatino Linotype" w:cs="Palatino Linotype"/>
          <w:b/>
          <w:sz w:val="22"/>
          <w:szCs w:val="22"/>
        </w:rPr>
        <w:t>veintiocho de octubre</w:t>
      </w:r>
      <w:r w:rsidRPr="00853B52">
        <w:rPr>
          <w:rFonts w:ascii="Palatino Linotype" w:eastAsia="Palatino Linotype" w:hAnsi="Palatino Linotype" w:cs="Palatino Linotype"/>
          <w:b/>
          <w:sz w:val="22"/>
          <w:szCs w:val="22"/>
        </w:rPr>
        <w:t xml:space="preserve"> de dos mil veinticinco</w:t>
      </w:r>
      <w:bookmarkEnd w:id="4"/>
      <w:r w:rsidRPr="00853B52">
        <w:rPr>
          <w:rFonts w:ascii="Palatino Linotype" w:eastAsia="Palatino Linotype" w:hAnsi="Palatino Linotype" w:cs="Palatino Linotype"/>
          <w:b/>
          <w:sz w:val="22"/>
          <w:szCs w:val="22"/>
        </w:rPr>
        <w:t>,</w:t>
      </w:r>
      <w:r w:rsidRPr="00853B52">
        <w:rPr>
          <w:rFonts w:ascii="Palatino Linotype" w:eastAsia="Palatino Linotype" w:hAnsi="Palatino Linotype" w:cs="Palatino Linotype"/>
          <w:sz w:val="22"/>
          <w:szCs w:val="22"/>
        </w:rPr>
        <w:t xml:space="preserve"> la parte </w:t>
      </w:r>
      <w:r w:rsidRPr="00853B52">
        <w:rPr>
          <w:rFonts w:ascii="Palatino Linotype" w:eastAsia="Palatino Linotype" w:hAnsi="Palatino Linotype" w:cs="Palatino Linotype"/>
          <w:b/>
          <w:sz w:val="22"/>
          <w:szCs w:val="22"/>
        </w:rPr>
        <w:t xml:space="preserve">Recurrente </w:t>
      </w:r>
      <w:r w:rsidRPr="00853B52">
        <w:rPr>
          <w:rFonts w:ascii="Palatino Linotype" w:eastAsia="Palatino Linotype" w:hAnsi="Palatino Linotype" w:cs="Palatino Linotype"/>
          <w:sz w:val="22"/>
          <w:szCs w:val="22"/>
        </w:rPr>
        <w:t xml:space="preserve">presentó la solicitud de acceso a la información pública ante el </w:t>
      </w:r>
      <w:r w:rsidRPr="00853B52">
        <w:rPr>
          <w:rFonts w:ascii="Palatino Linotype" w:eastAsia="Palatino Linotype" w:hAnsi="Palatino Linotype" w:cs="Palatino Linotype"/>
          <w:b/>
          <w:sz w:val="22"/>
          <w:szCs w:val="22"/>
        </w:rPr>
        <w:t>Sujeto Obligado</w:t>
      </w:r>
      <w:r w:rsidRPr="00853B52">
        <w:rPr>
          <w:rFonts w:ascii="Palatino Linotype" w:eastAsia="Palatino Linotype" w:hAnsi="Palatino Linotype" w:cs="Palatino Linotype"/>
          <w:sz w:val="22"/>
          <w:szCs w:val="22"/>
        </w:rPr>
        <w:t xml:space="preserve">, a través del Sistema de Acceso a la Información Mexiquense, en lo subsecuente el </w:t>
      </w:r>
      <w:r w:rsidRPr="00853B52">
        <w:rPr>
          <w:rFonts w:ascii="Palatino Linotype" w:eastAsia="Palatino Linotype" w:hAnsi="Palatino Linotype" w:cs="Palatino Linotype"/>
          <w:b/>
          <w:sz w:val="22"/>
          <w:szCs w:val="22"/>
        </w:rPr>
        <w:t>SAIMEX,</w:t>
      </w:r>
      <w:r w:rsidRPr="00853B52">
        <w:rPr>
          <w:rFonts w:ascii="Palatino Linotype" w:eastAsia="Palatino Linotype" w:hAnsi="Palatino Linotype" w:cs="Palatino Linotype"/>
          <w:sz w:val="22"/>
          <w:szCs w:val="22"/>
        </w:rPr>
        <w:t xml:space="preserve"> mediante la cual requirió lo siguiente:</w:t>
      </w:r>
    </w:p>
    <w:p w14:paraId="57605782" w14:textId="39ACB21F" w:rsidR="00562A90" w:rsidRPr="00853B52" w:rsidRDefault="00BE22CC">
      <w:pPr>
        <w:spacing w:before="120" w:after="120"/>
        <w:ind w:left="851" w:right="902"/>
        <w:jc w:val="both"/>
        <w:rPr>
          <w:rFonts w:ascii="Palatino Linotype" w:eastAsia="Palatino Linotype" w:hAnsi="Palatino Linotype" w:cs="Palatino Linotype"/>
          <w:b/>
          <w:i/>
          <w:sz w:val="22"/>
          <w:szCs w:val="22"/>
        </w:rPr>
      </w:pPr>
      <w:r w:rsidRPr="00853B52">
        <w:rPr>
          <w:rFonts w:ascii="Palatino Linotype" w:eastAsia="Palatino Linotype" w:hAnsi="Palatino Linotype" w:cs="Palatino Linotype"/>
          <w:b/>
          <w:i/>
          <w:sz w:val="22"/>
          <w:szCs w:val="22"/>
        </w:rPr>
        <w:t>“</w:t>
      </w:r>
      <w:r w:rsidR="00993199" w:rsidRPr="00853B52">
        <w:rPr>
          <w:rFonts w:ascii="Palatino Linotype" w:eastAsia="Palatino Linotype" w:hAnsi="Palatino Linotype" w:cs="Palatino Linotype"/>
          <w:i/>
          <w:sz w:val="22"/>
          <w:szCs w:val="22"/>
        </w:rPr>
        <w:t>Solicito del Secretario del Ayuntamiento todos los oficios con los cuales ha solicitado que la convocatoria a las sesiones del Ayuntamiento sean registradas en el portal del Ayuntamiento con al menos 12 horas de anticipación conforme a la Ley Orgánica Municipal del Estado de México</w:t>
      </w:r>
      <w:r w:rsidR="0062255D" w:rsidRPr="00853B52">
        <w:rPr>
          <w:rFonts w:ascii="Palatino Linotype" w:eastAsia="Palatino Linotype" w:hAnsi="Palatino Linotype" w:cs="Palatino Linotype"/>
          <w:b/>
          <w:i/>
          <w:sz w:val="22"/>
          <w:szCs w:val="22"/>
        </w:rPr>
        <w:t>”</w:t>
      </w:r>
      <w:r w:rsidR="0062255D" w:rsidRPr="00853B52">
        <w:rPr>
          <w:rFonts w:ascii="Palatino Linotype" w:eastAsia="Palatino Linotype" w:hAnsi="Palatino Linotype" w:cs="Palatino Linotype"/>
          <w:i/>
          <w:sz w:val="22"/>
          <w:szCs w:val="22"/>
        </w:rPr>
        <w:t xml:space="preserve"> (sic) </w:t>
      </w:r>
    </w:p>
    <w:p w14:paraId="3BB0BF17" w14:textId="77777777" w:rsidR="00F470B9" w:rsidRPr="00853B52" w:rsidRDefault="00F470B9" w:rsidP="00F470B9">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853B52">
        <w:rPr>
          <w:rFonts w:ascii="Palatino Linotype" w:eastAsia="Palatino Linotype" w:hAnsi="Palatino Linotype" w:cs="Palatino Linotype"/>
          <w:b/>
          <w:sz w:val="22"/>
          <w:szCs w:val="22"/>
        </w:rPr>
        <w:t>Modalidad de Entrega:</w:t>
      </w:r>
      <w:r w:rsidRPr="00853B52">
        <w:rPr>
          <w:rFonts w:ascii="Palatino Linotype" w:eastAsia="Palatino Linotype" w:hAnsi="Palatino Linotype" w:cs="Palatino Linotype"/>
          <w:sz w:val="22"/>
          <w:szCs w:val="22"/>
        </w:rPr>
        <w:t xml:space="preserve"> a través del</w:t>
      </w:r>
      <w:r w:rsidRPr="00853B52">
        <w:rPr>
          <w:rFonts w:ascii="Palatino Linotype" w:eastAsia="Palatino Linotype" w:hAnsi="Palatino Linotype" w:cs="Palatino Linotype"/>
          <w:b/>
          <w:sz w:val="22"/>
          <w:szCs w:val="22"/>
        </w:rPr>
        <w:t xml:space="preserve"> SAIMEX.</w:t>
      </w:r>
    </w:p>
    <w:p w14:paraId="6759C1B0" w14:textId="030B447B" w:rsidR="00562A90" w:rsidRPr="00853B52" w:rsidRDefault="0062255D">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t xml:space="preserve">2. Respuesta. </w:t>
      </w:r>
      <w:r w:rsidRPr="00853B52">
        <w:rPr>
          <w:rFonts w:ascii="Palatino Linotype" w:eastAsia="Palatino Linotype" w:hAnsi="Palatino Linotype" w:cs="Palatino Linotype"/>
          <w:sz w:val="22"/>
          <w:szCs w:val="22"/>
        </w:rPr>
        <w:t xml:space="preserve">El </w:t>
      </w:r>
      <w:r w:rsidR="00997ECB" w:rsidRPr="00853B52">
        <w:rPr>
          <w:rFonts w:ascii="Palatino Linotype" w:eastAsia="Palatino Linotype" w:hAnsi="Palatino Linotype" w:cs="Palatino Linotype"/>
          <w:b/>
          <w:sz w:val="22"/>
          <w:szCs w:val="22"/>
        </w:rPr>
        <w:t>dieciocho de noviembre</w:t>
      </w:r>
      <w:r w:rsidR="006941B1" w:rsidRPr="00853B52">
        <w:rPr>
          <w:rFonts w:ascii="Palatino Linotype" w:eastAsia="Palatino Linotype" w:hAnsi="Palatino Linotype" w:cs="Palatino Linotype"/>
          <w:b/>
          <w:sz w:val="22"/>
          <w:szCs w:val="22"/>
        </w:rPr>
        <w:t xml:space="preserve"> d</w:t>
      </w:r>
      <w:r w:rsidR="002F1DF9" w:rsidRPr="00853B52">
        <w:rPr>
          <w:rFonts w:ascii="Palatino Linotype" w:eastAsia="Palatino Linotype" w:hAnsi="Palatino Linotype" w:cs="Palatino Linotype"/>
          <w:b/>
          <w:sz w:val="22"/>
          <w:szCs w:val="22"/>
        </w:rPr>
        <w:t xml:space="preserve">e </w:t>
      </w:r>
      <w:r w:rsidRPr="00853B52">
        <w:rPr>
          <w:rFonts w:ascii="Palatino Linotype" w:eastAsia="Palatino Linotype" w:hAnsi="Palatino Linotype" w:cs="Palatino Linotype"/>
          <w:b/>
          <w:sz w:val="22"/>
          <w:szCs w:val="22"/>
        </w:rPr>
        <w:t>dos mil veinticinco,</w:t>
      </w:r>
      <w:r w:rsidRPr="00853B52">
        <w:rPr>
          <w:rFonts w:ascii="Palatino Linotype" w:eastAsia="Palatino Linotype" w:hAnsi="Palatino Linotype" w:cs="Palatino Linotype"/>
          <w:sz w:val="22"/>
          <w:szCs w:val="22"/>
        </w:rPr>
        <w:t xml:space="preserve"> el </w:t>
      </w:r>
      <w:r w:rsidRPr="00853B52">
        <w:rPr>
          <w:rFonts w:ascii="Palatino Linotype" w:eastAsia="Palatino Linotype" w:hAnsi="Palatino Linotype" w:cs="Palatino Linotype"/>
          <w:b/>
          <w:sz w:val="22"/>
          <w:szCs w:val="22"/>
        </w:rPr>
        <w:t xml:space="preserve">Sujeto Obligado </w:t>
      </w:r>
      <w:r w:rsidRPr="00853B52">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4045D599" w:rsidR="00562A90" w:rsidRPr="00853B52" w:rsidRDefault="0062255D">
      <w:pPr>
        <w:spacing w:before="240" w:after="24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r w:rsidR="00997ECB" w:rsidRPr="00853B52">
        <w:rPr>
          <w:rFonts w:ascii="Palatino Linotype" w:eastAsia="Palatino Linotype" w:hAnsi="Palatino Linotype" w:cs="Palatino Linotype"/>
          <w:i/>
          <w:sz w:val="22"/>
          <w:szCs w:val="22"/>
        </w:rPr>
        <w:t xml:space="preserve">Dando cumplimiento en tiempo y forma a lo establecido por la legislación vigente y con fundamento en el Art. 12 de la Ley de Transparencia y Acceso a la Información Pública del Estado de México y Municipios se adjunta al presente 1 </w:t>
      </w:r>
      <w:r w:rsidR="00997ECB" w:rsidRPr="00853B52">
        <w:rPr>
          <w:rFonts w:ascii="Palatino Linotype" w:eastAsia="Palatino Linotype" w:hAnsi="Palatino Linotype" w:cs="Palatino Linotype"/>
          <w:i/>
          <w:sz w:val="22"/>
          <w:szCs w:val="22"/>
        </w:rPr>
        <w:lastRenderedPageBreak/>
        <w:t>archivo en formato PDF como respuesta brindada por la Secretaría del Ayuntamiento a su solicitud de información. SE ACLARA QUE LA INFORMACIÓN ENTREGADA ES LA ÚNICA CON LA QUE ESTE SUJETO OBLIGADO CUENTA DE ACUERDO A SUS FACULTADES, FUNCIONES O ATRIBUCIONES, LA CUAL SE ENTREGA EN EL ESTADO EN QUE SE ENCUENTRA de conformidad con el artículo antes mencionado que a la letra indica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941B1" w:rsidRPr="00853B52">
        <w:rPr>
          <w:rFonts w:ascii="Palatino Linotype" w:eastAsia="Palatino Linotype" w:hAnsi="Palatino Linotype" w:cs="Palatino Linotype"/>
          <w:i/>
          <w:sz w:val="22"/>
          <w:szCs w:val="22"/>
        </w:rPr>
        <w:t>.</w:t>
      </w:r>
      <w:r w:rsidRPr="00853B52">
        <w:rPr>
          <w:rFonts w:ascii="Palatino Linotype" w:eastAsia="Palatino Linotype" w:hAnsi="Palatino Linotype" w:cs="Palatino Linotype"/>
          <w:i/>
          <w:sz w:val="22"/>
          <w:szCs w:val="22"/>
        </w:rPr>
        <w:t>..” (sic)</w:t>
      </w:r>
    </w:p>
    <w:p w14:paraId="2083A61D" w14:textId="77777777" w:rsidR="004A2671" w:rsidRPr="00853B52" w:rsidRDefault="0062255D" w:rsidP="004A2671">
      <w:pPr>
        <w:spacing w:before="240" w:after="240" w:line="360" w:lineRule="auto"/>
        <w:ind w:right="49"/>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El </w:t>
      </w:r>
      <w:r w:rsidRPr="00853B52">
        <w:rPr>
          <w:rFonts w:ascii="Palatino Linotype" w:eastAsia="Palatino Linotype" w:hAnsi="Palatino Linotype" w:cs="Palatino Linotype"/>
          <w:b/>
          <w:sz w:val="22"/>
          <w:szCs w:val="22"/>
        </w:rPr>
        <w:t xml:space="preserve">Sujeto Obligado </w:t>
      </w:r>
      <w:r w:rsidRPr="00853B52">
        <w:rPr>
          <w:rFonts w:ascii="Palatino Linotype" w:eastAsia="Palatino Linotype" w:hAnsi="Palatino Linotype" w:cs="Palatino Linotype"/>
          <w:sz w:val="22"/>
          <w:szCs w:val="22"/>
        </w:rPr>
        <w:t>adjuntó</w:t>
      </w:r>
      <w:r w:rsidR="004A2671" w:rsidRPr="00853B52">
        <w:rPr>
          <w:rFonts w:ascii="Palatino Linotype" w:eastAsia="Palatino Linotype" w:hAnsi="Palatino Linotype" w:cs="Palatino Linotype"/>
          <w:sz w:val="22"/>
          <w:szCs w:val="22"/>
        </w:rPr>
        <w:t xml:space="preserve"> lo siguiente:</w:t>
      </w:r>
    </w:p>
    <w:p w14:paraId="6F27BC94" w14:textId="3CB07F52" w:rsidR="00BC3793" w:rsidRPr="00853B52" w:rsidRDefault="004A2671" w:rsidP="00996255">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 </w:t>
      </w:r>
      <w:r w:rsidR="00997ECB" w:rsidRPr="00853B52">
        <w:rPr>
          <w:rFonts w:ascii="Palatino Linotype" w:eastAsia="Palatino Linotype" w:hAnsi="Palatino Linotype" w:cs="Palatino Linotype"/>
          <w:sz w:val="22"/>
          <w:szCs w:val="22"/>
        </w:rPr>
        <w:t xml:space="preserve"> O</w:t>
      </w:r>
      <w:r w:rsidR="006941B1" w:rsidRPr="00853B52">
        <w:rPr>
          <w:rFonts w:ascii="Palatino Linotype" w:eastAsia="Palatino Linotype" w:hAnsi="Palatino Linotype" w:cs="Palatino Linotype"/>
          <w:sz w:val="22"/>
          <w:szCs w:val="22"/>
        </w:rPr>
        <w:t>ficio</w:t>
      </w:r>
      <w:r w:rsidR="00997ECB" w:rsidRPr="00853B52">
        <w:rPr>
          <w:rFonts w:ascii="Palatino Linotype" w:eastAsia="Palatino Linotype" w:hAnsi="Palatino Linotype" w:cs="Palatino Linotype"/>
          <w:sz w:val="22"/>
          <w:szCs w:val="22"/>
        </w:rPr>
        <w:t xml:space="preserve"> número SA/850/11/2025, mediante el cual el Secretario del Ayuntamiento </w:t>
      </w:r>
      <w:r w:rsidR="00BC3793" w:rsidRPr="00853B52">
        <w:rPr>
          <w:rFonts w:ascii="Palatino Linotype" w:eastAsia="Palatino Linotype" w:hAnsi="Palatino Linotype" w:cs="Palatino Linotype"/>
          <w:sz w:val="22"/>
          <w:szCs w:val="22"/>
        </w:rPr>
        <w:t xml:space="preserve">manifestó que </w:t>
      </w:r>
      <w:r w:rsidR="00BC3793" w:rsidRPr="00853B52">
        <w:rPr>
          <w:rFonts w:ascii="Palatino Linotype" w:hAnsi="Palatino Linotype"/>
          <w:b/>
          <w:bCs/>
          <w:sz w:val="22"/>
          <w:szCs w:val="22"/>
          <w:u w:val="single"/>
        </w:rPr>
        <w:t>no se ha solicita</w:t>
      </w:r>
      <w:r w:rsidR="00F76321" w:rsidRPr="00853B52">
        <w:rPr>
          <w:rFonts w:ascii="Palatino Linotype" w:hAnsi="Palatino Linotype"/>
          <w:b/>
          <w:bCs/>
          <w:sz w:val="22"/>
          <w:szCs w:val="22"/>
          <w:u w:val="single"/>
        </w:rPr>
        <w:t>do por oficio</w:t>
      </w:r>
      <w:r w:rsidR="00F76321" w:rsidRPr="00853B52">
        <w:rPr>
          <w:rFonts w:ascii="Palatino Linotype" w:hAnsi="Palatino Linotype"/>
          <w:sz w:val="22"/>
          <w:szCs w:val="22"/>
        </w:rPr>
        <w:t xml:space="preserve"> la publicación de</w:t>
      </w:r>
      <w:r w:rsidR="00BC3793" w:rsidRPr="00853B52">
        <w:rPr>
          <w:rFonts w:ascii="Palatino Linotype" w:hAnsi="Palatino Linotype"/>
          <w:sz w:val="22"/>
          <w:szCs w:val="22"/>
        </w:rPr>
        <w:t>l orden del día de las sesiones de cabildo, sin embargo, se han hecho las publicaciones en los estrados del Ayuntamiento.</w:t>
      </w:r>
    </w:p>
    <w:p w14:paraId="15D280BF" w14:textId="675A2CA8" w:rsidR="00562A90" w:rsidRPr="00853B52" w:rsidRDefault="0062255D">
      <w:pPr>
        <w:spacing w:before="240" w:after="240" w:line="360" w:lineRule="auto"/>
        <w:ind w:right="49"/>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t xml:space="preserve">3. Interposición del recurso de revisión. </w:t>
      </w:r>
      <w:r w:rsidRPr="00853B52">
        <w:rPr>
          <w:rFonts w:ascii="Palatino Linotype" w:eastAsia="Palatino Linotype" w:hAnsi="Palatino Linotype" w:cs="Palatino Linotype"/>
          <w:sz w:val="22"/>
          <w:szCs w:val="22"/>
        </w:rPr>
        <w:t xml:space="preserve">Inconforme con los términos de la respuesta emitida por parte del </w:t>
      </w:r>
      <w:r w:rsidRPr="00853B52">
        <w:rPr>
          <w:rFonts w:ascii="Palatino Linotype" w:eastAsia="Palatino Linotype" w:hAnsi="Palatino Linotype" w:cs="Palatino Linotype"/>
          <w:b/>
          <w:sz w:val="22"/>
          <w:szCs w:val="22"/>
        </w:rPr>
        <w:t>Sujeto Obligado</w:t>
      </w:r>
      <w:r w:rsidRPr="00853B52">
        <w:rPr>
          <w:rFonts w:ascii="Palatino Linotype" w:eastAsia="Palatino Linotype" w:hAnsi="Palatino Linotype" w:cs="Palatino Linotype"/>
          <w:sz w:val="22"/>
          <w:szCs w:val="22"/>
        </w:rPr>
        <w:t xml:space="preserve">, el </w:t>
      </w:r>
      <w:r w:rsidR="005300C8" w:rsidRPr="00853B52">
        <w:rPr>
          <w:rFonts w:ascii="Palatino Linotype" w:eastAsia="Palatino Linotype" w:hAnsi="Palatino Linotype" w:cs="Palatino Linotype"/>
          <w:b/>
          <w:sz w:val="22"/>
          <w:szCs w:val="22"/>
        </w:rPr>
        <w:t>ocho de diciembre</w:t>
      </w:r>
      <w:r w:rsidR="005D053B"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b/>
          <w:sz w:val="22"/>
          <w:szCs w:val="22"/>
        </w:rPr>
        <w:t>de dos mil veinticinco,</w:t>
      </w:r>
      <w:r w:rsidRPr="00853B52">
        <w:rPr>
          <w:rFonts w:ascii="Palatino Linotype" w:eastAsia="Palatino Linotype" w:hAnsi="Palatino Linotype" w:cs="Palatino Linotype"/>
          <w:sz w:val="22"/>
          <w:szCs w:val="22"/>
        </w:rPr>
        <w:t xml:space="preserve"> la parte </w:t>
      </w:r>
      <w:r w:rsidRPr="00853B52">
        <w:rPr>
          <w:rFonts w:ascii="Palatino Linotype" w:eastAsia="Palatino Linotype" w:hAnsi="Palatino Linotype" w:cs="Palatino Linotype"/>
          <w:b/>
          <w:sz w:val="22"/>
          <w:szCs w:val="22"/>
        </w:rPr>
        <w:t>Recurrente</w:t>
      </w:r>
      <w:r w:rsidRPr="00853B52">
        <w:rPr>
          <w:rFonts w:ascii="Palatino Linotype" w:eastAsia="Palatino Linotype" w:hAnsi="Palatino Linotype" w:cs="Palatino Linotype"/>
          <w:sz w:val="22"/>
          <w:szCs w:val="22"/>
        </w:rPr>
        <w:t xml:space="preserve"> interpuso el recurso de revisión a través de </w:t>
      </w:r>
      <w:r w:rsidRPr="00853B52">
        <w:rPr>
          <w:rFonts w:ascii="Palatino Linotype" w:eastAsia="Palatino Linotype" w:hAnsi="Palatino Linotype" w:cs="Palatino Linotype"/>
          <w:b/>
          <w:sz w:val="22"/>
          <w:szCs w:val="22"/>
        </w:rPr>
        <w:t xml:space="preserve">SAIMEX, </w:t>
      </w:r>
      <w:r w:rsidR="005D053B" w:rsidRPr="00853B52">
        <w:rPr>
          <w:rFonts w:ascii="Palatino Linotype" w:eastAsia="Palatino Linotype" w:hAnsi="Palatino Linotype" w:cs="Palatino Linotype"/>
          <w:sz w:val="22"/>
          <w:szCs w:val="22"/>
        </w:rPr>
        <w:t xml:space="preserve">sin embargo, al corresponder a un día inhábil se tuvo por presentada el día </w:t>
      </w:r>
      <w:r w:rsidR="005D053B" w:rsidRPr="00853B52">
        <w:rPr>
          <w:rFonts w:ascii="Palatino Linotype" w:eastAsia="Palatino Linotype" w:hAnsi="Palatino Linotype" w:cs="Palatino Linotype"/>
          <w:b/>
          <w:sz w:val="22"/>
          <w:szCs w:val="22"/>
        </w:rPr>
        <w:t xml:space="preserve">cuatro de agosto de dos mil veinticinco, </w:t>
      </w:r>
      <w:r w:rsidRPr="00853B52">
        <w:rPr>
          <w:rFonts w:ascii="Palatino Linotype" w:eastAsia="Palatino Linotype" w:hAnsi="Palatino Linotype" w:cs="Palatino Linotype"/>
          <w:sz w:val="22"/>
          <w:szCs w:val="22"/>
        </w:rPr>
        <w:t>en donde se manifestó de la siguiente manera:</w:t>
      </w:r>
    </w:p>
    <w:p w14:paraId="47A1D1F7" w14:textId="77777777" w:rsidR="00562A90" w:rsidRPr="00853B52" w:rsidRDefault="0062255D">
      <w:pPr>
        <w:spacing w:before="240" w:after="240" w:line="360" w:lineRule="auto"/>
        <w:ind w:right="49"/>
        <w:jc w:val="both"/>
        <w:rPr>
          <w:rFonts w:ascii="Palatino Linotype" w:eastAsia="Palatino Linotype" w:hAnsi="Palatino Linotype" w:cs="Palatino Linotype"/>
          <w:b/>
          <w:sz w:val="22"/>
          <w:szCs w:val="22"/>
        </w:rPr>
      </w:pPr>
      <w:r w:rsidRPr="00853B52">
        <w:rPr>
          <w:rFonts w:ascii="Palatino Linotype" w:eastAsia="Palatino Linotype" w:hAnsi="Palatino Linotype" w:cs="Palatino Linotype"/>
          <w:b/>
          <w:sz w:val="22"/>
          <w:szCs w:val="22"/>
        </w:rPr>
        <w:t xml:space="preserve">Acto impugnado: </w:t>
      </w:r>
    </w:p>
    <w:p w14:paraId="2600BB83" w14:textId="2DE037C9" w:rsidR="00562A90" w:rsidRPr="00853B52" w:rsidRDefault="0062255D" w:rsidP="00A332E5">
      <w:pPr>
        <w:ind w:left="851" w:right="900"/>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r w:rsidR="005300C8" w:rsidRPr="00853B52">
        <w:rPr>
          <w:rFonts w:ascii="Palatino Linotype" w:eastAsia="Palatino Linotype" w:hAnsi="Palatino Linotype" w:cs="Palatino Linotype"/>
          <w:i/>
          <w:sz w:val="22"/>
          <w:szCs w:val="22"/>
        </w:rPr>
        <w:t>no existe respuesta la página del sistema https://www.saimex.org.mx/saimex/acuse/acuRpt/719567/185/0.page no abre</w:t>
      </w:r>
      <w:r w:rsidRPr="00853B52">
        <w:rPr>
          <w:rFonts w:ascii="Palatino Linotype" w:eastAsia="Palatino Linotype" w:hAnsi="Palatino Linotype" w:cs="Palatino Linotype"/>
          <w:i/>
          <w:sz w:val="22"/>
          <w:szCs w:val="22"/>
        </w:rPr>
        <w:t>” (sic)</w:t>
      </w:r>
    </w:p>
    <w:p w14:paraId="741DD6A0" w14:textId="77777777" w:rsidR="00D0168E" w:rsidRPr="00853B52" w:rsidRDefault="00D0168E" w:rsidP="00A332E5">
      <w:pPr>
        <w:ind w:left="851" w:right="900"/>
        <w:rPr>
          <w:rFonts w:ascii="Palatino Linotype" w:eastAsia="Palatino Linotype" w:hAnsi="Palatino Linotype" w:cs="Palatino Linotype"/>
          <w:i/>
          <w:sz w:val="22"/>
          <w:szCs w:val="22"/>
        </w:rPr>
      </w:pPr>
    </w:p>
    <w:p w14:paraId="05264EB6" w14:textId="77777777" w:rsidR="00562A90" w:rsidRPr="00853B52"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853B52">
        <w:rPr>
          <w:rFonts w:ascii="Palatino Linotype" w:eastAsia="Palatino Linotype" w:hAnsi="Palatino Linotype" w:cs="Palatino Linotype"/>
          <w:b/>
          <w:sz w:val="22"/>
          <w:szCs w:val="22"/>
        </w:rPr>
        <w:t>Y, Razones o motivos de inconformidad</w:t>
      </w:r>
      <w:r w:rsidRPr="00853B52">
        <w:rPr>
          <w:rFonts w:ascii="Palatino Linotype" w:eastAsia="Palatino Linotype" w:hAnsi="Palatino Linotype" w:cs="Palatino Linotype"/>
          <w:sz w:val="22"/>
          <w:szCs w:val="22"/>
        </w:rPr>
        <w:t>:</w:t>
      </w:r>
    </w:p>
    <w:p w14:paraId="29A63F7C" w14:textId="086B4A0B" w:rsidR="00562A90" w:rsidRPr="00853B52" w:rsidRDefault="001907FD">
      <w:pPr>
        <w:tabs>
          <w:tab w:val="left" w:pos="2745"/>
        </w:tabs>
        <w:spacing w:before="240" w:after="240"/>
        <w:ind w:left="851" w:right="900"/>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 xml:space="preserve"> </w:t>
      </w:r>
      <w:r w:rsidR="0062255D" w:rsidRPr="00853B52">
        <w:rPr>
          <w:rFonts w:ascii="Palatino Linotype" w:eastAsia="Palatino Linotype" w:hAnsi="Palatino Linotype" w:cs="Palatino Linotype"/>
          <w:i/>
          <w:sz w:val="22"/>
          <w:szCs w:val="22"/>
        </w:rPr>
        <w:t>“</w:t>
      </w:r>
      <w:r w:rsidR="005300C8" w:rsidRPr="00853B52">
        <w:rPr>
          <w:rFonts w:ascii="Palatino Linotype" w:eastAsia="Palatino Linotype" w:hAnsi="Palatino Linotype" w:cs="Palatino Linotype"/>
          <w:i/>
          <w:sz w:val="22"/>
          <w:szCs w:val="22"/>
        </w:rPr>
        <w:t>no está disponible la respuesta</w:t>
      </w:r>
      <w:r w:rsidR="0062255D" w:rsidRPr="00853B52">
        <w:rPr>
          <w:rFonts w:ascii="Palatino Linotype" w:eastAsia="Palatino Linotype" w:hAnsi="Palatino Linotype" w:cs="Palatino Linotype"/>
          <w:i/>
          <w:sz w:val="22"/>
          <w:szCs w:val="22"/>
        </w:rPr>
        <w:t>” (sic)</w:t>
      </w:r>
    </w:p>
    <w:p w14:paraId="69DE47B2" w14:textId="77777777" w:rsidR="00562A90" w:rsidRPr="00853B52" w:rsidRDefault="0062255D">
      <w:pPr>
        <w:spacing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lastRenderedPageBreak/>
        <w:t xml:space="preserve">4. Turno. </w:t>
      </w:r>
      <w:r w:rsidRPr="00853B5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53B52">
        <w:rPr>
          <w:rFonts w:ascii="Palatino Linotype" w:eastAsia="Palatino Linotype" w:hAnsi="Palatino Linotype" w:cs="Palatino Linotype"/>
          <w:b/>
          <w:sz w:val="22"/>
          <w:szCs w:val="22"/>
        </w:rPr>
        <w:t xml:space="preserve">Guadalupe Ramírez Peña, </w:t>
      </w:r>
      <w:r w:rsidRPr="00853B52">
        <w:rPr>
          <w:rFonts w:ascii="Palatino Linotype" w:eastAsia="Palatino Linotype" w:hAnsi="Palatino Linotype" w:cs="Palatino Linotype"/>
          <w:sz w:val="22"/>
          <w:szCs w:val="22"/>
        </w:rPr>
        <w:t>a efecto de que analizara sobre su admisión o su desechamiento.</w:t>
      </w:r>
    </w:p>
    <w:p w14:paraId="0F7154BA" w14:textId="48261E5C" w:rsidR="00562A90" w:rsidRPr="00853B52" w:rsidRDefault="0062255D">
      <w:pPr>
        <w:spacing w:before="240" w:after="240" w:line="360" w:lineRule="auto"/>
        <w:jc w:val="both"/>
        <w:rPr>
          <w:rFonts w:ascii="Palatino Linotype" w:eastAsia="Palatino Linotype" w:hAnsi="Palatino Linotype" w:cs="Palatino Linotype"/>
          <w:b/>
          <w:sz w:val="22"/>
          <w:szCs w:val="22"/>
        </w:rPr>
      </w:pPr>
      <w:r w:rsidRPr="00853B52">
        <w:rPr>
          <w:rFonts w:ascii="Palatino Linotype" w:eastAsia="Palatino Linotype" w:hAnsi="Palatino Linotype" w:cs="Palatino Linotype"/>
          <w:b/>
          <w:sz w:val="22"/>
          <w:szCs w:val="22"/>
        </w:rPr>
        <w:t>5. Admisión del Recurso de revisión.</w:t>
      </w:r>
      <w:r w:rsidRPr="00853B52">
        <w:rPr>
          <w:rFonts w:ascii="Palatino Linotype" w:eastAsia="Palatino Linotype" w:hAnsi="Palatino Linotype" w:cs="Palatino Linotype"/>
          <w:sz w:val="22"/>
          <w:szCs w:val="22"/>
        </w:rPr>
        <w:t xml:space="preserve"> El</w:t>
      </w:r>
      <w:r w:rsidRPr="00853B52">
        <w:rPr>
          <w:rFonts w:ascii="Palatino Linotype" w:eastAsia="Palatino Linotype" w:hAnsi="Palatino Linotype" w:cs="Palatino Linotype"/>
          <w:b/>
          <w:sz w:val="22"/>
          <w:szCs w:val="22"/>
        </w:rPr>
        <w:t xml:space="preserve"> </w:t>
      </w:r>
      <w:r w:rsidR="004D4E1C" w:rsidRPr="00853B52">
        <w:rPr>
          <w:rFonts w:ascii="Palatino Linotype" w:eastAsia="Palatino Linotype" w:hAnsi="Palatino Linotype" w:cs="Palatino Linotype"/>
          <w:b/>
          <w:sz w:val="22"/>
          <w:szCs w:val="22"/>
        </w:rPr>
        <w:t>doce de diciembre</w:t>
      </w:r>
      <w:r w:rsidR="005D053B"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b/>
          <w:sz w:val="22"/>
          <w:szCs w:val="22"/>
        </w:rPr>
        <w:t xml:space="preserve">de dos mil </w:t>
      </w:r>
      <w:r w:rsidR="007E297C" w:rsidRPr="00853B52">
        <w:rPr>
          <w:rFonts w:ascii="Palatino Linotype" w:eastAsia="Palatino Linotype" w:hAnsi="Palatino Linotype" w:cs="Palatino Linotype"/>
          <w:b/>
          <w:sz w:val="22"/>
          <w:szCs w:val="22"/>
        </w:rPr>
        <w:t>veinti</w:t>
      </w:r>
      <w:r w:rsidR="004D4E1C" w:rsidRPr="00853B52">
        <w:rPr>
          <w:rFonts w:ascii="Palatino Linotype" w:eastAsia="Palatino Linotype" w:hAnsi="Palatino Linotype" w:cs="Palatino Linotype"/>
          <w:b/>
          <w:sz w:val="22"/>
          <w:szCs w:val="22"/>
        </w:rPr>
        <w:t>cinco</w:t>
      </w:r>
      <w:r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53B52">
        <w:rPr>
          <w:rFonts w:ascii="Palatino Linotype" w:eastAsia="Palatino Linotype" w:hAnsi="Palatino Linotype" w:cs="Palatino Linotype"/>
          <w:b/>
          <w:sz w:val="22"/>
          <w:szCs w:val="22"/>
        </w:rPr>
        <w:t xml:space="preserve">Sujeto Obligado </w:t>
      </w:r>
      <w:r w:rsidRPr="00853B52">
        <w:rPr>
          <w:rFonts w:ascii="Palatino Linotype" w:eastAsia="Palatino Linotype" w:hAnsi="Palatino Linotype" w:cs="Palatino Linotype"/>
          <w:sz w:val="22"/>
          <w:szCs w:val="22"/>
        </w:rPr>
        <w:t>presentara su informe justificado.</w:t>
      </w:r>
    </w:p>
    <w:p w14:paraId="1F54CC44" w14:textId="347DEB01" w:rsidR="001130FC" w:rsidRPr="00853B52" w:rsidRDefault="0062255D" w:rsidP="009A3F84">
      <w:pPr>
        <w:spacing w:before="240" w:after="240" w:line="360" w:lineRule="auto"/>
        <w:jc w:val="both"/>
        <w:rPr>
          <w:rFonts w:ascii="Palatino Linotype" w:hAnsi="Palatino Linotype"/>
          <w:sz w:val="22"/>
          <w:szCs w:val="22"/>
        </w:rPr>
      </w:pPr>
      <w:bookmarkStart w:id="7" w:name="_heading=h.2s8eyo1" w:colFirst="0" w:colLast="0"/>
      <w:bookmarkEnd w:id="7"/>
      <w:r w:rsidRPr="00853B52">
        <w:rPr>
          <w:rFonts w:ascii="Palatino Linotype" w:eastAsia="Palatino Linotype" w:hAnsi="Palatino Linotype" w:cs="Palatino Linotype"/>
          <w:b/>
          <w:sz w:val="22"/>
          <w:szCs w:val="22"/>
        </w:rPr>
        <w:t>6. Manifestaciones</w:t>
      </w:r>
      <w:r w:rsidRPr="00853B52">
        <w:rPr>
          <w:rFonts w:ascii="Palatino Linotype" w:eastAsia="Palatino Linotype" w:hAnsi="Palatino Linotype" w:cs="Palatino Linotype"/>
          <w:sz w:val="22"/>
          <w:szCs w:val="22"/>
        </w:rPr>
        <w:t xml:space="preserve">. </w:t>
      </w:r>
      <w:r w:rsidR="009A3F84" w:rsidRPr="00853B52">
        <w:rPr>
          <w:rFonts w:ascii="Palatino Linotype" w:eastAsia="Palatino Linotype" w:hAnsi="Palatino Linotype" w:cs="Palatino Linotype"/>
          <w:sz w:val="22"/>
          <w:szCs w:val="22"/>
        </w:rPr>
        <w:t xml:space="preserve">El </w:t>
      </w:r>
      <w:r w:rsidR="00413E4E" w:rsidRPr="00853B52">
        <w:rPr>
          <w:rFonts w:ascii="Palatino Linotype" w:eastAsia="Palatino Linotype" w:hAnsi="Palatino Linotype" w:cs="Palatino Linotype"/>
          <w:b/>
          <w:sz w:val="22"/>
          <w:szCs w:val="22"/>
        </w:rPr>
        <w:t xml:space="preserve">quince de diciembre </w:t>
      </w:r>
      <w:r w:rsidR="003604C0" w:rsidRPr="00853B52">
        <w:rPr>
          <w:rFonts w:ascii="Palatino Linotype" w:eastAsia="Palatino Linotype" w:hAnsi="Palatino Linotype" w:cs="Palatino Linotype"/>
          <w:b/>
          <w:sz w:val="22"/>
          <w:szCs w:val="22"/>
        </w:rPr>
        <w:t>de</w:t>
      </w:r>
      <w:r w:rsidR="009A3F84" w:rsidRPr="00853B52">
        <w:rPr>
          <w:rFonts w:ascii="Palatino Linotype" w:eastAsia="Palatino Linotype" w:hAnsi="Palatino Linotype" w:cs="Palatino Linotype"/>
          <w:b/>
          <w:sz w:val="22"/>
          <w:szCs w:val="22"/>
        </w:rPr>
        <w:t xml:space="preserve"> dos mil </w:t>
      </w:r>
      <w:r w:rsidR="007E297C" w:rsidRPr="00853B52">
        <w:rPr>
          <w:rFonts w:ascii="Palatino Linotype" w:eastAsia="Palatino Linotype" w:hAnsi="Palatino Linotype" w:cs="Palatino Linotype"/>
          <w:b/>
          <w:sz w:val="22"/>
          <w:szCs w:val="22"/>
        </w:rPr>
        <w:t>veinti</w:t>
      </w:r>
      <w:r w:rsidR="00413E4E" w:rsidRPr="00853B52">
        <w:rPr>
          <w:rFonts w:ascii="Palatino Linotype" w:eastAsia="Palatino Linotype" w:hAnsi="Palatino Linotype" w:cs="Palatino Linotype"/>
          <w:b/>
          <w:sz w:val="22"/>
          <w:szCs w:val="22"/>
        </w:rPr>
        <w:t>cinco</w:t>
      </w:r>
      <w:r w:rsidR="009A3F84" w:rsidRPr="00853B52">
        <w:rPr>
          <w:rFonts w:ascii="Palatino Linotype" w:eastAsia="Palatino Linotype" w:hAnsi="Palatino Linotype" w:cs="Palatino Linotype"/>
          <w:b/>
          <w:sz w:val="22"/>
          <w:szCs w:val="22"/>
        </w:rPr>
        <w:t xml:space="preserve">, </w:t>
      </w:r>
      <w:r w:rsidR="009A3F84" w:rsidRPr="00853B52">
        <w:rPr>
          <w:rFonts w:ascii="Palatino Linotype" w:eastAsia="Palatino Linotype" w:hAnsi="Palatino Linotype" w:cs="Palatino Linotype"/>
          <w:sz w:val="22"/>
          <w:szCs w:val="22"/>
        </w:rPr>
        <w:t xml:space="preserve">el </w:t>
      </w:r>
      <w:r w:rsidR="009A3F84" w:rsidRPr="00853B52">
        <w:rPr>
          <w:rFonts w:ascii="Palatino Linotype" w:eastAsia="Palatino Linotype" w:hAnsi="Palatino Linotype" w:cs="Palatino Linotype"/>
          <w:b/>
          <w:sz w:val="22"/>
          <w:szCs w:val="22"/>
        </w:rPr>
        <w:t>Sujeto Obligado</w:t>
      </w:r>
      <w:r w:rsidR="009A3F84" w:rsidRPr="00853B52">
        <w:rPr>
          <w:rFonts w:ascii="Palatino Linotype" w:eastAsia="Palatino Linotype" w:hAnsi="Palatino Linotype" w:cs="Palatino Linotype"/>
          <w:sz w:val="22"/>
          <w:szCs w:val="22"/>
        </w:rPr>
        <w:t xml:space="preserve"> remitió, a través del SAIMEX, </w:t>
      </w:r>
      <w:r w:rsidR="00A07C29" w:rsidRPr="00853B52">
        <w:rPr>
          <w:rFonts w:ascii="Palatino Linotype" w:eastAsia="Palatino Linotype" w:hAnsi="Palatino Linotype" w:cs="Palatino Linotype"/>
          <w:sz w:val="22"/>
          <w:szCs w:val="22"/>
        </w:rPr>
        <w:t xml:space="preserve">su informe justificado </w:t>
      </w:r>
      <w:r w:rsidR="007E6BEC" w:rsidRPr="00853B52">
        <w:rPr>
          <w:rFonts w:ascii="Palatino Linotype" w:eastAsia="Palatino Linotype" w:hAnsi="Palatino Linotype" w:cs="Palatino Linotype"/>
          <w:sz w:val="22"/>
          <w:szCs w:val="22"/>
        </w:rPr>
        <w:t>mediante el cual</w:t>
      </w:r>
      <w:r w:rsidR="001130FC" w:rsidRPr="00853B52">
        <w:rPr>
          <w:rFonts w:ascii="Palatino Linotype" w:eastAsia="Palatino Linotype" w:hAnsi="Palatino Linotype" w:cs="Palatino Linotype"/>
          <w:sz w:val="22"/>
          <w:szCs w:val="22"/>
        </w:rPr>
        <w:t xml:space="preserve"> </w:t>
      </w:r>
      <w:r w:rsidR="001130FC" w:rsidRPr="00853B52">
        <w:rPr>
          <w:rFonts w:ascii="Palatino Linotype" w:hAnsi="Palatino Linotype"/>
          <w:sz w:val="22"/>
          <w:szCs w:val="22"/>
        </w:rPr>
        <w:t xml:space="preserve">manifiesta que la información proporcionada por la Secretaría del Ayuntamiento mediante oficio No. SA/850/11/2025 fue entregada al solicitante </w:t>
      </w:r>
      <w:r w:rsidR="007A690D" w:rsidRPr="00853B52">
        <w:rPr>
          <w:rFonts w:ascii="Palatino Linotype" w:hAnsi="Palatino Linotype"/>
          <w:sz w:val="22"/>
          <w:szCs w:val="22"/>
        </w:rPr>
        <w:t>mediante SAIMEX en fecha 18 de n</w:t>
      </w:r>
      <w:r w:rsidR="001130FC" w:rsidRPr="00853B52">
        <w:rPr>
          <w:rFonts w:ascii="Palatino Linotype" w:hAnsi="Palatino Linotype"/>
          <w:sz w:val="22"/>
          <w:szCs w:val="22"/>
        </w:rPr>
        <w:t>oviembre de 2025, como consta en las capturas de</w:t>
      </w:r>
      <w:r w:rsidR="007A690D" w:rsidRPr="00853B52">
        <w:rPr>
          <w:rFonts w:ascii="Palatino Linotype" w:hAnsi="Palatino Linotype"/>
          <w:sz w:val="22"/>
          <w:szCs w:val="22"/>
        </w:rPr>
        <w:t xml:space="preserve"> pantalla del sistema que agregó</w:t>
      </w:r>
      <w:r w:rsidR="001130FC" w:rsidRPr="00853B52">
        <w:rPr>
          <w:rFonts w:ascii="Palatino Linotype" w:hAnsi="Palatino Linotype"/>
          <w:sz w:val="22"/>
          <w:szCs w:val="22"/>
        </w:rPr>
        <w:t>.</w:t>
      </w:r>
    </w:p>
    <w:p w14:paraId="555FFD9A" w14:textId="50ED4417" w:rsidR="001130FC" w:rsidRPr="00853B52" w:rsidRDefault="005472E0" w:rsidP="009A3F84">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Asimismo,</w:t>
      </w:r>
      <w:r w:rsidR="00B02095" w:rsidRPr="00853B52">
        <w:rPr>
          <w:rFonts w:ascii="Palatino Linotype" w:eastAsia="Palatino Linotype" w:hAnsi="Palatino Linotype" w:cs="Palatino Linotype"/>
          <w:sz w:val="22"/>
          <w:szCs w:val="22"/>
        </w:rPr>
        <w:t xml:space="preserve"> </w:t>
      </w:r>
      <w:r w:rsidR="00B34B20" w:rsidRPr="00853B52">
        <w:rPr>
          <w:rFonts w:ascii="Palatino Linotype" w:eastAsia="Palatino Linotype" w:hAnsi="Palatino Linotype" w:cs="Palatino Linotype"/>
          <w:sz w:val="22"/>
          <w:szCs w:val="22"/>
        </w:rPr>
        <w:t xml:space="preserve">se hizo entrega de diversas capturas de pantalla </w:t>
      </w:r>
      <w:r w:rsidR="00E803B7" w:rsidRPr="00853B52">
        <w:rPr>
          <w:rFonts w:ascii="Palatino Linotype" w:eastAsia="Palatino Linotype" w:hAnsi="Palatino Linotype" w:cs="Palatino Linotype"/>
          <w:sz w:val="22"/>
          <w:szCs w:val="22"/>
        </w:rPr>
        <w:t xml:space="preserve">de correos dirigidos a la Dirección General de Informática de este Instituto, donde se reportan </w:t>
      </w:r>
      <w:r w:rsidR="00A93369" w:rsidRPr="00853B52">
        <w:rPr>
          <w:rFonts w:ascii="Palatino Linotype" w:eastAsia="Palatino Linotype" w:hAnsi="Palatino Linotype" w:cs="Palatino Linotype"/>
          <w:sz w:val="22"/>
          <w:szCs w:val="22"/>
        </w:rPr>
        <w:t>fallas en el sistema SAIMEX, derivado de la interposición de cinco recursos de revisión en los cuales se refiere que las URL de las respuestas proporcionadas a través de dicho sistema no abren, entre las que se encuentra la correspondiente a la solicitud 00145/ELORO/IP/2025 que dio origen al recurso que se resuelve</w:t>
      </w:r>
      <w:r w:rsidR="0001289A" w:rsidRPr="00853B52">
        <w:rPr>
          <w:rFonts w:ascii="Palatino Linotype" w:eastAsia="Palatino Linotype" w:hAnsi="Palatino Linotype" w:cs="Palatino Linotype"/>
          <w:sz w:val="22"/>
          <w:szCs w:val="22"/>
        </w:rPr>
        <w:t xml:space="preserve">, </w:t>
      </w:r>
      <w:r w:rsidR="00EE037F" w:rsidRPr="00853B52">
        <w:rPr>
          <w:rFonts w:ascii="Palatino Linotype" w:eastAsia="Palatino Linotype" w:hAnsi="Palatino Linotype" w:cs="Palatino Linotype"/>
          <w:sz w:val="22"/>
          <w:szCs w:val="22"/>
        </w:rPr>
        <w:t xml:space="preserve">así como la </w:t>
      </w:r>
      <w:r w:rsidR="00B8273C" w:rsidRPr="00853B52">
        <w:rPr>
          <w:rFonts w:ascii="Palatino Linotype" w:eastAsia="Palatino Linotype" w:hAnsi="Palatino Linotype" w:cs="Palatino Linotype"/>
          <w:sz w:val="22"/>
          <w:szCs w:val="22"/>
        </w:rPr>
        <w:t>respuesta de</w:t>
      </w:r>
      <w:r w:rsidR="0001289A" w:rsidRPr="00853B52">
        <w:rPr>
          <w:rFonts w:ascii="Palatino Linotype" w:eastAsia="Palatino Linotype" w:hAnsi="Palatino Linotype" w:cs="Palatino Linotype"/>
          <w:sz w:val="22"/>
          <w:szCs w:val="22"/>
        </w:rPr>
        <w:t xml:space="preserve"> la Dirección General de Informática</w:t>
      </w:r>
      <w:r w:rsidR="00B8273C" w:rsidRPr="00853B52">
        <w:rPr>
          <w:rFonts w:ascii="Palatino Linotype" w:eastAsia="Palatino Linotype" w:hAnsi="Palatino Linotype" w:cs="Palatino Linotype"/>
          <w:sz w:val="22"/>
          <w:szCs w:val="22"/>
        </w:rPr>
        <w:t xml:space="preserve"> donde confirmó </w:t>
      </w:r>
      <w:r w:rsidR="0001289A" w:rsidRPr="00853B52">
        <w:rPr>
          <w:rFonts w:ascii="Palatino Linotype" w:eastAsia="Palatino Linotype" w:hAnsi="Palatino Linotype" w:cs="Palatino Linotype"/>
          <w:sz w:val="22"/>
          <w:szCs w:val="22"/>
        </w:rPr>
        <w:t xml:space="preserve">que </w:t>
      </w:r>
      <w:r w:rsidR="0001289A" w:rsidRPr="00853B52">
        <w:rPr>
          <w:rFonts w:ascii="Palatino Linotype" w:hAnsi="Palatino Linotype"/>
          <w:sz w:val="22"/>
          <w:szCs w:val="22"/>
        </w:rPr>
        <w:t>la plataforma presentó intermitencias, que ocasionaron la no visualización de los acuses correctamente, dicha intermitencia no afectó al registro de solicitudes y/o recursos de revisión, y una vez reiniciado el sistema, la plataforma operó correctamente.</w:t>
      </w:r>
    </w:p>
    <w:p w14:paraId="64B9B961" w14:textId="77777777" w:rsidR="009A3F84" w:rsidRPr="00853B52" w:rsidRDefault="009A3F84" w:rsidP="009A3F84">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w:t>
      </w:r>
    </w:p>
    <w:p w14:paraId="2FBFEE47" w14:textId="2CC24188" w:rsidR="00F63CD7" w:rsidRPr="00853B52" w:rsidRDefault="00700147" w:rsidP="00F63CD7">
      <w:pPr>
        <w:widowControl w:val="0"/>
        <w:spacing w:before="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t>7</w:t>
      </w:r>
      <w:r w:rsidR="00605774" w:rsidRPr="00853B52">
        <w:rPr>
          <w:rFonts w:ascii="Palatino Linotype" w:eastAsia="Palatino Linotype" w:hAnsi="Palatino Linotype" w:cs="Palatino Linotype"/>
          <w:b/>
          <w:sz w:val="22"/>
          <w:szCs w:val="22"/>
        </w:rPr>
        <w:t xml:space="preserve">. </w:t>
      </w:r>
      <w:r w:rsidR="00F63CD7" w:rsidRPr="00853B52">
        <w:rPr>
          <w:rFonts w:ascii="Palatino Linotype" w:eastAsia="Palatino Linotype" w:hAnsi="Palatino Linotype" w:cs="Palatino Linotype"/>
          <w:b/>
          <w:sz w:val="22"/>
          <w:szCs w:val="22"/>
        </w:rPr>
        <w:t xml:space="preserve">Ampliación del término para resolver. </w:t>
      </w:r>
      <w:r w:rsidR="00F63CD7" w:rsidRPr="00853B52">
        <w:rPr>
          <w:rFonts w:ascii="Palatino Linotype" w:eastAsia="Palatino Linotype" w:hAnsi="Palatino Linotype" w:cs="Palatino Linotype"/>
          <w:sz w:val="22"/>
          <w:szCs w:val="22"/>
        </w:rPr>
        <w:t>El</w:t>
      </w:r>
      <w:r w:rsidR="008F7C0D" w:rsidRPr="00853B52">
        <w:rPr>
          <w:rFonts w:ascii="Palatino Linotype" w:eastAsia="Palatino Linotype" w:hAnsi="Palatino Linotype" w:cs="Palatino Linotype"/>
          <w:b/>
          <w:sz w:val="22"/>
          <w:szCs w:val="22"/>
        </w:rPr>
        <w:t xml:space="preserve"> trece</w:t>
      </w:r>
      <w:r w:rsidR="00F63CD7" w:rsidRPr="00853B52">
        <w:rPr>
          <w:rFonts w:ascii="Palatino Linotype" w:eastAsia="Palatino Linotype" w:hAnsi="Palatino Linotype" w:cs="Palatino Linotype"/>
          <w:b/>
          <w:sz w:val="22"/>
          <w:szCs w:val="22"/>
        </w:rPr>
        <w:t xml:space="preserve"> de febrero de dos mil veintiséis</w:t>
      </w:r>
      <w:r w:rsidR="00F63CD7" w:rsidRPr="00853B52">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1945D16" w14:textId="77777777" w:rsidR="00F63CD7" w:rsidRPr="00853B52" w:rsidRDefault="00F63CD7" w:rsidP="00F63CD7">
      <w:pPr>
        <w:widowControl w:val="0"/>
        <w:spacing w:before="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t xml:space="preserve">8. Cierre de instrucción. </w:t>
      </w:r>
      <w:r w:rsidRPr="00853B5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853B52">
        <w:rPr>
          <w:rFonts w:ascii="Palatino Linotype" w:eastAsia="Palatino Linotype" w:hAnsi="Palatino Linotype" w:cs="Palatino Linotype"/>
          <w:b/>
          <w:sz w:val="22"/>
          <w:szCs w:val="22"/>
        </w:rPr>
        <w:t>diecisiete de febrero de dos mil veintiséis</w:t>
      </w:r>
      <w:r w:rsidRPr="00853B5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1BD8D963" w:rsidR="00562A90" w:rsidRPr="00853B52" w:rsidRDefault="0062255D" w:rsidP="001F50F5">
      <w:pPr>
        <w:widowControl w:val="0"/>
        <w:spacing w:before="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853B52" w:rsidRDefault="0062255D">
      <w:pPr>
        <w:widowControl w:val="0"/>
        <w:spacing w:before="240" w:after="240" w:line="360" w:lineRule="auto"/>
        <w:jc w:val="center"/>
        <w:rPr>
          <w:rFonts w:ascii="Palatino Linotype" w:eastAsia="Palatino Linotype" w:hAnsi="Palatino Linotype" w:cs="Palatino Linotype"/>
          <w:b/>
          <w:sz w:val="22"/>
          <w:szCs w:val="22"/>
        </w:rPr>
      </w:pPr>
      <w:r w:rsidRPr="00853B52">
        <w:rPr>
          <w:rFonts w:ascii="Palatino Linotype" w:eastAsia="Palatino Linotype" w:hAnsi="Palatino Linotype" w:cs="Palatino Linotype"/>
          <w:b/>
          <w:sz w:val="22"/>
          <w:szCs w:val="22"/>
        </w:rPr>
        <w:t>II. C O N S I D E R A N D O S</w:t>
      </w:r>
    </w:p>
    <w:p w14:paraId="60D021DD" w14:textId="6369A956" w:rsidR="00562A90" w:rsidRPr="00853B52" w:rsidRDefault="0062255D">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t>Primero. Competencia.</w:t>
      </w:r>
      <w:r w:rsidRPr="00853B5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853B52">
        <w:rPr>
          <w:rFonts w:ascii="Palatino Linotype" w:eastAsia="Palatino Linotype" w:hAnsi="Palatino Linotype" w:cs="Palatino Linotype"/>
          <w:sz w:val="22"/>
          <w:szCs w:val="22"/>
        </w:rPr>
        <w:t>5</w:t>
      </w:r>
      <w:r w:rsidR="000E700F" w:rsidRPr="00853B52">
        <w:rPr>
          <w:rFonts w:ascii="Palatino Linotype" w:eastAsia="Palatino Linotype" w:hAnsi="Palatino Linotype" w:cs="Palatino Linotype"/>
          <w:sz w:val="22"/>
          <w:szCs w:val="22"/>
        </w:rPr>
        <w:t>,</w:t>
      </w:r>
      <w:r w:rsidR="005D5DC9" w:rsidRPr="00853B52">
        <w:rPr>
          <w:rFonts w:ascii="Palatino Linotype" w:eastAsia="Palatino Linotype" w:hAnsi="Palatino Linotype" w:cs="Palatino Linotype"/>
          <w:sz w:val="22"/>
          <w:szCs w:val="22"/>
        </w:rPr>
        <w:t xml:space="preserve"> párrafos </w:t>
      </w:r>
      <w:r w:rsidR="000E700F" w:rsidRPr="00853B52">
        <w:rPr>
          <w:rFonts w:ascii="Palatino Linotype" w:eastAsia="Palatino Linotype" w:hAnsi="Palatino Linotype" w:cs="Palatino Linotype"/>
          <w:sz w:val="22"/>
          <w:szCs w:val="22"/>
        </w:rPr>
        <w:t>cuadragésimo cuarto, cuadragésimo quinto cuadragésimo sexto,</w:t>
      </w:r>
      <w:r w:rsidR="005D5DC9" w:rsidRPr="00853B52">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853B52">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853B52"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853B52">
        <w:rPr>
          <w:rFonts w:ascii="Palatino Linotype" w:eastAsia="Palatino Linotype" w:hAnsi="Palatino Linotype" w:cs="Palatino Linotype"/>
          <w:b/>
          <w:sz w:val="22"/>
          <w:szCs w:val="22"/>
        </w:rPr>
        <w:t>Segundo. Oportunidad y Procedibilidad del Recurso de Revisión</w:t>
      </w:r>
      <w:r w:rsidRPr="00853B5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215A25FD" w:rsidR="00562A90" w:rsidRPr="00853B52" w:rsidRDefault="0062255D">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53B52">
        <w:rPr>
          <w:rFonts w:ascii="Palatino Linotype" w:eastAsia="Palatino Linotype" w:hAnsi="Palatino Linotype" w:cs="Palatino Linotype"/>
          <w:b/>
          <w:sz w:val="22"/>
          <w:szCs w:val="22"/>
        </w:rPr>
        <w:t xml:space="preserve">Sujeto Obligado </w:t>
      </w:r>
      <w:r w:rsidRPr="00853B52">
        <w:rPr>
          <w:rFonts w:ascii="Palatino Linotype" w:eastAsia="Palatino Linotype" w:hAnsi="Palatino Linotype" w:cs="Palatino Linotype"/>
          <w:sz w:val="22"/>
          <w:szCs w:val="22"/>
        </w:rPr>
        <w:t xml:space="preserve">remitió la respuesta a la solicitud de información el día </w:t>
      </w:r>
      <w:r w:rsidR="004D515D" w:rsidRPr="00853B52">
        <w:rPr>
          <w:rFonts w:ascii="Palatino Linotype" w:eastAsia="Palatino Linotype" w:hAnsi="Palatino Linotype" w:cs="Palatino Linotype"/>
          <w:b/>
          <w:sz w:val="22"/>
          <w:szCs w:val="22"/>
        </w:rPr>
        <w:t xml:space="preserve">dieciocho de noviembre </w:t>
      </w:r>
      <w:r w:rsidRPr="00853B52">
        <w:rPr>
          <w:rFonts w:ascii="Palatino Linotype" w:eastAsia="Palatino Linotype" w:hAnsi="Palatino Linotype" w:cs="Palatino Linotype"/>
          <w:b/>
          <w:sz w:val="22"/>
          <w:szCs w:val="22"/>
        </w:rPr>
        <w:t xml:space="preserve">de dos mil veinticinco, </w:t>
      </w:r>
      <w:r w:rsidRPr="00853B52">
        <w:rPr>
          <w:rFonts w:ascii="Palatino Linotype" w:eastAsia="Palatino Linotype" w:hAnsi="Palatino Linotype" w:cs="Palatino Linotype"/>
          <w:sz w:val="22"/>
          <w:szCs w:val="22"/>
        </w:rPr>
        <w:t xml:space="preserve">mientras que el recurso de revisión interpuesto por la parte </w:t>
      </w:r>
      <w:r w:rsidRPr="00853B52">
        <w:rPr>
          <w:rFonts w:ascii="Palatino Linotype" w:eastAsia="Palatino Linotype" w:hAnsi="Palatino Linotype" w:cs="Palatino Linotype"/>
          <w:b/>
          <w:sz w:val="22"/>
          <w:szCs w:val="22"/>
        </w:rPr>
        <w:t xml:space="preserve">Recurrente, </w:t>
      </w:r>
      <w:r w:rsidRPr="00853B52">
        <w:rPr>
          <w:rFonts w:ascii="Palatino Linotype" w:eastAsia="Palatino Linotype" w:hAnsi="Palatino Linotype" w:cs="Palatino Linotype"/>
          <w:sz w:val="22"/>
          <w:szCs w:val="22"/>
        </w:rPr>
        <w:t>se tuvo por presentado el día</w:t>
      </w:r>
      <w:r w:rsidR="009E66E4" w:rsidRPr="00853B52">
        <w:rPr>
          <w:rFonts w:ascii="Palatino Linotype" w:eastAsia="Palatino Linotype" w:hAnsi="Palatino Linotype" w:cs="Palatino Linotype"/>
          <w:b/>
          <w:sz w:val="22"/>
          <w:szCs w:val="22"/>
        </w:rPr>
        <w:t xml:space="preserve"> </w:t>
      </w:r>
      <w:r w:rsidR="00700147" w:rsidRPr="00853B52">
        <w:rPr>
          <w:rFonts w:ascii="Palatino Linotype" w:eastAsia="Palatino Linotype" w:hAnsi="Palatino Linotype" w:cs="Palatino Linotype"/>
          <w:b/>
          <w:sz w:val="22"/>
          <w:szCs w:val="22"/>
        </w:rPr>
        <w:t>ocho de diciembre</w:t>
      </w:r>
      <w:r w:rsidR="00F84EDF"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b/>
          <w:sz w:val="22"/>
          <w:szCs w:val="22"/>
        </w:rPr>
        <w:t xml:space="preserve">de dos mil veinticinco, </w:t>
      </w:r>
      <w:r w:rsidRPr="00853B52">
        <w:rPr>
          <w:rFonts w:ascii="Palatino Linotype" w:eastAsia="Palatino Linotype" w:hAnsi="Palatino Linotype" w:cs="Palatino Linotype"/>
          <w:sz w:val="22"/>
          <w:szCs w:val="22"/>
        </w:rPr>
        <w:t xml:space="preserve">esto es, </w:t>
      </w:r>
      <w:r w:rsidR="001F50F5" w:rsidRPr="00853B52">
        <w:rPr>
          <w:rFonts w:ascii="Palatino Linotype" w:eastAsia="Palatino Linotype" w:hAnsi="Palatino Linotype" w:cs="Palatino Linotype"/>
          <w:sz w:val="22"/>
          <w:szCs w:val="22"/>
        </w:rPr>
        <w:t>al</w:t>
      </w:r>
      <w:r w:rsidR="007D6BB8" w:rsidRPr="00853B52">
        <w:rPr>
          <w:rFonts w:ascii="Palatino Linotype" w:eastAsia="Palatino Linotype" w:hAnsi="Palatino Linotype" w:cs="Palatino Linotype"/>
          <w:sz w:val="22"/>
          <w:szCs w:val="22"/>
        </w:rPr>
        <w:t xml:space="preserve"> </w:t>
      </w:r>
      <w:r w:rsidR="00C0196A" w:rsidRPr="00853B52">
        <w:rPr>
          <w:rFonts w:ascii="Palatino Linotype" w:eastAsia="Palatino Linotype" w:hAnsi="Palatino Linotype" w:cs="Palatino Linotype"/>
          <w:sz w:val="22"/>
          <w:szCs w:val="22"/>
        </w:rPr>
        <w:t xml:space="preserve">décimo </w:t>
      </w:r>
      <w:r w:rsidR="004D515D" w:rsidRPr="00853B52">
        <w:rPr>
          <w:rFonts w:ascii="Palatino Linotype" w:eastAsia="Palatino Linotype" w:hAnsi="Palatino Linotype" w:cs="Palatino Linotype"/>
          <w:sz w:val="22"/>
          <w:szCs w:val="22"/>
        </w:rPr>
        <w:t>cuarto</w:t>
      </w:r>
      <w:r w:rsidR="00F9573D" w:rsidRPr="00853B52">
        <w:rPr>
          <w:rFonts w:ascii="Palatino Linotype" w:eastAsia="Palatino Linotype" w:hAnsi="Palatino Linotype" w:cs="Palatino Linotype"/>
          <w:sz w:val="22"/>
          <w:szCs w:val="22"/>
        </w:rPr>
        <w:t xml:space="preserve"> </w:t>
      </w:r>
      <w:r w:rsidR="001F50F5" w:rsidRPr="00853B52">
        <w:rPr>
          <w:rFonts w:ascii="Palatino Linotype" w:eastAsia="Palatino Linotype" w:hAnsi="Palatino Linotype" w:cs="Palatino Linotype"/>
          <w:sz w:val="22"/>
          <w:szCs w:val="22"/>
        </w:rPr>
        <w:t>día hábil</w:t>
      </w:r>
      <w:r w:rsidR="00F84EDF" w:rsidRPr="00853B52">
        <w:rPr>
          <w:rFonts w:ascii="Palatino Linotype" w:eastAsia="Palatino Linotype" w:hAnsi="Palatino Linotype" w:cs="Palatino Linotype"/>
          <w:sz w:val="22"/>
          <w:szCs w:val="22"/>
        </w:rPr>
        <w:t xml:space="preserve"> posterior a aquel </w:t>
      </w:r>
      <w:r w:rsidRPr="00853B52">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48842BC5" w14:textId="368BE07E" w:rsidR="006D2966" w:rsidRPr="00853B52" w:rsidRDefault="006D2966" w:rsidP="006D2966">
      <w:pPr>
        <w:spacing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853B52">
        <w:rPr>
          <w:rFonts w:ascii="Palatino Linotype" w:eastAsia="Palatino Linotype" w:hAnsi="Palatino Linotype" w:cs="Palatino Linotype"/>
          <w:bCs/>
          <w:sz w:val="22"/>
          <w:szCs w:val="22"/>
        </w:rPr>
        <w:t>la parte</w:t>
      </w:r>
      <w:r w:rsidRPr="00853B52">
        <w:rPr>
          <w:rFonts w:ascii="Palatino Linotype" w:eastAsia="Palatino Linotype" w:hAnsi="Palatino Linotype" w:cs="Palatino Linotype"/>
          <w:b/>
          <w:sz w:val="22"/>
          <w:szCs w:val="22"/>
        </w:rPr>
        <w:t xml:space="preserve"> Recurrente</w:t>
      </w:r>
      <w:r w:rsidR="004D515D" w:rsidRPr="00853B52">
        <w:rPr>
          <w:rFonts w:ascii="Palatino Linotype" w:eastAsia="Palatino Linotype" w:hAnsi="Palatino Linotype" w:cs="Palatino Linotype"/>
          <w:sz w:val="22"/>
          <w:szCs w:val="22"/>
        </w:rPr>
        <w:t>, no señaló</w:t>
      </w:r>
      <w:r w:rsidRPr="00853B52">
        <w:rPr>
          <w:rFonts w:ascii="Palatino Linotype" w:eastAsia="Palatino Linotype" w:hAnsi="Palatino Linotype" w:cs="Palatino Linotype"/>
          <w:sz w:val="22"/>
          <w:szCs w:val="22"/>
        </w:rPr>
        <w:t xml:space="preserve"> </w:t>
      </w:r>
      <w:r w:rsidRPr="00853B52">
        <w:rPr>
          <w:rFonts w:ascii="Palatino Linotype" w:eastAsia="Palatino Linotype" w:hAnsi="Palatino Linotype" w:cs="Palatino Linotype"/>
          <w:b/>
          <w:bCs/>
          <w:sz w:val="22"/>
          <w:szCs w:val="22"/>
        </w:rPr>
        <w:t>nombre</w:t>
      </w:r>
      <w:r w:rsidR="004D515D" w:rsidRPr="00853B52">
        <w:rPr>
          <w:rFonts w:ascii="Palatino Linotype" w:eastAsia="Palatino Linotype" w:hAnsi="Palatino Linotype" w:cs="Palatino Linotype"/>
          <w:b/>
          <w:bCs/>
          <w:sz w:val="22"/>
          <w:szCs w:val="22"/>
        </w:rPr>
        <w:t xml:space="preserve"> completo</w:t>
      </w:r>
      <w:r w:rsidRPr="00853B52">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1900740" w14:textId="77777777" w:rsidR="006D2966" w:rsidRPr="00853B52" w:rsidRDefault="006D2966" w:rsidP="006D2966">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r w:rsidRPr="00853B52">
        <w:rPr>
          <w:rFonts w:ascii="Palatino Linotype" w:eastAsia="Palatino Linotype" w:hAnsi="Palatino Linotype" w:cs="Palatino Linotype"/>
          <w:b/>
          <w:i/>
          <w:sz w:val="22"/>
          <w:szCs w:val="22"/>
        </w:rPr>
        <w:t>Las solicitudes anónimas</w:t>
      </w:r>
      <w:r w:rsidRPr="00853B52">
        <w:rPr>
          <w:rFonts w:ascii="Palatino Linotype" w:eastAsia="Palatino Linotype" w:hAnsi="Palatino Linotype" w:cs="Palatino Linotype"/>
          <w:i/>
          <w:sz w:val="22"/>
          <w:szCs w:val="22"/>
        </w:rPr>
        <w:t xml:space="preserve">, con nombre incompleto o </w:t>
      </w:r>
      <w:r w:rsidRPr="00853B52">
        <w:rPr>
          <w:rFonts w:ascii="Palatino Linotype" w:eastAsia="Palatino Linotype" w:hAnsi="Palatino Linotype" w:cs="Palatino Linotype"/>
          <w:b/>
          <w:i/>
          <w:sz w:val="22"/>
          <w:szCs w:val="22"/>
        </w:rPr>
        <w:t>seudónimo</w:t>
      </w:r>
      <w:r w:rsidRPr="00853B52">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5D72DE31" w14:textId="77777777" w:rsidR="006D2966" w:rsidRPr="00853B52" w:rsidRDefault="006D2966" w:rsidP="006D2966">
      <w:pPr>
        <w:spacing w:before="240" w:after="240" w:line="360" w:lineRule="auto"/>
        <w:jc w:val="both"/>
        <w:rPr>
          <w:rFonts w:ascii="Palatino Linotype" w:eastAsia="Palatino Linotype" w:hAnsi="Palatino Linotype" w:cs="Palatino Linotype"/>
          <w:b/>
          <w:sz w:val="22"/>
          <w:szCs w:val="22"/>
        </w:rPr>
      </w:pPr>
      <w:r w:rsidRPr="00853B52">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853B52">
        <w:rPr>
          <w:rFonts w:ascii="Palatino Linotype" w:eastAsia="Palatino Linotype" w:hAnsi="Palatino Linotype" w:cs="Palatino Linotype"/>
          <w:bCs/>
          <w:sz w:val="22"/>
          <w:szCs w:val="22"/>
        </w:rPr>
        <w:t>el</w:t>
      </w:r>
      <w:r w:rsidRPr="00853B52">
        <w:rPr>
          <w:rFonts w:ascii="Palatino Linotype" w:eastAsia="Palatino Linotype" w:hAnsi="Palatino Linotype" w:cs="Palatino Linotype"/>
          <w:b/>
          <w:sz w:val="22"/>
          <w:szCs w:val="22"/>
        </w:rPr>
        <w:t xml:space="preserve"> SAIMEX.</w:t>
      </w:r>
    </w:p>
    <w:p w14:paraId="630641E8" w14:textId="47D98121" w:rsidR="00700147" w:rsidRPr="00853B52" w:rsidRDefault="0062255D" w:rsidP="00700147">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853B52">
        <w:rPr>
          <w:rFonts w:ascii="Palatino Linotype" w:eastAsia="Palatino Linotype" w:hAnsi="Palatino Linotype" w:cs="Palatino Linotype"/>
          <w:b/>
          <w:sz w:val="22"/>
          <w:szCs w:val="22"/>
        </w:rPr>
        <w:t>Recurrente</w:t>
      </w:r>
      <w:r w:rsidRPr="00853B52">
        <w:rPr>
          <w:rFonts w:ascii="Palatino Linotype" w:eastAsia="Palatino Linotype" w:hAnsi="Palatino Linotype" w:cs="Palatino Linotype"/>
          <w:sz w:val="22"/>
          <w:szCs w:val="22"/>
        </w:rPr>
        <w:t xml:space="preserve"> en sus motivos de inconformidad, de acuerdo al artículo 179, </w:t>
      </w:r>
      <w:r w:rsidR="00700147" w:rsidRPr="00853B52">
        <w:rPr>
          <w:rFonts w:ascii="Palatino Linotype" w:eastAsia="Palatino Linotype" w:hAnsi="Palatino Linotype" w:cs="Palatino Linotype"/>
          <w:sz w:val="22"/>
          <w:szCs w:val="22"/>
        </w:rPr>
        <w:t>fracciones I del ordenamiento legal citado, que a la letra dice: </w:t>
      </w:r>
    </w:p>
    <w:p w14:paraId="021B4C48" w14:textId="77777777" w:rsidR="00700147" w:rsidRPr="00853B52" w:rsidRDefault="00700147" w:rsidP="00700147">
      <w:pPr>
        <w:tabs>
          <w:tab w:val="left" w:pos="7938"/>
        </w:tabs>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r w:rsidRPr="00853B52">
        <w:rPr>
          <w:rFonts w:ascii="Palatino Linotype" w:eastAsia="Palatino Linotype" w:hAnsi="Palatino Linotype" w:cs="Palatino Linotype"/>
          <w:b/>
          <w:i/>
          <w:sz w:val="22"/>
          <w:szCs w:val="22"/>
        </w:rPr>
        <w:t>Artículo 179.</w:t>
      </w:r>
      <w:r w:rsidRPr="00853B5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A0F0BC0" w14:textId="3913E78F" w:rsidR="00700147" w:rsidRPr="00853B52" w:rsidRDefault="00A51B9F" w:rsidP="00A51B9F">
      <w:pPr>
        <w:tabs>
          <w:tab w:val="left" w:pos="7938"/>
        </w:tabs>
        <w:spacing w:before="120" w:after="120"/>
        <w:ind w:left="851" w:right="900"/>
        <w:jc w:val="both"/>
        <w:rPr>
          <w:rFonts w:ascii="Palatino Linotype" w:eastAsia="Palatino Linotype" w:hAnsi="Palatino Linotype" w:cs="Palatino Linotype"/>
          <w:b/>
          <w:bCs/>
          <w:i/>
          <w:sz w:val="22"/>
          <w:szCs w:val="22"/>
        </w:rPr>
      </w:pPr>
      <w:r w:rsidRPr="00853B52">
        <w:rPr>
          <w:rFonts w:ascii="Palatino Linotype" w:hAnsi="Palatino Linotype"/>
          <w:b/>
          <w:i/>
          <w:sz w:val="22"/>
          <w:szCs w:val="22"/>
        </w:rPr>
        <w:t>I.</w:t>
      </w:r>
      <w:r w:rsidRPr="00853B52">
        <w:rPr>
          <w:rFonts w:ascii="Palatino Linotype" w:hAnsi="Palatino Linotype"/>
          <w:i/>
          <w:sz w:val="22"/>
          <w:szCs w:val="22"/>
        </w:rPr>
        <w:t xml:space="preserve"> La negativa a la información solicitada;</w:t>
      </w:r>
      <w:r w:rsidR="00700147" w:rsidRPr="00853B52">
        <w:rPr>
          <w:rFonts w:ascii="Palatino Linotype" w:eastAsia="Palatino Linotype" w:hAnsi="Palatino Linotype" w:cs="Palatino Linotype"/>
          <w:i/>
          <w:sz w:val="22"/>
          <w:szCs w:val="22"/>
        </w:rPr>
        <w:t>”</w:t>
      </w:r>
    </w:p>
    <w:p w14:paraId="09700F89" w14:textId="77777777" w:rsidR="00562A90" w:rsidRPr="00853B52" w:rsidRDefault="0062255D">
      <w:pPr>
        <w:spacing w:before="240" w:after="240" w:line="360" w:lineRule="auto"/>
        <w:jc w:val="both"/>
        <w:rPr>
          <w:rFonts w:ascii="Palatino Linotype" w:eastAsia="Palatino Linotype" w:hAnsi="Palatino Linotype" w:cs="Palatino Linotype"/>
          <w:b/>
          <w:sz w:val="22"/>
          <w:szCs w:val="22"/>
        </w:rPr>
      </w:pPr>
      <w:r w:rsidRPr="00853B52">
        <w:rPr>
          <w:rFonts w:ascii="Palatino Linotype" w:eastAsia="Palatino Linotype" w:hAnsi="Palatino Linotype" w:cs="Palatino Linotype"/>
          <w:b/>
          <w:sz w:val="22"/>
          <w:szCs w:val="22"/>
        </w:rPr>
        <w:t xml:space="preserve">Tercero. Materia de la revisión. </w:t>
      </w:r>
      <w:r w:rsidRPr="00853B5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53B52">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853B52">
        <w:rPr>
          <w:rFonts w:ascii="Palatino Linotype" w:eastAsia="Palatino Linotype" w:hAnsi="Palatino Linotype" w:cs="Palatino Linotype"/>
          <w:sz w:val="22"/>
          <w:szCs w:val="22"/>
        </w:rPr>
        <w:t xml:space="preserve">de la parte </w:t>
      </w:r>
      <w:r w:rsidRPr="00853B52">
        <w:rPr>
          <w:rFonts w:ascii="Palatino Linotype" w:eastAsia="Palatino Linotype" w:hAnsi="Palatino Linotype" w:cs="Palatino Linotype"/>
          <w:b/>
          <w:sz w:val="22"/>
          <w:szCs w:val="22"/>
        </w:rPr>
        <w:t>Recurrente</w:t>
      </w:r>
      <w:r w:rsidRPr="00853B52">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853B52"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853B52">
        <w:rPr>
          <w:rFonts w:ascii="Palatino Linotype" w:eastAsia="Palatino Linotype" w:hAnsi="Palatino Linotype" w:cs="Palatino Linotype"/>
          <w:b/>
          <w:sz w:val="22"/>
          <w:szCs w:val="22"/>
        </w:rPr>
        <w:t xml:space="preserve">Cuarto. Estudio del asunto. </w:t>
      </w:r>
      <w:r w:rsidRPr="00853B52">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853B52" w:rsidRDefault="0062255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r w:rsidRPr="00853B52">
        <w:rPr>
          <w:rFonts w:ascii="Palatino Linotype" w:eastAsia="Palatino Linotype" w:hAnsi="Palatino Linotype" w:cs="Palatino Linotype"/>
          <w:b/>
          <w:i/>
          <w:sz w:val="22"/>
          <w:szCs w:val="22"/>
        </w:rPr>
        <w:t>Artículo 4</w:t>
      </w:r>
      <w:r w:rsidRPr="00853B5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853B52" w:rsidRDefault="0062255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53B5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853B52" w:rsidRDefault="0062255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53B52">
        <w:rPr>
          <w:rFonts w:ascii="Palatino Linotype" w:eastAsia="Palatino Linotype" w:hAnsi="Palatino Linotype" w:cs="Palatino Linotype"/>
          <w:i/>
          <w:sz w:val="22"/>
          <w:szCs w:val="22"/>
        </w:rPr>
        <w:t>.”</w:t>
      </w:r>
    </w:p>
    <w:p w14:paraId="651E1502" w14:textId="77777777" w:rsidR="00562A90" w:rsidRPr="00853B52" w:rsidRDefault="0062255D">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853B52" w:rsidRDefault="0062255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b/>
          <w:i/>
          <w:sz w:val="22"/>
          <w:szCs w:val="22"/>
        </w:rPr>
        <w:t>“Artículo 12.-</w:t>
      </w:r>
      <w:r w:rsidRPr="00853B5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853B52" w:rsidRDefault="0062255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53B52">
        <w:rPr>
          <w:rFonts w:ascii="Palatino Linotype" w:eastAsia="Palatino Linotype" w:hAnsi="Palatino Linotype" w:cs="Palatino Linotype"/>
          <w:i/>
          <w:sz w:val="22"/>
          <w:szCs w:val="22"/>
        </w:rPr>
        <w:t xml:space="preserve">. </w:t>
      </w:r>
      <w:r w:rsidRPr="00853B5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853B52" w:rsidRDefault="0062255D">
      <w:pPr>
        <w:spacing w:before="240" w:after="240" w:line="360" w:lineRule="auto"/>
        <w:ind w:right="-93"/>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853B52" w:rsidRDefault="0062255D">
      <w:pPr>
        <w:spacing w:before="240" w:after="240" w:line="360" w:lineRule="auto"/>
        <w:jc w:val="both"/>
        <w:rPr>
          <w:rFonts w:ascii="Palatino Linotype" w:eastAsia="Palatino Linotype" w:hAnsi="Palatino Linotype" w:cs="Palatino Linotype"/>
          <w:b/>
          <w:sz w:val="22"/>
          <w:szCs w:val="22"/>
        </w:rPr>
      </w:pPr>
      <w:r w:rsidRPr="00853B52">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853B52">
        <w:rPr>
          <w:rFonts w:ascii="Palatino Linotype" w:eastAsia="Palatino Linotype" w:hAnsi="Palatino Linotype" w:cs="Palatino Linotype"/>
          <w:b/>
          <w:sz w:val="22"/>
          <w:szCs w:val="22"/>
        </w:rPr>
        <w:t xml:space="preserve"> </w:t>
      </w:r>
    </w:p>
    <w:p w14:paraId="093BE23B" w14:textId="77777777" w:rsidR="00562A90" w:rsidRPr="00853B52" w:rsidRDefault="0062255D">
      <w:pPr>
        <w:spacing w:before="120" w:after="120"/>
        <w:ind w:left="1134"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 xml:space="preserve"> “</w:t>
      </w:r>
      <w:r w:rsidRPr="00853B52">
        <w:rPr>
          <w:rFonts w:ascii="Palatino Linotype" w:eastAsia="Palatino Linotype" w:hAnsi="Palatino Linotype" w:cs="Palatino Linotype"/>
          <w:b/>
          <w:i/>
          <w:sz w:val="22"/>
          <w:szCs w:val="22"/>
        </w:rPr>
        <w:t>No existe obligación de elaborar documentos ad hoc para atender las solicitudes de acceso a la información.</w:t>
      </w:r>
      <w:r w:rsidRPr="00853B5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853B52" w:rsidRDefault="0062255D">
      <w:pPr>
        <w:spacing w:before="120" w:after="12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853B52" w:rsidRDefault="0062255D">
      <w:pPr>
        <w:spacing w:before="120" w:after="12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853B52"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r w:rsidRPr="00853B52">
        <w:rPr>
          <w:rFonts w:ascii="Palatino Linotype" w:eastAsia="Palatino Linotype" w:hAnsi="Palatino Linotype" w:cs="Palatino Linotype"/>
          <w:b/>
          <w:i/>
          <w:sz w:val="22"/>
          <w:szCs w:val="22"/>
        </w:rPr>
        <w:t xml:space="preserve">Artículo 3. </w:t>
      </w:r>
      <w:r w:rsidRPr="00853B52">
        <w:rPr>
          <w:rFonts w:ascii="Palatino Linotype" w:eastAsia="Palatino Linotype" w:hAnsi="Palatino Linotype" w:cs="Palatino Linotype"/>
          <w:i/>
          <w:sz w:val="22"/>
          <w:szCs w:val="22"/>
        </w:rPr>
        <w:t>Para los efectos de la presente Ley se entenderá por:</w:t>
      </w:r>
    </w:p>
    <w:p w14:paraId="07E06CC3" w14:textId="77777777" w:rsidR="00562A90" w:rsidRPr="00853B52"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p>
    <w:p w14:paraId="47B93607" w14:textId="77777777" w:rsidR="00562A90" w:rsidRPr="00853B52"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b/>
          <w:i/>
          <w:sz w:val="22"/>
          <w:szCs w:val="22"/>
        </w:rPr>
        <w:t>XI. Documento:</w:t>
      </w:r>
      <w:r w:rsidRPr="00853B52">
        <w:rPr>
          <w:rFonts w:ascii="Palatino Linotype" w:eastAsia="Palatino Linotype" w:hAnsi="Palatino Linotype" w:cs="Palatino Linotype"/>
          <w:i/>
          <w:sz w:val="22"/>
          <w:szCs w:val="22"/>
        </w:rPr>
        <w:t xml:space="preserve"> Los expedientes, reportes, estudios, actas</w:t>
      </w:r>
      <w:r w:rsidRPr="00853B52">
        <w:rPr>
          <w:rFonts w:ascii="Palatino Linotype" w:eastAsia="Palatino Linotype" w:hAnsi="Palatino Linotype" w:cs="Palatino Linotype"/>
          <w:b/>
          <w:i/>
          <w:sz w:val="22"/>
          <w:szCs w:val="22"/>
        </w:rPr>
        <w:t>,</w:t>
      </w:r>
      <w:r w:rsidRPr="00853B5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853B52" w:rsidRDefault="0062255D">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853B52" w:rsidRDefault="0062255D" w:rsidP="00B13BC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b/>
          <w:sz w:val="22"/>
          <w:szCs w:val="22"/>
        </w:rPr>
        <w:t>“</w:t>
      </w:r>
      <w:r w:rsidRPr="00853B5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53B5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853B52" w:rsidRDefault="0062255D" w:rsidP="00B13BC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853B52" w:rsidRDefault="0062255D" w:rsidP="00B13BC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853B52" w:rsidRDefault="0062255D" w:rsidP="00B13BC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853B52" w:rsidRDefault="0062255D" w:rsidP="00B13BCD">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853B52" w:rsidRDefault="0062255D">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853B52" w:rsidRDefault="0062255D">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853B52">
        <w:rPr>
          <w:rFonts w:ascii="Palatino Linotype" w:eastAsia="Palatino Linotype" w:hAnsi="Palatino Linotype" w:cs="Palatino Linotype"/>
          <w:sz w:val="22"/>
          <w:szCs w:val="22"/>
        </w:rPr>
        <w:t xml:space="preserve"> párrafo cuadragésimo sexto,</w:t>
      </w:r>
      <w:r w:rsidRPr="00853B52">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C0B5728" w:rsidR="00562A90" w:rsidRPr="00853B52" w:rsidRDefault="0062255D">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853B52">
        <w:rPr>
          <w:rFonts w:ascii="Palatino Linotype" w:eastAsia="Palatino Linotype" w:hAnsi="Palatino Linotype" w:cs="Palatino Linotype"/>
          <w:b/>
          <w:sz w:val="22"/>
          <w:szCs w:val="22"/>
        </w:rPr>
        <w:t>Recurrente</w:t>
      </w:r>
      <w:r w:rsidRPr="00853B52">
        <w:rPr>
          <w:rFonts w:ascii="Palatino Linotype" w:eastAsia="Palatino Linotype" w:hAnsi="Palatino Linotype" w:cs="Palatino Linotype"/>
          <w:sz w:val="22"/>
          <w:szCs w:val="22"/>
        </w:rPr>
        <w:t xml:space="preserve"> </w:t>
      </w:r>
      <w:r w:rsidR="00AC3C31" w:rsidRPr="00853B52">
        <w:rPr>
          <w:rFonts w:ascii="Palatino Linotype" w:eastAsia="Palatino Linotype" w:hAnsi="Palatino Linotype" w:cs="Palatino Linotype"/>
          <w:sz w:val="22"/>
          <w:szCs w:val="22"/>
        </w:rPr>
        <w:t>requirió el acceso a lo siguiente:</w:t>
      </w:r>
    </w:p>
    <w:p w14:paraId="2CB6F065" w14:textId="19DBF738" w:rsidR="00607B6C" w:rsidRPr="00853B52" w:rsidRDefault="00607B6C" w:rsidP="00607B6C">
      <w:pPr>
        <w:pBdr>
          <w:top w:val="nil"/>
          <w:left w:val="nil"/>
          <w:bottom w:val="nil"/>
          <w:right w:val="nil"/>
          <w:between w:val="nil"/>
        </w:pBdr>
        <w:spacing w:before="280" w:after="280" w:line="360" w:lineRule="auto"/>
        <w:ind w:left="284"/>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1.</w:t>
      </w:r>
      <w:r w:rsidR="00B144FB" w:rsidRPr="00853B52">
        <w:rPr>
          <w:rFonts w:ascii="Palatino Linotype" w:hAnsi="Palatino Linotype"/>
          <w:sz w:val="22"/>
          <w:szCs w:val="22"/>
        </w:rPr>
        <w:t xml:space="preserve"> </w:t>
      </w:r>
      <w:r w:rsidR="00B144FB" w:rsidRPr="00853B52">
        <w:rPr>
          <w:rFonts w:ascii="Palatino Linotype" w:eastAsia="Palatino Linotype" w:hAnsi="Palatino Linotype" w:cs="Palatino Linotype"/>
          <w:sz w:val="22"/>
          <w:szCs w:val="22"/>
        </w:rPr>
        <w:t>Todos los oficios con los cuales ha solicitado que la convocatoria a las sesiones del Ayuntamiento sean registradas en el portal del Ayuntamiento con al menos 12 horas de anticipación conforme a la Ley Orgánica Municipal del Estado de México.</w:t>
      </w:r>
    </w:p>
    <w:p w14:paraId="0C1C08C1" w14:textId="74782E13" w:rsidR="008A00B0" w:rsidRPr="00853B52" w:rsidRDefault="00FF4C55" w:rsidP="00FF4C55">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Es respuesta el </w:t>
      </w:r>
      <w:r w:rsidRPr="00853B52">
        <w:rPr>
          <w:rFonts w:ascii="Palatino Linotype" w:eastAsia="Palatino Linotype" w:hAnsi="Palatino Linotype" w:cs="Palatino Linotype"/>
          <w:b/>
          <w:sz w:val="22"/>
          <w:szCs w:val="22"/>
        </w:rPr>
        <w:t>Sujeto Obligado,</w:t>
      </w:r>
      <w:r w:rsidRPr="00853B52">
        <w:rPr>
          <w:rFonts w:ascii="Palatino Linotype" w:eastAsia="Palatino Linotype" w:hAnsi="Palatino Linotype" w:cs="Palatino Linotype"/>
          <w:sz w:val="22"/>
          <w:szCs w:val="22"/>
        </w:rPr>
        <w:t xml:space="preserve"> por conducto de la </w:t>
      </w:r>
      <w:r w:rsidR="008A00B0" w:rsidRPr="00853B52">
        <w:rPr>
          <w:rFonts w:ascii="Palatino Linotype" w:eastAsia="Palatino Linotype" w:hAnsi="Palatino Linotype" w:cs="Palatino Linotype"/>
          <w:sz w:val="22"/>
          <w:szCs w:val="22"/>
        </w:rPr>
        <w:t xml:space="preserve">Secretaria del Ayuntamiento </w:t>
      </w:r>
      <w:r w:rsidR="002552D2" w:rsidRPr="00853B52">
        <w:rPr>
          <w:rFonts w:ascii="Palatino Linotype" w:eastAsia="Palatino Linotype" w:hAnsi="Palatino Linotype" w:cs="Palatino Linotype"/>
          <w:sz w:val="22"/>
          <w:szCs w:val="22"/>
        </w:rPr>
        <w:t xml:space="preserve">manifestó que no se </w:t>
      </w:r>
      <w:r w:rsidR="009D0B40" w:rsidRPr="00853B52">
        <w:rPr>
          <w:rFonts w:ascii="Palatino Linotype" w:eastAsia="Palatino Linotype" w:hAnsi="Palatino Linotype" w:cs="Palatino Linotype"/>
          <w:sz w:val="22"/>
          <w:szCs w:val="22"/>
        </w:rPr>
        <w:t>ha solicitado por oficio la publicación del orden del día de las sesiones de cabildo, sin embargo, se han hecho las publicaciones en los estados del Ayuntamiento.</w:t>
      </w:r>
    </w:p>
    <w:p w14:paraId="418C8118" w14:textId="479E1F20" w:rsidR="009D0B40" w:rsidRPr="00853B52" w:rsidRDefault="009D0B40" w:rsidP="00FF4C55">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Posteriormente la parte </w:t>
      </w:r>
      <w:r w:rsidRPr="00853B52">
        <w:rPr>
          <w:rFonts w:ascii="Palatino Linotype" w:eastAsia="Palatino Linotype" w:hAnsi="Palatino Linotype" w:cs="Palatino Linotype"/>
          <w:b/>
          <w:sz w:val="22"/>
          <w:szCs w:val="22"/>
        </w:rPr>
        <w:t xml:space="preserve">Recurrente </w:t>
      </w:r>
      <w:r w:rsidRPr="00853B52">
        <w:rPr>
          <w:rFonts w:ascii="Palatino Linotype" w:eastAsia="Palatino Linotype" w:hAnsi="Palatino Linotype" w:cs="Palatino Linotype"/>
          <w:sz w:val="22"/>
          <w:szCs w:val="22"/>
        </w:rPr>
        <w:t xml:space="preserve">interpuso el recurso de revisión que se resuelve, donde señaló que la respuesta no estaba disponible en el SAIMEX, ya que la dirección URL </w:t>
      </w:r>
      <w:r w:rsidR="0091798A" w:rsidRPr="00853B52">
        <w:rPr>
          <w:rFonts w:ascii="Palatino Linotype" w:eastAsia="Palatino Linotype" w:hAnsi="Palatino Linotype" w:cs="Palatino Linotype"/>
          <w:sz w:val="22"/>
          <w:szCs w:val="22"/>
        </w:rPr>
        <w:t xml:space="preserve">correspondiente </w:t>
      </w:r>
      <w:r w:rsidRPr="00853B52">
        <w:rPr>
          <w:rFonts w:ascii="Palatino Linotype" w:eastAsia="Palatino Linotype" w:hAnsi="Palatino Linotype" w:cs="Palatino Linotype"/>
          <w:sz w:val="22"/>
          <w:szCs w:val="22"/>
        </w:rPr>
        <w:t>no abría.</w:t>
      </w:r>
    </w:p>
    <w:p w14:paraId="1D44F9E3" w14:textId="46610FBF" w:rsidR="007A690D" w:rsidRPr="00853B52" w:rsidRDefault="0091798A" w:rsidP="007A690D">
      <w:pPr>
        <w:spacing w:before="240" w:after="240" w:line="360" w:lineRule="auto"/>
        <w:jc w:val="both"/>
        <w:rPr>
          <w:rFonts w:ascii="Palatino Linotype" w:hAnsi="Palatino Linotype"/>
          <w:sz w:val="22"/>
          <w:szCs w:val="22"/>
        </w:rPr>
      </w:pPr>
      <w:r w:rsidRPr="00853B52">
        <w:rPr>
          <w:rFonts w:ascii="Palatino Linotype" w:eastAsia="Palatino Linotype" w:hAnsi="Palatino Linotype" w:cs="Palatino Linotype"/>
          <w:sz w:val="22"/>
          <w:szCs w:val="22"/>
        </w:rPr>
        <w:t xml:space="preserve">Atento a lo anterior, en la etapa de manifestaciones, </w:t>
      </w:r>
      <w:r w:rsidR="006A2BE0" w:rsidRPr="00853B52">
        <w:rPr>
          <w:rFonts w:ascii="Palatino Linotype" w:eastAsia="Palatino Linotype" w:hAnsi="Palatino Linotype" w:cs="Palatino Linotype"/>
          <w:sz w:val="22"/>
          <w:szCs w:val="22"/>
        </w:rPr>
        <w:t xml:space="preserve">el </w:t>
      </w:r>
      <w:r w:rsidR="006A2BE0" w:rsidRPr="00853B52">
        <w:rPr>
          <w:rFonts w:ascii="Palatino Linotype" w:eastAsia="Palatino Linotype" w:hAnsi="Palatino Linotype" w:cs="Palatino Linotype"/>
          <w:b/>
          <w:sz w:val="22"/>
          <w:szCs w:val="22"/>
        </w:rPr>
        <w:t xml:space="preserve">Sujeto Obligado </w:t>
      </w:r>
      <w:r w:rsidR="00DD6BDF" w:rsidRPr="00853B52">
        <w:rPr>
          <w:rFonts w:ascii="Palatino Linotype" w:hAnsi="Palatino Linotype"/>
          <w:sz w:val="22"/>
          <w:szCs w:val="22"/>
        </w:rPr>
        <w:t>refirió</w:t>
      </w:r>
      <w:r w:rsidR="007A690D" w:rsidRPr="00853B52">
        <w:rPr>
          <w:rFonts w:ascii="Palatino Linotype" w:hAnsi="Palatino Linotype"/>
          <w:sz w:val="22"/>
          <w:szCs w:val="22"/>
        </w:rPr>
        <w:t xml:space="preserve"> que la información proporcionada por la Secretaría del Ayuntamiento mediante el oficio número SA/850/11/2025 fue entregada al solicitante mediante SAIMEX en fecha 18 de noviembre de 2025, como consta en las capturas de pantalla del sistema que agregó.</w:t>
      </w:r>
    </w:p>
    <w:p w14:paraId="2505BF36" w14:textId="417CA1FB" w:rsidR="00AE1A39" w:rsidRPr="00853B52" w:rsidRDefault="00022C81" w:rsidP="00AE1A39">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De </w:t>
      </w:r>
      <w:r w:rsidR="00EC0D7B" w:rsidRPr="00853B52">
        <w:rPr>
          <w:rFonts w:ascii="Palatino Linotype" w:eastAsia="Palatino Linotype" w:hAnsi="Palatino Linotype" w:cs="Palatino Linotype"/>
          <w:sz w:val="22"/>
          <w:szCs w:val="22"/>
        </w:rPr>
        <w:t>igual</w:t>
      </w:r>
      <w:r w:rsidRPr="00853B52">
        <w:rPr>
          <w:rFonts w:ascii="Palatino Linotype" w:eastAsia="Palatino Linotype" w:hAnsi="Palatino Linotype" w:cs="Palatino Linotype"/>
          <w:sz w:val="22"/>
          <w:szCs w:val="22"/>
        </w:rPr>
        <w:t xml:space="preserve"> forma </w:t>
      </w:r>
      <w:r w:rsidR="00AE1A39" w:rsidRPr="00853B52">
        <w:rPr>
          <w:rFonts w:ascii="Palatino Linotype" w:eastAsia="Palatino Linotype" w:hAnsi="Palatino Linotype" w:cs="Palatino Linotype"/>
          <w:sz w:val="22"/>
          <w:szCs w:val="22"/>
        </w:rPr>
        <w:t xml:space="preserve">hizo entrega de diversas capturas de pantalla de correos dirigidos a la Dirección General de Informática de este Instituto, donde se reportan fallas en el sistema SAIMEX, derivado de la interposición de cinco recursos de revisión en los cuales se refiere que las URL de las respuestas proporcionadas a través de dicho sistema no abren, entre las que se encuentra la correspondiente a la solicitud 00145/ELORO/IP/2025 que dio origen al recurso que se resuelve, </w:t>
      </w:r>
      <w:r w:rsidR="00B8273C" w:rsidRPr="00853B52">
        <w:rPr>
          <w:rFonts w:ascii="Palatino Linotype" w:eastAsia="Palatino Linotype" w:hAnsi="Palatino Linotype" w:cs="Palatino Linotype"/>
          <w:sz w:val="22"/>
          <w:szCs w:val="22"/>
        </w:rPr>
        <w:t xml:space="preserve">así como la respuesta de la Dirección General de Informática donde confirmó que </w:t>
      </w:r>
      <w:r w:rsidR="00B8273C" w:rsidRPr="00853B52">
        <w:rPr>
          <w:rFonts w:ascii="Palatino Linotype" w:hAnsi="Palatino Linotype"/>
          <w:sz w:val="22"/>
          <w:szCs w:val="22"/>
        </w:rPr>
        <w:t>la plataforma presentó intermitencias,</w:t>
      </w:r>
      <w:r w:rsidR="00AE1A39" w:rsidRPr="00853B52">
        <w:rPr>
          <w:rFonts w:ascii="Palatino Linotype" w:hAnsi="Palatino Linotype"/>
          <w:sz w:val="22"/>
          <w:szCs w:val="22"/>
        </w:rPr>
        <w:t xml:space="preserve"> que </w:t>
      </w:r>
      <w:r w:rsidR="00AE1A39" w:rsidRPr="00853B52">
        <w:rPr>
          <w:rFonts w:ascii="Palatino Linotype" w:hAnsi="Palatino Linotype"/>
          <w:b/>
          <w:sz w:val="22"/>
          <w:szCs w:val="22"/>
          <w:u w:val="single"/>
        </w:rPr>
        <w:t>ocasionaron la no visualización de los acuses correctamente</w:t>
      </w:r>
      <w:r w:rsidR="00AE1A39" w:rsidRPr="00853B52">
        <w:rPr>
          <w:rFonts w:ascii="Palatino Linotype" w:hAnsi="Palatino Linotype"/>
          <w:b/>
          <w:sz w:val="22"/>
          <w:szCs w:val="22"/>
        </w:rPr>
        <w:t xml:space="preserve">, </w:t>
      </w:r>
      <w:r w:rsidR="00AE1A39" w:rsidRPr="00853B52">
        <w:rPr>
          <w:rFonts w:ascii="Palatino Linotype" w:hAnsi="Palatino Linotype"/>
          <w:sz w:val="22"/>
          <w:szCs w:val="22"/>
        </w:rPr>
        <w:t>dicha intermitencia no afectó al registro de solicitudes y/o recursos de revisión, y una vez reiniciado el sistema, la plataforma operó correctamente.</w:t>
      </w:r>
    </w:p>
    <w:p w14:paraId="723BF2D0" w14:textId="2325389F" w:rsidR="00996255" w:rsidRPr="00853B52" w:rsidRDefault="00996255" w:rsidP="00996255">
      <w:pPr>
        <w:spacing w:before="280" w:after="28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Una vez establecidas las posturas de las partes, se procede al análisis de</w:t>
      </w:r>
      <w:r w:rsidR="00737848" w:rsidRPr="00853B52">
        <w:rPr>
          <w:rFonts w:ascii="Palatino Linotype" w:eastAsia="Palatino Linotype" w:hAnsi="Palatino Linotype" w:cs="Palatino Linotype"/>
          <w:sz w:val="22"/>
          <w:szCs w:val="22"/>
        </w:rPr>
        <w:t>l requerimiento de información,</w:t>
      </w:r>
      <w:r w:rsidRPr="00853B52">
        <w:rPr>
          <w:rFonts w:ascii="Palatino Linotype" w:eastAsia="Palatino Linotype" w:hAnsi="Palatino Linotype" w:cs="Palatino Linotype"/>
          <w:sz w:val="22"/>
          <w:szCs w:val="22"/>
        </w:rPr>
        <w:t xml:space="preserve"> así como la información proporcionada por el </w:t>
      </w:r>
      <w:r w:rsidRPr="00853B52">
        <w:rPr>
          <w:rFonts w:ascii="Palatino Linotype" w:eastAsia="Palatino Linotype" w:hAnsi="Palatino Linotype" w:cs="Palatino Linotype"/>
          <w:b/>
          <w:sz w:val="22"/>
          <w:szCs w:val="22"/>
        </w:rPr>
        <w:t xml:space="preserve">Sujeto Obligado, </w:t>
      </w:r>
      <w:r w:rsidRPr="00853B52">
        <w:rPr>
          <w:rFonts w:ascii="Palatino Linotype" w:eastAsia="Palatino Linotype" w:hAnsi="Palatino Linotype" w:cs="Palatino Linotype"/>
          <w:sz w:val="22"/>
          <w:szCs w:val="22"/>
        </w:rPr>
        <w:t xml:space="preserve">en contraposición con el motivo de inconformidad alegado por la parte </w:t>
      </w:r>
      <w:r w:rsidRPr="00853B52">
        <w:rPr>
          <w:rFonts w:ascii="Palatino Linotype" w:eastAsia="Palatino Linotype" w:hAnsi="Palatino Linotype" w:cs="Palatino Linotype"/>
          <w:b/>
          <w:sz w:val="22"/>
          <w:szCs w:val="22"/>
        </w:rPr>
        <w:t xml:space="preserve">Recurrente, </w:t>
      </w:r>
      <w:r w:rsidRPr="00853B52">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3E97DA1" w14:textId="6AC1F479" w:rsidR="00B327B0" w:rsidRPr="00853B52" w:rsidRDefault="00996255" w:rsidP="00996255">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En este sentido es oportuno mencionar que la solicitud fue atendida por la unidad administrativa que genera, administra y/o posee la información de mérito, siendo esta la </w:t>
      </w:r>
      <w:r w:rsidR="00737848" w:rsidRPr="00853B52">
        <w:rPr>
          <w:rFonts w:ascii="Palatino Linotype" w:eastAsia="Palatino Linotype" w:hAnsi="Palatino Linotype" w:cs="Palatino Linotype"/>
          <w:sz w:val="22"/>
          <w:szCs w:val="22"/>
        </w:rPr>
        <w:t>Secretaria del Ayuntamiento</w:t>
      </w:r>
      <w:r w:rsidR="00B05F11" w:rsidRPr="00853B52">
        <w:rPr>
          <w:rFonts w:ascii="Palatino Linotype" w:eastAsia="Palatino Linotype" w:hAnsi="Palatino Linotype" w:cs="Palatino Linotype"/>
          <w:sz w:val="22"/>
          <w:szCs w:val="22"/>
        </w:rPr>
        <w:t>, al solicitarse la convocatoria a las sesiones del ayuntamiento.</w:t>
      </w:r>
    </w:p>
    <w:p w14:paraId="2DCCB53A" w14:textId="3BFA66AC" w:rsidR="00B327B0" w:rsidRPr="00853B52" w:rsidRDefault="00B327B0" w:rsidP="00996255">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Lo anterior se sustenta con los artículos </w:t>
      </w:r>
      <w:r w:rsidR="00DD6FA6" w:rsidRPr="00853B52">
        <w:rPr>
          <w:rFonts w:ascii="Palatino Linotype" w:eastAsia="Palatino Linotype" w:hAnsi="Palatino Linotype" w:cs="Palatino Linotype"/>
          <w:sz w:val="22"/>
          <w:szCs w:val="22"/>
        </w:rPr>
        <w:t xml:space="preserve">48, fracción V, </w:t>
      </w:r>
      <w:r w:rsidRPr="00853B52">
        <w:rPr>
          <w:rFonts w:ascii="Palatino Linotype" w:eastAsia="Palatino Linotype" w:hAnsi="Palatino Linotype" w:cs="Palatino Linotype"/>
          <w:sz w:val="22"/>
          <w:szCs w:val="22"/>
        </w:rPr>
        <w:t>91, fracción II de la Ley Orgánica Municipal del Estado de México</w:t>
      </w:r>
      <w:r w:rsidR="003C5037" w:rsidRPr="00853B52">
        <w:rPr>
          <w:rFonts w:ascii="Palatino Linotype" w:eastAsia="Palatino Linotype" w:hAnsi="Palatino Linotype" w:cs="Palatino Linotype"/>
          <w:sz w:val="22"/>
          <w:szCs w:val="22"/>
        </w:rPr>
        <w:t xml:space="preserve">; </w:t>
      </w:r>
      <w:r w:rsidR="00DD6FA6" w:rsidRPr="00853B52">
        <w:rPr>
          <w:rFonts w:ascii="Palatino Linotype" w:eastAsia="Palatino Linotype" w:hAnsi="Palatino Linotype" w:cs="Palatino Linotype"/>
          <w:sz w:val="22"/>
          <w:szCs w:val="22"/>
        </w:rPr>
        <w:t>2.4</w:t>
      </w:r>
      <w:r w:rsidR="003C5037" w:rsidRPr="00853B52">
        <w:rPr>
          <w:rFonts w:ascii="Palatino Linotype" w:eastAsia="Palatino Linotype" w:hAnsi="Palatino Linotype" w:cs="Palatino Linotype"/>
          <w:sz w:val="22"/>
          <w:szCs w:val="22"/>
        </w:rPr>
        <w:t xml:space="preserve"> y 2.22</w:t>
      </w:r>
      <w:r w:rsidR="00DD6FA6" w:rsidRPr="00853B52">
        <w:rPr>
          <w:rFonts w:ascii="Palatino Linotype" w:eastAsia="Palatino Linotype" w:hAnsi="Palatino Linotype" w:cs="Palatino Linotype"/>
          <w:sz w:val="22"/>
          <w:szCs w:val="22"/>
        </w:rPr>
        <w:t xml:space="preserve"> del Código Reglamentario Municipal de Toluca, del tenor literal siguiente:</w:t>
      </w:r>
    </w:p>
    <w:p w14:paraId="3129319B" w14:textId="0C7D5B0C" w:rsidR="00B327B0" w:rsidRPr="00853B52" w:rsidRDefault="00DD6FA6" w:rsidP="00DD6FA6">
      <w:pPr>
        <w:spacing w:before="120" w:after="120"/>
        <w:ind w:left="851" w:right="902"/>
        <w:jc w:val="both"/>
        <w:rPr>
          <w:rFonts w:ascii="Palatino Linotype" w:hAnsi="Palatino Linotype"/>
          <w:i/>
          <w:sz w:val="22"/>
          <w:szCs w:val="22"/>
        </w:rPr>
      </w:pPr>
      <w:r w:rsidRPr="00853B52">
        <w:rPr>
          <w:rFonts w:ascii="Palatino Linotype" w:eastAsia="Palatino Linotype" w:hAnsi="Palatino Linotype" w:cs="Palatino Linotype"/>
          <w:i/>
          <w:sz w:val="22"/>
          <w:szCs w:val="22"/>
        </w:rPr>
        <w:t>“</w:t>
      </w:r>
      <w:r w:rsidRPr="00853B52">
        <w:rPr>
          <w:rFonts w:ascii="Palatino Linotype" w:hAnsi="Palatino Linotype"/>
          <w:b/>
          <w:i/>
          <w:sz w:val="22"/>
          <w:szCs w:val="22"/>
        </w:rPr>
        <w:t>Artículo 48</w:t>
      </w:r>
      <w:r w:rsidRPr="00853B52">
        <w:rPr>
          <w:rFonts w:ascii="Palatino Linotype" w:hAnsi="Palatino Linotype"/>
          <w:i/>
          <w:sz w:val="22"/>
          <w:szCs w:val="22"/>
        </w:rPr>
        <w:t>.- La persona titular de la presidencia municipal tiene las siguientes atribuciones:</w:t>
      </w:r>
    </w:p>
    <w:p w14:paraId="15CC4D1A" w14:textId="59C9FA55" w:rsidR="00DD6FA6" w:rsidRPr="00853B52" w:rsidRDefault="00DD6FA6" w:rsidP="00DD6FA6">
      <w:pPr>
        <w:spacing w:before="120" w:after="120"/>
        <w:ind w:left="851" w:right="902"/>
        <w:jc w:val="both"/>
        <w:rPr>
          <w:rFonts w:ascii="Palatino Linotype" w:eastAsia="Palatino Linotype" w:hAnsi="Palatino Linotype" w:cs="Palatino Linotype"/>
          <w:i/>
          <w:sz w:val="22"/>
          <w:szCs w:val="22"/>
        </w:rPr>
      </w:pPr>
      <w:r w:rsidRPr="00853B52">
        <w:rPr>
          <w:rFonts w:ascii="Palatino Linotype" w:hAnsi="Palatino Linotype"/>
          <w:i/>
          <w:sz w:val="22"/>
          <w:szCs w:val="22"/>
        </w:rPr>
        <w:t>...</w:t>
      </w:r>
    </w:p>
    <w:p w14:paraId="59B69D75" w14:textId="2F4EA015" w:rsidR="00DD6FA6" w:rsidRPr="00853B52" w:rsidRDefault="00DD6FA6" w:rsidP="00DD6FA6">
      <w:pPr>
        <w:spacing w:before="120" w:after="120"/>
        <w:ind w:left="851" w:right="902"/>
        <w:jc w:val="both"/>
        <w:rPr>
          <w:rFonts w:ascii="Palatino Linotype" w:eastAsia="Palatino Linotype" w:hAnsi="Palatino Linotype" w:cs="Palatino Linotype"/>
          <w:i/>
          <w:sz w:val="22"/>
          <w:szCs w:val="22"/>
        </w:rPr>
      </w:pPr>
      <w:r w:rsidRPr="00853B52">
        <w:rPr>
          <w:rFonts w:ascii="Palatino Linotype" w:hAnsi="Palatino Linotype"/>
          <w:b/>
          <w:i/>
          <w:sz w:val="22"/>
          <w:szCs w:val="22"/>
        </w:rPr>
        <w:t>V</w:t>
      </w:r>
      <w:r w:rsidRPr="00853B52">
        <w:rPr>
          <w:rFonts w:ascii="Palatino Linotype" w:hAnsi="Palatino Linotype"/>
          <w:i/>
          <w:sz w:val="22"/>
          <w:szCs w:val="22"/>
        </w:rPr>
        <w:t>. Convocar a sesiones ordinarias y extraordinarias a los integrantes del ayuntamiento;</w:t>
      </w:r>
    </w:p>
    <w:p w14:paraId="1460E2CD" w14:textId="17276315" w:rsidR="00B327B0" w:rsidRPr="00853B52" w:rsidRDefault="00DD6FA6" w:rsidP="00DD6FA6">
      <w:pPr>
        <w:spacing w:before="120" w:after="120"/>
        <w:ind w:left="851" w:right="902"/>
        <w:jc w:val="both"/>
        <w:rPr>
          <w:rFonts w:ascii="Palatino Linotype" w:eastAsia="Palatino Linotype" w:hAnsi="Palatino Linotype" w:cs="Palatino Linotype"/>
          <w:i/>
          <w:sz w:val="22"/>
          <w:szCs w:val="22"/>
        </w:rPr>
      </w:pPr>
      <w:r w:rsidRPr="00853B52">
        <w:rPr>
          <w:rFonts w:ascii="Palatino Linotype" w:eastAsia="Palatino Linotype" w:hAnsi="Palatino Linotype" w:cs="Palatino Linotype"/>
          <w:i/>
          <w:sz w:val="22"/>
          <w:szCs w:val="22"/>
        </w:rPr>
        <w:t>...</w:t>
      </w:r>
    </w:p>
    <w:p w14:paraId="5D10EA2E" w14:textId="1CFC5D1A" w:rsidR="00DD6FA6" w:rsidRPr="00853B52" w:rsidRDefault="00DD6FA6" w:rsidP="00DD6FA6">
      <w:pPr>
        <w:spacing w:before="120" w:after="120"/>
        <w:ind w:left="851" w:right="902"/>
        <w:jc w:val="both"/>
        <w:rPr>
          <w:rFonts w:ascii="Palatino Linotype" w:hAnsi="Palatino Linotype"/>
          <w:i/>
          <w:sz w:val="22"/>
          <w:szCs w:val="22"/>
        </w:rPr>
      </w:pPr>
      <w:r w:rsidRPr="00853B52">
        <w:rPr>
          <w:rFonts w:ascii="Palatino Linotype" w:hAnsi="Palatino Linotype"/>
          <w:b/>
          <w:i/>
          <w:sz w:val="22"/>
          <w:szCs w:val="22"/>
        </w:rPr>
        <w:t>Artículo 91.-</w:t>
      </w:r>
      <w:r w:rsidRPr="00853B52">
        <w:rPr>
          <w:rFonts w:ascii="Palatino Linotype" w:hAnsi="Palatino Linotype"/>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88C7BD9" w14:textId="3813EB5E" w:rsidR="00DD6FA6" w:rsidRPr="00853B52" w:rsidRDefault="00DD6FA6" w:rsidP="00DD6FA6">
      <w:pPr>
        <w:spacing w:before="120" w:after="120"/>
        <w:ind w:left="851" w:right="902"/>
        <w:jc w:val="both"/>
        <w:rPr>
          <w:rFonts w:ascii="Palatino Linotype" w:hAnsi="Palatino Linotype"/>
          <w:i/>
          <w:sz w:val="22"/>
          <w:szCs w:val="22"/>
        </w:rPr>
      </w:pPr>
      <w:r w:rsidRPr="00853B52">
        <w:rPr>
          <w:rFonts w:ascii="Palatino Linotype" w:hAnsi="Palatino Linotype"/>
          <w:i/>
          <w:sz w:val="22"/>
          <w:szCs w:val="22"/>
        </w:rPr>
        <w:t>...</w:t>
      </w:r>
    </w:p>
    <w:p w14:paraId="03E019DD" w14:textId="2DD47CA5" w:rsidR="00DD6FA6" w:rsidRPr="00853B52" w:rsidRDefault="00DD6FA6" w:rsidP="00DD6FA6">
      <w:pPr>
        <w:spacing w:before="120" w:after="120"/>
        <w:ind w:left="851" w:right="902"/>
        <w:jc w:val="both"/>
        <w:rPr>
          <w:rFonts w:ascii="Palatino Linotype" w:hAnsi="Palatino Linotype"/>
          <w:i/>
          <w:sz w:val="22"/>
          <w:szCs w:val="22"/>
        </w:rPr>
      </w:pPr>
      <w:r w:rsidRPr="00853B52">
        <w:rPr>
          <w:rFonts w:ascii="Palatino Linotype" w:hAnsi="Palatino Linotype"/>
          <w:b/>
          <w:i/>
          <w:sz w:val="22"/>
          <w:szCs w:val="22"/>
        </w:rPr>
        <w:t>II</w:t>
      </w:r>
      <w:r w:rsidRPr="00853B52">
        <w:rPr>
          <w:rFonts w:ascii="Palatino Linotype" w:hAnsi="Palatino Linotype"/>
          <w:i/>
          <w:sz w:val="22"/>
          <w:szCs w:val="22"/>
        </w:rPr>
        <w:t>. Emitir los citatorios para la celebración de las sesiones de cabildo, convocadas legalmente;”</w:t>
      </w:r>
    </w:p>
    <w:p w14:paraId="0CBBF779" w14:textId="77777777" w:rsidR="00DD6FA6" w:rsidRPr="00853B52" w:rsidRDefault="00DD6FA6" w:rsidP="00DD6FA6">
      <w:pPr>
        <w:spacing w:before="120" w:after="120"/>
        <w:ind w:left="851" w:right="902"/>
        <w:jc w:val="both"/>
        <w:rPr>
          <w:rFonts w:ascii="Palatino Linotype" w:hAnsi="Palatino Linotype"/>
          <w:i/>
          <w:sz w:val="22"/>
          <w:szCs w:val="22"/>
        </w:rPr>
      </w:pPr>
      <w:r w:rsidRPr="00853B52">
        <w:rPr>
          <w:rFonts w:ascii="Palatino Linotype" w:hAnsi="Palatino Linotype"/>
          <w:b/>
          <w:i/>
          <w:sz w:val="22"/>
          <w:szCs w:val="22"/>
        </w:rPr>
        <w:t>“Artículo 2.4.</w:t>
      </w:r>
      <w:r w:rsidRPr="00853B52">
        <w:rPr>
          <w:rFonts w:ascii="Palatino Linotype" w:hAnsi="Palatino Linotype"/>
          <w:i/>
          <w:sz w:val="22"/>
          <w:szCs w:val="22"/>
        </w:rPr>
        <w:t xml:space="preserve"> Son atribuciones de la Presidenta o Presidente Municipal, además de las señaladas en la Constitución Estatal y en la Ley Orgánica Municipal, las siguientes: </w:t>
      </w:r>
    </w:p>
    <w:p w14:paraId="1041A82F" w14:textId="77777777" w:rsidR="003C5037" w:rsidRPr="00853B52" w:rsidRDefault="00DD6FA6" w:rsidP="00DD6FA6">
      <w:pPr>
        <w:spacing w:before="120" w:after="120"/>
        <w:ind w:left="851" w:right="902"/>
        <w:jc w:val="both"/>
        <w:rPr>
          <w:rFonts w:ascii="Palatino Linotype" w:hAnsi="Palatino Linotype"/>
          <w:i/>
          <w:sz w:val="22"/>
          <w:szCs w:val="22"/>
        </w:rPr>
      </w:pPr>
      <w:r w:rsidRPr="00853B52">
        <w:rPr>
          <w:rFonts w:ascii="Palatino Linotype" w:hAnsi="Palatino Linotype"/>
          <w:b/>
          <w:i/>
          <w:sz w:val="22"/>
          <w:szCs w:val="22"/>
        </w:rPr>
        <w:t>I.</w:t>
      </w:r>
      <w:r w:rsidRPr="00853B52">
        <w:rPr>
          <w:rFonts w:ascii="Palatino Linotype" w:hAnsi="Palatino Linotype"/>
          <w:i/>
          <w:sz w:val="22"/>
          <w:szCs w:val="22"/>
        </w:rPr>
        <w:t xml:space="preserve"> </w:t>
      </w:r>
      <w:r w:rsidRPr="00853B52">
        <w:rPr>
          <w:rFonts w:ascii="Palatino Linotype" w:hAnsi="Palatino Linotype"/>
          <w:b/>
          <w:i/>
          <w:sz w:val="22"/>
          <w:szCs w:val="22"/>
        </w:rPr>
        <w:t xml:space="preserve">Convocar </w:t>
      </w:r>
      <w:r w:rsidRPr="00853B52">
        <w:rPr>
          <w:rFonts w:ascii="Palatino Linotype" w:hAnsi="Palatino Linotype"/>
          <w:b/>
          <w:i/>
          <w:sz w:val="22"/>
          <w:szCs w:val="22"/>
          <w:u w:val="single"/>
        </w:rPr>
        <w:t>a las y los integrantes del Ayuntamiento y a la o el Representante Indígena</w:t>
      </w:r>
      <w:r w:rsidRPr="00853B52">
        <w:rPr>
          <w:rFonts w:ascii="Palatino Linotype" w:hAnsi="Palatino Linotype"/>
          <w:b/>
          <w:i/>
          <w:sz w:val="22"/>
          <w:szCs w:val="22"/>
        </w:rPr>
        <w:t xml:space="preserve"> ante el Ayuntamiento</w:t>
      </w:r>
      <w:r w:rsidRPr="00853B52">
        <w:rPr>
          <w:rFonts w:ascii="Palatino Linotype" w:hAnsi="Palatino Linotype"/>
          <w:i/>
          <w:sz w:val="22"/>
          <w:szCs w:val="22"/>
        </w:rPr>
        <w:t xml:space="preserve"> </w:t>
      </w:r>
      <w:r w:rsidRPr="00853B52">
        <w:rPr>
          <w:rFonts w:ascii="Palatino Linotype" w:hAnsi="Palatino Linotype"/>
          <w:b/>
          <w:i/>
          <w:sz w:val="22"/>
          <w:szCs w:val="22"/>
        </w:rPr>
        <w:t xml:space="preserve">a las Sesiones de Cabildo, </w:t>
      </w:r>
      <w:r w:rsidRPr="00853B52">
        <w:rPr>
          <w:rFonts w:ascii="Palatino Linotype" w:hAnsi="Palatino Linotype"/>
          <w:b/>
          <w:i/>
          <w:sz w:val="22"/>
          <w:szCs w:val="22"/>
          <w:u w:val="single"/>
        </w:rPr>
        <w:t>por conducto de la Secretaría del Ayuntamiento</w:t>
      </w:r>
      <w:r w:rsidRPr="00853B52">
        <w:rPr>
          <w:rFonts w:ascii="Palatino Linotype" w:hAnsi="Palatino Linotype"/>
          <w:i/>
          <w:sz w:val="22"/>
          <w:szCs w:val="22"/>
        </w:rPr>
        <w:t>;</w:t>
      </w:r>
    </w:p>
    <w:p w14:paraId="65676AC0" w14:textId="5AD8DBB2" w:rsidR="003C5037" w:rsidRPr="00853B52" w:rsidRDefault="003C5037" w:rsidP="00DD6FA6">
      <w:pPr>
        <w:spacing w:before="120" w:after="120"/>
        <w:ind w:left="851" w:right="902"/>
        <w:jc w:val="both"/>
        <w:rPr>
          <w:rFonts w:ascii="Palatino Linotype" w:hAnsi="Palatino Linotype"/>
          <w:b/>
          <w:sz w:val="22"/>
          <w:szCs w:val="22"/>
        </w:rPr>
      </w:pPr>
      <w:r w:rsidRPr="00853B52">
        <w:rPr>
          <w:rFonts w:ascii="Palatino Linotype" w:hAnsi="Palatino Linotype"/>
          <w:b/>
          <w:sz w:val="22"/>
          <w:szCs w:val="22"/>
        </w:rPr>
        <w:t>...</w:t>
      </w:r>
    </w:p>
    <w:p w14:paraId="49A34AAC" w14:textId="34FCDFB4" w:rsidR="00DD6FA6" w:rsidRPr="00853B52" w:rsidRDefault="003C5037" w:rsidP="003C5037">
      <w:pPr>
        <w:spacing w:before="120" w:after="120"/>
        <w:ind w:left="851" w:right="902"/>
        <w:jc w:val="both"/>
        <w:rPr>
          <w:rFonts w:ascii="Palatino Linotype" w:hAnsi="Palatino Linotype"/>
          <w:i/>
          <w:sz w:val="22"/>
          <w:szCs w:val="22"/>
        </w:rPr>
      </w:pPr>
      <w:r w:rsidRPr="00853B52">
        <w:rPr>
          <w:rFonts w:ascii="Palatino Linotype" w:hAnsi="Palatino Linotype"/>
          <w:b/>
          <w:i/>
          <w:sz w:val="22"/>
          <w:szCs w:val="22"/>
        </w:rPr>
        <w:t>Artículo 2.22</w:t>
      </w:r>
      <w:r w:rsidRPr="00853B52">
        <w:rPr>
          <w:rFonts w:ascii="Palatino Linotype" w:hAnsi="Palatino Linotype"/>
          <w:i/>
          <w:sz w:val="22"/>
          <w:szCs w:val="22"/>
        </w:rPr>
        <w:t xml:space="preserve">. </w:t>
      </w:r>
      <w:r w:rsidRPr="00853B52">
        <w:rPr>
          <w:rFonts w:ascii="Palatino Linotype" w:hAnsi="Palatino Linotype"/>
          <w:b/>
          <w:i/>
          <w:sz w:val="22"/>
          <w:szCs w:val="22"/>
        </w:rPr>
        <w:t>La Presidenta o el Presidente Municipal</w:t>
      </w:r>
      <w:r w:rsidRPr="00853B52">
        <w:rPr>
          <w:rFonts w:ascii="Palatino Linotype" w:hAnsi="Palatino Linotype"/>
          <w:i/>
          <w:sz w:val="22"/>
          <w:szCs w:val="22"/>
        </w:rPr>
        <w:t xml:space="preserve"> es la autoridad convocante a la celebración de las sesiones de Cabildo, </w:t>
      </w:r>
      <w:r w:rsidRPr="00853B52">
        <w:rPr>
          <w:rFonts w:ascii="Palatino Linotype" w:hAnsi="Palatino Linotype"/>
          <w:b/>
          <w:i/>
          <w:sz w:val="22"/>
          <w:szCs w:val="22"/>
          <w:u w:val="single"/>
        </w:rPr>
        <w:t>por conducto de la Secretaría del Ayuntamiento</w:t>
      </w:r>
      <w:r w:rsidRPr="00853B52">
        <w:rPr>
          <w:rFonts w:ascii="Palatino Linotype" w:hAnsi="Palatino Linotype"/>
          <w:i/>
          <w:sz w:val="22"/>
          <w:szCs w:val="22"/>
        </w:rPr>
        <w:t>.</w:t>
      </w:r>
      <w:r w:rsidR="00DD6FA6" w:rsidRPr="00853B52">
        <w:rPr>
          <w:rFonts w:ascii="Palatino Linotype" w:hAnsi="Palatino Linotype"/>
          <w:i/>
          <w:sz w:val="22"/>
          <w:szCs w:val="22"/>
        </w:rPr>
        <w:t>”</w:t>
      </w:r>
    </w:p>
    <w:p w14:paraId="00DEF720" w14:textId="65AF08BB" w:rsidR="00996255" w:rsidRPr="00853B52" w:rsidRDefault="00F76321" w:rsidP="00996255">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En este orden de ideas </w:t>
      </w:r>
      <w:r w:rsidR="00996255" w:rsidRPr="00853B52">
        <w:rPr>
          <w:rFonts w:ascii="Palatino Linotype" w:eastAsia="Palatino Linotype" w:hAnsi="Palatino Linotype" w:cs="Palatino Linotype"/>
          <w:sz w:val="22"/>
          <w:szCs w:val="22"/>
        </w:rPr>
        <w:t>se considera que en el presente asunto se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8F6FB44" w14:textId="52338CCA" w:rsidR="00846647" w:rsidRPr="00853B52" w:rsidRDefault="00996255" w:rsidP="00F76321">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En segundo lugar, </w:t>
      </w:r>
      <w:r w:rsidR="00846647" w:rsidRPr="00853B52">
        <w:rPr>
          <w:rFonts w:ascii="Palatino Linotype" w:eastAsia="Palatino Linotype" w:hAnsi="Palatino Linotype" w:cs="Palatino Linotype"/>
          <w:sz w:val="22"/>
          <w:szCs w:val="22"/>
        </w:rPr>
        <w:t>por lo que se refiere a la materia de la solicitud, es preciso señalar que esta se fundamenta en el cuarto párrafo del artículo 28 de la Ley Orgánica Municipal, que dispone lo siguiente:</w:t>
      </w:r>
    </w:p>
    <w:p w14:paraId="1EAD05DD" w14:textId="6F9A7007" w:rsidR="00846647" w:rsidRPr="00853B52" w:rsidRDefault="00846647" w:rsidP="00846647">
      <w:pPr>
        <w:spacing w:before="240" w:after="240"/>
        <w:ind w:left="851" w:right="900"/>
        <w:jc w:val="both"/>
        <w:rPr>
          <w:rFonts w:ascii="Palatino Linotype" w:hAnsi="Palatino Linotype"/>
          <w:i/>
          <w:sz w:val="22"/>
          <w:szCs w:val="22"/>
        </w:rPr>
      </w:pPr>
      <w:r w:rsidRPr="00853B52">
        <w:rPr>
          <w:rFonts w:ascii="Palatino Linotype" w:eastAsia="Palatino Linotype" w:hAnsi="Palatino Linotype" w:cs="Palatino Linotype"/>
          <w:i/>
          <w:sz w:val="22"/>
          <w:szCs w:val="22"/>
        </w:rPr>
        <w:t>“</w:t>
      </w:r>
      <w:r w:rsidRPr="00853B52">
        <w:rPr>
          <w:rFonts w:ascii="Palatino Linotype" w:hAnsi="Palatino Linotype"/>
          <w:b/>
          <w:i/>
          <w:sz w:val="22"/>
          <w:szCs w:val="22"/>
        </w:rPr>
        <w:t>Artículo 28</w:t>
      </w:r>
      <w:r w:rsidRPr="00853B52">
        <w:rPr>
          <w:rFonts w:ascii="Palatino Linotype" w:hAnsi="Palatino Linotype"/>
          <w:i/>
          <w:sz w:val="22"/>
          <w:szCs w:val="22"/>
        </w:rPr>
        <w:t>...</w:t>
      </w:r>
    </w:p>
    <w:p w14:paraId="12C8ABE4" w14:textId="0A2060C0" w:rsidR="00846647" w:rsidRPr="00853B52" w:rsidRDefault="00846647" w:rsidP="00846647">
      <w:pPr>
        <w:spacing w:before="240" w:after="240"/>
        <w:ind w:left="851" w:right="900"/>
        <w:jc w:val="both"/>
        <w:rPr>
          <w:rFonts w:ascii="Palatino Linotype" w:eastAsia="Palatino Linotype" w:hAnsi="Palatino Linotype" w:cs="Palatino Linotype"/>
          <w:i/>
          <w:sz w:val="22"/>
          <w:szCs w:val="22"/>
        </w:rPr>
      </w:pPr>
      <w:r w:rsidRPr="00853B52">
        <w:rPr>
          <w:rFonts w:ascii="Palatino Linotype" w:hAnsi="Palatino Linotype"/>
          <w:i/>
          <w:sz w:val="22"/>
          <w:szCs w:val="22"/>
        </w:rPr>
        <w:t xml:space="preserve">Los Ayuntamientos </w:t>
      </w:r>
      <w:r w:rsidRPr="00853B52">
        <w:rPr>
          <w:rFonts w:ascii="Palatino Linotype" w:hAnsi="Palatino Linotype"/>
          <w:b/>
          <w:i/>
          <w:sz w:val="22"/>
          <w:szCs w:val="22"/>
          <w:u w:val="single"/>
        </w:rPr>
        <w:t>deberán publicar el orden del día</w:t>
      </w:r>
      <w:r w:rsidRPr="00853B52">
        <w:rPr>
          <w:rFonts w:ascii="Palatino Linotype" w:hAnsi="Palatino Linotype"/>
          <w:b/>
          <w:i/>
          <w:sz w:val="22"/>
          <w:szCs w:val="22"/>
        </w:rPr>
        <w:t xml:space="preserve"> con un mínimo de doce horas antes de la realización de las sesiones de cabildo en cualquiera de sus modalidades, </w:t>
      </w:r>
      <w:r w:rsidRPr="00853B52">
        <w:rPr>
          <w:rFonts w:ascii="Palatino Linotype" w:hAnsi="Palatino Linotype"/>
          <w:b/>
          <w:i/>
          <w:sz w:val="22"/>
          <w:szCs w:val="22"/>
          <w:u w:val="single"/>
        </w:rPr>
        <w:t>en la página de internet del municipio</w:t>
      </w:r>
      <w:r w:rsidRPr="00853B52">
        <w:rPr>
          <w:rFonts w:ascii="Palatino Linotype" w:hAnsi="Palatino Linotype"/>
          <w:b/>
          <w:i/>
          <w:sz w:val="22"/>
          <w:szCs w:val="22"/>
        </w:rPr>
        <w:t xml:space="preserve">, </w:t>
      </w:r>
      <w:r w:rsidRPr="00853B52">
        <w:rPr>
          <w:rFonts w:ascii="Palatino Linotype" w:hAnsi="Palatino Linotype"/>
          <w:b/>
          <w:i/>
          <w:sz w:val="22"/>
          <w:szCs w:val="22"/>
          <w:u w:val="single"/>
        </w:rPr>
        <w:t>así como en los estrados de la Secretaría del Ayuntamiento</w:t>
      </w:r>
      <w:r w:rsidRPr="00853B52">
        <w:rPr>
          <w:rFonts w:ascii="Palatino Linotype" w:hAnsi="Palatino Linotype"/>
          <w:b/>
          <w:i/>
          <w:sz w:val="22"/>
          <w:szCs w:val="22"/>
        </w:rPr>
        <w:t>,</w:t>
      </w:r>
      <w:r w:rsidRPr="00853B52">
        <w:rPr>
          <w:rFonts w:ascii="Palatino Linotype" w:hAnsi="Palatino Linotype"/>
          <w:i/>
          <w:sz w:val="22"/>
          <w:szCs w:val="22"/>
        </w:rPr>
        <w:t xml:space="preserve"> salvo en los casos justificados de emergencia, desastre, amenaza, peligro o riesgo de acuerdo con el Código Administrativo del Estado de México.”</w:t>
      </w:r>
    </w:p>
    <w:p w14:paraId="7E981048" w14:textId="074A476F" w:rsidR="00846647" w:rsidRPr="00853B52" w:rsidRDefault="00CB3077" w:rsidP="00F76321">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Como se advierte,</w:t>
      </w:r>
      <w:r w:rsidR="005A6094" w:rsidRPr="00853B52">
        <w:rPr>
          <w:rFonts w:ascii="Palatino Linotype" w:eastAsia="Palatino Linotype" w:hAnsi="Palatino Linotype" w:cs="Palatino Linotype"/>
          <w:sz w:val="22"/>
          <w:szCs w:val="22"/>
        </w:rPr>
        <w:t xml:space="preserve"> </w:t>
      </w:r>
      <w:r w:rsidRPr="00853B52">
        <w:rPr>
          <w:rFonts w:ascii="Palatino Linotype" w:eastAsia="Palatino Linotype" w:hAnsi="Palatino Linotype" w:cs="Palatino Linotype"/>
          <w:sz w:val="22"/>
          <w:szCs w:val="22"/>
        </w:rPr>
        <w:t xml:space="preserve">el precepto en cita </w:t>
      </w:r>
      <w:r w:rsidR="001952A5" w:rsidRPr="00853B52">
        <w:rPr>
          <w:rFonts w:ascii="Palatino Linotype" w:eastAsia="Palatino Linotype" w:hAnsi="Palatino Linotype" w:cs="Palatino Linotype"/>
          <w:sz w:val="22"/>
          <w:szCs w:val="22"/>
        </w:rPr>
        <w:t xml:space="preserve">dispone que </w:t>
      </w:r>
      <w:r w:rsidRPr="00853B52">
        <w:rPr>
          <w:rFonts w:ascii="Palatino Linotype" w:eastAsia="Palatino Linotype" w:hAnsi="Palatino Linotype" w:cs="Palatino Linotype"/>
          <w:sz w:val="22"/>
          <w:szCs w:val="22"/>
        </w:rPr>
        <w:t>los ayuntamientos debe</w:t>
      </w:r>
      <w:r w:rsidR="001952A5" w:rsidRPr="00853B52">
        <w:rPr>
          <w:rFonts w:ascii="Palatino Linotype" w:eastAsia="Palatino Linotype" w:hAnsi="Palatino Linotype" w:cs="Palatino Linotype"/>
          <w:sz w:val="22"/>
          <w:szCs w:val="22"/>
        </w:rPr>
        <w:t>n</w:t>
      </w:r>
      <w:r w:rsidRPr="00853B52">
        <w:rPr>
          <w:rFonts w:ascii="Palatino Linotype" w:eastAsia="Palatino Linotype" w:hAnsi="Palatino Linotype" w:cs="Palatino Linotype"/>
          <w:sz w:val="22"/>
          <w:szCs w:val="22"/>
        </w:rPr>
        <w:t xml:space="preserve"> de publicar </w:t>
      </w:r>
      <w:r w:rsidRPr="00853B52">
        <w:rPr>
          <w:rFonts w:ascii="Palatino Linotype" w:eastAsia="Palatino Linotype" w:hAnsi="Palatino Linotype" w:cs="Palatino Linotype"/>
          <w:sz w:val="22"/>
          <w:szCs w:val="22"/>
          <w:u w:val="single"/>
        </w:rPr>
        <w:t>el orden del día</w:t>
      </w:r>
      <w:r w:rsidR="001952A5" w:rsidRPr="00853B52">
        <w:rPr>
          <w:rFonts w:ascii="Palatino Linotype" w:eastAsia="Palatino Linotype" w:hAnsi="Palatino Linotype" w:cs="Palatino Linotype"/>
          <w:sz w:val="22"/>
          <w:szCs w:val="22"/>
          <w:u w:val="single"/>
        </w:rPr>
        <w:t xml:space="preserve"> de las sesiones</w:t>
      </w:r>
      <w:r w:rsidR="001952A5" w:rsidRPr="00853B52">
        <w:rPr>
          <w:rFonts w:ascii="Palatino Linotype" w:eastAsia="Palatino Linotype" w:hAnsi="Palatino Linotype" w:cs="Palatino Linotype"/>
          <w:sz w:val="22"/>
          <w:szCs w:val="22"/>
        </w:rPr>
        <w:t xml:space="preserve"> de cabildo en cualquiera de sus modalidades, </w:t>
      </w:r>
      <w:r w:rsidRPr="00853B52">
        <w:rPr>
          <w:rFonts w:ascii="Palatino Linotype" w:eastAsia="Palatino Linotype" w:hAnsi="Palatino Linotype" w:cs="Palatino Linotype"/>
          <w:sz w:val="22"/>
          <w:szCs w:val="22"/>
        </w:rPr>
        <w:t xml:space="preserve">mínimo doce horas antes de la realización de las </w:t>
      </w:r>
      <w:r w:rsidR="001952A5" w:rsidRPr="00853B52">
        <w:rPr>
          <w:rFonts w:ascii="Palatino Linotype" w:eastAsia="Palatino Linotype" w:hAnsi="Palatino Linotype" w:cs="Palatino Linotype"/>
          <w:sz w:val="22"/>
          <w:szCs w:val="22"/>
        </w:rPr>
        <w:t>mismas</w:t>
      </w:r>
      <w:r w:rsidRPr="00853B52">
        <w:rPr>
          <w:rFonts w:ascii="Palatino Linotype" w:eastAsia="Palatino Linotype" w:hAnsi="Palatino Linotype" w:cs="Palatino Linotype"/>
          <w:sz w:val="22"/>
          <w:szCs w:val="22"/>
        </w:rPr>
        <w:t>, en la página de internet del municipio y en los estrados de la Secretaría del Ayuntamiento</w:t>
      </w:r>
      <w:r w:rsidR="0083576E" w:rsidRPr="00853B52">
        <w:rPr>
          <w:rFonts w:ascii="Palatino Linotype" w:eastAsia="Palatino Linotype" w:hAnsi="Palatino Linotype" w:cs="Palatino Linotype"/>
          <w:sz w:val="22"/>
          <w:szCs w:val="22"/>
        </w:rPr>
        <w:t>, n</w:t>
      </w:r>
      <w:r w:rsidR="005A6094" w:rsidRPr="00853B52">
        <w:rPr>
          <w:rFonts w:ascii="Palatino Linotype" w:eastAsia="Palatino Linotype" w:hAnsi="Palatino Linotype" w:cs="Palatino Linotype"/>
          <w:sz w:val="22"/>
          <w:szCs w:val="22"/>
        </w:rPr>
        <w:t xml:space="preserve">o obstante, </w:t>
      </w:r>
      <w:r w:rsidR="0083576E" w:rsidRPr="00853B52">
        <w:rPr>
          <w:rFonts w:ascii="Palatino Linotype" w:eastAsia="Palatino Linotype" w:hAnsi="Palatino Linotype" w:cs="Palatino Linotype"/>
          <w:sz w:val="22"/>
          <w:szCs w:val="22"/>
        </w:rPr>
        <w:t>es de señalar que dicho precepto no establece las formalidades para cumplir con dicha obligación.</w:t>
      </w:r>
    </w:p>
    <w:p w14:paraId="607DEA0E" w14:textId="71B1561E" w:rsidR="00D945F5" w:rsidRPr="00853B52" w:rsidRDefault="00AA2E3A" w:rsidP="002F1108">
      <w:pPr>
        <w:spacing w:before="240" w:after="240" w:line="360" w:lineRule="auto"/>
        <w:ind w:right="51"/>
        <w:jc w:val="both"/>
        <w:rPr>
          <w:rFonts w:ascii="Palatino Linotype" w:hAnsi="Palatino Linotype"/>
          <w:sz w:val="22"/>
          <w:szCs w:val="22"/>
        </w:rPr>
      </w:pPr>
      <w:r w:rsidRPr="00853B52">
        <w:rPr>
          <w:rFonts w:ascii="Palatino Linotype" w:eastAsia="Palatino Linotype" w:hAnsi="Palatino Linotype" w:cs="Palatino Linotype"/>
          <w:sz w:val="22"/>
          <w:szCs w:val="22"/>
        </w:rPr>
        <w:t xml:space="preserve">En este sentido, </w:t>
      </w:r>
      <w:r w:rsidR="00996255" w:rsidRPr="00853B52">
        <w:rPr>
          <w:rFonts w:ascii="Palatino Linotype" w:eastAsia="Palatino Linotype" w:hAnsi="Palatino Linotype" w:cs="Palatino Linotype"/>
          <w:sz w:val="22"/>
          <w:szCs w:val="22"/>
        </w:rPr>
        <w:t xml:space="preserve">es de recordar que la persona servidora pública habilitada competente, en atención a la solicitud, </w:t>
      </w:r>
      <w:r w:rsidR="00F76321" w:rsidRPr="00853B52">
        <w:rPr>
          <w:rFonts w:ascii="Palatino Linotype" w:eastAsia="Palatino Linotype" w:hAnsi="Palatino Linotype" w:cs="Palatino Linotype"/>
          <w:sz w:val="22"/>
          <w:szCs w:val="22"/>
        </w:rPr>
        <w:t xml:space="preserve">manifestó que </w:t>
      </w:r>
      <w:r w:rsidR="00F76321" w:rsidRPr="00853B52">
        <w:rPr>
          <w:rFonts w:ascii="Palatino Linotype" w:hAnsi="Palatino Linotype"/>
          <w:sz w:val="22"/>
          <w:szCs w:val="22"/>
        </w:rPr>
        <w:t>no se ha</w:t>
      </w:r>
      <w:r w:rsidRPr="00853B52">
        <w:rPr>
          <w:rFonts w:ascii="Palatino Linotype" w:hAnsi="Palatino Linotype"/>
          <w:sz w:val="22"/>
          <w:szCs w:val="22"/>
        </w:rPr>
        <w:t>bía</w:t>
      </w:r>
      <w:r w:rsidR="00F76321" w:rsidRPr="00853B52">
        <w:rPr>
          <w:rFonts w:ascii="Palatino Linotype" w:hAnsi="Palatino Linotype"/>
          <w:sz w:val="22"/>
          <w:szCs w:val="22"/>
        </w:rPr>
        <w:t xml:space="preserve"> solicitado por oficio la publicación del orden del </w:t>
      </w:r>
      <w:r w:rsidRPr="00853B52">
        <w:rPr>
          <w:rFonts w:ascii="Palatino Linotype" w:hAnsi="Palatino Linotype"/>
          <w:sz w:val="22"/>
          <w:szCs w:val="22"/>
        </w:rPr>
        <w:t>día de las sesiones de cabildo</w:t>
      </w:r>
      <w:r w:rsidR="00D945F5" w:rsidRPr="00853B52">
        <w:rPr>
          <w:rFonts w:ascii="Palatino Linotype" w:hAnsi="Palatino Linotype"/>
          <w:sz w:val="22"/>
          <w:szCs w:val="22"/>
        </w:rPr>
        <w:t>.</w:t>
      </w:r>
    </w:p>
    <w:p w14:paraId="3B41B383" w14:textId="76E07F67" w:rsidR="00D945F5" w:rsidRPr="00853B52" w:rsidRDefault="00D945F5" w:rsidP="002F1108">
      <w:pPr>
        <w:spacing w:before="240" w:after="240" w:line="360" w:lineRule="auto"/>
        <w:ind w:right="51"/>
        <w:jc w:val="both"/>
        <w:rPr>
          <w:rFonts w:ascii="Palatino Linotype" w:hAnsi="Palatino Linotype"/>
          <w:sz w:val="22"/>
          <w:szCs w:val="22"/>
        </w:rPr>
      </w:pPr>
      <w:r w:rsidRPr="00853B52">
        <w:rPr>
          <w:rFonts w:ascii="Palatino Linotype" w:hAnsi="Palatino Linotype"/>
          <w:sz w:val="22"/>
          <w:szCs w:val="22"/>
        </w:rPr>
        <w:t xml:space="preserve">Cabe mencionar que de conformidad con el artículo 2.22 del Código Reglamentario Municipal de Toluca, </w:t>
      </w:r>
      <w:r w:rsidR="00906D1F" w:rsidRPr="00853B52">
        <w:rPr>
          <w:rFonts w:ascii="Palatino Linotype" w:hAnsi="Palatino Linotype"/>
          <w:sz w:val="22"/>
          <w:szCs w:val="22"/>
        </w:rPr>
        <w:t>la convocatoria que se expida para la celebración de las sesiones de Cabildo se acompañará del orden del día, el cual deberá contener los requisitos señalados en el artículo 2.18 del Código en cita</w:t>
      </w:r>
      <w:r w:rsidR="007C1AEB" w:rsidRPr="00853B52">
        <w:rPr>
          <w:rFonts w:ascii="Palatino Linotype" w:hAnsi="Palatino Linotype"/>
          <w:sz w:val="22"/>
          <w:szCs w:val="22"/>
        </w:rPr>
        <w:t>, a saber:</w:t>
      </w:r>
    </w:p>
    <w:p w14:paraId="1F10599A"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i/>
          <w:sz w:val="22"/>
        </w:rPr>
        <w:t>“</w:t>
      </w:r>
      <w:r w:rsidRPr="00853B52">
        <w:rPr>
          <w:rFonts w:ascii="Palatino Linotype" w:hAnsi="Palatino Linotype"/>
          <w:b/>
          <w:i/>
          <w:sz w:val="22"/>
        </w:rPr>
        <w:t>Artículo 2.18</w:t>
      </w:r>
      <w:r w:rsidRPr="00853B52">
        <w:rPr>
          <w:rFonts w:ascii="Palatino Linotype" w:hAnsi="Palatino Linotype"/>
          <w:i/>
          <w:sz w:val="22"/>
        </w:rPr>
        <w:t xml:space="preserve">. Las sesiones ordinarias de Cabildo, se desarrollarán conforme al orden siguiente: </w:t>
      </w:r>
    </w:p>
    <w:p w14:paraId="26A0C556"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b/>
          <w:i/>
          <w:sz w:val="22"/>
        </w:rPr>
        <w:t>I.</w:t>
      </w:r>
      <w:r w:rsidRPr="00853B52">
        <w:rPr>
          <w:rFonts w:ascii="Palatino Linotype" w:hAnsi="Palatino Linotype"/>
          <w:i/>
          <w:sz w:val="22"/>
        </w:rPr>
        <w:t xml:space="preserve"> Loa a la bandera;</w:t>
      </w:r>
    </w:p>
    <w:p w14:paraId="532C975C"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b/>
          <w:i/>
          <w:sz w:val="22"/>
        </w:rPr>
        <w:t>II.</w:t>
      </w:r>
      <w:r w:rsidRPr="00853B52">
        <w:rPr>
          <w:rFonts w:ascii="Palatino Linotype" w:hAnsi="Palatino Linotype"/>
          <w:i/>
          <w:sz w:val="22"/>
        </w:rPr>
        <w:t xml:space="preserve"> Lista de asistencia y en su caso declaración de quórum legal; </w:t>
      </w:r>
    </w:p>
    <w:p w14:paraId="4D3C81F0"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b/>
          <w:i/>
          <w:sz w:val="22"/>
        </w:rPr>
        <w:t>III.</w:t>
      </w:r>
      <w:r w:rsidRPr="00853B52">
        <w:rPr>
          <w:rFonts w:ascii="Palatino Linotype" w:hAnsi="Palatino Linotype"/>
          <w:i/>
          <w:sz w:val="22"/>
        </w:rPr>
        <w:t xml:space="preserve"> Lectura y en su caso aprobación del orden del día y registro de asuntos generales; </w:t>
      </w:r>
    </w:p>
    <w:p w14:paraId="4B937CF0"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b/>
          <w:i/>
          <w:sz w:val="22"/>
        </w:rPr>
        <w:t>IV</w:t>
      </w:r>
      <w:r w:rsidRPr="00853B52">
        <w:rPr>
          <w:rFonts w:ascii="Palatino Linotype" w:hAnsi="Palatino Linotype"/>
          <w:i/>
          <w:sz w:val="22"/>
        </w:rPr>
        <w:t xml:space="preserve">. Lectura o dispensa de la lectura del acta de la sesión anterior, aprobación y firma; </w:t>
      </w:r>
    </w:p>
    <w:p w14:paraId="76287E3B"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b/>
          <w:i/>
          <w:sz w:val="22"/>
        </w:rPr>
        <w:t>V</w:t>
      </w:r>
      <w:r w:rsidRPr="00853B52">
        <w:rPr>
          <w:rFonts w:ascii="Palatino Linotype" w:hAnsi="Palatino Linotype"/>
          <w:i/>
          <w:sz w:val="22"/>
        </w:rPr>
        <w:t xml:space="preserve">. Desahogo de los asuntos; </w:t>
      </w:r>
    </w:p>
    <w:p w14:paraId="5D7040B8"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b/>
          <w:i/>
          <w:sz w:val="22"/>
        </w:rPr>
        <w:t>VI</w:t>
      </w:r>
      <w:r w:rsidRPr="00853B52">
        <w:rPr>
          <w:rFonts w:ascii="Palatino Linotype" w:hAnsi="Palatino Linotype"/>
          <w:i/>
          <w:sz w:val="22"/>
        </w:rPr>
        <w:t xml:space="preserve">. Asuntos generales; y </w:t>
      </w:r>
    </w:p>
    <w:p w14:paraId="5C7986C0" w14:textId="77777777" w:rsidR="007C1AEB" w:rsidRPr="00853B52" w:rsidRDefault="007C1AEB" w:rsidP="007C1AEB">
      <w:pPr>
        <w:spacing w:before="120" w:after="120"/>
        <w:ind w:left="851" w:right="902"/>
        <w:jc w:val="both"/>
        <w:rPr>
          <w:rFonts w:ascii="Palatino Linotype" w:hAnsi="Palatino Linotype"/>
          <w:i/>
          <w:sz w:val="22"/>
        </w:rPr>
      </w:pPr>
      <w:r w:rsidRPr="00853B52">
        <w:rPr>
          <w:rFonts w:ascii="Palatino Linotype" w:hAnsi="Palatino Linotype"/>
          <w:b/>
          <w:i/>
          <w:sz w:val="22"/>
        </w:rPr>
        <w:t>VII.</w:t>
      </w:r>
      <w:r w:rsidRPr="00853B52">
        <w:rPr>
          <w:rFonts w:ascii="Palatino Linotype" w:hAnsi="Palatino Linotype"/>
          <w:i/>
          <w:sz w:val="22"/>
        </w:rPr>
        <w:t xml:space="preserve"> Clausura de la sesión. </w:t>
      </w:r>
    </w:p>
    <w:p w14:paraId="1D849698" w14:textId="3D334E7D" w:rsidR="007C1AEB" w:rsidRPr="00853B52" w:rsidRDefault="007C1AEB" w:rsidP="007C1AEB">
      <w:pPr>
        <w:spacing w:before="120" w:after="120"/>
        <w:ind w:left="851" w:right="902"/>
        <w:jc w:val="both"/>
        <w:rPr>
          <w:rFonts w:ascii="Palatino Linotype" w:hAnsi="Palatino Linotype"/>
          <w:i/>
          <w:sz w:val="20"/>
          <w:szCs w:val="22"/>
        </w:rPr>
      </w:pPr>
      <w:r w:rsidRPr="00853B52">
        <w:rPr>
          <w:rFonts w:ascii="Palatino Linotype" w:hAnsi="Palatino Linotype"/>
          <w:i/>
          <w:sz w:val="22"/>
        </w:rPr>
        <w:t>Para el desahogo de las sesiones de cabildo abierto, extraordinarias o solemnes, no se registrarán asuntos generales.”</w:t>
      </w:r>
    </w:p>
    <w:p w14:paraId="14529701" w14:textId="330DCEFB" w:rsidR="00A7177C" w:rsidRPr="00853B52" w:rsidRDefault="00A7177C" w:rsidP="002F1108">
      <w:pPr>
        <w:spacing w:before="240" w:after="240" w:line="360" w:lineRule="auto"/>
        <w:ind w:right="51"/>
        <w:jc w:val="both"/>
        <w:rPr>
          <w:rFonts w:ascii="Palatino Linotype" w:hAnsi="Palatino Linotype"/>
          <w:sz w:val="22"/>
          <w:szCs w:val="22"/>
        </w:rPr>
      </w:pPr>
      <w:r w:rsidRPr="00853B52">
        <w:rPr>
          <w:rFonts w:ascii="Palatino Linotype" w:hAnsi="Palatino Linotype"/>
          <w:sz w:val="22"/>
          <w:szCs w:val="22"/>
        </w:rPr>
        <w:t xml:space="preserve">Sin embargo, es de recalcar que el </w:t>
      </w:r>
      <w:r w:rsidR="007C1AEB" w:rsidRPr="00853B52">
        <w:rPr>
          <w:rFonts w:ascii="Palatino Linotype" w:hAnsi="Palatino Linotype"/>
          <w:sz w:val="22"/>
          <w:szCs w:val="22"/>
        </w:rPr>
        <w:t xml:space="preserve">artículo 28, párrafo cuarto de la </w:t>
      </w:r>
      <w:r w:rsidR="007C1AEB" w:rsidRPr="00853B52">
        <w:rPr>
          <w:rFonts w:ascii="Palatino Linotype" w:eastAsia="Palatino Linotype" w:hAnsi="Palatino Linotype" w:cs="Palatino Linotype"/>
          <w:sz w:val="22"/>
          <w:szCs w:val="22"/>
        </w:rPr>
        <w:t xml:space="preserve">Ley Orgánica Municipal, constriñe al </w:t>
      </w:r>
      <w:r w:rsidR="007C1AEB" w:rsidRPr="00853B52">
        <w:rPr>
          <w:rFonts w:ascii="Palatino Linotype" w:eastAsia="Palatino Linotype" w:hAnsi="Palatino Linotype" w:cs="Palatino Linotype"/>
          <w:b/>
          <w:sz w:val="22"/>
          <w:szCs w:val="22"/>
        </w:rPr>
        <w:t>Sujeto Obligado</w:t>
      </w:r>
      <w:r w:rsidR="007C1AEB" w:rsidRPr="00853B52">
        <w:rPr>
          <w:rFonts w:ascii="Palatino Linotype" w:eastAsia="Palatino Linotype" w:hAnsi="Palatino Linotype" w:cs="Palatino Linotype"/>
          <w:sz w:val="22"/>
          <w:szCs w:val="22"/>
        </w:rPr>
        <w:t xml:space="preserve"> a publicar únicamente el orden del día, no así la convocatoria, la cual se realiza de forma escrita </w:t>
      </w:r>
      <w:r w:rsidR="007C1AEB" w:rsidRPr="00853B52">
        <w:rPr>
          <w:rFonts w:ascii="Palatino Linotype" w:hAnsi="Palatino Linotype"/>
          <w:sz w:val="22"/>
          <w:szCs w:val="22"/>
        </w:rPr>
        <w:t>a las y los integrantes del Ayuntamiento y a la o el Representante Indígena, en términos de lo dispuesto en el artículo 2.4, fracción I del Código Reglamentario Municipal de Toluca.</w:t>
      </w:r>
    </w:p>
    <w:p w14:paraId="57B97DA5" w14:textId="77A8D0AB" w:rsidR="003E01ED" w:rsidRPr="00853B52" w:rsidRDefault="00D945F5" w:rsidP="002F1108">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hAnsi="Palatino Linotype"/>
          <w:sz w:val="22"/>
          <w:szCs w:val="22"/>
        </w:rPr>
        <w:t xml:space="preserve">En tal sentido, lo manifestado por el servidor público habilitado </w:t>
      </w:r>
      <w:r w:rsidR="003E01ED" w:rsidRPr="00853B52">
        <w:rPr>
          <w:rFonts w:ascii="Palatino Linotype" w:eastAsia="Palatino Linotype" w:hAnsi="Palatino Linotype" w:cs="Palatino Linotype"/>
          <w:sz w:val="22"/>
          <w:szCs w:val="22"/>
        </w:rPr>
        <w:t xml:space="preserve">constituye en una expresión en sentido negativo, esto es, niegan la existencia de información alguna relacionada con lo solicitado en virtud de no haberse </w:t>
      </w:r>
      <w:r w:rsidR="00A7177C" w:rsidRPr="00853B52">
        <w:rPr>
          <w:rFonts w:ascii="Palatino Linotype" w:eastAsia="Palatino Linotype" w:hAnsi="Palatino Linotype" w:cs="Palatino Linotype"/>
          <w:sz w:val="22"/>
          <w:szCs w:val="22"/>
        </w:rPr>
        <w:t>generado</w:t>
      </w:r>
      <w:r w:rsidR="003E01ED" w:rsidRPr="00853B52">
        <w:rPr>
          <w:rFonts w:ascii="Palatino Linotype" w:eastAsia="Palatino Linotype" w:hAnsi="Palatino Linotype" w:cs="Palatino Linotype"/>
          <w:sz w:val="22"/>
          <w:szCs w:val="22"/>
        </w:rPr>
        <w:t xml:space="preserve">. </w:t>
      </w:r>
    </w:p>
    <w:p w14:paraId="0216100B" w14:textId="77777777" w:rsidR="003E01ED" w:rsidRPr="00853B52" w:rsidRDefault="003E01ED" w:rsidP="003E01ED">
      <w:pPr>
        <w:spacing w:before="240" w:after="240" w:line="360" w:lineRule="auto"/>
        <w:ind w:right="49"/>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Entonces, si se considera el hecho negativo, resulta obvio que el </w:t>
      </w:r>
      <w:r w:rsidRPr="00853B52">
        <w:rPr>
          <w:rFonts w:ascii="Palatino Linotype" w:eastAsia="Palatino Linotype" w:hAnsi="Palatino Linotype" w:cs="Palatino Linotype"/>
          <w:b/>
          <w:sz w:val="22"/>
          <w:szCs w:val="22"/>
        </w:rPr>
        <w:t>Sujeto Obligado</w:t>
      </w:r>
      <w:r w:rsidRPr="00853B52">
        <w:rPr>
          <w:rFonts w:ascii="Palatino Linotype" w:eastAsia="Palatino Linotype" w:hAnsi="Palatino Linotype" w:cs="Palatino Linotype"/>
          <w:sz w:val="22"/>
          <w:szCs w:val="22"/>
        </w:rPr>
        <w:t xml:space="preserve"> no puede tener en sus archivos información que satisfaga el requerimiento de información, ya que no puede probarse por ser lógica y materialmente imposible. </w:t>
      </w:r>
    </w:p>
    <w:p w14:paraId="23721518" w14:textId="77777777" w:rsidR="003E01ED" w:rsidRPr="00853B52" w:rsidRDefault="003E01ED" w:rsidP="003E01ED">
      <w:pPr>
        <w:spacing w:before="240" w:after="240" w:line="360" w:lineRule="auto"/>
        <w:ind w:right="49"/>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Sirve de sustento la siguiente Tesis</w:t>
      </w:r>
      <w:r w:rsidRPr="00853B52">
        <w:rPr>
          <w:rFonts w:ascii="Palatino Linotype" w:eastAsia="Palatino Linotype" w:hAnsi="Palatino Linotype" w:cs="Palatino Linotype"/>
          <w:sz w:val="22"/>
          <w:szCs w:val="22"/>
          <w:vertAlign w:val="superscript"/>
        </w:rPr>
        <w:footnoteReference w:id="1"/>
      </w:r>
      <w:r w:rsidRPr="00853B52">
        <w:rPr>
          <w:rFonts w:ascii="Palatino Linotype" w:eastAsia="Palatino Linotype" w:hAnsi="Palatino Linotype" w:cs="Palatino Linotype"/>
          <w:sz w:val="22"/>
          <w:szCs w:val="22"/>
        </w:rPr>
        <w:t xml:space="preserve"> emitida por la Segunda Sala de la Suprema Corte de la Nación, que es del tenor literal siguiente:</w:t>
      </w:r>
    </w:p>
    <w:p w14:paraId="6A9FFBCE" w14:textId="77777777" w:rsidR="003E01ED" w:rsidRPr="00853B52" w:rsidRDefault="003E01ED" w:rsidP="003E01ED">
      <w:pPr>
        <w:pBdr>
          <w:top w:val="nil"/>
          <w:left w:val="nil"/>
          <w:bottom w:val="nil"/>
          <w:right w:val="nil"/>
          <w:between w:val="nil"/>
        </w:pBdr>
        <w:spacing w:before="120" w:after="120"/>
        <w:ind w:left="851" w:right="900"/>
        <w:jc w:val="both"/>
        <w:rPr>
          <w:rFonts w:ascii="Palatino Linotype" w:hAnsi="Palatino Linotype"/>
          <w:sz w:val="22"/>
          <w:szCs w:val="22"/>
        </w:rPr>
      </w:pPr>
      <w:r w:rsidRPr="00853B52">
        <w:rPr>
          <w:rFonts w:ascii="Palatino Linotype" w:eastAsia="Palatino Linotype" w:hAnsi="Palatino Linotype" w:cs="Palatino Linotype"/>
          <w:b/>
          <w:i/>
          <w:sz w:val="22"/>
          <w:szCs w:val="22"/>
        </w:rPr>
        <w:t xml:space="preserve">“HECHOS NEGATIVOS, NO SON SUSCEPTIBLES DE DEMOSTRACIÓN. </w:t>
      </w:r>
      <w:r w:rsidRPr="00853B52">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168C06A0" w14:textId="77777777" w:rsidR="003E01ED" w:rsidRPr="00853B52" w:rsidRDefault="003E01ED" w:rsidP="003E01ED">
      <w:pPr>
        <w:spacing w:before="240" w:after="240" w:line="360" w:lineRule="auto"/>
        <w:ind w:right="18"/>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De tal manera que basta con la aseveración por parte del servidor público habilitado respeto de la inexistencia de la información en el área a su cargo;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sentido contrario, no están obligados a proporcionar lo que no tengan en sus archivos.</w:t>
      </w:r>
    </w:p>
    <w:p w14:paraId="14E6D41C" w14:textId="77777777" w:rsidR="003E01ED" w:rsidRPr="00853B52" w:rsidRDefault="003E01ED" w:rsidP="003E01ED">
      <w:pPr>
        <w:spacing w:before="240" w:after="240" w:line="360" w:lineRule="auto"/>
        <w:ind w:right="18"/>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759C4DB8" w14:textId="77777777" w:rsidR="003E01ED" w:rsidRPr="00853B52" w:rsidRDefault="003E01ED" w:rsidP="003E01E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Aunado a lo anterior,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5A356255" w14:textId="1FD1EC69" w:rsidR="003E01ED" w:rsidRPr="00853B52" w:rsidRDefault="00493AD9" w:rsidP="003E01ED">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Por otro lado, es de señalar que los motivos de inconformidad alegados por la parte </w:t>
      </w:r>
      <w:r w:rsidRPr="00853B52">
        <w:rPr>
          <w:rFonts w:ascii="Palatino Linotype" w:eastAsia="Palatino Linotype" w:hAnsi="Palatino Linotype" w:cs="Palatino Linotype"/>
          <w:b/>
          <w:sz w:val="22"/>
          <w:szCs w:val="22"/>
        </w:rPr>
        <w:t>Recurrente</w:t>
      </w:r>
      <w:r w:rsidRPr="00853B52">
        <w:rPr>
          <w:rFonts w:ascii="Palatino Linotype" w:eastAsia="Palatino Linotype" w:hAnsi="Palatino Linotype" w:cs="Palatino Linotype"/>
          <w:sz w:val="22"/>
          <w:szCs w:val="22"/>
        </w:rPr>
        <w:t xml:space="preserve"> en el presente asunto son fundados pero inoperantes, dado que la razón por la cual la dirección URL de la respuesta </w:t>
      </w:r>
      <w:r w:rsidR="002F1108" w:rsidRPr="00853B52">
        <w:rPr>
          <w:rFonts w:ascii="Palatino Linotype" w:eastAsia="Palatino Linotype" w:hAnsi="Palatino Linotype" w:cs="Palatino Linotype"/>
          <w:sz w:val="22"/>
          <w:szCs w:val="22"/>
        </w:rPr>
        <w:t xml:space="preserve">proporcionada </w:t>
      </w:r>
      <w:r w:rsidRPr="00853B52">
        <w:rPr>
          <w:rFonts w:ascii="Palatino Linotype" w:eastAsia="Palatino Linotype" w:hAnsi="Palatino Linotype" w:cs="Palatino Linotype"/>
          <w:sz w:val="22"/>
          <w:szCs w:val="22"/>
        </w:rPr>
        <w:t xml:space="preserve">no pudo abrirse </w:t>
      </w:r>
      <w:r w:rsidR="003C6F09" w:rsidRPr="00853B52">
        <w:rPr>
          <w:rFonts w:ascii="Palatino Linotype" w:eastAsia="Palatino Linotype" w:hAnsi="Palatino Linotype" w:cs="Palatino Linotype"/>
          <w:sz w:val="22"/>
          <w:szCs w:val="22"/>
        </w:rPr>
        <w:t xml:space="preserve">al momento de la consulta </w:t>
      </w:r>
      <w:r w:rsidRPr="00853B52">
        <w:rPr>
          <w:rFonts w:ascii="Palatino Linotype" w:eastAsia="Palatino Linotype" w:hAnsi="Palatino Linotype" w:cs="Palatino Linotype"/>
          <w:sz w:val="22"/>
          <w:szCs w:val="22"/>
        </w:rPr>
        <w:t>derivado de las intermitencias que presentó la plataforma del SAIMEX</w:t>
      </w:r>
      <w:r w:rsidR="002F1108" w:rsidRPr="00853B52">
        <w:rPr>
          <w:rFonts w:ascii="Palatino Linotype" w:eastAsia="Palatino Linotype" w:hAnsi="Palatino Linotype" w:cs="Palatino Linotype"/>
          <w:sz w:val="22"/>
          <w:szCs w:val="22"/>
        </w:rPr>
        <w:t>,</w:t>
      </w:r>
      <w:r w:rsidRPr="00853B52">
        <w:rPr>
          <w:rFonts w:ascii="Palatino Linotype" w:eastAsia="Palatino Linotype" w:hAnsi="Palatino Linotype" w:cs="Palatino Linotype"/>
          <w:sz w:val="22"/>
          <w:szCs w:val="22"/>
        </w:rPr>
        <w:t xml:space="preserve"> conforme a lo manifestado por la Dirección General de Informática</w:t>
      </w:r>
      <w:r w:rsidR="003C6F09" w:rsidRPr="00853B52">
        <w:rPr>
          <w:rFonts w:ascii="Palatino Linotype" w:eastAsia="Palatino Linotype" w:hAnsi="Palatino Linotype" w:cs="Palatino Linotype"/>
          <w:sz w:val="22"/>
          <w:szCs w:val="22"/>
        </w:rPr>
        <w:t xml:space="preserve">, situación que no es atribuible al </w:t>
      </w:r>
      <w:r w:rsidR="003C6F09" w:rsidRPr="00853B52">
        <w:rPr>
          <w:rFonts w:ascii="Palatino Linotype" w:eastAsia="Palatino Linotype" w:hAnsi="Palatino Linotype" w:cs="Palatino Linotype"/>
          <w:b/>
          <w:sz w:val="22"/>
          <w:szCs w:val="22"/>
        </w:rPr>
        <w:t>Sujeto Obligado</w:t>
      </w:r>
      <w:r w:rsidR="003C6F09" w:rsidRPr="00853B52">
        <w:rPr>
          <w:rFonts w:ascii="Palatino Linotype" w:eastAsia="Palatino Linotype" w:hAnsi="Palatino Linotype" w:cs="Palatino Linotype"/>
          <w:sz w:val="22"/>
          <w:szCs w:val="22"/>
        </w:rPr>
        <w:t>.</w:t>
      </w:r>
    </w:p>
    <w:p w14:paraId="085E8169" w14:textId="6BC0F4F3" w:rsidR="003E01ED" w:rsidRPr="00853B52" w:rsidRDefault="003E01ED" w:rsidP="003E01ED">
      <w:pPr>
        <w:spacing w:before="240" w:after="240" w:line="360" w:lineRule="auto"/>
        <w:ind w:right="51"/>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Derivado de lo expuesto, </w:t>
      </w:r>
      <w:r w:rsidR="003C6F09" w:rsidRPr="00853B52">
        <w:rPr>
          <w:rFonts w:ascii="Palatino Linotype" w:eastAsia="Palatino Linotype" w:hAnsi="Palatino Linotype" w:cs="Palatino Linotype"/>
          <w:sz w:val="22"/>
          <w:szCs w:val="22"/>
        </w:rPr>
        <w:t xml:space="preserve">se estima </w:t>
      </w:r>
      <w:r w:rsidRPr="00853B52">
        <w:rPr>
          <w:rFonts w:ascii="Palatino Linotype" w:eastAsia="Palatino Linotype" w:hAnsi="Palatino Linotype" w:cs="Palatino Linotype"/>
          <w:sz w:val="22"/>
          <w:szCs w:val="22"/>
        </w:rPr>
        <w:t xml:space="preserve">procedente </w:t>
      </w:r>
      <w:r w:rsidRPr="00853B52">
        <w:rPr>
          <w:rFonts w:ascii="Palatino Linotype" w:eastAsia="Palatino Linotype" w:hAnsi="Palatino Linotype" w:cs="Palatino Linotype"/>
          <w:i/>
          <w:sz w:val="22"/>
          <w:szCs w:val="22"/>
        </w:rPr>
        <w:t xml:space="preserve">Confirmar </w:t>
      </w:r>
      <w:r w:rsidRPr="00853B52">
        <w:rPr>
          <w:rFonts w:ascii="Palatino Linotype" w:eastAsia="Palatino Linotype" w:hAnsi="Palatino Linotype" w:cs="Palatino Linotype"/>
          <w:sz w:val="22"/>
          <w:szCs w:val="22"/>
        </w:rPr>
        <w:t>la</w:t>
      </w:r>
      <w:r w:rsidR="00635743" w:rsidRPr="00853B52">
        <w:rPr>
          <w:rFonts w:ascii="Palatino Linotype" w:eastAsia="Palatino Linotype" w:hAnsi="Palatino Linotype" w:cs="Palatino Linotype"/>
          <w:sz w:val="22"/>
          <w:szCs w:val="22"/>
        </w:rPr>
        <w:t xml:space="preserve"> </w:t>
      </w:r>
      <w:r w:rsidRPr="00853B52">
        <w:rPr>
          <w:rFonts w:ascii="Palatino Linotype" w:eastAsia="Palatino Linotype" w:hAnsi="Palatino Linotype" w:cs="Palatino Linotype"/>
          <w:sz w:val="22"/>
          <w:szCs w:val="22"/>
        </w:rPr>
        <w:t xml:space="preserve">respuesta proporcionada por el </w:t>
      </w:r>
      <w:r w:rsidRPr="00853B52">
        <w:rPr>
          <w:rFonts w:ascii="Palatino Linotype" w:eastAsia="Palatino Linotype" w:hAnsi="Palatino Linotype" w:cs="Palatino Linotype"/>
          <w:b/>
          <w:sz w:val="22"/>
          <w:szCs w:val="22"/>
        </w:rPr>
        <w:t xml:space="preserve">Sujeto Obligado </w:t>
      </w:r>
      <w:r w:rsidRPr="00853B52">
        <w:rPr>
          <w:rFonts w:ascii="Palatino Linotype" w:eastAsia="Palatino Linotype" w:hAnsi="Palatino Linotype" w:cs="Palatino Linotype"/>
          <w:sz w:val="22"/>
          <w:szCs w:val="22"/>
        </w:rPr>
        <w:t>en términos del artículo 186, fracción II de la Ley de Transparencia y Acceso a la Información Pública del Estado de México y Municipios.</w:t>
      </w:r>
    </w:p>
    <w:p w14:paraId="378EF624" w14:textId="3930BF0D" w:rsidR="00193AE1" w:rsidRPr="00853B52" w:rsidRDefault="00193AE1" w:rsidP="00193AE1">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Así, con fundamento en lo prescrito en los artículos </w:t>
      </w:r>
      <w:r w:rsidR="005D5DC9" w:rsidRPr="00853B52">
        <w:rPr>
          <w:rFonts w:ascii="Palatino Linotype" w:eastAsia="Palatino Linotype" w:hAnsi="Palatino Linotype" w:cs="Palatino Linotype"/>
          <w:sz w:val="22"/>
          <w:szCs w:val="22"/>
        </w:rPr>
        <w:t xml:space="preserve">5 párrafos </w:t>
      </w:r>
      <w:r w:rsidR="000E700F" w:rsidRPr="00853B52">
        <w:rPr>
          <w:rFonts w:ascii="Palatino Linotype" w:eastAsia="Palatino Linotype" w:hAnsi="Palatino Linotype" w:cs="Palatino Linotype"/>
          <w:sz w:val="22"/>
          <w:szCs w:val="22"/>
        </w:rPr>
        <w:t xml:space="preserve">cuadragésimo cuarto, cuadragésimo quinto cuadragésimo sexto, de la </w:t>
      </w:r>
      <w:r w:rsidR="005D5DC9" w:rsidRPr="00853B52">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853B52">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853B52"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53B52">
        <w:rPr>
          <w:rFonts w:ascii="Palatino Linotype" w:eastAsia="Palatino Linotype" w:hAnsi="Palatino Linotype" w:cs="Palatino Linotype"/>
          <w:b/>
          <w:sz w:val="22"/>
          <w:szCs w:val="22"/>
        </w:rPr>
        <w:t>III. R E S U E L V E</w:t>
      </w:r>
    </w:p>
    <w:p w14:paraId="63307187" w14:textId="33EEE09F" w:rsidR="003C6F09" w:rsidRPr="00853B52" w:rsidRDefault="008F68EE" w:rsidP="003C6F09">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853B52">
        <w:rPr>
          <w:rFonts w:ascii="Palatino Linotype" w:eastAsia="Palatino Linotype" w:hAnsi="Palatino Linotype" w:cs="Palatino Linotype"/>
          <w:b/>
          <w:sz w:val="22"/>
          <w:szCs w:val="22"/>
        </w:rPr>
        <w:t xml:space="preserve">Primero. </w:t>
      </w:r>
      <w:r w:rsidRPr="00853B52">
        <w:rPr>
          <w:rFonts w:ascii="Palatino Linotype" w:eastAsia="Palatino Linotype" w:hAnsi="Palatino Linotype" w:cs="Palatino Linotype"/>
          <w:sz w:val="22"/>
          <w:szCs w:val="22"/>
        </w:rPr>
        <w:t>Resultan</w:t>
      </w:r>
      <w:r w:rsidRPr="00853B52">
        <w:rPr>
          <w:rFonts w:ascii="Palatino Linotype" w:eastAsia="Palatino Linotype" w:hAnsi="Palatino Linotype" w:cs="Palatino Linotype"/>
          <w:b/>
          <w:sz w:val="22"/>
          <w:szCs w:val="22"/>
        </w:rPr>
        <w:t xml:space="preserve"> fundadas</w:t>
      </w:r>
      <w:r w:rsidR="003C6F09" w:rsidRPr="00853B52">
        <w:rPr>
          <w:rFonts w:ascii="Palatino Linotype" w:eastAsia="Palatino Linotype" w:hAnsi="Palatino Linotype" w:cs="Palatino Linotype"/>
          <w:b/>
          <w:sz w:val="22"/>
          <w:szCs w:val="22"/>
        </w:rPr>
        <w:t xml:space="preserve"> </w:t>
      </w:r>
      <w:r w:rsidR="003C6F09" w:rsidRPr="00853B52">
        <w:rPr>
          <w:rFonts w:ascii="Palatino Linotype" w:eastAsia="Palatino Linotype" w:hAnsi="Palatino Linotype" w:cs="Palatino Linotype"/>
          <w:sz w:val="22"/>
          <w:szCs w:val="22"/>
        </w:rPr>
        <w:t>pero inoperantes</w:t>
      </w:r>
      <w:r w:rsidR="003C6F09" w:rsidRPr="00853B52">
        <w:rPr>
          <w:rFonts w:ascii="Palatino Linotype" w:eastAsia="Palatino Linotype" w:hAnsi="Palatino Linotype" w:cs="Palatino Linotype"/>
          <w:b/>
          <w:sz w:val="22"/>
          <w:szCs w:val="22"/>
        </w:rPr>
        <w:t xml:space="preserve"> </w:t>
      </w:r>
      <w:r w:rsidRPr="00853B52">
        <w:rPr>
          <w:rFonts w:ascii="Palatino Linotype" w:eastAsia="Palatino Linotype" w:hAnsi="Palatino Linotype" w:cs="Palatino Linotype"/>
          <w:sz w:val="22"/>
          <w:szCs w:val="22"/>
        </w:rPr>
        <w:t>las razones o motivos de inconformidad hechos valer por la parte</w:t>
      </w:r>
      <w:r w:rsidRPr="00853B52">
        <w:rPr>
          <w:rFonts w:ascii="Palatino Linotype" w:eastAsia="Palatino Linotype" w:hAnsi="Palatino Linotype" w:cs="Palatino Linotype"/>
          <w:b/>
          <w:sz w:val="22"/>
          <w:szCs w:val="22"/>
        </w:rPr>
        <w:t xml:space="preserve"> Recurrente</w:t>
      </w:r>
      <w:r w:rsidRPr="00853B52">
        <w:rPr>
          <w:rFonts w:ascii="Palatino Linotype" w:eastAsia="Palatino Linotype" w:hAnsi="Palatino Linotype" w:cs="Palatino Linotype"/>
          <w:sz w:val="22"/>
          <w:szCs w:val="22"/>
        </w:rPr>
        <w:t xml:space="preserve"> en el recurso de revisión </w:t>
      </w:r>
      <w:r w:rsidR="003C6F09" w:rsidRPr="00853B52">
        <w:rPr>
          <w:rFonts w:ascii="Palatino Linotype" w:eastAsia="Palatino Linotype" w:hAnsi="Palatino Linotype" w:cs="Palatino Linotype"/>
          <w:b/>
          <w:sz w:val="22"/>
          <w:szCs w:val="22"/>
        </w:rPr>
        <w:t>13914</w:t>
      </w:r>
      <w:r w:rsidRPr="00853B52">
        <w:rPr>
          <w:rFonts w:ascii="Palatino Linotype" w:eastAsia="Palatino Linotype" w:hAnsi="Palatino Linotype" w:cs="Palatino Linotype"/>
          <w:b/>
          <w:sz w:val="22"/>
          <w:szCs w:val="22"/>
        </w:rPr>
        <w:t>/INFOEM/IP/RR/2025</w:t>
      </w:r>
      <w:r w:rsidRPr="00853B52">
        <w:rPr>
          <w:rFonts w:ascii="Palatino Linotype" w:eastAsia="Palatino Linotype" w:hAnsi="Palatino Linotype" w:cs="Palatino Linotype"/>
          <w:sz w:val="22"/>
          <w:szCs w:val="22"/>
        </w:rPr>
        <w:t xml:space="preserve">; por lo que, en términos del </w:t>
      </w:r>
      <w:r w:rsidRPr="00853B52">
        <w:rPr>
          <w:rFonts w:ascii="Palatino Linotype" w:eastAsia="Palatino Linotype" w:hAnsi="Palatino Linotype" w:cs="Palatino Linotype"/>
          <w:b/>
          <w:sz w:val="22"/>
          <w:szCs w:val="22"/>
        </w:rPr>
        <w:t>Considerando</w:t>
      </w:r>
      <w:r w:rsidRPr="00853B52">
        <w:rPr>
          <w:rFonts w:ascii="Palatino Linotype" w:eastAsia="Palatino Linotype" w:hAnsi="Palatino Linotype" w:cs="Palatino Linotype"/>
          <w:sz w:val="22"/>
          <w:szCs w:val="22"/>
        </w:rPr>
        <w:t xml:space="preserve"> </w:t>
      </w:r>
      <w:r w:rsidRPr="00853B52">
        <w:rPr>
          <w:rFonts w:ascii="Palatino Linotype" w:eastAsia="Palatino Linotype" w:hAnsi="Palatino Linotype" w:cs="Palatino Linotype"/>
          <w:b/>
          <w:sz w:val="22"/>
          <w:szCs w:val="22"/>
        </w:rPr>
        <w:t xml:space="preserve">Cuarto </w:t>
      </w:r>
      <w:r w:rsidR="003C6F09" w:rsidRPr="00853B52">
        <w:rPr>
          <w:rFonts w:ascii="Palatino Linotype" w:eastAsia="Palatino Linotype" w:hAnsi="Palatino Linotype" w:cs="Palatino Linotype"/>
          <w:sz w:val="22"/>
          <w:szCs w:val="22"/>
        </w:rPr>
        <w:t xml:space="preserve">de esta resolución, se </w:t>
      </w:r>
      <w:r w:rsidR="003C6F09" w:rsidRPr="00853B52">
        <w:rPr>
          <w:rFonts w:ascii="Palatino Linotype" w:eastAsia="Palatino Linotype" w:hAnsi="Palatino Linotype" w:cs="Palatino Linotype"/>
          <w:b/>
          <w:sz w:val="22"/>
          <w:szCs w:val="22"/>
        </w:rPr>
        <w:t xml:space="preserve">Confirma </w:t>
      </w:r>
      <w:r w:rsidR="003C6F09" w:rsidRPr="00853B52">
        <w:rPr>
          <w:rFonts w:ascii="Palatino Linotype" w:eastAsia="Palatino Linotype" w:hAnsi="Palatino Linotype" w:cs="Palatino Linotype"/>
          <w:sz w:val="22"/>
          <w:szCs w:val="22"/>
        </w:rPr>
        <w:t xml:space="preserve">la respuesta emitida por el </w:t>
      </w:r>
      <w:r w:rsidR="003C6F09" w:rsidRPr="00853B52">
        <w:rPr>
          <w:rFonts w:ascii="Palatino Linotype" w:eastAsia="Palatino Linotype" w:hAnsi="Palatino Linotype" w:cs="Palatino Linotype"/>
          <w:b/>
          <w:sz w:val="22"/>
          <w:szCs w:val="22"/>
        </w:rPr>
        <w:t xml:space="preserve">Sujeto Obligado. </w:t>
      </w:r>
    </w:p>
    <w:p w14:paraId="54803EE1" w14:textId="77777777" w:rsidR="003C6F09" w:rsidRPr="00853B52" w:rsidRDefault="003C6F09" w:rsidP="003C6F09">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t xml:space="preserve">Segundo. Notifíquese, </w:t>
      </w:r>
      <w:r w:rsidRPr="00853B52">
        <w:rPr>
          <w:rFonts w:ascii="Palatino Linotype" w:eastAsia="Palatino Linotype" w:hAnsi="Palatino Linotype" w:cs="Palatino Linotype"/>
          <w:sz w:val="22"/>
          <w:szCs w:val="22"/>
        </w:rPr>
        <w:t xml:space="preserve">vía </w:t>
      </w:r>
      <w:r w:rsidRPr="00853B52">
        <w:rPr>
          <w:rFonts w:ascii="Palatino Linotype" w:eastAsia="Palatino Linotype" w:hAnsi="Palatino Linotype" w:cs="Palatino Linotype"/>
          <w:b/>
          <w:sz w:val="22"/>
          <w:szCs w:val="22"/>
        </w:rPr>
        <w:t xml:space="preserve">SAIMEX, </w:t>
      </w:r>
      <w:r w:rsidRPr="00853B52">
        <w:rPr>
          <w:rFonts w:ascii="Palatino Linotype" w:eastAsia="Palatino Linotype" w:hAnsi="Palatino Linotype" w:cs="Palatino Linotype"/>
          <w:sz w:val="22"/>
          <w:szCs w:val="22"/>
        </w:rPr>
        <w:t xml:space="preserve">al Titular de la Unidad de Transparencia del </w:t>
      </w:r>
      <w:r w:rsidRPr="00853B52">
        <w:rPr>
          <w:rFonts w:ascii="Palatino Linotype" w:eastAsia="Palatino Linotype" w:hAnsi="Palatino Linotype" w:cs="Palatino Linotype"/>
          <w:b/>
          <w:sz w:val="22"/>
          <w:szCs w:val="22"/>
        </w:rPr>
        <w:t>Sujeto Obligado</w:t>
      </w:r>
      <w:r w:rsidRPr="00853B52">
        <w:rPr>
          <w:rFonts w:ascii="Palatino Linotype" w:eastAsia="Palatino Linotype" w:hAnsi="Palatino Linotype" w:cs="Palatino Linotype"/>
          <w:sz w:val="22"/>
          <w:szCs w:val="22"/>
        </w:rPr>
        <w:t xml:space="preserve"> para su conocimiento, la presente resolución.</w:t>
      </w:r>
    </w:p>
    <w:p w14:paraId="56F91AB9" w14:textId="77777777" w:rsidR="003C6F09" w:rsidRPr="00853B52" w:rsidRDefault="003C6F09" w:rsidP="003C6F09">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b/>
          <w:sz w:val="22"/>
          <w:szCs w:val="22"/>
        </w:rPr>
        <w:t xml:space="preserve">Tercero.  Notifíquese, </w:t>
      </w:r>
      <w:r w:rsidRPr="00853B52">
        <w:rPr>
          <w:rFonts w:ascii="Palatino Linotype" w:eastAsia="Palatino Linotype" w:hAnsi="Palatino Linotype" w:cs="Palatino Linotype"/>
          <w:sz w:val="22"/>
          <w:szCs w:val="22"/>
        </w:rPr>
        <w:t xml:space="preserve">vía </w:t>
      </w:r>
      <w:r w:rsidRPr="00853B52">
        <w:rPr>
          <w:rFonts w:ascii="Palatino Linotype" w:eastAsia="Palatino Linotype" w:hAnsi="Palatino Linotype" w:cs="Palatino Linotype"/>
          <w:b/>
          <w:sz w:val="22"/>
          <w:szCs w:val="22"/>
        </w:rPr>
        <w:t xml:space="preserve">SAIMEX, </w:t>
      </w:r>
      <w:r w:rsidRPr="00853B52">
        <w:rPr>
          <w:rFonts w:ascii="Palatino Linotype" w:eastAsia="Palatino Linotype" w:hAnsi="Palatino Linotype" w:cs="Palatino Linotype"/>
          <w:sz w:val="22"/>
          <w:szCs w:val="22"/>
        </w:rPr>
        <w:t xml:space="preserve">a la parte </w:t>
      </w:r>
      <w:r w:rsidRPr="00853B52">
        <w:rPr>
          <w:rFonts w:ascii="Palatino Linotype" w:eastAsia="Palatino Linotype" w:hAnsi="Palatino Linotype" w:cs="Palatino Linotype"/>
          <w:b/>
          <w:sz w:val="22"/>
          <w:szCs w:val="22"/>
        </w:rPr>
        <w:t>Recurrente</w:t>
      </w:r>
      <w:r w:rsidRPr="00853B52">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46F5EA75" w:rsidR="00562A90" w:rsidRPr="008F7C0D" w:rsidRDefault="0062255D" w:rsidP="003C6F09">
      <w:pPr>
        <w:spacing w:before="240" w:after="240" w:line="360" w:lineRule="auto"/>
        <w:jc w:val="both"/>
        <w:rPr>
          <w:rFonts w:ascii="Palatino Linotype" w:eastAsia="Palatino Linotype" w:hAnsi="Palatino Linotype" w:cs="Palatino Linotype"/>
          <w:sz w:val="22"/>
          <w:szCs w:val="22"/>
        </w:rPr>
      </w:pPr>
      <w:r w:rsidRPr="00853B5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941B1" w:rsidRPr="00853B52">
        <w:rPr>
          <w:rFonts w:ascii="Palatino Linotype" w:eastAsia="Palatino Linotype" w:hAnsi="Palatino Linotype" w:cs="Palatino Linotype"/>
          <w:sz w:val="22"/>
          <w:szCs w:val="22"/>
        </w:rPr>
        <w:t>SEXTA</w:t>
      </w:r>
      <w:r w:rsidR="003F449D" w:rsidRPr="00853B52">
        <w:rPr>
          <w:rFonts w:ascii="Palatino Linotype" w:eastAsia="Palatino Linotype" w:hAnsi="Palatino Linotype" w:cs="Palatino Linotype"/>
          <w:sz w:val="22"/>
          <w:szCs w:val="22"/>
        </w:rPr>
        <w:t xml:space="preserve"> </w:t>
      </w:r>
      <w:r w:rsidRPr="00853B52">
        <w:rPr>
          <w:rFonts w:ascii="Palatino Linotype" w:eastAsia="Palatino Linotype" w:hAnsi="Palatino Linotype" w:cs="Palatino Linotype"/>
          <w:sz w:val="22"/>
          <w:szCs w:val="22"/>
        </w:rPr>
        <w:t xml:space="preserve">SESIÓN ORDINARIA CELEBRADA EL </w:t>
      </w:r>
      <w:r w:rsidR="006941B1" w:rsidRPr="00853B52">
        <w:rPr>
          <w:rFonts w:ascii="Palatino Linotype" w:eastAsia="Palatino Linotype" w:hAnsi="Palatino Linotype" w:cs="Palatino Linotype"/>
          <w:sz w:val="22"/>
          <w:szCs w:val="22"/>
        </w:rPr>
        <w:t>DIECIOCHO DE ENERO</w:t>
      </w:r>
      <w:r w:rsidRPr="00853B52">
        <w:rPr>
          <w:rFonts w:ascii="Palatino Linotype" w:eastAsia="Palatino Linotype" w:hAnsi="Palatino Linotype" w:cs="Palatino Linotype"/>
          <w:sz w:val="22"/>
          <w:szCs w:val="22"/>
        </w:rPr>
        <w:t xml:space="preserve"> DE DOS MIL VEINTI</w:t>
      </w:r>
      <w:r w:rsidR="006941B1" w:rsidRPr="00853B52">
        <w:rPr>
          <w:rFonts w:ascii="Palatino Linotype" w:eastAsia="Palatino Linotype" w:hAnsi="Palatino Linotype" w:cs="Palatino Linotype"/>
          <w:sz w:val="22"/>
          <w:szCs w:val="22"/>
        </w:rPr>
        <w:t>SÉIS</w:t>
      </w:r>
      <w:r w:rsidRPr="00853B52">
        <w:rPr>
          <w:rFonts w:ascii="Palatino Linotype" w:eastAsia="Palatino Linotype" w:hAnsi="Palatino Linotype" w:cs="Palatino Linotype"/>
          <w:sz w:val="22"/>
          <w:szCs w:val="22"/>
        </w:rPr>
        <w:t>, ANTE EL SECRETARIO TÉCNICO DEL PLENO ALEXIS TAPIA RAMÍREZ.</w:t>
      </w:r>
    </w:p>
    <w:p w14:paraId="7E80776D"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8F7C0D"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8F7C0D"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8F7C0D"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8F7C0D"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8F7C0D" w:rsidRDefault="00CD09AE">
      <w:pPr>
        <w:spacing w:line="360" w:lineRule="auto"/>
        <w:jc w:val="both"/>
        <w:rPr>
          <w:rFonts w:ascii="Palatino Linotype" w:eastAsia="Palatino Linotype" w:hAnsi="Palatino Linotype" w:cs="Palatino Linotype"/>
          <w:sz w:val="22"/>
          <w:szCs w:val="22"/>
        </w:rPr>
      </w:pPr>
    </w:p>
    <w:sectPr w:rsidR="00CD09AE" w:rsidRPr="008F7C0D">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D0119" w14:textId="77777777" w:rsidR="0029400A" w:rsidRDefault="0029400A">
      <w:r>
        <w:separator/>
      </w:r>
    </w:p>
  </w:endnote>
  <w:endnote w:type="continuationSeparator" w:id="0">
    <w:p w14:paraId="379A57AA" w14:textId="77777777" w:rsidR="0029400A" w:rsidRDefault="0029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3B40E4EF" w:rsidR="004D515D" w:rsidRDefault="004D515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10B60">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10B60">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49CB52A8" w14:textId="77777777" w:rsidR="004D515D" w:rsidRDefault="004D515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1C3B8DFC" w:rsidR="004D515D" w:rsidRDefault="004D515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10B6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10B60">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21ECF124" w14:textId="77777777" w:rsidR="004D515D" w:rsidRDefault="004D515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50C7B" w14:textId="77777777" w:rsidR="0029400A" w:rsidRDefault="0029400A">
      <w:r>
        <w:separator/>
      </w:r>
    </w:p>
  </w:footnote>
  <w:footnote w:type="continuationSeparator" w:id="0">
    <w:p w14:paraId="29AEA80C" w14:textId="77777777" w:rsidR="0029400A" w:rsidRDefault="0029400A">
      <w:r>
        <w:continuationSeparator/>
      </w:r>
    </w:p>
  </w:footnote>
  <w:footnote w:id="1">
    <w:p w14:paraId="2C974C79" w14:textId="77777777" w:rsidR="003E01ED" w:rsidRPr="001302D0" w:rsidRDefault="003E01ED" w:rsidP="003E01E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1302D0">
        <w:rPr>
          <w:rFonts w:ascii="Palatino Linotype" w:hAnsi="Palatino Linotype"/>
          <w:sz w:val="16"/>
          <w:szCs w:val="16"/>
          <w:vertAlign w:val="superscript"/>
        </w:rPr>
        <w:footnoteRef/>
      </w:r>
      <w:r w:rsidRPr="001302D0">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sidRPr="001302D0">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4D515D" w:rsidRDefault="004D515D">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4D515D" w14:paraId="4679E995" w14:textId="77777777">
      <w:tc>
        <w:tcPr>
          <w:tcW w:w="2489" w:type="dxa"/>
        </w:tcPr>
        <w:p w14:paraId="1CBA62BA" w14:textId="77777777" w:rsidR="004D515D" w:rsidRDefault="004D5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7D59EE3C" w:rsidR="004D515D" w:rsidRDefault="004D515D" w:rsidP="0037693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13914/INFOEM/IP/RR/2025</w:t>
          </w:r>
        </w:p>
      </w:tc>
    </w:tr>
    <w:tr w:rsidR="004D515D" w14:paraId="6CFA67DE" w14:textId="77777777">
      <w:trPr>
        <w:trHeight w:val="228"/>
      </w:trPr>
      <w:tc>
        <w:tcPr>
          <w:tcW w:w="2489" w:type="dxa"/>
          <w:vAlign w:val="center"/>
        </w:tcPr>
        <w:p w14:paraId="4E02CBED" w14:textId="77777777" w:rsidR="004D515D" w:rsidRDefault="004D5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4A47A626" w:rsidR="004D515D" w:rsidRDefault="004D515D">
          <w:pPr>
            <w:ind w:left="-45" w:right="176"/>
            <w:jc w:val="both"/>
            <w:rPr>
              <w:rFonts w:ascii="Palatino Linotype" w:eastAsia="Palatino Linotype" w:hAnsi="Palatino Linotype" w:cs="Palatino Linotype"/>
              <w:b/>
              <w:sz w:val="22"/>
              <w:szCs w:val="22"/>
            </w:rPr>
          </w:pPr>
          <w:r w:rsidRPr="00677B67">
            <w:rPr>
              <w:rFonts w:ascii="Palatino Linotype" w:eastAsia="Palatino Linotype" w:hAnsi="Palatino Linotype" w:cs="Palatino Linotype"/>
              <w:b/>
              <w:sz w:val="22"/>
              <w:szCs w:val="22"/>
            </w:rPr>
            <w:t>Ayuntamiento de T</w:t>
          </w:r>
          <w:r>
            <w:rPr>
              <w:rFonts w:ascii="Palatino Linotype" w:eastAsia="Palatino Linotype" w:hAnsi="Palatino Linotype" w:cs="Palatino Linotype"/>
              <w:b/>
              <w:sz w:val="22"/>
              <w:szCs w:val="22"/>
            </w:rPr>
            <w:t>oluca</w:t>
          </w:r>
        </w:p>
      </w:tc>
    </w:tr>
    <w:tr w:rsidR="004D515D" w14:paraId="6FF09322" w14:textId="77777777">
      <w:tc>
        <w:tcPr>
          <w:tcW w:w="2489" w:type="dxa"/>
          <w:vAlign w:val="center"/>
        </w:tcPr>
        <w:p w14:paraId="5D6FA762" w14:textId="77777777" w:rsidR="004D515D" w:rsidRDefault="004D515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4D515D" w:rsidRDefault="004D515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4D515D" w:rsidRDefault="004D515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4D515D" w:rsidRDefault="004D515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22E31F46">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4D515D" w14:paraId="0800C61A" w14:textId="77777777">
      <w:tc>
        <w:tcPr>
          <w:tcW w:w="2489" w:type="dxa"/>
        </w:tcPr>
        <w:p w14:paraId="45AA4645" w14:textId="77777777" w:rsidR="004D515D" w:rsidRDefault="004D5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15C80A6A" w:rsidR="004D515D" w:rsidRDefault="004D515D" w:rsidP="0020217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13914/INFOEM/IP/RR/2025</w:t>
          </w:r>
        </w:p>
      </w:tc>
    </w:tr>
    <w:tr w:rsidR="004D515D" w14:paraId="62298F76" w14:textId="77777777">
      <w:tc>
        <w:tcPr>
          <w:tcW w:w="2489" w:type="dxa"/>
        </w:tcPr>
        <w:p w14:paraId="20BC808E" w14:textId="77777777" w:rsidR="004D515D" w:rsidRDefault="004D5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6B8BE228" w:rsidR="004D515D" w:rsidRPr="00606C35" w:rsidRDefault="00010B60" w:rsidP="00010B60">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 XXXX XXX</w:t>
          </w:r>
        </w:p>
      </w:tc>
    </w:tr>
    <w:tr w:rsidR="004D515D" w14:paraId="356DF698" w14:textId="77777777">
      <w:trPr>
        <w:trHeight w:val="228"/>
      </w:trPr>
      <w:tc>
        <w:tcPr>
          <w:tcW w:w="2489" w:type="dxa"/>
          <w:vAlign w:val="center"/>
        </w:tcPr>
        <w:p w14:paraId="6F719CF9" w14:textId="77777777" w:rsidR="004D515D" w:rsidRDefault="004D515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7C490F8A" w:rsidR="004D515D" w:rsidRDefault="004D515D">
          <w:pPr>
            <w:ind w:left="-45" w:right="176"/>
            <w:jc w:val="both"/>
            <w:rPr>
              <w:rFonts w:ascii="Palatino Linotype" w:eastAsia="Palatino Linotype" w:hAnsi="Palatino Linotype" w:cs="Palatino Linotype"/>
              <w:b/>
              <w:sz w:val="22"/>
              <w:szCs w:val="22"/>
            </w:rPr>
          </w:pPr>
          <w:r w:rsidRPr="00376936">
            <w:rPr>
              <w:rFonts w:ascii="Palatino Linotype" w:eastAsia="Palatino Linotype" w:hAnsi="Palatino Linotype" w:cs="Palatino Linotype"/>
              <w:b/>
              <w:sz w:val="22"/>
              <w:szCs w:val="22"/>
            </w:rPr>
            <w:t>Ayuntamiento de el Oro</w:t>
          </w:r>
        </w:p>
      </w:tc>
    </w:tr>
    <w:tr w:rsidR="004D515D" w14:paraId="70857C53" w14:textId="77777777">
      <w:tc>
        <w:tcPr>
          <w:tcW w:w="2489" w:type="dxa"/>
          <w:vAlign w:val="center"/>
        </w:tcPr>
        <w:p w14:paraId="5699E7FB" w14:textId="77777777" w:rsidR="004D515D" w:rsidRDefault="004D515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4D515D" w:rsidRDefault="004D515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4D515D" w:rsidRDefault="004D515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E35D2"/>
    <w:multiLevelType w:val="hybridMultilevel"/>
    <w:tmpl w:val="53F43C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6707D6"/>
    <w:multiLevelType w:val="hybridMultilevel"/>
    <w:tmpl w:val="81FC2FFE"/>
    <w:lvl w:ilvl="0" w:tplc="9D1255F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0"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4"/>
  </w:num>
  <w:num w:numId="3">
    <w:abstractNumId w:val="1"/>
  </w:num>
  <w:num w:numId="4">
    <w:abstractNumId w:val="7"/>
  </w:num>
  <w:num w:numId="5">
    <w:abstractNumId w:val="9"/>
  </w:num>
  <w:num w:numId="6">
    <w:abstractNumId w:val="2"/>
  </w:num>
  <w:num w:numId="7">
    <w:abstractNumId w:val="6"/>
  </w:num>
  <w:num w:numId="8">
    <w:abstractNumId w:val="0"/>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1097C"/>
    <w:rsid w:val="00010B60"/>
    <w:rsid w:val="00011318"/>
    <w:rsid w:val="0001289A"/>
    <w:rsid w:val="000137AF"/>
    <w:rsid w:val="00016685"/>
    <w:rsid w:val="0002069B"/>
    <w:rsid w:val="00020D5C"/>
    <w:rsid w:val="00022C81"/>
    <w:rsid w:val="00024E98"/>
    <w:rsid w:val="000301F3"/>
    <w:rsid w:val="00034633"/>
    <w:rsid w:val="00035788"/>
    <w:rsid w:val="00037869"/>
    <w:rsid w:val="000427D6"/>
    <w:rsid w:val="00042B5C"/>
    <w:rsid w:val="000477B0"/>
    <w:rsid w:val="000478BE"/>
    <w:rsid w:val="00056BCC"/>
    <w:rsid w:val="00057964"/>
    <w:rsid w:val="000602FD"/>
    <w:rsid w:val="00061B18"/>
    <w:rsid w:val="00062F46"/>
    <w:rsid w:val="0007137F"/>
    <w:rsid w:val="00077851"/>
    <w:rsid w:val="00080D86"/>
    <w:rsid w:val="00080F70"/>
    <w:rsid w:val="00082489"/>
    <w:rsid w:val="000862C7"/>
    <w:rsid w:val="00095EAC"/>
    <w:rsid w:val="000A48FE"/>
    <w:rsid w:val="000A66FF"/>
    <w:rsid w:val="000B2741"/>
    <w:rsid w:val="000C2595"/>
    <w:rsid w:val="000C2629"/>
    <w:rsid w:val="000C3C05"/>
    <w:rsid w:val="000C6EBA"/>
    <w:rsid w:val="000C737A"/>
    <w:rsid w:val="000D6DE3"/>
    <w:rsid w:val="000E6845"/>
    <w:rsid w:val="000E6C60"/>
    <w:rsid w:val="000E700F"/>
    <w:rsid w:val="000F33CD"/>
    <w:rsid w:val="000F7088"/>
    <w:rsid w:val="00100277"/>
    <w:rsid w:val="00103D18"/>
    <w:rsid w:val="00103FBE"/>
    <w:rsid w:val="001050DE"/>
    <w:rsid w:val="001062CC"/>
    <w:rsid w:val="001128C8"/>
    <w:rsid w:val="001130FC"/>
    <w:rsid w:val="00116DA6"/>
    <w:rsid w:val="0011746A"/>
    <w:rsid w:val="00117A90"/>
    <w:rsid w:val="00117F05"/>
    <w:rsid w:val="0012179F"/>
    <w:rsid w:val="00123D43"/>
    <w:rsid w:val="00127082"/>
    <w:rsid w:val="00137CD6"/>
    <w:rsid w:val="00142B50"/>
    <w:rsid w:val="00145E45"/>
    <w:rsid w:val="0015439E"/>
    <w:rsid w:val="001561EA"/>
    <w:rsid w:val="00163A18"/>
    <w:rsid w:val="00163E85"/>
    <w:rsid w:val="00166B5C"/>
    <w:rsid w:val="00172883"/>
    <w:rsid w:val="0017486E"/>
    <w:rsid w:val="001772A1"/>
    <w:rsid w:val="00177FD6"/>
    <w:rsid w:val="00187D81"/>
    <w:rsid w:val="001907FD"/>
    <w:rsid w:val="00193AE1"/>
    <w:rsid w:val="00195067"/>
    <w:rsid w:val="001952A5"/>
    <w:rsid w:val="00196087"/>
    <w:rsid w:val="0019691D"/>
    <w:rsid w:val="001969DE"/>
    <w:rsid w:val="00197136"/>
    <w:rsid w:val="001A41F7"/>
    <w:rsid w:val="001A60C5"/>
    <w:rsid w:val="001B0D75"/>
    <w:rsid w:val="001B5B66"/>
    <w:rsid w:val="001B6AC4"/>
    <w:rsid w:val="001D3FCA"/>
    <w:rsid w:val="001E2948"/>
    <w:rsid w:val="001E2DE6"/>
    <w:rsid w:val="001E550E"/>
    <w:rsid w:val="001E71C9"/>
    <w:rsid w:val="001E76F1"/>
    <w:rsid w:val="001F1281"/>
    <w:rsid w:val="001F50F5"/>
    <w:rsid w:val="00202176"/>
    <w:rsid w:val="0020669E"/>
    <w:rsid w:val="002159A1"/>
    <w:rsid w:val="002220DE"/>
    <w:rsid w:val="00227EDF"/>
    <w:rsid w:val="002305F2"/>
    <w:rsid w:val="002334FF"/>
    <w:rsid w:val="00247BB4"/>
    <w:rsid w:val="00251C2F"/>
    <w:rsid w:val="002552D2"/>
    <w:rsid w:val="00255468"/>
    <w:rsid w:val="002556D8"/>
    <w:rsid w:val="00257D93"/>
    <w:rsid w:val="002602A4"/>
    <w:rsid w:val="0026230C"/>
    <w:rsid w:val="00270D6F"/>
    <w:rsid w:val="00273FF8"/>
    <w:rsid w:val="00277C5E"/>
    <w:rsid w:val="00285C22"/>
    <w:rsid w:val="0028679B"/>
    <w:rsid w:val="00286DF8"/>
    <w:rsid w:val="00286E8C"/>
    <w:rsid w:val="002905AC"/>
    <w:rsid w:val="00290CED"/>
    <w:rsid w:val="00291E03"/>
    <w:rsid w:val="002929C0"/>
    <w:rsid w:val="0029329E"/>
    <w:rsid w:val="0029400A"/>
    <w:rsid w:val="0029462E"/>
    <w:rsid w:val="002A303F"/>
    <w:rsid w:val="002A7D0E"/>
    <w:rsid w:val="002B3873"/>
    <w:rsid w:val="002B3CD9"/>
    <w:rsid w:val="002B4E61"/>
    <w:rsid w:val="002B4E65"/>
    <w:rsid w:val="002C3094"/>
    <w:rsid w:val="002C34D8"/>
    <w:rsid w:val="002C3A28"/>
    <w:rsid w:val="002C4768"/>
    <w:rsid w:val="002D1845"/>
    <w:rsid w:val="002E233E"/>
    <w:rsid w:val="002E63D4"/>
    <w:rsid w:val="002E6CF0"/>
    <w:rsid w:val="002F0D5B"/>
    <w:rsid w:val="002F1108"/>
    <w:rsid w:val="002F1DF9"/>
    <w:rsid w:val="002F6490"/>
    <w:rsid w:val="00305B35"/>
    <w:rsid w:val="00316C2A"/>
    <w:rsid w:val="0032051B"/>
    <w:rsid w:val="00321757"/>
    <w:rsid w:val="00321883"/>
    <w:rsid w:val="00323E61"/>
    <w:rsid w:val="003242CA"/>
    <w:rsid w:val="00331EE8"/>
    <w:rsid w:val="00332040"/>
    <w:rsid w:val="00332433"/>
    <w:rsid w:val="00334133"/>
    <w:rsid w:val="003366B5"/>
    <w:rsid w:val="003368F0"/>
    <w:rsid w:val="00336B49"/>
    <w:rsid w:val="00337D82"/>
    <w:rsid w:val="00343411"/>
    <w:rsid w:val="003441C4"/>
    <w:rsid w:val="0034706E"/>
    <w:rsid w:val="003534F3"/>
    <w:rsid w:val="003604C0"/>
    <w:rsid w:val="003636DE"/>
    <w:rsid w:val="003637C7"/>
    <w:rsid w:val="00365716"/>
    <w:rsid w:val="003659A8"/>
    <w:rsid w:val="00365F8C"/>
    <w:rsid w:val="00366EE7"/>
    <w:rsid w:val="003705B7"/>
    <w:rsid w:val="00370D9C"/>
    <w:rsid w:val="00376936"/>
    <w:rsid w:val="00376FE3"/>
    <w:rsid w:val="00381A61"/>
    <w:rsid w:val="00381B66"/>
    <w:rsid w:val="00383558"/>
    <w:rsid w:val="003846F2"/>
    <w:rsid w:val="0038512D"/>
    <w:rsid w:val="003A0AEB"/>
    <w:rsid w:val="003A3BA9"/>
    <w:rsid w:val="003A5391"/>
    <w:rsid w:val="003B1DB8"/>
    <w:rsid w:val="003B39AA"/>
    <w:rsid w:val="003B453E"/>
    <w:rsid w:val="003B765C"/>
    <w:rsid w:val="003C0FC4"/>
    <w:rsid w:val="003C2C96"/>
    <w:rsid w:val="003C31B0"/>
    <w:rsid w:val="003C5037"/>
    <w:rsid w:val="003C6F09"/>
    <w:rsid w:val="003C71C4"/>
    <w:rsid w:val="003D2176"/>
    <w:rsid w:val="003D5BB6"/>
    <w:rsid w:val="003D68F4"/>
    <w:rsid w:val="003E01ED"/>
    <w:rsid w:val="003E1AAB"/>
    <w:rsid w:val="003E26BF"/>
    <w:rsid w:val="003E43DE"/>
    <w:rsid w:val="003E4B53"/>
    <w:rsid w:val="003F38C8"/>
    <w:rsid w:val="003F449D"/>
    <w:rsid w:val="003F6EBB"/>
    <w:rsid w:val="0040335D"/>
    <w:rsid w:val="00404DB0"/>
    <w:rsid w:val="00406D11"/>
    <w:rsid w:val="00413E4E"/>
    <w:rsid w:val="00425F35"/>
    <w:rsid w:val="00433699"/>
    <w:rsid w:val="00443581"/>
    <w:rsid w:val="00445C80"/>
    <w:rsid w:val="0044671D"/>
    <w:rsid w:val="00446A9F"/>
    <w:rsid w:val="00447DB1"/>
    <w:rsid w:val="0045092C"/>
    <w:rsid w:val="00451A26"/>
    <w:rsid w:val="00453D2A"/>
    <w:rsid w:val="00464621"/>
    <w:rsid w:val="00465EA8"/>
    <w:rsid w:val="00467BB1"/>
    <w:rsid w:val="00476100"/>
    <w:rsid w:val="00482F68"/>
    <w:rsid w:val="0048548C"/>
    <w:rsid w:val="004864B2"/>
    <w:rsid w:val="00493AD9"/>
    <w:rsid w:val="004A01CE"/>
    <w:rsid w:val="004A2671"/>
    <w:rsid w:val="004A3F38"/>
    <w:rsid w:val="004A5F1A"/>
    <w:rsid w:val="004A71BF"/>
    <w:rsid w:val="004A7B91"/>
    <w:rsid w:val="004B105A"/>
    <w:rsid w:val="004B2E3B"/>
    <w:rsid w:val="004B31C3"/>
    <w:rsid w:val="004C1D0C"/>
    <w:rsid w:val="004D2703"/>
    <w:rsid w:val="004D4E1C"/>
    <w:rsid w:val="004D515D"/>
    <w:rsid w:val="004E07A1"/>
    <w:rsid w:val="004E3F9B"/>
    <w:rsid w:val="004E4C62"/>
    <w:rsid w:val="004E4E0D"/>
    <w:rsid w:val="004F017B"/>
    <w:rsid w:val="004F3270"/>
    <w:rsid w:val="004F3F24"/>
    <w:rsid w:val="004F4F81"/>
    <w:rsid w:val="004F7818"/>
    <w:rsid w:val="00501E52"/>
    <w:rsid w:val="00503188"/>
    <w:rsid w:val="00503745"/>
    <w:rsid w:val="005039C8"/>
    <w:rsid w:val="0051150E"/>
    <w:rsid w:val="0051292F"/>
    <w:rsid w:val="00512DC5"/>
    <w:rsid w:val="00520D54"/>
    <w:rsid w:val="00521785"/>
    <w:rsid w:val="005300C8"/>
    <w:rsid w:val="00531B5E"/>
    <w:rsid w:val="00533802"/>
    <w:rsid w:val="005375DC"/>
    <w:rsid w:val="0054260C"/>
    <w:rsid w:val="00544FB8"/>
    <w:rsid w:val="005472E0"/>
    <w:rsid w:val="005504B5"/>
    <w:rsid w:val="00554CDE"/>
    <w:rsid w:val="00560092"/>
    <w:rsid w:val="00561B43"/>
    <w:rsid w:val="005626F7"/>
    <w:rsid w:val="00562A90"/>
    <w:rsid w:val="00563378"/>
    <w:rsid w:val="0056342B"/>
    <w:rsid w:val="00567CF2"/>
    <w:rsid w:val="005725CD"/>
    <w:rsid w:val="005759CD"/>
    <w:rsid w:val="00576B49"/>
    <w:rsid w:val="005867AF"/>
    <w:rsid w:val="00593F06"/>
    <w:rsid w:val="005A2EC9"/>
    <w:rsid w:val="005A5876"/>
    <w:rsid w:val="005A6094"/>
    <w:rsid w:val="005C40B8"/>
    <w:rsid w:val="005C6761"/>
    <w:rsid w:val="005D053B"/>
    <w:rsid w:val="005D0F9D"/>
    <w:rsid w:val="005D1A1F"/>
    <w:rsid w:val="005D261D"/>
    <w:rsid w:val="005D2646"/>
    <w:rsid w:val="005D465F"/>
    <w:rsid w:val="005D5307"/>
    <w:rsid w:val="005D5DC9"/>
    <w:rsid w:val="005D7519"/>
    <w:rsid w:val="005D75E2"/>
    <w:rsid w:val="005F0996"/>
    <w:rsid w:val="005F10CA"/>
    <w:rsid w:val="005F5898"/>
    <w:rsid w:val="005F5F2E"/>
    <w:rsid w:val="006014E6"/>
    <w:rsid w:val="0060352D"/>
    <w:rsid w:val="006035E6"/>
    <w:rsid w:val="00605774"/>
    <w:rsid w:val="00606953"/>
    <w:rsid w:val="00606C35"/>
    <w:rsid w:val="00607B6C"/>
    <w:rsid w:val="00614C95"/>
    <w:rsid w:val="006159D4"/>
    <w:rsid w:val="00621F2F"/>
    <w:rsid w:val="0062255D"/>
    <w:rsid w:val="00625B99"/>
    <w:rsid w:val="00630B2A"/>
    <w:rsid w:val="006339DE"/>
    <w:rsid w:val="006341A1"/>
    <w:rsid w:val="00635743"/>
    <w:rsid w:val="0064210F"/>
    <w:rsid w:val="006422BD"/>
    <w:rsid w:val="006525F8"/>
    <w:rsid w:val="00652E8E"/>
    <w:rsid w:val="00656465"/>
    <w:rsid w:val="00660BE7"/>
    <w:rsid w:val="006653FA"/>
    <w:rsid w:val="006659E6"/>
    <w:rsid w:val="00672386"/>
    <w:rsid w:val="00672448"/>
    <w:rsid w:val="0067401E"/>
    <w:rsid w:val="00676881"/>
    <w:rsid w:val="0067769E"/>
    <w:rsid w:val="00680237"/>
    <w:rsid w:val="00680BBB"/>
    <w:rsid w:val="00685FA0"/>
    <w:rsid w:val="0068770D"/>
    <w:rsid w:val="00690386"/>
    <w:rsid w:val="00691286"/>
    <w:rsid w:val="006941B1"/>
    <w:rsid w:val="00694EA4"/>
    <w:rsid w:val="006A2BE0"/>
    <w:rsid w:val="006B3E15"/>
    <w:rsid w:val="006B7FBA"/>
    <w:rsid w:val="006C1457"/>
    <w:rsid w:val="006C1BEB"/>
    <w:rsid w:val="006C7D4E"/>
    <w:rsid w:val="006D08E6"/>
    <w:rsid w:val="006D2966"/>
    <w:rsid w:val="006D6F0C"/>
    <w:rsid w:val="006D7318"/>
    <w:rsid w:val="006D7A13"/>
    <w:rsid w:val="006E1160"/>
    <w:rsid w:val="006E1F52"/>
    <w:rsid w:val="006E4FFF"/>
    <w:rsid w:val="006E7125"/>
    <w:rsid w:val="006F7200"/>
    <w:rsid w:val="00700147"/>
    <w:rsid w:val="0070132B"/>
    <w:rsid w:val="007014FE"/>
    <w:rsid w:val="00701A9C"/>
    <w:rsid w:val="0071417D"/>
    <w:rsid w:val="007146B1"/>
    <w:rsid w:val="007169CC"/>
    <w:rsid w:val="00725A92"/>
    <w:rsid w:val="007262D8"/>
    <w:rsid w:val="007271E9"/>
    <w:rsid w:val="007275B2"/>
    <w:rsid w:val="00736B85"/>
    <w:rsid w:val="00736F00"/>
    <w:rsid w:val="00737848"/>
    <w:rsid w:val="00737AF2"/>
    <w:rsid w:val="0074010D"/>
    <w:rsid w:val="00744EC8"/>
    <w:rsid w:val="00745EE8"/>
    <w:rsid w:val="0075024A"/>
    <w:rsid w:val="0075193B"/>
    <w:rsid w:val="00754910"/>
    <w:rsid w:val="00757712"/>
    <w:rsid w:val="007610BD"/>
    <w:rsid w:val="0076666E"/>
    <w:rsid w:val="0076674E"/>
    <w:rsid w:val="00767DAF"/>
    <w:rsid w:val="007727DA"/>
    <w:rsid w:val="007747E0"/>
    <w:rsid w:val="00776DCE"/>
    <w:rsid w:val="00780601"/>
    <w:rsid w:val="00792513"/>
    <w:rsid w:val="0079717E"/>
    <w:rsid w:val="007A1919"/>
    <w:rsid w:val="007A1E0D"/>
    <w:rsid w:val="007A57B6"/>
    <w:rsid w:val="007A690D"/>
    <w:rsid w:val="007B46BD"/>
    <w:rsid w:val="007C1AEB"/>
    <w:rsid w:val="007C51FC"/>
    <w:rsid w:val="007C556D"/>
    <w:rsid w:val="007C6D4D"/>
    <w:rsid w:val="007C7BBE"/>
    <w:rsid w:val="007D1B31"/>
    <w:rsid w:val="007D6BB8"/>
    <w:rsid w:val="007E0A49"/>
    <w:rsid w:val="007E297C"/>
    <w:rsid w:val="007E2BFA"/>
    <w:rsid w:val="007E6BEC"/>
    <w:rsid w:val="007F06FC"/>
    <w:rsid w:val="007F1A81"/>
    <w:rsid w:val="007F1E1C"/>
    <w:rsid w:val="007F30F9"/>
    <w:rsid w:val="008004C7"/>
    <w:rsid w:val="00800B4F"/>
    <w:rsid w:val="00801532"/>
    <w:rsid w:val="00802B29"/>
    <w:rsid w:val="00804C97"/>
    <w:rsid w:val="00806319"/>
    <w:rsid w:val="00810B35"/>
    <w:rsid w:val="00817D68"/>
    <w:rsid w:val="008203F2"/>
    <w:rsid w:val="00822A0E"/>
    <w:rsid w:val="0083576E"/>
    <w:rsid w:val="00835BDB"/>
    <w:rsid w:val="00835E7D"/>
    <w:rsid w:val="00846647"/>
    <w:rsid w:val="008525DE"/>
    <w:rsid w:val="00853B52"/>
    <w:rsid w:val="00856962"/>
    <w:rsid w:val="00862601"/>
    <w:rsid w:val="00866013"/>
    <w:rsid w:val="00870AD0"/>
    <w:rsid w:val="008715C7"/>
    <w:rsid w:val="008751CD"/>
    <w:rsid w:val="0087690A"/>
    <w:rsid w:val="00877B8B"/>
    <w:rsid w:val="0088183C"/>
    <w:rsid w:val="00885D6D"/>
    <w:rsid w:val="00887B04"/>
    <w:rsid w:val="008944FC"/>
    <w:rsid w:val="00897CC2"/>
    <w:rsid w:val="008A00B0"/>
    <w:rsid w:val="008A065E"/>
    <w:rsid w:val="008A13FF"/>
    <w:rsid w:val="008A7390"/>
    <w:rsid w:val="008A7B4A"/>
    <w:rsid w:val="008B0B99"/>
    <w:rsid w:val="008B686C"/>
    <w:rsid w:val="008C0285"/>
    <w:rsid w:val="008C1799"/>
    <w:rsid w:val="008C3AAF"/>
    <w:rsid w:val="008C5299"/>
    <w:rsid w:val="008D09C6"/>
    <w:rsid w:val="008D3666"/>
    <w:rsid w:val="008D3DF1"/>
    <w:rsid w:val="008D4A49"/>
    <w:rsid w:val="008D52CE"/>
    <w:rsid w:val="008D5E7B"/>
    <w:rsid w:val="008E5F65"/>
    <w:rsid w:val="008F67A2"/>
    <w:rsid w:val="008F68EE"/>
    <w:rsid w:val="008F7C0D"/>
    <w:rsid w:val="009028EA"/>
    <w:rsid w:val="0090297F"/>
    <w:rsid w:val="00904214"/>
    <w:rsid w:val="0090466F"/>
    <w:rsid w:val="00904E27"/>
    <w:rsid w:val="00906D1F"/>
    <w:rsid w:val="009071C7"/>
    <w:rsid w:val="00910BC9"/>
    <w:rsid w:val="009124A3"/>
    <w:rsid w:val="0091798A"/>
    <w:rsid w:val="00920130"/>
    <w:rsid w:val="00921BA8"/>
    <w:rsid w:val="00922693"/>
    <w:rsid w:val="00923B69"/>
    <w:rsid w:val="00930494"/>
    <w:rsid w:val="009312BF"/>
    <w:rsid w:val="0093318B"/>
    <w:rsid w:val="00934D15"/>
    <w:rsid w:val="009374BB"/>
    <w:rsid w:val="00940C41"/>
    <w:rsid w:val="00942B43"/>
    <w:rsid w:val="009450C7"/>
    <w:rsid w:val="009467BC"/>
    <w:rsid w:val="00950E71"/>
    <w:rsid w:val="009544B1"/>
    <w:rsid w:val="00957E45"/>
    <w:rsid w:val="00962C60"/>
    <w:rsid w:val="009702EC"/>
    <w:rsid w:val="00970956"/>
    <w:rsid w:val="00971AD4"/>
    <w:rsid w:val="00971F18"/>
    <w:rsid w:val="00972387"/>
    <w:rsid w:val="009731A8"/>
    <w:rsid w:val="00974192"/>
    <w:rsid w:val="00974B1D"/>
    <w:rsid w:val="00985285"/>
    <w:rsid w:val="009877A7"/>
    <w:rsid w:val="009917E3"/>
    <w:rsid w:val="009924A9"/>
    <w:rsid w:val="00992890"/>
    <w:rsid w:val="00993199"/>
    <w:rsid w:val="0099616A"/>
    <w:rsid w:val="00996255"/>
    <w:rsid w:val="00997ECB"/>
    <w:rsid w:val="009A0AB3"/>
    <w:rsid w:val="009A0DF3"/>
    <w:rsid w:val="009A3F84"/>
    <w:rsid w:val="009A6CA6"/>
    <w:rsid w:val="009B7ACC"/>
    <w:rsid w:val="009C1089"/>
    <w:rsid w:val="009C557D"/>
    <w:rsid w:val="009D0B40"/>
    <w:rsid w:val="009D40BF"/>
    <w:rsid w:val="009E66E4"/>
    <w:rsid w:val="009E7EAF"/>
    <w:rsid w:val="009F4BDF"/>
    <w:rsid w:val="009F66A2"/>
    <w:rsid w:val="009F704A"/>
    <w:rsid w:val="00A003FF"/>
    <w:rsid w:val="00A00FA7"/>
    <w:rsid w:val="00A0443D"/>
    <w:rsid w:val="00A04D01"/>
    <w:rsid w:val="00A0520F"/>
    <w:rsid w:val="00A07C29"/>
    <w:rsid w:val="00A11D0F"/>
    <w:rsid w:val="00A211BA"/>
    <w:rsid w:val="00A21B6E"/>
    <w:rsid w:val="00A332E5"/>
    <w:rsid w:val="00A36FAC"/>
    <w:rsid w:val="00A42586"/>
    <w:rsid w:val="00A4550B"/>
    <w:rsid w:val="00A45809"/>
    <w:rsid w:val="00A46AAD"/>
    <w:rsid w:val="00A510DB"/>
    <w:rsid w:val="00A51B9F"/>
    <w:rsid w:val="00A56BC6"/>
    <w:rsid w:val="00A63029"/>
    <w:rsid w:val="00A67CC7"/>
    <w:rsid w:val="00A7177C"/>
    <w:rsid w:val="00A76C70"/>
    <w:rsid w:val="00A8219B"/>
    <w:rsid w:val="00A84BFD"/>
    <w:rsid w:val="00A86924"/>
    <w:rsid w:val="00A878CB"/>
    <w:rsid w:val="00A902AC"/>
    <w:rsid w:val="00A90318"/>
    <w:rsid w:val="00A93369"/>
    <w:rsid w:val="00A95AF8"/>
    <w:rsid w:val="00A95D5D"/>
    <w:rsid w:val="00AA2E3A"/>
    <w:rsid w:val="00AA48D3"/>
    <w:rsid w:val="00AA71F3"/>
    <w:rsid w:val="00AB07A5"/>
    <w:rsid w:val="00AB2069"/>
    <w:rsid w:val="00AC3C31"/>
    <w:rsid w:val="00AC5422"/>
    <w:rsid w:val="00AC6FF0"/>
    <w:rsid w:val="00AC704B"/>
    <w:rsid w:val="00AE1A39"/>
    <w:rsid w:val="00AE2F40"/>
    <w:rsid w:val="00AE4EEE"/>
    <w:rsid w:val="00AF03E6"/>
    <w:rsid w:val="00AF0A6C"/>
    <w:rsid w:val="00AF3F55"/>
    <w:rsid w:val="00AF51BA"/>
    <w:rsid w:val="00B02095"/>
    <w:rsid w:val="00B05F11"/>
    <w:rsid w:val="00B10C93"/>
    <w:rsid w:val="00B132C9"/>
    <w:rsid w:val="00B13BCD"/>
    <w:rsid w:val="00B13EFD"/>
    <w:rsid w:val="00B144FB"/>
    <w:rsid w:val="00B163DC"/>
    <w:rsid w:val="00B20319"/>
    <w:rsid w:val="00B25965"/>
    <w:rsid w:val="00B26DF1"/>
    <w:rsid w:val="00B327B0"/>
    <w:rsid w:val="00B331A7"/>
    <w:rsid w:val="00B34B20"/>
    <w:rsid w:val="00B35DED"/>
    <w:rsid w:val="00B40EC0"/>
    <w:rsid w:val="00B416EF"/>
    <w:rsid w:val="00B42757"/>
    <w:rsid w:val="00B42DC6"/>
    <w:rsid w:val="00B506C5"/>
    <w:rsid w:val="00B51D4D"/>
    <w:rsid w:val="00B5622A"/>
    <w:rsid w:val="00B63CDB"/>
    <w:rsid w:val="00B767CD"/>
    <w:rsid w:val="00B8273C"/>
    <w:rsid w:val="00B84F30"/>
    <w:rsid w:val="00B87105"/>
    <w:rsid w:val="00B8732B"/>
    <w:rsid w:val="00B87C4A"/>
    <w:rsid w:val="00B90458"/>
    <w:rsid w:val="00B906D5"/>
    <w:rsid w:val="00B913E9"/>
    <w:rsid w:val="00B91744"/>
    <w:rsid w:val="00BA0367"/>
    <w:rsid w:val="00BA17F0"/>
    <w:rsid w:val="00BA1E21"/>
    <w:rsid w:val="00BA35E4"/>
    <w:rsid w:val="00BA39B7"/>
    <w:rsid w:val="00BA61EA"/>
    <w:rsid w:val="00BB55AD"/>
    <w:rsid w:val="00BB7DE7"/>
    <w:rsid w:val="00BC1DFC"/>
    <w:rsid w:val="00BC2BCB"/>
    <w:rsid w:val="00BC3793"/>
    <w:rsid w:val="00BC4A18"/>
    <w:rsid w:val="00BD56A8"/>
    <w:rsid w:val="00BD5CEC"/>
    <w:rsid w:val="00BE22CC"/>
    <w:rsid w:val="00BE31A5"/>
    <w:rsid w:val="00BE3ACA"/>
    <w:rsid w:val="00BE5E51"/>
    <w:rsid w:val="00BF1DE2"/>
    <w:rsid w:val="00BF4EF2"/>
    <w:rsid w:val="00BF57BE"/>
    <w:rsid w:val="00C01827"/>
    <w:rsid w:val="00C018C9"/>
    <w:rsid w:val="00C0196A"/>
    <w:rsid w:val="00C03654"/>
    <w:rsid w:val="00C058FE"/>
    <w:rsid w:val="00C11552"/>
    <w:rsid w:val="00C13F03"/>
    <w:rsid w:val="00C14AF6"/>
    <w:rsid w:val="00C1737F"/>
    <w:rsid w:val="00C2185D"/>
    <w:rsid w:val="00C3322F"/>
    <w:rsid w:val="00C41418"/>
    <w:rsid w:val="00C42014"/>
    <w:rsid w:val="00C42D18"/>
    <w:rsid w:val="00C43492"/>
    <w:rsid w:val="00C43D28"/>
    <w:rsid w:val="00C4409A"/>
    <w:rsid w:val="00C509C4"/>
    <w:rsid w:val="00C52BF5"/>
    <w:rsid w:val="00C5410E"/>
    <w:rsid w:val="00C55688"/>
    <w:rsid w:val="00C602CE"/>
    <w:rsid w:val="00C64A3D"/>
    <w:rsid w:val="00C715CA"/>
    <w:rsid w:val="00C74C37"/>
    <w:rsid w:val="00C754EE"/>
    <w:rsid w:val="00C8383A"/>
    <w:rsid w:val="00C91D47"/>
    <w:rsid w:val="00C927CA"/>
    <w:rsid w:val="00C93C73"/>
    <w:rsid w:val="00C9469E"/>
    <w:rsid w:val="00C97E1B"/>
    <w:rsid w:val="00CA1F90"/>
    <w:rsid w:val="00CA763A"/>
    <w:rsid w:val="00CB0F0E"/>
    <w:rsid w:val="00CB2177"/>
    <w:rsid w:val="00CB3077"/>
    <w:rsid w:val="00CB575B"/>
    <w:rsid w:val="00CB6CDB"/>
    <w:rsid w:val="00CC7B74"/>
    <w:rsid w:val="00CD00AF"/>
    <w:rsid w:val="00CD09AE"/>
    <w:rsid w:val="00CD110D"/>
    <w:rsid w:val="00CD41CF"/>
    <w:rsid w:val="00CD72BF"/>
    <w:rsid w:val="00CF1ACD"/>
    <w:rsid w:val="00CF36EB"/>
    <w:rsid w:val="00CF49DF"/>
    <w:rsid w:val="00CF4B19"/>
    <w:rsid w:val="00CF51C6"/>
    <w:rsid w:val="00D00489"/>
    <w:rsid w:val="00D0168E"/>
    <w:rsid w:val="00D03477"/>
    <w:rsid w:val="00D0485C"/>
    <w:rsid w:val="00D05004"/>
    <w:rsid w:val="00D1471E"/>
    <w:rsid w:val="00D15725"/>
    <w:rsid w:val="00D20443"/>
    <w:rsid w:val="00D32543"/>
    <w:rsid w:val="00D34F81"/>
    <w:rsid w:val="00D35F60"/>
    <w:rsid w:val="00D422CA"/>
    <w:rsid w:val="00D4252D"/>
    <w:rsid w:val="00D5007D"/>
    <w:rsid w:val="00D54429"/>
    <w:rsid w:val="00D6464B"/>
    <w:rsid w:val="00D7030E"/>
    <w:rsid w:val="00D70645"/>
    <w:rsid w:val="00D71BBD"/>
    <w:rsid w:val="00D73336"/>
    <w:rsid w:val="00D741C6"/>
    <w:rsid w:val="00D800D2"/>
    <w:rsid w:val="00D945F5"/>
    <w:rsid w:val="00D95AEE"/>
    <w:rsid w:val="00DA16F6"/>
    <w:rsid w:val="00DA2EBC"/>
    <w:rsid w:val="00DB0607"/>
    <w:rsid w:val="00DB3A94"/>
    <w:rsid w:val="00DB5B9D"/>
    <w:rsid w:val="00DB7EEE"/>
    <w:rsid w:val="00DC0C4F"/>
    <w:rsid w:val="00DC246F"/>
    <w:rsid w:val="00DC4524"/>
    <w:rsid w:val="00DC662E"/>
    <w:rsid w:val="00DC69BC"/>
    <w:rsid w:val="00DC6F43"/>
    <w:rsid w:val="00DD0E02"/>
    <w:rsid w:val="00DD1979"/>
    <w:rsid w:val="00DD1F8C"/>
    <w:rsid w:val="00DD6BDF"/>
    <w:rsid w:val="00DD6FA6"/>
    <w:rsid w:val="00DE191D"/>
    <w:rsid w:val="00DE1FB1"/>
    <w:rsid w:val="00DE2252"/>
    <w:rsid w:val="00DE2C45"/>
    <w:rsid w:val="00DF0C0B"/>
    <w:rsid w:val="00DF5DA7"/>
    <w:rsid w:val="00DF5E2A"/>
    <w:rsid w:val="00E07D38"/>
    <w:rsid w:val="00E15A1A"/>
    <w:rsid w:val="00E15DF2"/>
    <w:rsid w:val="00E2174F"/>
    <w:rsid w:val="00E34062"/>
    <w:rsid w:val="00E35449"/>
    <w:rsid w:val="00E55C63"/>
    <w:rsid w:val="00E55F9B"/>
    <w:rsid w:val="00E6560F"/>
    <w:rsid w:val="00E669EA"/>
    <w:rsid w:val="00E6787E"/>
    <w:rsid w:val="00E70382"/>
    <w:rsid w:val="00E715FC"/>
    <w:rsid w:val="00E748EC"/>
    <w:rsid w:val="00E80390"/>
    <w:rsid w:val="00E803B7"/>
    <w:rsid w:val="00E85496"/>
    <w:rsid w:val="00E904FD"/>
    <w:rsid w:val="00E9255D"/>
    <w:rsid w:val="00E96D12"/>
    <w:rsid w:val="00EA27EE"/>
    <w:rsid w:val="00EA2D67"/>
    <w:rsid w:val="00EA3726"/>
    <w:rsid w:val="00EB0F34"/>
    <w:rsid w:val="00EC0D7B"/>
    <w:rsid w:val="00EC3036"/>
    <w:rsid w:val="00EC4146"/>
    <w:rsid w:val="00ED0825"/>
    <w:rsid w:val="00ED2092"/>
    <w:rsid w:val="00ED47F2"/>
    <w:rsid w:val="00EE037F"/>
    <w:rsid w:val="00EE26DB"/>
    <w:rsid w:val="00EE27A2"/>
    <w:rsid w:val="00EE7AA9"/>
    <w:rsid w:val="00EF0D72"/>
    <w:rsid w:val="00EF145E"/>
    <w:rsid w:val="00EF5073"/>
    <w:rsid w:val="00F013DA"/>
    <w:rsid w:val="00F07312"/>
    <w:rsid w:val="00F10373"/>
    <w:rsid w:val="00F115F2"/>
    <w:rsid w:val="00F14BC9"/>
    <w:rsid w:val="00F152B9"/>
    <w:rsid w:val="00F16F95"/>
    <w:rsid w:val="00F224E2"/>
    <w:rsid w:val="00F2456A"/>
    <w:rsid w:val="00F30DA4"/>
    <w:rsid w:val="00F31CEB"/>
    <w:rsid w:val="00F34997"/>
    <w:rsid w:val="00F36C60"/>
    <w:rsid w:val="00F4141B"/>
    <w:rsid w:val="00F4372C"/>
    <w:rsid w:val="00F43CF2"/>
    <w:rsid w:val="00F44DFA"/>
    <w:rsid w:val="00F456A7"/>
    <w:rsid w:val="00F470B9"/>
    <w:rsid w:val="00F53EF2"/>
    <w:rsid w:val="00F550B5"/>
    <w:rsid w:val="00F63CD7"/>
    <w:rsid w:val="00F64878"/>
    <w:rsid w:val="00F65DCF"/>
    <w:rsid w:val="00F6604C"/>
    <w:rsid w:val="00F76321"/>
    <w:rsid w:val="00F808A7"/>
    <w:rsid w:val="00F83945"/>
    <w:rsid w:val="00F8454B"/>
    <w:rsid w:val="00F84D2C"/>
    <w:rsid w:val="00F84EDF"/>
    <w:rsid w:val="00F85546"/>
    <w:rsid w:val="00F866FE"/>
    <w:rsid w:val="00F86742"/>
    <w:rsid w:val="00F8691F"/>
    <w:rsid w:val="00F86FFE"/>
    <w:rsid w:val="00F87495"/>
    <w:rsid w:val="00F87516"/>
    <w:rsid w:val="00F91CE1"/>
    <w:rsid w:val="00F952FA"/>
    <w:rsid w:val="00F9573D"/>
    <w:rsid w:val="00FA1BC1"/>
    <w:rsid w:val="00FB1CDA"/>
    <w:rsid w:val="00FB35D6"/>
    <w:rsid w:val="00FB37BB"/>
    <w:rsid w:val="00FB3D2C"/>
    <w:rsid w:val="00FC005E"/>
    <w:rsid w:val="00FC239F"/>
    <w:rsid w:val="00FC34D3"/>
    <w:rsid w:val="00FC566F"/>
    <w:rsid w:val="00FD0ED3"/>
    <w:rsid w:val="00FD1B59"/>
    <w:rsid w:val="00FD2BEE"/>
    <w:rsid w:val="00FD60CA"/>
    <w:rsid w:val="00FD7B5B"/>
    <w:rsid w:val="00FE159A"/>
    <w:rsid w:val="00FF2516"/>
    <w:rsid w:val="00FF3183"/>
    <w:rsid w:val="00FF3400"/>
    <w:rsid w:val="00FF4C55"/>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3211">
      <w:bodyDiv w:val="1"/>
      <w:marLeft w:val="0"/>
      <w:marRight w:val="0"/>
      <w:marTop w:val="0"/>
      <w:marBottom w:val="0"/>
      <w:divBdr>
        <w:top w:val="none" w:sz="0" w:space="0" w:color="auto"/>
        <w:left w:val="none" w:sz="0" w:space="0" w:color="auto"/>
        <w:bottom w:val="none" w:sz="0" w:space="0" w:color="auto"/>
        <w:right w:val="none" w:sz="0" w:space="0" w:color="auto"/>
      </w:divBdr>
    </w:div>
    <w:div w:id="1073742087">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4984</Words>
  <Characters>27412</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2026-02-20T19:24:00Z</cp:lastPrinted>
  <dcterms:created xsi:type="dcterms:W3CDTF">2026-04-06T20:46:00Z</dcterms:created>
  <dcterms:modified xsi:type="dcterms:W3CDTF">2026-04-06T20:46:00Z</dcterms:modified>
</cp:coreProperties>
</file>