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D5B" w:rsidRPr="002E4216" w:rsidRDefault="00391B1E">
      <w:pPr>
        <w:spacing w:line="360" w:lineRule="auto"/>
        <w:ind w:right="-734"/>
        <w:jc w:val="both"/>
        <w:rPr>
          <w:rFonts w:ascii="Palatino Linotype" w:eastAsia="Palatino Linotype" w:hAnsi="Palatino Linotype" w:cs="Palatino Linotype"/>
          <w:b/>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w:t>
      </w:r>
      <w:r w:rsidR="00776F7A">
        <w:rPr>
          <w:rFonts w:ascii="Palatino Linotype" w:eastAsia="Palatino Linotype" w:hAnsi="Palatino Linotype" w:cs="Palatino Linotype"/>
        </w:rPr>
        <w:t xml:space="preserve">xico; de fecha </w:t>
      </w:r>
      <w:r w:rsidR="00776F7A" w:rsidRPr="002E4216">
        <w:rPr>
          <w:rFonts w:ascii="Palatino Linotype" w:eastAsia="Palatino Linotype" w:hAnsi="Palatino Linotype" w:cs="Palatino Linotype"/>
          <w:b/>
        </w:rPr>
        <w:t>veintisiete</w:t>
      </w:r>
      <w:r w:rsidR="002E4216" w:rsidRPr="002E4216">
        <w:rPr>
          <w:rFonts w:ascii="Palatino Linotype" w:eastAsia="Palatino Linotype" w:hAnsi="Palatino Linotype" w:cs="Palatino Linotype"/>
          <w:b/>
        </w:rPr>
        <w:t xml:space="preserve"> (27)</w:t>
      </w:r>
      <w:r w:rsidR="00776F7A" w:rsidRPr="002E4216">
        <w:rPr>
          <w:rFonts w:ascii="Palatino Linotype" w:eastAsia="Palatino Linotype" w:hAnsi="Palatino Linotype" w:cs="Palatino Linotype"/>
          <w:b/>
        </w:rPr>
        <w:t xml:space="preserve"> </w:t>
      </w:r>
      <w:r w:rsidRPr="002E4216">
        <w:rPr>
          <w:rFonts w:ascii="Palatino Linotype" w:eastAsia="Palatino Linotype" w:hAnsi="Palatino Linotype" w:cs="Palatino Linotype"/>
          <w:b/>
        </w:rPr>
        <w:t>de mayo de dos mil veintiséis.</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pBdr>
          <w:top w:val="nil"/>
          <w:left w:val="nil"/>
          <w:bottom w:val="nil"/>
          <w:right w:val="nil"/>
          <w:between w:val="nil"/>
        </w:pBdr>
        <w:tabs>
          <w:tab w:val="center" w:pos="4419"/>
          <w:tab w:val="right" w:pos="8838"/>
        </w:tabs>
        <w:spacing w:line="360" w:lineRule="auto"/>
        <w:ind w:right="-734"/>
        <w:jc w:val="both"/>
        <w:rPr>
          <w:rFonts w:ascii="Palatino Linotype" w:eastAsia="Palatino Linotype" w:hAnsi="Palatino Linotype" w:cs="Palatino Linotype"/>
          <w:color w:val="000000"/>
        </w:rPr>
      </w:pPr>
      <w:bookmarkStart w:id="0" w:name="_heading=h.gjdgxs" w:colFirst="0" w:colLast="0"/>
      <w:bookmarkEnd w:id="0"/>
      <w:r>
        <w:rPr>
          <w:rFonts w:ascii="Palatino Linotype" w:eastAsia="Palatino Linotype" w:hAnsi="Palatino Linotype" w:cs="Palatino Linotype"/>
          <w:b/>
          <w:bCs/>
          <w:color w:val="000000"/>
        </w:rPr>
        <w:t xml:space="preserve">VISTOS </w:t>
      </w:r>
      <w:r>
        <w:rPr>
          <w:rFonts w:ascii="Palatino Linotype" w:eastAsia="Palatino Linotype" w:hAnsi="Palatino Linotype" w:cs="Palatino Linotype"/>
          <w:color w:val="000000"/>
        </w:rPr>
        <w:t xml:space="preserve">los expedientes electrónicos formados con motivo de los recursos de revisión </w:t>
      </w:r>
      <w:r>
        <w:rPr>
          <w:rFonts w:ascii="Palatino Linotype" w:eastAsia="Palatino Linotype" w:hAnsi="Palatino Linotype" w:cs="Palatino Linotype"/>
          <w:b/>
          <w:bCs/>
        </w:rPr>
        <w:t>13103/INFOEM/IP/RR/2025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 xml:space="preserve">promovidos por </w:t>
      </w:r>
      <w:r w:rsidR="00133361">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 quien en lo sucesivo se le identificara como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Acambay de Ruíz Castañeda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 xml:space="preserve">adelante </w:t>
      </w: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692D5B" w:rsidRDefault="00692D5B">
      <w:pPr>
        <w:pBdr>
          <w:top w:val="nil"/>
          <w:left w:val="nil"/>
          <w:bottom w:val="nil"/>
          <w:right w:val="nil"/>
          <w:between w:val="nil"/>
        </w:pBdr>
        <w:tabs>
          <w:tab w:val="center" w:pos="4419"/>
          <w:tab w:val="right" w:pos="8838"/>
        </w:tabs>
        <w:spacing w:line="360" w:lineRule="auto"/>
        <w:ind w:right="-734"/>
        <w:jc w:val="both"/>
        <w:rPr>
          <w:rFonts w:ascii="Palatino Linotype" w:eastAsia="Palatino Linotype" w:hAnsi="Palatino Linotype" w:cs="Palatino Linotype"/>
          <w:color w:val="000000"/>
        </w:rPr>
      </w:pPr>
      <w:bookmarkStart w:id="1" w:name="_GoBack"/>
      <w:bookmarkEnd w:id="1"/>
    </w:p>
    <w:p w:rsidR="00692D5B" w:rsidRDefault="00391B1E">
      <w:pPr>
        <w:pStyle w:val="Ttulo1"/>
        <w:spacing w:before="0" w:line="360" w:lineRule="auto"/>
        <w:ind w:right="-734"/>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rsidR="00692D5B" w:rsidRDefault="00692D5B">
      <w:pPr>
        <w:spacing w:line="360" w:lineRule="auto"/>
        <w:ind w:right="-734"/>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ocho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00317/ACAMBAY/IP/2025, </w:t>
      </w:r>
      <w:r>
        <w:rPr>
          <w:rFonts w:ascii="Palatino Linotype" w:eastAsia="Palatino Linotype" w:hAnsi="Palatino Linotype" w:cs="Palatino Linotype"/>
        </w:rPr>
        <w:t xml:space="preserve">en las que se </w:t>
      </w:r>
      <w:r>
        <w:rPr>
          <w:rFonts w:ascii="Palatino Linotype" w:eastAsia="Palatino Linotype" w:hAnsi="Palatino Linotype" w:cs="Palatino Linotype"/>
          <w:color w:val="000000"/>
        </w:rPr>
        <w:t>solicitó lo siguiente:</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pBdr>
          <w:top w:val="nil"/>
          <w:left w:val="nil"/>
          <w:bottom w:val="nil"/>
          <w:right w:val="nil"/>
          <w:between w:val="nil"/>
        </w:pBdr>
        <w:spacing w:line="360" w:lineRule="auto"/>
        <w:ind w:left="72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w:t>
      </w:r>
      <w:r>
        <w:rPr>
          <w:rFonts w:ascii="Palatino Linotype" w:eastAsia="Palatino Linotype" w:hAnsi="Palatino Linotype" w:cs="Palatino Linotype"/>
          <w:i/>
          <w:iCs/>
          <w:color w:val="000000"/>
        </w:rPr>
        <w:lastRenderedPageBreak/>
        <w:t xml:space="preserve">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27 de enero de 2025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w:t>
      </w:r>
      <w:r>
        <w:rPr>
          <w:rFonts w:ascii="Palatino Linotype" w:eastAsia="Palatino Linotype" w:hAnsi="Palatino Linotype" w:cs="Palatino Linotype"/>
          <w:i/>
          <w:iCs/>
          <w:color w:val="000000"/>
        </w:rPr>
        <w:lastRenderedPageBreak/>
        <w:t>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vía Plataforma Nacional de Transparencia, realicé una Solicitud de Acceso a la Información similar a este Sujeto Obligado donde me entregó la información solicitada. Por lo anterior, únicamente estoy solicitando una actualización a la información previamente compartida. Los datos de la solicitud previa son los siguientes: Sujeto Obligado: Acambay de Ruíz Castañeda No de folio: 00007/ACAMBAY/IP/2025 Fecha de Solicitud: 14 de enero 2025 Fecha de Respuesta: 31 de enero 2025 Para mayor referencia, se adjunta la respuesta del sujeto obligado.”</w:t>
      </w:r>
    </w:p>
    <w:p w:rsidR="00692D5B" w:rsidRDefault="00692D5B">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692D5B" w:rsidRDefault="00391B1E">
      <w:pPr>
        <w:numPr>
          <w:ilvl w:val="0"/>
          <w:numId w:val="2"/>
        </w:numPr>
        <w:pBdr>
          <w:top w:val="nil"/>
          <w:left w:val="nil"/>
          <w:bottom w:val="nil"/>
          <w:right w:val="nil"/>
          <w:between w:val="nil"/>
        </w:pBdr>
        <w:spacing w:line="360" w:lineRule="auto"/>
        <w:ind w:right="-734"/>
        <w:jc w:val="both"/>
        <w:rPr>
          <w:rFonts w:ascii="Palatino Linotype" w:eastAsia="Palatino Linotype" w:hAnsi="Palatino Linotype" w:cs="Palatino Linotype"/>
          <w:i/>
          <w:iCs/>
        </w:rPr>
      </w:pPr>
      <w:r>
        <w:rPr>
          <w:rFonts w:ascii="Palatino Linotype" w:eastAsia="Palatino Linotype" w:hAnsi="Palatino Linotype" w:cs="Palatino Linotype"/>
        </w:rPr>
        <w:lastRenderedPageBreak/>
        <w:t xml:space="preserve">Se remite en calidad de archivo adjunto el documento denominado </w:t>
      </w:r>
      <w:r>
        <w:rPr>
          <w:rFonts w:ascii="Palatino Linotype" w:eastAsia="Palatino Linotype" w:hAnsi="Palatino Linotype" w:cs="Palatino Linotype"/>
          <w:b/>
          <w:bCs/>
          <w:i/>
          <w:iCs/>
        </w:rPr>
        <w:t>ACAMBAY.xlsx</w:t>
      </w:r>
      <w:r>
        <w:rPr>
          <w:rFonts w:ascii="Palatino Linotype" w:eastAsia="Palatino Linotype" w:hAnsi="Palatino Linotype" w:cs="Palatino Linotype"/>
        </w:rPr>
        <w:t>, cuyo contenido corresponde a la respuesta emitida a una solicitud de información diversa.</w:t>
      </w:r>
    </w:p>
    <w:p w:rsidR="00692D5B" w:rsidRDefault="00391B1E">
      <w:pPr>
        <w:numPr>
          <w:ilvl w:val="0"/>
          <w:numId w:val="2"/>
        </w:numPr>
        <w:pBdr>
          <w:top w:val="nil"/>
          <w:left w:val="nil"/>
          <w:bottom w:val="nil"/>
          <w:right w:val="nil"/>
          <w:between w:val="nil"/>
        </w:pBd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Señaló como </w:t>
      </w:r>
      <w:r>
        <w:rPr>
          <w:rFonts w:ascii="Palatino Linotype" w:eastAsia="Palatino Linotype" w:hAnsi="Palatino Linotype" w:cs="Palatino Linotype"/>
          <w:color w:val="000000"/>
        </w:rPr>
        <w:t>modalidad</w:t>
      </w:r>
      <w:r>
        <w:rPr>
          <w:rFonts w:ascii="Palatino Linotype" w:eastAsia="Palatino Linotype" w:hAnsi="Palatino Linotype" w:cs="Palatino Linotype"/>
        </w:rPr>
        <w:t xml:space="preserve"> de entrega de la información a través del </w:t>
      </w:r>
      <w:r>
        <w:rPr>
          <w:rFonts w:ascii="Palatino Linotype" w:eastAsia="Palatino Linotype" w:hAnsi="Palatino Linotype" w:cs="Palatino Linotype"/>
          <w:b/>
          <w:bCs/>
        </w:rPr>
        <w:t xml:space="preserve">SAIMEX </w:t>
      </w:r>
    </w:p>
    <w:p w:rsidR="00692D5B" w:rsidRDefault="00692D5B">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emitió una respuesta, el </w:t>
      </w:r>
      <w:r>
        <w:rPr>
          <w:rFonts w:ascii="Palatino Linotype" w:eastAsia="Palatino Linotype" w:hAnsi="Palatino Linotype" w:cs="Palatino Linotype"/>
          <w:b/>
          <w:bCs/>
        </w:rPr>
        <w:t>veintinueve de octubre de dos mil veinticinco</w:t>
      </w:r>
      <w:r>
        <w:rPr>
          <w:rFonts w:ascii="Palatino Linotype" w:eastAsia="Palatino Linotype" w:hAnsi="Palatino Linotype" w:cs="Palatino Linotype"/>
        </w:rPr>
        <w:t xml:space="preserve">, a través de dos documentos denominados </w:t>
      </w:r>
      <w:r>
        <w:rPr>
          <w:rFonts w:ascii="Palatino Linotype" w:eastAsia="Palatino Linotype" w:hAnsi="Palatino Linotype" w:cs="Palatino Linotype"/>
          <w:b/>
          <w:bCs/>
          <w:i/>
          <w:iCs/>
        </w:rPr>
        <w:t>Resp. Sol 317.pdf</w:t>
      </w:r>
      <w:r>
        <w:rPr>
          <w:rFonts w:ascii="Palatino Linotype" w:eastAsia="Palatino Linotype" w:hAnsi="Palatino Linotype" w:cs="Palatino Linotype"/>
        </w:rPr>
        <w:t xml:space="preserve"> y </w:t>
      </w:r>
      <w:r>
        <w:rPr>
          <w:rFonts w:ascii="Palatino Linotype" w:eastAsia="Palatino Linotype" w:hAnsi="Palatino Linotype" w:cs="Palatino Linotype"/>
          <w:b/>
          <w:bCs/>
          <w:i/>
          <w:iCs/>
        </w:rPr>
        <w:t>INCIDENCIA DELICTIVA 2025 ACAMBAY DE RUIZ CASTAÑEDA.xlsx</w:t>
      </w:r>
      <w:r>
        <w:rPr>
          <w:rFonts w:ascii="Palatino Linotype" w:eastAsia="Palatino Linotype" w:hAnsi="Palatino Linotype" w:cs="Palatino Linotype"/>
        </w:rPr>
        <w:t>, cuyo contenido corresponde a los oficios de turno para la atención de la solicitud de información y, una base de datos en formato XLS, con información  relacionada a la incidencia delictiva en el Municipio de Acambay.</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692D5B" w:rsidRPr="002E4216" w:rsidRDefault="00391B1E">
      <w:pPr>
        <w:numPr>
          <w:ilvl w:val="0"/>
          <w:numId w:val="4"/>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rPr>
        <w:t xml:space="preserve">Inconforme con la respuesta, el solicitante interpuso recurso de revisión, el </w:t>
      </w:r>
      <w:r>
        <w:rPr>
          <w:rFonts w:ascii="Palatino Linotype" w:eastAsia="Palatino Linotype" w:hAnsi="Palatino Linotype" w:cs="Palatino Linotype"/>
          <w:b/>
          <w:bCs/>
        </w:rPr>
        <w:t>dieciocho de noviembre dos mil veinticinco</w:t>
      </w:r>
      <w:r>
        <w:rPr>
          <w:rFonts w:ascii="Palatino Linotype" w:eastAsia="Palatino Linotype" w:hAnsi="Palatino Linotype" w:cs="Palatino Linotype"/>
        </w:rPr>
        <w:t>, en el cual hacen valer los siguientes motivos de inconformidad:</w:t>
      </w:r>
    </w:p>
    <w:p w:rsidR="002E4216" w:rsidRDefault="002E4216" w:rsidP="002E4216">
      <w:pPr>
        <w:pStyle w:val="Prrafodelista"/>
      </w:pPr>
    </w:p>
    <w:p w:rsidR="00692D5B" w:rsidRDefault="00391B1E">
      <w:pPr>
        <w:numPr>
          <w:ilvl w:val="0"/>
          <w:numId w:val="7"/>
        </w:num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color w:val="000000"/>
        </w:rPr>
        <w:tab/>
      </w:r>
    </w:p>
    <w:p w:rsidR="00692D5B" w:rsidRDefault="00391B1E">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del sujeto obligado”</w:t>
      </w:r>
    </w:p>
    <w:p w:rsidR="00692D5B" w:rsidRDefault="00692D5B">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color w:val="000000"/>
        </w:rPr>
      </w:pPr>
    </w:p>
    <w:p w:rsidR="00692D5B" w:rsidRDefault="00391B1E">
      <w:pPr>
        <w:numPr>
          <w:ilvl w:val="0"/>
          <w:numId w:val="1"/>
        </w:num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r>
        <w:rPr>
          <w:rFonts w:ascii="Palatino Linotype" w:eastAsia="Palatino Linotype" w:hAnsi="Palatino Linotype" w:cs="Palatino Linotype"/>
          <w:b/>
          <w:bCs/>
          <w:color w:val="000000"/>
        </w:rPr>
        <w:tab/>
      </w:r>
    </w:p>
    <w:p w:rsidR="00692D5B" w:rsidRDefault="00391B1E">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“En la respuesta recibida, </w:t>
      </w:r>
      <w:r>
        <w:rPr>
          <w:rFonts w:ascii="Palatino Linotype" w:eastAsia="Palatino Linotype" w:hAnsi="Palatino Linotype" w:cs="Palatino Linotype"/>
          <w:b/>
          <w:bCs/>
          <w:i/>
          <w:iCs/>
          <w:color w:val="000000"/>
        </w:rPr>
        <w:t>el Sujeto Obligado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entrega la información que requerí pero de manera incompleta. Lo anterior, debido a que omite la información de las coordenadas de cada incidente reportado</w:t>
      </w:r>
      <w:r>
        <w:rPr>
          <w:rFonts w:ascii="Palatino Linotype" w:eastAsia="Palatino Linotype" w:hAnsi="Palatino Linotype" w:cs="Palatino Linotype"/>
          <w:i/>
          <w:iCs/>
          <w:color w:val="000000"/>
        </w:rPr>
        <w:t xml:space="preserve">. En virtud de tal respuesta, es mi deseo recurrir en este acto la </w:t>
      </w:r>
      <w:r>
        <w:rPr>
          <w:rFonts w:ascii="Palatino Linotype" w:eastAsia="Palatino Linotype" w:hAnsi="Palatino Linotype" w:cs="Palatino Linotype"/>
          <w:i/>
          <w:iCs/>
          <w:color w:val="000000"/>
        </w:rPr>
        <w:lastRenderedPageBreak/>
        <w:t xml:space="preserve">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requisitar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requisitar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w:t>
      </w:r>
      <w:r>
        <w:rPr>
          <w:rFonts w:ascii="Palatino Linotype" w:eastAsia="Palatino Linotype" w:hAnsi="Palatino Linotype" w:cs="Palatino Linotype"/>
          <w:i/>
          <w:iCs/>
          <w:color w:val="000000"/>
        </w:rPr>
        <w:lastRenderedPageBreak/>
        <w:t xml:space="preserve">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w:t>
      </w:r>
      <w:r>
        <w:rPr>
          <w:rFonts w:ascii="Palatino Linotype" w:eastAsia="Palatino Linotype" w:hAnsi="Palatino Linotype" w:cs="Palatino Linotype"/>
          <w:b/>
          <w:bCs/>
          <w:i/>
          <w:iCs/>
          <w:color w:val="000000"/>
        </w:rPr>
        <w:t xml:space="preserve">de igual manera, considero que el sujeto obligado no agota el principio de exhaustividad al no pronunciarse sobre todos los puntos de mi solicitud </w:t>
      </w:r>
      <w:r>
        <w:rPr>
          <w:rFonts w:ascii="Palatino Linotype" w:eastAsia="Palatino Linotype" w:hAnsi="Palatino Linotype" w:cs="Palatino Linotype"/>
          <w:i/>
          <w:iCs/>
          <w:color w:val="000000"/>
        </w:rPr>
        <w:t xml:space="preserve">ni de acuerdo al Criterio 02/171, emitido por el Peno del Instituto Nacional de Transparencia, Acceso a la Información Pública y Protección de Datos Personales.” </w:t>
      </w:r>
      <w:r>
        <w:rPr>
          <w:rFonts w:ascii="Palatino Linotype" w:eastAsia="Palatino Linotype" w:hAnsi="Palatino Linotype" w:cs="Palatino Linotype"/>
          <w:color w:val="000000"/>
        </w:rPr>
        <w:t>Énfasis propio</w:t>
      </w:r>
    </w:p>
    <w:p w:rsidR="00692D5B" w:rsidRDefault="00692D5B">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 día </w:t>
      </w:r>
      <w:r>
        <w:rPr>
          <w:rFonts w:ascii="Palatino Linotype" w:eastAsia="Palatino Linotype" w:hAnsi="Palatino Linotype" w:cs="Palatino Linotype"/>
          <w:b/>
          <w:bCs/>
        </w:rPr>
        <w:t>veinticuatro de noviembre de dos mil veinticinco</w:t>
      </w:r>
      <w:r>
        <w:rPr>
          <w:rFonts w:ascii="Palatino Linotype" w:eastAsia="Palatino Linotype" w:hAnsi="Palatino Linotype" w:cs="Palatino Linotype"/>
        </w:rPr>
        <w:t xml:space="preserve">, puso a disposición de las partes los expedientes electrónicos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w:t>
      </w:r>
    </w:p>
    <w:p w:rsidR="00692D5B" w:rsidRDefault="00692D5B">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i/>
          <w:iCs/>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particular</w:t>
      </w:r>
      <w:r>
        <w:rPr>
          <w:rFonts w:ascii="Palatino Linotype" w:eastAsia="Palatino Linotype" w:hAnsi="Palatino Linotype" w:cs="Palatino Linotype"/>
          <w:color w:val="000000"/>
        </w:rPr>
        <w:t xml:space="preserve"> fue omiso en realizar manifestaciones que a su derecho conviniera y </w:t>
      </w:r>
      <w:r>
        <w:rPr>
          <w:rFonts w:ascii="Palatino Linotype" w:eastAsia="Palatino Linotype" w:hAnsi="Palatino Linotype" w:cs="Palatino Linotype"/>
        </w:rPr>
        <w:t>asistiera</w:t>
      </w:r>
      <w:r>
        <w:rPr>
          <w:rFonts w:ascii="Palatino Linotype" w:eastAsia="Palatino Linotype" w:hAnsi="Palatino Linotype" w:cs="Palatino Linotype"/>
          <w:color w:val="000000"/>
        </w:rPr>
        <w:t xml:space="preserve">. Por su parte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dejó de rendir el informe justificado correspondiente</w:t>
      </w: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Seguidamente, mediante acuerdo de fecha </w:t>
      </w:r>
      <w:r>
        <w:rPr>
          <w:rFonts w:ascii="Palatino Linotype" w:eastAsia="Palatino Linotype" w:hAnsi="Palatino Linotype" w:cs="Palatino Linotype"/>
          <w:b/>
          <w:bCs/>
          <w:color w:val="000000"/>
        </w:rPr>
        <w:t>diecinueve de enero</w:t>
      </w:r>
      <w:r>
        <w:rPr>
          <w:rFonts w:ascii="Palatino Linotype" w:eastAsia="Palatino Linotype" w:hAnsi="Palatino Linotype" w:cs="Palatino Linotype"/>
          <w:b/>
          <w:bCs/>
        </w:rPr>
        <w:t xml:space="preserve"> de dos mil veintiséis</w:t>
      </w:r>
      <w:r>
        <w:rPr>
          <w:rFonts w:ascii="Palatino Linotype" w:eastAsia="Palatino Linotype" w:hAnsi="Palatino Linotype" w:cs="Palatino Linotype"/>
          <w:color w:val="000000"/>
        </w:rPr>
        <w:t xml:space="preserve">, se amplió el </w:t>
      </w:r>
      <w:r>
        <w:rPr>
          <w:rFonts w:ascii="Palatino Linotype" w:eastAsia="Palatino Linotype" w:hAnsi="Palatino Linotype" w:cs="Palatino Linotype"/>
        </w:rPr>
        <w:t>término</w:t>
      </w:r>
      <w:r>
        <w:rPr>
          <w:rFonts w:ascii="Palatino Linotype" w:eastAsia="Palatino Linotype" w:hAnsi="Palatino Linotype" w:cs="Palatino Linotype"/>
          <w:color w:val="000000"/>
        </w:rPr>
        <w:t xml:space="preserve"> para resolver y, se decretó el cierre de instrucción, por lo que no habiendo más que hacer constar, y</w:t>
      </w:r>
    </w:p>
    <w:p w:rsidR="00692D5B" w:rsidRDefault="00692D5B">
      <w:pPr>
        <w:pBdr>
          <w:top w:val="nil"/>
          <w:left w:val="nil"/>
          <w:bottom w:val="nil"/>
          <w:right w:val="nil"/>
          <w:between w:val="nil"/>
        </w:pBdr>
        <w:spacing w:line="360" w:lineRule="auto"/>
        <w:ind w:left="643" w:right="-734"/>
        <w:jc w:val="both"/>
        <w:rPr>
          <w:rFonts w:ascii="Palatino Linotype" w:eastAsia="Palatino Linotype" w:hAnsi="Palatino Linotype" w:cs="Palatino Linotype"/>
        </w:rPr>
      </w:pPr>
    </w:p>
    <w:p w:rsidR="00692D5B" w:rsidRDefault="00391B1E">
      <w:pPr>
        <w:pStyle w:val="Ttulo1"/>
        <w:spacing w:before="0" w:line="360" w:lineRule="auto"/>
        <w:ind w:right="-734"/>
        <w:jc w:val="center"/>
        <w:rPr>
          <w:rFonts w:ascii="Palatino Linotype" w:eastAsia="Palatino Linotype" w:hAnsi="Palatino Linotype" w:cs="Palatino Linotype"/>
          <w:b/>
          <w:bCs/>
          <w:color w:val="000000"/>
          <w:sz w:val="24"/>
          <w:szCs w:val="24"/>
        </w:rPr>
      </w:pPr>
      <w:bookmarkStart w:id="2" w:name="_heading=h.3znysh7" w:colFirst="0" w:colLast="0"/>
      <w:bookmarkEnd w:id="2"/>
      <w:r>
        <w:rPr>
          <w:rFonts w:ascii="Palatino Linotype" w:eastAsia="Palatino Linotype" w:hAnsi="Palatino Linotype" w:cs="Palatino Linotype"/>
          <w:b/>
          <w:bCs/>
          <w:color w:val="000000"/>
          <w:sz w:val="24"/>
          <w:szCs w:val="24"/>
        </w:rPr>
        <w:t xml:space="preserve">C O N S I D E R A N D O </w:t>
      </w:r>
    </w:p>
    <w:p w:rsidR="00692D5B" w:rsidRDefault="00692D5B">
      <w:pPr>
        <w:spacing w:line="360" w:lineRule="auto"/>
        <w:ind w:right="-734"/>
        <w:rPr>
          <w:rFonts w:ascii="Palatino Linotype" w:eastAsia="Palatino Linotype" w:hAnsi="Palatino Linotype" w:cs="Palatino Linotype"/>
        </w:rPr>
      </w:pPr>
    </w:p>
    <w:p w:rsidR="00692D5B" w:rsidRDefault="00391B1E">
      <w:pPr>
        <w:pStyle w:val="Ttulo2"/>
        <w:spacing w:before="0" w:line="360" w:lineRule="auto"/>
        <w:ind w:right="-734"/>
        <w:rPr>
          <w:rFonts w:ascii="Palatino Linotype" w:eastAsia="Palatino Linotype" w:hAnsi="Palatino Linotype" w:cs="Palatino Linotype"/>
          <w:b/>
          <w:bCs/>
          <w:color w:val="000000"/>
          <w:sz w:val="24"/>
          <w:szCs w:val="24"/>
        </w:rPr>
      </w:pPr>
      <w:bookmarkStart w:id="3" w:name="_heading=h.2et92p0" w:colFirst="0" w:colLast="0"/>
      <w:bookmarkEnd w:id="3"/>
      <w:r>
        <w:rPr>
          <w:rFonts w:ascii="Palatino Linotype" w:eastAsia="Palatino Linotype" w:hAnsi="Palatino Linotype" w:cs="Palatino Linotype"/>
          <w:b/>
          <w:bCs/>
          <w:color w:val="000000"/>
          <w:sz w:val="24"/>
          <w:szCs w:val="24"/>
        </w:rPr>
        <w:t>PRIMERO. De la competencia</w:t>
      </w: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bookmarkStart w:id="4" w:name="_heading=h.tyjcwt" w:colFirst="0" w:colLast="0"/>
      <w:bookmarkEnd w:id="4"/>
      <w:r>
        <w:rPr>
          <w:rFonts w:ascii="Palatino Linotype" w:eastAsia="Palatino Linotype" w:hAnsi="Palatino Linotype" w:cs="Palatino Linotype"/>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692D5B" w:rsidRDefault="00391B1E">
      <w:pPr>
        <w:pBdr>
          <w:top w:val="nil"/>
          <w:left w:val="nil"/>
          <w:bottom w:val="nil"/>
          <w:right w:val="nil"/>
          <w:between w:val="nil"/>
        </w:pBd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692D5B" w:rsidRDefault="00391B1E">
      <w:pPr>
        <w:pStyle w:val="Ttulo2"/>
        <w:spacing w:before="0" w:line="360" w:lineRule="auto"/>
        <w:ind w:right="-73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SEGUNDO. De la oportunidad y procedencia.</w:t>
      </w:r>
    </w:p>
    <w:p w:rsidR="00692D5B" w:rsidRDefault="00391B1E">
      <w:pPr>
        <w:numPr>
          <w:ilvl w:val="0"/>
          <w:numId w:val="4"/>
        </w:numPr>
        <w:pBdr>
          <w:top w:val="nil"/>
          <w:left w:val="nil"/>
          <w:bottom w:val="nil"/>
          <w:right w:val="nil"/>
          <w:between w:val="nil"/>
        </w:pBdr>
        <w:spacing w:line="360" w:lineRule="auto"/>
        <w:ind w:left="0" w:right="-734" w:firstLine="0"/>
        <w:jc w:val="both"/>
      </w:pPr>
      <w:bookmarkStart w:id="5" w:name="_heading=h.3dy6vkm" w:colFirst="0" w:colLast="0"/>
      <w:bookmarkEnd w:id="5"/>
      <w:r>
        <w:rPr>
          <w:rFonts w:ascii="Palatino Linotype" w:eastAsia="Palatino Linotype" w:hAnsi="Palatino Linotype" w:cs="Palatino Linotype"/>
        </w:rPr>
        <w:t xml:space="preserve">Este Órgano Garante considera que el medio de impugnación reúne los requisitos de procedencia </w:t>
      </w:r>
      <w:r>
        <w:rPr>
          <w:rFonts w:ascii="Palatino Linotype" w:eastAsia="Palatino Linotype" w:hAnsi="Palatino Linotype" w:cs="Palatino Linotype"/>
          <w:color w:val="000000"/>
        </w:rPr>
        <w:t xml:space="preserve">toda vez que: el recurso fue presentado dentro del plazo </w:t>
      </w:r>
      <w:r>
        <w:rPr>
          <w:rFonts w:ascii="Palatino Linotype" w:eastAsia="Palatino Linotype" w:hAnsi="Palatino Linotype" w:cs="Palatino Linotype"/>
        </w:rPr>
        <w:t>establecido</w:t>
      </w:r>
      <w:r>
        <w:rPr>
          <w:rFonts w:ascii="Palatino Linotype" w:eastAsia="Palatino Linotype" w:hAnsi="Palatino Linotype" w:cs="Palatino Linotype"/>
          <w:color w:val="000000"/>
        </w:rPr>
        <w:t xml:space="preserve"> en el artículo 178 de la Ley de Transparencia y Acceso a la Información Pública del Estado de </w:t>
      </w:r>
      <w:r>
        <w:rPr>
          <w:rFonts w:ascii="Palatino Linotype" w:eastAsia="Palatino Linotype" w:hAnsi="Palatino Linotype" w:cs="Palatino Linotype"/>
          <w:color w:val="000000"/>
        </w:rPr>
        <w:lastRenderedPageBreak/>
        <w:t>México y Municipios; asimismo no se tiene conocimiento de que se encuentre en trámite algún medio de defensa presentado por el Recurrente ante otra instancia.</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rPr>
        <w:t xml:space="preserve">Por otro lado, es de suma importancia señalar que la parte recurrente no proporciona un </w:t>
      </w:r>
      <w:r>
        <w:rPr>
          <w:rFonts w:ascii="Palatino Linotype" w:eastAsia="Palatino Linotype" w:hAnsi="Palatino Linotype" w:cs="Palatino Linotype"/>
          <w:u w:val="single"/>
        </w:rPr>
        <w:t>nombre completo</w:t>
      </w:r>
      <w:r>
        <w:rPr>
          <w:rFonts w:ascii="Palatino Linotype" w:eastAsia="Palatino Linotype" w:hAnsi="Palatino Linotype" w:cs="Palatino Linotype"/>
        </w:rPr>
        <w:t xml:space="preserve"> como se advierte en el detalle de seguimiento del SAIMEX, no obstante lo anterior, no proporcionar el nombre completo no es motivo </w:t>
      </w:r>
      <w:r>
        <w:rPr>
          <w:rFonts w:ascii="Palatino Linotype" w:eastAsia="Palatino Linotype" w:hAnsi="Palatino Linotype" w:cs="Palatino Linotype"/>
          <w:color w:val="000000"/>
        </w:rPr>
        <w:t>para</w:t>
      </w:r>
      <w:r>
        <w:rPr>
          <w:rFonts w:ascii="Palatino Linotype" w:eastAsia="Palatino Linotype" w:hAnsi="Palatino Linotype" w:cs="Palatino Linotype"/>
        </w:rPr>
        <w:t xml:space="preserve">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Consecuencia de lo anterior, este Órgano Garante advierte que el escrito contiene las </w:t>
      </w:r>
      <w:r>
        <w:rPr>
          <w:rFonts w:ascii="Palatino Linotype" w:eastAsia="Palatino Linotype" w:hAnsi="Palatino Linotype" w:cs="Palatino Linotype"/>
        </w:rPr>
        <w:t>formalidades</w:t>
      </w:r>
      <w:r>
        <w:rPr>
          <w:rFonts w:ascii="Palatino Linotype" w:eastAsia="Palatino Linotype" w:hAnsi="Palatino Linotype" w:cs="Palatino Linotype"/>
          <w:color w:val="000000"/>
        </w:rPr>
        <w:t xml:space="preserve"> previstas por el artículo 180 último párrafo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692D5B" w:rsidRDefault="00391B1E">
      <w:pPr>
        <w:pStyle w:val="Ttulo1"/>
        <w:spacing w:before="0" w:line="360" w:lineRule="auto"/>
        <w:ind w:right="-73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TERCERO. Planteamiento de la</w:t>
      </w:r>
      <w:r>
        <w:rPr>
          <w:rFonts w:ascii="Palatino Linotype" w:eastAsia="Palatino Linotype" w:hAnsi="Palatino Linotype" w:cs="Palatino Linotype"/>
          <w:b/>
          <w:bCs/>
          <w:i/>
          <w:iCs/>
          <w:color w:val="000000"/>
          <w:sz w:val="24"/>
          <w:szCs w:val="24"/>
        </w:rPr>
        <w:t xml:space="preserve"> Litis</w:t>
      </w:r>
      <w:r>
        <w:rPr>
          <w:rFonts w:ascii="Palatino Linotype" w:eastAsia="Palatino Linotype" w:hAnsi="Palatino Linotype" w:cs="Palatino Linotype"/>
          <w:b/>
          <w:bCs/>
          <w:color w:val="000000"/>
          <w:sz w:val="24"/>
          <w:szCs w:val="24"/>
        </w:rPr>
        <w:t xml:space="preserve"> </w:t>
      </w: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la siguiente información que se desagrega:</w:t>
      </w:r>
    </w:p>
    <w:p w:rsidR="00692D5B" w:rsidRDefault="00391B1E">
      <w:pPr>
        <w:spacing w:line="360" w:lineRule="auto"/>
        <w:ind w:left="709" w:right="-734"/>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rPr>
        <w:t xml:space="preserve">Del 27 de enero al 08 de octubre de dos mil veinticinco </w:t>
      </w:r>
      <w:r>
        <w:rPr>
          <w:rFonts w:ascii="Palatino Linotype" w:eastAsia="Palatino Linotype" w:hAnsi="Palatino Linotype" w:cs="Palatino Linotype"/>
          <w:b/>
          <w:bCs/>
          <w:color w:val="222222"/>
          <w:highlight w:val="white"/>
        </w:rPr>
        <w:t>(en formato abierto como xls o cvs.), al mayor grado de desagregación:</w:t>
      </w:r>
    </w:p>
    <w:p w:rsidR="00692D5B" w:rsidRDefault="00692D5B">
      <w:pPr>
        <w:spacing w:line="360" w:lineRule="auto"/>
        <w:ind w:left="709" w:right="-734"/>
        <w:rPr>
          <w:rFonts w:ascii="Palatino Linotype" w:eastAsia="Palatino Linotype" w:hAnsi="Palatino Linotype" w:cs="Palatino Linotype"/>
          <w:b/>
          <w:bCs/>
          <w:color w:val="222222"/>
          <w:highlight w:val="white"/>
        </w:rPr>
      </w:pPr>
    </w:p>
    <w:p w:rsidR="00692D5B" w:rsidRDefault="00391B1E">
      <w:pP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La base de datos de incidencia delictiva o reporte de incidentes, eventos o cualquier registro o documento con el que cuente el sujeto obligado que contenga la siguiente información:</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Tipo de incidente o evento (hechos presuntamente constitutivos de delito y/o falta administrativa, o situación reportada, cualquiera que esta sea, especificando si el hecho fue con o sin violencia);</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Hora del incidente o evento;</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Fecha del incidente o evento;</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Lugar del incidente o evento;</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Ubicación del incidente o evento; y</w:t>
      </w:r>
    </w:p>
    <w:p w:rsidR="00692D5B" w:rsidRDefault="00391B1E">
      <w:pPr>
        <w:numPr>
          <w:ilvl w:val="0"/>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222222"/>
          <w:highlight w:val="white"/>
        </w:rPr>
      </w:pPr>
      <w:r>
        <w:rPr>
          <w:rFonts w:ascii="Palatino Linotype" w:eastAsia="Palatino Linotype" w:hAnsi="Palatino Linotype" w:cs="Palatino Linotype"/>
          <w:b/>
          <w:bCs/>
          <w:color w:val="222222"/>
          <w:highlight w:val="white"/>
        </w:rPr>
        <w:t>Las coordenadas geográficas del incidente o evento. establecidas en la sección “lugar de la intervención” del informe policial homologado para 1) hechos probablemente delictivos o para 2) justicia cívica según corresponda al tipo de incidente.</w:t>
      </w:r>
    </w:p>
    <w:p w:rsidR="00692D5B" w:rsidRDefault="00692D5B">
      <w:pPr>
        <w:pBdr>
          <w:top w:val="nil"/>
          <w:left w:val="nil"/>
          <w:bottom w:val="nil"/>
          <w:right w:val="nil"/>
          <w:between w:val="nil"/>
        </w:pBdr>
        <w:spacing w:line="360" w:lineRule="auto"/>
        <w:ind w:left="720" w:right="-734"/>
        <w:rPr>
          <w:rFonts w:ascii="Palatino Linotype" w:eastAsia="Palatino Linotype" w:hAnsi="Palatino Linotype" w:cs="Palatino Linotype"/>
          <w:b/>
          <w:bCs/>
          <w:color w:val="000000"/>
        </w:rPr>
      </w:pPr>
    </w:p>
    <w:p w:rsidR="00692D5B" w:rsidRPr="002E4216" w:rsidRDefault="00391B1E">
      <w:pPr>
        <w:numPr>
          <w:ilvl w:val="0"/>
          <w:numId w:val="4"/>
        </w:numPr>
        <w:spacing w:line="360" w:lineRule="auto"/>
        <w:ind w:left="0" w:right="-734" w:firstLine="0"/>
        <w:jc w:val="both"/>
        <w:rPr>
          <w:color w:val="000000"/>
        </w:rPr>
      </w:pPr>
      <w:r>
        <w:rPr>
          <w:rFonts w:ascii="Palatino Linotype" w:eastAsia="Palatino Linotype" w:hAnsi="Palatino Linotype" w:cs="Palatino Linotype"/>
        </w:rPr>
        <w:lastRenderedPageBreak/>
        <w:t xml:space="preserve">En respuesta,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remitió la información ya descrita en el párrafo 2. Inconforme con la misma, se interpuso recurso de revisión de manera general en contra de la entrega de información incompleta.</w:t>
      </w:r>
    </w:p>
    <w:p w:rsidR="002E4216" w:rsidRDefault="002E4216" w:rsidP="002E4216">
      <w:pPr>
        <w:spacing w:line="360" w:lineRule="auto"/>
        <w:ind w:right="-734"/>
        <w:jc w:val="both"/>
        <w:rPr>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 la causal de procedencia prevista en el artículo 179, </w:t>
      </w:r>
      <w:r>
        <w:rPr>
          <w:rFonts w:ascii="Palatino Linotype" w:eastAsia="Palatino Linotype" w:hAnsi="Palatino Linotype" w:cs="Palatino Linotype"/>
          <w:b/>
          <w:bCs/>
        </w:rPr>
        <w:t xml:space="preserve">fracción V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fracción que determina la hipótesis jurídica relativa a la entrega de la información incompleta; contexto del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 a través de su escrito adjunto.</w:t>
      </w:r>
    </w:p>
    <w:p w:rsidR="00692D5B" w:rsidRDefault="00692D5B">
      <w:pPr>
        <w:spacing w:line="360" w:lineRule="auto"/>
        <w:ind w:right="-734"/>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color w:val="000000"/>
        </w:rPr>
        <w:t xml:space="preserve">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692D5B" w:rsidRDefault="00692D5B">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692D5B" w:rsidRDefault="00391B1E">
      <w:pPr>
        <w:pStyle w:val="Ttulo1"/>
        <w:spacing w:before="0" w:line="360" w:lineRule="auto"/>
        <w:ind w:right="-734"/>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Estudio y resolución</w:t>
      </w:r>
    </w:p>
    <w:p w:rsidR="00692D5B" w:rsidRPr="002E4216" w:rsidRDefault="00391B1E">
      <w:pPr>
        <w:numPr>
          <w:ilvl w:val="0"/>
          <w:numId w:val="4"/>
        </w:numPr>
        <w:spacing w:line="360" w:lineRule="auto"/>
        <w:ind w:left="0" w:right="-734" w:firstLine="0"/>
        <w:jc w:val="both"/>
      </w:pPr>
      <w:bookmarkStart w:id="6" w:name="_heading=h.1t3h5sf" w:colFirst="0" w:colLast="0"/>
      <w:bookmarkEnd w:id="6"/>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Pr>
          <w:rFonts w:ascii="Palatino Linotype" w:eastAsia="Palatino Linotype" w:hAnsi="Palatino Linotype" w:cs="Palatino Linotype"/>
          <w:color w:val="000000"/>
        </w:rPr>
        <w:t>determina</w:t>
      </w:r>
      <w:r>
        <w:rPr>
          <w:rFonts w:ascii="Palatino Linotype" w:eastAsia="Palatino Linotype" w:hAnsi="Palatino Linotype" w:cs="Palatino Linotype"/>
        </w:rPr>
        <w:t xml:space="preserve">, por ello, en primer lugar, vamos a revisar lo que mandata </w:t>
      </w:r>
      <w:r>
        <w:rPr>
          <w:rFonts w:ascii="Palatino Linotype" w:eastAsia="Palatino Linotype" w:hAnsi="Palatino Linotype" w:cs="Palatino Linotype"/>
          <w:color w:val="000000"/>
        </w:rPr>
        <w:t>nuestra</w:t>
      </w:r>
      <w:r>
        <w:rPr>
          <w:rFonts w:ascii="Palatino Linotype" w:eastAsia="Palatino Linotype" w:hAnsi="Palatino Linotype" w:cs="Palatino Linotype"/>
        </w:rPr>
        <w:t xml:space="preserve">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Pr>
          <w:rFonts w:ascii="Palatino Linotype" w:eastAsia="Palatino Linotype" w:hAnsi="Palatino Linotype" w:cs="Palatino Linotype"/>
        </w:rPr>
        <w:lastRenderedPageBreak/>
        <w:t>funciones desde su origen la eventual publicidad y reutilización de la información que generen.</w:t>
      </w:r>
    </w:p>
    <w:p w:rsidR="002E4216" w:rsidRDefault="002E4216" w:rsidP="002E4216">
      <w:pPr>
        <w:spacing w:line="360" w:lineRule="auto"/>
        <w:ind w:right="-734"/>
        <w:jc w:val="both"/>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92D5B" w:rsidRDefault="00692D5B">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92D5B" w:rsidRDefault="00692D5B">
      <w:pPr>
        <w:spacing w:line="360" w:lineRule="auto"/>
        <w:ind w:left="643"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rPr>
          <w:color w:val="000000"/>
        </w:rPr>
      </w:pPr>
      <w:r>
        <w:rPr>
          <w:rFonts w:ascii="Palatino Linotype" w:eastAsia="Palatino Linotype" w:hAnsi="Palatino Linotype" w:cs="Palatino Linotype"/>
        </w:rPr>
        <w:t xml:space="preserve">Una vez sentado lo anterior, resulta oportuno analizar en su totalidad la solicitud de información, al haberse impugnado de manera íntegra señalando literalmente lo siguiente: </w:t>
      </w:r>
      <w:r>
        <w:rPr>
          <w:rFonts w:ascii="Palatino Linotype" w:eastAsia="Palatino Linotype" w:hAnsi="Palatino Linotype" w:cs="Palatino Linotype"/>
          <w:b/>
          <w:bCs/>
          <w:i/>
          <w:iCs/>
        </w:rPr>
        <w:t xml:space="preserve">"...el Sujeto Obligado entrega la información que requerí pero de manera incompleta. Lo </w:t>
      </w:r>
      <w:r>
        <w:rPr>
          <w:rFonts w:ascii="Palatino Linotype" w:eastAsia="Palatino Linotype" w:hAnsi="Palatino Linotype" w:cs="Palatino Linotype"/>
          <w:b/>
          <w:bCs/>
          <w:i/>
          <w:iCs/>
        </w:rPr>
        <w:lastRenderedPageBreak/>
        <w:t>anterior, debido a que omite la información de las coordenadas de cada incidente reportado... de igual manera, considero que el sujeto obligado no agota el principio de exhaustividad al no pronunciarse sobre todos los puntos de mi solicitud..."</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Luego entonces, de la base de datos proporcionada, se advierte que si bien es información relacionada a la solicitada, no colma a cabalidad la solicitud de información; toda vez que la solicitud de información estableció como extremos temporales del 01 de enero al 08 de octubre de 2025.</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En esa tesitura, de lo entregado se advierte que se omite entregar información del 01 al 17 de enero de 2025 y del 01 de julio al 08 de octubre de 2025; asimismo, tampoco se advierte un pronunciamiento respecto de la ausencia de dichas temporalidades.</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Respecto de los rubros que abarca lo entregado, esta contempla la fecha del incidente o evento,</w:t>
      </w:r>
      <w:r>
        <w:rPr>
          <w:rFonts w:ascii="Palatino Linotype" w:eastAsia="Palatino Linotype" w:hAnsi="Palatino Linotype" w:cs="Palatino Linotype"/>
        </w:rPr>
        <w:tab/>
        <w:t xml:space="preserve">hora del incidente o evento, tipo de incidente o evento, lugar del incidente o evento y ubicación del incidente o evento; de modo tal que se abarcan los rubros que el propio particular establece en su solicitud de información primigenia. Información de la cual, es dable subrayar, este Órgano Garante carece de facultades para dudar de su veracidad. </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lo anterior, resulta necesario puntualizar con claridad que éste Órgano Garante no está facultado para pronunciarse sobre la veracidad de la información que los Sujetos Obligados ponen a disposición de los solicitantes; 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b/>
          <w:bCs/>
          <w:color w:val="000000"/>
          <w:u w:val="single"/>
        </w:rPr>
        <w:t xml:space="preserve">al momento que ponen a disposición ésta, la misma tiene el </w:t>
      </w:r>
      <w:r>
        <w:rPr>
          <w:rFonts w:ascii="Palatino Linotype" w:eastAsia="Palatino Linotype" w:hAnsi="Palatino Linotype" w:cs="Palatino Linotype"/>
          <w:b/>
          <w:bCs/>
          <w:color w:val="000000"/>
          <w:u w:val="single"/>
        </w:rPr>
        <w:lastRenderedPageBreak/>
        <w:t>carácter oficial y se presume veraz, tan es así que la misma queda registrada en el Sistema de Acceso a la Información Mexiquense (SAIMEX).</w:t>
      </w:r>
    </w:p>
    <w:p w:rsidR="00692D5B" w:rsidRDefault="00692D5B">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692D5B" w:rsidRDefault="00391B1E">
      <w:pPr>
        <w:pBdr>
          <w:top w:val="nil"/>
          <w:left w:val="nil"/>
          <w:bottom w:val="nil"/>
          <w:right w:val="nil"/>
          <w:between w:val="nil"/>
        </w:pBdr>
        <w:spacing w:line="360" w:lineRule="auto"/>
        <w:ind w:left="644"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692D5B" w:rsidRDefault="00692D5B">
      <w:pPr>
        <w:spacing w:line="360" w:lineRule="auto"/>
        <w:ind w:right="-734"/>
        <w:jc w:val="both"/>
        <w:rPr>
          <w:rFonts w:ascii="Palatino Linotype" w:eastAsia="Palatino Linotype" w:hAnsi="Palatino Linotype" w:cs="Palatino Linotype"/>
          <w:b/>
          <w:bCs/>
          <w:i/>
          <w:iCs/>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w:t>
      </w:r>
      <w:r>
        <w:rPr>
          <w:rFonts w:ascii="Palatino Linotype" w:eastAsia="Palatino Linotype" w:hAnsi="Palatino Linotype" w:cs="Palatino Linotype"/>
        </w:rPr>
        <w:lastRenderedPageBreak/>
        <w:t xml:space="preserve">disposición la información requerida, se tiene por colmado el derecho de acceso a la información pública del particular. </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Luego entonces, se concluye que resulta procedente ordenar la información requerida en los plazos faltantes; información que si bien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ya asumió de manera expresa que si la genera, posee y administra, no es óbice para realizar las siguientes precisiones de la naturaleza de la información solicitada.</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color w:val="000000"/>
        </w:rPr>
        <w:t>Que los artículos 5, fracción II, XVII, 7, fracción IX, 19, fracción I, 39, inciso b), fracción VI y XI, 118 de la Ley General del Sistema Nacional de Seguridad Pública en su artículo 22 fracción V; Ley de Seguridad del Estado de México y los numerales 125, fracción VIII y 142 de la Ley Orgánica Municipal del Estado de México; son disposiciones legales que determinan, lo siguiente:</w:t>
      </w:r>
    </w:p>
    <w:p w:rsidR="00692D5B" w:rsidRDefault="00391B1E">
      <w:pPr>
        <w:spacing w:line="360" w:lineRule="auto"/>
        <w:ind w:left="567" w:right="-734"/>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General del Sistema Nacional de Seguridad Pública</w:t>
      </w:r>
    </w:p>
    <w:p w:rsidR="00692D5B" w:rsidRDefault="00692D5B">
      <w:pPr>
        <w:spacing w:line="360" w:lineRule="auto"/>
        <w:ind w:left="567" w:right="-734"/>
        <w:jc w:val="both"/>
        <w:rPr>
          <w:rFonts w:ascii="Palatino Linotype" w:eastAsia="Palatino Linotype" w:hAnsi="Palatino Linotype" w:cs="Palatino Linotype"/>
          <w:b/>
          <w:bCs/>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5</w:t>
      </w:r>
      <w:r>
        <w:rPr>
          <w:rFonts w:ascii="Palatino Linotype" w:eastAsia="Palatino Linotype" w:hAnsi="Palatino Linotype" w:cs="Palatino Linotype"/>
          <w:i/>
          <w:iCs/>
          <w:color w:val="000000"/>
        </w:rPr>
        <w:t>.- Para los efectos de esta Ley, se entenderá por:</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 Bases de Datos:</w:t>
      </w:r>
      <w:r>
        <w:rPr>
          <w:rFonts w:ascii="Palatino Linotype" w:eastAsia="Palatino Linotype" w:hAnsi="Palatino Linotype" w:cs="Palatino Linotype"/>
          <w:i/>
          <w:iCs/>
          <w:color w:val="000000"/>
        </w:rPr>
        <w:t xml:space="preserve">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w:t>
      </w:r>
      <w:r>
        <w:rPr>
          <w:rFonts w:ascii="Palatino Linotype" w:eastAsia="Palatino Linotype" w:hAnsi="Palatino Linotype" w:cs="Palatino Linotype"/>
          <w:i/>
          <w:iCs/>
          <w:color w:val="000000"/>
        </w:rPr>
        <w:lastRenderedPageBreak/>
        <w:t>sentenciadas y servicios de seguridad privada, así como las demás necesarias para la prevención, investigación y persecución de los delitos. El conjunto de bases de datos conformará el Sistema Nacional de Información;</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7.-</w:t>
      </w:r>
      <w:r>
        <w:rPr>
          <w:rFonts w:ascii="Palatino Linotype" w:eastAsia="Palatino Linotype" w:hAnsi="Palatino Linotype" w:cs="Palatino Linotype"/>
          <w:i/>
          <w:iCs/>
          <w:color w:val="000000"/>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VIII…</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IX. </w:t>
      </w:r>
      <w:r>
        <w:rPr>
          <w:rFonts w:ascii="Palatino Linotype" w:eastAsia="Palatino Linotype" w:hAnsi="Palatino Linotype" w:cs="Palatino Linotype"/>
          <w:b/>
          <w:bCs/>
          <w:i/>
          <w:iCs/>
          <w:color w:val="000000"/>
        </w:rPr>
        <w:t>Generar, compartir, intercambiar, ingresar, almacenar y proveer información, archivos y contenidos a las Bases de Datos que integran el Sistema Nacional de Información</w:t>
      </w:r>
      <w:r>
        <w:rPr>
          <w:rFonts w:ascii="Palatino Linotype" w:eastAsia="Palatino Linotype" w:hAnsi="Palatino Linotype" w:cs="Palatino Linotype"/>
          <w:i/>
          <w:iCs/>
          <w:color w:val="000000"/>
        </w:rPr>
        <w:t xml:space="preserve">, de conformidad con lo dispuesto en la legislación en la materia. </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Tratándose de manejo de datos que provengan del Registro Nacional de Detenciones se atendrá a lo dispuesto en la Ley Nacional del Registro de Detenciones;</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 a XVI…</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Artículo 39.- La concurrencia de facultades entre la Federación, las entidades federativas y los Municipios, quedará distribuida conforme a lo siguiente:</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w:t>
      </w: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B. Corresponde a la Federación, a las entidades federativas y a los Municipios, en el ámbito de sus respectivas competencias</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X…</w:t>
      </w: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XI. Integrar y consultar la información relativa a la operación y Desarrollo Policial para el registro y seguimiento en el Sistema Nacional de Información; </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a XV…</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118.-</w:t>
      </w:r>
      <w:r>
        <w:rPr>
          <w:rFonts w:ascii="Palatino Linotype" w:eastAsia="Palatino Linotype" w:hAnsi="Palatino Linotype" w:cs="Palatino Linotype"/>
          <w:i/>
          <w:iCs/>
          <w:color w:val="000000"/>
        </w:rPr>
        <w:t xml:space="preserve"> Las Bases de Datos que integran el Sistema Nacional de Información se actualizarán permanentemente y serán de consulta obligatoria para garantizar la efectividad en las actividades de Seguridad Pública. </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Registro Nacional de Detenciones se vinculará con las Bases de Datos a que se refiere el presente artículo, mediante el número de identificación al que hace referencia la ley de la materia.</w:t>
      </w: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r>
      <w:r>
        <w:rPr>
          <w:rFonts w:ascii="Palatino Linotype" w:eastAsia="Palatino Linotype" w:hAnsi="Palatino Linotype" w:cs="Palatino Linotype"/>
          <w:b/>
          <w:bCs/>
          <w:i/>
          <w:iCs/>
          <w:color w:val="000000"/>
        </w:rPr>
        <w:tab/>
        <w:t>Ley de Seguridad del Estado de México</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Decreto número 360 publicado en el Periódico Oficial “Gaceta del Gobierno” del Estado de México, el diecinueve de octubre de dos mil once.</w:t>
      </w:r>
    </w:p>
    <w:p w:rsidR="00692D5B" w:rsidRDefault="00391B1E">
      <w:pPr>
        <w:spacing w:line="360" w:lineRule="auto"/>
        <w:ind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rPr>
        <w:lastRenderedPageBreak/>
        <w:drawing>
          <wp:inline distT="0" distB="0" distL="0" distR="0">
            <wp:extent cx="5730808" cy="512119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0808" cy="5121195"/>
                    </a:xfrm>
                    <a:prstGeom prst="rect">
                      <a:avLst/>
                    </a:prstGeom>
                    <a:ln/>
                  </pic:spPr>
                </pic:pic>
              </a:graphicData>
            </a:graphic>
          </wp:inline>
        </w:drawing>
      </w:r>
    </w:p>
    <w:p w:rsidR="00692D5B" w:rsidRDefault="00391B1E">
      <w:pPr>
        <w:spacing w:line="360" w:lineRule="auto"/>
        <w:ind w:left="567" w:right="-734"/>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Orgánica Municipal del Estado de México</w:t>
      </w:r>
    </w:p>
    <w:p w:rsidR="00692D5B" w:rsidRDefault="00692D5B">
      <w:pPr>
        <w:spacing w:line="360" w:lineRule="auto"/>
        <w:ind w:left="567" w:right="-734"/>
        <w:jc w:val="both"/>
        <w:rPr>
          <w:rFonts w:ascii="Palatino Linotype" w:eastAsia="Palatino Linotype" w:hAnsi="Palatino Linotype" w:cs="Palatino Linotype"/>
          <w:b/>
          <w:bCs/>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125</w:t>
      </w:r>
      <w:r>
        <w:rPr>
          <w:rFonts w:ascii="Palatino Linotype" w:eastAsia="Palatino Linotype" w:hAnsi="Palatino Linotype" w:cs="Palatino Linotype"/>
          <w:i/>
          <w:iCs/>
          <w:color w:val="000000"/>
        </w:rPr>
        <w:t>.- Los municipios tendrán a su cargo la prestación, explotación, administración y conservación de los servicios públicos municipales, considerándose enunciativa y no limitativamente, los siguientes:</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VII…</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VIII. Seguridad pública y tránsito;</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IX a XI…</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142</w:t>
      </w:r>
      <w:r>
        <w:rPr>
          <w:rFonts w:ascii="Palatino Linotype" w:eastAsia="Palatino Linotype" w:hAnsi="Palatino Linotype" w:cs="Palatino Linotype"/>
          <w:i/>
          <w:iCs/>
          <w:color w:val="000000"/>
        </w:rPr>
        <w:t>.-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En cada municipio se deberán integrar cuerpos de seguridad pública, de bomberos y, en su caso, de tránsito, estos servidores públicos preferentemente serán vecinos del municipio, de los cuales el presidente municipal será el jefe inmediato</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De ahí que deba arribar a la premisa de que la Ley General del Sistema Nacional de Seguridad Pública prevé un esquema de distribución de competencias entre la Federación, los Estados y los </w:t>
      </w:r>
      <w:r>
        <w:rPr>
          <w:rFonts w:ascii="Palatino Linotype" w:eastAsia="Palatino Linotype" w:hAnsi="Palatino Linotype" w:cs="Palatino Linotype"/>
          <w:color w:val="000000"/>
        </w:rPr>
        <w:t>Municipios</w:t>
      </w:r>
      <w:r>
        <w:rPr>
          <w:rFonts w:ascii="Palatino Linotype" w:eastAsia="Palatino Linotype" w:hAnsi="Palatino Linotype" w:cs="Palatino Linotype"/>
        </w:rPr>
        <w:t xml:space="preserve">, a fin que, estos últimos, realicen la integración y actualización de diversas Bases de Datos que integran información de incidencia delictiva; </w:t>
      </w:r>
      <w:r>
        <w:rPr>
          <w:rFonts w:ascii="Palatino Linotype" w:eastAsia="Palatino Linotype" w:hAnsi="Palatino Linotype" w:cs="Palatino Linotype"/>
          <w:i/>
          <w:iCs/>
        </w:rPr>
        <w:t>máxime</w:t>
      </w:r>
      <w:r>
        <w:rPr>
          <w:rFonts w:ascii="Palatino Linotype" w:eastAsia="Palatino Linotype" w:hAnsi="Palatino Linotype" w:cs="Palatino Linotype"/>
        </w:rPr>
        <w:t xml:space="preserve"> que, desde la entrada en vigor de la Ley de Seguridad del Estado de México </w:t>
      </w:r>
      <w:r>
        <w:rPr>
          <w:rFonts w:ascii="Palatino Linotype" w:eastAsia="Palatino Linotype" w:hAnsi="Palatino Linotype" w:cs="Palatino Linotype"/>
          <w:i/>
          <w:iCs/>
        </w:rPr>
        <w:t xml:space="preserve">-el 20 de octubre de 2011- </w:t>
      </w:r>
      <w:r>
        <w:rPr>
          <w:rFonts w:ascii="Palatino Linotype" w:eastAsia="Palatino Linotype" w:hAnsi="Palatino Linotype" w:cs="Palatino Linotype"/>
        </w:rPr>
        <w:t>se desprende la atribución expresa para que, el Director de Seguridad Pública Municipal,</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 entre otras cosas, </w:t>
      </w:r>
      <w:r>
        <w:rPr>
          <w:rFonts w:ascii="Palatino Linotype" w:eastAsia="Palatino Linotype" w:hAnsi="Palatino Linotype" w:cs="Palatino Linotype"/>
          <w:b/>
          <w:bCs/>
        </w:rPr>
        <w:t xml:space="preserve">genere estadística delictiva. </w:t>
      </w:r>
      <w:r>
        <w:rPr>
          <w:rFonts w:ascii="Palatino Linotype" w:eastAsia="Palatino Linotype" w:hAnsi="Palatino Linotype" w:cs="Palatino Linotype"/>
        </w:rPr>
        <w:t xml:space="preserve">Así, la información requerida estriba dentro de las fronteras conceptuales del interés general y el alcance público, esto, de conformidad con los artículos 24, fracción XII y 92, fracción XXXIV de la Ley de Transparencia y Acceso a la Información Pública del Estado de México y Municipios, mismos que son de la literalidad siguiente: </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Artículo 24. Para el cumplimiento de los objetivos de esta Ley, los sujetos obligados deberán cumplir con las siguientes obligaciones, según corresponda, de acuerdo a su naturaleza:</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XI…</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Publicar y mantener actualizada la información relativa a las obligaciones generales de transparencia previstas en la presente Ley o determinadas así por el Instituto, y en general aquella que sea de interés público;</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XIII a XXV…</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92.</w:t>
      </w:r>
      <w:r>
        <w:rPr>
          <w:rFonts w:ascii="Palatino Linotype" w:eastAsia="Palatino Linotype" w:hAnsi="Palatino Linotype" w:cs="Palatino Linotype"/>
          <w:i/>
          <w:iCs/>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a XXXIII…</w:t>
      </w: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XXXIV. Las estadísticas que generen en cumplimiento de sus facultades, competencias o funciones con la mayor desagregación posible.</w:t>
      </w:r>
    </w:p>
    <w:p w:rsidR="00692D5B" w:rsidRDefault="00391B1E">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XXXV a LII…</w:t>
      </w:r>
    </w:p>
    <w:p w:rsidR="00692D5B" w:rsidRDefault="00692D5B">
      <w:pPr>
        <w:spacing w:line="360" w:lineRule="auto"/>
        <w:ind w:left="567" w:right="-734"/>
        <w:jc w:val="both"/>
        <w:rPr>
          <w:rFonts w:ascii="Palatino Linotype" w:eastAsia="Palatino Linotype" w:hAnsi="Palatino Linotype" w:cs="Palatino Linotype"/>
          <w:i/>
          <w:iCs/>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De forma complementaria, resulta de nuestro particular interés el criterio de interpretación para sujetos obligados histórico, con clave de control S0/011/2009 emitido por </w:t>
      </w:r>
      <w:r>
        <w:rPr>
          <w:rFonts w:ascii="Palatino Linotype" w:eastAsia="Palatino Linotype" w:hAnsi="Palatino Linotype" w:cs="Palatino Linotype"/>
        </w:rPr>
        <w:lastRenderedPageBreak/>
        <w:t>el Pleno del hoy Instituto Nacional de Transparencia, Acceso a la Información y Protección de Datos Personales, que a la letra dispone lo siguiente:</w:t>
      </w:r>
    </w:p>
    <w:p w:rsidR="00692D5B" w:rsidRDefault="00391B1E">
      <w:pP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LA INFORMACIÓN ESTADÍSTICA ES DE NATURALEZA PÚBLICA, INDEPENDIENTEMENTE DE LA MATERIA CON LA QUE SE ENCUENTRE VINCULADA. </w:t>
      </w:r>
      <w:r>
        <w:rPr>
          <w:rFonts w:ascii="Palatino Linotype" w:eastAsia="Palatino Linotype" w:hAnsi="Palatino Linotype" w:cs="Palatino Linotype"/>
          <w:i/>
          <w:iCs/>
          <w:color w:val="000000"/>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Así las cosas, se trae al estudio los Lineamientos para el Llenado, Entrega, Recepción, Registro, Resguardo y Consulta del Informe Policial Homologado;  de los cuales, se inserta lo siguiente:</w:t>
      </w:r>
    </w:p>
    <w:p w:rsidR="00692D5B" w:rsidRDefault="00692D5B">
      <w:pPr>
        <w:spacing w:line="360" w:lineRule="auto"/>
        <w:ind w:left="567" w:right="-734"/>
        <w:jc w:val="both"/>
        <w:rPr>
          <w:rFonts w:ascii="Palatino Linotype" w:eastAsia="Palatino Linotype" w:hAnsi="Palatino Linotype" w:cs="Palatino Linotype"/>
        </w:rPr>
      </w:pP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PRIMERO. OBJETO Y ÁMBITO DE APLICACIÓN.</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Informe Policial Homologado es el medio a través del cual </w:t>
      </w:r>
      <w:r>
        <w:rPr>
          <w:rFonts w:ascii="Palatino Linotype" w:eastAsia="Palatino Linotype" w:hAnsi="Palatino Linotype" w:cs="Palatino Linotype"/>
          <w:b/>
          <w:bCs/>
          <w:i/>
          <w:iCs/>
        </w:rPr>
        <w:t xml:space="preserve">los integrantes de las instituciones policiales documentan la información relacionada con las puestas a </w:t>
      </w:r>
      <w:r>
        <w:rPr>
          <w:rFonts w:ascii="Palatino Linotype" w:eastAsia="Palatino Linotype" w:hAnsi="Palatino Linotype" w:cs="Palatino Linotype"/>
          <w:b/>
          <w:bCs/>
          <w:i/>
          <w:iCs/>
        </w:rPr>
        <w:lastRenderedPageBreak/>
        <w:t>disposición de personas y/o de objetos derivados de su intervención</w:t>
      </w:r>
      <w:r>
        <w:rPr>
          <w:rFonts w:ascii="Palatino Linotype" w:eastAsia="Palatino Linotype" w:hAnsi="Palatino Linotype" w:cs="Palatino Linotype"/>
          <w:i/>
          <w:iCs/>
        </w:rPr>
        <w:t>, a las autoridades competentes.</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El Informe Policial Homologado tiene como objeto eficientar las puestas a disposición, garantizar el debido proceso, y fomentar el uso de la información para acciones de inteligencia.</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Los presentes Lineamientos tienen como objeto señalar los criterios respecto a lo siguiente:</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I a V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VI.   Resguardo de la base de datos del IPH en el Sistema Nacional de Información en Seguridad Pública;</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VII a IX…</w:t>
      </w:r>
    </w:p>
    <w:p w:rsidR="00692D5B" w:rsidRDefault="00692D5B">
      <w:pPr>
        <w:spacing w:line="360" w:lineRule="auto"/>
        <w:ind w:right="-734"/>
        <w:jc w:val="both"/>
        <w:rPr>
          <w:rFonts w:ascii="Palatino Linotype" w:eastAsia="Palatino Linotype" w:hAnsi="Palatino Linotype" w:cs="Palatino Linotype"/>
          <w:b/>
          <w:bCs/>
          <w:i/>
          <w:iCs/>
        </w:rPr>
      </w:pP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SEGUNDO. GLOSARIO DE TÉRMINOS.</w:t>
      </w:r>
    </w:p>
    <w:p w:rsidR="00692D5B" w:rsidRDefault="00692D5B">
      <w:pPr>
        <w:spacing w:line="360" w:lineRule="auto"/>
        <w:ind w:left="567" w:right="-734"/>
        <w:jc w:val="both"/>
        <w:rPr>
          <w:rFonts w:ascii="Palatino Linotype" w:eastAsia="Palatino Linotype" w:hAnsi="Palatino Linotype" w:cs="Palatino Linotype"/>
          <w:b/>
          <w:bCs/>
          <w:i/>
          <w:iCs/>
        </w:rPr>
      </w:pP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I a IX…</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X. IPH: El Informe Policial Homologado de hechos probablemente delictivos o de infracciones administrativas, mismo que puede ser en versión impresa o electrónica.</w:t>
      </w: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DÉCIMO TERCERO. ENTREGA Y RECEPCIÓN DEL IPH.</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integrantes de las instituciones policiales de los tres órdenes de gobierno que realicen el llenado del IPH, </w:t>
      </w:r>
      <w:r>
        <w:rPr>
          <w:rFonts w:ascii="Palatino Linotype" w:eastAsia="Palatino Linotype" w:hAnsi="Palatino Linotype" w:cs="Palatino Linotype"/>
          <w:b/>
          <w:bCs/>
          <w:i/>
          <w:iCs/>
        </w:rPr>
        <w:t xml:space="preserve">deberán entregarlo junto con las personas detenidas y/o arrestadas y/o </w:t>
      </w:r>
      <w:r>
        <w:rPr>
          <w:rFonts w:ascii="Palatino Linotype" w:eastAsia="Palatino Linotype" w:hAnsi="Palatino Linotype" w:cs="Palatino Linotype"/>
          <w:b/>
          <w:bCs/>
          <w:i/>
          <w:iCs/>
        </w:rPr>
        <w:lastRenderedPageBreak/>
        <w:t>los objetos asegurados a la autoridad competente</w:t>
      </w:r>
      <w:r>
        <w:rPr>
          <w:rFonts w:ascii="Palatino Linotype" w:eastAsia="Palatino Linotype" w:hAnsi="Palatino Linotype" w:cs="Palatino Linotype"/>
          <w:i/>
          <w:iCs/>
        </w:rPr>
        <w:t>, según se trate de un hecho probablemente delictivo o una infracción administrativa.</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La autoridad competente estará obligada a recibir el IPH junto con las personas detenidas y/o arrestadas y/o los objetos asegurados, en un término máximo de dos horas contadas a partir del arribo a sus oficinas de las instituciones policiales que realizan la puesta a disposición.</w:t>
      </w:r>
    </w:p>
    <w:p w:rsidR="00692D5B" w:rsidRDefault="00391B1E">
      <w:p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692D5B" w:rsidRDefault="00692D5B">
      <w:pPr>
        <w:spacing w:line="360" w:lineRule="auto"/>
        <w:ind w:right="-734"/>
        <w:jc w:val="both"/>
        <w:rPr>
          <w:rFonts w:ascii="Palatino Linotype" w:eastAsia="Palatino Linotype" w:hAnsi="Palatino Linotype" w:cs="Palatino Linotype"/>
          <w:b/>
          <w:bCs/>
          <w:i/>
          <w:iCs/>
        </w:rPr>
      </w:pPr>
    </w:p>
    <w:p w:rsidR="00692D5B" w:rsidRDefault="00391B1E">
      <w:pPr>
        <w:numPr>
          <w:ilvl w:val="0"/>
          <w:numId w:val="4"/>
        </w:numP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De lo anterior, se deduce que del informe policial homologado, tiene por objeto que las Instituciones policiales documenten la información relacionada con las puestas a disposición de personas y/u objetos derivados de su intervención, para con ello, hacer más eficiente el debido proceso y fomentar el uso de la información para acciones de inteligencia; por lo tanto, dicho informe únicamente es entregado junto con la persona detenida o bien, con los objetos que fueron asegurados en el hecho y/o acto probablemente constitutivo de delito o bien, infracción administrativa. </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En este orden de ideas, es evidente que el Informe Policial Homologado se entrega en el momento que un elemento policial pone a disposición a una persona u objetos recabados del lugar en el que ocurrieron los hechos delictivos y/o faltas administrativas; por lo tanto, es claro que no en todos los casos en que se conoce de una conducta delictiva y se inicia una carpeta de investigación, o se agrega un informe policial homologado, pues es evidente que </w:t>
      </w:r>
      <w:r>
        <w:rPr>
          <w:rFonts w:ascii="Palatino Linotype" w:eastAsia="Palatino Linotype" w:hAnsi="Palatino Linotype" w:cs="Palatino Linotype"/>
        </w:rPr>
        <w:lastRenderedPageBreak/>
        <w:t>existen diversos tipos de delitos que se pueden configurar sin que se genere el informe en comento.</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En congruencia con lo expuesto, no se deja lado que si bien, existen delitos que por su naturaleza si intervienen elementos policiales y derivado de ello se recaban objetos además de presentar a los probables responsables ante el Ministerio Público, datos que deben ser reproducidos en el informe policial homologado, no obstante, es preciso reiterar que el Particular solicitó información estadística de la incidencia delictiva, lo cual, corresponde únicamente al número de hechos y/o actos de los que se tuvo conocimiento y con base en ello, el Sujeto Obligado no se encuentra constreñido para buscar en el expediente formado si existe o no, el informe policial homologado, esto, en virtud del artículo 12 de la Ley de Transparencia y Acceso a la Información Pública del Estado de México y Municipios, mismo que a la letra estipula lo siguiente:</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12. Quienes generen, recopilen, administren, manejen, procesen, archiven o conserven información pública serán responsables de la misma en los términos de las disposiciones jurídicas aplicables. </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92D5B" w:rsidRDefault="00391B1E">
      <w:p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lastRenderedPageBreak/>
        <w:t>En esta tesitura, es claro que el nivel de desagregación que solicita el Particular, confiere al Sujeto Obligado a practicar una investigación dentro de todos los expedientes formados en razón de una denuncia por hechos y/o actos delictivos, para con ello, precisar si se encuentra o no, el informe de policía homologado y en consecuencia, realizar un pronunciamiento</w:t>
      </w:r>
      <w:r>
        <w:rPr>
          <w:rFonts w:ascii="Palatino Linotype" w:eastAsia="Palatino Linotype" w:hAnsi="Palatino Linotype" w:cs="Palatino Linotype"/>
          <w:i/>
          <w:iCs/>
        </w:rPr>
        <w:t xml:space="preserve"> ad hoc</w:t>
      </w:r>
      <w:r>
        <w:rPr>
          <w:rFonts w:ascii="Palatino Linotype" w:eastAsia="Palatino Linotype" w:hAnsi="Palatino Linotype" w:cs="Palatino Linotype"/>
        </w:rPr>
        <w:t xml:space="preserve"> a los intereses de este último; situación que como fue precisado, va en contra del criterio número 03/17 emitido por el Pleno del Instituto Nacional de Transparencia, Acceso a la Información y Protección de Datos Personales, que por rubro y texto, dispone lo siguiente:.</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No existe obligación de elaborar documentos ad hoc para atender las solicitudes de acceso a la información. </w:t>
      </w:r>
      <w:r>
        <w:rPr>
          <w:rFonts w:ascii="Palatino Linotype" w:eastAsia="Palatino Linotype" w:hAnsi="Palatino Linotype" w:cs="Palatino Linotype"/>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692D5B" w:rsidRDefault="00692D5B">
      <w:pPr>
        <w:spacing w:line="360" w:lineRule="auto"/>
        <w:ind w:left="567" w:right="-734"/>
        <w:jc w:val="both"/>
        <w:rPr>
          <w:rFonts w:ascii="Palatino Linotype" w:eastAsia="Palatino Linotype" w:hAnsi="Palatino Linotype" w:cs="Palatino Linotype"/>
          <w:i/>
          <w:iCs/>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Por tales circunstancias para el caso en particular, este Instituto no encuentra sustento legal que permita ordenar la entrega de la información conforme los intereses del Recurrente. En esa tesitura, recordar que también se requiere se entregue la información en formato </w:t>
      </w:r>
      <w:r>
        <w:rPr>
          <w:rFonts w:ascii="Palatino Linotype" w:eastAsia="Palatino Linotype" w:hAnsi="Palatino Linotype" w:cs="Palatino Linotype"/>
        </w:rPr>
        <w:lastRenderedPageBreak/>
        <w:t xml:space="preserve">abierto como xls o cvs; es decir que puedan ser </w:t>
      </w:r>
      <w:r>
        <w:rPr>
          <w:rFonts w:ascii="Palatino Linotype" w:eastAsia="Palatino Linotype" w:hAnsi="Palatino Linotype" w:cs="Palatino Linotype"/>
          <w:u w:val="single"/>
        </w:rPr>
        <w:t>usados, reutilizados y redistribuidos</w:t>
      </w:r>
      <w:r>
        <w:rPr>
          <w:rFonts w:ascii="Palatino Linotype" w:eastAsia="Palatino Linotype" w:hAnsi="Palatino Linotype" w:cs="Palatino Linotype"/>
        </w:rPr>
        <w:t xml:space="preserve"> libremente por cualquier persona, en cualquier momento y en cualquier lugar.</w:t>
      </w:r>
    </w:p>
    <w:p w:rsidR="00692D5B" w:rsidRDefault="00692D5B">
      <w:pPr>
        <w:spacing w:line="360" w:lineRule="auto"/>
        <w:ind w:right="-734"/>
        <w:jc w:val="both"/>
        <w:rPr>
          <w:rFonts w:ascii="Palatino Linotype" w:eastAsia="Palatino Linotype" w:hAnsi="Palatino Linotype" w:cs="Palatino Linotype"/>
          <w:b/>
          <w:bCs/>
          <w:i/>
          <w:iCs/>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Lo anterior, se robustece con lo dispuesto por la Ley de Transparencia y Acceso a la Información Pública del Estado de México y Municipios; la cual establece en su artículo 3°, fracción VIII, lo siguiente:</w:t>
      </w: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3. Para los efectos de la presente Ley se entenderá por:</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I al VII…</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Datos abiertos</w:t>
      </w:r>
      <w:r>
        <w:rPr>
          <w:rFonts w:ascii="Palatino Linotype" w:eastAsia="Palatino Linotype" w:hAnsi="Palatino Linotype" w:cs="Palatino Linotype"/>
          <w:i/>
          <w:iCs/>
        </w:rPr>
        <w:t xml:space="preserve">: Los datos digitales de carácter público </w:t>
      </w:r>
      <w:r>
        <w:rPr>
          <w:rFonts w:ascii="Palatino Linotype" w:eastAsia="Palatino Linotype" w:hAnsi="Palatino Linotype" w:cs="Palatino Linotype"/>
          <w:b/>
          <w:bCs/>
          <w:i/>
          <w:iCs/>
        </w:rPr>
        <w:t>que son accesibles</w:t>
      </w:r>
      <w:r>
        <w:rPr>
          <w:rFonts w:ascii="Palatino Linotype" w:eastAsia="Palatino Linotype" w:hAnsi="Palatino Linotype" w:cs="Palatino Linotype"/>
          <w:i/>
          <w:iCs/>
        </w:rPr>
        <w:t xml:space="preserve"> en línea </w:t>
      </w:r>
      <w:r>
        <w:rPr>
          <w:rFonts w:ascii="Palatino Linotype" w:eastAsia="Palatino Linotype" w:hAnsi="Palatino Linotype" w:cs="Palatino Linotype"/>
          <w:b/>
          <w:bCs/>
          <w:i/>
          <w:iCs/>
        </w:rPr>
        <w:t xml:space="preserve">que pueden </w:t>
      </w:r>
      <w:r>
        <w:rPr>
          <w:rFonts w:ascii="Palatino Linotype" w:eastAsia="Palatino Linotype" w:hAnsi="Palatino Linotype" w:cs="Palatino Linotype"/>
          <w:b/>
          <w:bCs/>
          <w:i/>
          <w:iCs/>
          <w:u w:val="single"/>
        </w:rPr>
        <w:t>ser usados, reutilizados y redistribuidos</w:t>
      </w:r>
      <w:r>
        <w:rPr>
          <w:rFonts w:ascii="Palatino Linotype" w:eastAsia="Palatino Linotype" w:hAnsi="Palatino Linotype" w:cs="Palatino Linotype"/>
          <w:i/>
          <w:iCs/>
        </w:rPr>
        <w:t xml:space="preserve"> por cualquier interesado y que tienen las siguientes características:</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 Accesibles: </w:t>
      </w:r>
      <w:r>
        <w:rPr>
          <w:rFonts w:ascii="Palatino Linotype" w:eastAsia="Palatino Linotype" w:hAnsi="Palatino Linotype" w:cs="Palatino Linotype"/>
          <w:i/>
          <w:iCs/>
        </w:rPr>
        <w:t>Los datos están disponibles para la gama más amplia de usuarios, para cualquier propósito;</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b) Integrales</w:t>
      </w:r>
      <w:r>
        <w:rPr>
          <w:rFonts w:ascii="Palatino Linotype" w:eastAsia="Palatino Linotype" w:hAnsi="Palatino Linotype" w:cs="Palatino Linotype"/>
          <w:i/>
          <w:iCs/>
        </w:rPr>
        <w:t>: Contienen el tema que describen a detalle y con los metadatos necesarios;</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c) Gratuitos</w:t>
      </w:r>
      <w:r>
        <w:rPr>
          <w:rFonts w:ascii="Palatino Linotype" w:eastAsia="Palatino Linotype" w:hAnsi="Palatino Linotype" w:cs="Palatino Linotype"/>
          <w:i/>
          <w:iCs/>
        </w:rPr>
        <w:t xml:space="preserve">: Se obtienen sin entregar a cambio contraprestación alguna;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d) No discriminatorios:</w:t>
      </w:r>
      <w:r>
        <w:rPr>
          <w:rFonts w:ascii="Palatino Linotype" w:eastAsia="Palatino Linotype" w:hAnsi="Palatino Linotype" w:cs="Palatino Linotype"/>
          <w:i/>
          <w:iCs/>
        </w:rPr>
        <w:t xml:space="preserve"> Los datos están disponibles para cualquier persona, sin necesidad de registro;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e) Oportunos</w:t>
      </w:r>
      <w:r>
        <w:rPr>
          <w:rFonts w:ascii="Palatino Linotype" w:eastAsia="Palatino Linotype" w:hAnsi="Palatino Linotype" w:cs="Palatino Linotype"/>
          <w:i/>
          <w:iCs/>
        </w:rPr>
        <w:t xml:space="preserve">: Son actualizados, periódicamente, conforme se generen;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f) Permanentes</w:t>
      </w:r>
      <w:r>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g) Primarios</w:t>
      </w:r>
      <w:r>
        <w:rPr>
          <w:rFonts w:ascii="Palatino Linotype" w:eastAsia="Palatino Linotype" w:hAnsi="Palatino Linotype" w:cs="Palatino Linotype"/>
          <w:i/>
          <w:iCs/>
        </w:rPr>
        <w:t xml:space="preserve">: Provienen de la fuente de origen con el máximo nivel de desagregación posible;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h) Legibles por máquinas</w:t>
      </w:r>
      <w:r>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rsidR="00692D5B" w:rsidRDefault="00391B1E">
      <w:pPr>
        <w:spacing w:line="360" w:lineRule="auto"/>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 En formatos abiertos</w:t>
      </w:r>
      <w:r>
        <w:rPr>
          <w:rFonts w:ascii="Palatino Linotype" w:eastAsia="Palatino Linotype" w:hAnsi="Palatino Linotype" w:cs="Palatino Linotype"/>
          <w:i/>
          <w:iCs/>
        </w:rPr>
        <w:t>: Los datos estarán disponibles c</w:t>
      </w:r>
      <w:r>
        <w:rPr>
          <w:rFonts w:ascii="Palatino Linotype" w:eastAsia="Palatino Linotype" w:hAnsi="Palatino Linotype" w:cs="Palatino Linotype"/>
          <w:b/>
          <w:bCs/>
          <w:i/>
          <w:iCs/>
        </w:rPr>
        <w:t xml:space="preserve">on el conjunto de características técnicas y de presentación </w:t>
      </w:r>
      <w:r>
        <w:rPr>
          <w:rFonts w:ascii="Palatino Linotype" w:eastAsia="Palatino Linotype" w:hAnsi="Palatino Linotype" w:cs="Palatino Linotype"/>
          <w:i/>
          <w:iCs/>
        </w:rPr>
        <w:t xml:space="preserve">que corresponden a la estructura lógica usada para almacenar datos en un archivo digital, </w:t>
      </w:r>
      <w:r>
        <w:rPr>
          <w:rFonts w:ascii="Palatino Linotype" w:eastAsia="Palatino Linotype" w:hAnsi="Palatino Linotype" w:cs="Palatino Linotype"/>
          <w:b/>
          <w:bCs/>
          <w:i/>
          <w:iCs/>
        </w:rPr>
        <w:t>cuyas especificaciones técnicas están disponibles públicamente</w:t>
      </w:r>
      <w:r>
        <w:rPr>
          <w:rFonts w:ascii="Palatino Linotype" w:eastAsia="Palatino Linotype" w:hAnsi="Palatino Linotype" w:cs="Palatino Linotype"/>
          <w:i/>
          <w:iCs/>
        </w:rPr>
        <w:t xml:space="preserve">, que </w:t>
      </w:r>
      <w:r>
        <w:rPr>
          <w:rFonts w:ascii="Palatino Linotype" w:eastAsia="Palatino Linotype" w:hAnsi="Palatino Linotype" w:cs="Palatino Linotype"/>
          <w:b/>
          <w:bCs/>
          <w:i/>
          <w:iCs/>
        </w:rPr>
        <w:t xml:space="preserve">no suponen una dificultad de acceso y </w:t>
      </w:r>
      <w:r>
        <w:rPr>
          <w:rFonts w:ascii="Palatino Linotype" w:eastAsia="Palatino Linotype" w:hAnsi="Palatino Linotype" w:cs="Palatino Linotype"/>
          <w:b/>
          <w:bCs/>
          <w:i/>
          <w:iCs/>
          <w:u w:val="single"/>
        </w:rPr>
        <w:t>que su aplicación y reproducción no estén condicionadas</w:t>
      </w:r>
      <w:r>
        <w:rPr>
          <w:rFonts w:ascii="Palatino Linotype" w:eastAsia="Palatino Linotype" w:hAnsi="Palatino Linotype" w:cs="Palatino Linotype"/>
          <w:b/>
          <w:bCs/>
          <w:i/>
          <w:iCs/>
        </w:rPr>
        <w:t xml:space="preserve"> a contraprestación alguna; y </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j) De libre uso:</w:t>
      </w:r>
      <w:r>
        <w:rPr>
          <w:rFonts w:ascii="Palatino Linotype" w:eastAsia="Palatino Linotype" w:hAnsi="Palatino Linotype" w:cs="Palatino Linotype"/>
          <w:i/>
          <w:iCs/>
        </w:rPr>
        <w:t xml:space="preserve"> Citan la fuente de origen como único requerimiento para ser utilizados libremente.</w:t>
      </w:r>
    </w:p>
    <w:p w:rsidR="00692D5B" w:rsidRDefault="00391B1E">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IX al XLV…</w:t>
      </w:r>
    </w:p>
    <w:p w:rsidR="00692D5B" w:rsidRDefault="00391B1E">
      <w:pPr>
        <w:spacing w:line="360" w:lineRule="auto"/>
        <w:ind w:left="567" w:right="-734"/>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Derivado de lo anterior, es dable considerar que los datos abiertos cumplen con la finalidad de poder ser utilizados, reutilizados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y redistribuidos; y que el formato de datos abiertos, debe permitir la aplicación y reproducción de la información sin estar condicionados a contraprestaciones; así pues, se determina que el Particular pretendió acceder a la documentación en un formato que ofreciera identidad con el original y que permitiera la posibilidad de reutilización; lo anterior no debe traducirse en la posibilidad de alteración, edición o modificación del original; entonces, es viable ordenar la entrega de la información en los términos aquí expuestos y en el formato </w:t>
      </w:r>
      <w:r>
        <w:rPr>
          <w:rFonts w:ascii="Palatino Linotype" w:eastAsia="Palatino Linotype" w:hAnsi="Palatino Linotype" w:cs="Palatino Linotype"/>
          <w:i/>
          <w:iCs/>
        </w:rPr>
        <w:t>xls</w:t>
      </w:r>
      <w:r>
        <w:rPr>
          <w:rFonts w:ascii="Palatino Linotype" w:eastAsia="Palatino Linotype" w:hAnsi="Palatino Linotype" w:cs="Palatino Linotype"/>
        </w:rPr>
        <w:t xml:space="preserve"> o </w:t>
      </w:r>
      <w:r>
        <w:rPr>
          <w:rFonts w:ascii="Palatino Linotype" w:eastAsia="Palatino Linotype" w:hAnsi="Palatino Linotype" w:cs="Palatino Linotype"/>
          <w:i/>
          <w:iCs/>
        </w:rPr>
        <w:t>cvs</w:t>
      </w:r>
      <w:r>
        <w:rPr>
          <w:rFonts w:ascii="Palatino Linotype" w:eastAsia="Palatino Linotype" w:hAnsi="Palatino Linotype" w:cs="Palatino Linotype"/>
        </w:rPr>
        <w:t xml:space="preserve"> o en el que se haya generado derivado que no existe una fuente obligacional que constriña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generarlos en formatos que puntualmente requiere el ahora </w:t>
      </w:r>
      <w:r>
        <w:rPr>
          <w:rFonts w:ascii="Palatino Linotype" w:eastAsia="Palatino Linotype" w:hAnsi="Palatino Linotype" w:cs="Palatino Linotype"/>
          <w:b/>
          <w:bCs/>
        </w:rPr>
        <w:t>RECURRENTE.</w:t>
      </w: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lastRenderedPageBreak/>
        <w:t>Por otro lado, adicional al rubro de la temporalidad, se advierte con claridad que se dejó de entregar información de un rubro establecido en la solicitud de información primigenia, como lo es el de las coordenadas geográficas del incidente o evento, establecidas en la sección “lugar de la intervención” del informe policial homologado para hechos probablemente delictivos o para justicia cívica según corresponda al tipo de incidente, por lo que se procede analizar la naturaleza del dato, a efecto de determinar la procedencia o improcedencia de su entrega.</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Al respecto, la dirección y las coordenadas del evento, contrario a lo que asegura el ahora </w:t>
      </w:r>
      <w:r>
        <w:rPr>
          <w:rFonts w:ascii="Palatino Linotype" w:eastAsia="Palatino Linotype" w:hAnsi="Palatino Linotype" w:cs="Palatino Linotype"/>
          <w:b/>
          <w:bCs/>
        </w:rPr>
        <w:t>RECURRENTE</w:t>
      </w:r>
      <w:r>
        <w:rPr>
          <w:rFonts w:ascii="Palatino Linotype" w:eastAsia="Palatino Linotype" w:hAnsi="Palatino Linotype" w:cs="Palatino Linotype"/>
        </w:rPr>
        <w:t>, corresponde a información confidencial, pues los hechos ilícitos en múltiples ocasiones son realizados al interior de inmuebles que son direcciones de Particulares, información evidentemente confidencial, ya sea el domicilio, dirección o cualquiera dato que cuente con analogía como lo son las coordenadas.</w:t>
      </w:r>
    </w:p>
    <w:p w:rsidR="00692D5B" w:rsidRDefault="00692D5B">
      <w:pPr>
        <w:spacing w:line="360" w:lineRule="auto"/>
        <w:ind w:left="643"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Ello en virtud, que para el caso que las coordenadas permitan identificar el lugar específico de la posible comisión de un delito y dicho sitio sea un domicilio particular, la información actualiza la causal de confidencialidad prevista en el artículo 143, fracción I, de la Ley de la materia, pues se trata de datos personales que hacen identificable el domicilio de una o varias personas en la posible comisión de un delito por lo que incluso, no procedería su entrega.</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lastRenderedPageBreak/>
        <w:t>Puntualizando lo anterior, debemos precisar que la Ley General del Sistema Nacional de Seguridad Pública, en la cual se establece en su artículo 43 lo que debe contener el informe policial homologado como se muestra a continuación:</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“Artículo 43.- La Federación y las entidades federativas establecerán en las disposiciones legales correspondientes que los integrantes de las Instituciones Policiales deberán llenar un Informe Policial Homologado que contendrá, cuando menos, los siguientes datos:</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I. El área que lo emite;</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II. El usuario capturista;</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III. Los Datos Generales de registro;</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IV. Motivo, que se clasifica en;</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a) Tipo de evento, y</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b) Subtipo de evento.</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V. La ubicación del evento y en su caso, los caminos;</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VI. La descripción de hechos, que deberá detallar modo, tiempo y lugar, entre otros datos.</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VII. Entrevistas realizadas, y</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VIII. En caso de detenciones:</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a) Señalar los motivos de la detención;</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b) Descripción de la persona;</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c) El nombre del detenido y apodo, en su caso;</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d) Descripción de estado físico aparente;</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e) Objetos que le fueron encontrados;</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f) Autoridad a la que fue puesto a disposición, y</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g) Lugar en el que fue puesto a disposición.</w:t>
      </w:r>
    </w:p>
    <w:p w:rsidR="00692D5B" w:rsidRDefault="00391B1E">
      <w:pPr>
        <w:spacing w:line="360" w:lineRule="auto"/>
        <w:ind w:left="426" w:right="-734"/>
        <w:jc w:val="both"/>
        <w:rPr>
          <w:rFonts w:ascii="Palatino Linotype" w:eastAsia="Palatino Linotype" w:hAnsi="Palatino Linotype" w:cs="Palatino Linotype"/>
          <w:i/>
          <w:iCs/>
        </w:rPr>
      </w:pPr>
      <w:r>
        <w:rPr>
          <w:rFonts w:ascii="Palatino Linotype" w:eastAsia="Palatino Linotype" w:hAnsi="Palatino Linotype" w:cs="Palatino Linotype"/>
          <w:i/>
          <w:iCs/>
        </w:rPr>
        <w:t>El informe debe ser completo, los hechos deben describirse con continuidad, cronológicamente y resaltando lo importante; no deberá contener afirmaciones sin el soporte de datos o hechos reales, por lo que deberá evitar información de oídas, conjeturas o conclusiones ajenas a la investigación.”</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 xml:space="preserve">Del precepto legal referido, no se advierte la obligación de que el informe policial homologado deba contener coordenadas geográficas, sino solamente la ubicación del evento, el cual puede ser solventado con la dirección; empero, ello no es impedimento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eventualmente si cuente con las mismas, las cuales al estar vinculadas con hechos constitutivos de probables delitos, la difusión de dicha información eventualmente puede conducir a la re victimización o, discriminación de particulares, resultando conducente la salvaguarda de la información, en estricta observancia a la restricción prevista en el numeral 143 de la Ley de Transparencia local -información confidencial- y demás normatividad aplicable.</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spacing w:line="360" w:lineRule="auto"/>
        <w:ind w:left="0" w:right="-734" w:firstLine="0"/>
        <w:jc w:val="both"/>
      </w:pPr>
      <w:r>
        <w:rPr>
          <w:rFonts w:ascii="Palatino Linotype" w:eastAsia="Palatino Linotype" w:hAnsi="Palatino Linotype" w:cs="Palatino Linotype"/>
        </w:rPr>
        <w:t>Por lo que relatadas circunstancias y ante la falta de pronunciamiento al respecto, se deberá entregar el acuerdo del Comité de Transparencia en el que de manera fundada y motivada se clasifique la dirección, domicilio o coordenadas de los eventos de incidencia delictiva con que se cuenten registrados del 01 de enero al 08 de octubre de 2025.</w:t>
      </w:r>
    </w:p>
    <w:p w:rsidR="00692D5B" w:rsidRDefault="00692D5B">
      <w:pPr>
        <w:spacing w:line="360" w:lineRule="auto"/>
        <w:ind w:right="-734"/>
        <w:jc w:val="both"/>
        <w:rPr>
          <w:rFonts w:ascii="Palatino Linotype" w:eastAsia="Palatino Linotype" w:hAnsi="Palatino Linotype" w:cs="Palatino Linotype"/>
        </w:rPr>
      </w:pPr>
    </w:p>
    <w:p w:rsidR="00692D5B" w:rsidRDefault="00692D5B">
      <w:pPr>
        <w:spacing w:line="360" w:lineRule="auto"/>
        <w:ind w:right="-734"/>
        <w:jc w:val="both"/>
        <w:rPr>
          <w:rFonts w:ascii="Palatino Linotype" w:eastAsia="Palatino Linotype" w:hAnsi="Palatino Linotype" w:cs="Palatino Linotype"/>
        </w:rPr>
      </w:pPr>
    </w:p>
    <w:p w:rsidR="00692D5B" w:rsidRDefault="00391B1E">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692D5B" w:rsidRDefault="00391B1E">
      <w:pPr>
        <w:numPr>
          <w:ilvl w:val="0"/>
          <w:numId w:val="4"/>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Precisado lo anterior, de acuerdo a la naturaleza de la información solicitada se concluye que ésta es de interés general, no obstante como </w:t>
      </w:r>
      <w:r>
        <w:rPr>
          <w:rFonts w:ascii="Palatino Linotype" w:eastAsia="Palatino Linotype" w:hAnsi="Palatino Linotype" w:cs="Palatino Linotype"/>
        </w:rPr>
        <w:t>quedó</w:t>
      </w:r>
      <w:r>
        <w:rPr>
          <w:rFonts w:ascii="Palatino Linotype" w:eastAsia="Palatino Linotype" w:hAnsi="Palatino Linotype" w:cs="Palatino Linotype"/>
          <w:color w:val="000000"/>
        </w:rPr>
        <w:t xml:space="preserve"> asentado, contiene datos personales, para lo cual se deberá entregar junto con la información el Acuerdo del Comité de Transparencia en el que de manera fundada y motivada se sustente la clasificación de información.</w:t>
      </w:r>
    </w:p>
    <w:p w:rsidR="00692D5B" w:rsidRDefault="00692D5B">
      <w:pPr>
        <w:pBdr>
          <w:top w:val="nil"/>
          <w:left w:val="nil"/>
          <w:bottom w:val="nil"/>
          <w:right w:val="nil"/>
          <w:between w:val="nil"/>
        </w:pBdr>
        <w:spacing w:line="360" w:lineRule="auto"/>
        <w:ind w:left="643"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En términos de lo expuesto, la documentación y aquellos datos que se consideren confidenciales, serán una limitante del derecho de acceso a la información, siempre y cuando:</w:t>
      </w:r>
    </w:p>
    <w:p w:rsidR="00692D5B" w:rsidRDefault="00391B1E">
      <w:pPr>
        <w:numPr>
          <w:ilvl w:val="0"/>
          <w:numId w:val="6"/>
        </w:num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Se trate de datos personales o información privada; esto es, información concerniente a una persona física o jurídico colectiva y que ésta sea identificada o identificable. </w:t>
      </w:r>
    </w:p>
    <w:p w:rsidR="00692D5B" w:rsidRDefault="00391B1E">
      <w:pPr>
        <w:numPr>
          <w:ilvl w:val="0"/>
          <w:numId w:val="6"/>
        </w:num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Para la difusión de los datos, se requiere el consentimiento del titular. </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identificada o identificable (cuando su identidad pueda determinarse directa o indirectamente a través de cualquier documento informativo físico o electrónico), establecida en cualquier formato o modalidad. </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Además, en el artículo 5° de dicho ordenamiento jurídico, establece que es la Ley aplicable para todo tratamiento de datos personales. En ese orden de ideas, los artículos 6°, </w:t>
      </w:r>
      <w:r>
        <w:rPr>
          <w:rFonts w:ascii="Palatino Linotype" w:eastAsia="Palatino Linotype" w:hAnsi="Palatino Linotype" w:cs="Palatino Linotype"/>
          <w:color w:val="000000"/>
        </w:rPr>
        <w:lastRenderedPageBreak/>
        <w:t>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Por tales situaciones,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En este contexto, la confidencialidad de los datos personales, tiene por objetivo establecer el límite del derecho de acceso a la información a partir del derecho a la intimidad y la vida privada de los individuos. Sobre la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De tal suerte, las instituciones públicas tienen la doble responsabilidad, por un lado, de proteger los datos personales y por otro, darles publicidad cuando la relevancia de esos datos sea de interés público. En este orden de ideas, toda la información que transparente la gestión pública, favorezca la rendición de cuentas y contribuya a la democratización del Estado Mexicano es, sin excepción, de naturaleza pública; tal es el caso de los salarios de todos los servidores públicos, la entrega de recursos públicos bajo cualquier esquema, el cumplimiento de requisitos legales, entre otros; información que necesariamente está vinculada con datos personales, que pierden la protección en beneficio del interés público (no por eso dejan de ser datos personales, sólo que no están protegidos en la confidencialidad).</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w:t>
      </w:r>
      <w:r w:rsidR="002E4216">
        <w:rPr>
          <w:rFonts w:ascii="Palatino Linotype" w:eastAsia="Palatino Linotype" w:hAnsi="Palatino Linotype" w:cs="Palatino Linotype"/>
        </w:rPr>
        <w:t>aun</w:t>
      </w:r>
      <w:r>
        <w:rPr>
          <w:rFonts w:ascii="Palatino Linotype" w:eastAsia="Palatino Linotype" w:hAnsi="Palatino Linotype" w:cs="Palatino Linotype"/>
          <w:color w:val="000000"/>
        </w:rPr>
        <w:t xml:space="preserve"> tratándose de información personal.</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Ahora bien, cuando las personas tienen una relación comercial, laboral, de servicios, trámites o del tipo que sea, necesariamente por un tema de interés público, debe cederse un </w:t>
      </w:r>
      <w:r>
        <w:rPr>
          <w:rFonts w:ascii="Palatino Linotype" w:eastAsia="Palatino Linotype" w:hAnsi="Palatino Linotype" w:cs="Palatino Linotype"/>
          <w:color w:val="000000"/>
        </w:rPr>
        <w:lastRenderedPageBreak/>
        <w:t>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rsidR="00692D5B" w:rsidRDefault="00692D5B">
      <w:pPr>
        <w:spacing w:line="360" w:lineRule="auto"/>
        <w:ind w:right="-734"/>
        <w:jc w:val="both"/>
        <w:rPr>
          <w:rFonts w:ascii="Palatino Linotype" w:eastAsia="Palatino Linotype" w:hAnsi="Palatino Linotype" w:cs="Palatino Linotype"/>
        </w:rPr>
      </w:pPr>
    </w:p>
    <w:p w:rsidR="00692D5B" w:rsidRPr="002E4216"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Bajo este esquema, se aprecia que la información ordenada puede contener información susceptible a clasificar como confidencial; de forma enunciativa más no limitativa; se analiza el </w:t>
      </w:r>
      <w:r>
        <w:rPr>
          <w:rFonts w:ascii="Palatino Linotype" w:eastAsia="Palatino Linotype" w:hAnsi="Palatino Linotype" w:cs="Palatino Linotype"/>
          <w:b/>
          <w:bCs/>
          <w:color w:val="000000"/>
        </w:rPr>
        <w:t>domicilio</w:t>
      </w:r>
      <w:r>
        <w:rPr>
          <w:rFonts w:ascii="Palatino Linotype" w:eastAsia="Palatino Linotype" w:hAnsi="Palatino Linotype" w:cs="Palatino Linotype"/>
          <w:color w:val="000000"/>
        </w:rPr>
        <w:t xml:space="preserve"> ello en razón de haber sido requerida puntualmente la ubicación en la solicitud de información.</w:t>
      </w:r>
    </w:p>
    <w:p w:rsidR="002E4216" w:rsidRDefault="002E4216" w:rsidP="002E4216">
      <w:pPr>
        <w:pBdr>
          <w:top w:val="nil"/>
          <w:left w:val="nil"/>
          <w:bottom w:val="nil"/>
          <w:right w:val="nil"/>
          <w:between w:val="nil"/>
        </w:pBdr>
        <w:spacing w:line="360" w:lineRule="auto"/>
        <w:ind w:right="-734"/>
        <w:jc w:val="both"/>
        <w:rPr>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Luego entonces, 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Pr>
          <w:rFonts w:ascii="Palatino Linotype" w:eastAsia="Palatino Linotype" w:hAnsi="Palatino Linotype" w:cs="Palatino Linotype"/>
          <w:b/>
          <w:bCs/>
          <w:color w:val="000000"/>
        </w:rPr>
        <w:t>, es el lugar donde residen habitualmente, el lugar del centro principal de sus negocios, donde residan o el lugar donde se encuentren.</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w:t>
      </w:r>
      <w:r>
        <w:rPr>
          <w:rFonts w:ascii="Palatino Linotype" w:eastAsia="Palatino Linotype" w:hAnsi="Palatino Linotype" w:cs="Palatino Linotype"/>
          <w:color w:val="000000"/>
        </w:rPr>
        <w:lastRenderedPageBreak/>
        <w:t>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Luego entonces, 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Para los efectos de la presente Ley se entenderá por:</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La información concerniente a una persona, identificada o identificable según lo dispuesto por la Ley de Protección de Datos Personales del Estado de México; </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Aquella considerada por la presente Ley como reservada o confidencial;</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XXI. Información confidencial</w:t>
      </w:r>
      <w:r>
        <w:rPr>
          <w:rFonts w:ascii="Palatino Linotype" w:eastAsia="Palatino Linotype" w:hAnsi="Palatino Linotype" w:cs="Palatino Linotype"/>
          <w:i/>
          <w:iCs/>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91.</w:t>
      </w:r>
      <w:r>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rsidR="00692D5B" w:rsidRDefault="00692D5B">
      <w:pPr>
        <w:spacing w:line="360" w:lineRule="auto"/>
        <w:ind w:left="850" w:right="-734"/>
        <w:jc w:val="both"/>
        <w:rPr>
          <w:rFonts w:ascii="Palatino Linotype" w:eastAsia="Palatino Linotype" w:hAnsi="Palatino Linotype" w:cs="Palatino Linotype"/>
          <w:i/>
          <w:iCs/>
        </w:rPr>
      </w:pP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La clasificación de la información se llevará a cabo en el momento en que:</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reciba una solicitud de acceso a la información;</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Se determine mediante resolución de autoridad competente; 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Se generen versiones públicas para dar cumplimiento a las obligaciones de transparencia previstas en esta Ley.</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2D5B" w:rsidRDefault="00692D5B">
      <w:pPr>
        <w:spacing w:line="360" w:lineRule="auto"/>
        <w:ind w:left="850" w:right="-734"/>
        <w:jc w:val="both"/>
        <w:rPr>
          <w:rFonts w:ascii="Palatino Linotype" w:eastAsia="Palatino Linotype" w:hAnsi="Palatino Linotype" w:cs="Palatino Linotype"/>
          <w:i/>
          <w:iCs/>
        </w:rPr>
      </w:pP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xml:space="preserve"> Para los efectos de esta Ley se considera información confidencial, la clasificada como tal, de manera permanente, por su naturaleza, cuando: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que presenten los particulares a los sujetos obligados, de conformidad con lo dispuesto por las leyes o los tratados internacionales.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La información confidencial no estará sujeta a temporalidad alguna y sólo podrán tener acceso a ella los titulares de la misma, sus representantes y los servidores públicos facultados para ello.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rsidR="00692D5B" w:rsidRDefault="00692D5B">
      <w:pPr>
        <w:spacing w:line="360" w:lineRule="auto"/>
        <w:ind w:left="850" w:right="-734"/>
        <w:jc w:val="both"/>
        <w:rPr>
          <w:rFonts w:ascii="Palatino Linotype" w:eastAsia="Palatino Linotype" w:hAnsi="Palatino Linotype" w:cs="Palatino Linotype"/>
          <w:i/>
          <w:iCs/>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desclasificarán y generarán, en su caso, versiones públicas de expedientes o documentos que contengan partes o secciones clasificadas.</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Asimismo, se destaca que la versión pública que elabore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el que se expongan los fundamentos y razonamientos que le llevaron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w:t>
      </w:r>
    </w:p>
    <w:p w:rsidR="00692D5B" w:rsidRDefault="00692D5B">
      <w:pPr>
        <w:pBdr>
          <w:top w:val="nil"/>
          <w:left w:val="nil"/>
          <w:bottom w:val="nil"/>
          <w:right w:val="nil"/>
          <w:between w:val="nil"/>
        </w:pBdr>
        <w:ind w:left="720" w:right="-734"/>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692D5B" w:rsidRDefault="00391B1E">
      <w:pPr>
        <w:spacing w:line="360" w:lineRule="auto"/>
        <w:ind w:left="850" w:right="-734"/>
        <w:jc w:val="center"/>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Ley de Transparencia y Acceso a la Información Pública del Estado de México y Municipios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49.</w:t>
      </w:r>
      <w:r>
        <w:rPr>
          <w:rFonts w:ascii="Palatino Linotype" w:eastAsia="Palatino Linotype" w:hAnsi="Palatino Linotype" w:cs="Palatino Linotype"/>
          <w:i/>
          <w:iCs/>
        </w:rPr>
        <w:t xml:space="preserve"> Los Comités de Transparencia tendrán las siguientes atribuciones: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w:t>
      </w:r>
      <w:r>
        <w:rPr>
          <w:rFonts w:ascii="Palatino Linotype" w:eastAsia="Palatino Linotype" w:hAnsi="Palatino Linotype" w:cs="Palatino Linotype"/>
          <w:i/>
          <w:iCs/>
        </w:rPr>
        <w:t>. Aprobar, modificar o revocar la clasificación de la información;</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132.</w:t>
      </w:r>
      <w:r>
        <w:rPr>
          <w:rFonts w:ascii="Palatino Linotype" w:eastAsia="Palatino Linotype" w:hAnsi="Palatino Linotype" w:cs="Palatino Linotype"/>
          <w:i/>
          <w:iCs/>
        </w:rPr>
        <w:t xml:space="preserve"> La clasificación de la información se llevará a cabo en el momento en que:</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reciba una solicitud de acceso a la información;</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Se determine mediante resolución de autoridad competente; 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Se generen versiones públicas para dar cumplimiento a las obligaciones de transparencia previstas en esta Ley.”</w:t>
      </w:r>
    </w:p>
    <w:p w:rsidR="00692D5B" w:rsidRDefault="00391B1E">
      <w:pPr>
        <w:spacing w:line="360" w:lineRule="auto"/>
        <w:ind w:left="850" w:right="-734"/>
        <w:jc w:val="center"/>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Lineamientos Generales en materia de Clasificación y Desclasificación de la Información, así como para la elaboración de Versiones Públicas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Segundo.-</w:t>
      </w:r>
      <w:r>
        <w:rPr>
          <w:rFonts w:ascii="Palatino Linotype" w:eastAsia="Palatino Linotype" w:hAnsi="Palatino Linotype" w:cs="Palatino Linotype"/>
          <w:i/>
          <w:iCs/>
        </w:rPr>
        <w:t xml:space="preserve"> Para efectos de los presentes Lineamientos Generales, se entenderá por:</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XVIII.</w:t>
      </w:r>
      <w:r>
        <w:rPr>
          <w:rFonts w:ascii="Palatino Linotype" w:eastAsia="Palatino Linotype" w:hAnsi="Palatino Linotype" w:cs="Palatino Linotype"/>
          <w:i/>
          <w:iCs/>
        </w:rPr>
        <w:t xml:space="preserve">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Cuarto.</w:t>
      </w:r>
      <w:r>
        <w:rPr>
          <w:rFonts w:ascii="Palatino Linotype" w:eastAsia="Palatino Linotype" w:hAnsi="Palatino Linotype" w:cs="Palatino Linotype"/>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deberán aplicar, de manera estricta, las excepciones al derecho de acceso a la información y sólo podrán invocarlas cuando acrediten su procedencia.</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Quinto.</w:t>
      </w:r>
      <w:r>
        <w:rPr>
          <w:rFonts w:ascii="Palatino Linotype" w:eastAsia="Palatino Linotype" w:hAnsi="Palatino Linotype" w:cs="Palatino Linotype"/>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Séptimo</w:t>
      </w:r>
      <w:r>
        <w:rPr>
          <w:rFonts w:ascii="Palatino Linotype" w:eastAsia="Palatino Linotype" w:hAnsi="Palatino Linotype" w:cs="Palatino Linotype"/>
          <w:i/>
          <w:iCs/>
        </w:rPr>
        <w:t>. La clasificaci6n de la informaci6n se llevara a cabo en el momento en que:</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reciba una solicitud de acceso a la información;</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Se determine mediante resolución del Comité de Transparencia, el Órgano Garante competente, o en cumplimiento a una sentencia del Poder Judicial; </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Se generen versiones públicas para dar cumplimiento a las obligaciones de transparencia previstas en la Ley General, la Ley Federal y las correspondientes de las entidades federativas.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titulares de las áreas deberán revisar la informaci6n requerida al momento de la recepci6n de una solicitud de acceso, para verificar, conforme a su naturaleza, si encuadra en una causal de reserva o de confidencialidad </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 </w:t>
      </w:r>
      <w:r>
        <w:rPr>
          <w:rFonts w:ascii="Palatino Linotype" w:eastAsia="Palatino Linotype" w:hAnsi="Palatino Linotype" w:cs="Palatino Linotype"/>
          <w:b/>
          <w:bCs/>
          <w:i/>
          <w:iCs/>
        </w:rPr>
        <w:t>Octavo.</w:t>
      </w:r>
      <w:r>
        <w:rPr>
          <w:rFonts w:ascii="Palatino Linotype" w:eastAsia="Palatino Linotype" w:hAnsi="Palatino Linotype" w:cs="Palatino Linotype"/>
          <w:i/>
          <w:iCs/>
        </w:rPr>
        <w:t xml:space="preserve"> Para fundar la clasificaci6n de la información se debe señalar el artículo, fracci6n, inciso, párrafo o numeral de la ley o tratado internacional suscrito por el Estado mexicano que expresamente le otorga el carácter de reservada o confidencial.</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Para motivar la clasificaci6n se deberán señalar las razones o circunstancias especiales que lo llevaron a concluir que el caso particular se ajusta al supuesto previsto por la norma legal invocada como fundamento.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En caso de referirse a informaci6n reservada, la motivaci6n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Noveno.</w:t>
      </w:r>
      <w:r>
        <w:rPr>
          <w:rFonts w:ascii="Palatino Linotype" w:eastAsia="Palatino Linotype" w:hAnsi="Palatino Linotype" w:cs="Palatino Linotype"/>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Decimo.</w:t>
      </w:r>
      <w:r>
        <w:rPr>
          <w:rFonts w:ascii="Palatino Linotype" w:eastAsia="Palatino Linotype" w:hAnsi="Palatino Linotype" w:cs="Palatino Linotype"/>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ausencia de los titulares de las áreas, la información será clasificada o desclasificada por la persona que lo supla, en términos de la normativa que rija la actuación del sujeto obligado.</w:t>
      </w:r>
    </w:p>
    <w:p w:rsidR="00692D5B" w:rsidRDefault="00391B1E">
      <w:pPr>
        <w:spacing w:line="360" w:lineRule="auto"/>
        <w:ind w:left="850"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Décimo primero.</w:t>
      </w:r>
      <w:r>
        <w:rPr>
          <w:rFonts w:ascii="Palatino Linotype" w:eastAsia="Palatino Linotype" w:hAnsi="Palatino Linotype" w:cs="Palatino Linotype"/>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692D5B" w:rsidRDefault="00692D5B">
      <w:pPr>
        <w:spacing w:line="360" w:lineRule="auto"/>
        <w:ind w:left="850" w:right="-734"/>
        <w:jc w:val="both"/>
        <w:rPr>
          <w:rFonts w:ascii="Palatino Linotype" w:eastAsia="Palatino Linotype" w:hAnsi="Palatino Linotype" w:cs="Palatino Linotype"/>
          <w:i/>
          <w:iCs/>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Por lo tanto, es importante referir que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deberá seguir el procedimiento legal establecido para su clasificación, esto es, que su Comité de Transparencia emita un Acuerdo de Clasificación que cumpla con las formalidades previstas, antes citadas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692D5B" w:rsidRDefault="00692D5B">
      <w:pPr>
        <w:pBdr>
          <w:top w:val="nil"/>
          <w:left w:val="nil"/>
          <w:bottom w:val="nil"/>
          <w:right w:val="nil"/>
          <w:between w:val="nil"/>
        </w:pBdr>
        <w:spacing w:line="360" w:lineRule="auto"/>
        <w:ind w:left="643" w:right="-734"/>
        <w:jc w:val="both"/>
        <w:rPr>
          <w:rFonts w:ascii="Palatino Linotype" w:eastAsia="Palatino Linotype" w:hAnsi="Palatino Linotype" w:cs="Palatino Linotype"/>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t>Por lo tanto, la</w:t>
      </w:r>
      <w:r>
        <w:rPr>
          <w:rFonts w:ascii="Palatino Linotype" w:eastAsia="Palatino Linotype" w:hAnsi="Palatino Linotype" w:cs="Palatino Linotype"/>
          <w:b/>
          <w:bCs/>
          <w:color w:val="000000"/>
        </w:rPr>
        <w:t xml:space="preserve"> entrega de documentos en su versión pública debe acompañarse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w:t>
      </w:r>
      <w:r>
        <w:rPr>
          <w:rFonts w:ascii="Palatino Linotype" w:eastAsia="Palatino Linotype" w:hAnsi="Palatino Linotype" w:cs="Palatino Linotype"/>
          <w:color w:val="000000"/>
        </w:rPr>
        <w:t>fundamentos</w:t>
      </w:r>
      <w:r>
        <w:rPr>
          <w:rFonts w:ascii="Palatino Linotype" w:eastAsia="Palatino Linotype" w:hAnsi="Palatino Linotype" w:cs="Palatino Linotype"/>
          <w:b/>
          <w:bCs/>
          <w:color w:val="000000"/>
        </w:rPr>
        <w:t xml:space="preserve"> y razonamientos que llevaron al Sujeto Obligado a testar, suprimir o eliminar datos de 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color w:val="000000"/>
        </w:rPr>
        <w:lastRenderedPageBreak/>
        <w:t xml:space="preserve">Los </w:t>
      </w:r>
      <w:r>
        <w:rPr>
          <w:rFonts w:ascii="Palatino Linotype" w:eastAsia="Palatino Linotype" w:hAnsi="Palatino Linotype" w:cs="Palatino Linotype"/>
        </w:rPr>
        <w:t>sujetos</w:t>
      </w:r>
      <w:r>
        <w:rPr>
          <w:rFonts w:ascii="Palatino Linotype" w:eastAsia="Palatino Linotype" w:hAnsi="Palatino Linotype" w:cs="Palatino Linotype"/>
          <w:color w:val="000000"/>
        </w:rPr>
        <w:t xml:space="preserve">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w:t>
      </w:r>
      <w:r>
        <w:rPr>
          <w:rFonts w:ascii="Palatino Linotype" w:eastAsia="Palatino Linotype" w:hAnsi="Palatino Linotype" w:cs="Palatino Linotype"/>
        </w:rPr>
        <w:t>posesión</w:t>
      </w:r>
      <w:r>
        <w:rPr>
          <w:rFonts w:ascii="Palatino Linotype" w:eastAsia="Palatino Linotype" w:hAnsi="Palatino Linotype" w:cs="Palatino Linotype"/>
          <w:color w:val="000000"/>
        </w:rPr>
        <w:t xml:space="preserve"> y que, en </w:t>
      </w:r>
      <w:r>
        <w:rPr>
          <w:rFonts w:ascii="Palatino Linotype" w:eastAsia="Palatino Linotype" w:hAnsi="Palatino Linotype" w:cs="Palatino Linotype"/>
        </w:rPr>
        <w:t>caso</w:t>
      </w:r>
      <w:r>
        <w:rPr>
          <w:rFonts w:ascii="Palatino Linotype" w:eastAsia="Palatino Linotype" w:hAnsi="Palatino Linotype" w:cs="Palatino Linotype"/>
          <w:color w:val="000000"/>
        </w:rPr>
        <w:t xml:space="preserve"> de localizarse datos concernientes a terceros, éstos no podrán difundir, </w:t>
      </w:r>
      <w:r>
        <w:rPr>
          <w:rFonts w:ascii="Palatino Linotype" w:eastAsia="Palatino Linotype" w:hAnsi="Palatino Linotype" w:cs="Palatino Linotype"/>
        </w:rPr>
        <w:t>distribuir</w:t>
      </w:r>
      <w:r>
        <w:rPr>
          <w:rFonts w:ascii="Palatino Linotype" w:eastAsia="Palatino Linotype" w:hAnsi="Palatino Linotype" w:cs="Palatino Linotype"/>
          <w:color w:val="000000"/>
        </w:rPr>
        <w:t xml:space="preserve"> o comercializar los datos personales.  Cabe destacar que, para la realización de la clasificación de la información, se deben seguir una serie de pasos y procedimientos, por lo que es menester reiterar los mismos:</w:t>
      </w:r>
    </w:p>
    <w:tbl>
      <w:tblPr>
        <w:tblStyle w:val="a"/>
        <w:tblW w:w="96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495"/>
        <w:gridCol w:w="6120"/>
      </w:tblGrid>
      <w:tr w:rsidR="00692D5B">
        <w:tc>
          <w:tcPr>
            <w:tcW w:w="3495"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120"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692D5B" w:rsidRDefault="00692D5B">
            <w:pPr>
              <w:tabs>
                <w:tab w:val="left" w:pos="284"/>
              </w:tabs>
              <w:ind w:right="15"/>
              <w:jc w:val="both"/>
              <w:rPr>
                <w:rFonts w:ascii="Palatino Linotype" w:eastAsia="Palatino Linotype" w:hAnsi="Palatino Linotype" w:cs="Palatino Linotype"/>
              </w:rPr>
            </w:pPr>
          </w:p>
        </w:tc>
      </w:tr>
      <w:tr w:rsidR="00692D5B">
        <w:tc>
          <w:tcPr>
            <w:tcW w:w="3495"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120"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692D5B" w:rsidRDefault="00692D5B">
            <w:pPr>
              <w:tabs>
                <w:tab w:val="left" w:pos="284"/>
              </w:tabs>
              <w:ind w:right="15"/>
              <w:jc w:val="both"/>
              <w:rPr>
                <w:rFonts w:ascii="Palatino Linotype" w:eastAsia="Palatino Linotype" w:hAnsi="Palatino Linotype" w:cs="Palatino Linotype"/>
              </w:rPr>
            </w:pPr>
          </w:p>
        </w:tc>
      </w:tr>
      <w:tr w:rsidR="00692D5B">
        <w:tc>
          <w:tcPr>
            <w:tcW w:w="3495"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120"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w:t>
            </w:r>
            <w:r>
              <w:rPr>
                <w:rFonts w:ascii="Palatino Linotype" w:eastAsia="Palatino Linotype" w:hAnsi="Palatino Linotype" w:cs="Palatino Linotype"/>
                <w:color w:val="000000"/>
              </w:rPr>
              <w:lastRenderedPageBreak/>
              <w:t>son sujetas a control, en primera instancia, por el Comité de Transparencia.</w:t>
            </w:r>
          </w:p>
          <w:p w:rsidR="00692D5B" w:rsidRDefault="00692D5B">
            <w:pPr>
              <w:tabs>
                <w:tab w:val="left" w:pos="284"/>
              </w:tabs>
              <w:ind w:right="15"/>
              <w:jc w:val="both"/>
              <w:rPr>
                <w:rFonts w:ascii="Palatino Linotype" w:eastAsia="Palatino Linotype" w:hAnsi="Palatino Linotype" w:cs="Palatino Linotype"/>
              </w:rPr>
            </w:pPr>
          </w:p>
        </w:tc>
      </w:tr>
      <w:tr w:rsidR="00692D5B">
        <w:tc>
          <w:tcPr>
            <w:tcW w:w="3495" w:type="dxa"/>
            <w:tcBorders>
              <w:top w:val="single" w:sz="4" w:space="0" w:color="BFBFBF"/>
              <w:left w:val="single" w:sz="4" w:space="0" w:color="BFBFBF"/>
              <w:bottom w:val="single" w:sz="4" w:space="0" w:color="BFBFBF"/>
              <w:right w:val="single" w:sz="4" w:space="0" w:color="BFBFBF"/>
            </w:tcBorders>
          </w:tcPr>
          <w:p w:rsidR="00692D5B" w:rsidRDefault="00692D5B">
            <w:pPr>
              <w:tabs>
                <w:tab w:val="left" w:pos="284"/>
              </w:tabs>
              <w:ind w:right="15"/>
              <w:rPr>
                <w:rFonts w:ascii="Palatino Linotype" w:eastAsia="Palatino Linotype" w:hAnsi="Palatino Linotype" w:cs="Palatino Linotype"/>
              </w:rPr>
            </w:pPr>
          </w:p>
          <w:p w:rsidR="00692D5B" w:rsidRDefault="00391B1E">
            <w:pPr>
              <w:tabs>
                <w:tab w:val="left" w:pos="284"/>
              </w:tabs>
              <w:ind w:right="15"/>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120"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692D5B" w:rsidRDefault="00692D5B">
            <w:pPr>
              <w:tabs>
                <w:tab w:val="left" w:pos="284"/>
              </w:tabs>
              <w:ind w:right="15"/>
              <w:jc w:val="both"/>
              <w:rPr>
                <w:rFonts w:ascii="Palatino Linotype" w:eastAsia="Palatino Linotype" w:hAnsi="Palatino Linotype" w:cs="Palatino Linotype"/>
                <w:color w:val="000000"/>
              </w:rPr>
            </w:pPr>
          </w:p>
        </w:tc>
      </w:tr>
      <w:tr w:rsidR="00692D5B">
        <w:tc>
          <w:tcPr>
            <w:tcW w:w="3495"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120" w:type="dxa"/>
            <w:tcBorders>
              <w:top w:val="single" w:sz="4" w:space="0" w:color="BFBFBF"/>
              <w:left w:val="single" w:sz="4" w:space="0" w:color="BFBFBF"/>
              <w:bottom w:val="single" w:sz="4" w:space="0" w:color="BFBFBF"/>
              <w:right w:val="single" w:sz="4" w:space="0" w:color="BFBFBF"/>
            </w:tcBorders>
          </w:tcPr>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692D5B" w:rsidRDefault="00391B1E">
            <w:pPr>
              <w:tabs>
                <w:tab w:val="left" w:pos="284"/>
              </w:tabs>
              <w:ind w:right="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92D5B" w:rsidRDefault="00391B1E">
            <w:pPr>
              <w:tabs>
                <w:tab w:val="left" w:pos="284"/>
              </w:tabs>
              <w:ind w:right="15"/>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692D5B" w:rsidRDefault="00692D5B">
            <w:pPr>
              <w:tabs>
                <w:tab w:val="left" w:pos="284"/>
              </w:tabs>
              <w:ind w:right="15"/>
              <w:rPr>
                <w:rFonts w:ascii="Palatino Linotype" w:eastAsia="Palatino Linotype" w:hAnsi="Palatino Linotype" w:cs="Palatino Linotype"/>
              </w:rPr>
            </w:pPr>
          </w:p>
        </w:tc>
      </w:tr>
    </w:tbl>
    <w:p w:rsidR="00692D5B" w:rsidRDefault="00692D5B">
      <w:pPr>
        <w:tabs>
          <w:tab w:val="left" w:pos="284"/>
        </w:tabs>
        <w:spacing w:line="360" w:lineRule="auto"/>
        <w:ind w:right="-734"/>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r>
        <w:rPr>
          <w:rFonts w:ascii="Palatino Linotype" w:eastAsia="Palatino Linotype" w:hAnsi="Palatino Linotype" w:cs="Palatino Linotype"/>
        </w:rPr>
        <w:t xml:space="preserve">Si el </w:t>
      </w:r>
      <w:r>
        <w:rPr>
          <w:rFonts w:ascii="Palatino Linotype" w:eastAsia="Palatino Linotype" w:hAnsi="Palatino Linotype" w:cs="Palatino Linotype"/>
          <w:color w:val="000000"/>
        </w:rPr>
        <w:t>servidor</w:t>
      </w:r>
      <w:r>
        <w:rPr>
          <w:rFonts w:ascii="Palatino Linotype" w:eastAsia="Palatino Linotype" w:hAnsi="Palatino Linotype" w:cs="Palatino Linotype"/>
        </w:rPr>
        <w:t xml:space="preserve"> público incumple con estas formalidades y entrega la información </w:t>
      </w:r>
      <w:r>
        <w:rPr>
          <w:rFonts w:ascii="Palatino Linotype" w:eastAsia="Palatino Linotype" w:hAnsi="Palatino Linotype" w:cs="Palatino Linotype"/>
          <w:color w:val="000000"/>
        </w:rPr>
        <w:t>sin</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proteger</w:t>
      </w:r>
      <w:r>
        <w:rPr>
          <w:rFonts w:ascii="Palatino Linotype" w:eastAsia="Palatino Linotype" w:hAnsi="Palatino Linotype" w:cs="Palatino Linotype"/>
        </w:rPr>
        <w:t xml:space="preserve"> los datos personales incumple con lo que estipula las </w:t>
      </w:r>
      <w:r>
        <w:rPr>
          <w:rFonts w:ascii="Palatino Linotype" w:eastAsia="Palatino Linotype" w:hAnsi="Palatino Linotype" w:cs="Palatino Linotype"/>
          <w:color w:val="000000"/>
        </w:rPr>
        <w:t>disposiciones</w:t>
      </w:r>
      <w:r>
        <w:rPr>
          <w:rFonts w:ascii="Palatino Linotype" w:eastAsia="Palatino Linotype" w:hAnsi="Palatino Linotype" w:cs="Palatino Linotype"/>
        </w:rPr>
        <w:t xml:space="preserve"> legales </w:t>
      </w:r>
      <w:r>
        <w:rPr>
          <w:rFonts w:ascii="Palatino Linotype" w:eastAsia="Palatino Linotype" w:hAnsi="Palatino Linotype" w:cs="Palatino Linotype"/>
          <w:color w:val="000000"/>
        </w:rPr>
        <w:lastRenderedPageBreak/>
        <w:t>establecidas</w:t>
      </w:r>
      <w:r>
        <w:rPr>
          <w:rFonts w:ascii="Palatino Linotype" w:eastAsia="Palatino Linotype" w:hAnsi="Palatino Linotype" w:cs="Palatino Linotype"/>
        </w:rPr>
        <w:t>, asimismo que si entrega un documento testado sin el debido acuerdo de clasificación.</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692D5B" w:rsidRDefault="00391B1E">
      <w:pPr>
        <w:numPr>
          <w:ilvl w:val="0"/>
          <w:numId w:val="4"/>
        </w:numPr>
        <w:pBdr>
          <w:top w:val="nil"/>
          <w:left w:val="nil"/>
          <w:bottom w:val="nil"/>
          <w:right w:val="nil"/>
          <w:between w:val="nil"/>
        </w:pBdr>
        <w:spacing w:line="360" w:lineRule="auto"/>
        <w:ind w:left="0" w:right="-734" w:firstLine="0"/>
        <w:jc w:val="both"/>
        <w:rPr>
          <w:color w:val="000000"/>
        </w:rPr>
      </w:pPr>
      <w:bookmarkStart w:id="7" w:name="_heading=h.4d34og8" w:colFirst="0" w:colLast="0"/>
      <w:bookmarkEnd w:id="7"/>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 </w:t>
      </w:r>
    </w:p>
    <w:p w:rsidR="00692D5B" w:rsidRDefault="00391B1E">
      <w:pPr>
        <w:pStyle w:val="Ttulo1"/>
        <w:spacing w:before="0" w:line="360" w:lineRule="auto"/>
        <w:ind w:right="-734"/>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692D5B" w:rsidRDefault="00692D5B">
      <w:pPr>
        <w:spacing w:line="360" w:lineRule="auto"/>
        <w:ind w:right="-734"/>
        <w:jc w:val="both"/>
        <w:rPr>
          <w:rFonts w:ascii="Palatino Linotype" w:eastAsia="Palatino Linotype" w:hAnsi="Palatino Linotype" w:cs="Palatino Linotype"/>
          <w:b/>
          <w:bCs/>
        </w:rPr>
      </w:pPr>
    </w:p>
    <w:p w:rsidR="00692D5B" w:rsidRDefault="00391B1E">
      <w:pPr>
        <w:spacing w:line="360" w:lineRule="auto"/>
        <w:ind w:right="-734"/>
        <w:jc w:val="both"/>
        <w:rPr>
          <w:rFonts w:ascii="Palatino Linotype" w:eastAsia="Palatino Linotype" w:hAnsi="Palatino Linotype" w:cs="Palatino Linotype"/>
        </w:rPr>
      </w:pPr>
      <w:bookmarkStart w:id="8" w:name="_heading=h.30j0zll" w:colFirst="0" w:colLast="0"/>
      <w:bookmarkEnd w:id="8"/>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13103/INFOEM/IP/RR/2025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en términos de los</w:t>
      </w:r>
      <w:r>
        <w:rPr>
          <w:rFonts w:ascii="Palatino Linotype" w:eastAsia="Palatino Linotype" w:hAnsi="Palatino Linotype" w:cs="Palatino Linotype"/>
          <w:b/>
          <w:bCs/>
        </w:rPr>
        <w:t xml:space="preserve"> 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la respuesta emitida por e</w:t>
      </w:r>
      <w:r>
        <w:rPr>
          <w:rFonts w:ascii="Palatino Linotype" w:eastAsia="Palatino Linotype" w:hAnsi="Palatino Linotype" w:cs="Palatino Linotype"/>
        </w:rPr>
        <w:t xml:space="preserve">l </w:t>
      </w:r>
      <w:r>
        <w:rPr>
          <w:rFonts w:ascii="Palatino Linotype" w:eastAsia="Palatino Linotype" w:hAnsi="Palatino Linotype" w:cs="Palatino Linotype"/>
          <w:b/>
          <w:bCs/>
        </w:rPr>
        <w:t>Ayuntamiento de Acambay de Ruíz Castañeda</w:t>
      </w:r>
      <w:r>
        <w:rPr>
          <w:rFonts w:ascii="Palatino Linotype" w:eastAsia="Palatino Linotype" w:hAnsi="Palatino Linotype" w:cs="Palatino Linotype"/>
        </w:rPr>
        <w:t xml:space="preserve"> y se </w:t>
      </w:r>
      <w:r>
        <w:rPr>
          <w:rFonts w:ascii="Palatino Linotype" w:eastAsia="Palatino Linotype" w:hAnsi="Palatino Linotype" w:cs="Palatino Linotype"/>
          <w:b/>
          <w:bCs/>
        </w:rPr>
        <w:t xml:space="preserve">ORDENA </w:t>
      </w:r>
      <w:r>
        <w:rPr>
          <w:rFonts w:ascii="Palatino Linotype" w:eastAsia="Palatino Linotype" w:hAnsi="Palatino Linotype" w:cs="Palatino Linotype"/>
        </w:rPr>
        <w:t xml:space="preserve">entregar vía Sistema de Accesos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versión pública, la siguiente información, en formato </w:t>
      </w:r>
      <w:r>
        <w:rPr>
          <w:rFonts w:ascii="Palatino Linotype" w:eastAsia="Palatino Linotype" w:hAnsi="Palatino Linotype" w:cs="Palatino Linotype"/>
          <w:i/>
          <w:iCs/>
        </w:rPr>
        <w:t>xls</w:t>
      </w:r>
      <w:r>
        <w:rPr>
          <w:rFonts w:ascii="Palatino Linotype" w:eastAsia="Palatino Linotype" w:hAnsi="Palatino Linotype" w:cs="Palatino Linotype"/>
        </w:rPr>
        <w:t xml:space="preserve">, </w:t>
      </w:r>
      <w:r>
        <w:rPr>
          <w:rFonts w:ascii="Palatino Linotype" w:eastAsia="Palatino Linotype" w:hAnsi="Palatino Linotype" w:cs="Palatino Linotype"/>
          <w:i/>
          <w:iCs/>
        </w:rPr>
        <w:t>cvs</w:t>
      </w:r>
      <w:r>
        <w:rPr>
          <w:rFonts w:ascii="Palatino Linotype" w:eastAsia="Palatino Linotype" w:hAnsi="Palatino Linotype" w:cs="Palatino Linotype"/>
        </w:rPr>
        <w:t xml:space="preserve"> o, en el que se haya generado, </w:t>
      </w:r>
      <w:r>
        <w:rPr>
          <w:rFonts w:ascii="Palatino Linotype" w:eastAsia="Palatino Linotype" w:hAnsi="Palatino Linotype" w:cs="Palatino Linotype"/>
          <w:b/>
          <w:bCs/>
          <w:color w:val="222222"/>
          <w:highlight w:val="white"/>
        </w:rPr>
        <w:t xml:space="preserve">del </w:t>
      </w:r>
      <w:r>
        <w:rPr>
          <w:rFonts w:ascii="Palatino Linotype" w:eastAsia="Palatino Linotype" w:hAnsi="Palatino Linotype" w:cs="Palatino Linotype"/>
          <w:b/>
          <w:bCs/>
        </w:rPr>
        <w:t>uno al diecisiete de enero de 2025</w:t>
      </w:r>
      <w:r>
        <w:rPr>
          <w:rFonts w:ascii="Palatino Linotype" w:eastAsia="Palatino Linotype" w:hAnsi="Palatino Linotype" w:cs="Palatino Linotype"/>
        </w:rPr>
        <w:t xml:space="preserve"> y </w:t>
      </w:r>
      <w:r>
        <w:rPr>
          <w:rFonts w:ascii="Palatino Linotype" w:eastAsia="Palatino Linotype" w:hAnsi="Palatino Linotype" w:cs="Palatino Linotype"/>
          <w:b/>
          <w:bCs/>
        </w:rPr>
        <w:t>del uno de julio al ocho de octubre de 2025</w:t>
      </w:r>
      <w:r>
        <w:rPr>
          <w:rFonts w:ascii="Palatino Linotype" w:eastAsia="Palatino Linotype" w:hAnsi="Palatino Linotype" w:cs="Palatino Linotype"/>
        </w:rPr>
        <w:t>:</w:t>
      </w:r>
    </w:p>
    <w:p w:rsidR="00692D5B" w:rsidRDefault="00692D5B">
      <w:pPr>
        <w:spacing w:line="360" w:lineRule="auto"/>
        <w:ind w:right="-734"/>
        <w:jc w:val="both"/>
        <w:rPr>
          <w:rFonts w:ascii="Palatino Linotype" w:eastAsia="Palatino Linotype" w:hAnsi="Palatino Linotype" w:cs="Palatino Linotype"/>
        </w:rPr>
      </w:pPr>
    </w:p>
    <w:p w:rsidR="00692D5B" w:rsidRDefault="00391B1E">
      <w:pPr>
        <w:numPr>
          <w:ilvl w:val="0"/>
          <w:numId w:val="3"/>
        </w:numPr>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El o los documentos donde conste la incidencia delictiva, al mayor grado de desagregación posible; </w:t>
      </w:r>
    </w:p>
    <w:p w:rsidR="00692D5B" w:rsidRDefault="00692D5B">
      <w:pPr>
        <w:ind w:left="720" w:right="-734"/>
        <w:jc w:val="both"/>
        <w:rPr>
          <w:rFonts w:ascii="Palatino Linotype" w:eastAsia="Palatino Linotype" w:hAnsi="Palatino Linotype" w:cs="Palatino Linotype"/>
          <w:b/>
          <w:bCs/>
        </w:rPr>
      </w:pPr>
    </w:p>
    <w:p w:rsidR="00692D5B" w:rsidRDefault="00391B1E">
      <w:pPr>
        <w:numPr>
          <w:ilvl w:val="0"/>
          <w:numId w:val="3"/>
        </w:numPr>
        <w:ind w:right="-734"/>
        <w:jc w:val="both"/>
        <w:rPr>
          <w:rFonts w:ascii="Palatino Linotype" w:eastAsia="Palatino Linotype" w:hAnsi="Palatino Linotype" w:cs="Palatino Linotype"/>
          <w:b/>
          <w:bCs/>
        </w:rPr>
      </w:pPr>
      <w:r>
        <w:rPr>
          <w:rFonts w:ascii="Palatino Linotype" w:eastAsia="Palatino Linotype" w:hAnsi="Palatino Linotype" w:cs="Palatino Linotype"/>
          <w:b/>
          <w:bCs/>
        </w:rPr>
        <w:t>El o los documentos donde conste la incidencia por faltas administrativas, al mayor grado de desagregación posible; y</w:t>
      </w:r>
    </w:p>
    <w:p w:rsidR="00692D5B" w:rsidRDefault="00692D5B">
      <w:pPr>
        <w:pBdr>
          <w:top w:val="nil"/>
          <w:left w:val="nil"/>
          <w:bottom w:val="nil"/>
          <w:right w:val="nil"/>
          <w:between w:val="nil"/>
        </w:pBdr>
        <w:spacing w:line="360" w:lineRule="auto"/>
        <w:ind w:left="720" w:right="-734"/>
        <w:jc w:val="both"/>
        <w:rPr>
          <w:rFonts w:ascii="Palatino Linotype" w:eastAsia="Palatino Linotype" w:hAnsi="Palatino Linotype" w:cs="Palatino Linotype"/>
          <w:b/>
          <w:bCs/>
          <w:color w:val="000000"/>
        </w:rPr>
      </w:pPr>
    </w:p>
    <w:p w:rsidR="00692D5B" w:rsidRDefault="00391B1E">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El Acuerdo del Comité de Transparencia en el que de manera fundada y motivada se </w:t>
      </w:r>
      <w:r>
        <w:rPr>
          <w:rFonts w:ascii="Palatino Linotype" w:eastAsia="Palatino Linotype" w:hAnsi="Palatino Linotype" w:cs="Palatino Linotype"/>
          <w:b/>
          <w:bCs/>
        </w:rPr>
        <w:t>clasifican</w:t>
      </w:r>
      <w:r>
        <w:rPr>
          <w:rFonts w:ascii="Palatino Linotype" w:eastAsia="Palatino Linotype" w:hAnsi="Palatino Linotype" w:cs="Palatino Linotype"/>
          <w:b/>
          <w:bCs/>
          <w:color w:val="000000"/>
        </w:rPr>
        <w:t xml:space="preserve"> como confidenciales los domicilios o coordenadas geográficas de los </w:t>
      </w:r>
      <w:r>
        <w:rPr>
          <w:rFonts w:ascii="Palatino Linotype" w:eastAsia="Palatino Linotype" w:hAnsi="Palatino Linotype" w:cs="Palatino Linotype"/>
          <w:b/>
          <w:bCs/>
          <w:color w:val="222222"/>
          <w:highlight w:val="white"/>
        </w:rPr>
        <w:t>hechos presuntamente constitutivos de delitos y/o faltas administrativas, o situaciones reportadas, cualquiera que estas sea</w:t>
      </w:r>
      <w:r>
        <w:rPr>
          <w:rFonts w:ascii="Palatino Linotype" w:eastAsia="Palatino Linotype" w:hAnsi="Palatino Linotype" w:cs="Palatino Linotype"/>
          <w:b/>
          <w:bCs/>
          <w:color w:val="222222"/>
        </w:rPr>
        <w:t>n,</w:t>
      </w:r>
      <w:r>
        <w:rPr>
          <w:rFonts w:ascii="Palatino Linotype" w:eastAsia="Palatino Linotype" w:hAnsi="Palatino Linotype" w:cs="Palatino Linotype"/>
          <w:b/>
          <w:bCs/>
          <w:color w:val="000000"/>
        </w:rPr>
        <w:t xml:space="preserve"> del 01 de enero al 08 de octubre de 2025.</w:t>
      </w:r>
    </w:p>
    <w:p w:rsidR="00692D5B" w:rsidRDefault="00692D5B">
      <w:pPr>
        <w:tabs>
          <w:tab w:val="left" w:pos="8080"/>
        </w:tabs>
        <w:spacing w:line="360" w:lineRule="auto"/>
        <w:ind w:right="-734"/>
        <w:jc w:val="both"/>
        <w:rPr>
          <w:rFonts w:ascii="Palatino Linotype" w:eastAsia="Palatino Linotype" w:hAnsi="Palatino Linotype" w:cs="Palatino Linotype"/>
          <w:highlight w:val="yellow"/>
        </w:rPr>
      </w:pPr>
    </w:p>
    <w:p w:rsidR="00692D5B" w:rsidRDefault="00391B1E">
      <w:pPr>
        <w:tabs>
          <w:tab w:val="left" w:pos="8080"/>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ordenado en los </w:t>
      </w:r>
      <w:r>
        <w:rPr>
          <w:rFonts w:ascii="Palatino Linotype" w:eastAsia="Palatino Linotype" w:hAnsi="Palatino Linotype" w:cs="Palatino Linotype"/>
          <w:b/>
          <w:bCs/>
        </w:rPr>
        <w:t xml:space="preserve">incisos a) </w:t>
      </w:r>
      <w:r>
        <w:rPr>
          <w:rFonts w:ascii="Palatino Linotype" w:eastAsia="Palatino Linotype" w:hAnsi="Palatino Linotype" w:cs="Palatino Linotype"/>
        </w:rPr>
        <w:t xml:space="preserve">y </w:t>
      </w:r>
      <w:r>
        <w:rPr>
          <w:rFonts w:ascii="Palatino Linotype" w:eastAsia="Palatino Linotype" w:hAnsi="Palatino Linotype" w:cs="Palatino Linotype"/>
          <w:b/>
          <w:bCs/>
        </w:rPr>
        <w:t>b)</w:t>
      </w:r>
      <w:r>
        <w:rPr>
          <w:rFonts w:ascii="Palatino Linotype" w:eastAsia="Palatino Linotype" w:hAnsi="Palatino Linotype" w:cs="Palatino Linotype"/>
        </w:rPr>
        <w:t xml:space="preserve">,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p>
    <w:p w:rsidR="00692D5B" w:rsidRDefault="00692D5B">
      <w:pPr>
        <w:tabs>
          <w:tab w:val="left" w:pos="8080"/>
        </w:tabs>
        <w:spacing w:line="360" w:lineRule="auto"/>
        <w:ind w:right="-734"/>
        <w:jc w:val="both"/>
        <w:rPr>
          <w:rFonts w:ascii="Palatino Linotype" w:eastAsia="Palatino Linotype" w:hAnsi="Palatino Linotype" w:cs="Palatino Linotype"/>
        </w:rPr>
      </w:pPr>
    </w:p>
    <w:p w:rsidR="00692D5B" w:rsidRDefault="00391B1E">
      <w:pPr>
        <w:tabs>
          <w:tab w:val="left" w:pos="8080"/>
        </w:tabs>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de que la información que se ordena entregar en el </w:t>
      </w:r>
      <w:r>
        <w:rPr>
          <w:rFonts w:ascii="Palatino Linotype" w:eastAsia="Palatino Linotype" w:hAnsi="Palatino Linotype" w:cs="Palatino Linotype"/>
          <w:b/>
          <w:bCs/>
          <w:color w:val="000000"/>
        </w:rPr>
        <w:t>inciso b)</w:t>
      </w:r>
      <w:r>
        <w:rPr>
          <w:rFonts w:ascii="Palatino Linotype" w:eastAsia="Palatino Linotype" w:hAnsi="Palatino Linotype" w:cs="Palatino Linotype"/>
          <w:color w:val="000000"/>
        </w:rPr>
        <w:t xml:space="preserve">, al no haber sido generada incidencia por faltas administrativas, bastará con que lo haga del conocimiento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 manera precisa y clara en términos del artículo 19 párrafo segundo de la Ley</w:t>
      </w:r>
      <w:r>
        <w:rPr>
          <w:rFonts w:ascii="Palatino Linotype" w:eastAsia="Palatino Linotype" w:hAnsi="Palatino Linotype" w:cs="Palatino Linotype"/>
        </w:rPr>
        <w:t xml:space="preserve"> de Transparencia y Acceso a la Información Pública del Estado de México y Municipios.</w:t>
      </w:r>
    </w:p>
    <w:p w:rsidR="00692D5B" w:rsidRDefault="00692D5B">
      <w:p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p>
    <w:p w:rsidR="00692D5B" w:rsidRDefault="00391B1E">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w:t>
      </w:r>
      <w:r>
        <w:rPr>
          <w:rFonts w:ascii="Palatino Linotype" w:eastAsia="Palatino Linotype" w:hAnsi="Palatino Linotype" w:cs="Palatino Linotype"/>
        </w:rPr>
        <w:lastRenderedPageBreak/>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92D5B" w:rsidRDefault="00391B1E">
      <w:pPr>
        <w:tabs>
          <w:tab w:val="left" w:pos="2756"/>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692D5B" w:rsidRDefault="00692D5B">
      <w:pPr>
        <w:tabs>
          <w:tab w:val="left" w:pos="2756"/>
        </w:tabs>
        <w:spacing w:line="360" w:lineRule="auto"/>
        <w:ind w:right="-734"/>
        <w:jc w:val="both"/>
        <w:rPr>
          <w:rFonts w:ascii="Palatino Linotype" w:eastAsia="Palatino Linotype" w:hAnsi="Palatino Linotype" w:cs="Palatino Linotype"/>
        </w:rPr>
      </w:pPr>
    </w:p>
    <w:p w:rsidR="00692D5B" w:rsidRDefault="00391B1E">
      <w:pPr>
        <w:tabs>
          <w:tab w:val="left" w:pos="8080"/>
        </w:tabs>
        <w:spacing w:line="360" w:lineRule="auto"/>
        <w:ind w:right="-734"/>
        <w:jc w:val="both"/>
        <w:rPr>
          <w:rFonts w:ascii="Palatino Linotype" w:eastAsia="Palatino Linotype" w:hAnsi="Palatino Linotype" w:cs="Palatino Linotype"/>
        </w:rPr>
      </w:pPr>
      <w:bookmarkStart w:id="9" w:name="_heading=h.1ksv4uv" w:colFirst="0" w:colLast="0"/>
      <w:bookmarkEnd w:id="9"/>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692D5B" w:rsidRDefault="00692D5B">
      <w:pPr>
        <w:tabs>
          <w:tab w:val="left" w:pos="8080"/>
        </w:tabs>
        <w:spacing w:line="360" w:lineRule="auto"/>
        <w:ind w:right="-734"/>
        <w:jc w:val="both"/>
        <w:rPr>
          <w:rFonts w:ascii="Palatino Linotype" w:eastAsia="Palatino Linotype" w:hAnsi="Palatino Linotype" w:cs="Palatino Linotype"/>
        </w:rPr>
      </w:pPr>
    </w:p>
    <w:p w:rsidR="00692D5B" w:rsidRDefault="00391B1E">
      <w:pPr>
        <w:shd w:val="clear" w:color="auto" w:fill="FFFFFF"/>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Se hace del conocimiento del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92D5B" w:rsidRDefault="00692D5B">
      <w:pPr>
        <w:shd w:val="clear" w:color="auto" w:fill="FFFFFF"/>
        <w:spacing w:line="360" w:lineRule="auto"/>
        <w:ind w:right="-734"/>
        <w:jc w:val="both"/>
        <w:rPr>
          <w:rFonts w:ascii="Palatino Linotype" w:eastAsia="Palatino Linotype" w:hAnsi="Palatino Linotype" w:cs="Palatino Linotype"/>
        </w:rPr>
      </w:pPr>
    </w:p>
    <w:p w:rsidR="00776F7A" w:rsidRPr="003E2295" w:rsidRDefault="00776F7A" w:rsidP="00776F7A">
      <w:pPr>
        <w:spacing w:before="240" w:after="240" w:line="360" w:lineRule="auto"/>
        <w:ind w:right="-737" w:firstLine="1"/>
        <w:jc w:val="both"/>
        <w:rPr>
          <w:rFonts w:ascii="Palatino Linotype" w:hAnsi="Palatino Linotype"/>
        </w:rPr>
      </w:pPr>
      <w:bookmarkStart w:id="10"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w:t>
      </w:r>
      <w:r w:rsidRPr="003E2295">
        <w:rPr>
          <w:rFonts w:ascii="Palatino Linotype" w:hAnsi="Palatino Linotype" w:cs="Palatino Linotype"/>
        </w:rPr>
        <w:lastRenderedPageBreak/>
        <w:t xml:space="preserve">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692D5B" w:rsidRDefault="00692D5B" w:rsidP="00776F7A">
      <w:pPr>
        <w:spacing w:line="360" w:lineRule="auto"/>
        <w:ind w:right="-737"/>
        <w:jc w:val="both"/>
        <w:rPr>
          <w:rFonts w:ascii="Palatino Linotype" w:eastAsia="Palatino Linotype" w:hAnsi="Palatino Linotype" w:cs="Palatino Linotype"/>
          <w:color w:val="222222"/>
        </w:rPr>
      </w:pPr>
    </w:p>
    <w:p w:rsidR="00692D5B" w:rsidRDefault="00692D5B" w:rsidP="00776F7A">
      <w:pPr>
        <w:spacing w:line="360" w:lineRule="auto"/>
        <w:ind w:right="-737"/>
        <w:jc w:val="both"/>
        <w:rPr>
          <w:rFonts w:ascii="Palatino Linotype" w:eastAsia="Palatino Linotype" w:hAnsi="Palatino Linotype" w:cs="Palatino Linotype"/>
          <w:color w:val="222222"/>
        </w:rPr>
      </w:pPr>
    </w:p>
    <w:p w:rsidR="00692D5B" w:rsidRDefault="00692D5B" w:rsidP="00776F7A">
      <w:pPr>
        <w:spacing w:line="360" w:lineRule="auto"/>
        <w:ind w:right="-737"/>
        <w:jc w:val="both"/>
        <w:rPr>
          <w:rFonts w:ascii="Palatino Linotype" w:eastAsia="Palatino Linotype" w:hAnsi="Palatino Linotype" w:cs="Palatino Linotype"/>
          <w:color w:val="222222"/>
        </w:rPr>
      </w:pPr>
    </w:p>
    <w:p w:rsidR="00692D5B" w:rsidRDefault="00692D5B" w:rsidP="00776F7A">
      <w:pPr>
        <w:spacing w:line="360" w:lineRule="auto"/>
        <w:ind w:right="-737"/>
        <w:jc w:val="both"/>
        <w:rPr>
          <w:rFonts w:ascii="Palatino Linotype" w:eastAsia="Palatino Linotype" w:hAnsi="Palatino Linotype" w:cs="Palatino Linotype"/>
          <w:color w:val="222222"/>
        </w:rPr>
      </w:pPr>
    </w:p>
    <w:p w:rsidR="00692D5B" w:rsidRDefault="00692D5B">
      <w:pPr>
        <w:spacing w:line="360" w:lineRule="auto"/>
        <w:ind w:right="-734"/>
        <w:jc w:val="both"/>
        <w:rPr>
          <w:rFonts w:ascii="Palatino Linotype" w:eastAsia="Palatino Linotype" w:hAnsi="Palatino Linotype" w:cs="Palatino Linotype"/>
          <w:color w:val="222222"/>
        </w:rPr>
      </w:pPr>
    </w:p>
    <w:p w:rsidR="00692D5B" w:rsidRDefault="00692D5B">
      <w:pPr>
        <w:spacing w:line="360" w:lineRule="auto"/>
        <w:ind w:right="-734"/>
        <w:jc w:val="both"/>
        <w:rPr>
          <w:rFonts w:ascii="Palatino Linotype" w:eastAsia="Palatino Linotype" w:hAnsi="Palatino Linotype" w:cs="Palatino Linotype"/>
          <w:color w:val="222222"/>
        </w:rPr>
      </w:pPr>
    </w:p>
    <w:p w:rsidR="00692D5B" w:rsidRDefault="00692D5B">
      <w:pPr>
        <w:spacing w:line="360" w:lineRule="auto"/>
        <w:ind w:right="-734"/>
        <w:jc w:val="both"/>
        <w:rPr>
          <w:rFonts w:ascii="Palatino Linotype" w:eastAsia="Palatino Linotype" w:hAnsi="Palatino Linotype" w:cs="Palatino Linotype"/>
          <w:color w:val="222222"/>
        </w:rPr>
      </w:pPr>
    </w:p>
    <w:p w:rsidR="00692D5B" w:rsidRDefault="00692D5B">
      <w:pPr>
        <w:spacing w:line="360" w:lineRule="auto"/>
        <w:ind w:right="-734"/>
        <w:jc w:val="both"/>
        <w:rPr>
          <w:rFonts w:ascii="Palatino Linotype" w:eastAsia="Palatino Linotype" w:hAnsi="Palatino Linotype" w:cs="Palatino Linotype"/>
          <w:color w:val="222222"/>
        </w:rPr>
      </w:pPr>
    </w:p>
    <w:p w:rsidR="00692D5B" w:rsidRDefault="00692D5B">
      <w:pPr>
        <w:spacing w:line="360" w:lineRule="auto"/>
        <w:ind w:right="-734"/>
        <w:jc w:val="both"/>
        <w:rPr>
          <w:rFonts w:ascii="Palatino Linotype" w:eastAsia="Palatino Linotype" w:hAnsi="Palatino Linotype" w:cs="Palatino Linotype"/>
          <w:color w:val="222222"/>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p w:rsidR="00692D5B" w:rsidRDefault="00692D5B">
      <w:pPr>
        <w:spacing w:line="360" w:lineRule="auto"/>
        <w:ind w:right="-734"/>
        <w:rPr>
          <w:rFonts w:ascii="Palatino Linotype" w:eastAsia="Palatino Linotype" w:hAnsi="Palatino Linotype" w:cs="Palatino Linotype"/>
        </w:rPr>
      </w:pPr>
    </w:p>
    <w:sectPr w:rsidR="00692D5B">
      <w:headerReference w:type="even" r:id="rId9"/>
      <w:headerReference w:type="default" r:id="rId10"/>
      <w:footerReference w:type="default" r:id="rId11"/>
      <w:headerReference w:type="first" r:id="rId12"/>
      <w:footerReference w:type="first" r:id="rId13"/>
      <w:pgSz w:w="12240" w:h="15840"/>
      <w:pgMar w:top="80" w:right="1608" w:bottom="2269"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B56" w:rsidRDefault="00681B56">
      <w:r>
        <w:separator/>
      </w:r>
    </w:p>
  </w:endnote>
  <w:endnote w:type="continuationSeparator" w:id="0">
    <w:p w:rsidR="00681B56" w:rsidRDefault="00681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B84A113B-B627-45DF-B00C-F4C17F59D7B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30D708B-DAF8-4168-8076-468A0C07E0EB}"/>
    <w:embedBold r:id="rId3" w:fontKey="{D16EF85F-91D9-46D9-B850-68360157CB0D}"/>
    <w:embedItalic r:id="rId4" w:fontKey="{31E0469E-32BA-4B15-9353-F906E4B7759D}"/>
    <w:embedBoldItalic r:id="rId5" w:fontKey="{968CD8D1-7DFD-41D0-A8BC-2C0FF7E4C66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BCE061F-6E83-4DB7-BA6E-1C31712E8593}"/>
  </w:font>
  <w:font w:name="Georgia">
    <w:panose1 w:val="02040502050405020303"/>
    <w:charset w:val="00"/>
    <w:family w:val="roman"/>
    <w:pitch w:val="variable"/>
    <w:sig w:usb0="00000287" w:usb1="00000000" w:usb2="00000000" w:usb3="00000000" w:csb0="0000009F" w:csb1="00000000"/>
    <w:embedItalic r:id="rId7" w:fontKey="{5A8CA0EE-50C0-47B3-8068-463949AC3BC4}"/>
  </w:font>
  <w:font w:name="Garamond">
    <w:panose1 w:val="02020404030301010803"/>
    <w:charset w:val="00"/>
    <w:family w:val="roman"/>
    <w:pitch w:val="variable"/>
    <w:sig w:usb0="00000287" w:usb1="00000000" w:usb2="00000000" w:usb3="00000000" w:csb0="0000009F" w:csb1="00000000"/>
    <w:embedRegular r:id="rId8" w:fontKey="{EED33CE8-2033-498C-891D-94D84247BEF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794EE9F5-16D2-45FB-9480-467F8E2E9E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5B" w:rsidRDefault="00692D5B">
    <w:pPr>
      <w:pBdr>
        <w:top w:val="nil"/>
        <w:left w:val="nil"/>
        <w:bottom w:val="nil"/>
        <w:right w:val="nil"/>
        <w:between w:val="nil"/>
      </w:pBdr>
      <w:tabs>
        <w:tab w:val="center" w:pos="4419"/>
        <w:tab w:val="right" w:pos="8838"/>
      </w:tabs>
      <w:jc w:val="right"/>
      <w:rPr>
        <w:color w:val="000000"/>
      </w:rPr>
    </w:pPr>
  </w:p>
  <w:p w:rsidR="00692D5B" w:rsidRDefault="00391B1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33361">
      <w:rPr>
        <w:rFonts w:ascii="Palatino Linotype" w:eastAsia="Palatino Linotype" w:hAnsi="Palatino Linotype" w:cs="Palatino Linotype"/>
        <w:b/>
        <w:bCs/>
        <w:noProof/>
        <w:color w:val="000000"/>
        <w:sz w:val="22"/>
        <w:szCs w:val="22"/>
      </w:rPr>
      <w:t>3</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33361">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692D5B" w:rsidRDefault="00692D5B">
    <w:pPr>
      <w:pBdr>
        <w:top w:val="nil"/>
        <w:left w:val="nil"/>
        <w:bottom w:val="nil"/>
        <w:right w:val="nil"/>
        <w:between w:val="nil"/>
      </w:pBdr>
      <w:tabs>
        <w:tab w:val="center" w:pos="4419"/>
        <w:tab w:val="right" w:pos="8838"/>
      </w:tabs>
      <w:rPr>
        <w:color w:val="000000"/>
      </w:rPr>
    </w:pPr>
  </w:p>
  <w:p w:rsidR="00692D5B" w:rsidRDefault="00692D5B"/>
  <w:p w:rsidR="00692D5B" w:rsidRDefault="00692D5B"/>
  <w:p w:rsidR="00692D5B" w:rsidRDefault="00692D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5B" w:rsidRDefault="00391B1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33361">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33361">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692D5B" w:rsidRDefault="00692D5B">
    <w:pPr>
      <w:pBdr>
        <w:top w:val="nil"/>
        <w:left w:val="nil"/>
        <w:bottom w:val="nil"/>
        <w:right w:val="nil"/>
        <w:between w:val="nil"/>
      </w:pBdr>
      <w:tabs>
        <w:tab w:val="center" w:pos="4419"/>
        <w:tab w:val="right" w:pos="8838"/>
      </w:tabs>
      <w:rPr>
        <w:color w:val="000000"/>
      </w:rPr>
    </w:pPr>
  </w:p>
  <w:p w:rsidR="00692D5B" w:rsidRDefault="00692D5B"/>
  <w:p w:rsidR="00692D5B" w:rsidRDefault="00692D5B"/>
  <w:p w:rsidR="00692D5B" w:rsidRDefault="00692D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B56" w:rsidRDefault="00681B56">
      <w:r>
        <w:separator/>
      </w:r>
    </w:p>
  </w:footnote>
  <w:footnote w:type="continuationSeparator" w:id="0">
    <w:p w:rsidR="00681B56" w:rsidRDefault="00681B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5B" w:rsidRDefault="00681B5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692D5B" w:rsidRDefault="00692D5B"/>
  <w:p w:rsidR="00692D5B" w:rsidRDefault="00692D5B"/>
  <w:p w:rsidR="00692D5B" w:rsidRDefault="00692D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40" w:type="dxa"/>
      <w:tblInd w:w="0" w:type="dxa"/>
      <w:tblLayout w:type="fixed"/>
      <w:tblLook w:val="0400" w:firstRow="0" w:lastRow="0" w:firstColumn="0" w:lastColumn="0" w:noHBand="0" w:noVBand="1"/>
    </w:tblPr>
    <w:tblGrid>
      <w:gridCol w:w="1845"/>
      <w:gridCol w:w="8595"/>
    </w:tblGrid>
    <w:tr w:rsidR="00692D5B">
      <w:trPr>
        <w:trHeight w:val="1435"/>
      </w:trPr>
      <w:tc>
        <w:tcPr>
          <w:tcW w:w="1845" w:type="dxa"/>
          <w:shd w:val="clear" w:color="auto" w:fill="auto"/>
        </w:tcPr>
        <w:p w:rsidR="00692D5B" w:rsidRDefault="00391B1E">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595" w:type="dxa"/>
          <w:shd w:val="clear" w:color="auto" w:fill="auto"/>
        </w:tcPr>
        <w:tbl>
          <w:tblPr>
            <w:tblStyle w:val="a1"/>
            <w:tblW w:w="8222" w:type="dxa"/>
            <w:tblInd w:w="308" w:type="dxa"/>
            <w:tblBorders>
              <w:top w:val="nil"/>
              <w:left w:val="nil"/>
              <w:bottom w:val="nil"/>
              <w:right w:val="nil"/>
              <w:insideH w:val="nil"/>
              <w:insideV w:val="nil"/>
            </w:tblBorders>
            <w:tblLayout w:type="fixed"/>
            <w:tblLook w:val="0400" w:firstRow="0" w:lastRow="0" w:firstColumn="0" w:lastColumn="0" w:noHBand="0" w:noVBand="1"/>
          </w:tblPr>
          <w:tblGrid>
            <w:gridCol w:w="2805"/>
            <w:gridCol w:w="5417"/>
          </w:tblGrid>
          <w:tr w:rsidR="00692D5B" w:rsidTr="002E4216">
            <w:trPr>
              <w:trHeight w:val="338"/>
            </w:trPr>
            <w:tc>
              <w:tcPr>
                <w:tcW w:w="2805" w:type="dxa"/>
              </w:tcPr>
              <w:p w:rsidR="00692D5B" w:rsidRDefault="00391B1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417" w:type="dxa"/>
              </w:tcPr>
              <w:p w:rsidR="00692D5B" w:rsidRDefault="00391B1E">
                <w:pPr>
                  <w:tabs>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13103/INFOEM/IP/RR/2025</w:t>
                </w:r>
              </w:p>
            </w:tc>
          </w:tr>
          <w:tr w:rsidR="00692D5B" w:rsidTr="002E4216">
            <w:trPr>
              <w:trHeight w:val="283"/>
            </w:trPr>
            <w:tc>
              <w:tcPr>
                <w:tcW w:w="2805" w:type="dxa"/>
              </w:tcPr>
              <w:p w:rsidR="00692D5B" w:rsidRDefault="00391B1E">
                <w:pPr>
                  <w:tabs>
                    <w:tab w:val="right" w:pos="8838"/>
                  </w:tabs>
                  <w:ind w:right="-105"/>
                  <w:rPr>
                    <w:rFonts w:ascii="Palatino Linotype" w:eastAsia="Palatino Linotype" w:hAnsi="Palatino Linotype" w:cs="Palatino Linotype"/>
                    <w:b/>
                    <w:bCs/>
                  </w:rPr>
                </w:pPr>
                <w:bookmarkStart w:id="11" w:name="_heading=h.2s8eyo1" w:colFirst="0" w:colLast="0"/>
                <w:bookmarkEnd w:id="11"/>
                <w:r>
                  <w:rPr>
                    <w:rFonts w:ascii="Palatino Linotype" w:eastAsia="Palatino Linotype" w:hAnsi="Palatino Linotype" w:cs="Palatino Linotype"/>
                    <w:b/>
                    <w:bCs/>
                  </w:rPr>
                  <w:t>Sujeto Obligado:</w:t>
                </w:r>
              </w:p>
            </w:tc>
            <w:tc>
              <w:tcPr>
                <w:tcW w:w="5417" w:type="dxa"/>
              </w:tcPr>
              <w:p w:rsidR="00692D5B" w:rsidRDefault="00391B1E">
                <w:pPr>
                  <w:ind w:left="-115" w:right="-17"/>
                  <w:rPr>
                    <w:rFonts w:ascii="Palatino Linotype" w:eastAsia="Palatino Linotype" w:hAnsi="Palatino Linotype" w:cs="Palatino Linotype"/>
                  </w:rPr>
                </w:pPr>
                <w:r>
                  <w:rPr>
                    <w:rFonts w:ascii="Palatino Linotype" w:eastAsia="Palatino Linotype" w:hAnsi="Palatino Linotype" w:cs="Palatino Linotype"/>
                  </w:rPr>
                  <w:t>Ayuntamiento de Acambay de Ruíz Castañeda</w:t>
                </w:r>
              </w:p>
            </w:tc>
          </w:tr>
          <w:tr w:rsidR="00692D5B" w:rsidTr="002E4216">
            <w:trPr>
              <w:trHeight w:val="283"/>
            </w:trPr>
            <w:tc>
              <w:tcPr>
                <w:tcW w:w="2805" w:type="dxa"/>
              </w:tcPr>
              <w:p w:rsidR="00692D5B" w:rsidRDefault="00391B1E">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417" w:type="dxa"/>
              </w:tcPr>
              <w:p w:rsidR="00692D5B" w:rsidRDefault="00391B1E">
                <w:pPr>
                  <w:ind w:left="-113" w:right="-154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692D5B" w:rsidRDefault="00692D5B">
          <w:pPr>
            <w:tabs>
              <w:tab w:val="right" w:pos="8838"/>
            </w:tabs>
            <w:ind w:left="-28"/>
            <w:jc w:val="both"/>
            <w:rPr>
              <w:rFonts w:ascii="Arial" w:eastAsia="Arial" w:hAnsi="Arial" w:cs="Arial"/>
              <w:b/>
              <w:bCs/>
              <w:sz w:val="22"/>
              <w:szCs w:val="22"/>
            </w:rPr>
          </w:pPr>
        </w:p>
      </w:tc>
    </w:tr>
  </w:tbl>
  <w:p w:rsidR="00692D5B" w:rsidRDefault="00681B56">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92.8pt;margin-top:-134.4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560" w:type="dxa"/>
      <w:tblInd w:w="0" w:type="dxa"/>
      <w:tblLayout w:type="fixed"/>
      <w:tblLook w:val="0400" w:firstRow="0" w:lastRow="0" w:firstColumn="0" w:lastColumn="0" w:noHBand="0" w:noVBand="1"/>
    </w:tblPr>
    <w:tblGrid>
      <w:gridCol w:w="1560"/>
      <w:gridCol w:w="9000"/>
    </w:tblGrid>
    <w:tr w:rsidR="00692D5B">
      <w:trPr>
        <w:trHeight w:val="1435"/>
      </w:trPr>
      <w:tc>
        <w:tcPr>
          <w:tcW w:w="1560" w:type="dxa"/>
          <w:shd w:val="clear" w:color="auto" w:fill="auto"/>
        </w:tcPr>
        <w:p w:rsidR="00692D5B" w:rsidRDefault="00692D5B">
          <w:pPr>
            <w:tabs>
              <w:tab w:val="right" w:pos="4273"/>
            </w:tabs>
            <w:rPr>
              <w:rFonts w:ascii="Garamond" w:eastAsia="Garamond" w:hAnsi="Garamond" w:cs="Garamond"/>
              <w:sz w:val="22"/>
              <w:szCs w:val="22"/>
            </w:rPr>
          </w:pPr>
        </w:p>
      </w:tc>
      <w:tc>
        <w:tcPr>
          <w:tcW w:w="9000" w:type="dxa"/>
          <w:shd w:val="clear" w:color="auto" w:fill="auto"/>
        </w:tcPr>
        <w:tbl>
          <w:tblPr>
            <w:tblStyle w:val="a3"/>
            <w:tblW w:w="10635" w:type="dxa"/>
            <w:tblInd w:w="593" w:type="dxa"/>
            <w:tblBorders>
              <w:top w:val="nil"/>
              <w:left w:val="nil"/>
              <w:bottom w:val="nil"/>
              <w:right w:val="nil"/>
              <w:insideH w:val="nil"/>
              <w:insideV w:val="nil"/>
            </w:tblBorders>
            <w:tblLayout w:type="fixed"/>
            <w:tblLook w:val="0400" w:firstRow="0" w:lastRow="0" w:firstColumn="0" w:lastColumn="0" w:noHBand="0" w:noVBand="1"/>
          </w:tblPr>
          <w:tblGrid>
            <w:gridCol w:w="2807"/>
            <w:gridCol w:w="5698"/>
            <w:gridCol w:w="2130"/>
          </w:tblGrid>
          <w:tr w:rsidR="00692D5B" w:rsidTr="002E4216">
            <w:trPr>
              <w:trHeight w:val="144"/>
            </w:trPr>
            <w:tc>
              <w:tcPr>
                <w:tcW w:w="2807" w:type="dxa"/>
              </w:tcPr>
              <w:p w:rsidR="00692D5B" w:rsidRDefault="00391B1E">
                <w:pPr>
                  <w:tabs>
                    <w:tab w:val="right" w:pos="8838"/>
                  </w:tabs>
                  <w:ind w:left="-74" w:right="-105"/>
                  <w:rPr>
                    <w:rFonts w:ascii="Palatino Linotype" w:eastAsia="Palatino Linotype" w:hAnsi="Palatino Linotype" w:cs="Palatino Linotype"/>
                    <w:b/>
                    <w:bCs/>
                  </w:rPr>
                </w:pPr>
                <w:bookmarkStart w:id="12" w:name="_heading=h.17dp8vu" w:colFirst="0" w:colLast="0"/>
                <w:bookmarkEnd w:id="12"/>
                <w:r>
                  <w:rPr>
                    <w:rFonts w:ascii="Palatino Linotype" w:eastAsia="Palatino Linotype" w:hAnsi="Palatino Linotype" w:cs="Palatino Linotype"/>
                    <w:b/>
                    <w:bCs/>
                  </w:rPr>
                  <w:t>Recurso de Revisión:</w:t>
                </w:r>
              </w:p>
            </w:tc>
            <w:tc>
              <w:tcPr>
                <w:tcW w:w="5698" w:type="dxa"/>
              </w:tcPr>
              <w:p w:rsidR="00692D5B" w:rsidRDefault="00391B1E">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13103/INFOEM/IP/RR/2025</w:t>
                </w:r>
              </w:p>
            </w:tc>
            <w:tc>
              <w:tcPr>
                <w:tcW w:w="2130" w:type="dxa"/>
              </w:tcPr>
              <w:p w:rsidR="00692D5B" w:rsidRDefault="00692D5B">
                <w:pPr>
                  <w:tabs>
                    <w:tab w:val="right" w:pos="8838"/>
                  </w:tabs>
                  <w:ind w:left="-74" w:right="-105"/>
                  <w:jc w:val="both"/>
                  <w:rPr>
                    <w:rFonts w:ascii="Palatino Linotype" w:eastAsia="Palatino Linotype" w:hAnsi="Palatino Linotype" w:cs="Palatino Linotype"/>
                    <w:sz w:val="22"/>
                    <w:szCs w:val="22"/>
                  </w:rPr>
                </w:pPr>
              </w:p>
            </w:tc>
          </w:tr>
          <w:tr w:rsidR="00692D5B" w:rsidTr="002E4216">
            <w:trPr>
              <w:trHeight w:val="144"/>
            </w:trPr>
            <w:tc>
              <w:tcPr>
                <w:tcW w:w="2807" w:type="dxa"/>
              </w:tcPr>
              <w:p w:rsidR="00692D5B" w:rsidRDefault="00391B1E">
                <w:pPr>
                  <w:tabs>
                    <w:tab w:val="right" w:pos="8838"/>
                  </w:tabs>
                  <w:ind w:left="-74" w:right="-105"/>
                  <w:rPr>
                    <w:rFonts w:ascii="Palatino Linotype" w:eastAsia="Palatino Linotype" w:hAnsi="Palatino Linotype" w:cs="Palatino Linotype"/>
                    <w:b/>
                    <w:bCs/>
                  </w:rPr>
                </w:pPr>
                <w:bookmarkStart w:id="13" w:name="_heading=h.3rdcrjn" w:colFirst="0" w:colLast="0"/>
                <w:bookmarkEnd w:id="13"/>
                <w:r>
                  <w:rPr>
                    <w:rFonts w:ascii="Palatino Linotype" w:eastAsia="Palatino Linotype" w:hAnsi="Palatino Linotype" w:cs="Palatino Linotype"/>
                    <w:b/>
                    <w:bCs/>
                  </w:rPr>
                  <w:t>Recurrente:</w:t>
                </w:r>
              </w:p>
            </w:tc>
            <w:tc>
              <w:tcPr>
                <w:tcW w:w="5698" w:type="dxa"/>
              </w:tcPr>
              <w:p w:rsidR="00692D5B" w:rsidRDefault="00133361">
                <w:pPr>
                  <w:tabs>
                    <w:tab w:val="left" w:pos="3122"/>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XXXX</w:t>
                </w:r>
              </w:p>
            </w:tc>
            <w:tc>
              <w:tcPr>
                <w:tcW w:w="2130" w:type="dxa"/>
              </w:tcPr>
              <w:p w:rsidR="00692D5B" w:rsidRDefault="00692D5B">
                <w:pPr>
                  <w:tabs>
                    <w:tab w:val="left" w:pos="3122"/>
                    <w:tab w:val="right" w:pos="8838"/>
                  </w:tabs>
                  <w:ind w:right="-105"/>
                  <w:jc w:val="both"/>
                  <w:rPr>
                    <w:rFonts w:ascii="Palatino Linotype" w:eastAsia="Palatino Linotype" w:hAnsi="Palatino Linotype" w:cs="Palatino Linotype"/>
                    <w:sz w:val="22"/>
                    <w:szCs w:val="22"/>
                  </w:rPr>
                </w:pPr>
              </w:p>
            </w:tc>
          </w:tr>
          <w:tr w:rsidR="00692D5B" w:rsidTr="002E4216">
            <w:trPr>
              <w:trHeight w:val="283"/>
            </w:trPr>
            <w:tc>
              <w:tcPr>
                <w:tcW w:w="2807" w:type="dxa"/>
              </w:tcPr>
              <w:p w:rsidR="00692D5B" w:rsidRDefault="00391B1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698" w:type="dxa"/>
              </w:tcPr>
              <w:p w:rsidR="00692D5B" w:rsidRDefault="00391B1E">
                <w:pPr>
                  <w:tabs>
                    <w:tab w:val="left" w:pos="2834"/>
                    <w:tab w:val="right" w:pos="8838"/>
                  </w:tabs>
                  <w:ind w:left="-3" w:right="468"/>
                  <w:jc w:val="both"/>
                  <w:rPr>
                    <w:rFonts w:ascii="Palatino Linotype" w:eastAsia="Palatino Linotype" w:hAnsi="Palatino Linotype" w:cs="Palatino Linotype"/>
                  </w:rPr>
                </w:pPr>
                <w:r>
                  <w:rPr>
                    <w:rFonts w:ascii="Palatino Linotype" w:eastAsia="Palatino Linotype" w:hAnsi="Palatino Linotype" w:cs="Palatino Linotype"/>
                  </w:rPr>
                  <w:t>Ayuntamiento de Acambay de Ruíz Castañeda</w:t>
                </w:r>
              </w:p>
            </w:tc>
            <w:tc>
              <w:tcPr>
                <w:tcW w:w="2130" w:type="dxa"/>
              </w:tcPr>
              <w:p w:rsidR="00692D5B" w:rsidRDefault="00692D5B">
                <w:pPr>
                  <w:tabs>
                    <w:tab w:val="left" w:pos="2834"/>
                    <w:tab w:val="right" w:pos="8838"/>
                  </w:tabs>
                  <w:ind w:left="-74" w:right="-105"/>
                  <w:jc w:val="both"/>
                  <w:rPr>
                    <w:rFonts w:ascii="Palatino Linotype" w:eastAsia="Palatino Linotype" w:hAnsi="Palatino Linotype" w:cs="Palatino Linotype"/>
                    <w:sz w:val="22"/>
                    <w:szCs w:val="22"/>
                  </w:rPr>
                </w:pPr>
              </w:p>
            </w:tc>
          </w:tr>
          <w:tr w:rsidR="00692D5B" w:rsidTr="002E4216">
            <w:trPr>
              <w:trHeight w:val="283"/>
            </w:trPr>
            <w:tc>
              <w:tcPr>
                <w:tcW w:w="2807" w:type="dxa"/>
              </w:tcPr>
              <w:p w:rsidR="00692D5B" w:rsidRDefault="00391B1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698" w:type="dxa"/>
              </w:tcPr>
              <w:p w:rsidR="00692D5B" w:rsidRDefault="00391B1E">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c>
              <w:tcPr>
                <w:tcW w:w="2130" w:type="dxa"/>
              </w:tcPr>
              <w:p w:rsidR="00692D5B" w:rsidRDefault="00692D5B">
                <w:pPr>
                  <w:tabs>
                    <w:tab w:val="right" w:pos="8838"/>
                  </w:tabs>
                  <w:ind w:left="-74" w:right="-105"/>
                  <w:jc w:val="both"/>
                  <w:rPr>
                    <w:rFonts w:ascii="Palatino Linotype" w:eastAsia="Palatino Linotype" w:hAnsi="Palatino Linotype" w:cs="Palatino Linotype"/>
                    <w:sz w:val="22"/>
                    <w:szCs w:val="22"/>
                  </w:rPr>
                </w:pPr>
              </w:p>
            </w:tc>
          </w:tr>
        </w:tbl>
        <w:p w:rsidR="00692D5B" w:rsidRDefault="00692D5B">
          <w:pPr>
            <w:tabs>
              <w:tab w:val="right" w:pos="8838"/>
            </w:tabs>
            <w:ind w:left="-28"/>
            <w:jc w:val="both"/>
            <w:rPr>
              <w:rFonts w:ascii="Arial" w:eastAsia="Arial" w:hAnsi="Arial" w:cs="Arial"/>
              <w:b/>
              <w:bCs/>
              <w:sz w:val="22"/>
              <w:szCs w:val="22"/>
            </w:rPr>
          </w:pPr>
        </w:p>
      </w:tc>
    </w:tr>
  </w:tbl>
  <w:p w:rsidR="00692D5B" w:rsidRDefault="00681B56">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97.45pt;margin-top:-130.4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C6BD2"/>
    <w:multiLevelType w:val="multilevel"/>
    <w:tmpl w:val="6FE29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234684"/>
    <w:multiLevelType w:val="multilevel"/>
    <w:tmpl w:val="036CAEB2"/>
    <w:lvl w:ilvl="0">
      <w:start w:val="1"/>
      <w:numFmt w:val="decimal"/>
      <w:lvlText w:val="%1."/>
      <w:lvlJc w:val="left"/>
      <w:pPr>
        <w:ind w:left="643"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15:restartNumberingAfterBreak="0">
    <w:nsid w:val="3E0866AF"/>
    <w:multiLevelType w:val="multilevel"/>
    <w:tmpl w:val="353A6EE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3F4F0A5E"/>
    <w:multiLevelType w:val="multilevel"/>
    <w:tmpl w:val="B03C6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856495"/>
    <w:multiLevelType w:val="multilevel"/>
    <w:tmpl w:val="F76EE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275D79"/>
    <w:multiLevelType w:val="multilevel"/>
    <w:tmpl w:val="472CE0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AF54D3"/>
    <w:multiLevelType w:val="multilevel"/>
    <w:tmpl w:val="B14C3700"/>
    <w:lvl w:ilvl="0">
      <w:start w:val="1"/>
      <w:numFmt w:val="lowerLetter"/>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D5B"/>
    <w:rsid w:val="00133361"/>
    <w:rsid w:val="002E4216"/>
    <w:rsid w:val="002F7136"/>
    <w:rsid w:val="00391B1E"/>
    <w:rsid w:val="00681B56"/>
    <w:rsid w:val="00692D5B"/>
    <w:rsid w:val="00776F7A"/>
    <w:rsid w:val="00795B04"/>
    <w:rsid w:val="009D066B"/>
    <w:rsid w:val="00A531BF"/>
    <w:rsid w:val="00CC13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B339FD2-6B70-41B2-98B3-691AEC157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2E4216"/>
    <w:pPr>
      <w:tabs>
        <w:tab w:val="center" w:pos="4419"/>
        <w:tab w:val="right" w:pos="8838"/>
      </w:tabs>
    </w:pPr>
  </w:style>
  <w:style w:type="character" w:customStyle="1" w:styleId="PiedepginaCar">
    <w:name w:val="Pie de página Car"/>
    <w:basedOn w:val="Fuentedeprrafopredeter"/>
    <w:link w:val="Piedepgina"/>
    <w:uiPriority w:val="99"/>
    <w:rsid w:val="002E4216"/>
  </w:style>
  <w:style w:type="paragraph" w:styleId="Prrafodelista">
    <w:name w:val="List Paragraph"/>
    <w:basedOn w:val="Normal"/>
    <w:uiPriority w:val="34"/>
    <w:qFormat/>
    <w:rsid w:val="002E42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BwJsWFzABSyIJwoa4ghM/mdbGg==">CgMxLjAyCGguZ2pkZ3hzMgloLjN6bnlzaDcyCWguMmV0OTJwMDIIaC50eWpjd3QyCWguM2R5NnZrbTIJaC4xdDNoNXNmMgloLjRkMzRvZzgyCWguMzBqMHpsbDIJaC4xa3N2NHV2MgloLjJzOGV5bzEyCWguMTdkcDh2dTIJaC4zcmRjcmpuOAByITFrSVN0NlVqRUkxNkE4RGlBR296X1ZOTDg5VFZsTUUyZw==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11030</Words>
  <Characters>60670</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2026-05-29T00:17:00Z</cp:lastPrinted>
  <dcterms:created xsi:type="dcterms:W3CDTF">2026-05-27T21:41:00Z</dcterms:created>
  <dcterms:modified xsi:type="dcterms:W3CDTF">2026-06-03T00:16:00Z</dcterms:modified>
</cp:coreProperties>
</file>