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FC87761" w:rsidR="004E7632" w:rsidRPr="000E5506"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0E5506">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B1CAB" w:rsidRPr="000E5506">
        <w:rPr>
          <w:rFonts w:ascii="Palatino Linotype" w:eastAsia="Times New Roman" w:hAnsi="Palatino Linotype" w:cs="Arial"/>
          <w:sz w:val="24"/>
          <w:szCs w:val="24"/>
          <w:lang w:eastAsia="es-MX"/>
        </w:rPr>
        <w:t>veinticinco</w:t>
      </w:r>
      <w:r w:rsidR="00A73FB5" w:rsidRPr="000E5506">
        <w:rPr>
          <w:rFonts w:ascii="Palatino Linotype" w:eastAsia="Times New Roman" w:hAnsi="Palatino Linotype" w:cs="Arial"/>
          <w:sz w:val="24"/>
          <w:szCs w:val="24"/>
          <w:lang w:eastAsia="es-MX"/>
        </w:rPr>
        <w:t xml:space="preserve"> de marzo</w:t>
      </w:r>
      <w:r w:rsidR="00782E05" w:rsidRPr="000E5506">
        <w:rPr>
          <w:rFonts w:ascii="Palatino Linotype" w:eastAsia="Times New Roman" w:hAnsi="Palatino Linotype" w:cs="Arial"/>
          <w:sz w:val="24"/>
          <w:szCs w:val="24"/>
          <w:lang w:eastAsia="es-MX"/>
        </w:rPr>
        <w:t xml:space="preserve"> de dos mil veinti</w:t>
      </w:r>
      <w:r w:rsidR="00823563" w:rsidRPr="000E5506">
        <w:rPr>
          <w:rFonts w:ascii="Palatino Linotype" w:eastAsia="Times New Roman" w:hAnsi="Palatino Linotype" w:cs="Arial"/>
          <w:sz w:val="24"/>
          <w:szCs w:val="24"/>
          <w:lang w:eastAsia="es-MX"/>
        </w:rPr>
        <w:t>séis</w:t>
      </w:r>
      <w:r w:rsidRPr="000E5506">
        <w:rPr>
          <w:rFonts w:ascii="Palatino Linotype" w:eastAsia="Times New Roman" w:hAnsi="Palatino Linotype" w:cs="Arial"/>
          <w:sz w:val="24"/>
          <w:szCs w:val="24"/>
          <w:lang w:eastAsia="es-MX"/>
        </w:rPr>
        <w:t>.</w:t>
      </w:r>
    </w:p>
    <w:p w14:paraId="3FA032C4" w14:textId="77777777" w:rsidR="004E7632" w:rsidRPr="000E5506"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189FCEFF" w:rsidR="009D1905" w:rsidRPr="000E5506" w:rsidRDefault="004E7632" w:rsidP="004B6A48">
      <w:pPr>
        <w:tabs>
          <w:tab w:val="left" w:pos="1701"/>
        </w:tabs>
        <w:spacing w:after="0" w:line="360" w:lineRule="auto"/>
        <w:jc w:val="both"/>
        <w:rPr>
          <w:rFonts w:ascii="Palatino Linotype" w:hAnsi="Palatino Linotype" w:cs="Arial"/>
          <w:sz w:val="24"/>
          <w:szCs w:val="24"/>
        </w:rPr>
      </w:pPr>
      <w:r w:rsidRPr="000E5506">
        <w:rPr>
          <w:rFonts w:ascii="Palatino Linotype" w:hAnsi="Palatino Linotype" w:cs="Arial"/>
          <w:b/>
          <w:sz w:val="24"/>
          <w:szCs w:val="24"/>
        </w:rPr>
        <w:t>VISTOS</w:t>
      </w:r>
      <w:r w:rsidRPr="000E5506">
        <w:rPr>
          <w:rFonts w:ascii="Palatino Linotype" w:hAnsi="Palatino Linotype" w:cs="Arial"/>
          <w:sz w:val="24"/>
          <w:szCs w:val="24"/>
        </w:rPr>
        <w:t xml:space="preserve"> los expedientes electrónicos formados con motivo de los recursos de revisión números</w:t>
      </w:r>
      <w:r w:rsidR="00823563" w:rsidRPr="000E5506">
        <w:rPr>
          <w:rFonts w:ascii="Palatino Linotype" w:hAnsi="Palatino Linotype" w:cs="Arial"/>
          <w:sz w:val="24"/>
          <w:szCs w:val="24"/>
        </w:rPr>
        <w:t xml:space="preserve"> </w:t>
      </w:r>
      <w:bookmarkStart w:id="0" w:name="_GoBack"/>
      <w:r w:rsidR="00BD5D54" w:rsidRPr="000E5506">
        <w:rPr>
          <w:rFonts w:ascii="Palatino Linotype" w:hAnsi="Palatino Linotype" w:cs="Arial"/>
          <w:b/>
          <w:bCs/>
          <w:sz w:val="23"/>
          <w:szCs w:val="23"/>
          <w:lang w:eastAsia="es-MX"/>
        </w:rPr>
        <w:t>13315</w:t>
      </w:r>
      <w:r w:rsidR="00BF6393" w:rsidRPr="000E5506">
        <w:rPr>
          <w:rFonts w:ascii="Palatino Linotype" w:hAnsi="Palatino Linotype" w:cs="Arial"/>
          <w:b/>
          <w:bCs/>
          <w:sz w:val="23"/>
          <w:szCs w:val="23"/>
          <w:lang w:eastAsia="es-MX"/>
        </w:rPr>
        <w:t>/INFOEM/IP/RR/202</w:t>
      </w:r>
      <w:r w:rsidR="00666650" w:rsidRPr="000E5506">
        <w:rPr>
          <w:rFonts w:ascii="Palatino Linotype" w:hAnsi="Palatino Linotype" w:cs="Arial"/>
          <w:b/>
          <w:bCs/>
          <w:sz w:val="23"/>
          <w:szCs w:val="23"/>
          <w:lang w:eastAsia="es-MX"/>
        </w:rPr>
        <w:t>5</w:t>
      </w:r>
      <w:r w:rsidR="00BF6393" w:rsidRPr="000E5506">
        <w:rPr>
          <w:rFonts w:ascii="Palatino Linotype" w:hAnsi="Palatino Linotype" w:cs="Arial"/>
          <w:bCs/>
          <w:sz w:val="23"/>
          <w:szCs w:val="23"/>
          <w:lang w:eastAsia="es-MX"/>
        </w:rPr>
        <w:t xml:space="preserve"> </w:t>
      </w:r>
      <w:bookmarkEnd w:id="0"/>
      <w:r w:rsidRPr="000E5506">
        <w:rPr>
          <w:rFonts w:ascii="Palatino Linotype" w:hAnsi="Palatino Linotype" w:cs="Arial"/>
          <w:bCs/>
          <w:sz w:val="24"/>
          <w:szCs w:val="24"/>
          <w:lang w:eastAsia="es-MX"/>
        </w:rPr>
        <w:t xml:space="preserve">y </w:t>
      </w:r>
      <w:r w:rsidR="00BD5D54" w:rsidRPr="000E5506">
        <w:rPr>
          <w:rFonts w:ascii="Palatino Linotype" w:hAnsi="Palatino Linotype" w:cs="Arial"/>
          <w:b/>
          <w:bCs/>
          <w:sz w:val="23"/>
          <w:szCs w:val="23"/>
          <w:lang w:eastAsia="es-MX"/>
        </w:rPr>
        <w:t>13316</w:t>
      </w:r>
      <w:r w:rsidR="00005B2F" w:rsidRPr="000E5506">
        <w:rPr>
          <w:rFonts w:ascii="Palatino Linotype" w:hAnsi="Palatino Linotype" w:cs="Arial"/>
          <w:b/>
          <w:bCs/>
          <w:sz w:val="23"/>
          <w:szCs w:val="23"/>
          <w:lang w:eastAsia="es-MX"/>
        </w:rPr>
        <w:t>/INFOEM/IP/RR/202</w:t>
      </w:r>
      <w:r w:rsidR="00666650" w:rsidRPr="000E5506">
        <w:rPr>
          <w:rFonts w:ascii="Palatino Linotype" w:hAnsi="Palatino Linotype" w:cs="Arial"/>
          <w:b/>
          <w:bCs/>
          <w:sz w:val="23"/>
          <w:szCs w:val="23"/>
          <w:lang w:eastAsia="es-MX"/>
        </w:rPr>
        <w:t>5</w:t>
      </w:r>
      <w:r w:rsidRPr="000E5506">
        <w:rPr>
          <w:rFonts w:ascii="Palatino Linotype" w:hAnsi="Palatino Linotype" w:cs="Arial"/>
          <w:sz w:val="24"/>
          <w:szCs w:val="24"/>
        </w:rPr>
        <w:t xml:space="preserve">, interpuestos </w:t>
      </w:r>
      <w:r w:rsidR="00666650" w:rsidRPr="000E5506">
        <w:rPr>
          <w:rFonts w:ascii="Palatino Linotype" w:hAnsi="Palatino Linotype" w:cs="Arial"/>
          <w:sz w:val="24"/>
          <w:szCs w:val="24"/>
        </w:rPr>
        <w:t xml:space="preserve">por </w:t>
      </w:r>
      <w:r w:rsidR="00A73FB5" w:rsidRPr="000E5506">
        <w:rPr>
          <w:rFonts w:ascii="Palatino Linotype" w:hAnsi="Palatino Linotype" w:cs="Arial"/>
          <w:sz w:val="24"/>
          <w:szCs w:val="24"/>
        </w:rPr>
        <w:t xml:space="preserve">el </w:t>
      </w:r>
      <w:r w:rsidR="00A73FB5" w:rsidRPr="000E5506">
        <w:rPr>
          <w:rFonts w:ascii="Palatino Linotype" w:hAnsi="Palatino Linotype" w:cs="Arial"/>
          <w:b/>
          <w:bCs/>
          <w:sz w:val="24"/>
          <w:szCs w:val="24"/>
        </w:rPr>
        <w:t xml:space="preserve">C. </w:t>
      </w:r>
      <w:r w:rsidR="00F43464">
        <w:rPr>
          <w:rFonts w:ascii="Palatino Linotype" w:hAnsi="Palatino Linotype" w:cs="Arial"/>
          <w:b/>
          <w:bCs/>
          <w:sz w:val="24"/>
          <w:szCs w:val="24"/>
        </w:rPr>
        <w:t>XXXXX</w:t>
      </w:r>
      <w:r w:rsidR="009C342E" w:rsidRPr="000E5506">
        <w:rPr>
          <w:rFonts w:ascii="Palatino Linotype" w:hAnsi="Palatino Linotype" w:cs="Arial"/>
          <w:sz w:val="24"/>
          <w:szCs w:val="24"/>
        </w:rPr>
        <w:t xml:space="preserve">, en lo sucesivo </w:t>
      </w:r>
      <w:r w:rsidR="006F1DBC" w:rsidRPr="000E5506">
        <w:rPr>
          <w:rFonts w:ascii="Palatino Linotype" w:hAnsi="Palatino Linotype" w:cs="Arial"/>
          <w:sz w:val="24"/>
          <w:szCs w:val="24"/>
        </w:rPr>
        <w:t>la parte</w:t>
      </w:r>
      <w:r w:rsidR="009C342E" w:rsidRPr="000E5506">
        <w:rPr>
          <w:rFonts w:ascii="Palatino Linotype" w:hAnsi="Palatino Linotype" w:cs="Arial"/>
          <w:b/>
          <w:sz w:val="24"/>
          <w:szCs w:val="24"/>
        </w:rPr>
        <w:t xml:space="preserve"> Recurrente</w:t>
      </w:r>
      <w:r w:rsidRPr="000E5506">
        <w:rPr>
          <w:rFonts w:ascii="Palatino Linotype" w:hAnsi="Palatino Linotype" w:cs="Arial"/>
          <w:sz w:val="24"/>
          <w:szCs w:val="24"/>
        </w:rPr>
        <w:t xml:space="preserve">, en contra de las respuestas del </w:t>
      </w:r>
      <w:r w:rsidR="004B6A48" w:rsidRPr="000E5506">
        <w:rPr>
          <w:rFonts w:ascii="Palatino Linotype" w:hAnsi="Palatino Linotype" w:cs="Arial"/>
          <w:b/>
          <w:sz w:val="24"/>
          <w:szCs w:val="24"/>
        </w:rPr>
        <w:t xml:space="preserve">Ayuntamiento de </w:t>
      </w:r>
      <w:r w:rsidR="00BD5D54" w:rsidRPr="000E5506">
        <w:rPr>
          <w:rFonts w:ascii="Palatino Linotype" w:hAnsi="Palatino Linotype" w:cs="Arial"/>
          <w:b/>
          <w:sz w:val="24"/>
          <w:szCs w:val="24"/>
        </w:rPr>
        <w:t>Tepoztlán</w:t>
      </w:r>
      <w:r w:rsidRPr="000E5506">
        <w:rPr>
          <w:rFonts w:ascii="Palatino Linotype" w:hAnsi="Palatino Linotype" w:cs="Arial"/>
          <w:sz w:val="24"/>
          <w:szCs w:val="24"/>
        </w:rPr>
        <w:t>, en lo subsecuente</w:t>
      </w:r>
      <w:r w:rsidRPr="000E5506">
        <w:rPr>
          <w:rFonts w:ascii="Palatino Linotype" w:hAnsi="Palatino Linotype" w:cs="Arial"/>
          <w:b/>
          <w:sz w:val="24"/>
          <w:szCs w:val="24"/>
        </w:rPr>
        <w:t xml:space="preserve"> </w:t>
      </w:r>
      <w:r w:rsidR="009C342E" w:rsidRPr="000E5506">
        <w:rPr>
          <w:rFonts w:ascii="Palatino Linotype" w:hAnsi="Palatino Linotype" w:cs="Arial"/>
          <w:sz w:val="24"/>
          <w:szCs w:val="24"/>
        </w:rPr>
        <w:t>el</w:t>
      </w:r>
      <w:r w:rsidRPr="000E5506">
        <w:rPr>
          <w:rFonts w:ascii="Palatino Linotype" w:hAnsi="Palatino Linotype" w:cs="Arial"/>
          <w:b/>
          <w:sz w:val="24"/>
          <w:szCs w:val="24"/>
        </w:rPr>
        <w:t xml:space="preserve"> Sujeto Obligado</w:t>
      </w:r>
      <w:r w:rsidRPr="000E5506">
        <w:rPr>
          <w:rFonts w:ascii="Palatino Linotype" w:hAnsi="Palatino Linotype" w:cs="Arial"/>
          <w:sz w:val="24"/>
          <w:szCs w:val="24"/>
        </w:rPr>
        <w:t>,</w:t>
      </w:r>
      <w:r w:rsidRPr="000E5506">
        <w:rPr>
          <w:rFonts w:ascii="Palatino Linotype" w:hAnsi="Palatino Linotype" w:cs="Arial"/>
          <w:b/>
          <w:sz w:val="24"/>
          <w:szCs w:val="24"/>
        </w:rPr>
        <w:t xml:space="preserve"> </w:t>
      </w:r>
      <w:r w:rsidRPr="000E5506">
        <w:rPr>
          <w:rFonts w:ascii="Palatino Linotype" w:hAnsi="Palatino Linotype" w:cs="Arial"/>
          <w:sz w:val="24"/>
          <w:szCs w:val="24"/>
        </w:rPr>
        <w:t>se procede a dictar la presente resolución.</w:t>
      </w:r>
    </w:p>
    <w:p w14:paraId="3845F6BC" w14:textId="77777777" w:rsidR="004B6A48" w:rsidRPr="000E5506" w:rsidRDefault="004B6A48" w:rsidP="004B6A48">
      <w:pPr>
        <w:tabs>
          <w:tab w:val="left" w:pos="1701"/>
        </w:tabs>
        <w:spacing w:after="0" w:line="360" w:lineRule="auto"/>
        <w:jc w:val="both"/>
        <w:rPr>
          <w:rFonts w:ascii="Palatino Linotype" w:hAnsi="Palatino Linotype" w:cs="Arial"/>
          <w:sz w:val="24"/>
          <w:szCs w:val="24"/>
        </w:rPr>
      </w:pPr>
    </w:p>
    <w:p w14:paraId="5FB314AB" w14:textId="77777777" w:rsidR="004E7632" w:rsidRPr="000E5506" w:rsidRDefault="004E7632" w:rsidP="004E7632">
      <w:pPr>
        <w:spacing w:after="0" w:line="360" w:lineRule="auto"/>
        <w:jc w:val="center"/>
        <w:rPr>
          <w:rFonts w:ascii="Palatino Linotype" w:hAnsi="Palatino Linotype"/>
          <w:b/>
          <w:sz w:val="28"/>
        </w:rPr>
      </w:pPr>
      <w:r w:rsidRPr="000E5506">
        <w:rPr>
          <w:rFonts w:ascii="Palatino Linotype" w:hAnsi="Palatino Linotype"/>
          <w:b/>
          <w:sz w:val="28"/>
        </w:rPr>
        <w:t>A N T E C E D E N T E S   D E L   A S U N T O</w:t>
      </w:r>
    </w:p>
    <w:p w14:paraId="742CD363" w14:textId="77777777" w:rsidR="004E7632" w:rsidRPr="000E5506" w:rsidRDefault="004E7632" w:rsidP="004E7632">
      <w:pPr>
        <w:spacing w:after="0" w:line="360" w:lineRule="auto"/>
        <w:jc w:val="both"/>
        <w:rPr>
          <w:rFonts w:ascii="Palatino Linotype" w:hAnsi="Palatino Linotype" w:cs="Arial"/>
          <w:b/>
          <w:sz w:val="14"/>
        </w:rPr>
      </w:pPr>
    </w:p>
    <w:p w14:paraId="76B6730C" w14:textId="77777777" w:rsidR="004E7632" w:rsidRPr="000E5506" w:rsidRDefault="004E7632" w:rsidP="004E7632">
      <w:pPr>
        <w:spacing w:after="0" w:line="360" w:lineRule="auto"/>
        <w:jc w:val="both"/>
        <w:rPr>
          <w:rFonts w:ascii="Palatino Linotype" w:hAnsi="Palatino Linotype"/>
        </w:rPr>
      </w:pPr>
      <w:r w:rsidRPr="000E5506">
        <w:rPr>
          <w:rFonts w:ascii="Palatino Linotype" w:hAnsi="Palatino Linotype" w:cs="Arial"/>
          <w:b/>
          <w:sz w:val="28"/>
        </w:rPr>
        <w:t>PRIMERO.</w:t>
      </w:r>
      <w:r w:rsidRPr="000E5506">
        <w:rPr>
          <w:rFonts w:ascii="Palatino Linotype" w:hAnsi="Palatino Linotype" w:cs="Arial"/>
        </w:rPr>
        <w:t xml:space="preserve"> </w:t>
      </w:r>
      <w:r w:rsidRPr="000E5506">
        <w:rPr>
          <w:rFonts w:ascii="Palatino Linotype" w:hAnsi="Palatino Linotype"/>
          <w:b/>
          <w:sz w:val="28"/>
          <w:szCs w:val="28"/>
        </w:rPr>
        <w:t>De las Solicitudes de Información.</w:t>
      </w:r>
    </w:p>
    <w:p w14:paraId="7E58F8D2" w14:textId="0E0441EF" w:rsidR="0098497E" w:rsidRPr="000E5506" w:rsidRDefault="004E7632" w:rsidP="00F44AAE">
      <w:pPr>
        <w:spacing w:after="0" w:line="360" w:lineRule="auto"/>
        <w:jc w:val="both"/>
        <w:rPr>
          <w:rFonts w:ascii="Palatino Linotype" w:hAnsi="Palatino Linotype" w:cs="Arial"/>
          <w:sz w:val="24"/>
        </w:rPr>
      </w:pPr>
      <w:r w:rsidRPr="000E5506">
        <w:rPr>
          <w:rFonts w:ascii="Palatino Linotype" w:hAnsi="Palatino Linotype" w:cs="Arial"/>
          <w:sz w:val="24"/>
        </w:rPr>
        <w:t xml:space="preserve">Con fecha </w:t>
      </w:r>
      <w:bookmarkStart w:id="1" w:name="_Hlk156838428"/>
      <w:r w:rsidR="00BD5D54" w:rsidRPr="000E5506">
        <w:rPr>
          <w:rFonts w:ascii="Palatino Linotype" w:hAnsi="Palatino Linotype" w:cs="Arial"/>
          <w:sz w:val="24"/>
        </w:rPr>
        <w:t>ocho de octubre</w:t>
      </w:r>
      <w:r w:rsidR="00AF12FB" w:rsidRPr="000E5506">
        <w:rPr>
          <w:rFonts w:ascii="Palatino Linotype" w:hAnsi="Palatino Linotype" w:cs="Arial"/>
          <w:sz w:val="24"/>
        </w:rPr>
        <w:t xml:space="preserve"> de</w:t>
      </w:r>
      <w:r w:rsidRPr="000E5506">
        <w:rPr>
          <w:rFonts w:ascii="Palatino Linotype" w:hAnsi="Palatino Linotype" w:cs="Arial"/>
          <w:sz w:val="24"/>
        </w:rPr>
        <w:t xml:space="preserve"> dos mil </w:t>
      </w:r>
      <w:r w:rsidR="00782E05" w:rsidRPr="000E5506">
        <w:rPr>
          <w:rFonts w:ascii="Palatino Linotype" w:hAnsi="Palatino Linotype" w:cs="Arial"/>
          <w:sz w:val="24"/>
        </w:rPr>
        <w:t>veinti</w:t>
      </w:r>
      <w:bookmarkEnd w:id="1"/>
      <w:r w:rsidR="00382C36" w:rsidRPr="000E5506">
        <w:rPr>
          <w:rFonts w:ascii="Palatino Linotype" w:hAnsi="Palatino Linotype" w:cs="Arial"/>
          <w:sz w:val="24"/>
        </w:rPr>
        <w:t>c</w:t>
      </w:r>
      <w:r w:rsidR="00884816" w:rsidRPr="000E5506">
        <w:rPr>
          <w:rFonts w:ascii="Palatino Linotype" w:hAnsi="Palatino Linotype" w:cs="Arial"/>
          <w:sz w:val="24"/>
        </w:rPr>
        <w:t>inco</w:t>
      </w:r>
      <w:r w:rsidRPr="000E5506">
        <w:rPr>
          <w:rFonts w:ascii="Palatino Linotype" w:hAnsi="Palatino Linotype" w:cs="Arial"/>
          <w:sz w:val="24"/>
        </w:rPr>
        <w:t xml:space="preserve">, </w:t>
      </w:r>
      <w:r w:rsidR="006F1DBC" w:rsidRPr="000E5506">
        <w:rPr>
          <w:rFonts w:ascii="Palatino Linotype" w:hAnsi="Palatino Linotype" w:cs="Arial"/>
          <w:sz w:val="24"/>
        </w:rPr>
        <w:t>la</w:t>
      </w:r>
      <w:r w:rsidR="003C679D" w:rsidRPr="000E5506">
        <w:rPr>
          <w:rFonts w:ascii="Palatino Linotype" w:hAnsi="Palatino Linotype" w:cs="Arial"/>
          <w:sz w:val="24"/>
        </w:rPr>
        <w:t xml:space="preserve"> parte</w:t>
      </w:r>
      <w:r w:rsidR="006F1DBC" w:rsidRPr="000E5506">
        <w:rPr>
          <w:rFonts w:ascii="Palatino Linotype" w:hAnsi="Palatino Linotype" w:cs="Arial"/>
          <w:sz w:val="24"/>
        </w:rPr>
        <w:t xml:space="preserve"> </w:t>
      </w:r>
      <w:r w:rsidRPr="000E5506">
        <w:rPr>
          <w:rFonts w:ascii="Palatino Linotype" w:hAnsi="Palatino Linotype" w:cs="Arial"/>
          <w:b/>
          <w:sz w:val="24"/>
        </w:rPr>
        <w:t>Recurrente</w:t>
      </w:r>
      <w:r w:rsidRPr="000E5506">
        <w:rPr>
          <w:rFonts w:ascii="Palatino Linotype" w:hAnsi="Palatino Linotype" w:cs="Arial"/>
          <w:sz w:val="24"/>
        </w:rPr>
        <w:t xml:space="preserve">, presentó a través del Sistema de Acceso a la Información Mexiquense </w:t>
      </w:r>
      <w:r w:rsidRPr="000E5506">
        <w:rPr>
          <w:rFonts w:ascii="Palatino Linotype" w:hAnsi="Palatino Linotype" w:cs="Arial"/>
          <w:b/>
          <w:sz w:val="24"/>
        </w:rPr>
        <w:t>(SAIMEX)</w:t>
      </w:r>
      <w:r w:rsidRPr="000E5506">
        <w:rPr>
          <w:rFonts w:ascii="Palatino Linotype" w:hAnsi="Palatino Linotype" w:cs="Arial"/>
          <w:sz w:val="24"/>
        </w:rPr>
        <w:t xml:space="preserve"> ante</w:t>
      </w:r>
      <w:r w:rsidR="009C33AA" w:rsidRPr="000E5506">
        <w:rPr>
          <w:rFonts w:ascii="Palatino Linotype" w:hAnsi="Palatino Linotype" w:cs="Arial"/>
          <w:sz w:val="24"/>
        </w:rPr>
        <w:t xml:space="preserve"> el </w:t>
      </w:r>
      <w:r w:rsidRPr="000E5506">
        <w:rPr>
          <w:rFonts w:ascii="Palatino Linotype" w:hAnsi="Palatino Linotype" w:cs="Arial"/>
          <w:b/>
          <w:sz w:val="24"/>
        </w:rPr>
        <w:t>Sujeto Obligado</w:t>
      </w:r>
      <w:r w:rsidRPr="000E5506">
        <w:rPr>
          <w:rFonts w:ascii="Palatino Linotype" w:hAnsi="Palatino Linotype" w:cs="Arial"/>
          <w:sz w:val="24"/>
        </w:rPr>
        <w:t>, las solicitudes de acceso a la información pública, registradas bajo los números de expediente</w:t>
      </w:r>
      <w:bookmarkStart w:id="2" w:name="_Hlk99020054"/>
      <w:r w:rsidR="006F1DBC" w:rsidRPr="000E5506">
        <w:rPr>
          <w:rFonts w:ascii="Palatino Linotype" w:hAnsi="Palatino Linotype" w:cs="Arial"/>
          <w:b/>
          <w:sz w:val="24"/>
        </w:rPr>
        <w:t xml:space="preserve"> </w:t>
      </w:r>
      <w:bookmarkStart w:id="3" w:name="_Hlk184040337"/>
      <w:r w:rsidR="00BD5D54" w:rsidRPr="000E5506">
        <w:rPr>
          <w:rFonts w:ascii="Palatino Linotype" w:hAnsi="Palatino Linotype" w:cs="Arial"/>
          <w:b/>
          <w:bCs/>
          <w:sz w:val="23"/>
          <w:szCs w:val="23"/>
        </w:rPr>
        <w:t>00615/TEPOTZOT/IP/2025</w:t>
      </w:r>
      <w:r w:rsidR="00BF6393" w:rsidRPr="000E5506">
        <w:rPr>
          <w:rFonts w:ascii="Palatino Linotype" w:hAnsi="Palatino Linotype" w:cs="Arial"/>
          <w:sz w:val="24"/>
        </w:rPr>
        <w:t xml:space="preserve"> y</w:t>
      </w:r>
      <w:r w:rsidRPr="000E5506">
        <w:rPr>
          <w:rFonts w:ascii="Palatino Linotype" w:hAnsi="Palatino Linotype" w:cs="Arial"/>
          <w:sz w:val="24"/>
        </w:rPr>
        <w:t xml:space="preserve"> </w:t>
      </w:r>
      <w:bookmarkEnd w:id="2"/>
      <w:bookmarkEnd w:id="3"/>
      <w:r w:rsidR="00BD5D54" w:rsidRPr="000E5506">
        <w:rPr>
          <w:rFonts w:ascii="Palatino Linotype" w:hAnsi="Palatino Linotype" w:cs="Arial"/>
          <w:b/>
          <w:sz w:val="23"/>
          <w:szCs w:val="23"/>
        </w:rPr>
        <w:t>00616/TEPOTZOT/IP/2025</w:t>
      </w:r>
      <w:r w:rsidRPr="000E5506">
        <w:rPr>
          <w:rFonts w:ascii="Palatino Linotype" w:hAnsi="Palatino Linotype" w:cs="Arial"/>
          <w:sz w:val="24"/>
          <w:lang w:eastAsia="es-MX"/>
        </w:rPr>
        <w:t>,</w:t>
      </w:r>
      <w:r w:rsidRPr="000E5506">
        <w:rPr>
          <w:rFonts w:ascii="Palatino Linotype" w:hAnsi="Palatino Linotype" w:cs="Arial"/>
          <w:b/>
          <w:sz w:val="24"/>
          <w:lang w:eastAsia="es-MX"/>
        </w:rPr>
        <w:t xml:space="preserve"> </w:t>
      </w:r>
      <w:r w:rsidRPr="000E5506">
        <w:rPr>
          <w:rFonts w:ascii="Palatino Linotype" w:hAnsi="Palatino Linotype" w:cs="Arial"/>
          <w:sz w:val="24"/>
        </w:rPr>
        <w:t>mediante las cuales solicitó información en el tenor siguiente:</w:t>
      </w:r>
    </w:p>
    <w:p w14:paraId="7D85F4E7" w14:textId="77777777" w:rsidR="0098497E" w:rsidRPr="000E5506" w:rsidRDefault="0098497E" w:rsidP="00F44AAE">
      <w:pPr>
        <w:spacing w:after="0" w:line="360" w:lineRule="auto"/>
        <w:jc w:val="both"/>
        <w:rPr>
          <w:rFonts w:ascii="Palatino Linotype" w:hAnsi="Palatino Linotype" w:cs="Arial"/>
          <w:sz w:val="24"/>
        </w:rPr>
      </w:pPr>
    </w:p>
    <w:p w14:paraId="54757F5A" w14:textId="77777777" w:rsidR="00F44AAE" w:rsidRPr="000E5506"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425"/>
        <w:gridCol w:w="5587"/>
      </w:tblGrid>
      <w:tr w:rsidR="009030C4" w:rsidRPr="000E5506" w14:paraId="7300FC90" w14:textId="77777777" w:rsidTr="00884816">
        <w:trPr>
          <w:trHeight w:val="696"/>
          <w:tblHeader/>
        </w:trPr>
        <w:tc>
          <w:tcPr>
            <w:tcW w:w="3425" w:type="dxa"/>
            <w:shd w:val="clear" w:color="auto" w:fill="D9D9D9" w:themeFill="background1" w:themeFillShade="D9"/>
            <w:vAlign w:val="center"/>
          </w:tcPr>
          <w:p w14:paraId="4680DE6E" w14:textId="15D89847" w:rsidR="00F44AAE" w:rsidRPr="000E5506" w:rsidRDefault="00F44AAE" w:rsidP="000B462C">
            <w:pPr>
              <w:jc w:val="center"/>
              <w:rPr>
                <w:rFonts w:ascii="Palatino Linotype" w:hAnsi="Palatino Linotype" w:cs="Arial"/>
                <w:b/>
                <w:i/>
              </w:rPr>
            </w:pPr>
            <w:bookmarkStart w:id="4" w:name="_Hlk154780275"/>
            <w:r w:rsidRPr="000E5506">
              <w:rPr>
                <w:rFonts w:ascii="Palatino Linotype" w:hAnsi="Palatino Linotype" w:cs="Arial"/>
                <w:b/>
                <w:i/>
              </w:rPr>
              <w:t xml:space="preserve">Número de </w:t>
            </w:r>
            <w:r w:rsidR="0089782A" w:rsidRPr="000E5506">
              <w:rPr>
                <w:rFonts w:ascii="Palatino Linotype" w:hAnsi="Palatino Linotype" w:cs="Arial"/>
                <w:b/>
                <w:i/>
              </w:rPr>
              <w:t>folio de la solicitud</w:t>
            </w:r>
          </w:p>
        </w:tc>
        <w:tc>
          <w:tcPr>
            <w:tcW w:w="5587" w:type="dxa"/>
            <w:shd w:val="clear" w:color="auto" w:fill="D9D9D9" w:themeFill="background1" w:themeFillShade="D9"/>
            <w:vAlign w:val="center"/>
          </w:tcPr>
          <w:p w14:paraId="58E20C5C" w14:textId="2B95FBC0" w:rsidR="00F44AAE" w:rsidRPr="000E5506" w:rsidRDefault="00F44AAE" w:rsidP="000B462C">
            <w:pPr>
              <w:jc w:val="center"/>
              <w:rPr>
                <w:rFonts w:ascii="Palatino Linotype" w:hAnsi="Palatino Linotype" w:cs="Arial"/>
                <w:b/>
                <w:i/>
              </w:rPr>
            </w:pPr>
            <w:r w:rsidRPr="000E5506">
              <w:rPr>
                <w:rFonts w:ascii="Palatino Linotype" w:hAnsi="Palatino Linotype" w:cs="Arial"/>
                <w:b/>
                <w:i/>
              </w:rPr>
              <w:t>Descripción clara y precisa de la información solicitada</w:t>
            </w:r>
          </w:p>
        </w:tc>
      </w:tr>
      <w:tr w:rsidR="004B6A48" w:rsidRPr="000E5506" w14:paraId="269DF150" w14:textId="77777777" w:rsidTr="00884816">
        <w:trPr>
          <w:trHeight w:val="410"/>
        </w:trPr>
        <w:tc>
          <w:tcPr>
            <w:tcW w:w="3425" w:type="dxa"/>
            <w:vAlign w:val="center"/>
          </w:tcPr>
          <w:p w14:paraId="154416F3" w14:textId="64625D97" w:rsidR="004B6A48" w:rsidRPr="000E5506" w:rsidRDefault="00BD5D54" w:rsidP="004B6A48">
            <w:pPr>
              <w:jc w:val="center"/>
              <w:rPr>
                <w:rFonts w:ascii="Palatino Linotype" w:hAnsi="Palatino Linotype" w:cs="Arial"/>
                <w:b/>
                <w:sz w:val="20"/>
                <w:szCs w:val="20"/>
              </w:rPr>
            </w:pPr>
            <w:bookmarkStart w:id="5" w:name="_Hlk99021051"/>
            <w:r w:rsidRPr="000E5506">
              <w:rPr>
                <w:rFonts w:ascii="Palatino Linotype" w:hAnsi="Palatino Linotype" w:cs="Arial"/>
                <w:b/>
                <w:sz w:val="24"/>
                <w:szCs w:val="24"/>
              </w:rPr>
              <w:t>00615/TEPOTZOT/IP/2025</w:t>
            </w:r>
          </w:p>
        </w:tc>
        <w:tc>
          <w:tcPr>
            <w:tcW w:w="5587" w:type="dxa"/>
          </w:tcPr>
          <w:p w14:paraId="70311921" w14:textId="32C6D397" w:rsidR="004B6A48" w:rsidRPr="000E5506" w:rsidRDefault="004B6A48" w:rsidP="004B6A48">
            <w:pPr>
              <w:tabs>
                <w:tab w:val="left" w:pos="1165"/>
              </w:tabs>
              <w:jc w:val="both"/>
              <w:rPr>
                <w:rFonts w:ascii="Palatino Linotype" w:hAnsi="Palatino Linotype" w:cs="Arial"/>
                <w:i/>
                <w:sz w:val="20"/>
                <w:szCs w:val="20"/>
              </w:rPr>
            </w:pPr>
            <w:r w:rsidRPr="000E5506">
              <w:rPr>
                <w:rFonts w:ascii="Palatino Linotype" w:hAnsi="Palatino Linotype" w:cs="Arial"/>
                <w:i/>
                <w:sz w:val="20"/>
                <w:szCs w:val="20"/>
              </w:rPr>
              <w:t>“</w:t>
            </w:r>
            <w:r w:rsidR="00BD5D54" w:rsidRPr="000E5506">
              <w:rPr>
                <w:rFonts w:ascii="Palatino Linotype" w:hAnsi="Palatino Linotype" w:cs="Arial"/>
                <w:i/>
                <w:sz w:val="20"/>
                <w:szCs w:val="20"/>
              </w:rPr>
              <w:t xml:space="preserve">Solicito nombre, contrato y poliza de responsabilidad civil vigente durante el periodo de los trabajos, de la empresa encargada de la demolicion y reconstrucción de los cabezales de los apoyos 2,3 y 4 durante los meses de febrero y marzo 2025, así como, de la colocacion de las trabes de los claros 1-2 y 4-5 ; asi como, los claros </w:t>
            </w:r>
            <w:r w:rsidR="00BD5D54" w:rsidRPr="000E5506">
              <w:rPr>
                <w:rFonts w:ascii="Palatino Linotype" w:hAnsi="Palatino Linotype" w:cs="Arial"/>
                <w:i/>
                <w:sz w:val="20"/>
                <w:szCs w:val="20"/>
              </w:rPr>
              <w:lastRenderedPageBreak/>
              <w:t>2-3 y 3-4 de acuerdo a lo indicado en el oficio DOP/0821/2025 de fecha 11 de junio de 2025.</w:t>
            </w:r>
            <w:r w:rsidRPr="000E5506">
              <w:rPr>
                <w:rFonts w:ascii="Palatino Linotype" w:hAnsi="Palatino Linotype" w:cs="Arial"/>
                <w:i/>
                <w:sz w:val="20"/>
                <w:szCs w:val="20"/>
              </w:rPr>
              <w:t>” (Sic)</w:t>
            </w:r>
          </w:p>
        </w:tc>
      </w:tr>
      <w:tr w:rsidR="004B6A48" w:rsidRPr="000E5506" w14:paraId="5F0CF888" w14:textId="77777777" w:rsidTr="00884816">
        <w:trPr>
          <w:trHeight w:val="410"/>
        </w:trPr>
        <w:tc>
          <w:tcPr>
            <w:tcW w:w="3425" w:type="dxa"/>
            <w:vAlign w:val="center"/>
          </w:tcPr>
          <w:p w14:paraId="631500FF" w14:textId="08F47D66" w:rsidR="004B6A48" w:rsidRPr="000E5506" w:rsidRDefault="00BD5D54" w:rsidP="004B6A48">
            <w:pPr>
              <w:jc w:val="center"/>
              <w:rPr>
                <w:rFonts w:ascii="Palatino Linotype" w:hAnsi="Palatino Linotype" w:cs="Arial"/>
                <w:b/>
                <w:sz w:val="20"/>
                <w:szCs w:val="20"/>
              </w:rPr>
            </w:pPr>
            <w:r w:rsidRPr="000E5506">
              <w:rPr>
                <w:rFonts w:ascii="Palatino Linotype" w:hAnsi="Palatino Linotype" w:cs="Arial"/>
                <w:b/>
                <w:sz w:val="24"/>
                <w:szCs w:val="24"/>
              </w:rPr>
              <w:lastRenderedPageBreak/>
              <w:t>00616/TEPOTZOT/IP/2025</w:t>
            </w:r>
          </w:p>
        </w:tc>
        <w:tc>
          <w:tcPr>
            <w:tcW w:w="5587" w:type="dxa"/>
          </w:tcPr>
          <w:p w14:paraId="37D41A98" w14:textId="2644136D" w:rsidR="004B6A48" w:rsidRPr="000E5506" w:rsidRDefault="004B6A48" w:rsidP="004B6A48">
            <w:pPr>
              <w:jc w:val="both"/>
              <w:rPr>
                <w:rFonts w:ascii="Palatino Linotype" w:hAnsi="Palatino Linotype" w:cs="Arial"/>
                <w:i/>
                <w:sz w:val="20"/>
                <w:szCs w:val="20"/>
              </w:rPr>
            </w:pPr>
            <w:r w:rsidRPr="000E5506">
              <w:rPr>
                <w:rFonts w:ascii="Palatino Linotype" w:hAnsi="Palatino Linotype" w:cs="Arial"/>
                <w:i/>
                <w:sz w:val="20"/>
                <w:szCs w:val="20"/>
              </w:rPr>
              <w:t>“</w:t>
            </w:r>
            <w:r w:rsidR="00BD5D54" w:rsidRPr="000E5506">
              <w:rPr>
                <w:rFonts w:ascii="Palatino Linotype" w:hAnsi="Palatino Linotype" w:cs="Arial"/>
                <w:i/>
                <w:sz w:val="20"/>
                <w:szCs w:val="20"/>
              </w:rPr>
              <w:t>Solicito nombre, contrato y poliza de responsabilidad civil vigente durante el periodo de los trabajos, de la empresa encargada de la demolicion y reconstrucción de los cabezales de los apoyos 2,3 y 4 durante los meses de febrero y marzo 2025, así como, de la colocacion de las trabes de los claros 1-2 y 4-5 ; asi como, los claros 2-3 y 3-4 de acuerdo a lo indicado en el oficio DOP/0821/2025 de fecha 11 de junio de 2025, del paso inferior vehicular tepotztotlan ubicado en la carretera mexico-queretaro en el kilometro 44 aproximadamente.</w:t>
            </w:r>
            <w:r w:rsidRPr="000E5506">
              <w:rPr>
                <w:rFonts w:ascii="Palatino Linotype" w:hAnsi="Palatino Linotype" w:cs="Arial"/>
                <w:i/>
                <w:sz w:val="20"/>
                <w:szCs w:val="20"/>
              </w:rPr>
              <w:t>” (Sic)</w:t>
            </w:r>
          </w:p>
        </w:tc>
      </w:tr>
      <w:bookmarkEnd w:id="4"/>
      <w:bookmarkEnd w:id="5"/>
    </w:tbl>
    <w:p w14:paraId="42BF6615" w14:textId="77777777" w:rsidR="009C342E" w:rsidRPr="000E5506" w:rsidRDefault="009C342E" w:rsidP="000B462C">
      <w:pPr>
        <w:rPr>
          <w:rFonts w:ascii="Palatino Linotype" w:hAnsi="Palatino Linotype"/>
          <w:sz w:val="18"/>
          <w:lang w:val="es-ES_tradnl"/>
        </w:rPr>
      </w:pPr>
    </w:p>
    <w:p w14:paraId="6D568474" w14:textId="642C2A60" w:rsidR="00F50781" w:rsidRPr="000E5506" w:rsidRDefault="00BA610B" w:rsidP="005635D9">
      <w:pPr>
        <w:pStyle w:val="Prrafodelista"/>
        <w:numPr>
          <w:ilvl w:val="0"/>
          <w:numId w:val="1"/>
        </w:numPr>
        <w:rPr>
          <w:rFonts w:ascii="Palatino Linotype" w:hAnsi="Palatino Linotype"/>
          <w:lang w:val="es-ES_tradnl"/>
        </w:rPr>
      </w:pPr>
      <w:r w:rsidRPr="000E5506">
        <w:rPr>
          <w:rFonts w:ascii="Palatino Linotype" w:hAnsi="Palatino Linotype"/>
          <w:b/>
          <w:lang w:val="es-ES_tradnl"/>
        </w:rPr>
        <w:t>MODALIDAD DE ENTREGA:</w:t>
      </w:r>
      <w:r w:rsidRPr="000E5506">
        <w:rPr>
          <w:rFonts w:ascii="Palatino Linotype" w:hAnsi="Palatino Linotype"/>
          <w:lang w:val="es-ES_tradnl"/>
        </w:rPr>
        <w:t xml:space="preserve"> A través del </w:t>
      </w:r>
      <w:r w:rsidRPr="000E5506">
        <w:rPr>
          <w:rFonts w:ascii="Palatino Linotype" w:hAnsi="Palatino Linotype"/>
          <w:b/>
          <w:lang w:val="es-ES_tradnl"/>
        </w:rPr>
        <w:t>SAIMEX</w:t>
      </w:r>
      <w:r w:rsidRPr="000E5506">
        <w:rPr>
          <w:rFonts w:ascii="Palatino Linotype" w:hAnsi="Palatino Linotype"/>
          <w:lang w:val="es-ES_tradnl"/>
        </w:rPr>
        <w:t xml:space="preserve">, en </w:t>
      </w:r>
      <w:r w:rsidR="004B6A48" w:rsidRPr="000E5506">
        <w:rPr>
          <w:rFonts w:ascii="Palatino Linotype" w:hAnsi="Palatino Linotype"/>
          <w:lang w:val="es-ES_tradnl"/>
        </w:rPr>
        <w:t>ambos</w:t>
      </w:r>
      <w:r w:rsidR="000A73D8" w:rsidRPr="000E5506">
        <w:rPr>
          <w:rFonts w:ascii="Palatino Linotype" w:hAnsi="Palatino Linotype"/>
          <w:lang w:val="es-ES_tradnl"/>
        </w:rPr>
        <w:t xml:space="preserve"> </w:t>
      </w:r>
      <w:r w:rsidRPr="000E5506">
        <w:rPr>
          <w:rFonts w:ascii="Palatino Linotype" w:hAnsi="Palatino Linotype"/>
          <w:lang w:val="es-ES_tradnl"/>
        </w:rPr>
        <w:t>casos.</w:t>
      </w:r>
    </w:p>
    <w:p w14:paraId="54CD82CE" w14:textId="77777777" w:rsidR="004A50EE" w:rsidRPr="000E5506" w:rsidRDefault="004A50EE" w:rsidP="004E7632">
      <w:pPr>
        <w:spacing w:after="0" w:line="360" w:lineRule="auto"/>
        <w:jc w:val="both"/>
        <w:rPr>
          <w:rFonts w:ascii="Palatino Linotype" w:hAnsi="Palatino Linotype" w:cs="Arial"/>
          <w:bCs/>
          <w:sz w:val="24"/>
          <w:szCs w:val="20"/>
        </w:rPr>
      </w:pPr>
    </w:p>
    <w:p w14:paraId="669DD2C1" w14:textId="77777777" w:rsidR="004B6A48" w:rsidRPr="000E5506" w:rsidRDefault="004B6A48" w:rsidP="004B6A48">
      <w:pPr>
        <w:spacing w:after="0" w:line="360" w:lineRule="auto"/>
        <w:jc w:val="both"/>
        <w:rPr>
          <w:rFonts w:ascii="Palatino Linotype" w:eastAsia="Times New Roman" w:hAnsi="Palatino Linotype" w:cs="Arial"/>
          <w:b/>
          <w:sz w:val="28"/>
          <w:szCs w:val="24"/>
          <w:lang w:val="es-ES" w:eastAsia="es-ES"/>
        </w:rPr>
      </w:pPr>
      <w:r w:rsidRPr="000E5506">
        <w:rPr>
          <w:rFonts w:ascii="Palatino Linotype" w:eastAsia="Times New Roman" w:hAnsi="Palatino Linotype" w:cs="Arial"/>
          <w:b/>
          <w:sz w:val="28"/>
          <w:szCs w:val="24"/>
          <w:lang w:val="es-ES" w:eastAsia="es-ES"/>
        </w:rPr>
        <w:t>SEGUNDO. De la solicitud de prórroga del Sujeto Obligado.</w:t>
      </w:r>
    </w:p>
    <w:p w14:paraId="4FAB3677" w14:textId="7CCDF72C" w:rsidR="004B6A48" w:rsidRPr="000E5506" w:rsidRDefault="004B6A48" w:rsidP="004B6A48">
      <w:pPr>
        <w:spacing w:after="0" w:line="360" w:lineRule="auto"/>
        <w:jc w:val="both"/>
        <w:rPr>
          <w:rFonts w:ascii="Palatino Linotype" w:eastAsia="Times New Roman" w:hAnsi="Palatino Linotype" w:cs="Arial"/>
          <w:sz w:val="24"/>
          <w:szCs w:val="24"/>
          <w:lang w:val="es-ES" w:eastAsia="es-ES"/>
        </w:rPr>
      </w:pPr>
      <w:r w:rsidRPr="000E5506">
        <w:rPr>
          <w:rFonts w:ascii="Palatino Linotype" w:eastAsia="Times New Roman" w:hAnsi="Palatino Linotype" w:cs="Arial"/>
          <w:sz w:val="24"/>
          <w:szCs w:val="24"/>
          <w:lang w:val="es-ES" w:eastAsia="es-ES"/>
        </w:rPr>
        <w:t xml:space="preserve">En fecha </w:t>
      </w:r>
      <w:r w:rsidR="00BD5D54" w:rsidRPr="000E5506">
        <w:rPr>
          <w:rFonts w:ascii="Palatino Linotype" w:eastAsia="Times New Roman" w:hAnsi="Palatino Linotype" w:cs="Arial"/>
          <w:sz w:val="24"/>
          <w:szCs w:val="24"/>
          <w:lang w:val="es-ES" w:eastAsia="es-ES"/>
        </w:rPr>
        <w:t>veintiocho de octubre</w:t>
      </w:r>
      <w:r w:rsidRPr="000E5506">
        <w:rPr>
          <w:rFonts w:ascii="Palatino Linotype" w:eastAsia="Times New Roman" w:hAnsi="Palatino Linotype" w:cs="Arial"/>
          <w:sz w:val="24"/>
          <w:szCs w:val="24"/>
          <w:lang w:val="es-ES" w:eastAsia="es-ES"/>
        </w:rPr>
        <w:t xml:space="preserve"> de dos mil veinticinco, el </w:t>
      </w:r>
      <w:r w:rsidRPr="000E5506">
        <w:rPr>
          <w:rFonts w:ascii="Palatino Linotype" w:eastAsia="Times New Roman" w:hAnsi="Palatino Linotype" w:cs="Arial"/>
          <w:b/>
          <w:sz w:val="24"/>
          <w:szCs w:val="24"/>
          <w:lang w:val="es-ES" w:eastAsia="es-ES"/>
        </w:rPr>
        <w:t>Sujeto Obligado</w:t>
      </w:r>
      <w:r w:rsidRPr="000E5506">
        <w:rPr>
          <w:rFonts w:ascii="Palatino Linotype" w:eastAsia="Times New Roman" w:hAnsi="Palatino Linotype" w:cs="Arial"/>
          <w:sz w:val="24"/>
          <w:szCs w:val="24"/>
          <w:lang w:val="es-ES" w:eastAsia="es-ES"/>
        </w:rPr>
        <w:t xml:space="preserve"> solicitó con fundamento en el artículo 163, de la Ley de Transparencia y Acceso a la Información Pública del Estado de México y Municipios, una prórroga de 7 días hábiles para atender la</w:t>
      </w:r>
      <w:r w:rsidR="00BD5D54" w:rsidRPr="000E5506">
        <w:rPr>
          <w:rFonts w:ascii="Palatino Linotype" w:eastAsia="Times New Roman" w:hAnsi="Palatino Linotype" w:cs="Arial"/>
          <w:sz w:val="24"/>
          <w:szCs w:val="24"/>
          <w:lang w:val="es-ES" w:eastAsia="es-ES"/>
        </w:rPr>
        <w:t>s</w:t>
      </w:r>
      <w:r w:rsidRPr="000E5506">
        <w:rPr>
          <w:rFonts w:ascii="Palatino Linotype" w:eastAsia="Times New Roman" w:hAnsi="Palatino Linotype" w:cs="Arial"/>
          <w:sz w:val="24"/>
          <w:szCs w:val="24"/>
          <w:lang w:val="es-ES" w:eastAsia="es-ES"/>
        </w:rPr>
        <w:t xml:space="preserve"> solicitud</w:t>
      </w:r>
      <w:r w:rsidR="00BD5D54" w:rsidRPr="000E5506">
        <w:rPr>
          <w:rFonts w:ascii="Palatino Linotype" w:eastAsia="Times New Roman" w:hAnsi="Palatino Linotype" w:cs="Arial"/>
          <w:sz w:val="24"/>
          <w:szCs w:val="24"/>
          <w:lang w:val="es-ES" w:eastAsia="es-ES"/>
        </w:rPr>
        <w:t>es</w:t>
      </w:r>
      <w:r w:rsidRPr="000E5506">
        <w:rPr>
          <w:rFonts w:ascii="Palatino Linotype" w:eastAsia="Times New Roman" w:hAnsi="Palatino Linotype" w:cs="Arial"/>
          <w:sz w:val="24"/>
          <w:szCs w:val="24"/>
          <w:lang w:val="es-ES" w:eastAsia="es-ES"/>
        </w:rPr>
        <w:t xml:space="preserve"> de información, en los siguientes términos:</w:t>
      </w:r>
    </w:p>
    <w:p w14:paraId="765552D6" w14:textId="77777777" w:rsidR="004B6A48" w:rsidRPr="000E5506" w:rsidRDefault="004B6A48" w:rsidP="004B6A48">
      <w:pPr>
        <w:spacing w:after="0" w:line="240" w:lineRule="auto"/>
        <w:rPr>
          <w:rFonts w:ascii="Times New Roman" w:eastAsia="Times New Roman" w:hAnsi="Times New Roman" w:cs="Times New Roman"/>
          <w:sz w:val="24"/>
          <w:szCs w:val="24"/>
          <w:lang w:eastAsia="es-ES"/>
        </w:rPr>
      </w:pPr>
    </w:p>
    <w:p w14:paraId="033185E2" w14:textId="77777777" w:rsidR="00BD5D54" w:rsidRPr="000E5506" w:rsidRDefault="004B6A48" w:rsidP="00BD5D54">
      <w:pPr>
        <w:spacing w:after="0" w:line="276" w:lineRule="auto"/>
        <w:ind w:left="567" w:right="567"/>
        <w:jc w:val="both"/>
        <w:rPr>
          <w:rFonts w:ascii="Palatino Linotype" w:eastAsia="Times New Roman" w:hAnsi="Palatino Linotype" w:cs="Times New Roman"/>
          <w:i/>
          <w:lang w:val="es-ES" w:eastAsia="es-MX"/>
        </w:rPr>
      </w:pPr>
      <w:r w:rsidRPr="000E5506">
        <w:rPr>
          <w:rFonts w:ascii="Palatino Linotype" w:eastAsia="Times New Roman" w:hAnsi="Palatino Linotype" w:cs="Times New Roman"/>
          <w:i/>
          <w:lang w:val="es-ES" w:eastAsia="es-MX"/>
        </w:rPr>
        <w:t>“</w:t>
      </w:r>
      <w:r w:rsidR="00BD5D54" w:rsidRPr="000E5506">
        <w:rPr>
          <w:rFonts w:ascii="Palatino Linotype" w:eastAsia="Times New Roman" w:hAnsi="Palatino Linotype" w:cs="Times New Roman"/>
          <w:i/>
          <w:lang w:val="es-ES"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810FDD6" w14:textId="77777777" w:rsidR="00BD5D54" w:rsidRPr="000E5506" w:rsidRDefault="00BD5D54" w:rsidP="00BD5D54">
      <w:pPr>
        <w:spacing w:after="0" w:line="276" w:lineRule="auto"/>
        <w:ind w:left="567" w:right="567"/>
        <w:jc w:val="both"/>
        <w:rPr>
          <w:rFonts w:ascii="Palatino Linotype" w:eastAsia="Times New Roman" w:hAnsi="Palatino Linotype" w:cs="Times New Roman"/>
          <w:i/>
          <w:lang w:val="es-ES" w:eastAsia="es-MX"/>
        </w:rPr>
      </w:pPr>
    </w:p>
    <w:p w14:paraId="1DE9D2EB" w14:textId="4077B5E1" w:rsidR="00BD5D54" w:rsidRPr="000E5506" w:rsidRDefault="00BD5D54" w:rsidP="00BD5D54">
      <w:pPr>
        <w:spacing w:after="0" w:line="276" w:lineRule="auto"/>
        <w:ind w:left="567" w:right="567"/>
        <w:jc w:val="both"/>
        <w:rPr>
          <w:rFonts w:ascii="Palatino Linotype" w:eastAsia="Times New Roman" w:hAnsi="Palatino Linotype" w:cs="Times New Roman"/>
          <w:i/>
          <w:lang w:val="es-ES" w:eastAsia="es-MX"/>
        </w:rPr>
      </w:pPr>
      <w:r w:rsidRPr="000E5506">
        <w:rPr>
          <w:rFonts w:ascii="Palatino Linotype" w:eastAsia="Times New Roman" w:hAnsi="Palatino Linotype" w:cs="Times New Roman"/>
          <w:i/>
          <w:lang w:val="es-ES" w:eastAsia="es-MX"/>
        </w:rPr>
        <w:t>DE ACUERDO A LA NONAGÉSIMA SESIÓN EXTRAORDINARIA 2025 DEL COMITÉ DE TRANSPARENCIA DE FECHA 29 DE OCTUBRE DE 2025, EN EL ACUERDO 02/SE/90/CT/2025: Se aprueba por unanimidad la prórroga para atender las solicitudes de información con número de folio 00616/TEPOTZOT/IP/2025, realizadas por los particulares.</w:t>
      </w:r>
    </w:p>
    <w:p w14:paraId="2DFF9F31" w14:textId="77777777" w:rsidR="00BD5D54" w:rsidRPr="000E5506" w:rsidRDefault="00BD5D54" w:rsidP="00BD5D54">
      <w:pPr>
        <w:spacing w:after="0" w:line="276" w:lineRule="auto"/>
        <w:ind w:left="567" w:right="567"/>
        <w:jc w:val="both"/>
        <w:rPr>
          <w:rFonts w:ascii="Palatino Linotype" w:eastAsia="Times New Roman" w:hAnsi="Palatino Linotype" w:cs="Times New Roman"/>
          <w:i/>
          <w:lang w:val="es-ES" w:eastAsia="es-MX"/>
        </w:rPr>
      </w:pPr>
    </w:p>
    <w:p w14:paraId="2E4D5478" w14:textId="77777777" w:rsidR="00BD5D54" w:rsidRPr="000E5506" w:rsidRDefault="00BD5D54" w:rsidP="00BD5D54">
      <w:pPr>
        <w:spacing w:after="0" w:line="276" w:lineRule="auto"/>
        <w:ind w:left="567" w:right="567"/>
        <w:jc w:val="both"/>
        <w:rPr>
          <w:rFonts w:ascii="Palatino Linotype" w:eastAsia="Times New Roman" w:hAnsi="Palatino Linotype" w:cs="Times New Roman"/>
          <w:i/>
          <w:lang w:val="en-US" w:eastAsia="es-MX"/>
        </w:rPr>
      </w:pPr>
      <w:r w:rsidRPr="000E5506">
        <w:rPr>
          <w:rFonts w:ascii="Palatino Linotype" w:eastAsia="Times New Roman" w:hAnsi="Palatino Linotype" w:cs="Times New Roman"/>
          <w:i/>
          <w:lang w:val="en-US" w:eastAsia="es-MX"/>
        </w:rPr>
        <w:lastRenderedPageBreak/>
        <w:t>P.Ing. Ilse Lizbeth Tavera Arteaga</w:t>
      </w:r>
    </w:p>
    <w:p w14:paraId="76FED243" w14:textId="67AE5AEE" w:rsidR="004B6A48" w:rsidRPr="000E5506" w:rsidRDefault="00BD5D54" w:rsidP="00BD5D54">
      <w:pPr>
        <w:spacing w:after="0" w:line="276" w:lineRule="auto"/>
        <w:ind w:left="567" w:right="567"/>
        <w:jc w:val="both"/>
        <w:rPr>
          <w:rFonts w:ascii="Palatino Linotype" w:eastAsia="Times New Roman" w:hAnsi="Palatino Linotype" w:cs="Times New Roman"/>
          <w:i/>
          <w:sz w:val="24"/>
          <w:lang w:val="es-ES" w:eastAsia="es-MX"/>
        </w:rPr>
      </w:pPr>
      <w:r w:rsidRPr="000E5506">
        <w:rPr>
          <w:rFonts w:ascii="Palatino Linotype" w:eastAsia="Times New Roman" w:hAnsi="Palatino Linotype" w:cs="Times New Roman"/>
          <w:i/>
          <w:lang w:val="es-ES" w:eastAsia="es-MX"/>
        </w:rPr>
        <w:t>Responsable de la Unidad de Transparencia</w:t>
      </w:r>
      <w:r w:rsidR="004B6A48" w:rsidRPr="000E5506">
        <w:rPr>
          <w:rFonts w:ascii="Palatino Linotype" w:eastAsia="Times New Roman" w:hAnsi="Palatino Linotype" w:cs="Times New Roman"/>
          <w:i/>
          <w:lang w:val="es-ES" w:eastAsia="es-MX"/>
        </w:rPr>
        <w:t>” (Sic).</w:t>
      </w:r>
      <w:r w:rsidR="004B6A48" w:rsidRPr="000E5506">
        <w:rPr>
          <w:rFonts w:ascii="Palatino Linotype" w:eastAsia="Times New Roman" w:hAnsi="Palatino Linotype" w:cs="Times New Roman"/>
          <w:i/>
          <w:sz w:val="24"/>
          <w:lang w:val="es-ES" w:eastAsia="es-MX"/>
        </w:rPr>
        <w:t xml:space="preserve"> </w:t>
      </w:r>
    </w:p>
    <w:p w14:paraId="28D553DF" w14:textId="77777777" w:rsidR="004B6A48" w:rsidRPr="000E5506" w:rsidRDefault="004B6A48" w:rsidP="004B6A48">
      <w:pPr>
        <w:spacing w:after="0" w:line="360" w:lineRule="auto"/>
        <w:jc w:val="both"/>
        <w:rPr>
          <w:rFonts w:ascii="Palatino Linotype" w:eastAsia="Times New Roman" w:hAnsi="Palatino Linotype" w:cs="Arial"/>
          <w:b/>
          <w:sz w:val="24"/>
          <w:szCs w:val="24"/>
          <w:lang w:val="es-ES" w:eastAsia="es-ES"/>
        </w:rPr>
      </w:pPr>
    </w:p>
    <w:p w14:paraId="2F5B8F86" w14:textId="325D8A1F" w:rsidR="004B6A48" w:rsidRPr="000E5506" w:rsidRDefault="004B6A48" w:rsidP="004E7632">
      <w:pPr>
        <w:spacing w:after="0" w:line="360" w:lineRule="auto"/>
        <w:jc w:val="both"/>
        <w:rPr>
          <w:rFonts w:ascii="Palatino Linotype" w:hAnsi="Palatino Linotype" w:cs="Arial"/>
          <w:sz w:val="24"/>
          <w:szCs w:val="24"/>
        </w:rPr>
      </w:pPr>
      <w:r w:rsidRPr="000E5506">
        <w:rPr>
          <w:rFonts w:ascii="Palatino Linotype" w:hAnsi="Palatino Linotype" w:cs="Arial"/>
          <w:sz w:val="24"/>
          <w:szCs w:val="24"/>
        </w:rPr>
        <w:t xml:space="preserve">Por lo anterior, se advierte que el </w:t>
      </w:r>
      <w:r w:rsidRPr="000E5506">
        <w:rPr>
          <w:rFonts w:ascii="Palatino Linotype" w:hAnsi="Palatino Linotype" w:cs="Arial"/>
          <w:b/>
          <w:sz w:val="24"/>
          <w:szCs w:val="24"/>
        </w:rPr>
        <w:t>Sujeto Obligado</w:t>
      </w:r>
      <w:r w:rsidRPr="000E5506">
        <w:rPr>
          <w:rFonts w:ascii="Palatino Linotype" w:hAnsi="Palatino Linotype" w:cs="Arial"/>
          <w:sz w:val="24"/>
          <w:szCs w:val="24"/>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17F58700" w14:textId="77777777" w:rsidR="004B6A48" w:rsidRPr="000E5506" w:rsidRDefault="004B6A48" w:rsidP="004E7632">
      <w:pPr>
        <w:spacing w:after="0" w:line="360" w:lineRule="auto"/>
        <w:jc w:val="both"/>
        <w:rPr>
          <w:rFonts w:ascii="Palatino Linotype" w:hAnsi="Palatino Linotype" w:cs="Arial"/>
          <w:sz w:val="24"/>
          <w:szCs w:val="24"/>
        </w:rPr>
      </w:pPr>
    </w:p>
    <w:p w14:paraId="38B807D1" w14:textId="37902155" w:rsidR="004E7632" w:rsidRPr="000E5506" w:rsidRDefault="004B6A48" w:rsidP="004E7632">
      <w:pPr>
        <w:spacing w:after="0" w:line="360" w:lineRule="auto"/>
        <w:jc w:val="both"/>
        <w:rPr>
          <w:rFonts w:ascii="Palatino Linotype" w:hAnsi="Palatino Linotype" w:cs="Arial"/>
          <w:b/>
          <w:sz w:val="28"/>
        </w:rPr>
      </w:pPr>
      <w:r w:rsidRPr="000E5506">
        <w:rPr>
          <w:rFonts w:ascii="Palatino Linotype" w:hAnsi="Palatino Linotype" w:cs="Arial"/>
          <w:b/>
          <w:sz w:val="28"/>
        </w:rPr>
        <w:t>TERCERO</w:t>
      </w:r>
      <w:r w:rsidR="004E7632" w:rsidRPr="000E5506">
        <w:rPr>
          <w:rFonts w:ascii="Palatino Linotype" w:hAnsi="Palatino Linotype" w:cs="Arial"/>
          <w:b/>
          <w:sz w:val="28"/>
        </w:rPr>
        <w:t xml:space="preserve">. </w:t>
      </w:r>
      <w:r w:rsidR="004E7632" w:rsidRPr="000E5506">
        <w:rPr>
          <w:rFonts w:ascii="Palatino Linotype" w:hAnsi="Palatino Linotype" w:cs="Arial"/>
          <w:b/>
          <w:sz w:val="28"/>
          <w:szCs w:val="20"/>
        </w:rPr>
        <w:t>De las respuestas del Sujeto Obligado.</w:t>
      </w:r>
    </w:p>
    <w:p w14:paraId="117ADFF0" w14:textId="1824EAB1" w:rsidR="00744A03" w:rsidRPr="000E5506" w:rsidRDefault="004E7632" w:rsidP="00EF7D3D">
      <w:pPr>
        <w:spacing w:after="0" w:line="360" w:lineRule="auto"/>
        <w:jc w:val="both"/>
        <w:rPr>
          <w:rFonts w:ascii="Palatino Linotype" w:hAnsi="Palatino Linotype" w:cs="Arial"/>
          <w:sz w:val="24"/>
        </w:rPr>
      </w:pPr>
      <w:r w:rsidRPr="000E5506">
        <w:rPr>
          <w:rFonts w:ascii="Palatino Linotype" w:hAnsi="Palatino Linotype" w:cs="Arial"/>
          <w:sz w:val="24"/>
        </w:rPr>
        <w:t xml:space="preserve">En </w:t>
      </w:r>
      <w:r w:rsidR="008F6B8B" w:rsidRPr="000E5506">
        <w:rPr>
          <w:rFonts w:ascii="Palatino Linotype" w:hAnsi="Palatino Linotype" w:cs="Arial"/>
          <w:sz w:val="24"/>
        </w:rPr>
        <w:t>los</w:t>
      </w:r>
      <w:r w:rsidRPr="000E5506">
        <w:rPr>
          <w:rFonts w:ascii="Palatino Linotype" w:hAnsi="Palatino Linotype" w:cs="Arial"/>
          <w:sz w:val="24"/>
        </w:rPr>
        <w:t xml:space="preserve"> expediente</w:t>
      </w:r>
      <w:r w:rsidR="008F6B8B" w:rsidRPr="000E5506">
        <w:rPr>
          <w:rFonts w:ascii="Palatino Linotype" w:hAnsi="Palatino Linotype" w:cs="Arial"/>
          <w:sz w:val="24"/>
        </w:rPr>
        <w:t>s</w:t>
      </w:r>
      <w:r w:rsidRPr="000E5506">
        <w:rPr>
          <w:rFonts w:ascii="Palatino Linotype" w:hAnsi="Palatino Linotype" w:cs="Arial"/>
          <w:sz w:val="24"/>
        </w:rPr>
        <w:t xml:space="preserve"> electrónico</w:t>
      </w:r>
      <w:r w:rsidR="008F6B8B" w:rsidRPr="000E5506">
        <w:rPr>
          <w:rFonts w:ascii="Palatino Linotype" w:hAnsi="Palatino Linotype" w:cs="Arial"/>
          <w:sz w:val="24"/>
        </w:rPr>
        <w:t>s</w:t>
      </w:r>
      <w:r w:rsidRPr="000E5506">
        <w:rPr>
          <w:rFonts w:ascii="Palatino Linotype" w:hAnsi="Palatino Linotype" w:cs="Arial"/>
          <w:sz w:val="24"/>
        </w:rPr>
        <w:t xml:space="preserve"> </w:t>
      </w:r>
      <w:r w:rsidRPr="000E5506">
        <w:rPr>
          <w:rFonts w:ascii="Palatino Linotype" w:hAnsi="Palatino Linotype" w:cs="Arial"/>
          <w:b/>
          <w:sz w:val="24"/>
        </w:rPr>
        <w:t>SAIMEX</w:t>
      </w:r>
      <w:r w:rsidRPr="000E5506">
        <w:rPr>
          <w:rFonts w:ascii="Palatino Linotype" w:hAnsi="Palatino Linotype" w:cs="Arial"/>
          <w:sz w:val="24"/>
        </w:rPr>
        <w:t xml:space="preserve">, se aprecia que </w:t>
      </w:r>
      <w:r w:rsidR="00744A03" w:rsidRPr="000E5506">
        <w:rPr>
          <w:rFonts w:ascii="Palatino Linotype" w:hAnsi="Palatino Linotype" w:cs="Arial"/>
          <w:sz w:val="24"/>
        </w:rPr>
        <w:t>en fecha</w:t>
      </w:r>
      <w:r w:rsidR="00777288" w:rsidRPr="000E5506">
        <w:rPr>
          <w:rFonts w:ascii="Palatino Linotype" w:hAnsi="Palatino Linotype" w:cs="Arial"/>
          <w:sz w:val="24"/>
        </w:rPr>
        <w:t xml:space="preserve"> </w:t>
      </w:r>
      <w:r w:rsidR="00BD5D54" w:rsidRPr="000E5506">
        <w:rPr>
          <w:rFonts w:ascii="Palatino Linotype" w:hAnsi="Palatino Linotype" w:cs="Arial"/>
          <w:sz w:val="24"/>
        </w:rPr>
        <w:t>siete de noviembre</w:t>
      </w:r>
      <w:r w:rsidR="004B6A48" w:rsidRPr="000E5506">
        <w:rPr>
          <w:rFonts w:ascii="Palatino Linotype" w:hAnsi="Palatino Linotype" w:cs="Arial"/>
          <w:sz w:val="24"/>
        </w:rPr>
        <w:t xml:space="preserve"> </w:t>
      </w:r>
      <w:r w:rsidRPr="000E5506">
        <w:rPr>
          <w:rFonts w:ascii="Palatino Linotype" w:hAnsi="Palatino Linotype" w:cs="Arial"/>
          <w:sz w:val="24"/>
        </w:rPr>
        <w:t xml:space="preserve">de dos mil </w:t>
      </w:r>
      <w:r w:rsidR="004A50EE" w:rsidRPr="000E5506">
        <w:rPr>
          <w:rFonts w:ascii="Palatino Linotype" w:hAnsi="Palatino Linotype" w:cs="Arial"/>
          <w:sz w:val="24"/>
        </w:rPr>
        <w:t>veintic</w:t>
      </w:r>
      <w:r w:rsidR="009C33AA" w:rsidRPr="000E5506">
        <w:rPr>
          <w:rFonts w:ascii="Palatino Linotype" w:hAnsi="Palatino Linotype" w:cs="Arial"/>
          <w:sz w:val="24"/>
        </w:rPr>
        <w:t>inco</w:t>
      </w:r>
      <w:r w:rsidRPr="000E5506">
        <w:rPr>
          <w:rFonts w:ascii="Palatino Linotype" w:hAnsi="Palatino Linotype" w:cs="Arial"/>
          <w:sz w:val="24"/>
        </w:rPr>
        <w:t>,</w:t>
      </w:r>
      <w:r w:rsidR="009C33AA" w:rsidRPr="000E5506">
        <w:rPr>
          <w:rFonts w:ascii="Palatino Linotype" w:hAnsi="Palatino Linotype" w:cs="Arial"/>
          <w:sz w:val="24"/>
        </w:rPr>
        <w:t xml:space="preserve"> el </w:t>
      </w:r>
      <w:r w:rsidRPr="000E5506">
        <w:rPr>
          <w:rFonts w:ascii="Palatino Linotype" w:hAnsi="Palatino Linotype" w:cs="Arial"/>
          <w:b/>
          <w:sz w:val="24"/>
        </w:rPr>
        <w:t>Sujeto Obligado</w:t>
      </w:r>
      <w:r w:rsidRPr="000E5506">
        <w:rPr>
          <w:rFonts w:ascii="Palatino Linotype" w:hAnsi="Palatino Linotype" w:cs="Arial"/>
          <w:sz w:val="24"/>
        </w:rPr>
        <w:t xml:space="preserve"> dio respuesta a las solicitudes de infor</w:t>
      </w:r>
      <w:r w:rsidR="00744A03" w:rsidRPr="000E5506">
        <w:rPr>
          <w:rFonts w:ascii="Palatino Linotype" w:hAnsi="Palatino Linotype" w:cs="Arial"/>
          <w:sz w:val="24"/>
        </w:rPr>
        <w:t xml:space="preserve">mación señalando lo siguiente: </w:t>
      </w:r>
    </w:p>
    <w:p w14:paraId="5166DE6C" w14:textId="77777777" w:rsidR="007E7025" w:rsidRPr="000E5506" w:rsidRDefault="007E7025" w:rsidP="007E7025">
      <w:pPr>
        <w:pStyle w:val="Sinespaciado"/>
      </w:pPr>
    </w:p>
    <w:p w14:paraId="438E19A4" w14:textId="77777777" w:rsidR="00BD5D54" w:rsidRPr="000E5506" w:rsidRDefault="007E7025" w:rsidP="00BD5D54">
      <w:pPr>
        <w:spacing w:after="0" w:line="276" w:lineRule="auto"/>
        <w:ind w:left="567" w:right="567"/>
        <w:jc w:val="both"/>
        <w:rPr>
          <w:rFonts w:ascii="Palatino Linotype" w:hAnsi="Palatino Linotype" w:cs="Arial"/>
          <w:i/>
          <w:szCs w:val="20"/>
        </w:rPr>
      </w:pPr>
      <w:r w:rsidRPr="000E5506">
        <w:rPr>
          <w:rFonts w:ascii="Palatino Linotype" w:hAnsi="Palatino Linotype" w:cs="Arial"/>
          <w:i/>
          <w:szCs w:val="20"/>
        </w:rPr>
        <w:t>“</w:t>
      </w:r>
      <w:r w:rsidR="00BD5D54" w:rsidRPr="000E5506">
        <w:rPr>
          <w:rFonts w:ascii="Palatino Linotype" w:hAnsi="Palatino Linotype" w:cs="Arial"/>
          <w:i/>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98C7D9" w14:textId="77777777" w:rsidR="00BD5D54" w:rsidRPr="000E5506" w:rsidRDefault="00BD5D54" w:rsidP="00BD5D54">
      <w:pPr>
        <w:spacing w:after="0" w:line="276" w:lineRule="auto"/>
        <w:ind w:left="567" w:right="567"/>
        <w:jc w:val="both"/>
        <w:rPr>
          <w:rFonts w:ascii="Palatino Linotype" w:hAnsi="Palatino Linotype" w:cs="Arial"/>
          <w:i/>
          <w:szCs w:val="20"/>
        </w:rPr>
      </w:pPr>
    </w:p>
    <w:p w14:paraId="3D7A6F16" w14:textId="6EBD8B60" w:rsidR="00BD5D54" w:rsidRPr="000E5506" w:rsidRDefault="00BD5D54" w:rsidP="00BD5D54">
      <w:pPr>
        <w:spacing w:after="0" w:line="276" w:lineRule="auto"/>
        <w:ind w:left="567" w:right="567"/>
        <w:jc w:val="both"/>
        <w:rPr>
          <w:rFonts w:ascii="Palatino Linotype" w:hAnsi="Palatino Linotype" w:cs="Arial"/>
          <w:i/>
          <w:szCs w:val="20"/>
        </w:rPr>
      </w:pPr>
      <w:r w:rsidRPr="000E5506">
        <w:rPr>
          <w:rFonts w:ascii="Palatino Linotype" w:hAnsi="Palatino Linotype" w:cs="Arial"/>
          <w:i/>
          <w:szCs w:val="20"/>
        </w:rPr>
        <w:t>SE ADJUNTA RESPUESTA DE SERVIDOR PÚBLICO HABILITADO</w:t>
      </w:r>
    </w:p>
    <w:p w14:paraId="3170ECCB" w14:textId="77777777" w:rsidR="00BD5D54" w:rsidRPr="000E5506" w:rsidRDefault="00BD5D54" w:rsidP="00BD5D54">
      <w:pPr>
        <w:spacing w:after="0" w:line="276" w:lineRule="auto"/>
        <w:ind w:left="567" w:right="567"/>
        <w:jc w:val="both"/>
        <w:rPr>
          <w:rFonts w:ascii="Palatino Linotype" w:hAnsi="Palatino Linotype" w:cs="Arial"/>
          <w:i/>
          <w:szCs w:val="20"/>
        </w:rPr>
      </w:pPr>
    </w:p>
    <w:p w14:paraId="1D0475E9" w14:textId="1837D847" w:rsidR="00BD5D54" w:rsidRPr="000E5506" w:rsidRDefault="00BD5D54" w:rsidP="00BD5D54">
      <w:pPr>
        <w:spacing w:after="0" w:line="276" w:lineRule="auto"/>
        <w:ind w:left="567" w:right="567"/>
        <w:jc w:val="both"/>
        <w:rPr>
          <w:rFonts w:ascii="Palatino Linotype" w:hAnsi="Palatino Linotype" w:cs="Arial"/>
          <w:i/>
          <w:szCs w:val="20"/>
        </w:rPr>
      </w:pPr>
      <w:r w:rsidRPr="000E5506">
        <w:rPr>
          <w:rFonts w:ascii="Palatino Linotype" w:hAnsi="Palatino Linotype" w:cs="Arial"/>
          <w:i/>
          <w:szCs w:val="20"/>
        </w:rPr>
        <w:t>ATENTAMENTE</w:t>
      </w:r>
    </w:p>
    <w:p w14:paraId="3E595ABE" w14:textId="4F2C3A18" w:rsidR="007E7025" w:rsidRPr="000E5506" w:rsidRDefault="00BD5D54" w:rsidP="00BD5D54">
      <w:pPr>
        <w:spacing w:after="0" w:line="276" w:lineRule="auto"/>
        <w:ind w:left="567" w:right="567"/>
        <w:jc w:val="both"/>
        <w:rPr>
          <w:rFonts w:ascii="Palatino Linotype" w:hAnsi="Palatino Linotype" w:cs="Arial"/>
          <w:i/>
          <w:szCs w:val="20"/>
        </w:rPr>
      </w:pPr>
      <w:r w:rsidRPr="000E5506">
        <w:rPr>
          <w:rFonts w:ascii="Palatino Linotype" w:hAnsi="Palatino Linotype" w:cs="Arial"/>
          <w:i/>
          <w:szCs w:val="20"/>
        </w:rPr>
        <w:t>P.Ing. Ilse Lizbeth Tavera Arteaga</w:t>
      </w:r>
      <w:r w:rsidR="007E7025" w:rsidRPr="000E5506">
        <w:rPr>
          <w:rFonts w:ascii="Palatino Linotype" w:hAnsi="Palatino Linotype" w:cs="Arial"/>
          <w:i/>
          <w:szCs w:val="20"/>
        </w:rPr>
        <w:t xml:space="preserve">” (Sic). </w:t>
      </w:r>
    </w:p>
    <w:p w14:paraId="04FAF3B5" w14:textId="77777777" w:rsidR="007E7025" w:rsidRPr="000E5506" w:rsidRDefault="007E7025" w:rsidP="007E7025">
      <w:pPr>
        <w:spacing w:after="0" w:line="360" w:lineRule="auto"/>
        <w:jc w:val="both"/>
        <w:rPr>
          <w:rFonts w:ascii="Palatino Linotype" w:hAnsi="Palatino Linotype" w:cs="Arial"/>
          <w:i/>
          <w:sz w:val="24"/>
        </w:rPr>
      </w:pPr>
    </w:p>
    <w:p w14:paraId="6BD7D590" w14:textId="46E26721" w:rsidR="007E7025" w:rsidRPr="000E5506" w:rsidRDefault="007E7025" w:rsidP="007E7025">
      <w:pPr>
        <w:spacing w:after="0" w:line="360" w:lineRule="auto"/>
        <w:jc w:val="both"/>
        <w:rPr>
          <w:rFonts w:ascii="Palatino Linotype" w:hAnsi="Palatino Linotype" w:cs="Arial"/>
          <w:sz w:val="24"/>
        </w:rPr>
      </w:pPr>
      <w:r w:rsidRPr="000E5506">
        <w:rPr>
          <w:rFonts w:ascii="Palatino Linotype" w:hAnsi="Palatino Linotype" w:cs="Arial"/>
          <w:sz w:val="24"/>
        </w:rPr>
        <w:t xml:space="preserve">El </w:t>
      </w:r>
      <w:r w:rsidRPr="000E5506">
        <w:rPr>
          <w:rFonts w:ascii="Palatino Linotype" w:hAnsi="Palatino Linotype" w:cs="Arial"/>
          <w:b/>
          <w:sz w:val="24"/>
        </w:rPr>
        <w:t>Sujeto Obligado</w:t>
      </w:r>
      <w:r w:rsidRPr="000E5506">
        <w:rPr>
          <w:rFonts w:ascii="Palatino Linotype" w:hAnsi="Palatino Linotype" w:cs="Arial"/>
          <w:sz w:val="24"/>
        </w:rPr>
        <w:t xml:space="preserve"> adjuntó a dichas respuestas, los archivos electrónicos denominados </w:t>
      </w:r>
      <w:r w:rsidRPr="000E5506">
        <w:rPr>
          <w:rFonts w:ascii="Palatino Linotype" w:hAnsi="Palatino Linotype" w:cs="Arial"/>
          <w:i/>
          <w:sz w:val="24"/>
        </w:rPr>
        <w:t>“</w:t>
      </w:r>
      <w:r w:rsidR="00BD5D54" w:rsidRPr="000E5506">
        <w:rPr>
          <w:rFonts w:ascii="Palatino Linotype" w:hAnsi="Palatino Linotype" w:cs="Arial"/>
          <w:i/>
          <w:sz w:val="24"/>
        </w:rPr>
        <w:t>DOP-2214-2025.pdf</w:t>
      </w:r>
      <w:r w:rsidRPr="000E5506">
        <w:rPr>
          <w:rFonts w:ascii="Palatino Linotype" w:hAnsi="Palatino Linotype" w:cs="Arial"/>
          <w:i/>
          <w:sz w:val="24"/>
        </w:rPr>
        <w:t>”</w:t>
      </w:r>
      <w:r w:rsidR="004B6A48" w:rsidRPr="000E5506">
        <w:rPr>
          <w:rFonts w:ascii="Palatino Linotype" w:hAnsi="Palatino Linotype" w:cs="Arial"/>
          <w:i/>
          <w:sz w:val="24"/>
        </w:rPr>
        <w:t xml:space="preserve"> </w:t>
      </w:r>
      <w:r w:rsidRPr="000E5506">
        <w:rPr>
          <w:rFonts w:ascii="Palatino Linotype" w:hAnsi="Palatino Linotype" w:cs="Arial"/>
          <w:iCs/>
          <w:sz w:val="24"/>
        </w:rPr>
        <w:t>y</w:t>
      </w:r>
      <w:r w:rsidRPr="000E5506">
        <w:rPr>
          <w:rFonts w:ascii="Palatino Linotype" w:hAnsi="Palatino Linotype" w:cs="Arial"/>
          <w:i/>
          <w:sz w:val="24"/>
        </w:rPr>
        <w:t xml:space="preserve"> “</w:t>
      </w:r>
      <w:r w:rsidR="00BD5D54" w:rsidRPr="000E5506">
        <w:rPr>
          <w:rFonts w:ascii="Palatino Linotype" w:hAnsi="Palatino Linotype" w:cs="Arial"/>
          <w:i/>
          <w:sz w:val="24"/>
        </w:rPr>
        <w:t>DOP-2221-2025.pdf</w:t>
      </w:r>
      <w:r w:rsidRPr="000E5506">
        <w:rPr>
          <w:rFonts w:ascii="Palatino Linotype" w:hAnsi="Palatino Linotype" w:cs="Arial"/>
          <w:i/>
          <w:sz w:val="24"/>
        </w:rPr>
        <w:t>”</w:t>
      </w:r>
      <w:r w:rsidRPr="000E5506">
        <w:rPr>
          <w:rFonts w:ascii="Palatino Linotype" w:hAnsi="Palatino Linotype" w:cs="Arial"/>
          <w:sz w:val="24"/>
        </w:rPr>
        <w:t>; mismos que no se reproducen por ser del conocimiento de las partes, sin embargo, serán motivo de estudio en el Considerando respectivo.</w:t>
      </w:r>
    </w:p>
    <w:p w14:paraId="5E24EE4F" w14:textId="77777777" w:rsidR="00F50919" w:rsidRPr="000E5506" w:rsidRDefault="00F50919" w:rsidP="00A45D68">
      <w:pPr>
        <w:pStyle w:val="Sinespaciado"/>
        <w:spacing w:line="360" w:lineRule="auto"/>
        <w:jc w:val="both"/>
        <w:rPr>
          <w:rFonts w:ascii="Palatino Linotype" w:hAnsi="Palatino Linotype"/>
          <w:sz w:val="24"/>
        </w:rPr>
      </w:pPr>
    </w:p>
    <w:p w14:paraId="35B1F4CB" w14:textId="77777777" w:rsidR="0082195F" w:rsidRPr="000E5506" w:rsidRDefault="0082195F" w:rsidP="00A45D68">
      <w:pPr>
        <w:pStyle w:val="Sinespaciado"/>
        <w:spacing w:line="360" w:lineRule="auto"/>
        <w:jc w:val="both"/>
        <w:rPr>
          <w:rFonts w:ascii="Palatino Linotype" w:hAnsi="Palatino Linotype"/>
          <w:sz w:val="24"/>
        </w:rPr>
      </w:pPr>
    </w:p>
    <w:p w14:paraId="56F200D0" w14:textId="34073195" w:rsidR="004E7632" w:rsidRPr="000E5506" w:rsidRDefault="004B6A48" w:rsidP="004E7632">
      <w:pPr>
        <w:spacing w:after="0" w:line="360" w:lineRule="auto"/>
        <w:jc w:val="both"/>
        <w:rPr>
          <w:rFonts w:ascii="Palatino Linotype" w:hAnsi="Palatino Linotype" w:cs="Arial"/>
          <w:b/>
          <w:sz w:val="28"/>
        </w:rPr>
      </w:pPr>
      <w:r w:rsidRPr="000E5506">
        <w:rPr>
          <w:rFonts w:ascii="Palatino Linotype" w:hAnsi="Palatino Linotype" w:cs="Arial"/>
          <w:b/>
          <w:sz w:val="28"/>
        </w:rPr>
        <w:lastRenderedPageBreak/>
        <w:t>CUARTO</w:t>
      </w:r>
      <w:r w:rsidR="004E7632" w:rsidRPr="000E5506">
        <w:rPr>
          <w:rFonts w:ascii="Palatino Linotype" w:hAnsi="Palatino Linotype" w:cs="Arial"/>
          <w:b/>
          <w:sz w:val="28"/>
        </w:rPr>
        <w:t xml:space="preserve">. </w:t>
      </w:r>
      <w:r w:rsidR="002852DC" w:rsidRPr="000E5506">
        <w:rPr>
          <w:rFonts w:ascii="Palatino Linotype" w:hAnsi="Palatino Linotype"/>
          <w:b/>
          <w:sz w:val="28"/>
        </w:rPr>
        <w:t>De los</w:t>
      </w:r>
      <w:r w:rsidR="004E7632" w:rsidRPr="000E5506">
        <w:rPr>
          <w:rFonts w:ascii="Palatino Linotype" w:hAnsi="Palatino Linotype"/>
          <w:b/>
          <w:sz w:val="28"/>
        </w:rPr>
        <w:t xml:space="preserve"> recurso</w:t>
      </w:r>
      <w:r w:rsidR="002852DC" w:rsidRPr="000E5506">
        <w:rPr>
          <w:rFonts w:ascii="Palatino Linotype" w:hAnsi="Palatino Linotype"/>
          <w:b/>
          <w:sz w:val="28"/>
        </w:rPr>
        <w:t>s</w:t>
      </w:r>
      <w:r w:rsidR="004E7632" w:rsidRPr="000E5506">
        <w:rPr>
          <w:rFonts w:ascii="Palatino Linotype" w:hAnsi="Palatino Linotype"/>
          <w:b/>
          <w:sz w:val="28"/>
        </w:rPr>
        <w:t xml:space="preserve"> de revisión.</w:t>
      </w:r>
    </w:p>
    <w:p w14:paraId="6871B72B" w14:textId="67CD3ABF" w:rsidR="00C76E1B" w:rsidRPr="000E5506" w:rsidRDefault="004E7632" w:rsidP="0025170A">
      <w:pPr>
        <w:spacing w:after="0" w:line="360" w:lineRule="auto"/>
        <w:jc w:val="both"/>
        <w:rPr>
          <w:rFonts w:ascii="Palatino Linotype" w:hAnsi="Palatino Linotype" w:cs="Arial"/>
          <w:sz w:val="24"/>
        </w:rPr>
      </w:pPr>
      <w:r w:rsidRPr="000E5506">
        <w:rPr>
          <w:rFonts w:ascii="Palatino Linotype" w:hAnsi="Palatino Linotype" w:cs="Arial"/>
          <w:sz w:val="24"/>
          <w:szCs w:val="24"/>
        </w:rPr>
        <w:t>Inconforme con las respuestas notificadas por</w:t>
      </w:r>
      <w:r w:rsidR="006F1DBC" w:rsidRPr="000E5506">
        <w:rPr>
          <w:rFonts w:ascii="Palatino Linotype" w:hAnsi="Palatino Linotype" w:cs="Arial"/>
          <w:sz w:val="24"/>
          <w:szCs w:val="24"/>
        </w:rPr>
        <w:t xml:space="preserve"> el </w:t>
      </w:r>
      <w:r w:rsidRPr="000E5506">
        <w:rPr>
          <w:rFonts w:ascii="Palatino Linotype" w:hAnsi="Palatino Linotype" w:cs="Arial"/>
          <w:b/>
          <w:sz w:val="24"/>
          <w:szCs w:val="24"/>
        </w:rPr>
        <w:t>Sujeto Obligado</w:t>
      </w:r>
      <w:r w:rsidRPr="000E5506">
        <w:rPr>
          <w:rFonts w:ascii="Palatino Linotype" w:hAnsi="Palatino Linotype" w:cs="Arial"/>
          <w:sz w:val="24"/>
          <w:szCs w:val="24"/>
        </w:rPr>
        <w:t xml:space="preserve">, </w:t>
      </w:r>
      <w:r w:rsidR="00197B26" w:rsidRPr="000E5506">
        <w:rPr>
          <w:rFonts w:ascii="Palatino Linotype" w:hAnsi="Palatino Linotype" w:cs="Arial"/>
          <w:bCs/>
          <w:sz w:val="24"/>
          <w:szCs w:val="24"/>
        </w:rPr>
        <w:t>el ahora</w:t>
      </w:r>
      <w:r w:rsidR="006F1DBC" w:rsidRPr="000E5506">
        <w:rPr>
          <w:rFonts w:ascii="Palatino Linotype" w:hAnsi="Palatino Linotype" w:cs="Arial"/>
          <w:b/>
          <w:sz w:val="24"/>
          <w:szCs w:val="24"/>
        </w:rPr>
        <w:t xml:space="preserve"> </w:t>
      </w:r>
      <w:r w:rsidRPr="000E5506">
        <w:rPr>
          <w:rFonts w:ascii="Palatino Linotype" w:hAnsi="Palatino Linotype" w:cs="Arial"/>
          <w:b/>
          <w:sz w:val="24"/>
          <w:szCs w:val="24"/>
        </w:rPr>
        <w:t xml:space="preserve">Recurrente </w:t>
      </w:r>
      <w:r w:rsidRPr="000E5506">
        <w:rPr>
          <w:rFonts w:ascii="Palatino Linotype" w:hAnsi="Palatino Linotype" w:cs="Arial"/>
          <w:sz w:val="24"/>
          <w:szCs w:val="24"/>
        </w:rPr>
        <w:t>interpuso los recursos de revisión, en</w:t>
      </w:r>
      <w:r w:rsidR="0082195F" w:rsidRPr="000E5506">
        <w:rPr>
          <w:rFonts w:ascii="Palatino Linotype" w:hAnsi="Palatino Linotype" w:cs="Arial"/>
          <w:sz w:val="24"/>
          <w:szCs w:val="24"/>
        </w:rPr>
        <w:t xml:space="preserve"> fecha</w:t>
      </w:r>
      <w:r w:rsidRPr="000E5506">
        <w:rPr>
          <w:rFonts w:ascii="Palatino Linotype" w:hAnsi="Palatino Linotype" w:cs="Arial"/>
          <w:sz w:val="24"/>
          <w:szCs w:val="24"/>
        </w:rPr>
        <w:t xml:space="preserve"> </w:t>
      </w:r>
      <w:r w:rsidR="0082195F" w:rsidRPr="000E5506">
        <w:rPr>
          <w:rFonts w:ascii="Palatino Linotype" w:hAnsi="Palatino Linotype" w:cs="Arial"/>
          <w:sz w:val="24"/>
          <w:szCs w:val="24"/>
        </w:rPr>
        <w:t>veintiocho de noviembre</w:t>
      </w:r>
      <w:r w:rsidR="00D96C70" w:rsidRPr="000E5506">
        <w:rPr>
          <w:rFonts w:ascii="Palatino Linotype" w:hAnsi="Palatino Linotype" w:cs="Arial"/>
          <w:sz w:val="24"/>
          <w:szCs w:val="24"/>
        </w:rPr>
        <w:t xml:space="preserve"> </w:t>
      </w:r>
      <w:r w:rsidRPr="000E5506">
        <w:rPr>
          <w:rFonts w:ascii="Palatino Linotype" w:hAnsi="Palatino Linotype" w:cs="Arial"/>
          <w:sz w:val="24"/>
          <w:szCs w:val="24"/>
        </w:rPr>
        <w:t xml:space="preserve">de dos mil </w:t>
      </w:r>
      <w:r w:rsidR="00A828F4" w:rsidRPr="000E5506">
        <w:rPr>
          <w:rFonts w:ascii="Palatino Linotype" w:hAnsi="Palatino Linotype" w:cs="Arial"/>
          <w:sz w:val="24"/>
          <w:szCs w:val="24"/>
        </w:rPr>
        <w:t>veintic</w:t>
      </w:r>
      <w:r w:rsidR="007F70FD" w:rsidRPr="000E5506">
        <w:rPr>
          <w:rFonts w:ascii="Palatino Linotype" w:hAnsi="Palatino Linotype" w:cs="Arial"/>
          <w:sz w:val="24"/>
          <w:szCs w:val="24"/>
        </w:rPr>
        <w:t>inco</w:t>
      </w:r>
      <w:r w:rsidRPr="000E5506">
        <w:rPr>
          <w:rFonts w:ascii="Palatino Linotype" w:hAnsi="Palatino Linotype" w:cs="Arial"/>
          <w:sz w:val="24"/>
          <w:szCs w:val="24"/>
        </w:rPr>
        <w:t>, los cuales fueron registrados</w:t>
      </w:r>
      <w:r w:rsidRPr="000E5506">
        <w:rPr>
          <w:rFonts w:ascii="Palatino Linotype" w:hAnsi="Palatino Linotype" w:cs="Arial"/>
          <w:b/>
          <w:sz w:val="24"/>
          <w:szCs w:val="24"/>
        </w:rPr>
        <w:t xml:space="preserve"> </w:t>
      </w:r>
      <w:r w:rsidRPr="000E5506">
        <w:rPr>
          <w:rFonts w:ascii="Palatino Linotype" w:hAnsi="Palatino Linotype" w:cs="Arial"/>
          <w:sz w:val="24"/>
          <w:szCs w:val="24"/>
        </w:rPr>
        <w:t xml:space="preserve">en el sistema electrónico con los expedientes números </w:t>
      </w:r>
      <w:r w:rsidR="0082195F" w:rsidRPr="000E5506">
        <w:rPr>
          <w:rFonts w:ascii="Palatino Linotype" w:hAnsi="Palatino Linotype" w:cs="Arial"/>
          <w:b/>
          <w:bCs/>
          <w:sz w:val="24"/>
          <w:szCs w:val="24"/>
          <w:lang w:eastAsia="es-MX"/>
        </w:rPr>
        <w:t>13315</w:t>
      </w:r>
      <w:r w:rsidR="00F301DE" w:rsidRPr="000E5506">
        <w:rPr>
          <w:rFonts w:ascii="Palatino Linotype" w:hAnsi="Palatino Linotype" w:cs="Arial"/>
          <w:b/>
          <w:bCs/>
          <w:sz w:val="24"/>
          <w:szCs w:val="24"/>
          <w:lang w:eastAsia="es-MX"/>
        </w:rPr>
        <w:t>/INFOEM/IP/RR/202</w:t>
      </w:r>
      <w:r w:rsidR="007F70FD" w:rsidRPr="000E5506">
        <w:rPr>
          <w:rFonts w:ascii="Palatino Linotype" w:hAnsi="Palatino Linotype" w:cs="Arial"/>
          <w:b/>
          <w:bCs/>
          <w:sz w:val="24"/>
          <w:szCs w:val="24"/>
          <w:lang w:eastAsia="es-MX"/>
        </w:rPr>
        <w:t>5</w:t>
      </w:r>
      <w:r w:rsidR="00F301DE" w:rsidRPr="000E5506">
        <w:rPr>
          <w:rFonts w:ascii="Palatino Linotype" w:hAnsi="Palatino Linotype" w:cs="Arial"/>
          <w:b/>
          <w:bCs/>
          <w:sz w:val="24"/>
          <w:szCs w:val="24"/>
          <w:lang w:eastAsia="es-MX"/>
        </w:rPr>
        <w:t xml:space="preserve"> </w:t>
      </w:r>
      <w:r w:rsidR="00F301DE" w:rsidRPr="000E5506">
        <w:rPr>
          <w:rFonts w:ascii="Palatino Linotype" w:hAnsi="Palatino Linotype" w:cs="Arial"/>
          <w:bCs/>
          <w:i/>
          <w:sz w:val="24"/>
          <w:szCs w:val="24"/>
          <w:lang w:eastAsia="es-MX"/>
        </w:rPr>
        <w:t xml:space="preserve">(para la </w:t>
      </w:r>
      <w:r w:rsidR="00D96C70" w:rsidRPr="000E5506">
        <w:rPr>
          <w:rFonts w:ascii="Palatino Linotype" w:hAnsi="Palatino Linotype" w:cs="Arial"/>
          <w:bCs/>
          <w:i/>
          <w:sz w:val="24"/>
          <w:szCs w:val="24"/>
          <w:lang w:eastAsia="es-MX"/>
        </w:rPr>
        <w:t xml:space="preserve">solicitud </w:t>
      </w:r>
      <w:r w:rsidR="0082195F" w:rsidRPr="000E5506">
        <w:rPr>
          <w:rFonts w:ascii="Palatino Linotype" w:hAnsi="Palatino Linotype" w:cs="Arial"/>
          <w:bCs/>
          <w:i/>
          <w:sz w:val="24"/>
          <w:szCs w:val="24"/>
          <w:lang w:eastAsia="es-MX"/>
        </w:rPr>
        <w:t>00616/TEPOTZOT/IP/2025</w:t>
      </w:r>
      <w:r w:rsidR="00F301DE" w:rsidRPr="000E5506">
        <w:rPr>
          <w:rFonts w:ascii="Palatino Linotype" w:hAnsi="Palatino Linotype" w:cs="Arial"/>
          <w:i/>
          <w:sz w:val="24"/>
        </w:rPr>
        <w:t>)</w:t>
      </w:r>
      <w:r w:rsidR="00174D25" w:rsidRPr="000E5506">
        <w:rPr>
          <w:rFonts w:ascii="Palatino Linotype" w:hAnsi="Palatino Linotype" w:cs="Arial"/>
          <w:i/>
          <w:sz w:val="24"/>
        </w:rPr>
        <w:t xml:space="preserve"> </w:t>
      </w:r>
      <w:r w:rsidRPr="000E5506">
        <w:rPr>
          <w:rFonts w:ascii="Palatino Linotype" w:hAnsi="Palatino Linotype" w:cs="Arial"/>
          <w:sz w:val="24"/>
        </w:rPr>
        <w:t>y</w:t>
      </w:r>
      <w:r w:rsidRPr="000E5506">
        <w:rPr>
          <w:rFonts w:ascii="Palatino Linotype" w:hAnsi="Palatino Linotype" w:cs="Arial"/>
          <w:b/>
          <w:bCs/>
          <w:sz w:val="24"/>
          <w:szCs w:val="24"/>
          <w:lang w:eastAsia="es-MX"/>
        </w:rPr>
        <w:t xml:space="preserve"> </w:t>
      </w:r>
      <w:r w:rsidR="0082195F" w:rsidRPr="000E5506">
        <w:rPr>
          <w:rFonts w:ascii="Palatino Linotype" w:hAnsi="Palatino Linotype" w:cs="Arial"/>
          <w:b/>
          <w:bCs/>
          <w:sz w:val="24"/>
          <w:szCs w:val="24"/>
          <w:lang w:eastAsia="es-MX"/>
        </w:rPr>
        <w:t>13316</w:t>
      </w:r>
      <w:r w:rsidR="00C76E1B" w:rsidRPr="000E5506">
        <w:rPr>
          <w:rFonts w:ascii="Palatino Linotype" w:hAnsi="Palatino Linotype" w:cs="Arial"/>
          <w:b/>
          <w:bCs/>
          <w:sz w:val="24"/>
          <w:szCs w:val="24"/>
          <w:lang w:eastAsia="es-MX"/>
        </w:rPr>
        <w:t>/INFOEM/IP/RR/202</w:t>
      </w:r>
      <w:r w:rsidR="007F70FD" w:rsidRPr="000E5506">
        <w:rPr>
          <w:rFonts w:ascii="Palatino Linotype" w:hAnsi="Palatino Linotype" w:cs="Arial"/>
          <w:b/>
          <w:bCs/>
          <w:sz w:val="24"/>
          <w:szCs w:val="24"/>
          <w:lang w:eastAsia="es-MX"/>
        </w:rPr>
        <w:t>5</w:t>
      </w:r>
      <w:r w:rsidRPr="000E5506">
        <w:rPr>
          <w:rFonts w:ascii="Palatino Linotype" w:hAnsi="Palatino Linotype" w:cs="Arial"/>
          <w:b/>
          <w:bCs/>
          <w:sz w:val="24"/>
          <w:szCs w:val="24"/>
          <w:lang w:eastAsia="es-MX"/>
        </w:rPr>
        <w:t xml:space="preserve"> </w:t>
      </w:r>
      <w:r w:rsidRPr="000E5506">
        <w:rPr>
          <w:rFonts w:ascii="Palatino Linotype" w:hAnsi="Palatino Linotype" w:cs="Arial"/>
          <w:bCs/>
          <w:i/>
          <w:sz w:val="24"/>
          <w:szCs w:val="24"/>
          <w:lang w:eastAsia="es-MX"/>
        </w:rPr>
        <w:t xml:space="preserve">(para la solicitud </w:t>
      </w:r>
      <w:r w:rsidR="0082195F" w:rsidRPr="000E5506">
        <w:rPr>
          <w:rFonts w:ascii="Palatino Linotype" w:hAnsi="Palatino Linotype" w:cs="Arial"/>
          <w:i/>
          <w:sz w:val="24"/>
        </w:rPr>
        <w:t>00615/TEPOTZOT/IP/2025</w:t>
      </w:r>
      <w:r w:rsidRPr="000E5506">
        <w:rPr>
          <w:rFonts w:ascii="Palatino Linotype" w:hAnsi="Palatino Linotype" w:cs="Arial"/>
          <w:i/>
          <w:sz w:val="24"/>
        </w:rPr>
        <w:t>)</w:t>
      </w:r>
      <w:r w:rsidR="00BA610B" w:rsidRPr="000E5506">
        <w:rPr>
          <w:rFonts w:ascii="Palatino Linotype" w:hAnsi="Palatino Linotype" w:cs="Arial"/>
          <w:sz w:val="24"/>
          <w:szCs w:val="24"/>
        </w:rPr>
        <w:t>;</w:t>
      </w:r>
      <w:r w:rsidRPr="000E5506">
        <w:rPr>
          <w:rFonts w:ascii="Palatino Linotype" w:hAnsi="Palatino Linotype" w:cs="Arial"/>
          <w:sz w:val="24"/>
          <w:szCs w:val="24"/>
        </w:rPr>
        <w:t xml:space="preserve"> en los cuales </w:t>
      </w:r>
      <w:r w:rsidRPr="000E5506">
        <w:rPr>
          <w:rFonts w:ascii="Palatino Linotype" w:hAnsi="Palatino Linotype" w:cs="Arial"/>
          <w:sz w:val="24"/>
        </w:rPr>
        <w:t>arguye, las siguientes manifestaciones:</w:t>
      </w:r>
    </w:p>
    <w:p w14:paraId="799892C7" w14:textId="77777777" w:rsidR="0082195F" w:rsidRPr="000E5506" w:rsidRDefault="0082195F" w:rsidP="0082195F">
      <w:pPr>
        <w:pStyle w:val="Sinespaciado"/>
      </w:pPr>
    </w:p>
    <w:p w14:paraId="60BC36E1" w14:textId="5F67986D" w:rsidR="0082195F" w:rsidRPr="000E5506" w:rsidRDefault="0082195F" w:rsidP="0082195F">
      <w:pPr>
        <w:pStyle w:val="Prrafodelista"/>
        <w:numPr>
          <w:ilvl w:val="0"/>
          <w:numId w:val="35"/>
        </w:numPr>
        <w:spacing w:line="360" w:lineRule="auto"/>
        <w:ind w:left="284"/>
        <w:jc w:val="both"/>
        <w:rPr>
          <w:rFonts w:ascii="Palatino Linotype" w:hAnsi="Palatino Linotype" w:cs="Arial"/>
          <w:sz w:val="32"/>
          <w:szCs w:val="32"/>
          <w:u w:val="thick"/>
        </w:rPr>
      </w:pPr>
      <w:r w:rsidRPr="000E5506">
        <w:rPr>
          <w:rFonts w:ascii="Palatino Linotype" w:hAnsi="Palatino Linotype" w:cs="Arial"/>
          <w:b/>
          <w:u w:val="thick"/>
        </w:rPr>
        <w:t>13315/INFOEM/IP/RR/2025</w:t>
      </w:r>
    </w:p>
    <w:p w14:paraId="56E79A32" w14:textId="0527B06E" w:rsidR="0082195F" w:rsidRPr="000E5506" w:rsidRDefault="0082195F" w:rsidP="0082195F">
      <w:pPr>
        <w:pStyle w:val="Prrafodelista"/>
        <w:numPr>
          <w:ilvl w:val="0"/>
          <w:numId w:val="34"/>
        </w:numPr>
        <w:spacing w:line="276" w:lineRule="auto"/>
        <w:jc w:val="both"/>
        <w:rPr>
          <w:rFonts w:ascii="Palatino Linotype" w:hAnsi="Palatino Linotype" w:cs="Arial"/>
          <w:i/>
          <w:sz w:val="22"/>
          <w:szCs w:val="22"/>
        </w:rPr>
      </w:pPr>
      <w:r w:rsidRPr="000E5506">
        <w:rPr>
          <w:rFonts w:ascii="Palatino Linotype" w:hAnsi="Palatino Linotype" w:cs="Arial"/>
          <w:b/>
          <w:iCs/>
        </w:rPr>
        <w:t xml:space="preserve">Acto impugnado: </w:t>
      </w:r>
      <w:r w:rsidRPr="000E5506">
        <w:rPr>
          <w:rFonts w:ascii="Palatino Linotype" w:hAnsi="Palatino Linotype" w:cs="Arial"/>
          <w:bCs/>
          <w:i/>
          <w:sz w:val="22"/>
          <w:szCs w:val="22"/>
        </w:rPr>
        <w:t xml:space="preserve">“Oficio No. </w:t>
      </w:r>
      <w:r w:rsidRPr="000E5506">
        <w:rPr>
          <w:rFonts w:ascii="Palatino Linotype" w:hAnsi="Palatino Linotype" w:cs="Arial"/>
          <w:b/>
          <w:i/>
          <w:sz w:val="22"/>
          <w:szCs w:val="22"/>
        </w:rPr>
        <w:t>DOP/2221/2025</w:t>
      </w:r>
      <w:r w:rsidRPr="000E5506">
        <w:rPr>
          <w:rFonts w:ascii="Palatino Linotype" w:hAnsi="Palatino Linotype" w:cs="Arial"/>
          <w:bCs/>
          <w:i/>
          <w:sz w:val="22"/>
          <w:szCs w:val="22"/>
        </w:rPr>
        <w:t xml:space="preserve"> de fecha 7 de noviembre de 2025, emitido por la Dirección de Obras Públicas del H. Ayuntamiento Constitucional de Tepotzotlán, recibido el 6 de noviembre de 2025, en respuesta a mi solicitud de información con folio </w:t>
      </w:r>
      <w:r w:rsidRPr="000E5506">
        <w:rPr>
          <w:rFonts w:ascii="Palatino Linotype" w:hAnsi="Palatino Linotype" w:cs="Arial"/>
          <w:b/>
          <w:i/>
          <w:sz w:val="22"/>
          <w:szCs w:val="22"/>
        </w:rPr>
        <w:t>00616/TEPOTZOT/IP/2025</w:t>
      </w:r>
      <w:r w:rsidRPr="000E5506">
        <w:rPr>
          <w:rFonts w:ascii="Palatino Linotype" w:hAnsi="Palatino Linotype" w:cs="Arial"/>
          <w:bCs/>
          <w:i/>
          <w:sz w:val="22"/>
          <w:szCs w:val="22"/>
        </w:rPr>
        <w:t xml:space="preserve">” (Sic). </w:t>
      </w:r>
    </w:p>
    <w:p w14:paraId="7D8CFB60" w14:textId="77777777" w:rsidR="0082195F" w:rsidRPr="000E5506" w:rsidRDefault="0082195F" w:rsidP="0082195F">
      <w:pPr>
        <w:pStyle w:val="Prrafodelista"/>
        <w:spacing w:line="276" w:lineRule="auto"/>
        <w:ind w:left="720"/>
        <w:jc w:val="both"/>
        <w:rPr>
          <w:rFonts w:ascii="Palatino Linotype" w:hAnsi="Palatino Linotype" w:cs="Arial"/>
          <w:i/>
          <w:sz w:val="22"/>
          <w:szCs w:val="22"/>
        </w:rPr>
      </w:pPr>
    </w:p>
    <w:p w14:paraId="007231C3" w14:textId="581705A7" w:rsidR="0082195F" w:rsidRPr="000E5506" w:rsidRDefault="0082195F" w:rsidP="0082195F">
      <w:pPr>
        <w:pStyle w:val="Prrafodelista"/>
        <w:numPr>
          <w:ilvl w:val="0"/>
          <w:numId w:val="34"/>
        </w:numPr>
        <w:spacing w:line="276" w:lineRule="auto"/>
        <w:jc w:val="both"/>
        <w:rPr>
          <w:rFonts w:ascii="Palatino Linotype" w:hAnsi="Palatino Linotype" w:cs="Arial"/>
          <w:i/>
          <w:sz w:val="20"/>
          <w:szCs w:val="20"/>
        </w:rPr>
      </w:pPr>
      <w:r w:rsidRPr="000E5506">
        <w:rPr>
          <w:rFonts w:ascii="Palatino Linotype" w:hAnsi="Palatino Linotype" w:cs="Arial"/>
          <w:b/>
          <w:iCs/>
        </w:rPr>
        <w:t xml:space="preserve">Razones o motivos de la inconformidad: </w:t>
      </w:r>
      <w:r w:rsidRPr="000E5506">
        <w:rPr>
          <w:rFonts w:ascii="Palatino Linotype" w:hAnsi="Palatino Linotype" w:cs="Arial"/>
          <w:bCs/>
          <w:i/>
          <w:sz w:val="22"/>
          <w:szCs w:val="22"/>
        </w:rPr>
        <w:t xml:space="preserve">“Me inconformo con la respuesta contenida en el Oficio No. DOP/2221/2025, fechado el 7 de noviembre de 2025, emitido por la Dirección de Obras Públicas del H. Ayuntamiento Constitucional de Tepotzotlán, bajo el argumento de que 'después de una búsqueda exhaustiva y minuciosa no se encontró información con las referencias proporcionadas o antes mencionadas ya que no contamos con la especificación de un nombre de obra en concreto.' Mi solicitud de información con folio 00616/TEPOTZOT/IP/2025 fue excepcionalmente detallada, especificando no solo el tipo de obra ('demolición y reconstrucción de los cabezales de apoyo 2, 3 y 4', 'colocación de las trabes de los claros 1-2 y 4-5', 'claros 2-3 y 3-4'), sino también las fechas exactas ('febrero y marzo de 2025'), la ubicación precisa ('paso inferir vehicular Tepotzotlán ubicado en la carretera México-Querétaro en el kilómetro 44 aproximadamente'). Más aún, y crucialmente, mi solicitud hizo referencia directa a un oficio interno de la misma Dirección de Obras Públicas: el Oficio DOP/0821/2025 de fecha 11 de junio de 2025. Resulta ilógico e inconsistente que la Dirección de Obras Públicas, al ser la entidad que emitió el Oficio DOP/0821/2025 y siendo la responsable de las obras públicas municipales, declare la inexistencia de información sobre una obra que ha sido identificada con tanto detalle y haciendo referencia a sus propios documentos oficiales. La falta de un 'nombre de obra en concreto' no puede ser un pretexto válido para negar la información cuando se han </w:t>
      </w:r>
      <w:r w:rsidRPr="000E5506">
        <w:rPr>
          <w:rFonts w:ascii="Palatino Linotype" w:hAnsi="Palatino Linotype" w:cs="Arial"/>
          <w:bCs/>
          <w:i/>
          <w:sz w:val="22"/>
          <w:szCs w:val="22"/>
        </w:rPr>
        <w:lastRenderedPageBreak/>
        <w:t xml:space="preserve">proporcionado todos los demás elementos identificativos que permiten su localización indubitable, incluyendo una referencia a su propia documentación oficial. Considero que la búsqueda realizada no fue exhaustiva, o que la información está siendo deliberadamente omitida o clasificada de manera improcedente. La descripción proporcionada en mi solicitud es más que suficiente para que cualquier funcionario diligente de la Dirección de Obras Públicas identifique la obra en cuestión. Por lo tanto, la respuesta recibida constituye una denegación injustificada de mi derecho de acceso a la información pública, ya que la información solicitada necesariamente debe obrar en los archivos de la dependencia.” (Sic). </w:t>
      </w:r>
    </w:p>
    <w:p w14:paraId="13C6E69B" w14:textId="77777777" w:rsidR="00D96C70" w:rsidRPr="000E5506" w:rsidRDefault="00D96C70" w:rsidP="00D96C70">
      <w:pPr>
        <w:pStyle w:val="Sinespaciado"/>
      </w:pPr>
    </w:p>
    <w:p w14:paraId="77891595" w14:textId="2DEA8E33" w:rsidR="0082195F" w:rsidRPr="000E5506" w:rsidRDefault="0082195F" w:rsidP="0082195F">
      <w:pPr>
        <w:pStyle w:val="Prrafodelista"/>
        <w:numPr>
          <w:ilvl w:val="0"/>
          <w:numId w:val="35"/>
        </w:numPr>
        <w:spacing w:line="360" w:lineRule="auto"/>
        <w:ind w:left="284"/>
        <w:jc w:val="both"/>
        <w:rPr>
          <w:rFonts w:ascii="Palatino Linotype" w:hAnsi="Palatino Linotype" w:cs="Arial"/>
          <w:sz w:val="32"/>
          <w:szCs w:val="32"/>
          <w:u w:val="thick"/>
        </w:rPr>
      </w:pPr>
      <w:r w:rsidRPr="000E5506">
        <w:rPr>
          <w:rFonts w:ascii="Palatino Linotype" w:hAnsi="Palatino Linotype" w:cs="Arial"/>
          <w:b/>
          <w:u w:val="thick"/>
        </w:rPr>
        <w:t>13316/INFOEM/IP/RR/2025</w:t>
      </w:r>
    </w:p>
    <w:p w14:paraId="2B2D62FF" w14:textId="6E31B051" w:rsidR="0082195F" w:rsidRPr="000E5506" w:rsidRDefault="0082195F" w:rsidP="0082195F">
      <w:pPr>
        <w:pStyle w:val="Prrafodelista"/>
        <w:numPr>
          <w:ilvl w:val="0"/>
          <w:numId w:val="34"/>
        </w:numPr>
        <w:spacing w:line="276" w:lineRule="auto"/>
        <w:jc w:val="both"/>
        <w:rPr>
          <w:rFonts w:ascii="Palatino Linotype" w:hAnsi="Palatino Linotype" w:cs="Arial"/>
          <w:i/>
          <w:sz w:val="22"/>
          <w:szCs w:val="22"/>
        </w:rPr>
      </w:pPr>
      <w:r w:rsidRPr="000E5506">
        <w:rPr>
          <w:rFonts w:ascii="Palatino Linotype" w:hAnsi="Palatino Linotype" w:cs="Arial"/>
          <w:b/>
          <w:iCs/>
        </w:rPr>
        <w:t xml:space="preserve">Acto impugnado: </w:t>
      </w:r>
      <w:r w:rsidRPr="000E5506">
        <w:rPr>
          <w:rFonts w:ascii="Palatino Linotype" w:hAnsi="Palatino Linotype" w:cs="Arial"/>
          <w:bCs/>
          <w:i/>
          <w:sz w:val="22"/>
          <w:szCs w:val="22"/>
        </w:rPr>
        <w:t xml:space="preserve">“Oficio No. </w:t>
      </w:r>
      <w:r w:rsidRPr="000E5506">
        <w:rPr>
          <w:rFonts w:ascii="Palatino Linotype" w:hAnsi="Palatino Linotype" w:cs="Arial"/>
          <w:b/>
          <w:i/>
          <w:sz w:val="22"/>
          <w:szCs w:val="22"/>
        </w:rPr>
        <w:t>DOP/2214/2025</w:t>
      </w:r>
      <w:r w:rsidRPr="000E5506">
        <w:rPr>
          <w:rFonts w:ascii="Palatino Linotype" w:hAnsi="Palatino Linotype" w:cs="Arial"/>
          <w:bCs/>
          <w:i/>
          <w:sz w:val="22"/>
          <w:szCs w:val="22"/>
        </w:rPr>
        <w:t xml:space="preserve"> de fecha 7 de noviembre de 2025, emitido por la Dirección de Obras Públicas del H. Ayuntamiento Constitucional de Tepotzotlán, recibido el 6 de noviembre de 2025, en respuesta a mi solicitud de información con folio </w:t>
      </w:r>
      <w:r w:rsidRPr="000E5506">
        <w:rPr>
          <w:rFonts w:ascii="Palatino Linotype" w:hAnsi="Palatino Linotype" w:cs="Arial"/>
          <w:b/>
          <w:i/>
          <w:sz w:val="22"/>
          <w:szCs w:val="22"/>
        </w:rPr>
        <w:t>00615/TEPOTZOT/IP/2025</w:t>
      </w:r>
      <w:r w:rsidRPr="000E5506">
        <w:rPr>
          <w:rFonts w:ascii="Palatino Linotype" w:hAnsi="Palatino Linotype" w:cs="Arial"/>
          <w:bCs/>
          <w:i/>
          <w:sz w:val="22"/>
          <w:szCs w:val="22"/>
        </w:rPr>
        <w:t xml:space="preserve">.” (Sic). </w:t>
      </w:r>
    </w:p>
    <w:p w14:paraId="1416BDE1" w14:textId="77777777" w:rsidR="0082195F" w:rsidRPr="000E5506" w:rsidRDefault="0082195F" w:rsidP="0082195F">
      <w:pPr>
        <w:pStyle w:val="Prrafodelista"/>
        <w:spacing w:line="276" w:lineRule="auto"/>
        <w:ind w:left="720"/>
        <w:jc w:val="both"/>
        <w:rPr>
          <w:rFonts w:ascii="Palatino Linotype" w:hAnsi="Palatino Linotype" w:cs="Arial"/>
          <w:i/>
          <w:sz w:val="22"/>
          <w:szCs w:val="22"/>
        </w:rPr>
      </w:pPr>
    </w:p>
    <w:p w14:paraId="7DDEC5F6" w14:textId="4706AB92" w:rsidR="0082195F" w:rsidRPr="000E5506" w:rsidRDefault="0082195F" w:rsidP="0082195F">
      <w:pPr>
        <w:pStyle w:val="Prrafodelista"/>
        <w:numPr>
          <w:ilvl w:val="0"/>
          <w:numId w:val="34"/>
        </w:numPr>
        <w:spacing w:line="276" w:lineRule="auto"/>
        <w:jc w:val="both"/>
        <w:rPr>
          <w:rFonts w:ascii="Palatino Linotype" w:hAnsi="Palatino Linotype" w:cs="Arial"/>
          <w:i/>
          <w:sz w:val="20"/>
          <w:szCs w:val="20"/>
        </w:rPr>
      </w:pPr>
      <w:r w:rsidRPr="000E5506">
        <w:rPr>
          <w:rFonts w:ascii="Palatino Linotype" w:hAnsi="Palatino Linotype" w:cs="Arial"/>
          <w:b/>
          <w:iCs/>
        </w:rPr>
        <w:t xml:space="preserve">Razones o motivos de la inconformidad: </w:t>
      </w:r>
      <w:r w:rsidRPr="000E5506">
        <w:rPr>
          <w:rFonts w:ascii="Palatino Linotype" w:hAnsi="Palatino Linotype" w:cs="Arial"/>
          <w:bCs/>
          <w:i/>
          <w:sz w:val="22"/>
          <w:szCs w:val="22"/>
        </w:rPr>
        <w:t xml:space="preserve">“Me inconformo con la respuesta contenida en el Oficio No. DOP/2214/2025, fechado el 7 de noviembre de 2025, emitido por la Dirección de Obras Públicas del H. Ayuntamiento Constitucional de Tepotzotlán, bajo el argumento de que 'después de una búsqueda exhaustiva y minuciosa no se encontró información con las referencias proporcionadas o antes mencionadas ya que no contamos con la especificación en un nombre de obra en concreto.' Mi solicitud de información con folio 00615/TEPOTZOT/IP/2025 fue excepcionalmente detallada, especificando no solo el tipo de obra ('demolición y reconstrucción de los cabezales de apoyo 2, 3 y 4', 'colocación de las trabes de los claros 1-2 y 4-5', 'claros 2-3 y 3-4'), sino también las fechas exactas ('febrero y marzo de 2025'), la ubicación precisa ('paso inferir vehicular Tepotzotlán ubicado en la carretera México-Querétaro en el kilómetro 44 aproximadamente'). Más aún, y crucialmente, mi solicitud hizo referencia directa a un oficio interno de la misma Dirección de Obras Públicas: el Oficio DOP/0821/2025 de fecha 11 de junio de 2025. Resulta ilógico e inconsistente que la Dirección de Obras Públicas, al ser la entidad que emitió el Oficio DOP/0821/2025 y siendo la responsable de las obras públicas municipales, declare la inexistencia de información sobre una obra que ha sido identificada con tanto detalle y haciendo referencia a sus propios documentos oficiales. La falta de un 'nombre de obra en concreto' no puede ser un pretexto válido para negar la información cuando se han proporcionado todos los demás elementos identificativos que permiten su localización indubitable, incluyendo una referencia a su propia documentación oficial. Considero que la </w:t>
      </w:r>
      <w:r w:rsidRPr="000E5506">
        <w:rPr>
          <w:rFonts w:ascii="Palatino Linotype" w:hAnsi="Palatino Linotype" w:cs="Arial"/>
          <w:bCs/>
          <w:i/>
          <w:sz w:val="22"/>
          <w:szCs w:val="22"/>
        </w:rPr>
        <w:lastRenderedPageBreak/>
        <w:t>búsqueda realizada no fue exhaustiva, o que la información está siendo deliberadamente omitida o clasificada de manera improcedente. La descripción proporcionada en mi solicitud es más que suficiente para que cualquier funcionario diligente de la Dirección de Obras Públicas identifique la obra en cuestión. Por lo tanto, la respuesta recibida constituye una denegación injustificada de mi derecho de acceso a la información pública, ya que la información solicitada necesariamente debe obrar en los archivos de la dependencia.” (Sic).</w:t>
      </w:r>
    </w:p>
    <w:p w14:paraId="6A4FAB6D" w14:textId="77777777" w:rsidR="007E7025" w:rsidRPr="000E5506" w:rsidRDefault="007E7025" w:rsidP="004E7632">
      <w:pPr>
        <w:spacing w:after="0" w:line="360" w:lineRule="auto"/>
        <w:jc w:val="both"/>
        <w:rPr>
          <w:rFonts w:ascii="Palatino Linotype" w:hAnsi="Palatino Linotype" w:cs="Arial"/>
          <w:bCs/>
          <w:sz w:val="24"/>
          <w:szCs w:val="20"/>
        </w:rPr>
      </w:pPr>
    </w:p>
    <w:p w14:paraId="6726BA4F" w14:textId="5FCA88C1" w:rsidR="0082195F" w:rsidRPr="000E5506" w:rsidRDefault="0082195F" w:rsidP="004E7632">
      <w:pPr>
        <w:spacing w:after="0" w:line="360" w:lineRule="auto"/>
        <w:jc w:val="both"/>
        <w:rPr>
          <w:rFonts w:ascii="Palatino Linotype" w:hAnsi="Palatino Linotype" w:cs="Arial"/>
          <w:sz w:val="24"/>
        </w:rPr>
      </w:pPr>
      <w:r w:rsidRPr="000E5506">
        <w:rPr>
          <w:rFonts w:ascii="Palatino Linotype" w:hAnsi="Palatino Linotype" w:cs="Arial"/>
          <w:sz w:val="24"/>
        </w:rPr>
        <w:t xml:space="preserve">El ahora </w:t>
      </w:r>
      <w:r w:rsidRPr="000E5506">
        <w:rPr>
          <w:rFonts w:ascii="Palatino Linotype" w:hAnsi="Palatino Linotype" w:cs="Arial"/>
          <w:b/>
          <w:sz w:val="24"/>
        </w:rPr>
        <w:t>Recurrente</w:t>
      </w:r>
      <w:r w:rsidRPr="000E5506">
        <w:rPr>
          <w:rFonts w:ascii="Palatino Linotype" w:hAnsi="Palatino Linotype" w:cs="Arial"/>
          <w:sz w:val="24"/>
        </w:rPr>
        <w:t xml:space="preserve"> al momento de interponer los presentes recursos de revisión, adjuntó los archivos electrónicos denominados </w:t>
      </w:r>
      <w:r w:rsidRPr="000E5506">
        <w:rPr>
          <w:rFonts w:ascii="Palatino Linotype" w:hAnsi="Palatino Linotype" w:cs="Arial"/>
          <w:i/>
          <w:sz w:val="24"/>
        </w:rPr>
        <w:t>“DOP-2214-2025.pdf”</w:t>
      </w:r>
      <w:r w:rsidRPr="000E5506">
        <w:rPr>
          <w:rFonts w:ascii="Palatino Linotype" w:hAnsi="Palatino Linotype" w:cs="Arial"/>
          <w:iCs/>
          <w:sz w:val="24"/>
        </w:rPr>
        <w:t xml:space="preserve">; </w:t>
      </w:r>
      <w:r w:rsidRPr="000E5506">
        <w:rPr>
          <w:rFonts w:ascii="Palatino Linotype" w:hAnsi="Palatino Linotype" w:cs="Arial"/>
          <w:i/>
          <w:sz w:val="24"/>
        </w:rPr>
        <w:t>“</w:t>
      </w:r>
      <w:r w:rsidR="00230A7E" w:rsidRPr="000E5506">
        <w:rPr>
          <w:rFonts w:ascii="Palatino Linotype" w:hAnsi="Palatino Linotype" w:cs="Arial"/>
          <w:i/>
          <w:sz w:val="24"/>
        </w:rPr>
        <w:t>00615-TEPOTZOT-IP-2025.pdf</w:t>
      </w:r>
      <w:r w:rsidRPr="000E5506">
        <w:rPr>
          <w:rFonts w:ascii="Palatino Linotype" w:hAnsi="Palatino Linotype" w:cs="Arial"/>
          <w:i/>
          <w:sz w:val="24"/>
        </w:rPr>
        <w:t>”, “</w:t>
      </w:r>
      <w:r w:rsidR="00230A7E" w:rsidRPr="000E5506">
        <w:rPr>
          <w:rFonts w:ascii="Palatino Linotype" w:hAnsi="Palatino Linotype" w:cs="Arial"/>
          <w:i/>
          <w:sz w:val="24"/>
        </w:rPr>
        <w:t>00616-TEPOTZOT-IP-25.pdf</w:t>
      </w:r>
      <w:r w:rsidRPr="000E5506">
        <w:rPr>
          <w:rFonts w:ascii="Palatino Linotype" w:hAnsi="Palatino Linotype" w:cs="Arial"/>
          <w:i/>
          <w:sz w:val="24"/>
        </w:rPr>
        <w:t>”</w:t>
      </w:r>
      <w:r w:rsidRPr="000E5506">
        <w:rPr>
          <w:rFonts w:ascii="Palatino Linotype" w:hAnsi="Palatino Linotype" w:cs="Arial"/>
          <w:iCs/>
          <w:sz w:val="24"/>
        </w:rPr>
        <w:t xml:space="preserve"> y</w:t>
      </w:r>
      <w:r w:rsidRPr="000E5506">
        <w:rPr>
          <w:rFonts w:ascii="Palatino Linotype" w:hAnsi="Palatino Linotype" w:cs="Arial"/>
          <w:i/>
          <w:sz w:val="24"/>
        </w:rPr>
        <w:t xml:space="preserve"> “DOP-2221-2025.pdf”</w:t>
      </w:r>
      <w:r w:rsidRPr="000E5506">
        <w:rPr>
          <w:rFonts w:ascii="Palatino Linotype" w:hAnsi="Palatino Linotype" w:cs="Arial"/>
          <w:sz w:val="24"/>
        </w:rPr>
        <w:t xml:space="preserve">; mismos que </w:t>
      </w:r>
      <w:r w:rsidR="00230A7E" w:rsidRPr="000E5506">
        <w:rPr>
          <w:rFonts w:ascii="Palatino Linotype" w:hAnsi="Palatino Linotype" w:cs="Arial"/>
          <w:sz w:val="24"/>
        </w:rPr>
        <w:t xml:space="preserve">constan en las respuestas emitidas por parte del </w:t>
      </w:r>
      <w:r w:rsidR="00230A7E" w:rsidRPr="000E5506">
        <w:rPr>
          <w:rFonts w:ascii="Palatino Linotype" w:hAnsi="Palatino Linotype" w:cs="Arial"/>
          <w:b/>
          <w:bCs/>
          <w:sz w:val="24"/>
        </w:rPr>
        <w:t>Sujeto Obligado</w:t>
      </w:r>
      <w:r w:rsidR="00230A7E" w:rsidRPr="000E5506">
        <w:rPr>
          <w:rFonts w:ascii="Palatino Linotype" w:hAnsi="Palatino Linotype" w:cs="Arial"/>
          <w:sz w:val="24"/>
        </w:rPr>
        <w:t xml:space="preserve"> y los acuses de las solicitudes de información</w:t>
      </w:r>
      <w:r w:rsidRPr="000E5506">
        <w:rPr>
          <w:rFonts w:ascii="Palatino Linotype" w:hAnsi="Palatino Linotype" w:cs="Arial"/>
          <w:sz w:val="24"/>
        </w:rPr>
        <w:t>.</w:t>
      </w:r>
    </w:p>
    <w:p w14:paraId="067305C2" w14:textId="77777777" w:rsidR="0082195F" w:rsidRPr="000E5506" w:rsidRDefault="0082195F" w:rsidP="004E7632">
      <w:pPr>
        <w:spacing w:after="0" w:line="360" w:lineRule="auto"/>
        <w:jc w:val="both"/>
        <w:rPr>
          <w:rFonts w:ascii="Palatino Linotype" w:hAnsi="Palatino Linotype" w:cs="Arial"/>
          <w:sz w:val="24"/>
        </w:rPr>
      </w:pPr>
    </w:p>
    <w:p w14:paraId="51D11921" w14:textId="03AD898B" w:rsidR="004E7632" w:rsidRPr="000E5506" w:rsidRDefault="004B6A48" w:rsidP="004E7632">
      <w:pPr>
        <w:spacing w:after="0" w:line="360" w:lineRule="auto"/>
        <w:jc w:val="both"/>
        <w:rPr>
          <w:rFonts w:ascii="Palatino Linotype" w:hAnsi="Palatino Linotype" w:cs="Arial"/>
          <w:b/>
          <w:sz w:val="24"/>
          <w:szCs w:val="24"/>
        </w:rPr>
      </w:pPr>
      <w:r w:rsidRPr="000E5506">
        <w:rPr>
          <w:rFonts w:ascii="Palatino Linotype" w:hAnsi="Palatino Linotype" w:cs="Arial"/>
          <w:b/>
          <w:sz w:val="28"/>
        </w:rPr>
        <w:t>QUINTO</w:t>
      </w:r>
      <w:r w:rsidR="009C4E53" w:rsidRPr="000E5506">
        <w:rPr>
          <w:rFonts w:ascii="Palatino Linotype" w:hAnsi="Palatino Linotype" w:cs="Arial"/>
          <w:b/>
          <w:sz w:val="28"/>
        </w:rPr>
        <w:t>.</w:t>
      </w:r>
      <w:r w:rsidR="004E7632" w:rsidRPr="000E5506">
        <w:rPr>
          <w:rFonts w:ascii="Palatino Linotype" w:hAnsi="Palatino Linotype" w:cs="Arial"/>
          <w:b/>
          <w:sz w:val="24"/>
          <w:szCs w:val="24"/>
        </w:rPr>
        <w:t xml:space="preserve"> </w:t>
      </w:r>
      <w:r w:rsidR="0089782A" w:rsidRPr="000E5506">
        <w:rPr>
          <w:rFonts w:ascii="Palatino Linotype" w:hAnsi="Palatino Linotype" w:cs="Arial"/>
          <w:b/>
          <w:sz w:val="28"/>
          <w:szCs w:val="28"/>
        </w:rPr>
        <w:t>Del turno de los</w:t>
      </w:r>
      <w:r w:rsidR="004E7632" w:rsidRPr="000E5506">
        <w:rPr>
          <w:rFonts w:ascii="Palatino Linotype" w:hAnsi="Palatino Linotype" w:cs="Arial"/>
          <w:b/>
          <w:sz w:val="28"/>
          <w:szCs w:val="28"/>
        </w:rPr>
        <w:t xml:space="preserve"> recurso</w:t>
      </w:r>
      <w:r w:rsidR="0089782A" w:rsidRPr="000E5506">
        <w:rPr>
          <w:rFonts w:ascii="Palatino Linotype" w:hAnsi="Palatino Linotype" w:cs="Arial"/>
          <w:b/>
          <w:sz w:val="28"/>
          <w:szCs w:val="28"/>
        </w:rPr>
        <w:t>s</w:t>
      </w:r>
      <w:r w:rsidR="004E7632" w:rsidRPr="000E5506">
        <w:rPr>
          <w:rFonts w:ascii="Palatino Linotype" w:hAnsi="Palatino Linotype" w:cs="Arial"/>
          <w:b/>
          <w:sz w:val="28"/>
          <w:szCs w:val="28"/>
        </w:rPr>
        <w:t xml:space="preserve"> de revisión.</w:t>
      </w:r>
    </w:p>
    <w:p w14:paraId="6BF15924" w14:textId="2E89900A" w:rsidR="00FB780C" w:rsidRPr="000E5506" w:rsidRDefault="004E7632" w:rsidP="009012A4">
      <w:pPr>
        <w:spacing w:after="0" w:line="360" w:lineRule="auto"/>
        <w:jc w:val="both"/>
        <w:rPr>
          <w:rFonts w:ascii="Palatino Linotype" w:hAnsi="Palatino Linotype" w:cs="Arial"/>
          <w:sz w:val="24"/>
          <w:szCs w:val="24"/>
        </w:rPr>
      </w:pPr>
      <w:r w:rsidRPr="000E5506">
        <w:rPr>
          <w:rFonts w:ascii="Palatino Linotype" w:hAnsi="Palatino Linotype" w:cs="Arial"/>
          <w:sz w:val="24"/>
          <w:szCs w:val="24"/>
        </w:rPr>
        <w:t xml:space="preserve">Los medios de impugnación le fueron turnados a los Comisionados </w:t>
      </w:r>
      <w:r w:rsidR="0089782A" w:rsidRPr="000E5506">
        <w:rPr>
          <w:rFonts w:ascii="Palatino Linotype" w:hAnsi="Palatino Linotype" w:cs="Arial"/>
          <w:b/>
          <w:sz w:val="24"/>
          <w:szCs w:val="24"/>
        </w:rPr>
        <w:t>José Martínez Vilchis</w:t>
      </w:r>
      <w:r w:rsidR="00F15BE3" w:rsidRPr="000E5506">
        <w:rPr>
          <w:rFonts w:ascii="Palatino Linotype" w:hAnsi="Palatino Linotype" w:cs="Arial"/>
          <w:bCs/>
          <w:sz w:val="24"/>
          <w:szCs w:val="24"/>
        </w:rPr>
        <w:t xml:space="preserve"> </w:t>
      </w:r>
      <w:r w:rsidR="00EF7D3D" w:rsidRPr="000E5506">
        <w:rPr>
          <w:rFonts w:ascii="Palatino Linotype" w:hAnsi="Palatino Linotype" w:cs="Arial"/>
          <w:sz w:val="24"/>
          <w:szCs w:val="24"/>
        </w:rPr>
        <w:t xml:space="preserve">y </w:t>
      </w:r>
      <w:r w:rsidR="00230A7E" w:rsidRPr="000E5506">
        <w:rPr>
          <w:rFonts w:ascii="Palatino Linotype" w:hAnsi="Palatino Linotype" w:cs="Arial"/>
          <w:b/>
          <w:sz w:val="24"/>
          <w:szCs w:val="24"/>
        </w:rPr>
        <w:t>Luis Gustavo Parra Noriega</w:t>
      </w:r>
      <w:r w:rsidR="00EF7D3D" w:rsidRPr="000E5506">
        <w:rPr>
          <w:rFonts w:ascii="Palatino Linotype" w:hAnsi="Palatino Linotype" w:cs="Arial"/>
          <w:sz w:val="24"/>
          <w:szCs w:val="24"/>
        </w:rPr>
        <w:t>,</w:t>
      </w:r>
      <w:r w:rsidRPr="000E5506">
        <w:rPr>
          <w:rFonts w:ascii="Palatino Linotype" w:hAnsi="Palatino Linotype" w:cs="Arial"/>
          <w:sz w:val="24"/>
          <w:szCs w:val="24"/>
        </w:rPr>
        <w:t xml:space="preserve"> por medio del sistema electrónico </w:t>
      </w:r>
      <w:r w:rsidRPr="000E5506">
        <w:rPr>
          <w:rFonts w:ascii="Palatino Linotype" w:hAnsi="Palatino Linotype" w:cs="Arial"/>
          <w:b/>
          <w:bCs/>
          <w:sz w:val="24"/>
          <w:szCs w:val="24"/>
        </w:rPr>
        <w:t>SAIMEX</w:t>
      </w:r>
      <w:r w:rsidRPr="000E5506">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acuerdos de admisión en fecha </w:t>
      </w:r>
      <w:r w:rsidR="00230A7E" w:rsidRPr="000E5506">
        <w:rPr>
          <w:rFonts w:ascii="Palatino Linotype" w:hAnsi="Palatino Linotype" w:cs="Arial"/>
          <w:sz w:val="24"/>
          <w:szCs w:val="24"/>
        </w:rPr>
        <w:t>tres y cuatro de diciembre</w:t>
      </w:r>
      <w:r w:rsidR="00A828F4" w:rsidRPr="000E5506">
        <w:rPr>
          <w:rFonts w:ascii="Palatino Linotype" w:hAnsi="Palatino Linotype" w:cs="Arial"/>
          <w:sz w:val="24"/>
          <w:szCs w:val="24"/>
        </w:rPr>
        <w:t xml:space="preserve"> </w:t>
      </w:r>
      <w:r w:rsidRPr="000E5506">
        <w:rPr>
          <w:rFonts w:ascii="Palatino Linotype" w:hAnsi="Palatino Linotype" w:cs="Arial"/>
          <w:sz w:val="24"/>
          <w:szCs w:val="24"/>
        </w:rPr>
        <w:t xml:space="preserve">de dos mil </w:t>
      </w:r>
      <w:r w:rsidR="00A828F4" w:rsidRPr="000E5506">
        <w:rPr>
          <w:rFonts w:ascii="Palatino Linotype" w:hAnsi="Palatino Linotype" w:cs="Arial"/>
          <w:sz w:val="24"/>
          <w:szCs w:val="24"/>
        </w:rPr>
        <w:t>veintic</w:t>
      </w:r>
      <w:r w:rsidR="00F15BE3" w:rsidRPr="000E5506">
        <w:rPr>
          <w:rFonts w:ascii="Palatino Linotype" w:hAnsi="Palatino Linotype" w:cs="Arial"/>
          <w:sz w:val="24"/>
          <w:szCs w:val="24"/>
        </w:rPr>
        <w:t>inco</w:t>
      </w:r>
      <w:r w:rsidRPr="000E5506">
        <w:rPr>
          <w:rFonts w:ascii="Palatino Linotype" w:hAnsi="Palatino Linotype" w:cs="Arial"/>
          <w:sz w:val="24"/>
          <w:szCs w:val="24"/>
        </w:rPr>
        <w:t>, determinándose en ellos, un plazo de siete días para que las partes manifestaran lo que a su derecho corresponda en términos del numeral ya citado.</w:t>
      </w:r>
    </w:p>
    <w:p w14:paraId="60BDFEAC" w14:textId="77777777" w:rsidR="00230A7E" w:rsidRPr="000E5506" w:rsidRDefault="00230A7E" w:rsidP="009012A4">
      <w:pPr>
        <w:spacing w:after="0" w:line="360" w:lineRule="auto"/>
        <w:jc w:val="both"/>
        <w:rPr>
          <w:rFonts w:ascii="Palatino Linotype" w:hAnsi="Palatino Linotype" w:cs="Arial"/>
          <w:sz w:val="24"/>
          <w:szCs w:val="24"/>
        </w:rPr>
      </w:pPr>
    </w:p>
    <w:p w14:paraId="4E4A47E3" w14:textId="111096F5" w:rsidR="004E7632" w:rsidRPr="000E5506" w:rsidRDefault="004B6A48" w:rsidP="004E7632">
      <w:pPr>
        <w:pStyle w:val="Prrafodelista"/>
        <w:spacing w:line="360" w:lineRule="auto"/>
        <w:ind w:left="0"/>
        <w:jc w:val="both"/>
        <w:rPr>
          <w:rFonts w:ascii="Palatino Linotype" w:hAnsi="Palatino Linotype" w:cs="Arial"/>
          <w:b/>
          <w:sz w:val="28"/>
          <w:szCs w:val="28"/>
        </w:rPr>
      </w:pPr>
      <w:r w:rsidRPr="000E5506">
        <w:rPr>
          <w:rFonts w:ascii="Palatino Linotype" w:hAnsi="Palatino Linotype" w:cs="Arial"/>
          <w:b/>
          <w:sz w:val="28"/>
        </w:rPr>
        <w:t>SEXTO</w:t>
      </w:r>
      <w:r w:rsidR="004E7632" w:rsidRPr="000E5506">
        <w:rPr>
          <w:rFonts w:ascii="Palatino Linotype" w:hAnsi="Palatino Linotype" w:cs="Arial"/>
          <w:b/>
          <w:sz w:val="28"/>
          <w:szCs w:val="28"/>
        </w:rPr>
        <w:t>. De la acumulación.</w:t>
      </w:r>
    </w:p>
    <w:p w14:paraId="3A7088BF" w14:textId="47160A6C" w:rsidR="004E7632" w:rsidRPr="000E5506" w:rsidRDefault="004E7632" w:rsidP="00291AA2">
      <w:pPr>
        <w:pStyle w:val="Prrafodelista"/>
        <w:spacing w:line="360" w:lineRule="auto"/>
        <w:ind w:left="0"/>
        <w:jc w:val="both"/>
        <w:rPr>
          <w:rFonts w:ascii="Palatino Linotype" w:hAnsi="Palatino Linotype" w:cs="Arial"/>
        </w:rPr>
      </w:pPr>
      <w:r w:rsidRPr="000E5506">
        <w:rPr>
          <w:rFonts w:ascii="Palatino Linotype" w:hAnsi="Palatino Linotype" w:cs="Arial"/>
        </w:rPr>
        <w:t>Posteriormente</w:t>
      </w:r>
      <w:r w:rsidR="003213A4" w:rsidRPr="000E5506">
        <w:rPr>
          <w:rFonts w:ascii="Palatino Linotype" w:hAnsi="Palatino Linotype" w:cs="Arial"/>
        </w:rPr>
        <w:t>,</w:t>
      </w:r>
      <w:r w:rsidRPr="000E5506">
        <w:rPr>
          <w:rFonts w:ascii="Palatino Linotype" w:hAnsi="Palatino Linotype" w:cs="Arial"/>
        </w:rPr>
        <w:t xml:space="preserve"> por acuerdo del Pleno del Instituto</w:t>
      </w:r>
      <w:r w:rsidR="003213A4" w:rsidRPr="000E5506">
        <w:rPr>
          <w:rFonts w:ascii="Palatino Linotype" w:hAnsi="Palatino Linotype" w:cs="Arial"/>
        </w:rPr>
        <w:t xml:space="preserve"> </w:t>
      </w:r>
      <w:r w:rsidRPr="000E5506">
        <w:rPr>
          <w:rFonts w:ascii="Palatino Linotype" w:hAnsi="Palatino Linotype" w:cs="Arial"/>
        </w:rPr>
        <w:t xml:space="preserve">de fecha </w:t>
      </w:r>
      <w:r w:rsidR="00230A7E" w:rsidRPr="000E5506">
        <w:rPr>
          <w:rFonts w:ascii="Palatino Linotype" w:hAnsi="Palatino Linotype" w:cs="Arial"/>
          <w:b/>
        </w:rPr>
        <w:t>diez de diciembre</w:t>
      </w:r>
      <w:r w:rsidR="00A828F4" w:rsidRPr="000E5506">
        <w:rPr>
          <w:rFonts w:ascii="Palatino Linotype" w:hAnsi="Palatino Linotype" w:cs="Arial"/>
          <w:b/>
        </w:rPr>
        <w:t xml:space="preserve"> de</w:t>
      </w:r>
      <w:r w:rsidRPr="000E5506">
        <w:rPr>
          <w:rFonts w:ascii="Palatino Linotype" w:hAnsi="Palatino Linotype" w:cs="Arial"/>
          <w:b/>
        </w:rPr>
        <w:t xml:space="preserve"> </w:t>
      </w:r>
      <w:r w:rsidR="00291AA2" w:rsidRPr="000E5506">
        <w:rPr>
          <w:rFonts w:ascii="Palatino Linotype" w:hAnsi="Palatino Linotype" w:cs="Arial"/>
          <w:b/>
        </w:rPr>
        <w:t>do</w:t>
      </w:r>
      <w:r w:rsidR="00A828F4" w:rsidRPr="000E5506">
        <w:rPr>
          <w:rFonts w:ascii="Palatino Linotype" w:hAnsi="Palatino Linotype" w:cs="Arial"/>
          <w:b/>
        </w:rPr>
        <w:t>s mil veintic</w:t>
      </w:r>
      <w:r w:rsidR="00F15BE3" w:rsidRPr="000E5506">
        <w:rPr>
          <w:rFonts w:ascii="Palatino Linotype" w:hAnsi="Palatino Linotype" w:cs="Arial"/>
          <w:b/>
        </w:rPr>
        <w:t>inco</w:t>
      </w:r>
      <w:r w:rsidRPr="000E5506">
        <w:rPr>
          <w:rFonts w:ascii="Palatino Linotype" w:hAnsi="Palatino Linotype" w:cs="Arial"/>
        </w:rPr>
        <w:t xml:space="preserve">, se determinó acumular los recursos de revisión en estudio, ya que </w:t>
      </w:r>
      <w:r w:rsidRPr="000E5506">
        <w:rPr>
          <w:rFonts w:ascii="Palatino Linotype" w:hAnsi="Palatino Linotype" w:cs="Arial"/>
        </w:rPr>
        <w:lastRenderedPageBreak/>
        <w:t xml:space="preserve">existe identidad del solicitante, del </w:t>
      </w:r>
      <w:r w:rsidR="00C76E1B" w:rsidRPr="000E5506">
        <w:rPr>
          <w:rFonts w:ascii="Palatino Linotype" w:hAnsi="Palatino Linotype" w:cs="Arial"/>
          <w:b/>
        </w:rPr>
        <w:t>Sujeto Obligado</w:t>
      </w:r>
      <w:r w:rsidR="00C76E1B" w:rsidRPr="000E5506">
        <w:rPr>
          <w:rFonts w:ascii="Palatino Linotype" w:hAnsi="Palatino Linotype" w:cs="Arial"/>
        </w:rPr>
        <w:t xml:space="preserve"> </w:t>
      </w:r>
      <w:r w:rsidRPr="000E5506">
        <w:rPr>
          <w:rFonts w:ascii="Palatino Linotype" w:hAnsi="Palatino Linotype" w:cs="Arial"/>
        </w:rPr>
        <w:t>y similitud de causas y objeto de solicitud.</w:t>
      </w:r>
    </w:p>
    <w:p w14:paraId="69F326AE" w14:textId="77777777" w:rsidR="00291AA2" w:rsidRPr="000E5506" w:rsidRDefault="00291AA2" w:rsidP="00291AA2">
      <w:pPr>
        <w:pStyle w:val="Prrafodelista"/>
        <w:spacing w:line="360" w:lineRule="auto"/>
        <w:ind w:left="0"/>
        <w:jc w:val="both"/>
        <w:rPr>
          <w:rFonts w:ascii="Palatino Linotype" w:hAnsi="Palatino Linotype" w:cs="Arial"/>
        </w:rPr>
      </w:pPr>
    </w:p>
    <w:p w14:paraId="0A3ADB89" w14:textId="4A752F2A" w:rsidR="004E7632" w:rsidRPr="000E5506" w:rsidRDefault="004E7632" w:rsidP="004E7632">
      <w:pPr>
        <w:spacing w:after="0" w:line="360" w:lineRule="auto"/>
        <w:jc w:val="both"/>
        <w:rPr>
          <w:rFonts w:ascii="Palatino Linotype" w:hAnsi="Palatino Linotype"/>
          <w:sz w:val="24"/>
          <w:szCs w:val="24"/>
        </w:rPr>
      </w:pPr>
      <w:r w:rsidRPr="000E5506">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0E5506">
        <w:rPr>
          <w:rFonts w:ascii="Palatino Linotype" w:hAnsi="Palatino Linotype"/>
          <w:sz w:val="24"/>
          <w:szCs w:val="24"/>
        </w:rPr>
        <w:t>,</w:t>
      </w:r>
      <w:r w:rsidRPr="000E5506">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0E5506" w:rsidRDefault="004E7632" w:rsidP="004E7632">
      <w:pPr>
        <w:pStyle w:val="Sinespaciado"/>
        <w:rPr>
          <w:rFonts w:ascii="Palatino Linotype" w:hAnsi="Palatino Linotype"/>
          <w:sz w:val="18"/>
        </w:rPr>
      </w:pPr>
    </w:p>
    <w:p w14:paraId="45B5C5B9" w14:textId="77777777" w:rsidR="004E7632" w:rsidRPr="000E5506" w:rsidRDefault="004E7632" w:rsidP="007E7025">
      <w:pPr>
        <w:spacing w:after="0" w:line="240" w:lineRule="auto"/>
        <w:ind w:left="567" w:right="567"/>
        <w:jc w:val="both"/>
        <w:rPr>
          <w:rFonts w:ascii="Palatino Linotype" w:hAnsi="Palatino Linotype"/>
          <w:i/>
          <w:szCs w:val="24"/>
        </w:rPr>
      </w:pPr>
      <w:r w:rsidRPr="000E5506">
        <w:rPr>
          <w:rFonts w:ascii="Palatino Linotype" w:hAnsi="Palatino Linotype"/>
          <w:i/>
          <w:szCs w:val="24"/>
        </w:rPr>
        <w:t>“</w:t>
      </w:r>
      <w:r w:rsidRPr="000E5506">
        <w:rPr>
          <w:rFonts w:ascii="Palatino Linotype" w:hAnsi="Palatino Linotype"/>
          <w:b/>
          <w:i/>
          <w:szCs w:val="24"/>
        </w:rPr>
        <w:t>Artículo 195.</w:t>
      </w:r>
      <w:r w:rsidRPr="000E5506">
        <w:rPr>
          <w:rFonts w:ascii="Palatino Linotype" w:hAnsi="Palatino Linotype"/>
          <w:i/>
          <w:szCs w:val="24"/>
        </w:rPr>
        <w:t xml:space="preserve"> En la tramitación del recurso de revisión se aplicarán supletoriamente las disposiciones contenidas en el </w:t>
      </w:r>
      <w:r w:rsidRPr="000E5506">
        <w:rPr>
          <w:rFonts w:ascii="Palatino Linotype" w:hAnsi="Palatino Linotype"/>
          <w:b/>
          <w:i/>
          <w:szCs w:val="24"/>
          <w:u w:val="single"/>
        </w:rPr>
        <w:t>Código de Procedimientos Administrativos del Estado de México</w:t>
      </w:r>
      <w:r w:rsidRPr="000E5506">
        <w:rPr>
          <w:rFonts w:ascii="Palatino Linotype" w:hAnsi="Palatino Linotype"/>
          <w:i/>
          <w:szCs w:val="24"/>
        </w:rPr>
        <w:t>.”</w:t>
      </w:r>
    </w:p>
    <w:p w14:paraId="696F2252" w14:textId="77777777" w:rsidR="004E7632" w:rsidRPr="000E5506" w:rsidRDefault="004E7632" w:rsidP="007E7025">
      <w:pPr>
        <w:spacing w:after="0" w:line="240" w:lineRule="auto"/>
        <w:ind w:left="567" w:right="567"/>
        <w:jc w:val="both"/>
        <w:rPr>
          <w:rFonts w:ascii="Palatino Linotype" w:hAnsi="Palatino Linotype"/>
          <w:i/>
          <w:szCs w:val="24"/>
        </w:rPr>
      </w:pPr>
    </w:p>
    <w:p w14:paraId="67849501" w14:textId="77777777" w:rsidR="004E7632" w:rsidRPr="000E5506" w:rsidRDefault="004E7632" w:rsidP="007E7025">
      <w:pPr>
        <w:spacing w:after="0" w:line="240" w:lineRule="auto"/>
        <w:ind w:left="567" w:right="567"/>
        <w:jc w:val="both"/>
        <w:rPr>
          <w:rFonts w:ascii="Palatino Linotype" w:hAnsi="Palatino Linotype"/>
          <w:i/>
          <w:szCs w:val="24"/>
        </w:rPr>
      </w:pPr>
      <w:r w:rsidRPr="000E5506">
        <w:rPr>
          <w:rFonts w:ascii="Palatino Linotype" w:hAnsi="Palatino Linotype"/>
          <w:i/>
          <w:szCs w:val="24"/>
        </w:rPr>
        <w:t>“</w:t>
      </w:r>
      <w:r w:rsidRPr="000E5506">
        <w:rPr>
          <w:rFonts w:ascii="Palatino Linotype" w:hAnsi="Palatino Linotype"/>
          <w:b/>
          <w:i/>
          <w:szCs w:val="24"/>
        </w:rPr>
        <w:t>Artículo 18.</w:t>
      </w:r>
      <w:r w:rsidRPr="000E5506">
        <w:rPr>
          <w:rFonts w:ascii="Palatino Linotype" w:hAnsi="Palatino Linotype"/>
          <w:i/>
          <w:szCs w:val="24"/>
        </w:rPr>
        <w:t xml:space="preserve"> </w:t>
      </w:r>
      <w:r w:rsidRPr="000E5506">
        <w:rPr>
          <w:rFonts w:ascii="Palatino Linotype" w:hAnsi="Palatino Linotype"/>
          <w:b/>
          <w:i/>
          <w:szCs w:val="24"/>
          <w:u w:val="single"/>
        </w:rPr>
        <w:t>La autoridad administrativa</w:t>
      </w:r>
      <w:r w:rsidRPr="000E5506">
        <w:rPr>
          <w:rFonts w:ascii="Palatino Linotype" w:hAnsi="Palatino Linotype"/>
          <w:i/>
          <w:szCs w:val="24"/>
        </w:rPr>
        <w:t xml:space="preserve"> o el Tribunal </w:t>
      </w:r>
      <w:r w:rsidRPr="000E5506">
        <w:rPr>
          <w:rFonts w:ascii="Palatino Linotype" w:hAnsi="Palatino Linotype"/>
          <w:b/>
          <w:i/>
          <w:szCs w:val="24"/>
          <w:u w:val="single"/>
        </w:rPr>
        <w:t>acordarán la acumulación</w:t>
      </w:r>
      <w:r w:rsidRPr="000E5506">
        <w:rPr>
          <w:rFonts w:ascii="Palatino Linotype" w:hAnsi="Palatino Linotype"/>
          <w:i/>
          <w:szCs w:val="24"/>
        </w:rPr>
        <w:t xml:space="preserve"> de los expedientes del procedimiento y proceso administrativo que ante ellos se sigan</w:t>
      </w:r>
      <w:r w:rsidRPr="000E5506">
        <w:rPr>
          <w:rFonts w:ascii="Palatino Linotype" w:hAnsi="Palatino Linotype"/>
          <w:b/>
          <w:i/>
          <w:szCs w:val="24"/>
          <w:u w:val="single"/>
        </w:rPr>
        <w:t>, de oficio</w:t>
      </w:r>
      <w:r w:rsidRPr="000E5506">
        <w:rPr>
          <w:rFonts w:ascii="Palatino Linotype" w:hAnsi="Palatino Linotype"/>
          <w:i/>
          <w:szCs w:val="24"/>
        </w:rPr>
        <w:t xml:space="preserve"> o a petición de parte, </w:t>
      </w:r>
      <w:r w:rsidRPr="000E5506">
        <w:rPr>
          <w:rFonts w:ascii="Palatino Linotype" w:hAnsi="Palatino Linotype"/>
          <w:b/>
          <w:i/>
          <w:szCs w:val="24"/>
          <w:u w:val="single"/>
        </w:rPr>
        <w:t>cuando las partes o los actos administrativos sean iguales, se trate de actos conexos o resulte conveniente el trámite unificado de los asuntos</w:t>
      </w:r>
      <w:r w:rsidRPr="000E5506">
        <w:rPr>
          <w:rFonts w:ascii="Palatino Linotype" w:hAnsi="Palatino Linotype"/>
          <w:i/>
          <w:szCs w:val="24"/>
        </w:rPr>
        <w:t>, para evitar la emisión de resoluciones contradictorias. La misma regla se aplicará, en lo conducente, para la separación de los expedientes.”</w:t>
      </w:r>
    </w:p>
    <w:p w14:paraId="338B1B2C" w14:textId="1EC3AC99" w:rsidR="004E7632" w:rsidRPr="000E5506" w:rsidRDefault="004E7632" w:rsidP="004B6127">
      <w:pPr>
        <w:spacing w:after="0" w:line="240" w:lineRule="auto"/>
        <w:ind w:right="851"/>
        <w:jc w:val="both"/>
        <w:rPr>
          <w:rFonts w:ascii="Palatino Linotype" w:hAnsi="Palatino Linotype"/>
          <w:i/>
          <w:sz w:val="18"/>
          <w:szCs w:val="24"/>
        </w:rPr>
      </w:pPr>
    </w:p>
    <w:p w14:paraId="53C12599" w14:textId="77777777" w:rsidR="0011456F" w:rsidRPr="000E5506" w:rsidRDefault="0011456F" w:rsidP="004B6127">
      <w:pPr>
        <w:spacing w:after="0" w:line="240" w:lineRule="auto"/>
        <w:ind w:right="851"/>
        <w:jc w:val="both"/>
        <w:rPr>
          <w:rFonts w:ascii="Palatino Linotype" w:hAnsi="Palatino Linotype"/>
          <w:i/>
          <w:sz w:val="18"/>
          <w:szCs w:val="24"/>
        </w:rPr>
      </w:pPr>
    </w:p>
    <w:p w14:paraId="7A9E3701" w14:textId="2D1A1832" w:rsidR="004E7632" w:rsidRPr="000E5506" w:rsidRDefault="004B6A48" w:rsidP="004E7632">
      <w:pPr>
        <w:spacing w:after="0" w:line="360" w:lineRule="auto"/>
        <w:jc w:val="both"/>
        <w:rPr>
          <w:rFonts w:ascii="Palatino Linotype" w:hAnsi="Palatino Linotype" w:cs="Arial"/>
          <w:b/>
          <w:sz w:val="24"/>
          <w:szCs w:val="24"/>
        </w:rPr>
      </w:pPr>
      <w:r w:rsidRPr="000E5506">
        <w:rPr>
          <w:rFonts w:ascii="Palatino Linotype" w:hAnsi="Palatino Linotype" w:cs="Arial"/>
          <w:b/>
          <w:sz w:val="28"/>
        </w:rPr>
        <w:t>SÉPTIMO</w:t>
      </w:r>
      <w:r w:rsidR="004E7632" w:rsidRPr="000E5506">
        <w:rPr>
          <w:rFonts w:ascii="Palatino Linotype" w:hAnsi="Palatino Linotype" w:cs="Arial"/>
          <w:b/>
          <w:sz w:val="24"/>
          <w:szCs w:val="24"/>
        </w:rPr>
        <w:t xml:space="preserve">. </w:t>
      </w:r>
      <w:r w:rsidR="004E7632" w:rsidRPr="000E5506">
        <w:rPr>
          <w:rFonts w:ascii="Palatino Linotype" w:hAnsi="Palatino Linotype" w:cs="Arial"/>
          <w:b/>
          <w:sz w:val="28"/>
          <w:szCs w:val="28"/>
        </w:rPr>
        <w:t>De la etapa de instrucción.</w:t>
      </w:r>
    </w:p>
    <w:p w14:paraId="6C3A626D" w14:textId="2528500E" w:rsidR="00583518" w:rsidRPr="000E5506" w:rsidRDefault="004E7632" w:rsidP="004E7632">
      <w:pPr>
        <w:spacing w:after="0" w:line="360" w:lineRule="auto"/>
        <w:jc w:val="both"/>
        <w:rPr>
          <w:rFonts w:ascii="Palatino Linotype" w:hAnsi="Palatino Linotype" w:cs="Arial"/>
          <w:sz w:val="24"/>
          <w:szCs w:val="24"/>
        </w:rPr>
      </w:pPr>
      <w:r w:rsidRPr="000E5506">
        <w:rPr>
          <w:rFonts w:ascii="Palatino Linotype" w:hAnsi="Palatino Linotype" w:cs="Arial"/>
          <w:sz w:val="24"/>
          <w:szCs w:val="24"/>
        </w:rPr>
        <w:t xml:space="preserve">De las constancias que obran en el expediente electrónico del </w:t>
      </w:r>
      <w:r w:rsidRPr="000E5506">
        <w:rPr>
          <w:rFonts w:ascii="Palatino Linotype" w:hAnsi="Palatino Linotype" w:cs="Arial"/>
          <w:b/>
          <w:bCs/>
          <w:sz w:val="24"/>
          <w:szCs w:val="24"/>
        </w:rPr>
        <w:t>SAIMEX</w:t>
      </w:r>
      <w:r w:rsidRPr="000E5506">
        <w:rPr>
          <w:rFonts w:ascii="Palatino Linotype" w:hAnsi="Palatino Linotype" w:cs="Arial"/>
          <w:sz w:val="24"/>
          <w:szCs w:val="24"/>
        </w:rPr>
        <w:t xml:space="preserve"> se desprende que</w:t>
      </w:r>
      <w:r w:rsidR="0011456F" w:rsidRPr="000E5506">
        <w:rPr>
          <w:rFonts w:ascii="Palatino Linotype" w:hAnsi="Palatino Linotype" w:cs="Arial"/>
          <w:sz w:val="24"/>
          <w:szCs w:val="24"/>
        </w:rPr>
        <w:t xml:space="preserve">, </w:t>
      </w:r>
      <w:r w:rsidR="00506158" w:rsidRPr="000E5506">
        <w:rPr>
          <w:rFonts w:ascii="Palatino Linotype" w:hAnsi="Palatino Linotype" w:cs="Arial"/>
          <w:sz w:val="24"/>
          <w:szCs w:val="24"/>
        </w:rPr>
        <w:t xml:space="preserve">el </w:t>
      </w:r>
      <w:r w:rsidRPr="000E5506">
        <w:rPr>
          <w:rFonts w:ascii="Palatino Linotype" w:hAnsi="Palatino Linotype" w:cs="Arial"/>
          <w:b/>
          <w:sz w:val="24"/>
          <w:szCs w:val="24"/>
        </w:rPr>
        <w:t>Sujeto Obligado</w:t>
      </w:r>
      <w:r w:rsidRPr="000E5506">
        <w:rPr>
          <w:rFonts w:ascii="Palatino Linotype" w:hAnsi="Palatino Linotype" w:cs="Arial"/>
          <w:sz w:val="24"/>
          <w:szCs w:val="24"/>
        </w:rPr>
        <w:t xml:space="preserve"> </w:t>
      </w:r>
      <w:r w:rsidR="00230A7E" w:rsidRPr="000E5506">
        <w:rPr>
          <w:rFonts w:ascii="Palatino Linotype" w:hAnsi="Palatino Linotype" w:cs="Arial"/>
          <w:sz w:val="24"/>
          <w:szCs w:val="24"/>
        </w:rPr>
        <w:t>fue omiso en rendir</w:t>
      </w:r>
      <w:r w:rsidR="00C76E1B" w:rsidRPr="000E5506">
        <w:rPr>
          <w:rFonts w:ascii="Palatino Linotype" w:hAnsi="Palatino Linotype" w:cs="Arial"/>
          <w:sz w:val="24"/>
          <w:szCs w:val="24"/>
        </w:rPr>
        <w:t xml:space="preserve"> su informe justificado</w:t>
      </w:r>
      <w:r w:rsidR="00B94483" w:rsidRPr="000E5506">
        <w:rPr>
          <w:rFonts w:ascii="Palatino Linotype" w:hAnsi="Palatino Linotype" w:cs="Arial"/>
          <w:sz w:val="24"/>
          <w:szCs w:val="24"/>
        </w:rPr>
        <w:t xml:space="preserve">; </w:t>
      </w:r>
      <w:r w:rsidR="00230A7E" w:rsidRPr="000E5506">
        <w:rPr>
          <w:rFonts w:ascii="Palatino Linotype" w:hAnsi="Palatino Linotype" w:cs="Arial"/>
          <w:sz w:val="24"/>
          <w:szCs w:val="24"/>
        </w:rPr>
        <w:t>asimismo</w:t>
      </w:r>
      <w:r w:rsidR="00174D25" w:rsidRPr="000E5506">
        <w:rPr>
          <w:rFonts w:ascii="Palatino Linotype" w:hAnsi="Palatino Linotype" w:cs="Arial"/>
          <w:sz w:val="24"/>
          <w:szCs w:val="24"/>
        </w:rPr>
        <w:t xml:space="preserve"> la </w:t>
      </w:r>
      <w:r w:rsidR="00230A7E" w:rsidRPr="000E5506">
        <w:rPr>
          <w:rFonts w:ascii="Palatino Linotype" w:hAnsi="Palatino Linotype" w:cs="Arial"/>
          <w:sz w:val="24"/>
          <w:szCs w:val="24"/>
        </w:rPr>
        <w:t xml:space="preserve">parte </w:t>
      </w:r>
      <w:r w:rsidRPr="000E5506">
        <w:rPr>
          <w:rFonts w:ascii="Palatino Linotype" w:hAnsi="Palatino Linotype" w:cs="Arial"/>
          <w:b/>
          <w:sz w:val="24"/>
          <w:szCs w:val="24"/>
        </w:rPr>
        <w:t>Recurrente</w:t>
      </w:r>
      <w:r w:rsidRPr="000E5506">
        <w:rPr>
          <w:rFonts w:ascii="Palatino Linotype" w:hAnsi="Palatino Linotype" w:cs="Arial"/>
          <w:sz w:val="24"/>
          <w:szCs w:val="24"/>
        </w:rPr>
        <w:t xml:space="preserve">, </w:t>
      </w:r>
      <w:r w:rsidR="00230A7E" w:rsidRPr="000E5506">
        <w:rPr>
          <w:rFonts w:ascii="Palatino Linotype" w:hAnsi="Palatino Linotype" w:cs="Arial"/>
          <w:sz w:val="24"/>
          <w:szCs w:val="24"/>
        </w:rPr>
        <w:t>tampoco</w:t>
      </w:r>
      <w:r w:rsidR="00C76E1B" w:rsidRPr="000E5506">
        <w:rPr>
          <w:rFonts w:ascii="Palatino Linotype" w:hAnsi="Palatino Linotype" w:cs="Arial"/>
          <w:sz w:val="24"/>
          <w:szCs w:val="24"/>
        </w:rPr>
        <w:t xml:space="preserve"> realizó alegatos, ni remitió </w:t>
      </w:r>
      <w:r w:rsidRPr="000E5506">
        <w:rPr>
          <w:rFonts w:ascii="Palatino Linotype" w:hAnsi="Palatino Linotype" w:cs="Arial"/>
          <w:sz w:val="24"/>
          <w:szCs w:val="24"/>
        </w:rPr>
        <w:t>pruebas o manifestaciones</w:t>
      </w:r>
      <w:r w:rsidR="00230A7E" w:rsidRPr="000E5506">
        <w:rPr>
          <w:rFonts w:ascii="Palatino Linotype" w:hAnsi="Palatino Linotype" w:cs="Arial"/>
          <w:sz w:val="24"/>
          <w:szCs w:val="24"/>
        </w:rPr>
        <w:t>.</w:t>
      </w:r>
    </w:p>
    <w:p w14:paraId="430B2044" w14:textId="77777777" w:rsidR="00230A7E" w:rsidRPr="000E5506" w:rsidRDefault="00230A7E" w:rsidP="004E7632">
      <w:pPr>
        <w:spacing w:after="0" w:line="360" w:lineRule="auto"/>
        <w:jc w:val="both"/>
        <w:rPr>
          <w:rFonts w:ascii="Palatino Linotype" w:hAnsi="Palatino Linotype" w:cs="Arial"/>
          <w:sz w:val="24"/>
          <w:szCs w:val="24"/>
        </w:rPr>
      </w:pPr>
    </w:p>
    <w:p w14:paraId="3BD24A51" w14:textId="2B55C29D" w:rsidR="00291AA2" w:rsidRPr="000E5506" w:rsidRDefault="004B6A48" w:rsidP="004E7632">
      <w:pPr>
        <w:spacing w:after="0" w:line="360" w:lineRule="auto"/>
        <w:jc w:val="both"/>
        <w:rPr>
          <w:rFonts w:ascii="Palatino Linotype" w:hAnsi="Palatino Linotype" w:cs="Arial"/>
          <w:b/>
          <w:sz w:val="28"/>
          <w:szCs w:val="24"/>
        </w:rPr>
      </w:pPr>
      <w:r w:rsidRPr="000E5506">
        <w:rPr>
          <w:rFonts w:ascii="Palatino Linotype" w:hAnsi="Palatino Linotype" w:cs="Arial"/>
          <w:b/>
          <w:sz w:val="28"/>
          <w:szCs w:val="24"/>
        </w:rPr>
        <w:t>OCTAVO</w:t>
      </w:r>
      <w:r w:rsidR="00C76E1B" w:rsidRPr="000E5506">
        <w:rPr>
          <w:rFonts w:ascii="Palatino Linotype" w:hAnsi="Palatino Linotype" w:cs="Arial"/>
          <w:b/>
          <w:sz w:val="28"/>
          <w:szCs w:val="24"/>
        </w:rPr>
        <w:t>. Del cierre de instrucción.</w:t>
      </w:r>
    </w:p>
    <w:p w14:paraId="607E18B0" w14:textId="5405E1CC" w:rsidR="004E7632" w:rsidRPr="000E5506" w:rsidRDefault="00C76E1B" w:rsidP="004E7632">
      <w:pPr>
        <w:spacing w:after="0" w:line="360" w:lineRule="auto"/>
        <w:jc w:val="both"/>
        <w:rPr>
          <w:rFonts w:ascii="Palatino Linotype" w:hAnsi="Palatino Linotype" w:cs="Arial"/>
          <w:sz w:val="24"/>
          <w:szCs w:val="24"/>
        </w:rPr>
      </w:pPr>
      <w:r w:rsidRPr="000E5506">
        <w:rPr>
          <w:rFonts w:ascii="Palatino Linotype" w:hAnsi="Palatino Linotype" w:cs="Arial"/>
          <w:sz w:val="24"/>
          <w:szCs w:val="24"/>
        </w:rPr>
        <w:t>E</w:t>
      </w:r>
      <w:r w:rsidR="004E7632" w:rsidRPr="000E5506">
        <w:rPr>
          <w:rFonts w:ascii="Palatino Linotype" w:hAnsi="Palatino Linotype" w:cs="Arial"/>
          <w:sz w:val="24"/>
          <w:szCs w:val="24"/>
        </w:rPr>
        <w:t xml:space="preserve">n fecha </w:t>
      </w:r>
      <w:r w:rsidR="00230A7E" w:rsidRPr="000E5506">
        <w:rPr>
          <w:rFonts w:ascii="Palatino Linotype" w:hAnsi="Palatino Linotype" w:cs="Arial"/>
          <w:sz w:val="24"/>
          <w:szCs w:val="24"/>
        </w:rPr>
        <w:t>dieciocho de diciembre</w:t>
      </w:r>
      <w:r w:rsidR="00A828F4" w:rsidRPr="000E5506">
        <w:rPr>
          <w:rFonts w:ascii="Palatino Linotype" w:hAnsi="Palatino Linotype" w:cs="Arial"/>
          <w:sz w:val="24"/>
          <w:szCs w:val="24"/>
        </w:rPr>
        <w:t xml:space="preserve"> de dos mil veintic</w:t>
      </w:r>
      <w:r w:rsidR="00506158" w:rsidRPr="000E5506">
        <w:rPr>
          <w:rFonts w:ascii="Palatino Linotype" w:hAnsi="Palatino Linotype" w:cs="Arial"/>
          <w:sz w:val="24"/>
          <w:szCs w:val="24"/>
        </w:rPr>
        <w:t>inco</w:t>
      </w:r>
      <w:r w:rsidR="004E7632" w:rsidRPr="000E5506">
        <w:rPr>
          <w:rFonts w:ascii="Palatino Linotype" w:hAnsi="Palatino Linotype" w:cs="Arial"/>
          <w:sz w:val="24"/>
          <w:szCs w:val="24"/>
        </w:rPr>
        <w:t xml:space="preserve">, en términos del artículo 185, fracción VI, de la Ley de Transparencia y Acceso a la Información Pública del Estado </w:t>
      </w:r>
      <w:r w:rsidR="004E7632" w:rsidRPr="000E5506">
        <w:rPr>
          <w:rFonts w:ascii="Palatino Linotype" w:hAnsi="Palatino Linotype" w:cs="Arial"/>
          <w:sz w:val="24"/>
          <w:szCs w:val="24"/>
        </w:rPr>
        <w:lastRenderedPageBreak/>
        <w:t>de México y Municipios,</w:t>
      </w:r>
      <w:r w:rsidRPr="000E5506">
        <w:rPr>
          <w:rFonts w:ascii="Palatino Linotype" w:hAnsi="Palatino Linotype" w:cs="Arial"/>
          <w:sz w:val="24"/>
          <w:szCs w:val="24"/>
        </w:rPr>
        <w:t xml:space="preserve"> se decretó el cierre de las mismas,</w:t>
      </w:r>
      <w:r w:rsidR="004E7632" w:rsidRPr="000E5506">
        <w:rPr>
          <w:rFonts w:ascii="Palatino Linotype" w:hAnsi="Palatino Linotype" w:cs="Arial"/>
          <w:sz w:val="24"/>
          <w:szCs w:val="24"/>
        </w:rPr>
        <w:t xml:space="preserve"> iniciando el término legal para dictar resolución definitiva del asunto.</w:t>
      </w:r>
    </w:p>
    <w:p w14:paraId="1BE26701" w14:textId="77777777" w:rsidR="003213A4" w:rsidRPr="000E5506" w:rsidRDefault="003213A4" w:rsidP="003213A4">
      <w:pPr>
        <w:spacing w:after="0" w:line="360" w:lineRule="auto"/>
        <w:rPr>
          <w:rFonts w:ascii="Palatino Linotype" w:eastAsia="Times New Roman" w:hAnsi="Palatino Linotype" w:cs="Times New Roman"/>
          <w:b/>
          <w:sz w:val="24"/>
          <w:szCs w:val="24"/>
          <w:lang w:eastAsia="es-ES"/>
        </w:rPr>
      </w:pPr>
    </w:p>
    <w:p w14:paraId="547961C6" w14:textId="15C81311" w:rsidR="003213A4" w:rsidRPr="000E5506" w:rsidRDefault="004B6A48" w:rsidP="003213A4">
      <w:pPr>
        <w:spacing w:after="0" w:line="360" w:lineRule="auto"/>
        <w:rPr>
          <w:rFonts w:ascii="Palatino Linotype" w:eastAsia="Times New Roman" w:hAnsi="Palatino Linotype" w:cs="Times New Roman"/>
          <w:b/>
          <w:sz w:val="28"/>
          <w:szCs w:val="26"/>
          <w:lang w:eastAsia="es-ES"/>
        </w:rPr>
      </w:pPr>
      <w:r w:rsidRPr="000E5506">
        <w:rPr>
          <w:rFonts w:ascii="Palatino Linotype" w:eastAsia="Times New Roman" w:hAnsi="Palatino Linotype" w:cs="Times New Roman"/>
          <w:b/>
          <w:sz w:val="28"/>
          <w:szCs w:val="26"/>
          <w:lang w:eastAsia="es-ES"/>
        </w:rPr>
        <w:t>NOVENO</w:t>
      </w:r>
      <w:r w:rsidR="003213A4" w:rsidRPr="000E5506">
        <w:rPr>
          <w:rFonts w:ascii="Palatino Linotype" w:eastAsia="Times New Roman" w:hAnsi="Palatino Linotype" w:cs="Times New Roman"/>
          <w:b/>
          <w:sz w:val="28"/>
          <w:szCs w:val="26"/>
          <w:lang w:eastAsia="es-ES"/>
        </w:rPr>
        <w:t>. De la ampliación del término para resolver.</w:t>
      </w:r>
    </w:p>
    <w:p w14:paraId="4FA8C9E3" w14:textId="6558C069" w:rsidR="003213A4" w:rsidRPr="000E5506" w:rsidRDefault="003213A4" w:rsidP="003213A4">
      <w:pPr>
        <w:spacing w:after="0" w:line="360" w:lineRule="auto"/>
        <w:jc w:val="both"/>
        <w:rPr>
          <w:rFonts w:ascii="Palatino Linotype" w:eastAsia="Times New Roman" w:hAnsi="Palatino Linotype" w:cs="Times New Roman"/>
          <w:sz w:val="24"/>
          <w:szCs w:val="24"/>
          <w:lang w:eastAsia="es-ES"/>
        </w:rPr>
      </w:pPr>
      <w:r w:rsidRPr="000E5506">
        <w:rPr>
          <w:rFonts w:ascii="Palatino Linotype" w:eastAsia="Times New Roman" w:hAnsi="Palatino Linotype" w:cs="Times New Roman"/>
          <w:sz w:val="24"/>
          <w:szCs w:val="24"/>
          <w:lang w:eastAsia="es-ES"/>
        </w:rPr>
        <w:t xml:space="preserve">En fecha </w:t>
      </w:r>
      <w:r w:rsidR="00230A7E" w:rsidRPr="000E5506">
        <w:rPr>
          <w:rFonts w:ascii="Palatino Linotype" w:eastAsia="Times New Roman" w:hAnsi="Palatino Linotype" w:cs="Times New Roman"/>
          <w:sz w:val="24"/>
          <w:szCs w:val="24"/>
          <w:lang w:eastAsia="es-ES"/>
        </w:rPr>
        <w:t>nueve de febrero</w:t>
      </w:r>
      <w:r w:rsidRPr="000E5506">
        <w:rPr>
          <w:rFonts w:ascii="Palatino Linotype" w:eastAsia="Times New Roman" w:hAnsi="Palatino Linotype" w:cs="Times New Roman"/>
          <w:sz w:val="24"/>
          <w:szCs w:val="24"/>
          <w:lang w:eastAsia="es-ES"/>
        </w:rPr>
        <w:t xml:space="preserve"> de dos mil veinti</w:t>
      </w:r>
      <w:r w:rsidR="00230A7E" w:rsidRPr="000E5506">
        <w:rPr>
          <w:rFonts w:ascii="Palatino Linotype" w:eastAsia="Times New Roman" w:hAnsi="Palatino Linotype" w:cs="Times New Roman"/>
          <w:sz w:val="24"/>
          <w:szCs w:val="24"/>
          <w:lang w:eastAsia="es-ES"/>
        </w:rPr>
        <w:t>séis</w:t>
      </w:r>
      <w:r w:rsidRPr="000E5506">
        <w:rPr>
          <w:rFonts w:ascii="Palatino Linotype" w:eastAsia="Times New Roman" w:hAnsi="Palatino Linotype" w:cs="Times New Roman"/>
          <w:sz w:val="24"/>
          <w:szCs w:val="24"/>
          <w:lang w:eastAsia="es-ES"/>
        </w:rPr>
        <w:t>, se amplió el término para resolver el recurso de revisión en términos del artículo 181, párrafo tercero, de la Ley de Transparencia y Acceso a la Información Pública del Estado de México y Municipios por un plazo de quince días hábiles.</w:t>
      </w:r>
    </w:p>
    <w:p w14:paraId="7C552BB3" w14:textId="77777777" w:rsidR="003213A4" w:rsidRPr="000E5506" w:rsidRDefault="003213A4" w:rsidP="003213A4">
      <w:pPr>
        <w:spacing w:after="0" w:line="360" w:lineRule="auto"/>
        <w:jc w:val="both"/>
        <w:rPr>
          <w:rFonts w:ascii="Palatino Linotype" w:eastAsia="Times New Roman" w:hAnsi="Palatino Linotype" w:cs="Times New Roman"/>
          <w:sz w:val="24"/>
          <w:szCs w:val="24"/>
          <w:lang w:eastAsia="es-ES"/>
        </w:rPr>
      </w:pPr>
    </w:p>
    <w:p w14:paraId="1955E4F4"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 xml:space="preserve">Es menester precisar que, si bien se ha excedido el plazo para resolver el presente medio de impugnación, de conformidad con la ley de la materia, </w:t>
      </w:r>
      <w:r w:rsidRPr="000E5506">
        <w:rPr>
          <w:rFonts w:ascii="Palatino Linotype" w:hAnsi="Palatino Linotype"/>
          <w:bCs/>
          <w:sz w:val="24"/>
        </w:rPr>
        <w:t>el plazo para emitir resolución</w:t>
      </w:r>
      <w:r w:rsidRPr="000E5506">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F3D362A" w14:textId="77777777" w:rsidR="003213A4" w:rsidRPr="000E5506" w:rsidRDefault="003213A4" w:rsidP="003213A4">
      <w:pPr>
        <w:spacing w:after="0" w:line="360" w:lineRule="auto"/>
        <w:jc w:val="both"/>
        <w:rPr>
          <w:rFonts w:ascii="Palatino Linotype" w:hAnsi="Palatino Linotype"/>
          <w:sz w:val="24"/>
        </w:rPr>
      </w:pPr>
    </w:p>
    <w:p w14:paraId="3A53B4B6"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488096" w14:textId="77777777" w:rsidR="003213A4" w:rsidRPr="000E5506" w:rsidRDefault="003213A4" w:rsidP="003213A4">
      <w:pPr>
        <w:spacing w:after="0" w:line="360" w:lineRule="auto"/>
        <w:jc w:val="both"/>
        <w:rPr>
          <w:rFonts w:ascii="Palatino Linotype" w:hAnsi="Palatino Linotype"/>
          <w:sz w:val="24"/>
        </w:rPr>
      </w:pPr>
    </w:p>
    <w:p w14:paraId="6A9A6C28" w14:textId="3A7C2F9C"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341E43"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779C11E" w14:textId="77777777" w:rsidR="003213A4" w:rsidRPr="000E5506" w:rsidRDefault="003213A4" w:rsidP="003213A4">
      <w:pPr>
        <w:spacing w:after="0" w:line="240" w:lineRule="auto"/>
        <w:rPr>
          <w:rFonts w:ascii="Palatino Linotype" w:hAnsi="Palatino Linotype"/>
        </w:rPr>
      </w:pPr>
    </w:p>
    <w:p w14:paraId="64F24807"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a)      Complejidad del asunto: La complejidad de la prueba, la pluralidad de sujetos procesales, el tiempo transcurrido, las características y contexto del recurso.</w:t>
      </w:r>
    </w:p>
    <w:p w14:paraId="3DC23439"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b)     Actividad Procesal del interesado: Acciones u omisiones del interesado.</w:t>
      </w:r>
    </w:p>
    <w:p w14:paraId="5E5A35F6"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c)  Conducta de la Autoridad: Las Acciones u omisiones realizadas en el procedimiento. Así como si la autoridad actuó con la debida diligencia.</w:t>
      </w:r>
    </w:p>
    <w:p w14:paraId="45D5149B"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d) La afectación generada en la situación jurídica de la persona involucrada en el proceso: Violación a sus derechos humanos.</w:t>
      </w:r>
    </w:p>
    <w:p w14:paraId="1A8449EA" w14:textId="77777777" w:rsidR="003213A4" w:rsidRPr="000E5506" w:rsidRDefault="003213A4" w:rsidP="003213A4">
      <w:pPr>
        <w:spacing w:after="0" w:line="360" w:lineRule="auto"/>
        <w:jc w:val="both"/>
        <w:rPr>
          <w:rFonts w:ascii="Palatino Linotype" w:hAnsi="Palatino Linotype"/>
        </w:rPr>
      </w:pPr>
    </w:p>
    <w:p w14:paraId="6014540C"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E9397D" w14:textId="77777777" w:rsidR="003213A4" w:rsidRPr="000E5506" w:rsidRDefault="003213A4" w:rsidP="003213A4">
      <w:pPr>
        <w:spacing w:after="0" w:line="360" w:lineRule="auto"/>
        <w:jc w:val="both"/>
        <w:rPr>
          <w:rFonts w:ascii="Palatino Linotype" w:hAnsi="Palatino Linotype"/>
          <w:sz w:val="24"/>
        </w:rPr>
      </w:pPr>
    </w:p>
    <w:p w14:paraId="3C4F1DD1"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 xml:space="preserve">Argumento que encuentra sustento en la jurisprudencia P./J. 32/92 emitida por el Pleno de la Suprema Corte de Justicia de la Nación de rubro </w:t>
      </w:r>
      <w:r w:rsidRPr="000E5506">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0E5506">
        <w:rPr>
          <w:rFonts w:ascii="Palatino Linotype" w:hAnsi="Palatino Linotype"/>
          <w:sz w:val="24"/>
        </w:rPr>
        <w:t>, visible en la Gaceta del Seminario Judicial de la Federación con el registro digital 205635.</w:t>
      </w:r>
    </w:p>
    <w:p w14:paraId="4237B79D" w14:textId="77777777" w:rsidR="003213A4" w:rsidRPr="000E5506" w:rsidRDefault="003213A4" w:rsidP="003213A4">
      <w:pPr>
        <w:spacing w:after="0" w:line="360" w:lineRule="auto"/>
        <w:jc w:val="both"/>
        <w:rPr>
          <w:rFonts w:ascii="Palatino Linotype" w:hAnsi="Palatino Linotype"/>
          <w:sz w:val="24"/>
        </w:rPr>
      </w:pPr>
    </w:p>
    <w:p w14:paraId="6E8BCFF5"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B5E69D" w14:textId="77777777" w:rsidR="003213A4" w:rsidRPr="000E5506" w:rsidRDefault="003213A4" w:rsidP="003213A4">
      <w:pPr>
        <w:spacing w:after="0" w:line="360" w:lineRule="auto"/>
        <w:jc w:val="both"/>
        <w:rPr>
          <w:rFonts w:ascii="Palatino Linotype" w:hAnsi="Palatino Linotype"/>
          <w:sz w:val="24"/>
        </w:rPr>
      </w:pPr>
    </w:p>
    <w:p w14:paraId="515CCB35" w14:textId="77777777" w:rsidR="003213A4" w:rsidRPr="000E5506" w:rsidRDefault="003213A4" w:rsidP="003213A4">
      <w:pPr>
        <w:spacing w:after="0" w:line="360" w:lineRule="auto"/>
        <w:jc w:val="both"/>
        <w:rPr>
          <w:rFonts w:ascii="Palatino Linotype" w:hAnsi="Palatino Linotype"/>
          <w:sz w:val="24"/>
        </w:rPr>
      </w:pPr>
      <w:r w:rsidRPr="000E5506">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FEC969A" w14:textId="77777777" w:rsidR="003213A4" w:rsidRPr="000E5506" w:rsidRDefault="003213A4" w:rsidP="003213A4">
      <w:pPr>
        <w:spacing w:after="0" w:line="360" w:lineRule="auto"/>
        <w:jc w:val="both"/>
        <w:rPr>
          <w:rFonts w:ascii="Palatino Linotype" w:hAnsi="Palatino Linotype"/>
          <w:b/>
          <w:i/>
        </w:rPr>
      </w:pPr>
    </w:p>
    <w:p w14:paraId="625A96CB" w14:textId="77777777" w:rsidR="003213A4" w:rsidRPr="000E5506" w:rsidRDefault="003213A4" w:rsidP="003213A4">
      <w:pPr>
        <w:spacing w:after="0" w:line="360" w:lineRule="auto"/>
        <w:jc w:val="both"/>
        <w:rPr>
          <w:rFonts w:ascii="Palatino Linotype" w:hAnsi="Palatino Linotype"/>
        </w:rPr>
      </w:pPr>
      <w:r w:rsidRPr="000E5506">
        <w:rPr>
          <w:rFonts w:ascii="Palatino Linotype" w:hAnsi="Palatino Linotype"/>
          <w:b/>
          <w:i/>
        </w:rPr>
        <w:t>“PLAZO RAZONABLE PARA RESOLVER. DIMENSIÓN Y EFECTOS DE ESTE CONCEPTO CUANDO SE ADUCE EXCESIVA CARGA DE TRABAJO.”</w:t>
      </w:r>
      <w:r w:rsidRPr="000E5506">
        <w:rPr>
          <w:rFonts w:ascii="Palatino Linotype" w:hAnsi="Palatino Linotype"/>
        </w:rPr>
        <w:t xml:space="preserve"> consultable en el Seminario Judicial de la Federación y su gaceta, con el registro digital 2002351.</w:t>
      </w:r>
    </w:p>
    <w:p w14:paraId="4857C588" w14:textId="77777777" w:rsidR="003213A4" w:rsidRPr="000E5506" w:rsidRDefault="003213A4" w:rsidP="003213A4">
      <w:pPr>
        <w:spacing w:after="0" w:line="360" w:lineRule="auto"/>
        <w:jc w:val="both"/>
        <w:rPr>
          <w:rFonts w:ascii="Palatino Linotype" w:hAnsi="Palatino Linotype"/>
          <w:b/>
          <w:i/>
        </w:rPr>
      </w:pPr>
    </w:p>
    <w:p w14:paraId="6A41DFCD" w14:textId="77777777" w:rsidR="003213A4" w:rsidRPr="000E5506" w:rsidRDefault="003213A4" w:rsidP="003213A4">
      <w:pPr>
        <w:spacing w:after="0" w:line="360" w:lineRule="auto"/>
        <w:jc w:val="both"/>
        <w:rPr>
          <w:rFonts w:ascii="Palatino Linotype" w:hAnsi="Palatino Linotype"/>
        </w:rPr>
      </w:pPr>
      <w:r w:rsidRPr="000E5506">
        <w:rPr>
          <w:rFonts w:ascii="Palatino Linotype" w:hAnsi="Palatino Linotype"/>
          <w:b/>
          <w:i/>
        </w:rPr>
        <w:t>“PLAZO RAZONABLE PARA RESOLVER. CONCEPTO Y ELEMENTOS QUE LO INTEGRAN A LA LUZ DEL DERECHO INTERNACIONAL DE LOS DERECHOS HUMANOS.”</w:t>
      </w:r>
      <w:r w:rsidRPr="000E5506">
        <w:rPr>
          <w:rFonts w:ascii="Palatino Linotype" w:hAnsi="Palatino Linotype"/>
        </w:rPr>
        <w:t>, visible en el Seminario Judicial de la Federación y su gaceta, con el registro digital 2002350.</w:t>
      </w:r>
    </w:p>
    <w:p w14:paraId="7C339CCD" w14:textId="77777777" w:rsidR="003213A4" w:rsidRPr="000E5506" w:rsidRDefault="003213A4" w:rsidP="003213A4">
      <w:pPr>
        <w:spacing w:after="0" w:line="360" w:lineRule="auto"/>
        <w:jc w:val="both"/>
        <w:rPr>
          <w:rFonts w:ascii="Palatino Linotype" w:hAnsi="Palatino Linotype"/>
        </w:rPr>
      </w:pPr>
    </w:p>
    <w:p w14:paraId="28C7D52C" w14:textId="6A7A75C0" w:rsidR="00506158" w:rsidRPr="000E5506" w:rsidRDefault="003213A4" w:rsidP="00134C90">
      <w:pPr>
        <w:spacing w:after="0" w:line="360" w:lineRule="auto"/>
        <w:jc w:val="both"/>
        <w:rPr>
          <w:rFonts w:ascii="Palatino Linotype" w:hAnsi="Palatino Linotype"/>
          <w:bCs/>
          <w:sz w:val="24"/>
        </w:rPr>
      </w:pPr>
      <w:r w:rsidRPr="000E5506">
        <w:rPr>
          <w:rFonts w:ascii="Palatino Linotype" w:hAnsi="Palatino Linotype"/>
          <w:bCs/>
          <w:sz w:val="24"/>
        </w:rPr>
        <w:lastRenderedPageBreak/>
        <w:t>Por ello, este organismo garante comprometido con la tutela de los derechos humanos confiados, señala que este exceso del plazo legal para resolver el presente asunto, resulta de carácter excepcional.</w:t>
      </w:r>
    </w:p>
    <w:p w14:paraId="7FEED0BA" w14:textId="77777777" w:rsidR="00B94483" w:rsidRPr="000E5506" w:rsidRDefault="00B94483" w:rsidP="00134C90">
      <w:pPr>
        <w:spacing w:after="0" w:line="360" w:lineRule="auto"/>
        <w:jc w:val="both"/>
        <w:rPr>
          <w:rFonts w:ascii="Palatino Linotype" w:hAnsi="Palatino Linotype"/>
          <w:bCs/>
          <w:sz w:val="24"/>
        </w:rPr>
      </w:pPr>
    </w:p>
    <w:p w14:paraId="1B676489" w14:textId="43CFC295" w:rsidR="004E74D8" w:rsidRPr="000E5506" w:rsidRDefault="00B35216" w:rsidP="00B35216">
      <w:pPr>
        <w:spacing w:after="0" w:line="360" w:lineRule="auto"/>
        <w:jc w:val="center"/>
        <w:rPr>
          <w:rFonts w:ascii="Palatino Linotype" w:hAnsi="Palatino Linotype" w:cs="Arial"/>
          <w:b/>
          <w:sz w:val="28"/>
        </w:rPr>
      </w:pPr>
      <w:r w:rsidRPr="000E5506">
        <w:rPr>
          <w:rFonts w:ascii="Palatino Linotype" w:hAnsi="Palatino Linotype" w:cs="Arial"/>
          <w:b/>
          <w:sz w:val="28"/>
        </w:rPr>
        <w:t xml:space="preserve">C O N S I D E R A N D O </w:t>
      </w:r>
    </w:p>
    <w:p w14:paraId="1468ABA4" w14:textId="77777777" w:rsidR="00B35216" w:rsidRPr="000E5506" w:rsidRDefault="00B35216" w:rsidP="003213A4">
      <w:pPr>
        <w:pStyle w:val="Sinespaciado"/>
      </w:pPr>
    </w:p>
    <w:p w14:paraId="68888D12" w14:textId="77777777" w:rsidR="004E74D8" w:rsidRPr="000E5506" w:rsidRDefault="004E74D8" w:rsidP="004E74D8">
      <w:pPr>
        <w:spacing w:after="0" w:line="360" w:lineRule="auto"/>
        <w:jc w:val="both"/>
        <w:rPr>
          <w:rFonts w:ascii="Palatino Linotype" w:hAnsi="Palatino Linotype" w:cs="Arial"/>
          <w:sz w:val="24"/>
        </w:rPr>
      </w:pPr>
      <w:r w:rsidRPr="000E5506">
        <w:rPr>
          <w:rFonts w:ascii="Palatino Linotype" w:hAnsi="Palatino Linotype" w:cs="Arial"/>
          <w:b/>
          <w:sz w:val="28"/>
        </w:rPr>
        <w:t>PRIMERO.</w:t>
      </w:r>
      <w:r w:rsidRPr="000E5506">
        <w:rPr>
          <w:rFonts w:ascii="Palatino Linotype" w:hAnsi="Palatino Linotype" w:cs="Arial"/>
          <w:b/>
        </w:rPr>
        <w:t xml:space="preserve"> </w:t>
      </w:r>
      <w:r w:rsidRPr="000E5506">
        <w:rPr>
          <w:rFonts w:ascii="Palatino Linotype" w:hAnsi="Palatino Linotype" w:cs="Arial"/>
          <w:b/>
          <w:sz w:val="28"/>
          <w:szCs w:val="28"/>
        </w:rPr>
        <w:t>De la competencia</w:t>
      </w:r>
      <w:r w:rsidRPr="000E5506">
        <w:rPr>
          <w:rFonts w:ascii="Palatino Linotype" w:hAnsi="Palatino Linotype" w:cs="Arial"/>
          <w:sz w:val="28"/>
          <w:szCs w:val="28"/>
        </w:rPr>
        <w:t>.</w:t>
      </w:r>
    </w:p>
    <w:p w14:paraId="329D4EB0" w14:textId="2F6DE173" w:rsidR="0098497E" w:rsidRPr="000E5506" w:rsidRDefault="003213A4" w:rsidP="00291AA2">
      <w:pPr>
        <w:spacing w:after="0" w:line="360" w:lineRule="auto"/>
        <w:jc w:val="both"/>
        <w:rPr>
          <w:rFonts w:ascii="Palatino Linotype" w:hAnsi="Palatino Linotype" w:cs="Arial"/>
          <w:sz w:val="24"/>
          <w:szCs w:val="24"/>
        </w:rPr>
      </w:pPr>
      <w:r w:rsidRPr="000E5506">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53FC3D8" w14:textId="77777777" w:rsidR="003213A4" w:rsidRPr="000E5506" w:rsidRDefault="003213A4" w:rsidP="00291AA2">
      <w:pPr>
        <w:spacing w:after="0" w:line="360" w:lineRule="auto"/>
        <w:jc w:val="both"/>
        <w:rPr>
          <w:rFonts w:ascii="Palatino Linotype" w:hAnsi="Palatino Linotype" w:cs="Arial"/>
          <w:sz w:val="24"/>
          <w:szCs w:val="24"/>
        </w:rPr>
      </w:pPr>
    </w:p>
    <w:p w14:paraId="1537420C" w14:textId="77777777" w:rsidR="004E74D8" w:rsidRPr="000E5506"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E5506">
        <w:rPr>
          <w:rFonts w:ascii="Palatino Linotype" w:eastAsia="Times New Roman" w:hAnsi="Palatino Linotype" w:cs="Arial"/>
          <w:b/>
          <w:sz w:val="28"/>
          <w:szCs w:val="24"/>
          <w:lang w:val="es-ES" w:eastAsia="es-ES"/>
        </w:rPr>
        <w:t>SEGUNDO</w:t>
      </w:r>
      <w:r w:rsidRPr="000E5506">
        <w:rPr>
          <w:rFonts w:ascii="Palatino Linotype" w:eastAsia="Times New Roman" w:hAnsi="Palatino Linotype" w:cs="Arial"/>
          <w:b/>
          <w:sz w:val="24"/>
          <w:szCs w:val="24"/>
          <w:lang w:val="es-ES" w:eastAsia="es-ES"/>
        </w:rPr>
        <w:t xml:space="preserve">. </w:t>
      </w:r>
      <w:r w:rsidRPr="000E5506">
        <w:rPr>
          <w:rFonts w:ascii="Palatino Linotype" w:eastAsia="Times New Roman" w:hAnsi="Palatino Linotype" w:cs="Arial"/>
          <w:b/>
          <w:sz w:val="28"/>
          <w:szCs w:val="28"/>
          <w:lang w:val="es-ES" w:eastAsia="es-ES"/>
        </w:rPr>
        <w:t>Sobre los alcances del recurso de revisión.</w:t>
      </w:r>
      <w:r w:rsidRPr="000E5506">
        <w:rPr>
          <w:rFonts w:ascii="Palatino Linotype" w:eastAsia="Times New Roman" w:hAnsi="Palatino Linotype" w:cs="Arial"/>
          <w:b/>
          <w:sz w:val="24"/>
          <w:szCs w:val="24"/>
          <w:lang w:val="es-ES" w:eastAsia="es-ES"/>
        </w:rPr>
        <w:t xml:space="preserve"> </w:t>
      </w:r>
    </w:p>
    <w:p w14:paraId="52319B43" w14:textId="7DCCBE0D" w:rsidR="00EF7D3D" w:rsidRPr="000E5506"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E5506">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0E5506">
        <w:rPr>
          <w:rFonts w:ascii="Palatino Linotype" w:eastAsia="Times New Roman" w:hAnsi="Palatino Linotype" w:cs="Arial"/>
          <w:sz w:val="24"/>
          <w:szCs w:val="24"/>
          <w:lang w:val="es-ES" w:eastAsia="es-ES"/>
        </w:rPr>
        <w:lastRenderedPageBreak/>
        <w:t>obren en el expediente electrónico, con la finalidad de reparar cualquier posible afectación al derecho de acceso a la información pública y garantizando el principio rector de máxima publicidad.</w:t>
      </w:r>
    </w:p>
    <w:p w14:paraId="784EC0C0" w14:textId="77777777" w:rsidR="00230A7E" w:rsidRPr="000E5506" w:rsidRDefault="00230A7E"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282871" w14:textId="77777777" w:rsidR="00230A7E" w:rsidRPr="000E5506" w:rsidRDefault="00230A7E" w:rsidP="00230A7E">
      <w:pPr>
        <w:autoSpaceDE w:val="0"/>
        <w:autoSpaceDN w:val="0"/>
        <w:adjustRightInd w:val="0"/>
        <w:spacing w:after="0" w:line="360" w:lineRule="auto"/>
        <w:jc w:val="both"/>
        <w:rPr>
          <w:rFonts w:ascii="Palatino Linotype" w:hAnsi="Palatino Linotype" w:cs="Arial"/>
          <w:sz w:val="24"/>
          <w:szCs w:val="24"/>
        </w:rPr>
      </w:pPr>
      <w:r w:rsidRPr="000E550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CA43F58" w14:textId="77777777" w:rsidR="00230A7E" w:rsidRPr="000E5506" w:rsidRDefault="00230A7E" w:rsidP="00230A7E">
      <w:pPr>
        <w:autoSpaceDE w:val="0"/>
        <w:autoSpaceDN w:val="0"/>
        <w:adjustRightInd w:val="0"/>
        <w:spacing w:after="0" w:line="360" w:lineRule="auto"/>
        <w:jc w:val="both"/>
        <w:rPr>
          <w:rFonts w:ascii="Palatino Linotype" w:hAnsi="Palatino Linotype" w:cs="Arial"/>
          <w:sz w:val="24"/>
          <w:szCs w:val="24"/>
        </w:rPr>
      </w:pPr>
    </w:p>
    <w:p w14:paraId="7DA51F5D" w14:textId="77777777" w:rsidR="00230A7E" w:rsidRPr="000E5506" w:rsidRDefault="00230A7E" w:rsidP="00230A7E">
      <w:pPr>
        <w:autoSpaceDE w:val="0"/>
        <w:autoSpaceDN w:val="0"/>
        <w:adjustRightInd w:val="0"/>
        <w:spacing w:after="0" w:line="360" w:lineRule="auto"/>
        <w:jc w:val="both"/>
        <w:rPr>
          <w:rFonts w:ascii="Palatino Linotype" w:hAnsi="Palatino Linotype" w:cs="Arial"/>
          <w:sz w:val="24"/>
          <w:szCs w:val="24"/>
        </w:rPr>
      </w:pPr>
      <w:r w:rsidRPr="000E5506">
        <w:rPr>
          <w:rFonts w:ascii="Palatino Linotype" w:hAnsi="Palatino Linotype" w:cs="Arial"/>
          <w:sz w:val="24"/>
          <w:szCs w:val="24"/>
        </w:rPr>
        <w:t xml:space="preserve">Resulta procedente la interposición del recurso de revisión, ya que se actualiza la causal de procedencia señalada en el artículo 179, fracción I, de la Ley de Transparencia y Acceso a la Información Pública del Estado de México y Municipios. </w:t>
      </w:r>
    </w:p>
    <w:p w14:paraId="22123044" w14:textId="77777777" w:rsidR="00230A7E" w:rsidRPr="000E5506" w:rsidRDefault="00230A7E" w:rsidP="00230A7E">
      <w:pPr>
        <w:autoSpaceDE w:val="0"/>
        <w:autoSpaceDN w:val="0"/>
        <w:adjustRightInd w:val="0"/>
        <w:spacing w:after="0" w:line="360" w:lineRule="auto"/>
        <w:jc w:val="both"/>
        <w:rPr>
          <w:rFonts w:ascii="Palatino Linotype" w:hAnsi="Palatino Linotype" w:cs="Arial"/>
          <w:sz w:val="24"/>
          <w:szCs w:val="24"/>
        </w:rPr>
      </w:pPr>
    </w:p>
    <w:p w14:paraId="041EE0D3" w14:textId="42B12CD8" w:rsidR="00230A7E" w:rsidRPr="000E5506" w:rsidRDefault="00230A7E" w:rsidP="00230A7E">
      <w:pPr>
        <w:autoSpaceDE w:val="0"/>
        <w:autoSpaceDN w:val="0"/>
        <w:adjustRightInd w:val="0"/>
        <w:spacing w:after="0" w:line="360" w:lineRule="auto"/>
        <w:jc w:val="both"/>
        <w:rPr>
          <w:rFonts w:ascii="Palatino Linotype" w:hAnsi="Palatino Linotype" w:cs="Arial"/>
          <w:sz w:val="24"/>
          <w:szCs w:val="24"/>
        </w:rPr>
      </w:pPr>
      <w:r w:rsidRPr="000E5506">
        <w:rPr>
          <w:rFonts w:ascii="Palatino Linotype" w:hAnsi="Palatino Linotype" w:cs="Arial"/>
          <w:sz w:val="24"/>
          <w:szCs w:val="24"/>
        </w:rPr>
        <w:t>Así las cosas, al no existir causas de improcedencia invocadas por las partes ni advertidas de oficio por este Resolutor, se procede al análisis del fondo de los asuntos en los siguientes términos.</w:t>
      </w:r>
    </w:p>
    <w:p w14:paraId="2FA3A791" w14:textId="77777777" w:rsidR="00230A7E" w:rsidRPr="000E5506" w:rsidRDefault="00230A7E" w:rsidP="00230A7E">
      <w:pPr>
        <w:autoSpaceDE w:val="0"/>
        <w:autoSpaceDN w:val="0"/>
        <w:adjustRightInd w:val="0"/>
        <w:spacing w:after="0" w:line="360" w:lineRule="auto"/>
        <w:jc w:val="both"/>
        <w:rPr>
          <w:rFonts w:ascii="Palatino Linotype" w:hAnsi="Palatino Linotype" w:cs="Arial"/>
          <w:sz w:val="24"/>
          <w:szCs w:val="24"/>
        </w:rPr>
      </w:pPr>
    </w:p>
    <w:p w14:paraId="34601FE5" w14:textId="77777777" w:rsidR="00230A7E" w:rsidRPr="000E5506" w:rsidRDefault="00230A7E" w:rsidP="00230A7E">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E5506">
        <w:rPr>
          <w:rFonts w:ascii="Palatino Linotype" w:eastAsia="Times New Roman" w:hAnsi="Palatino Linotype" w:cs="Arial"/>
          <w:b/>
          <w:sz w:val="28"/>
          <w:szCs w:val="24"/>
          <w:lang w:val="es-ES" w:eastAsia="es-ES"/>
        </w:rPr>
        <w:t>TERCERO. Cuestiones de previo y especial pronunciamiento</w:t>
      </w:r>
      <w:r w:rsidRPr="000E5506">
        <w:rPr>
          <w:rFonts w:ascii="Palatino Linotype" w:eastAsia="Times New Roman" w:hAnsi="Palatino Linotype" w:cs="Arial"/>
          <w:b/>
          <w:sz w:val="24"/>
          <w:szCs w:val="24"/>
          <w:lang w:val="es-ES" w:eastAsia="es-ES"/>
        </w:rPr>
        <w:t>.</w:t>
      </w:r>
    </w:p>
    <w:p w14:paraId="66B47333" w14:textId="77777777" w:rsidR="00230A7E" w:rsidRPr="000E5506" w:rsidRDefault="00230A7E" w:rsidP="00230A7E">
      <w:pPr>
        <w:spacing w:after="0" w:line="360" w:lineRule="auto"/>
        <w:jc w:val="both"/>
        <w:rPr>
          <w:rFonts w:ascii="Palatino Linotype" w:eastAsia="Times New Roman" w:hAnsi="Palatino Linotype" w:cs="Arial"/>
          <w:sz w:val="24"/>
          <w:szCs w:val="24"/>
          <w:lang w:val="es-ES" w:eastAsia="es-ES"/>
        </w:rPr>
      </w:pPr>
      <w:r w:rsidRPr="000E5506">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E5506">
        <w:rPr>
          <w:rFonts w:ascii="Palatino Linotype" w:eastAsia="Times New Roman" w:hAnsi="Palatino Linotype" w:cs="Times New Roman"/>
          <w:b/>
          <w:sz w:val="24"/>
          <w:szCs w:val="24"/>
          <w:lang w:val="es-ES" w:eastAsia="es-ES"/>
        </w:rPr>
        <w:t>Recurrente,</w:t>
      </w:r>
      <w:r w:rsidRPr="000E5506">
        <w:rPr>
          <w:rFonts w:ascii="Palatino Linotype" w:eastAsia="Times New Roman" w:hAnsi="Palatino Linotype" w:cs="Times New Roman"/>
          <w:sz w:val="24"/>
          <w:szCs w:val="24"/>
          <w:lang w:val="es-ES" w:eastAsia="es-ES"/>
        </w:rPr>
        <w:t xml:space="preserve"> por lo que en este punto se </w:t>
      </w:r>
      <w:r w:rsidRPr="000E5506">
        <w:rPr>
          <w:rFonts w:ascii="Palatino Linotype" w:eastAsia="Times New Roman" w:hAnsi="Palatino Linotype" w:cs="Times New Roman"/>
          <w:sz w:val="24"/>
          <w:szCs w:val="24"/>
          <w:lang w:val="es-ES" w:eastAsia="es-ES"/>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E5506">
        <w:rPr>
          <w:rFonts w:ascii="Palatino Linotype" w:eastAsia="Times New Roman" w:hAnsi="Palatino Linotype" w:cs="Arial"/>
          <w:sz w:val="24"/>
          <w:szCs w:val="24"/>
          <w:lang w:val="es-ES" w:eastAsia="es-ES"/>
        </w:rPr>
        <w:t>, del cual no se colige que corresponda al nombre de una persona.</w:t>
      </w:r>
    </w:p>
    <w:p w14:paraId="33B451A8" w14:textId="77777777" w:rsidR="00230A7E" w:rsidRPr="000E5506" w:rsidRDefault="00230A7E" w:rsidP="00230A7E">
      <w:pPr>
        <w:spacing w:after="0" w:line="360" w:lineRule="auto"/>
        <w:jc w:val="both"/>
        <w:rPr>
          <w:rFonts w:ascii="Palatino Linotype" w:eastAsia="Times New Roman" w:hAnsi="Palatino Linotype" w:cs="Times New Roman"/>
          <w:sz w:val="24"/>
          <w:szCs w:val="24"/>
          <w:lang w:val="es-ES" w:eastAsia="es-ES"/>
        </w:rPr>
      </w:pPr>
    </w:p>
    <w:p w14:paraId="27AD639D" w14:textId="77777777" w:rsidR="00230A7E" w:rsidRPr="000E5506" w:rsidRDefault="00230A7E" w:rsidP="00230A7E">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E5506">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0E5506">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0E5506">
        <w:rPr>
          <w:rFonts w:ascii="Palatino Linotype" w:eastAsia="Times New Roman" w:hAnsi="Palatino Linotype" w:cs="Arial"/>
          <w:sz w:val="24"/>
          <w:szCs w:val="24"/>
          <w:lang w:val="es-ES" w:eastAsia="es-ES"/>
        </w:rPr>
        <w:t>establece lo siguiente:</w:t>
      </w:r>
    </w:p>
    <w:p w14:paraId="41D33FBF" w14:textId="77777777" w:rsidR="00230A7E" w:rsidRPr="000E5506" w:rsidRDefault="00230A7E" w:rsidP="00230A7E">
      <w:pPr>
        <w:spacing w:after="0" w:line="240" w:lineRule="auto"/>
        <w:rPr>
          <w:rFonts w:ascii="Times New Roman" w:eastAsia="Times New Roman" w:hAnsi="Times New Roman" w:cs="Times New Roman"/>
          <w:sz w:val="24"/>
          <w:szCs w:val="24"/>
          <w:lang w:eastAsia="es-ES"/>
        </w:rPr>
      </w:pPr>
    </w:p>
    <w:p w14:paraId="604167B0" w14:textId="77777777" w:rsidR="00230A7E" w:rsidRPr="000E5506" w:rsidRDefault="00230A7E" w:rsidP="00230A7E">
      <w:pPr>
        <w:spacing w:after="0" w:line="240" w:lineRule="auto"/>
        <w:ind w:left="851" w:right="851"/>
        <w:jc w:val="both"/>
        <w:rPr>
          <w:rFonts w:ascii="Palatino Linotype" w:eastAsia="Times New Roman" w:hAnsi="Palatino Linotype" w:cs="Times New Roman"/>
          <w:b/>
          <w:i/>
          <w:szCs w:val="24"/>
          <w:lang w:val="es-ES" w:eastAsia="es-ES"/>
        </w:rPr>
      </w:pPr>
      <w:r w:rsidRPr="000E5506">
        <w:rPr>
          <w:rFonts w:ascii="Palatino Linotype" w:eastAsia="Times New Roman" w:hAnsi="Palatino Linotype" w:cs="Times New Roman"/>
          <w:i/>
          <w:szCs w:val="24"/>
          <w:lang w:val="es-ES" w:eastAsia="es-ES"/>
        </w:rPr>
        <w:t>“</w:t>
      </w:r>
      <w:r w:rsidRPr="000E5506">
        <w:rPr>
          <w:rFonts w:ascii="Palatino Linotype" w:eastAsia="Times New Roman" w:hAnsi="Palatino Linotype" w:cs="Times New Roman"/>
          <w:b/>
          <w:i/>
          <w:szCs w:val="24"/>
          <w:lang w:val="es-ES" w:eastAsia="es-ES"/>
        </w:rPr>
        <w:t xml:space="preserve">Artículo 180. </w:t>
      </w:r>
      <w:r w:rsidRPr="000E5506">
        <w:rPr>
          <w:rFonts w:ascii="Palatino Linotype" w:eastAsia="Times New Roman" w:hAnsi="Palatino Linotype" w:cs="Times New Roman"/>
          <w:i/>
          <w:szCs w:val="24"/>
          <w:lang w:val="es-ES" w:eastAsia="es-ES"/>
        </w:rPr>
        <w:t xml:space="preserve">El </w:t>
      </w:r>
      <w:r w:rsidRPr="000E5506">
        <w:rPr>
          <w:rFonts w:ascii="Palatino Linotype" w:eastAsia="Times New Roman" w:hAnsi="Palatino Linotype" w:cs="Arial"/>
          <w:i/>
          <w:szCs w:val="24"/>
          <w:lang w:val="es-ES" w:eastAsia="es-ES"/>
        </w:rPr>
        <w:t>recurso</w:t>
      </w:r>
      <w:r w:rsidRPr="000E5506">
        <w:rPr>
          <w:rFonts w:ascii="Palatino Linotype" w:eastAsia="Times New Roman" w:hAnsi="Palatino Linotype" w:cs="Times New Roman"/>
          <w:i/>
          <w:szCs w:val="24"/>
          <w:lang w:val="es-ES" w:eastAsia="es-ES"/>
        </w:rPr>
        <w:t xml:space="preserve"> </w:t>
      </w:r>
      <w:r w:rsidRPr="000E5506">
        <w:rPr>
          <w:rFonts w:ascii="Palatino Linotype" w:eastAsia="Times New Roman" w:hAnsi="Palatino Linotype" w:cs="Arial"/>
          <w:i/>
          <w:szCs w:val="24"/>
          <w:lang w:val="es-ES" w:eastAsia="es-MX"/>
        </w:rPr>
        <w:t>de</w:t>
      </w:r>
      <w:r w:rsidRPr="000E5506">
        <w:rPr>
          <w:rFonts w:ascii="Palatino Linotype" w:eastAsia="Times New Roman" w:hAnsi="Palatino Linotype" w:cs="Times New Roman"/>
          <w:i/>
          <w:szCs w:val="24"/>
          <w:lang w:val="es-ES" w:eastAsia="es-ES"/>
        </w:rPr>
        <w:t xml:space="preserve"> revisión contendrá:</w:t>
      </w:r>
      <w:r w:rsidRPr="000E5506">
        <w:rPr>
          <w:rFonts w:ascii="Palatino Linotype" w:eastAsia="Times New Roman" w:hAnsi="Palatino Linotype" w:cs="Times New Roman"/>
          <w:b/>
          <w:i/>
          <w:szCs w:val="24"/>
          <w:lang w:val="es-ES" w:eastAsia="es-ES"/>
        </w:rPr>
        <w:t xml:space="preserve"> </w:t>
      </w:r>
    </w:p>
    <w:p w14:paraId="4833BAF5" w14:textId="77777777" w:rsidR="00230A7E" w:rsidRPr="000E5506" w:rsidRDefault="00230A7E" w:rsidP="00230A7E">
      <w:pPr>
        <w:spacing w:after="0" w:line="240" w:lineRule="auto"/>
        <w:ind w:left="851" w:right="851"/>
        <w:jc w:val="both"/>
        <w:rPr>
          <w:rFonts w:ascii="Palatino Linotype" w:eastAsia="Times New Roman" w:hAnsi="Palatino Linotype" w:cs="Times New Roman"/>
          <w:b/>
          <w:i/>
          <w:szCs w:val="24"/>
          <w:lang w:val="es-ES" w:eastAsia="es-ES"/>
        </w:rPr>
      </w:pPr>
      <w:r w:rsidRPr="000E5506">
        <w:rPr>
          <w:rFonts w:ascii="Palatino Linotype" w:eastAsia="Times New Roman" w:hAnsi="Palatino Linotype" w:cs="Times New Roman"/>
          <w:b/>
          <w:i/>
          <w:szCs w:val="24"/>
          <w:lang w:val="es-ES" w:eastAsia="es-ES"/>
        </w:rPr>
        <w:t xml:space="preserve">I. </w:t>
      </w:r>
      <w:r w:rsidRPr="000E5506">
        <w:rPr>
          <w:rFonts w:ascii="Palatino Linotype" w:eastAsia="Times New Roman" w:hAnsi="Palatino Linotype" w:cs="Times New Roman"/>
          <w:i/>
          <w:szCs w:val="24"/>
          <w:lang w:val="es-ES" w:eastAsia="es-ES"/>
        </w:rPr>
        <w:t xml:space="preserve">El sujeto obligado ante </w:t>
      </w:r>
      <w:r w:rsidRPr="000E5506">
        <w:rPr>
          <w:rFonts w:ascii="Palatino Linotype" w:eastAsia="Times New Roman" w:hAnsi="Palatino Linotype" w:cs="Arial"/>
          <w:i/>
          <w:szCs w:val="24"/>
          <w:lang w:val="es-ES" w:eastAsia="es-ES"/>
        </w:rPr>
        <w:t>la</w:t>
      </w:r>
      <w:r w:rsidRPr="000E5506">
        <w:rPr>
          <w:rFonts w:ascii="Palatino Linotype" w:eastAsia="Times New Roman" w:hAnsi="Palatino Linotype" w:cs="Times New Roman"/>
          <w:i/>
          <w:szCs w:val="24"/>
          <w:lang w:val="es-ES" w:eastAsia="es-ES"/>
        </w:rPr>
        <w:t xml:space="preserve"> cual </w:t>
      </w:r>
      <w:r w:rsidRPr="000E5506">
        <w:rPr>
          <w:rFonts w:ascii="Palatino Linotype" w:eastAsia="Times New Roman" w:hAnsi="Palatino Linotype" w:cs="Arial"/>
          <w:i/>
          <w:szCs w:val="24"/>
          <w:lang w:val="es-ES" w:eastAsia="es-MX"/>
        </w:rPr>
        <w:t>se</w:t>
      </w:r>
      <w:r w:rsidRPr="000E5506">
        <w:rPr>
          <w:rFonts w:ascii="Palatino Linotype" w:eastAsia="Times New Roman" w:hAnsi="Palatino Linotype" w:cs="Times New Roman"/>
          <w:i/>
          <w:szCs w:val="24"/>
          <w:lang w:val="es-ES" w:eastAsia="es-ES"/>
        </w:rPr>
        <w:t xml:space="preserve"> presentó la solicitud;</w:t>
      </w:r>
      <w:r w:rsidRPr="000E5506">
        <w:rPr>
          <w:rFonts w:ascii="Palatino Linotype" w:eastAsia="Times New Roman" w:hAnsi="Palatino Linotype" w:cs="Times New Roman"/>
          <w:b/>
          <w:i/>
          <w:szCs w:val="24"/>
          <w:lang w:val="es-ES" w:eastAsia="es-ES"/>
        </w:rPr>
        <w:t xml:space="preserve"> </w:t>
      </w:r>
    </w:p>
    <w:p w14:paraId="039811B0" w14:textId="77777777" w:rsidR="00230A7E" w:rsidRPr="000E5506" w:rsidRDefault="00230A7E" w:rsidP="00230A7E">
      <w:pPr>
        <w:spacing w:after="0" w:line="240" w:lineRule="auto"/>
        <w:ind w:left="851" w:right="851"/>
        <w:jc w:val="both"/>
        <w:rPr>
          <w:rFonts w:ascii="Palatino Linotype" w:eastAsia="Times New Roman" w:hAnsi="Palatino Linotype" w:cs="Times New Roman"/>
          <w:b/>
          <w:i/>
          <w:szCs w:val="24"/>
          <w:lang w:val="es-ES" w:eastAsia="es-ES"/>
        </w:rPr>
      </w:pPr>
      <w:r w:rsidRPr="000E5506">
        <w:rPr>
          <w:rFonts w:ascii="Palatino Linotype" w:eastAsia="Times New Roman" w:hAnsi="Palatino Linotype" w:cs="Times New Roman"/>
          <w:b/>
          <w:i/>
          <w:szCs w:val="24"/>
          <w:lang w:val="es-ES" w:eastAsia="es-ES"/>
        </w:rPr>
        <w:t xml:space="preserve">II. </w:t>
      </w:r>
      <w:r w:rsidRPr="000E5506">
        <w:rPr>
          <w:rFonts w:ascii="Palatino Linotype" w:eastAsia="Times New Roman" w:hAnsi="Palatino Linotype" w:cs="Times New Roman"/>
          <w:b/>
          <w:i/>
          <w:szCs w:val="24"/>
          <w:u w:val="single"/>
          <w:lang w:val="es-ES" w:eastAsia="es-ES"/>
        </w:rPr>
        <w:t xml:space="preserve">El nombre del solicitante </w:t>
      </w:r>
      <w:r w:rsidRPr="000E5506">
        <w:rPr>
          <w:rFonts w:ascii="Palatino Linotype" w:eastAsia="Times New Roman" w:hAnsi="Palatino Linotype" w:cs="Arial"/>
          <w:b/>
          <w:i/>
          <w:szCs w:val="24"/>
          <w:u w:val="single"/>
          <w:lang w:val="es-ES" w:eastAsia="es-MX"/>
        </w:rPr>
        <w:t>que</w:t>
      </w:r>
      <w:r w:rsidRPr="000E5506">
        <w:rPr>
          <w:rFonts w:ascii="Palatino Linotype" w:eastAsia="Times New Roman" w:hAnsi="Palatino Linotype" w:cs="Times New Roman"/>
          <w:b/>
          <w:i/>
          <w:szCs w:val="24"/>
          <w:u w:val="single"/>
          <w:lang w:val="es-ES" w:eastAsia="es-ES"/>
        </w:rPr>
        <w:t xml:space="preserve"> recurre</w:t>
      </w:r>
      <w:r w:rsidRPr="000E5506">
        <w:rPr>
          <w:rFonts w:ascii="Palatino Linotype" w:eastAsia="Times New Roman" w:hAnsi="Palatino Linotype" w:cs="Times New Roman"/>
          <w:b/>
          <w:i/>
          <w:szCs w:val="24"/>
          <w:lang w:val="es-ES" w:eastAsia="es-ES"/>
        </w:rPr>
        <w:t xml:space="preserve"> </w:t>
      </w:r>
      <w:r w:rsidRPr="000E5506">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0E5506">
        <w:rPr>
          <w:rFonts w:ascii="Palatino Linotype" w:eastAsia="Times New Roman" w:hAnsi="Palatino Linotype" w:cs="Times New Roman"/>
          <w:b/>
          <w:i/>
          <w:szCs w:val="24"/>
          <w:lang w:val="es-ES" w:eastAsia="es-ES"/>
        </w:rPr>
        <w:t xml:space="preserve"> </w:t>
      </w:r>
    </w:p>
    <w:p w14:paraId="7BEB47C1" w14:textId="77777777" w:rsidR="00230A7E" w:rsidRPr="000E5506" w:rsidRDefault="00230A7E" w:rsidP="00230A7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C2CA782" w14:textId="77777777" w:rsidR="00230A7E" w:rsidRPr="000E5506" w:rsidRDefault="00230A7E" w:rsidP="00230A7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E5506">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0E5506">
        <w:rPr>
          <w:rFonts w:ascii="Palatino Linotype" w:eastAsia="Times New Roman" w:hAnsi="Palatino Linotype" w:cs="Arial"/>
          <w:sz w:val="24"/>
          <w:szCs w:val="24"/>
          <w:lang w:val="es-ES" w:eastAsia="es-ES"/>
        </w:rPr>
        <w:t>deberán</w:t>
      </w:r>
      <w:r w:rsidRPr="000E5506">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0E5506">
        <w:rPr>
          <w:rFonts w:ascii="Palatino Linotype" w:eastAsia="Times New Roman" w:hAnsi="Palatino Linotype" w:cs="Times New Roman"/>
          <w:b/>
          <w:sz w:val="24"/>
          <w:szCs w:val="24"/>
          <w:lang w:val="es-ES" w:eastAsia="es-ES"/>
        </w:rPr>
        <w:t>SAIMEX</w:t>
      </w:r>
      <w:r w:rsidRPr="000E5506">
        <w:rPr>
          <w:rFonts w:ascii="Palatino Linotype" w:eastAsia="Times New Roman" w:hAnsi="Palatino Linotype" w:cs="Times New Roman"/>
          <w:sz w:val="24"/>
          <w:szCs w:val="24"/>
          <w:lang w:val="es-ES" w:eastAsia="es-ES"/>
        </w:rPr>
        <w:t xml:space="preserve"> se desprende que el solicitante y ahora </w:t>
      </w:r>
      <w:r w:rsidRPr="000E5506">
        <w:rPr>
          <w:rFonts w:ascii="Palatino Linotype" w:eastAsia="Times New Roman" w:hAnsi="Palatino Linotype" w:cs="Times New Roman"/>
          <w:b/>
          <w:sz w:val="24"/>
          <w:szCs w:val="24"/>
          <w:lang w:val="es-ES" w:eastAsia="es-ES"/>
        </w:rPr>
        <w:t>Recurrente</w:t>
      </w:r>
      <w:r w:rsidRPr="000E5506">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0E5506">
        <w:rPr>
          <w:rFonts w:ascii="Palatino Linotype" w:eastAsia="Times New Roman" w:hAnsi="Palatino Linotype" w:cs="Arial"/>
          <w:sz w:val="24"/>
          <w:szCs w:val="24"/>
          <w:lang w:val="es-ES" w:eastAsia="es-ES"/>
        </w:rPr>
        <w:t>sea</w:t>
      </w:r>
      <w:r w:rsidRPr="000E5506">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822EB63" w14:textId="77777777" w:rsidR="00230A7E" w:rsidRPr="000E5506" w:rsidRDefault="00230A7E" w:rsidP="00230A7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EAD018A" w14:textId="77777777" w:rsidR="00230A7E" w:rsidRPr="000E5506" w:rsidRDefault="00230A7E" w:rsidP="00230A7E">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E5506">
        <w:rPr>
          <w:rFonts w:ascii="Palatino Linotype" w:eastAsia="Times New Roman" w:hAnsi="Palatino Linotype" w:cs="Times New Roman"/>
          <w:sz w:val="24"/>
          <w:szCs w:val="24"/>
          <w:lang w:val="es-ES" w:eastAsia="es-ES"/>
        </w:rPr>
        <w:t xml:space="preserve">No obstante lo anterior, debe destacarse que el artículo 15, de </w:t>
      </w:r>
      <w:r w:rsidRPr="000E5506">
        <w:rPr>
          <w:rFonts w:ascii="Palatino Linotype" w:eastAsia="Times New Roman" w:hAnsi="Palatino Linotype" w:cs="Arial"/>
          <w:sz w:val="24"/>
          <w:szCs w:val="24"/>
          <w:lang w:val="es-ES" w:eastAsia="es-MX"/>
        </w:rPr>
        <w:t xml:space="preserve">Ley de Transparencia y Acceso a la </w:t>
      </w:r>
      <w:r w:rsidRPr="000E5506">
        <w:rPr>
          <w:rFonts w:ascii="Palatino Linotype" w:eastAsia="Times New Roman" w:hAnsi="Palatino Linotype" w:cs="Arial"/>
          <w:sz w:val="24"/>
          <w:szCs w:val="24"/>
          <w:lang w:val="es-ES" w:eastAsia="es-ES"/>
        </w:rPr>
        <w:t>Información</w:t>
      </w:r>
      <w:r w:rsidRPr="000E5506">
        <w:rPr>
          <w:rFonts w:ascii="Palatino Linotype" w:eastAsia="Times New Roman" w:hAnsi="Palatino Linotype" w:cs="Arial"/>
          <w:sz w:val="24"/>
          <w:szCs w:val="24"/>
          <w:lang w:val="es-ES" w:eastAsia="es-MX"/>
        </w:rPr>
        <w:t xml:space="preserve"> Pública del Estado de México y Municipios </w:t>
      </w:r>
      <w:r w:rsidRPr="000E5506">
        <w:rPr>
          <w:rFonts w:ascii="Palatino Linotype" w:eastAsia="Times New Roman" w:hAnsi="Palatino Linotype" w:cs="Arial"/>
          <w:iCs/>
          <w:sz w:val="24"/>
          <w:szCs w:val="24"/>
          <w:lang w:val="es-ES" w:eastAsia="es-ES"/>
        </w:rPr>
        <w:t xml:space="preserve">prevé que, </w:t>
      </w:r>
      <w:r w:rsidRPr="000E5506">
        <w:rPr>
          <w:rFonts w:ascii="Palatino Linotype" w:eastAsia="Times New Roman" w:hAnsi="Palatino Linotype" w:cs="Times New Roman"/>
          <w:sz w:val="24"/>
          <w:szCs w:val="24"/>
          <w:lang w:val="es-ES" w:eastAsia="es-ES"/>
        </w:rPr>
        <w:t xml:space="preserve">toda </w:t>
      </w:r>
      <w:r w:rsidRPr="000E5506">
        <w:rPr>
          <w:rFonts w:ascii="Palatino Linotype" w:eastAsia="Times New Roman" w:hAnsi="Palatino Linotype" w:cs="Times New Roman"/>
          <w:sz w:val="24"/>
          <w:szCs w:val="24"/>
          <w:lang w:val="es-ES" w:eastAsia="es-ES"/>
        </w:rPr>
        <w:lastRenderedPageBreak/>
        <w:t xml:space="preserve">persona tendrá acceso a la información </w:t>
      </w:r>
      <w:r w:rsidRPr="000E5506">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0E5506">
        <w:rPr>
          <w:rFonts w:ascii="Palatino Linotype" w:eastAsia="Times New Roman" w:hAnsi="Palatino Linotype" w:cs="Times New Roman"/>
          <w:sz w:val="24"/>
          <w:szCs w:val="24"/>
          <w:lang w:val="es-ES" w:eastAsia="es-ES"/>
        </w:rPr>
        <w:t>ejercicio</w:t>
      </w:r>
      <w:r w:rsidRPr="000E5506">
        <w:rPr>
          <w:rFonts w:ascii="Palatino Linotype" w:eastAsia="Times New Roman" w:hAnsi="Palatino Linotype" w:cs="Arial"/>
          <w:sz w:val="24"/>
          <w:szCs w:val="24"/>
          <w:lang w:val="es-ES" w:eastAsia="es-ES"/>
        </w:rPr>
        <w:t xml:space="preserve"> del derecho de acceso a la información pública, el nombre no es un requisito </w:t>
      </w:r>
      <w:r w:rsidRPr="000E5506">
        <w:rPr>
          <w:rFonts w:ascii="Palatino Linotype" w:eastAsia="Times New Roman" w:hAnsi="Palatino Linotype" w:cs="Arial"/>
          <w:i/>
          <w:sz w:val="24"/>
          <w:szCs w:val="24"/>
          <w:lang w:val="es-ES" w:eastAsia="es-ES"/>
        </w:rPr>
        <w:t>sine qua non</w:t>
      </w:r>
      <w:r w:rsidRPr="000E5506">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E20FD66" w14:textId="77777777" w:rsidR="00230A7E" w:rsidRPr="000E5506" w:rsidRDefault="00230A7E" w:rsidP="00230A7E">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2A60BF8" w14:textId="77777777" w:rsidR="00230A7E" w:rsidRPr="000E5506" w:rsidRDefault="00230A7E" w:rsidP="00230A7E">
      <w:pPr>
        <w:autoSpaceDE w:val="0"/>
        <w:autoSpaceDN w:val="0"/>
        <w:adjustRightInd w:val="0"/>
        <w:spacing w:after="0" w:line="360" w:lineRule="auto"/>
        <w:jc w:val="both"/>
        <w:rPr>
          <w:rFonts w:ascii="Palatino Linotype" w:hAnsi="Palatino Linotype" w:cs="Arial"/>
          <w:sz w:val="24"/>
          <w:szCs w:val="24"/>
        </w:rPr>
      </w:pPr>
      <w:r w:rsidRPr="000E5506">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0E5506">
        <w:rPr>
          <w:rFonts w:ascii="Palatino Linotype" w:eastAsia="Times New Roman" w:hAnsi="Palatino Linotype" w:cs="Arial"/>
          <w:sz w:val="24"/>
          <w:szCs w:val="24"/>
          <w:lang w:val="es-ES" w:eastAsia="es-ES"/>
        </w:rPr>
        <w:t>derecho</w:t>
      </w:r>
      <w:r w:rsidRPr="000E5506">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D9A1B5" w14:textId="77777777" w:rsidR="00B94483" w:rsidRPr="000E5506" w:rsidRDefault="00B94483"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DB7583" w14:textId="33A9553F" w:rsidR="00291AA2" w:rsidRPr="000E5506" w:rsidRDefault="00230A7E" w:rsidP="00052C48">
      <w:pPr>
        <w:spacing w:after="0" w:line="360" w:lineRule="auto"/>
        <w:jc w:val="both"/>
        <w:rPr>
          <w:rFonts w:ascii="Palatino Linotype" w:hAnsi="Palatino Linotype" w:cs="Arial"/>
          <w:b/>
          <w:sz w:val="28"/>
          <w:szCs w:val="28"/>
        </w:rPr>
      </w:pPr>
      <w:r w:rsidRPr="000E5506">
        <w:rPr>
          <w:rFonts w:ascii="Palatino Linotype" w:hAnsi="Palatino Linotype" w:cs="Arial"/>
          <w:b/>
          <w:sz w:val="28"/>
          <w:szCs w:val="28"/>
        </w:rPr>
        <w:t>CUARTO</w:t>
      </w:r>
      <w:r w:rsidR="00291AA2" w:rsidRPr="000E5506">
        <w:rPr>
          <w:rFonts w:ascii="Palatino Linotype" w:hAnsi="Palatino Linotype" w:cs="Arial"/>
          <w:b/>
          <w:sz w:val="28"/>
          <w:szCs w:val="28"/>
        </w:rPr>
        <w:t>. De las causas de improcedencia.</w:t>
      </w:r>
    </w:p>
    <w:p w14:paraId="541E460F" w14:textId="1549D1A1" w:rsidR="00EF7D3D" w:rsidRPr="000E550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E550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0E5506">
        <w:rPr>
          <w:rFonts w:ascii="Palatino Linotype" w:hAnsi="Palatino Linotype" w:cs="Arial"/>
        </w:rPr>
        <w:lastRenderedPageBreak/>
        <w:t>a la justicia, ya que éste no se coarta por regular causas de improcedencia y sobreseimiento con tales fines</w:t>
      </w:r>
      <w:r w:rsidRPr="000E5506">
        <w:rPr>
          <w:rStyle w:val="Refdenotaalpie"/>
          <w:rFonts w:ascii="Palatino Linotype" w:hAnsi="Palatino Linotype" w:cs="Arial"/>
        </w:rPr>
        <w:footnoteReference w:id="1"/>
      </w:r>
      <w:r w:rsidRPr="000E5506">
        <w:rPr>
          <w:rFonts w:ascii="Palatino Linotype" w:hAnsi="Palatino Linotype" w:cs="Arial"/>
        </w:rPr>
        <w:t>.</w:t>
      </w:r>
    </w:p>
    <w:p w14:paraId="5FD0BC45" w14:textId="77777777" w:rsidR="00230A7E" w:rsidRPr="000E5506" w:rsidRDefault="00230A7E" w:rsidP="00291AA2">
      <w:pPr>
        <w:pStyle w:val="Prrafodelista"/>
        <w:autoSpaceDE w:val="0"/>
        <w:autoSpaceDN w:val="0"/>
        <w:adjustRightInd w:val="0"/>
        <w:spacing w:line="360" w:lineRule="auto"/>
        <w:ind w:left="0"/>
        <w:jc w:val="both"/>
        <w:rPr>
          <w:rFonts w:ascii="Palatino Linotype" w:hAnsi="Palatino Linotype" w:cs="Arial"/>
        </w:rPr>
      </w:pPr>
    </w:p>
    <w:p w14:paraId="33E8580C" w14:textId="0DBE5C91" w:rsidR="009E4288" w:rsidRPr="000E550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E550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EE27ED6" w14:textId="77777777" w:rsidR="00EF7D3D" w:rsidRPr="000E5506" w:rsidRDefault="00EF7D3D" w:rsidP="00291AA2">
      <w:pPr>
        <w:pStyle w:val="Prrafodelista"/>
        <w:autoSpaceDE w:val="0"/>
        <w:autoSpaceDN w:val="0"/>
        <w:adjustRightInd w:val="0"/>
        <w:spacing w:line="360" w:lineRule="auto"/>
        <w:ind w:left="0"/>
        <w:jc w:val="both"/>
        <w:rPr>
          <w:rFonts w:ascii="Palatino Linotype" w:hAnsi="Palatino Linotype" w:cs="Arial"/>
        </w:rPr>
      </w:pPr>
    </w:p>
    <w:p w14:paraId="55D49BCE" w14:textId="77777777" w:rsidR="00230A7E" w:rsidRPr="000E5506" w:rsidRDefault="00230A7E" w:rsidP="00291AA2">
      <w:pPr>
        <w:pStyle w:val="Prrafodelista"/>
        <w:autoSpaceDE w:val="0"/>
        <w:autoSpaceDN w:val="0"/>
        <w:adjustRightInd w:val="0"/>
        <w:spacing w:line="360" w:lineRule="auto"/>
        <w:ind w:left="0"/>
        <w:jc w:val="both"/>
        <w:rPr>
          <w:rFonts w:ascii="Palatino Linotype" w:hAnsi="Palatino Linotype" w:cs="Arial"/>
        </w:rPr>
      </w:pPr>
    </w:p>
    <w:p w14:paraId="642F4336" w14:textId="3F821C74" w:rsidR="00291AA2" w:rsidRPr="000E5506" w:rsidRDefault="00230A7E"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0E5506">
        <w:rPr>
          <w:rFonts w:ascii="Palatino Linotype" w:hAnsi="Palatino Linotype" w:cs="Arial"/>
          <w:b/>
          <w:sz w:val="28"/>
        </w:rPr>
        <w:lastRenderedPageBreak/>
        <w:t>QUINTO</w:t>
      </w:r>
      <w:r w:rsidR="00291AA2" w:rsidRPr="000E5506">
        <w:rPr>
          <w:rFonts w:ascii="Palatino Linotype" w:hAnsi="Palatino Linotype" w:cs="Arial"/>
          <w:b/>
          <w:sz w:val="28"/>
          <w:szCs w:val="28"/>
        </w:rPr>
        <w:t>.</w:t>
      </w:r>
      <w:r w:rsidR="00291AA2" w:rsidRPr="000E5506">
        <w:rPr>
          <w:rFonts w:ascii="Palatino Linotype" w:hAnsi="Palatino Linotype" w:cs="Arial"/>
          <w:sz w:val="28"/>
          <w:szCs w:val="28"/>
        </w:rPr>
        <w:t xml:space="preserve"> </w:t>
      </w:r>
      <w:r w:rsidR="00291AA2" w:rsidRPr="000E5506">
        <w:rPr>
          <w:rFonts w:ascii="Palatino Linotype" w:hAnsi="Palatino Linotype" w:cs="Arial"/>
          <w:b/>
          <w:sz w:val="28"/>
          <w:szCs w:val="28"/>
        </w:rPr>
        <w:t>Estudio y resolución del asunto.</w:t>
      </w:r>
    </w:p>
    <w:p w14:paraId="4CC28079" w14:textId="5AF1E4A4" w:rsidR="00856A03" w:rsidRPr="000E5506"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E550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0E5506">
        <w:rPr>
          <w:rFonts w:ascii="Palatino Linotype" w:hAnsi="Palatino Linotype" w:cs="Arial"/>
        </w:rPr>
        <w:t>,</w:t>
      </w:r>
      <w:r w:rsidRPr="000E5506">
        <w:rPr>
          <w:rFonts w:ascii="Palatino Linotype" w:hAnsi="Palatino Linotype" w:cs="Arial"/>
        </w:rPr>
        <w:t xml:space="preserve"> de la Constitución Federal y el diverso 8, de la Ley de Transparencia local.</w:t>
      </w:r>
    </w:p>
    <w:p w14:paraId="3228B45B" w14:textId="77777777" w:rsidR="00EF7D3D" w:rsidRPr="000E5506" w:rsidRDefault="00EF7D3D" w:rsidP="00AA160F">
      <w:pPr>
        <w:pStyle w:val="Prrafodelista"/>
        <w:autoSpaceDE w:val="0"/>
        <w:autoSpaceDN w:val="0"/>
        <w:adjustRightInd w:val="0"/>
        <w:spacing w:line="360" w:lineRule="auto"/>
        <w:ind w:left="0"/>
        <w:jc w:val="both"/>
        <w:rPr>
          <w:rFonts w:ascii="Palatino Linotype" w:hAnsi="Palatino Linotype" w:cs="Arial"/>
        </w:rPr>
      </w:pPr>
    </w:p>
    <w:p w14:paraId="0E21A250" w14:textId="4E494040" w:rsidR="00264A40" w:rsidRPr="000E5506" w:rsidRDefault="00291AA2" w:rsidP="00264A40">
      <w:pPr>
        <w:pStyle w:val="Prrafodelista"/>
        <w:autoSpaceDE w:val="0"/>
        <w:autoSpaceDN w:val="0"/>
        <w:adjustRightInd w:val="0"/>
        <w:spacing w:line="360" w:lineRule="auto"/>
        <w:ind w:left="0"/>
        <w:jc w:val="both"/>
        <w:rPr>
          <w:rFonts w:ascii="Palatino Linotype" w:hAnsi="Palatino Linotype" w:cs="Arial"/>
        </w:rPr>
      </w:pPr>
      <w:r w:rsidRPr="000E5506">
        <w:rPr>
          <w:rFonts w:ascii="Palatino Linotype" w:hAnsi="Palatino Linotype" w:cs="Arial"/>
        </w:rPr>
        <w:t xml:space="preserve">El estudio del presente recurso de revisión tiene como antecedentes, que </w:t>
      </w:r>
      <w:r w:rsidR="00B35216" w:rsidRPr="000E5506">
        <w:rPr>
          <w:rFonts w:ascii="Palatino Linotype" w:hAnsi="Palatino Linotype" w:cs="Arial"/>
        </w:rPr>
        <w:t>el</w:t>
      </w:r>
      <w:r w:rsidRPr="000E5506">
        <w:rPr>
          <w:rFonts w:ascii="Palatino Linotype" w:hAnsi="Palatino Linotype" w:cs="Arial"/>
        </w:rPr>
        <w:t xml:space="preserve"> hoy </w:t>
      </w:r>
      <w:r w:rsidRPr="000E5506">
        <w:rPr>
          <w:rFonts w:ascii="Palatino Linotype" w:hAnsi="Palatino Linotype" w:cs="Arial"/>
          <w:b/>
        </w:rPr>
        <w:t>Recurrente</w:t>
      </w:r>
      <w:r w:rsidR="00174D25" w:rsidRPr="000E5506">
        <w:rPr>
          <w:rFonts w:ascii="Palatino Linotype" w:hAnsi="Palatino Linotype" w:cs="Arial"/>
          <w:b/>
        </w:rPr>
        <w:t xml:space="preserve">, </w:t>
      </w:r>
      <w:r w:rsidRPr="000E5506">
        <w:rPr>
          <w:rFonts w:ascii="Palatino Linotype" w:hAnsi="Palatino Linotype" w:cs="Arial"/>
        </w:rPr>
        <w:t>solicitó a</w:t>
      </w:r>
      <w:r w:rsidR="009E4288" w:rsidRPr="000E5506">
        <w:rPr>
          <w:rFonts w:ascii="Palatino Linotype" w:hAnsi="Palatino Linotype" w:cs="Arial"/>
        </w:rPr>
        <w:t>l</w:t>
      </w:r>
      <w:r w:rsidRPr="000E5506">
        <w:rPr>
          <w:rFonts w:ascii="Palatino Linotype" w:hAnsi="Palatino Linotype" w:cs="Arial"/>
        </w:rPr>
        <w:t xml:space="preserve"> </w:t>
      </w:r>
      <w:r w:rsidR="009E4288" w:rsidRPr="000E5506">
        <w:rPr>
          <w:rFonts w:ascii="Palatino Linotype" w:hAnsi="Palatino Linotype" w:cs="Arial"/>
          <w:b/>
        </w:rPr>
        <w:t>S</w:t>
      </w:r>
      <w:r w:rsidR="00EF7D3D" w:rsidRPr="000E5506">
        <w:rPr>
          <w:rFonts w:ascii="Palatino Linotype" w:hAnsi="Palatino Linotype" w:cs="Arial"/>
          <w:b/>
        </w:rPr>
        <w:t>ujeto Obligado</w:t>
      </w:r>
      <w:bookmarkStart w:id="6" w:name="_Hlk147323204"/>
      <w:r w:rsidR="00506158" w:rsidRPr="000E5506">
        <w:rPr>
          <w:rFonts w:ascii="Palatino Linotype" w:hAnsi="Palatino Linotype" w:cs="Arial"/>
        </w:rPr>
        <w:t>, lo siguiente:</w:t>
      </w:r>
    </w:p>
    <w:p w14:paraId="205AB9CE" w14:textId="77777777" w:rsidR="00ED3ABC" w:rsidRPr="000E5506" w:rsidRDefault="00ED3ABC" w:rsidP="00264A40">
      <w:pPr>
        <w:pStyle w:val="Prrafodelista"/>
        <w:autoSpaceDE w:val="0"/>
        <w:autoSpaceDN w:val="0"/>
        <w:adjustRightInd w:val="0"/>
        <w:spacing w:line="360" w:lineRule="auto"/>
        <w:ind w:left="0"/>
        <w:jc w:val="both"/>
        <w:rPr>
          <w:rFonts w:ascii="Palatino Linotype" w:hAnsi="Palatino Linotype" w:cs="Arial"/>
        </w:rPr>
      </w:pPr>
    </w:p>
    <w:p w14:paraId="5DFA434C" w14:textId="0941A611" w:rsidR="00ED3ABC" w:rsidRPr="000E5506" w:rsidRDefault="00ED3ABC" w:rsidP="00264A40">
      <w:pPr>
        <w:pStyle w:val="Prrafodelista"/>
        <w:autoSpaceDE w:val="0"/>
        <w:autoSpaceDN w:val="0"/>
        <w:adjustRightInd w:val="0"/>
        <w:spacing w:line="360" w:lineRule="auto"/>
        <w:ind w:left="0"/>
        <w:jc w:val="both"/>
        <w:rPr>
          <w:rFonts w:ascii="Palatino Linotype" w:hAnsi="Palatino Linotype" w:cs="Arial"/>
        </w:rPr>
      </w:pPr>
      <w:r w:rsidRPr="000E5506">
        <w:rPr>
          <w:rFonts w:ascii="Palatino Linotype" w:hAnsi="Palatino Linotype" w:cs="Arial"/>
        </w:rPr>
        <w:t>De la empresa encargada de la demolición y reconstrucción de los cabezales de los apoyos 2, 3 y 4; así como, de la colocación de las trabes de los claros 1-2 y 4-5 y los claros 2-3 y 3-4</w:t>
      </w:r>
      <w:r w:rsidR="000675BD" w:rsidRPr="000E5506">
        <w:rPr>
          <w:rFonts w:ascii="Palatino Linotype" w:hAnsi="Palatino Linotype" w:cs="Arial"/>
        </w:rPr>
        <w:t xml:space="preserve">, durante los meses de febrero y marzo 2025, de acuerdo a lo indicado en el oficio </w:t>
      </w:r>
      <w:r w:rsidR="000675BD" w:rsidRPr="000E5506">
        <w:rPr>
          <w:rFonts w:ascii="Palatino Linotype" w:hAnsi="Palatino Linotype" w:cs="Arial"/>
          <w:b/>
          <w:bCs/>
        </w:rPr>
        <w:t>DOP/0821/2025</w:t>
      </w:r>
      <w:r w:rsidR="000675BD" w:rsidRPr="000E5506">
        <w:rPr>
          <w:rFonts w:ascii="Palatino Linotype" w:hAnsi="Palatino Linotype" w:cs="Arial"/>
        </w:rPr>
        <w:t xml:space="preserve"> de fecha 11 de junio de 2025, del paso inferior vehicular Tepotzotlán ubicado en la carretera México-Querétaro en el kilómetro 44, aproximadamente, requiere la siguiente información:</w:t>
      </w:r>
    </w:p>
    <w:p w14:paraId="2CDB67DE" w14:textId="77777777" w:rsidR="000675BD" w:rsidRPr="000E5506" w:rsidRDefault="000675BD" w:rsidP="000675BD">
      <w:pPr>
        <w:pStyle w:val="Sinespaciado"/>
      </w:pPr>
    </w:p>
    <w:p w14:paraId="5DE2E641" w14:textId="787FCD00" w:rsidR="000675BD" w:rsidRPr="000E5506" w:rsidRDefault="000675BD" w:rsidP="000675BD">
      <w:pPr>
        <w:pStyle w:val="Prrafodelista"/>
        <w:numPr>
          <w:ilvl w:val="0"/>
          <w:numId w:val="36"/>
        </w:numPr>
        <w:autoSpaceDE w:val="0"/>
        <w:autoSpaceDN w:val="0"/>
        <w:adjustRightInd w:val="0"/>
        <w:spacing w:line="360" w:lineRule="auto"/>
        <w:jc w:val="both"/>
        <w:rPr>
          <w:rFonts w:ascii="Palatino Linotype" w:hAnsi="Palatino Linotype" w:cs="Arial"/>
        </w:rPr>
      </w:pPr>
      <w:r w:rsidRPr="000E5506">
        <w:rPr>
          <w:rFonts w:ascii="Palatino Linotype" w:hAnsi="Palatino Linotype" w:cs="Arial"/>
        </w:rPr>
        <w:t>Nombre de la empresa.</w:t>
      </w:r>
    </w:p>
    <w:p w14:paraId="4561FE5E" w14:textId="620DF18E" w:rsidR="000675BD" w:rsidRPr="000E5506" w:rsidRDefault="000675BD" w:rsidP="000675BD">
      <w:pPr>
        <w:pStyle w:val="Prrafodelista"/>
        <w:numPr>
          <w:ilvl w:val="0"/>
          <w:numId w:val="36"/>
        </w:numPr>
        <w:autoSpaceDE w:val="0"/>
        <w:autoSpaceDN w:val="0"/>
        <w:adjustRightInd w:val="0"/>
        <w:spacing w:line="360" w:lineRule="auto"/>
        <w:jc w:val="both"/>
        <w:rPr>
          <w:rFonts w:ascii="Palatino Linotype" w:hAnsi="Palatino Linotype" w:cs="Arial"/>
        </w:rPr>
      </w:pPr>
      <w:r w:rsidRPr="000E5506">
        <w:rPr>
          <w:rFonts w:ascii="Palatino Linotype" w:hAnsi="Palatino Linotype" w:cs="Arial"/>
        </w:rPr>
        <w:t>Contrato.</w:t>
      </w:r>
    </w:p>
    <w:p w14:paraId="3E4B9F0D" w14:textId="7BAC7800" w:rsidR="003213A4" w:rsidRPr="000E5506" w:rsidRDefault="000675BD" w:rsidP="00521270">
      <w:pPr>
        <w:pStyle w:val="Prrafodelista"/>
        <w:numPr>
          <w:ilvl w:val="0"/>
          <w:numId w:val="36"/>
        </w:numPr>
        <w:autoSpaceDE w:val="0"/>
        <w:autoSpaceDN w:val="0"/>
        <w:adjustRightInd w:val="0"/>
        <w:spacing w:line="360" w:lineRule="auto"/>
        <w:jc w:val="both"/>
        <w:rPr>
          <w:rFonts w:ascii="Palatino Linotype" w:hAnsi="Palatino Linotype" w:cs="Arial"/>
        </w:rPr>
      </w:pPr>
      <w:r w:rsidRPr="000E5506">
        <w:rPr>
          <w:rFonts w:ascii="Palatino Linotype" w:hAnsi="Palatino Linotype" w:cs="Arial"/>
        </w:rPr>
        <w:t>Póliza de responsabilidad civil vigente durante el periodo de los trabajos.</w:t>
      </w:r>
      <w:bookmarkEnd w:id="6"/>
    </w:p>
    <w:p w14:paraId="73B812E2" w14:textId="06973564" w:rsidR="00506158" w:rsidRPr="000E5506" w:rsidRDefault="00506158" w:rsidP="00F601CE">
      <w:pPr>
        <w:spacing w:after="0" w:line="360" w:lineRule="auto"/>
        <w:ind w:right="49"/>
        <w:jc w:val="both"/>
        <w:rPr>
          <w:rFonts w:ascii="Palatino Linotype" w:hAnsi="Palatino Linotype"/>
          <w:b/>
          <w:bCs/>
          <w:sz w:val="24"/>
          <w:u w:val="single"/>
          <w:lang w:val="es-ES_tradnl"/>
        </w:rPr>
      </w:pPr>
      <w:r w:rsidRPr="000E5506">
        <w:rPr>
          <w:rFonts w:ascii="Palatino Linotype" w:hAnsi="Palatino Linotype"/>
          <w:sz w:val="24"/>
          <w:lang w:eastAsia="es-MX"/>
        </w:rPr>
        <w:lastRenderedPageBreak/>
        <w:t>A</w:t>
      </w:r>
      <w:r w:rsidR="00A77280" w:rsidRPr="000E5506">
        <w:rPr>
          <w:rFonts w:ascii="Palatino Linotype" w:hAnsi="Palatino Linotype"/>
          <w:sz w:val="24"/>
          <w:lang w:eastAsia="es-MX"/>
        </w:rPr>
        <w:t>tento a la</w:t>
      </w:r>
      <w:r w:rsidR="00BC198D" w:rsidRPr="000E5506">
        <w:rPr>
          <w:rFonts w:ascii="Palatino Linotype" w:hAnsi="Palatino Linotype"/>
          <w:sz w:val="24"/>
          <w:lang w:eastAsia="es-MX"/>
        </w:rPr>
        <w:t>s</w:t>
      </w:r>
      <w:r w:rsidR="00A77280" w:rsidRPr="000E5506">
        <w:rPr>
          <w:rFonts w:ascii="Palatino Linotype" w:hAnsi="Palatino Linotype"/>
          <w:sz w:val="24"/>
          <w:lang w:eastAsia="es-MX"/>
        </w:rPr>
        <w:t xml:space="preserve"> solicitud</w:t>
      </w:r>
      <w:r w:rsidR="00BC198D" w:rsidRPr="000E5506">
        <w:rPr>
          <w:rFonts w:ascii="Palatino Linotype" w:hAnsi="Palatino Linotype"/>
          <w:sz w:val="24"/>
          <w:lang w:eastAsia="es-MX"/>
        </w:rPr>
        <w:t>es</w:t>
      </w:r>
      <w:r w:rsidR="00A77280" w:rsidRPr="000E5506">
        <w:rPr>
          <w:rFonts w:ascii="Palatino Linotype" w:hAnsi="Palatino Linotype"/>
          <w:sz w:val="24"/>
          <w:lang w:eastAsia="es-MX"/>
        </w:rPr>
        <w:t xml:space="preserve"> de información</w:t>
      </w:r>
      <w:r w:rsidR="00BC198D" w:rsidRPr="000E5506">
        <w:rPr>
          <w:rFonts w:ascii="Palatino Linotype" w:hAnsi="Palatino Linotype"/>
          <w:sz w:val="24"/>
          <w:lang w:eastAsia="es-MX"/>
        </w:rPr>
        <w:t>,</w:t>
      </w:r>
      <w:r w:rsidR="00C66719" w:rsidRPr="000E5506">
        <w:rPr>
          <w:rFonts w:ascii="Palatino Linotype" w:hAnsi="Palatino Linotype"/>
          <w:sz w:val="24"/>
          <w:lang w:eastAsia="es-MX"/>
        </w:rPr>
        <w:t xml:space="preserve"> el </w:t>
      </w:r>
      <w:r w:rsidR="00A77280" w:rsidRPr="000E5506">
        <w:rPr>
          <w:rFonts w:ascii="Palatino Linotype" w:hAnsi="Palatino Linotype"/>
          <w:b/>
          <w:sz w:val="24"/>
          <w:lang w:eastAsia="es-MX"/>
        </w:rPr>
        <w:t>Sujeto Obligado</w:t>
      </w:r>
      <w:r w:rsidR="00A77280" w:rsidRPr="000E5506">
        <w:rPr>
          <w:rFonts w:ascii="Palatino Linotype" w:hAnsi="Palatino Linotype"/>
          <w:sz w:val="24"/>
          <w:lang w:eastAsia="es-MX"/>
        </w:rPr>
        <w:t xml:space="preserve"> emitió su</w:t>
      </w:r>
      <w:r w:rsidR="00BC198D" w:rsidRPr="000E5506">
        <w:rPr>
          <w:rFonts w:ascii="Palatino Linotype" w:hAnsi="Palatino Linotype"/>
          <w:sz w:val="24"/>
          <w:lang w:eastAsia="es-MX"/>
        </w:rPr>
        <w:t>s</w:t>
      </w:r>
      <w:r w:rsidR="00A77280" w:rsidRPr="000E5506">
        <w:rPr>
          <w:rFonts w:ascii="Palatino Linotype" w:hAnsi="Palatino Linotype"/>
          <w:sz w:val="24"/>
          <w:lang w:eastAsia="es-MX"/>
        </w:rPr>
        <w:t xml:space="preserve"> respuesta</w:t>
      </w:r>
      <w:r w:rsidR="00BC198D" w:rsidRPr="000E5506">
        <w:rPr>
          <w:rFonts w:ascii="Palatino Linotype" w:hAnsi="Palatino Linotype"/>
          <w:sz w:val="24"/>
          <w:lang w:eastAsia="es-MX"/>
        </w:rPr>
        <w:t>s</w:t>
      </w:r>
      <w:r w:rsidR="00A46600" w:rsidRPr="000E5506">
        <w:rPr>
          <w:rFonts w:ascii="Palatino Linotype" w:hAnsi="Palatino Linotype"/>
          <w:sz w:val="24"/>
          <w:lang w:val="es-ES_tradnl"/>
        </w:rPr>
        <w:t>, mediante los oficios número</w:t>
      </w:r>
      <w:r w:rsidR="00F601CE" w:rsidRPr="000E5506">
        <w:rPr>
          <w:rFonts w:ascii="Palatino Linotype" w:hAnsi="Palatino Linotype"/>
          <w:sz w:val="24"/>
          <w:lang w:val="es-ES_tradnl"/>
        </w:rPr>
        <w:t>s</w:t>
      </w:r>
      <w:r w:rsidR="00255E2D" w:rsidRPr="000E5506">
        <w:rPr>
          <w:rFonts w:ascii="Palatino Linotype" w:hAnsi="Palatino Linotype"/>
          <w:sz w:val="24"/>
          <w:lang w:val="es-ES_tradnl"/>
        </w:rPr>
        <w:t xml:space="preserve"> </w:t>
      </w:r>
      <w:r w:rsidR="000675BD" w:rsidRPr="000E5506">
        <w:rPr>
          <w:rFonts w:ascii="Palatino Linotype" w:hAnsi="Palatino Linotype"/>
          <w:b/>
          <w:bCs/>
          <w:sz w:val="24"/>
          <w:lang w:val="es-ES_tradnl"/>
        </w:rPr>
        <w:t>DOP/2214/2025</w:t>
      </w:r>
      <w:r w:rsidR="00255E2D" w:rsidRPr="000E5506">
        <w:rPr>
          <w:rFonts w:ascii="Palatino Linotype" w:hAnsi="Palatino Linotype"/>
          <w:sz w:val="24"/>
          <w:lang w:val="es-ES_tradnl"/>
        </w:rPr>
        <w:t xml:space="preserve"> y </w:t>
      </w:r>
      <w:r w:rsidR="000675BD" w:rsidRPr="000E5506">
        <w:rPr>
          <w:rFonts w:ascii="Palatino Linotype" w:hAnsi="Palatino Linotype"/>
          <w:b/>
          <w:bCs/>
          <w:sz w:val="24"/>
          <w:lang w:val="es-ES_tradnl"/>
        </w:rPr>
        <w:t>DOP/2221/2025</w:t>
      </w:r>
      <w:r w:rsidR="00255E2D" w:rsidRPr="000E5506">
        <w:rPr>
          <w:rFonts w:ascii="Palatino Linotype" w:hAnsi="Palatino Linotype"/>
          <w:sz w:val="24"/>
          <w:lang w:val="es-ES_tradnl"/>
        </w:rPr>
        <w:t xml:space="preserve">, firmados por el </w:t>
      </w:r>
      <w:r w:rsidR="000675BD" w:rsidRPr="000E5506">
        <w:rPr>
          <w:rFonts w:ascii="Palatino Linotype" w:hAnsi="Palatino Linotype"/>
          <w:b/>
          <w:bCs/>
          <w:sz w:val="24"/>
          <w:lang w:val="es-ES_tradnl"/>
        </w:rPr>
        <w:t>Director de Obras Públicas</w:t>
      </w:r>
      <w:r w:rsidR="00255E2D" w:rsidRPr="000E5506">
        <w:rPr>
          <w:rFonts w:ascii="Palatino Linotype" w:hAnsi="Palatino Linotype"/>
          <w:sz w:val="24"/>
          <w:lang w:val="es-ES_tradnl"/>
        </w:rPr>
        <w:t xml:space="preserve">, en los cuales </w:t>
      </w:r>
      <w:r w:rsidR="000675BD" w:rsidRPr="000E5506">
        <w:rPr>
          <w:rFonts w:ascii="Palatino Linotype" w:hAnsi="Palatino Linotype"/>
          <w:sz w:val="24"/>
          <w:lang w:val="es-ES_tradnl"/>
        </w:rPr>
        <w:t xml:space="preserve">informó que, después de una búsqueda exhaustiva y minuciosa </w:t>
      </w:r>
      <w:r w:rsidR="000675BD" w:rsidRPr="000E5506">
        <w:rPr>
          <w:rFonts w:ascii="Palatino Linotype" w:hAnsi="Palatino Linotype"/>
          <w:b/>
          <w:bCs/>
          <w:sz w:val="24"/>
          <w:u w:val="single"/>
          <w:lang w:val="es-ES_tradnl"/>
        </w:rPr>
        <w:t xml:space="preserve">no se encontró información con las referencias proporcionadas, ya que, no contamos con la especificación en un nombre de obra en concreto.  </w:t>
      </w:r>
    </w:p>
    <w:p w14:paraId="1AD878A5" w14:textId="77777777" w:rsidR="00506158" w:rsidRPr="000E5506" w:rsidRDefault="00506158" w:rsidP="00F601CE">
      <w:pPr>
        <w:spacing w:after="0" w:line="360" w:lineRule="auto"/>
        <w:ind w:right="49"/>
        <w:jc w:val="both"/>
        <w:rPr>
          <w:rFonts w:ascii="Palatino Linotype" w:hAnsi="Palatino Linotype"/>
          <w:sz w:val="24"/>
        </w:rPr>
      </w:pPr>
    </w:p>
    <w:p w14:paraId="5DFC3B2D" w14:textId="7B0525D3" w:rsidR="00F601CE" w:rsidRPr="000E5506" w:rsidRDefault="00A645F3" w:rsidP="00A645F3">
      <w:pPr>
        <w:autoSpaceDE w:val="0"/>
        <w:autoSpaceDN w:val="0"/>
        <w:adjustRightInd w:val="0"/>
        <w:spacing w:after="0" w:line="360" w:lineRule="auto"/>
        <w:jc w:val="both"/>
        <w:rPr>
          <w:rFonts w:ascii="Palatino Linotype" w:hAnsi="Palatino Linotype" w:cs="Arial"/>
          <w:bCs/>
          <w:sz w:val="24"/>
        </w:rPr>
      </w:pPr>
      <w:r w:rsidRPr="000E5506">
        <w:rPr>
          <w:rFonts w:ascii="Palatino Linotype" w:hAnsi="Palatino Linotype" w:cs="Arial"/>
          <w:bCs/>
          <w:sz w:val="24"/>
        </w:rPr>
        <w:t xml:space="preserve">Es de destacar que, al haber un pronunciamiento por parte del </w:t>
      </w:r>
      <w:r w:rsidRPr="000E5506">
        <w:rPr>
          <w:rFonts w:ascii="Palatino Linotype" w:hAnsi="Palatino Linotype" w:cs="Arial"/>
          <w:b/>
          <w:bCs/>
          <w:sz w:val="24"/>
        </w:rPr>
        <w:t>Sujeto Obligado</w:t>
      </w:r>
      <w:r w:rsidRPr="000E5506">
        <w:rPr>
          <w:rFonts w:ascii="Palatino Linotype" w:hAnsi="Palatino Linotype" w:cs="Arial"/>
          <w:bCs/>
          <w:sz w:val="24"/>
        </w:rPr>
        <w:t xml:space="preserve">, dentro de sus atribuciones, este Órgano Garante, no está facultado para manifestarse sobre la veracidad de lo afirmado por parte del </w:t>
      </w:r>
      <w:r w:rsidRPr="000E5506">
        <w:rPr>
          <w:rFonts w:ascii="Palatino Linotype" w:hAnsi="Palatino Linotype" w:cs="Arial"/>
          <w:b/>
          <w:bCs/>
          <w:sz w:val="24"/>
        </w:rPr>
        <w:t>Sujeto Obligado</w:t>
      </w:r>
      <w:r w:rsidRPr="000E5506">
        <w:rPr>
          <w:rFonts w:ascii="Palatino Linotype" w:hAnsi="Palatino Linotype" w:cs="Arial"/>
          <w:bCs/>
          <w:sz w:val="24"/>
        </w:rPr>
        <w:t xml:space="preserve"> pues no existe precepto legal alguno en la Ley de la materia que lo faculte para ello. </w:t>
      </w:r>
    </w:p>
    <w:p w14:paraId="15D9516A" w14:textId="77777777" w:rsidR="00A645F3" w:rsidRPr="000E5506" w:rsidRDefault="00A645F3" w:rsidP="00A645F3">
      <w:pPr>
        <w:autoSpaceDE w:val="0"/>
        <w:autoSpaceDN w:val="0"/>
        <w:adjustRightInd w:val="0"/>
        <w:spacing w:after="0" w:line="360" w:lineRule="auto"/>
        <w:jc w:val="both"/>
        <w:rPr>
          <w:rFonts w:ascii="Palatino Linotype" w:hAnsi="Palatino Linotype" w:cs="Arial"/>
          <w:bCs/>
          <w:sz w:val="24"/>
        </w:rPr>
      </w:pPr>
    </w:p>
    <w:p w14:paraId="3A1F7B07" w14:textId="25C71FC9" w:rsidR="00F4766B" w:rsidRPr="000E5506" w:rsidRDefault="00A77280" w:rsidP="00F4766B">
      <w:pPr>
        <w:spacing w:after="0" w:line="360" w:lineRule="auto"/>
        <w:jc w:val="both"/>
        <w:rPr>
          <w:rFonts w:ascii="Palatino Linotype" w:hAnsi="Palatino Linotype" w:cs="Arial"/>
          <w:i/>
          <w:iCs/>
          <w:sz w:val="24"/>
          <w:szCs w:val="24"/>
        </w:rPr>
      </w:pPr>
      <w:r w:rsidRPr="000E5506">
        <w:rPr>
          <w:rFonts w:ascii="Palatino Linotype" w:hAnsi="Palatino Linotype" w:cs="Arial"/>
          <w:bCs/>
          <w:sz w:val="24"/>
          <w:szCs w:val="24"/>
        </w:rPr>
        <w:t>Es así que derivado de la respuesta emitida por</w:t>
      </w:r>
      <w:r w:rsidR="00A645F3" w:rsidRPr="000E5506">
        <w:rPr>
          <w:rFonts w:ascii="Palatino Linotype" w:hAnsi="Palatino Linotype" w:cs="Arial"/>
          <w:bCs/>
          <w:sz w:val="24"/>
          <w:szCs w:val="24"/>
        </w:rPr>
        <w:t xml:space="preserve"> el </w:t>
      </w:r>
      <w:r w:rsidRPr="000E5506">
        <w:rPr>
          <w:rFonts w:ascii="Palatino Linotype" w:hAnsi="Palatino Linotype" w:cs="Arial"/>
          <w:b/>
          <w:bCs/>
          <w:sz w:val="24"/>
          <w:szCs w:val="24"/>
        </w:rPr>
        <w:t>Sujeto Obligado</w:t>
      </w:r>
      <w:r w:rsidRPr="000E5506">
        <w:rPr>
          <w:rFonts w:ascii="Palatino Linotype" w:hAnsi="Palatino Linotype" w:cs="Arial"/>
          <w:bCs/>
          <w:sz w:val="24"/>
          <w:szCs w:val="24"/>
        </w:rPr>
        <w:t>,</w:t>
      </w:r>
      <w:r w:rsidR="00A645F3" w:rsidRPr="000E5506">
        <w:rPr>
          <w:rFonts w:ascii="Palatino Linotype" w:hAnsi="Palatino Linotype" w:cs="Arial"/>
          <w:bCs/>
          <w:sz w:val="24"/>
          <w:szCs w:val="24"/>
        </w:rPr>
        <w:t xml:space="preserve"> el</w:t>
      </w:r>
      <w:r w:rsidRPr="000E5506">
        <w:rPr>
          <w:rFonts w:ascii="Palatino Linotype" w:hAnsi="Palatino Linotype" w:cs="Arial"/>
          <w:b/>
          <w:bCs/>
          <w:sz w:val="24"/>
          <w:szCs w:val="24"/>
        </w:rPr>
        <w:t xml:space="preserve"> Recurrente</w:t>
      </w:r>
      <w:r w:rsidRPr="000E5506">
        <w:rPr>
          <w:rFonts w:ascii="Palatino Linotype" w:hAnsi="Palatino Linotype" w:cs="Arial"/>
          <w:bCs/>
          <w:sz w:val="24"/>
          <w:szCs w:val="24"/>
        </w:rPr>
        <w:t xml:space="preserve">, interpuso </w:t>
      </w:r>
      <w:r w:rsidR="00874F4E" w:rsidRPr="000E5506">
        <w:rPr>
          <w:rFonts w:ascii="Palatino Linotype" w:hAnsi="Palatino Linotype" w:cs="Arial"/>
          <w:bCs/>
          <w:sz w:val="24"/>
          <w:szCs w:val="24"/>
        </w:rPr>
        <w:t>los</w:t>
      </w:r>
      <w:r w:rsidRPr="000E5506">
        <w:rPr>
          <w:rFonts w:ascii="Palatino Linotype" w:hAnsi="Palatino Linotype" w:cs="Arial"/>
          <w:bCs/>
          <w:sz w:val="24"/>
          <w:szCs w:val="24"/>
        </w:rPr>
        <w:t xml:space="preserve"> presente</w:t>
      </w:r>
      <w:r w:rsidR="00874F4E" w:rsidRPr="000E5506">
        <w:rPr>
          <w:rFonts w:ascii="Palatino Linotype" w:hAnsi="Palatino Linotype" w:cs="Arial"/>
          <w:bCs/>
          <w:sz w:val="24"/>
          <w:szCs w:val="24"/>
        </w:rPr>
        <w:t>s</w:t>
      </w:r>
      <w:r w:rsidRPr="000E5506">
        <w:rPr>
          <w:rFonts w:ascii="Palatino Linotype" w:hAnsi="Palatino Linotype" w:cs="Arial"/>
          <w:bCs/>
          <w:sz w:val="24"/>
          <w:szCs w:val="24"/>
        </w:rPr>
        <w:t xml:space="preserve"> recurso</w:t>
      </w:r>
      <w:r w:rsidR="00874F4E" w:rsidRPr="000E5506">
        <w:rPr>
          <w:rFonts w:ascii="Palatino Linotype" w:hAnsi="Palatino Linotype" w:cs="Arial"/>
          <w:bCs/>
          <w:sz w:val="24"/>
          <w:szCs w:val="24"/>
        </w:rPr>
        <w:t>s</w:t>
      </w:r>
      <w:r w:rsidRPr="000E5506">
        <w:rPr>
          <w:rFonts w:ascii="Palatino Linotype" w:hAnsi="Palatino Linotype" w:cs="Arial"/>
          <w:bCs/>
          <w:sz w:val="24"/>
          <w:szCs w:val="24"/>
        </w:rPr>
        <w:t xml:space="preserve"> de revisión, señalando como </w:t>
      </w:r>
      <w:r w:rsidR="003D74B8" w:rsidRPr="000E5506">
        <w:rPr>
          <w:rFonts w:ascii="Palatino Linotype" w:hAnsi="Palatino Linotype" w:cs="Arial"/>
          <w:bCs/>
          <w:sz w:val="24"/>
          <w:szCs w:val="24"/>
        </w:rPr>
        <w:t>acto impugnado</w:t>
      </w:r>
      <w:r w:rsidRPr="000E5506">
        <w:rPr>
          <w:rFonts w:ascii="Palatino Linotype" w:hAnsi="Palatino Linotype" w:cs="Arial"/>
          <w:bCs/>
          <w:sz w:val="24"/>
          <w:szCs w:val="24"/>
        </w:rPr>
        <w:t xml:space="preserve"> lo siguiente:</w:t>
      </w:r>
      <w:r w:rsidR="00B708CC" w:rsidRPr="000E5506">
        <w:rPr>
          <w:rFonts w:ascii="Palatino Linotype" w:hAnsi="Palatino Linotype" w:cs="Arial"/>
          <w:bCs/>
          <w:sz w:val="24"/>
          <w:szCs w:val="24"/>
        </w:rPr>
        <w:t xml:space="preserve"> </w:t>
      </w:r>
      <w:r w:rsidR="00F4766B" w:rsidRPr="000E5506">
        <w:rPr>
          <w:rFonts w:ascii="Palatino Linotype" w:hAnsi="Palatino Linotype" w:cs="Arial"/>
          <w:i/>
          <w:iCs/>
          <w:sz w:val="24"/>
          <w:szCs w:val="24"/>
        </w:rPr>
        <w:t>“</w:t>
      </w:r>
      <w:r w:rsidR="00DA6E62" w:rsidRPr="000E5506">
        <w:rPr>
          <w:rFonts w:ascii="Palatino Linotype" w:hAnsi="Palatino Linotype" w:cs="Arial"/>
          <w:i/>
          <w:iCs/>
          <w:sz w:val="24"/>
          <w:szCs w:val="24"/>
        </w:rPr>
        <w:t xml:space="preserve">Me inconformo con la respuesta contenida en el Oficio No. DOP/2214/2025, fechado el 7 de noviembre de 2025, emitido por la Dirección de Obras Públicas del H. Ayuntamiento Constitucional de Tepotzotlán, bajo el argumento de que 'después de una búsqueda exhaustiva y minuciosa no se encontró información con las referencias proporcionadas o antes mencionadas ya que no contamos con la especificación en un nombre de obra en concreto.' Mi solicitud de información con folio 00615/TEPOTZOT/IP/2025 fue excepcionalmente detallada, especificando no solo el tipo de obra ('demolición y reconstrucción de los cabezales de apoyo 2, 3 y 4', 'colocación de las trabes de los claros 1-2 y 4-5', 'claros 2-3 y 3-4'), sino también las fechas exactas ('febrero y marzo de 2025'), la ubicación precisa ('paso inferir vehicular Tepotzotlán ubicado en la carretera México-Querétaro en el kilómetro 44 </w:t>
      </w:r>
      <w:r w:rsidR="00DA6E62" w:rsidRPr="000E5506">
        <w:rPr>
          <w:rFonts w:ascii="Palatino Linotype" w:hAnsi="Palatino Linotype" w:cs="Arial"/>
          <w:i/>
          <w:iCs/>
          <w:sz w:val="24"/>
          <w:szCs w:val="24"/>
        </w:rPr>
        <w:lastRenderedPageBreak/>
        <w:t xml:space="preserve">aproximadamente'). Más aún, y crucialmente, mi solicitud hizo referencia directa a un oficio interno de la misma Dirección de Obras Públicas: el Oficio DOP/0821/2025 de fecha 11 de junio de 2025. Resulta ilógico e inconsistente que la Dirección de Obras Públicas, al ser la entidad que emitió el Oficio DOP/0821/2025 y siendo la responsable de las obras públicas municipales, </w:t>
      </w:r>
      <w:r w:rsidR="00DA6E62" w:rsidRPr="000E5506">
        <w:rPr>
          <w:rFonts w:ascii="Palatino Linotype" w:hAnsi="Palatino Linotype" w:cs="Arial"/>
          <w:b/>
          <w:bCs/>
          <w:i/>
          <w:iCs/>
          <w:sz w:val="24"/>
          <w:szCs w:val="24"/>
          <w:u w:val="single"/>
        </w:rPr>
        <w:t>declare la inexistencia de información sobre una obra que ha sido identificada con tanto detalle y haciendo referencia a sus propios documentos oficiales. La falta de un 'nombre de obra en concreto' no puede ser un pretexto válido para negar la información cuando se han proporcionado todos los demás elementos identificativos que permiten su localización indubitable, incluyendo una referencia a su propia documentación oficial. Considero que la búsqueda realizada no fue exhaustiva, o que la información está siendo deliberadamente omitida o clasificada de manera improcedente.</w:t>
      </w:r>
      <w:r w:rsidR="00DA6E62" w:rsidRPr="000E5506">
        <w:rPr>
          <w:rFonts w:ascii="Palatino Linotype" w:hAnsi="Palatino Linotype" w:cs="Arial"/>
          <w:i/>
          <w:iCs/>
          <w:sz w:val="24"/>
          <w:szCs w:val="24"/>
        </w:rPr>
        <w:t xml:space="preserve"> La descripción proporcionada en mi solicitud es más que suficiente para que cualquier funcionario diligente de la Dirección de Obras Públicas identifique la obra en cuestión. Por lo tanto, </w:t>
      </w:r>
      <w:r w:rsidR="00DA6E62" w:rsidRPr="000E5506">
        <w:rPr>
          <w:rFonts w:ascii="Palatino Linotype" w:hAnsi="Palatino Linotype" w:cs="Arial"/>
          <w:b/>
          <w:bCs/>
          <w:i/>
          <w:iCs/>
          <w:sz w:val="24"/>
          <w:szCs w:val="24"/>
          <w:u w:val="single"/>
        </w:rPr>
        <w:t>la respuesta recibida constituye una denegación injustificada de mi derecho de acceso a la información pública, ya que la información solicitada necesariamente debe obrar en los archivos de la dependencia.</w:t>
      </w:r>
      <w:r w:rsidR="00F4766B" w:rsidRPr="000E5506">
        <w:rPr>
          <w:rFonts w:ascii="Palatino Linotype" w:hAnsi="Palatino Linotype" w:cs="Arial"/>
          <w:i/>
          <w:iCs/>
          <w:sz w:val="24"/>
          <w:szCs w:val="24"/>
        </w:rPr>
        <w:t xml:space="preserve">” (Sic) </w:t>
      </w:r>
      <w:r w:rsidR="00F4766B" w:rsidRPr="000E5506">
        <w:rPr>
          <w:rFonts w:ascii="Palatino Linotype" w:hAnsi="Palatino Linotype" w:cs="Arial"/>
          <w:sz w:val="24"/>
          <w:szCs w:val="24"/>
        </w:rPr>
        <w:t xml:space="preserve">y </w:t>
      </w:r>
      <w:r w:rsidR="00F4766B" w:rsidRPr="000E5506">
        <w:rPr>
          <w:rFonts w:ascii="Palatino Linotype" w:hAnsi="Palatino Linotype" w:cs="Arial"/>
          <w:i/>
          <w:iCs/>
          <w:sz w:val="24"/>
          <w:szCs w:val="24"/>
        </w:rPr>
        <w:t>“La información es negada” (Sic).</w:t>
      </w:r>
    </w:p>
    <w:p w14:paraId="22594C32" w14:textId="77777777" w:rsidR="00DA6E62" w:rsidRPr="000E5506" w:rsidRDefault="00DA6E62" w:rsidP="00F4766B">
      <w:pPr>
        <w:spacing w:after="0" w:line="360" w:lineRule="auto"/>
        <w:jc w:val="both"/>
        <w:rPr>
          <w:rFonts w:ascii="Palatino Linotype" w:hAnsi="Palatino Linotype" w:cs="Arial"/>
          <w:i/>
          <w:iCs/>
          <w:sz w:val="24"/>
          <w:szCs w:val="24"/>
        </w:rPr>
      </w:pPr>
    </w:p>
    <w:p w14:paraId="2086BB82" w14:textId="5E21B2EA" w:rsidR="00F9259D" w:rsidRPr="000E5506" w:rsidRDefault="00F9259D" w:rsidP="00D12609">
      <w:pPr>
        <w:spacing w:after="0" w:line="360" w:lineRule="auto"/>
        <w:jc w:val="both"/>
        <w:rPr>
          <w:rFonts w:ascii="Palatino Linotype" w:hAnsi="Palatino Linotype" w:cs="Arial"/>
          <w:sz w:val="24"/>
        </w:rPr>
      </w:pPr>
      <w:r w:rsidRPr="000E5506">
        <w:rPr>
          <w:rFonts w:ascii="Palatino Linotype" w:hAnsi="Palatino Linotype" w:cs="Arial"/>
          <w:bCs/>
          <w:sz w:val="24"/>
          <w:szCs w:val="24"/>
        </w:rPr>
        <w:t xml:space="preserve">Atento a ello, </w:t>
      </w:r>
      <w:r w:rsidR="002F2038" w:rsidRPr="000E5506">
        <w:rPr>
          <w:rFonts w:ascii="Palatino Linotype" w:hAnsi="Palatino Linotype" w:cs="Arial"/>
          <w:bCs/>
          <w:sz w:val="24"/>
          <w:szCs w:val="24"/>
        </w:rPr>
        <w:t xml:space="preserve">es importante señalar que </w:t>
      </w:r>
      <w:r w:rsidRPr="000E5506">
        <w:rPr>
          <w:rFonts w:ascii="Palatino Linotype" w:hAnsi="Palatino Linotype" w:cs="Arial"/>
          <w:sz w:val="24"/>
        </w:rPr>
        <w:t>el artículo 4, párrafo segundo</w:t>
      </w:r>
      <w:r w:rsidR="002F2038" w:rsidRPr="000E5506">
        <w:rPr>
          <w:rFonts w:ascii="Palatino Linotype" w:hAnsi="Palatino Linotype" w:cs="Arial"/>
          <w:sz w:val="24"/>
        </w:rPr>
        <w:t>,</w:t>
      </w:r>
      <w:r w:rsidRPr="000E5506">
        <w:rPr>
          <w:rFonts w:ascii="Palatino Linotype" w:hAnsi="Palatino Linotype" w:cs="Arial"/>
          <w:sz w:val="24"/>
        </w:rPr>
        <w:t xml:space="preserve"> de la Ley de Transparencia y Acceso a la Información Pública del Estado de México y Municipios, dispone:</w:t>
      </w:r>
    </w:p>
    <w:p w14:paraId="0EDC45FF" w14:textId="77777777" w:rsidR="00DA6E62" w:rsidRPr="000E5506" w:rsidRDefault="00DA6E62" w:rsidP="00DA6E62">
      <w:pPr>
        <w:pStyle w:val="Sinespaciado"/>
      </w:pPr>
    </w:p>
    <w:p w14:paraId="6BD41C0D" w14:textId="77777777" w:rsidR="00F9259D" w:rsidRPr="000E5506"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t>“</w:t>
      </w:r>
      <w:r w:rsidRPr="000E5506">
        <w:rPr>
          <w:rFonts w:ascii="Palatino Linotype" w:hAnsi="Palatino Linotype" w:cs="Arial"/>
          <w:b/>
          <w:i/>
        </w:rPr>
        <w:t xml:space="preserve">Artículo 4. </w:t>
      </w:r>
      <w:r w:rsidRPr="000E5506">
        <w:rPr>
          <w:rFonts w:ascii="Palatino Linotype" w:hAnsi="Palatino Linotype" w:cs="Arial"/>
          <w:i/>
        </w:rPr>
        <w:t xml:space="preserve">… </w:t>
      </w:r>
    </w:p>
    <w:p w14:paraId="77C94947"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0E5506">
        <w:rPr>
          <w:rFonts w:ascii="Palatino Linotype" w:hAnsi="Palatino Linotype" w:cs="Arial"/>
          <w:i/>
        </w:rPr>
        <w:lastRenderedPageBreak/>
        <w:t xml:space="preserve">los que el Estado mexicano sea parte, en la Ley General, la presente Ley y demás disposiciones de la materia, privilegiando el principio de máxima publicidad de la información. </w:t>
      </w:r>
    </w:p>
    <w:p w14:paraId="7D281251" w14:textId="77777777" w:rsidR="002F2038" w:rsidRPr="000E5506" w:rsidRDefault="002F2038" w:rsidP="00F9259D">
      <w:pPr>
        <w:spacing w:after="0" w:line="240" w:lineRule="auto"/>
        <w:ind w:left="567" w:right="567"/>
        <w:jc w:val="both"/>
        <w:rPr>
          <w:rFonts w:ascii="Palatino Linotype" w:hAnsi="Palatino Linotype" w:cs="Arial"/>
          <w:i/>
        </w:rPr>
      </w:pPr>
    </w:p>
    <w:p w14:paraId="4B538BA8" w14:textId="1FAA7479"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0E5506"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0E5506" w:rsidRDefault="00AE26C8" w:rsidP="00AE26C8">
      <w:pPr>
        <w:pStyle w:val="Sinespaciado"/>
      </w:pPr>
    </w:p>
    <w:p w14:paraId="5667AB6D" w14:textId="2365486F" w:rsidR="00F9259D" w:rsidRPr="000E5506" w:rsidRDefault="00F9259D" w:rsidP="00F9259D">
      <w:pPr>
        <w:spacing w:after="0" w:line="360" w:lineRule="auto"/>
        <w:jc w:val="both"/>
        <w:rPr>
          <w:rFonts w:ascii="Palatino Linotype" w:hAnsi="Palatino Linotype" w:cs="Arial"/>
          <w:i/>
          <w:sz w:val="24"/>
        </w:rPr>
      </w:pPr>
      <w:r w:rsidRPr="000E550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0E5506" w:rsidRDefault="00226A9E" w:rsidP="00F9259D">
      <w:pPr>
        <w:spacing w:after="0" w:line="360" w:lineRule="auto"/>
        <w:jc w:val="both"/>
        <w:rPr>
          <w:rFonts w:ascii="Palatino Linotype" w:hAnsi="Palatino Linotype" w:cs="Arial"/>
          <w:sz w:val="24"/>
        </w:rPr>
      </w:pPr>
    </w:p>
    <w:p w14:paraId="62284CDD" w14:textId="77777777" w:rsidR="00F9259D" w:rsidRPr="000E5506" w:rsidRDefault="00F9259D" w:rsidP="00F9259D">
      <w:pPr>
        <w:spacing w:after="0" w:line="360" w:lineRule="auto"/>
        <w:jc w:val="both"/>
        <w:rPr>
          <w:rFonts w:ascii="Palatino Linotype" w:hAnsi="Palatino Linotype" w:cs="Arial"/>
          <w:i/>
          <w:sz w:val="24"/>
        </w:rPr>
      </w:pPr>
      <w:r w:rsidRPr="000E550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0E5506" w:rsidRDefault="00F9259D" w:rsidP="00F9259D">
      <w:pPr>
        <w:spacing w:after="0"/>
        <w:ind w:left="567" w:right="567"/>
        <w:jc w:val="both"/>
        <w:rPr>
          <w:rFonts w:ascii="Palatino Linotype" w:hAnsi="Palatino Linotype" w:cs="Arial"/>
          <w:i/>
        </w:rPr>
      </w:pPr>
    </w:p>
    <w:p w14:paraId="7599BD62" w14:textId="066A12CD" w:rsidR="00F9259D" w:rsidRPr="000E5506" w:rsidRDefault="00F9259D" w:rsidP="00033EA7">
      <w:pPr>
        <w:spacing w:after="0" w:line="240" w:lineRule="auto"/>
        <w:ind w:left="567" w:right="567"/>
        <w:jc w:val="both"/>
        <w:rPr>
          <w:rFonts w:ascii="Palatino Linotype" w:hAnsi="Palatino Linotype" w:cs="Arial"/>
          <w:i/>
        </w:rPr>
      </w:pPr>
      <w:r w:rsidRPr="000E5506">
        <w:rPr>
          <w:rFonts w:ascii="Palatino Linotype" w:hAnsi="Palatino Linotype" w:cs="Arial"/>
          <w:i/>
        </w:rPr>
        <w:t>“</w:t>
      </w:r>
      <w:r w:rsidRPr="000E5506">
        <w:rPr>
          <w:rFonts w:ascii="Palatino Linotype" w:hAnsi="Palatino Linotype" w:cs="Arial"/>
          <w:b/>
          <w:i/>
        </w:rPr>
        <w:t>Artículo 12.</w:t>
      </w:r>
      <w:r w:rsidRPr="000E550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0E5506"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E5506">
        <w:rPr>
          <w:rFonts w:ascii="Palatino Linotype" w:hAnsi="Palatino Linotype" w:cs="Arial"/>
          <w:i/>
        </w:rPr>
        <w:t>”</w:t>
      </w:r>
    </w:p>
    <w:p w14:paraId="68F9EE03" w14:textId="77777777" w:rsidR="00F9259D" w:rsidRPr="000E5506" w:rsidRDefault="00F9259D" w:rsidP="00F9259D">
      <w:pPr>
        <w:spacing w:after="0" w:line="360" w:lineRule="auto"/>
        <w:jc w:val="both"/>
        <w:rPr>
          <w:rFonts w:ascii="Palatino Linotype" w:hAnsi="Palatino Linotype" w:cs="Arial"/>
          <w:sz w:val="24"/>
        </w:rPr>
      </w:pPr>
    </w:p>
    <w:p w14:paraId="0C6CB636" w14:textId="207DE8DB" w:rsidR="00F9259D" w:rsidRPr="000E5506" w:rsidRDefault="00F9259D" w:rsidP="00F9259D">
      <w:pPr>
        <w:spacing w:after="0" w:line="360" w:lineRule="auto"/>
        <w:jc w:val="both"/>
        <w:rPr>
          <w:rFonts w:ascii="Palatino Linotype" w:hAnsi="Palatino Linotype" w:cs="Arial"/>
          <w:sz w:val="24"/>
        </w:rPr>
      </w:pPr>
      <w:r w:rsidRPr="000E5506">
        <w:rPr>
          <w:rFonts w:ascii="Palatino Linotype" w:hAnsi="Palatino Linotype" w:cs="Arial"/>
          <w:sz w:val="24"/>
        </w:rPr>
        <w:t xml:space="preserve">En síntesis, el derecho de acceso a la información pública se satisface en aquellos casos en que se entregue el soporte documental en que conste la información pública, toda </w:t>
      </w:r>
      <w:r w:rsidRPr="000E5506">
        <w:rPr>
          <w:rFonts w:ascii="Palatino Linotype" w:hAnsi="Palatino Linotype" w:cs="Arial"/>
          <w:sz w:val="24"/>
        </w:rPr>
        <w:lastRenderedPageBreak/>
        <w:t>vez que, los Sujetos Obligados</w:t>
      </w:r>
      <w:r w:rsidRPr="000E5506">
        <w:rPr>
          <w:rFonts w:ascii="Palatino Linotype" w:hAnsi="Palatino Linotype" w:cs="Arial"/>
          <w:b/>
          <w:sz w:val="24"/>
        </w:rPr>
        <w:t xml:space="preserve"> </w:t>
      </w:r>
      <w:r w:rsidRPr="000E5506">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0E5506">
        <w:rPr>
          <w:rFonts w:ascii="Palatino Linotype" w:hAnsi="Palatino Linotype" w:cs="Arial"/>
          <w:i/>
          <w:sz w:val="24"/>
        </w:rPr>
        <w:t>ad hoc</w:t>
      </w:r>
      <w:r w:rsidRPr="000E5506">
        <w:rPr>
          <w:rFonts w:ascii="Palatino Linotype" w:hAnsi="Palatino Linotype" w:cs="Arial"/>
          <w:sz w:val="24"/>
        </w:rPr>
        <w:t>, para satisfacer el derecho de a</w:t>
      </w:r>
      <w:r w:rsidR="00226A9E" w:rsidRPr="000E5506">
        <w:rPr>
          <w:rFonts w:ascii="Palatino Linotype" w:hAnsi="Palatino Linotype" w:cs="Arial"/>
          <w:sz w:val="24"/>
        </w:rPr>
        <w:t>cceso a la información pública.</w:t>
      </w:r>
    </w:p>
    <w:p w14:paraId="195ACA1D" w14:textId="77777777" w:rsidR="00226A9E" w:rsidRPr="000E5506" w:rsidRDefault="00226A9E" w:rsidP="00F9259D">
      <w:pPr>
        <w:spacing w:after="0" w:line="360" w:lineRule="auto"/>
        <w:jc w:val="both"/>
        <w:rPr>
          <w:rFonts w:ascii="Palatino Linotype" w:hAnsi="Palatino Linotype" w:cs="Arial"/>
          <w:sz w:val="24"/>
        </w:rPr>
      </w:pPr>
    </w:p>
    <w:p w14:paraId="6F2A28FF" w14:textId="77777777" w:rsidR="00F9259D" w:rsidRPr="000E5506" w:rsidRDefault="00F9259D" w:rsidP="00F9259D">
      <w:pPr>
        <w:spacing w:after="0" w:line="360" w:lineRule="auto"/>
        <w:jc w:val="both"/>
        <w:rPr>
          <w:rFonts w:ascii="Palatino Linotype" w:hAnsi="Palatino Linotype"/>
          <w:b/>
          <w:bCs/>
          <w:sz w:val="24"/>
        </w:rPr>
      </w:pPr>
      <w:r w:rsidRPr="000E5506">
        <w:rPr>
          <w:rFonts w:ascii="Palatino Linotype" w:hAnsi="Palatino Linotype" w:cs="Arial"/>
          <w:sz w:val="24"/>
        </w:rPr>
        <w:t xml:space="preserve">Como apoyo a lo anterior, es aplicable el Criterio 03-17, emitido por </w:t>
      </w:r>
      <w:r w:rsidRPr="000E5506">
        <w:rPr>
          <w:rFonts w:ascii="Palatino Linotype" w:eastAsia="Arial Unicode MS" w:hAnsi="Palatino Linotype" w:cs="Arial"/>
          <w:sz w:val="24"/>
        </w:rPr>
        <w:t>el Instituto Nacional de Transparencia, Acceso a la Información y Protección de Datos Personales,</w:t>
      </w:r>
      <w:r w:rsidRPr="000E5506">
        <w:rPr>
          <w:rFonts w:ascii="Palatino Linotype" w:hAnsi="Palatino Linotype"/>
          <w:bCs/>
          <w:sz w:val="24"/>
        </w:rPr>
        <w:t xml:space="preserve"> que dice:</w:t>
      </w:r>
      <w:r w:rsidRPr="000E5506">
        <w:rPr>
          <w:rFonts w:ascii="Palatino Linotype" w:hAnsi="Palatino Linotype"/>
          <w:b/>
          <w:bCs/>
          <w:sz w:val="24"/>
        </w:rPr>
        <w:t xml:space="preserve"> </w:t>
      </w:r>
    </w:p>
    <w:p w14:paraId="3F73AB95" w14:textId="77777777" w:rsidR="00F9259D" w:rsidRPr="000E5506"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0E5506" w:rsidRDefault="00F9259D" w:rsidP="00F9259D">
      <w:pPr>
        <w:spacing w:after="0"/>
        <w:ind w:left="851" w:right="850"/>
        <w:jc w:val="both"/>
        <w:rPr>
          <w:rFonts w:ascii="Palatino Linotype" w:hAnsi="Palatino Linotype" w:cs="Arial"/>
          <w:sz w:val="2"/>
        </w:rPr>
      </w:pPr>
    </w:p>
    <w:p w14:paraId="7C589085"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t>“</w:t>
      </w:r>
      <w:r w:rsidRPr="000E5506">
        <w:rPr>
          <w:rFonts w:ascii="Palatino Linotype" w:hAnsi="Palatino Linotype" w:cs="Arial"/>
          <w:b/>
          <w:i/>
        </w:rPr>
        <w:t>No existe obligación de elaborar documentos ad hoc para atender las solicitudes de acceso a la información.</w:t>
      </w:r>
      <w:r w:rsidRPr="000E5506">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0E5506"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0E5506" w:rsidRDefault="00F9259D" w:rsidP="00F9259D">
      <w:pPr>
        <w:spacing w:after="0" w:line="240" w:lineRule="auto"/>
        <w:ind w:left="567" w:right="567"/>
        <w:jc w:val="both"/>
        <w:rPr>
          <w:rFonts w:ascii="Palatino Linotype" w:hAnsi="Palatino Linotype" w:cs="Arial"/>
          <w:i/>
        </w:rPr>
      </w:pPr>
    </w:p>
    <w:p w14:paraId="4766E9C7"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t xml:space="preserve">Resoluciones: </w:t>
      </w:r>
    </w:p>
    <w:p w14:paraId="5223431F"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sym w:font="Symbol" w:char="F0B7"/>
      </w:r>
      <w:r w:rsidRPr="000E5506">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sym w:font="Symbol" w:char="F0B7"/>
      </w:r>
      <w:r w:rsidRPr="000E5506">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sym w:font="Symbol" w:char="F0B7"/>
      </w:r>
      <w:r w:rsidRPr="000E5506">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0E5506" w:rsidRDefault="00F9259D" w:rsidP="00F9259D">
      <w:pPr>
        <w:spacing w:after="0"/>
        <w:jc w:val="both"/>
        <w:rPr>
          <w:rFonts w:ascii="Palatino Linotype" w:hAnsi="Palatino Linotype" w:cs="Arial"/>
          <w:sz w:val="16"/>
        </w:rPr>
      </w:pPr>
    </w:p>
    <w:p w14:paraId="7290E773" w14:textId="77777777" w:rsidR="00F9259D" w:rsidRPr="000E5506"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0E5506" w:rsidRDefault="00F9259D" w:rsidP="00F9259D">
      <w:pPr>
        <w:spacing w:after="0" w:line="360" w:lineRule="auto"/>
        <w:jc w:val="both"/>
        <w:rPr>
          <w:rFonts w:ascii="Palatino Linotype" w:hAnsi="Palatino Linotype" w:cs="Arial"/>
          <w:sz w:val="24"/>
        </w:rPr>
      </w:pPr>
      <w:r w:rsidRPr="000E5506">
        <w:rPr>
          <w:rFonts w:ascii="Palatino Linotype" w:hAnsi="Palatino Linotype" w:cs="Arial"/>
          <w:sz w:val="24"/>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w:t>
      </w:r>
      <w:r w:rsidRPr="000E5506">
        <w:rPr>
          <w:rFonts w:ascii="Palatino Linotype" w:hAnsi="Palatino Linotype" w:cs="Arial"/>
          <w:sz w:val="24"/>
        </w:rPr>
        <w:lastRenderedPageBreak/>
        <w:t>disposición de cualquier persona, lo que implica que es deber de los Sujetos Obligados, garantizar el derecho de acceso a la información pública.</w:t>
      </w:r>
    </w:p>
    <w:p w14:paraId="0553B6EC" w14:textId="77777777" w:rsidR="002F2038" w:rsidRPr="000E5506" w:rsidRDefault="002F2038" w:rsidP="00F9259D">
      <w:pPr>
        <w:spacing w:after="0" w:line="360" w:lineRule="auto"/>
        <w:jc w:val="both"/>
        <w:rPr>
          <w:rFonts w:ascii="Palatino Linotype" w:hAnsi="Palatino Linotype" w:cs="Arial"/>
          <w:sz w:val="24"/>
        </w:rPr>
      </w:pPr>
    </w:p>
    <w:p w14:paraId="2B6EE272" w14:textId="77777777" w:rsidR="00F9259D" w:rsidRPr="000E5506" w:rsidRDefault="00F9259D" w:rsidP="00F9259D">
      <w:pPr>
        <w:spacing w:after="0" w:line="360" w:lineRule="auto"/>
        <w:jc w:val="both"/>
        <w:rPr>
          <w:rFonts w:ascii="Palatino Linotype" w:hAnsi="Palatino Linotype" w:cs="Arial"/>
          <w:sz w:val="24"/>
        </w:rPr>
      </w:pPr>
      <w:r w:rsidRPr="000E5506">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B789A3B" w14:textId="77777777" w:rsidR="00D20F19" w:rsidRPr="000E5506" w:rsidRDefault="00D20F19" w:rsidP="00D20F19">
      <w:pPr>
        <w:pStyle w:val="Sinespaciado"/>
      </w:pPr>
    </w:p>
    <w:p w14:paraId="7B3D1593" w14:textId="77777777" w:rsidR="00F9259D" w:rsidRPr="000E5506" w:rsidRDefault="00F9259D" w:rsidP="00F9259D">
      <w:pPr>
        <w:spacing w:after="0"/>
        <w:ind w:left="851" w:right="902"/>
        <w:jc w:val="both"/>
        <w:rPr>
          <w:rFonts w:ascii="Palatino Linotype" w:hAnsi="Palatino Linotype" w:cs="Arial"/>
          <w:i/>
          <w:sz w:val="2"/>
        </w:rPr>
      </w:pPr>
    </w:p>
    <w:p w14:paraId="7171AB00"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t>“</w:t>
      </w:r>
      <w:r w:rsidRPr="000E5506">
        <w:rPr>
          <w:rFonts w:ascii="Palatino Linotype" w:hAnsi="Palatino Linotype" w:cs="Arial"/>
          <w:b/>
          <w:i/>
        </w:rPr>
        <w:t xml:space="preserve">Artículo 3. </w:t>
      </w:r>
      <w:r w:rsidRPr="000E5506">
        <w:rPr>
          <w:rFonts w:ascii="Palatino Linotype" w:hAnsi="Palatino Linotype" w:cs="Arial"/>
          <w:i/>
        </w:rPr>
        <w:t>Para los efectos de la presente Ley se entenderá por:</w:t>
      </w:r>
    </w:p>
    <w:p w14:paraId="30BA0FEB"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t>(…)</w:t>
      </w:r>
    </w:p>
    <w:p w14:paraId="6D017A04"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b/>
          <w:i/>
        </w:rPr>
        <w:t>XI. Documento:</w:t>
      </w:r>
      <w:r w:rsidRPr="000E5506">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E5506">
        <w:rPr>
          <w:rFonts w:ascii="Palatino Linotype" w:hAnsi="Palatino Linotype" w:cs="Arial"/>
          <w:b/>
          <w:i/>
          <w:u w:val="single"/>
        </w:rPr>
        <w:t>Los documentos podrán estar en cualquier medio, sea escrito, impreso, sonoro, visual, electrónico, informático u holográfico</w:t>
      </w:r>
      <w:r w:rsidRPr="000E5506">
        <w:rPr>
          <w:rFonts w:ascii="Palatino Linotype" w:hAnsi="Palatino Linotype" w:cs="Arial"/>
          <w:i/>
        </w:rPr>
        <w:t>;</w:t>
      </w:r>
    </w:p>
    <w:p w14:paraId="6CB2EEE0" w14:textId="77777777" w:rsidR="00F9259D" w:rsidRPr="000E5506" w:rsidRDefault="00F9259D" w:rsidP="00F9259D">
      <w:pPr>
        <w:spacing w:after="0" w:line="240" w:lineRule="auto"/>
        <w:ind w:left="567" w:right="567"/>
        <w:jc w:val="both"/>
        <w:rPr>
          <w:rFonts w:ascii="Palatino Linotype" w:hAnsi="Palatino Linotype" w:cs="Arial"/>
          <w:i/>
        </w:rPr>
      </w:pPr>
      <w:r w:rsidRPr="000E5506">
        <w:rPr>
          <w:rFonts w:ascii="Palatino Linotype" w:hAnsi="Palatino Linotype" w:cs="Arial"/>
          <w:i/>
        </w:rPr>
        <w:t>(…)”</w:t>
      </w:r>
    </w:p>
    <w:p w14:paraId="2782F84B" w14:textId="77777777" w:rsidR="00F9259D" w:rsidRPr="000E5506" w:rsidRDefault="00F9259D" w:rsidP="00F9259D">
      <w:pPr>
        <w:spacing w:after="0"/>
        <w:ind w:left="851" w:right="902"/>
        <w:jc w:val="both"/>
        <w:rPr>
          <w:rFonts w:ascii="Palatino Linotype" w:hAnsi="Palatino Linotype" w:cs="Arial"/>
          <w:sz w:val="10"/>
        </w:rPr>
      </w:pPr>
    </w:p>
    <w:p w14:paraId="667C24E5" w14:textId="77777777" w:rsidR="00F9259D" w:rsidRPr="000E5506" w:rsidRDefault="00F9259D" w:rsidP="000359A9">
      <w:pPr>
        <w:pStyle w:val="Sinespaciado"/>
      </w:pPr>
    </w:p>
    <w:p w14:paraId="7DCF8266" w14:textId="285746B6" w:rsidR="00F9259D" w:rsidRPr="000E5506" w:rsidRDefault="00F9259D" w:rsidP="00DA6E62">
      <w:pPr>
        <w:autoSpaceDE w:val="0"/>
        <w:autoSpaceDN w:val="0"/>
        <w:adjustRightInd w:val="0"/>
        <w:spacing w:after="0" w:line="360" w:lineRule="auto"/>
        <w:jc w:val="both"/>
        <w:rPr>
          <w:rFonts w:ascii="Palatino Linotype" w:hAnsi="Palatino Linotype" w:cs="Arial"/>
          <w:sz w:val="24"/>
        </w:rPr>
      </w:pPr>
      <w:r w:rsidRPr="000E5506">
        <w:rPr>
          <w:rFonts w:ascii="Palatino Linotype" w:hAnsi="Palatino Linotype" w:cs="Arial"/>
          <w:sz w:val="24"/>
        </w:rPr>
        <w:t xml:space="preserve">Siendo aplicable el Criterio </w:t>
      </w:r>
      <w:r w:rsidRPr="000E5506">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E5506">
        <w:rPr>
          <w:rFonts w:ascii="Palatino Linotype" w:hAnsi="Palatino Linotype" w:cs="Arial"/>
          <w:sz w:val="24"/>
        </w:rPr>
        <w:t>cuyo rubro y texto dispone:</w:t>
      </w:r>
    </w:p>
    <w:p w14:paraId="71FABB73" w14:textId="77777777" w:rsidR="00F9259D" w:rsidRPr="000E5506" w:rsidRDefault="00F9259D" w:rsidP="00F9259D">
      <w:pPr>
        <w:spacing w:after="0"/>
        <w:ind w:left="567" w:right="567"/>
        <w:jc w:val="both"/>
        <w:rPr>
          <w:rFonts w:ascii="Palatino Linotype" w:hAnsi="Palatino Linotype" w:cs="Arial"/>
          <w:sz w:val="2"/>
        </w:rPr>
      </w:pPr>
    </w:p>
    <w:p w14:paraId="3AF62F7A" w14:textId="77777777" w:rsidR="00F9259D" w:rsidRPr="000E5506" w:rsidRDefault="00F9259D" w:rsidP="00F9259D">
      <w:pPr>
        <w:spacing w:after="0" w:line="240" w:lineRule="auto"/>
        <w:ind w:left="567" w:right="567"/>
        <w:jc w:val="both"/>
        <w:rPr>
          <w:rFonts w:ascii="Palatino Linotype" w:hAnsi="Palatino Linotype" w:cs="Arial"/>
          <w:b/>
          <w:i/>
          <w:lang w:eastAsia="es-MX"/>
        </w:rPr>
      </w:pPr>
      <w:r w:rsidRPr="000E5506">
        <w:rPr>
          <w:rFonts w:ascii="Palatino Linotype" w:hAnsi="Palatino Linotype" w:cs="Arial"/>
          <w:b/>
          <w:lang w:eastAsia="es-MX"/>
        </w:rPr>
        <w:t>“</w:t>
      </w:r>
      <w:r w:rsidRPr="000E5506">
        <w:rPr>
          <w:rFonts w:ascii="Palatino Linotype" w:hAnsi="Palatino Linotype" w:cs="Arial"/>
          <w:b/>
          <w:i/>
          <w:lang w:eastAsia="es-MX"/>
        </w:rPr>
        <w:t>CRITERIO 0002-11</w:t>
      </w:r>
    </w:p>
    <w:p w14:paraId="1188292D" w14:textId="77777777" w:rsidR="00F9259D" w:rsidRPr="000E5506" w:rsidRDefault="00F9259D" w:rsidP="00F9259D">
      <w:pPr>
        <w:spacing w:after="0" w:line="240" w:lineRule="auto"/>
        <w:ind w:left="567" w:right="567"/>
        <w:jc w:val="both"/>
        <w:rPr>
          <w:rFonts w:ascii="Palatino Linotype" w:hAnsi="Palatino Linotype" w:cs="Arial"/>
          <w:i/>
          <w:lang w:eastAsia="es-MX"/>
        </w:rPr>
      </w:pPr>
      <w:r w:rsidRPr="000E5506">
        <w:rPr>
          <w:rFonts w:ascii="Palatino Linotype" w:hAnsi="Palatino Linotype" w:cs="Arial"/>
          <w:b/>
          <w:i/>
          <w:lang w:eastAsia="es-MX"/>
        </w:rPr>
        <w:t xml:space="preserve">INFORMACIÓN PÚBLICA, CONCEPTO DE, EN MATERIA DE TRANSPARENCIA. INTERPRETACIÓN SISTEMÁTICA DE LOS ARTÍCULOS 2°, FRACCIÓN </w:t>
      </w:r>
      <w:r w:rsidRPr="000E5506">
        <w:rPr>
          <w:rFonts w:ascii="Palatino Linotype" w:hAnsi="Palatino Linotype" w:cs="Arial"/>
          <w:b/>
          <w:bCs/>
          <w:i/>
          <w:lang w:eastAsia="es-MX"/>
        </w:rPr>
        <w:t xml:space="preserve">V, XV, Y XVI, </w:t>
      </w:r>
      <w:r w:rsidRPr="000E5506">
        <w:rPr>
          <w:rFonts w:ascii="Palatino Linotype" w:hAnsi="Palatino Linotype" w:cs="Arial"/>
          <w:b/>
          <w:i/>
          <w:lang w:eastAsia="es-MX"/>
        </w:rPr>
        <w:t>3°, 4°, 11 Y 41.</w:t>
      </w:r>
      <w:r w:rsidRPr="000E550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0E5506" w:rsidRDefault="00F9259D" w:rsidP="00F9259D">
      <w:pPr>
        <w:spacing w:after="0" w:line="240" w:lineRule="auto"/>
        <w:ind w:left="567" w:right="567"/>
        <w:jc w:val="both"/>
        <w:rPr>
          <w:rFonts w:ascii="Palatino Linotype" w:hAnsi="Palatino Linotype" w:cs="Arial"/>
          <w:i/>
          <w:lang w:eastAsia="es-MX"/>
        </w:rPr>
      </w:pPr>
      <w:r w:rsidRPr="000E5506">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0E5506"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0E5506" w:rsidRDefault="00F9259D" w:rsidP="00F9259D">
      <w:pPr>
        <w:spacing w:after="0" w:line="240" w:lineRule="auto"/>
        <w:ind w:left="567" w:right="567"/>
        <w:jc w:val="both"/>
        <w:rPr>
          <w:rFonts w:ascii="Palatino Linotype" w:hAnsi="Palatino Linotype" w:cs="Arial"/>
          <w:b/>
          <w:i/>
          <w:lang w:eastAsia="es-MX"/>
        </w:rPr>
      </w:pPr>
      <w:r w:rsidRPr="000E5506">
        <w:rPr>
          <w:rFonts w:ascii="Palatino Linotype" w:hAnsi="Palatino Linotype" w:cs="Arial"/>
          <w:b/>
          <w:i/>
          <w:lang w:eastAsia="es-MX"/>
        </w:rPr>
        <w:t xml:space="preserve">1) </w:t>
      </w:r>
      <w:r w:rsidRPr="000E5506">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0E5506" w:rsidRDefault="00F9259D" w:rsidP="00F9259D">
      <w:pPr>
        <w:spacing w:after="0" w:line="240" w:lineRule="auto"/>
        <w:ind w:left="567" w:right="567"/>
        <w:jc w:val="both"/>
        <w:rPr>
          <w:rFonts w:ascii="Palatino Linotype" w:hAnsi="Palatino Linotype" w:cs="Arial"/>
          <w:i/>
          <w:lang w:eastAsia="es-MX"/>
        </w:rPr>
      </w:pPr>
      <w:r w:rsidRPr="000E550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0E5506" w:rsidRDefault="00F9259D" w:rsidP="00F9259D">
      <w:pPr>
        <w:spacing w:after="0" w:line="240" w:lineRule="auto"/>
        <w:ind w:left="567" w:right="567"/>
        <w:jc w:val="both"/>
        <w:rPr>
          <w:rFonts w:ascii="Palatino Linotype" w:hAnsi="Palatino Linotype" w:cs="Arial"/>
          <w:i/>
          <w:lang w:eastAsia="es-MX"/>
        </w:rPr>
      </w:pPr>
      <w:r w:rsidRPr="000E550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3C08BC4" w14:textId="77777777" w:rsidR="00D20F19" w:rsidRPr="000E5506" w:rsidRDefault="00D20F19" w:rsidP="004B69B1">
      <w:pPr>
        <w:spacing w:after="0" w:line="360" w:lineRule="auto"/>
        <w:jc w:val="both"/>
        <w:rPr>
          <w:rFonts w:ascii="Palatino Linotype" w:hAnsi="Palatino Linotype" w:cs="Arial"/>
          <w:sz w:val="24"/>
        </w:rPr>
      </w:pPr>
    </w:p>
    <w:p w14:paraId="40AAC387" w14:textId="592AA31E" w:rsidR="004B69B1" w:rsidRPr="000E5506" w:rsidRDefault="00F9259D" w:rsidP="004B69B1">
      <w:pPr>
        <w:spacing w:after="0" w:line="360" w:lineRule="auto"/>
        <w:jc w:val="both"/>
        <w:rPr>
          <w:rFonts w:ascii="Palatino Linotype" w:hAnsi="Palatino Linotype" w:cs="Arial"/>
          <w:sz w:val="24"/>
        </w:rPr>
      </w:pPr>
      <w:r w:rsidRPr="000E5506">
        <w:rPr>
          <w:rFonts w:ascii="Palatino Linotype" w:hAnsi="Palatino Linotype" w:cs="Arial"/>
          <w:sz w:val="24"/>
        </w:rPr>
        <w:t xml:space="preserve">Expuesto lo anterior, se procede al análisis de la totalidad de las constancias que integran el expediente electrónico del </w:t>
      </w:r>
      <w:r w:rsidRPr="000E5506">
        <w:rPr>
          <w:rFonts w:ascii="Palatino Linotype" w:hAnsi="Palatino Linotype" w:cs="Arial"/>
          <w:b/>
          <w:sz w:val="24"/>
        </w:rPr>
        <w:t>SAIMEX</w:t>
      </w:r>
      <w:r w:rsidRPr="000E5506">
        <w:rPr>
          <w:rFonts w:ascii="Palatino Linotype" w:hAnsi="Palatino Linotype" w:cs="Arial"/>
          <w:sz w:val="24"/>
        </w:rPr>
        <w:t>, a efecto de determinar si con la información remitida por</w:t>
      </w:r>
      <w:r w:rsidR="00D57A77" w:rsidRPr="000E5506">
        <w:rPr>
          <w:rFonts w:ascii="Palatino Linotype" w:hAnsi="Palatino Linotype" w:cs="Arial"/>
          <w:sz w:val="24"/>
        </w:rPr>
        <w:t xml:space="preserve"> el </w:t>
      </w:r>
      <w:r w:rsidRPr="000E5506">
        <w:rPr>
          <w:rFonts w:ascii="Palatino Linotype" w:hAnsi="Palatino Linotype" w:cs="Arial"/>
          <w:b/>
          <w:sz w:val="24"/>
        </w:rPr>
        <w:t>Sujeto Obligado</w:t>
      </w:r>
      <w:r w:rsidRPr="000E5506">
        <w:rPr>
          <w:rFonts w:ascii="Palatino Linotype" w:hAnsi="Palatino Linotype" w:cs="Arial"/>
          <w:sz w:val="24"/>
        </w:rPr>
        <w:t>, a través de su respuesta</w:t>
      </w:r>
      <w:r w:rsidR="00A945C2" w:rsidRPr="000E5506">
        <w:rPr>
          <w:rFonts w:ascii="Palatino Linotype" w:hAnsi="Palatino Linotype" w:cs="Arial"/>
          <w:sz w:val="24"/>
        </w:rPr>
        <w:t xml:space="preserve"> e informe justificado</w:t>
      </w:r>
      <w:r w:rsidRPr="000E5506">
        <w:rPr>
          <w:rFonts w:ascii="Palatino Linotype" w:hAnsi="Palatino Linotype" w:cs="Arial"/>
          <w:sz w:val="24"/>
        </w:rPr>
        <w:t>, colma lo requerido en dicha</w:t>
      </w:r>
      <w:r w:rsidR="00033EA7" w:rsidRPr="000E5506">
        <w:rPr>
          <w:rFonts w:ascii="Palatino Linotype" w:hAnsi="Palatino Linotype" w:cs="Arial"/>
          <w:sz w:val="24"/>
        </w:rPr>
        <w:t>s</w:t>
      </w:r>
      <w:r w:rsidRPr="000E5506">
        <w:rPr>
          <w:rFonts w:ascii="Palatino Linotype" w:hAnsi="Palatino Linotype" w:cs="Arial"/>
          <w:sz w:val="24"/>
        </w:rPr>
        <w:t xml:space="preserve"> solicitud</w:t>
      </w:r>
      <w:r w:rsidR="00033EA7" w:rsidRPr="000E5506">
        <w:rPr>
          <w:rFonts w:ascii="Palatino Linotype" w:hAnsi="Palatino Linotype" w:cs="Arial"/>
          <w:sz w:val="24"/>
        </w:rPr>
        <w:t>es</w:t>
      </w:r>
      <w:r w:rsidRPr="000E5506">
        <w:rPr>
          <w:rFonts w:ascii="Palatino Linotype" w:hAnsi="Palatino Linotype" w:cs="Arial"/>
          <w:sz w:val="24"/>
        </w:rPr>
        <w:t xml:space="preserve">; </w:t>
      </w:r>
      <w:r w:rsidR="00763BAF" w:rsidRPr="000E5506">
        <w:rPr>
          <w:rFonts w:ascii="Palatino Linotype" w:hAnsi="Palatino Linotype" w:cs="Arial"/>
          <w:sz w:val="24"/>
        </w:rPr>
        <w:t>por lo que retomaremos la información solicitada por el particular que versa en lo siguiente:</w:t>
      </w:r>
    </w:p>
    <w:p w14:paraId="4FB768DD" w14:textId="77777777" w:rsidR="00FC254E" w:rsidRPr="000E5506" w:rsidRDefault="00FC254E" w:rsidP="004B69B1">
      <w:pPr>
        <w:spacing w:after="0" w:line="360" w:lineRule="auto"/>
        <w:jc w:val="both"/>
        <w:rPr>
          <w:rFonts w:ascii="Palatino Linotype" w:hAnsi="Palatino Linotype" w:cs="Arial"/>
          <w:sz w:val="24"/>
        </w:rPr>
      </w:pPr>
    </w:p>
    <w:p w14:paraId="675CB751" w14:textId="1280D988" w:rsidR="00DA6E62" w:rsidRPr="000E5506" w:rsidRDefault="00FC254E" w:rsidP="00DA6E62">
      <w:pPr>
        <w:spacing w:after="0" w:line="360" w:lineRule="auto"/>
        <w:jc w:val="both"/>
        <w:rPr>
          <w:rFonts w:ascii="Palatino Linotype" w:hAnsi="Palatino Linotype"/>
          <w:sz w:val="24"/>
          <w:szCs w:val="24"/>
        </w:rPr>
      </w:pPr>
      <w:r w:rsidRPr="000E5506">
        <w:rPr>
          <w:rFonts w:ascii="Palatino Linotype" w:hAnsi="Palatino Linotype"/>
          <w:sz w:val="24"/>
          <w:szCs w:val="24"/>
        </w:rPr>
        <w:t xml:space="preserve">Primeramente, es necesario indicar que </w:t>
      </w:r>
      <w:r w:rsidR="00C33B82" w:rsidRPr="000E5506">
        <w:rPr>
          <w:rFonts w:ascii="Palatino Linotype" w:hAnsi="Palatino Linotype"/>
          <w:sz w:val="24"/>
          <w:szCs w:val="24"/>
        </w:rPr>
        <w:t>el particular pretende tener acceso a la información que dé cuenta</w:t>
      </w:r>
      <w:r w:rsidR="00D57A77" w:rsidRPr="000E5506">
        <w:rPr>
          <w:rFonts w:ascii="Palatino Linotype" w:hAnsi="Palatino Linotype"/>
          <w:sz w:val="24"/>
          <w:szCs w:val="24"/>
        </w:rPr>
        <w:t xml:space="preserve"> </w:t>
      </w:r>
      <w:r w:rsidR="00DA6E62" w:rsidRPr="000E5506">
        <w:rPr>
          <w:rFonts w:ascii="Palatino Linotype" w:hAnsi="Palatino Linotype"/>
          <w:b/>
          <w:bCs/>
          <w:sz w:val="24"/>
          <w:szCs w:val="24"/>
        </w:rPr>
        <w:t>de la empresa encargada de la demolición y reconstrucción de los cabezales de los apoyos 2, 3 y 4; así como, de la colocación de las trabes de los claros 1-2 y 4-5 y los claros 2-3 y 3-4, durante los meses de febrero y marzo 2025, de acuerdo a lo indicado en el oficio DOP/0821/2025 de fecha 11 de junio de 2025, del paso inferior vehicular Tepotzotlán ubicado en la carretera México-Querétaro en el kilómetro 44, aproximadamente, requiere la siguiente información:</w:t>
      </w:r>
    </w:p>
    <w:p w14:paraId="62DA058D" w14:textId="77777777" w:rsidR="00DA6E62" w:rsidRPr="000E5506" w:rsidRDefault="00DA6E62" w:rsidP="00DA6E62">
      <w:pPr>
        <w:pStyle w:val="Prrafodelista"/>
        <w:numPr>
          <w:ilvl w:val="0"/>
          <w:numId w:val="37"/>
        </w:numPr>
        <w:spacing w:line="360" w:lineRule="auto"/>
        <w:jc w:val="both"/>
        <w:rPr>
          <w:rFonts w:ascii="Palatino Linotype" w:hAnsi="Palatino Linotype"/>
        </w:rPr>
      </w:pPr>
      <w:r w:rsidRPr="000E5506">
        <w:rPr>
          <w:rFonts w:ascii="Palatino Linotype" w:hAnsi="Palatino Linotype"/>
        </w:rPr>
        <w:lastRenderedPageBreak/>
        <w:t>Nombre de la empresa.</w:t>
      </w:r>
    </w:p>
    <w:p w14:paraId="5F8196E9" w14:textId="77777777" w:rsidR="00DA6E62" w:rsidRPr="000E5506" w:rsidRDefault="00DA6E62" w:rsidP="00DA6E62">
      <w:pPr>
        <w:pStyle w:val="Prrafodelista"/>
        <w:numPr>
          <w:ilvl w:val="0"/>
          <w:numId w:val="37"/>
        </w:numPr>
        <w:spacing w:line="360" w:lineRule="auto"/>
        <w:jc w:val="both"/>
        <w:rPr>
          <w:rFonts w:ascii="Palatino Linotype" w:hAnsi="Palatino Linotype"/>
        </w:rPr>
      </w:pPr>
      <w:r w:rsidRPr="000E5506">
        <w:rPr>
          <w:rFonts w:ascii="Palatino Linotype" w:hAnsi="Palatino Linotype"/>
        </w:rPr>
        <w:t>Contrato.</w:t>
      </w:r>
    </w:p>
    <w:p w14:paraId="0C3591BE" w14:textId="3F349695" w:rsidR="00D12609" w:rsidRPr="000E5506" w:rsidRDefault="00DA6E62" w:rsidP="00DA6E62">
      <w:pPr>
        <w:pStyle w:val="Prrafodelista"/>
        <w:numPr>
          <w:ilvl w:val="0"/>
          <w:numId w:val="37"/>
        </w:numPr>
        <w:spacing w:line="360" w:lineRule="auto"/>
        <w:jc w:val="both"/>
        <w:rPr>
          <w:rFonts w:ascii="Palatino Linotype" w:hAnsi="Palatino Linotype"/>
        </w:rPr>
      </w:pPr>
      <w:r w:rsidRPr="000E5506">
        <w:rPr>
          <w:rFonts w:ascii="Palatino Linotype" w:hAnsi="Palatino Linotype"/>
        </w:rPr>
        <w:t>Póliza de responsabilidad civil vigente durante el periodo de los trabajos.</w:t>
      </w:r>
    </w:p>
    <w:p w14:paraId="3E09403F" w14:textId="77777777" w:rsidR="00AD7303" w:rsidRPr="000E5506" w:rsidRDefault="00AD7303" w:rsidP="00D12609">
      <w:pPr>
        <w:spacing w:after="0" w:line="360" w:lineRule="auto"/>
        <w:ind w:right="49"/>
        <w:jc w:val="both"/>
        <w:rPr>
          <w:rFonts w:ascii="Palatino Linotype" w:hAnsi="Palatino Linotype"/>
          <w:sz w:val="24"/>
          <w:szCs w:val="24"/>
          <w:lang w:eastAsia="es-MX"/>
        </w:rPr>
      </w:pPr>
    </w:p>
    <w:p w14:paraId="7CC53177" w14:textId="651B8B3E" w:rsidR="00D12609" w:rsidRPr="000E5506" w:rsidRDefault="00D12609" w:rsidP="00D12609">
      <w:pPr>
        <w:spacing w:after="0" w:line="360" w:lineRule="auto"/>
        <w:ind w:right="49"/>
        <w:jc w:val="both"/>
        <w:rPr>
          <w:rFonts w:ascii="Palatino Linotype" w:hAnsi="Palatino Linotype"/>
          <w:sz w:val="24"/>
          <w:szCs w:val="24"/>
          <w:lang w:val="es-ES_tradnl"/>
        </w:rPr>
      </w:pPr>
      <w:r w:rsidRPr="000E5506">
        <w:rPr>
          <w:rFonts w:ascii="Palatino Linotype" w:hAnsi="Palatino Linotype"/>
          <w:sz w:val="24"/>
          <w:szCs w:val="24"/>
          <w:lang w:eastAsia="es-MX"/>
        </w:rPr>
        <w:t xml:space="preserve">Por lo que, </w:t>
      </w:r>
      <w:r w:rsidR="00DA6E62" w:rsidRPr="000E5506">
        <w:rPr>
          <w:rFonts w:ascii="Palatino Linotype" w:hAnsi="Palatino Linotype"/>
          <w:sz w:val="24"/>
          <w:szCs w:val="24"/>
          <w:lang w:eastAsia="es-MX"/>
        </w:rPr>
        <w:t>el</w:t>
      </w:r>
      <w:r w:rsidRPr="000E5506">
        <w:rPr>
          <w:rFonts w:ascii="Palatino Linotype" w:hAnsi="Palatino Linotype"/>
          <w:sz w:val="24"/>
          <w:szCs w:val="24"/>
          <w:lang w:eastAsia="es-MX"/>
        </w:rPr>
        <w:t xml:space="preserve"> Servidor Público Habilitado de la</w:t>
      </w:r>
      <w:r w:rsidR="00DA6E62" w:rsidRPr="000E5506">
        <w:rPr>
          <w:rFonts w:ascii="Palatino Linotype" w:hAnsi="Palatino Linotype"/>
          <w:sz w:val="24"/>
          <w:szCs w:val="24"/>
          <w:lang w:eastAsia="es-MX"/>
        </w:rPr>
        <w:t xml:space="preserve"> </w:t>
      </w:r>
      <w:r w:rsidR="00DA6E62" w:rsidRPr="000E5506">
        <w:rPr>
          <w:rFonts w:ascii="Palatino Linotype" w:hAnsi="Palatino Linotype"/>
          <w:b/>
          <w:bCs/>
          <w:sz w:val="24"/>
          <w:szCs w:val="24"/>
          <w:lang w:val="es-ES_tradnl"/>
        </w:rPr>
        <w:t>Dirección de Obras Públicas</w:t>
      </w:r>
      <w:r w:rsidR="00DA6E62" w:rsidRPr="000E5506">
        <w:rPr>
          <w:rFonts w:ascii="Palatino Linotype" w:hAnsi="Palatino Linotype"/>
          <w:sz w:val="24"/>
          <w:szCs w:val="24"/>
          <w:lang w:val="es-ES_tradnl"/>
        </w:rPr>
        <w:t xml:space="preserve"> informó que, después de una búsqueda exhaustiva y minuciosa no encontró información con las referencias proporcionadas, ya que, no cuentan con la especificación en un nombre de obra en concreto.  </w:t>
      </w:r>
    </w:p>
    <w:p w14:paraId="6B7675F5" w14:textId="77777777" w:rsidR="00A96F6D" w:rsidRPr="000E5506" w:rsidRDefault="00A96F6D" w:rsidP="00D12609">
      <w:pPr>
        <w:spacing w:after="0" w:line="360" w:lineRule="auto"/>
        <w:ind w:right="49"/>
        <w:jc w:val="both"/>
        <w:rPr>
          <w:rFonts w:ascii="Palatino Linotype" w:hAnsi="Palatino Linotype"/>
          <w:sz w:val="24"/>
          <w:szCs w:val="24"/>
          <w:lang w:val="es-ES_tradnl"/>
        </w:rPr>
      </w:pPr>
    </w:p>
    <w:p w14:paraId="05E2CD41" w14:textId="5AE6B669" w:rsidR="00DA6E62" w:rsidRPr="000E5506" w:rsidRDefault="00A96F6D" w:rsidP="000F7E6C">
      <w:pPr>
        <w:spacing w:after="0" w:line="360" w:lineRule="auto"/>
        <w:ind w:right="141"/>
        <w:jc w:val="both"/>
        <w:rPr>
          <w:rFonts w:ascii="Palatino Linotype" w:hAnsi="Palatino Linotype" w:cs="Arial"/>
          <w:iCs/>
          <w:sz w:val="24"/>
          <w:szCs w:val="24"/>
        </w:rPr>
      </w:pPr>
      <w:r w:rsidRPr="000E5506">
        <w:rPr>
          <w:rFonts w:ascii="Palatino Linotype" w:hAnsi="Palatino Linotype" w:cs="Arial"/>
          <w:iCs/>
          <w:sz w:val="24"/>
          <w:szCs w:val="24"/>
        </w:rPr>
        <w:t xml:space="preserve">Por lo que, respecto a la naturaleza de la información solicitada, </w:t>
      </w:r>
      <w:r w:rsidR="00DA6E62" w:rsidRPr="000E5506">
        <w:rPr>
          <w:rFonts w:ascii="Palatino Linotype" w:eastAsia="Palatino Linotype" w:hAnsi="Palatino Linotype" w:cs="Palatino Linotype"/>
          <w:color w:val="000000"/>
          <w:sz w:val="24"/>
          <w:szCs w:val="24"/>
          <w:lang w:eastAsia="es-MX"/>
        </w:rPr>
        <w:t xml:space="preserve">es oportuno hacer alusión al Libro Décimo Segundo. De la obra pública, del Código Administrativo del Estado de México, el cual, de conformidad con el artículo 12.1, regular los actos relativos a la planeación, programación, presupuestación, adjudicación, contratación, ejecución y control de la obra pública, así como los servicios relacionados con la misma que, por sí o por conducto de terceros, realicen las secretarías y unidades administrativas del Poder Ejecutivo del Estado; la Fiscalía General de Justicia; </w:t>
      </w:r>
      <w:r w:rsidR="00DA6E62" w:rsidRPr="000E5506">
        <w:rPr>
          <w:rFonts w:ascii="Palatino Linotype" w:eastAsia="Palatino Linotype" w:hAnsi="Palatino Linotype" w:cs="Palatino Linotype"/>
          <w:b/>
          <w:color w:val="000000"/>
          <w:sz w:val="24"/>
          <w:szCs w:val="24"/>
          <w:u w:val="single"/>
          <w:lang w:eastAsia="es-MX"/>
        </w:rPr>
        <w:t>los ayuntamientos de los municipios del Estado</w:t>
      </w:r>
      <w:r w:rsidR="00DA6E62" w:rsidRPr="000E5506">
        <w:rPr>
          <w:rFonts w:ascii="Palatino Linotype" w:eastAsia="Palatino Linotype" w:hAnsi="Palatino Linotype" w:cs="Palatino Linotype"/>
          <w:color w:val="000000"/>
          <w:sz w:val="24"/>
          <w:szCs w:val="24"/>
          <w:lang w:eastAsia="es-MX"/>
        </w:rPr>
        <w:t>; los organismos auxiliares y fideicomisos públicos del Estado y municipios; y los tribunales administrativos.</w:t>
      </w:r>
    </w:p>
    <w:p w14:paraId="4428CA89" w14:textId="77777777" w:rsidR="000F7E6C" w:rsidRPr="000E5506" w:rsidRDefault="000F7E6C" w:rsidP="000F7E6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8E8DE19" w14:textId="5AC7F5AD" w:rsidR="00DA6E62" w:rsidRPr="000E5506" w:rsidRDefault="00DA6E62" w:rsidP="000F7E6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 xml:space="preserve">En este tenor, de conformidad con el artículo 12.4 del Libro Décimo Segundo del referido Código, </w:t>
      </w:r>
      <w:r w:rsidRPr="000E5506">
        <w:rPr>
          <w:rFonts w:ascii="Palatino Linotype" w:eastAsia="Palatino Linotype" w:hAnsi="Palatino Linotype" w:cs="Palatino Linotype"/>
          <w:b/>
          <w:color w:val="000000"/>
          <w:sz w:val="24"/>
          <w:szCs w:val="24"/>
          <w:lang w:eastAsia="es-MX"/>
        </w:rPr>
        <w:t xml:space="preserve">se considera obra pública todo trabajo que tenga por objeto principal construir, instalar, ampliar, adecuar, remodelar, restaurar, conservar, mantener, modificar o demoler </w:t>
      </w:r>
      <w:r w:rsidRPr="000E5506">
        <w:rPr>
          <w:rFonts w:ascii="Palatino Linotype" w:eastAsia="Palatino Linotype" w:hAnsi="Palatino Linotype" w:cs="Palatino Linotype"/>
          <w:b/>
          <w:color w:val="000000"/>
          <w:sz w:val="24"/>
          <w:szCs w:val="24"/>
          <w:u w:val="single"/>
          <w:lang w:eastAsia="es-MX"/>
        </w:rPr>
        <w:t>bienes inmuebles propiedad</w:t>
      </w:r>
      <w:r w:rsidRPr="000E5506">
        <w:rPr>
          <w:rFonts w:ascii="Palatino Linotype" w:eastAsia="Palatino Linotype" w:hAnsi="Palatino Linotype" w:cs="Palatino Linotype"/>
          <w:b/>
          <w:color w:val="000000"/>
          <w:sz w:val="24"/>
          <w:szCs w:val="24"/>
          <w:lang w:eastAsia="es-MX"/>
        </w:rPr>
        <w:t xml:space="preserve"> </w:t>
      </w:r>
      <w:r w:rsidRPr="000E5506">
        <w:rPr>
          <w:rFonts w:ascii="Palatino Linotype" w:eastAsia="Palatino Linotype" w:hAnsi="Palatino Linotype" w:cs="Palatino Linotype"/>
          <w:color w:val="000000"/>
          <w:sz w:val="24"/>
          <w:szCs w:val="24"/>
          <w:lang w:eastAsia="es-MX"/>
        </w:rPr>
        <w:t xml:space="preserve">del Estado, de sus </w:t>
      </w:r>
      <w:r w:rsidRPr="000E5506">
        <w:rPr>
          <w:rFonts w:ascii="Palatino Linotype" w:eastAsia="Palatino Linotype" w:hAnsi="Palatino Linotype" w:cs="Palatino Linotype"/>
          <w:color w:val="000000"/>
          <w:sz w:val="24"/>
          <w:szCs w:val="24"/>
          <w:lang w:eastAsia="es-MX"/>
        </w:rPr>
        <w:lastRenderedPageBreak/>
        <w:t xml:space="preserve">dependencias y entidades y </w:t>
      </w:r>
      <w:r w:rsidRPr="000E5506">
        <w:rPr>
          <w:rFonts w:ascii="Palatino Linotype" w:eastAsia="Palatino Linotype" w:hAnsi="Palatino Linotype" w:cs="Palatino Linotype"/>
          <w:b/>
          <w:color w:val="000000"/>
          <w:sz w:val="24"/>
          <w:szCs w:val="24"/>
          <w:u w:val="single"/>
          <w:lang w:eastAsia="es-MX"/>
        </w:rPr>
        <w:t>de los municipios</w:t>
      </w:r>
      <w:r w:rsidRPr="000E5506">
        <w:rPr>
          <w:rFonts w:ascii="Palatino Linotype" w:eastAsia="Palatino Linotype" w:hAnsi="Palatino Linotype" w:cs="Palatino Linotype"/>
          <w:color w:val="000000"/>
          <w:sz w:val="24"/>
          <w:szCs w:val="24"/>
          <w:lang w:eastAsia="es-MX"/>
        </w:rPr>
        <w:t xml:space="preserve"> y sus organismos </w:t>
      </w:r>
      <w:r w:rsidRPr="000E5506">
        <w:rPr>
          <w:rFonts w:ascii="Palatino Linotype" w:eastAsia="Palatino Linotype" w:hAnsi="Palatino Linotype" w:cs="Palatino Linotype"/>
          <w:b/>
          <w:color w:val="000000"/>
          <w:sz w:val="24"/>
          <w:szCs w:val="24"/>
          <w:lang w:eastAsia="es-MX"/>
        </w:rPr>
        <w:t xml:space="preserve">con cargo a recursos públicos estatales o municipales, </w:t>
      </w:r>
      <w:r w:rsidRPr="000E5506">
        <w:rPr>
          <w:rFonts w:ascii="Palatino Linotype" w:eastAsia="Palatino Linotype" w:hAnsi="Palatino Linotype" w:cs="Palatino Linotype"/>
          <w:color w:val="000000"/>
          <w:sz w:val="24"/>
          <w:szCs w:val="24"/>
          <w:lang w:eastAsia="es-MX"/>
        </w:rPr>
        <w:t>quedando comprendidos dentro de la obra pública: </w:t>
      </w:r>
    </w:p>
    <w:p w14:paraId="489D5AB8" w14:textId="77777777" w:rsidR="00DA6E62" w:rsidRPr="000E5506" w:rsidRDefault="00DA6E62" w:rsidP="000F7E6C">
      <w:pPr>
        <w:pBdr>
          <w:top w:val="nil"/>
          <w:left w:val="nil"/>
          <w:bottom w:val="nil"/>
          <w:right w:val="nil"/>
          <w:between w:val="nil"/>
        </w:pBdr>
        <w:spacing w:before="240" w:after="0" w:line="360" w:lineRule="auto"/>
        <w:ind w:left="284"/>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b/>
          <w:bCs/>
          <w:color w:val="000000"/>
          <w:sz w:val="24"/>
          <w:szCs w:val="24"/>
          <w:lang w:eastAsia="es-MX"/>
        </w:rPr>
        <w:t>I.</w:t>
      </w:r>
      <w:r w:rsidRPr="000E5506">
        <w:rPr>
          <w:rFonts w:ascii="Palatino Linotype" w:eastAsia="Palatino Linotype" w:hAnsi="Palatino Linotype" w:cs="Palatino Linotype"/>
          <w:color w:val="000000"/>
          <w:sz w:val="24"/>
          <w:szCs w:val="24"/>
          <w:lang w:eastAsia="es-MX"/>
        </w:rPr>
        <w:t xml:space="preserve"> </w:t>
      </w:r>
      <w:r w:rsidRPr="000E5506">
        <w:rPr>
          <w:rFonts w:ascii="Palatino Linotype" w:eastAsia="Palatino Linotype" w:hAnsi="Palatino Linotype" w:cs="Palatino Linotype"/>
          <w:color w:val="000000"/>
          <w:sz w:val="24"/>
          <w:szCs w:val="24"/>
          <w:u w:val="single"/>
          <w:lang w:eastAsia="es-MX"/>
        </w:rPr>
        <w:t>El mantenimiento, restauración, desmantelamiento o remoción de bienes muebles incorporados o adheridos a un inmueble</w:t>
      </w:r>
      <w:r w:rsidRPr="000E5506">
        <w:rPr>
          <w:rFonts w:ascii="Palatino Linotype" w:eastAsia="Palatino Linotype" w:hAnsi="Palatino Linotype" w:cs="Palatino Linotype"/>
          <w:color w:val="000000"/>
          <w:sz w:val="24"/>
          <w:szCs w:val="24"/>
          <w:lang w:eastAsia="es-MX"/>
        </w:rPr>
        <w:t>; </w:t>
      </w:r>
    </w:p>
    <w:p w14:paraId="57AE256D" w14:textId="77777777" w:rsidR="00DA6E62" w:rsidRPr="000E5506" w:rsidRDefault="00DA6E62" w:rsidP="000F7E6C">
      <w:pPr>
        <w:pBdr>
          <w:top w:val="nil"/>
          <w:left w:val="nil"/>
          <w:bottom w:val="nil"/>
          <w:right w:val="nil"/>
          <w:between w:val="nil"/>
        </w:pBdr>
        <w:spacing w:before="240" w:after="0" w:line="360" w:lineRule="auto"/>
        <w:ind w:left="284"/>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b/>
          <w:bCs/>
          <w:color w:val="000000"/>
          <w:sz w:val="24"/>
          <w:szCs w:val="24"/>
          <w:lang w:eastAsia="es-MX"/>
        </w:rPr>
        <w:t>II.</w:t>
      </w:r>
      <w:r w:rsidRPr="000E5506">
        <w:rPr>
          <w:rFonts w:ascii="Palatino Linotype" w:eastAsia="Palatino Linotype" w:hAnsi="Palatino Linotype" w:cs="Palatino Linotype"/>
          <w:color w:val="000000"/>
          <w:sz w:val="24"/>
          <w:szCs w:val="24"/>
          <w:lang w:eastAsia="es-MX"/>
        </w:rPr>
        <w:t xml:space="preserve"> Los proyectos integrales o comúnmente denominados llave en mano, en los cuales el contratista se obliga desde el diseño de la obra hasta su terminación total, incluyéndose, cuando se requiera, la transferencia de tecnología; </w:t>
      </w:r>
    </w:p>
    <w:p w14:paraId="4EDEA59B" w14:textId="77777777" w:rsidR="00DA6E62" w:rsidRPr="000E5506" w:rsidRDefault="00DA6E62" w:rsidP="000F7E6C">
      <w:pPr>
        <w:pBdr>
          <w:top w:val="nil"/>
          <w:left w:val="nil"/>
          <w:bottom w:val="nil"/>
          <w:right w:val="nil"/>
          <w:between w:val="nil"/>
        </w:pBdr>
        <w:spacing w:before="240" w:after="0" w:line="360" w:lineRule="auto"/>
        <w:ind w:left="284"/>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b/>
          <w:bCs/>
          <w:color w:val="000000"/>
          <w:sz w:val="24"/>
          <w:szCs w:val="24"/>
          <w:lang w:eastAsia="es-MX"/>
        </w:rPr>
        <w:t>III.</w:t>
      </w:r>
      <w:r w:rsidRPr="000E5506">
        <w:rPr>
          <w:rFonts w:ascii="Palatino Linotype" w:eastAsia="Palatino Linotype" w:hAnsi="Palatino Linotype" w:cs="Palatino Linotype"/>
          <w:color w:val="000000"/>
          <w:sz w:val="24"/>
          <w:szCs w:val="24"/>
          <w:lang w:eastAsia="es-MX"/>
        </w:rPr>
        <w:t xml:space="preserve"> Los trabajos de exploración, localización y perforación; mejoramiento del suelo y/o subsuelo; desmontes y extracción y aquellos similares que tengan por objeto la explotación y desarrollo de los recursos naturales que se encuentran en el suelo y/o subsuelo; </w:t>
      </w:r>
    </w:p>
    <w:p w14:paraId="4E84116F" w14:textId="77777777" w:rsidR="00DA6E62" w:rsidRPr="000E5506" w:rsidRDefault="00DA6E62" w:rsidP="000F7E6C">
      <w:pPr>
        <w:pBdr>
          <w:top w:val="nil"/>
          <w:left w:val="nil"/>
          <w:bottom w:val="nil"/>
          <w:right w:val="nil"/>
          <w:between w:val="nil"/>
        </w:pBdr>
        <w:spacing w:before="240" w:after="0" w:line="360" w:lineRule="auto"/>
        <w:ind w:left="284"/>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b/>
          <w:bCs/>
          <w:color w:val="000000"/>
          <w:sz w:val="24"/>
          <w:szCs w:val="24"/>
          <w:lang w:eastAsia="es-MX"/>
        </w:rPr>
        <w:t>IV.</w:t>
      </w:r>
      <w:r w:rsidRPr="000E5506">
        <w:rPr>
          <w:rFonts w:ascii="Palatino Linotype" w:eastAsia="Palatino Linotype" w:hAnsi="Palatino Linotype" w:cs="Palatino Linotype"/>
          <w:color w:val="000000"/>
          <w:sz w:val="24"/>
          <w:szCs w:val="24"/>
          <w:lang w:eastAsia="es-MX"/>
        </w:rPr>
        <w:t xml:space="preserve"> Los trabajos de infraestructura agropecuaria e hidroagrícola: </w:t>
      </w:r>
    </w:p>
    <w:p w14:paraId="3B9DBF45" w14:textId="77777777" w:rsidR="00DA6E62" w:rsidRPr="000E5506" w:rsidRDefault="00DA6E62" w:rsidP="000F7E6C">
      <w:pPr>
        <w:pBdr>
          <w:top w:val="nil"/>
          <w:left w:val="nil"/>
          <w:bottom w:val="nil"/>
          <w:right w:val="nil"/>
          <w:between w:val="nil"/>
        </w:pBdr>
        <w:spacing w:before="240" w:after="0" w:line="360" w:lineRule="auto"/>
        <w:ind w:left="284"/>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b/>
          <w:bCs/>
          <w:color w:val="000000"/>
          <w:sz w:val="24"/>
          <w:szCs w:val="24"/>
          <w:lang w:eastAsia="es-MX"/>
        </w:rPr>
        <w:t>V.</w:t>
      </w:r>
      <w:r w:rsidRPr="000E5506">
        <w:rPr>
          <w:rFonts w:ascii="Palatino Linotype" w:eastAsia="Palatino Linotype" w:hAnsi="Palatino Linotype" w:cs="Palatino Linotype"/>
          <w:color w:val="000000"/>
          <w:sz w:val="24"/>
          <w:szCs w:val="24"/>
          <w:lang w:eastAsia="es-MX"/>
        </w:rPr>
        <w:t xml:space="preserve">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2DBF7BC8" w14:textId="77777777" w:rsidR="00DA6E62" w:rsidRPr="000E5506" w:rsidRDefault="00DA6E62" w:rsidP="000F7E6C">
      <w:pPr>
        <w:pBdr>
          <w:top w:val="nil"/>
          <w:left w:val="nil"/>
          <w:bottom w:val="nil"/>
          <w:right w:val="nil"/>
          <w:between w:val="nil"/>
        </w:pBdr>
        <w:spacing w:before="240" w:after="0" w:line="360" w:lineRule="auto"/>
        <w:ind w:left="284"/>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b/>
          <w:bCs/>
          <w:color w:val="000000"/>
          <w:sz w:val="24"/>
          <w:szCs w:val="24"/>
          <w:lang w:eastAsia="es-MX"/>
        </w:rPr>
        <w:t>VI.</w:t>
      </w:r>
      <w:r w:rsidRPr="000E5506">
        <w:rPr>
          <w:rFonts w:ascii="Palatino Linotype" w:eastAsia="Palatino Linotype" w:hAnsi="Palatino Linotype" w:cs="Palatino Linotype"/>
          <w:color w:val="000000"/>
          <w:sz w:val="24"/>
          <w:szCs w:val="24"/>
          <w:lang w:eastAsia="es-MX"/>
        </w:rPr>
        <w:t xml:space="preserve"> Los demás que tengan por objeto principal alguno de los conceptos a que se refiere el párrafo primero de este artículo, excluyéndose expresamente los trabajos regulados por el Libro Décimo Sexto del Código.</w:t>
      </w:r>
    </w:p>
    <w:p w14:paraId="25FC6699" w14:textId="77777777" w:rsidR="00DA6E62" w:rsidRPr="000E5506" w:rsidRDefault="00DA6E62" w:rsidP="000F7E6C">
      <w:pPr>
        <w:pBdr>
          <w:top w:val="nil"/>
          <w:left w:val="nil"/>
          <w:bottom w:val="nil"/>
          <w:right w:val="nil"/>
          <w:between w:val="nil"/>
        </w:pBdr>
        <w:spacing w:before="240" w:after="0" w:line="360" w:lineRule="auto"/>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lastRenderedPageBreak/>
        <w:t xml:space="preserve">Mientras que el artículo 12.5 del Libro Décimo Segundo, señala que </w:t>
      </w:r>
      <w:r w:rsidRPr="000E5506">
        <w:rPr>
          <w:rFonts w:ascii="Palatino Linotype" w:eastAsia="Palatino Linotype" w:hAnsi="Palatino Linotype" w:cs="Palatino Linotype"/>
          <w:b/>
          <w:color w:val="000000"/>
          <w:sz w:val="24"/>
          <w:szCs w:val="24"/>
          <w:lang w:eastAsia="es-MX"/>
        </w:rPr>
        <w:t xml:space="preserve">se consideran servicios relacionados con la obra pública, los trabajos que tengan por objeto concebir, diseñar y calcular los elementos que integran </w:t>
      </w:r>
      <w:r w:rsidRPr="000E5506">
        <w:rPr>
          <w:rFonts w:ascii="Palatino Linotype" w:eastAsia="Palatino Linotype" w:hAnsi="Palatino Linotype" w:cs="Palatino Linotype"/>
          <w:b/>
          <w:color w:val="000000"/>
          <w:sz w:val="24"/>
          <w:szCs w:val="24"/>
          <w:u w:val="single"/>
          <w:lang w:eastAsia="es-MX"/>
        </w:rPr>
        <w:t>un proyecto de obra pública</w:t>
      </w:r>
      <w:r w:rsidRPr="000E5506">
        <w:rPr>
          <w:rFonts w:ascii="Palatino Linotype" w:eastAsia="Palatino Linotype" w:hAnsi="Palatino Linotype" w:cs="Palatino Linotype"/>
          <w:color w:val="000000"/>
          <w:sz w:val="24"/>
          <w:szCs w:val="24"/>
          <w:lang w:eastAsia="es-MX"/>
        </w:rPr>
        <w:t xml:space="preserve">; </w:t>
      </w:r>
      <w:r w:rsidRPr="000E5506">
        <w:rPr>
          <w:rFonts w:ascii="Palatino Linotype" w:eastAsia="Palatino Linotype" w:hAnsi="Palatino Linotype" w:cs="Palatino Linotype"/>
          <w:b/>
          <w:color w:val="000000"/>
          <w:sz w:val="24"/>
          <w:szCs w:val="24"/>
          <w:lang w:eastAsia="es-MX"/>
        </w:rPr>
        <w:t xml:space="preserve">las investigaciones, estudios, asesorías y consultorías que </w:t>
      </w:r>
      <w:r w:rsidRPr="000E5506">
        <w:rPr>
          <w:rFonts w:ascii="Palatino Linotype" w:eastAsia="Palatino Linotype" w:hAnsi="Palatino Linotype" w:cs="Palatino Linotype"/>
          <w:b/>
          <w:color w:val="000000"/>
          <w:sz w:val="24"/>
          <w:szCs w:val="24"/>
          <w:u w:val="single"/>
          <w:lang w:eastAsia="es-MX"/>
        </w:rPr>
        <w:t>se vinculen con los actos que regula el Libro Décimo Segundo</w:t>
      </w:r>
      <w:r w:rsidRPr="000E5506">
        <w:rPr>
          <w:rFonts w:ascii="Palatino Linotype" w:eastAsia="Palatino Linotype" w:hAnsi="Palatino Linotype" w:cs="Palatino Linotype"/>
          <w:color w:val="000000"/>
          <w:sz w:val="24"/>
          <w:szCs w:val="24"/>
          <w:lang w:eastAsia="es-MX"/>
        </w:rPr>
        <w:t>; la dirección y supervisión de la ejecución de las obras y los estudios que tengan por objeto principal rehabilitar, corregir o incrementar la eficiencia de las instalaciones con excepción de los trabajos regulados por el Libro Décimo Sexto del Código, quedando comprendidos dentro de los servicios relacionados con la obra pública:</w:t>
      </w:r>
    </w:p>
    <w:p w14:paraId="5EF8C53C"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w:t>
      </w:r>
      <w:r w:rsidRPr="000E5506">
        <w:rPr>
          <w:rFonts w:ascii="Palatino Linotype" w:eastAsia="Palatino Linotype" w:hAnsi="Palatino Linotype" w:cs="Palatino Linotype"/>
          <w:i/>
          <w:color w:val="000000"/>
          <w:lang w:eastAsia="es-MX"/>
        </w:rPr>
        <w:t xml:space="preserve"> La 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14:paraId="08B37DD8"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II.</w:t>
      </w:r>
      <w:r w:rsidRPr="000E5506">
        <w:rPr>
          <w:rFonts w:ascii="Palatino Linotype" w:eastAsia="Palatino Linotype" w:hAnsi="Palatino Linotype" w:cs="Palatino Linotype"/>
          <w:i/>
          <w:color w:val="000000"/>
          <w:lang w:eastAsia="es-MX"/>
        </w:rPr>
        <w:t xml:space="preserve"> La planeación, incluyendo los trabajos que tengan por objeto concebir, diseñar, proyectar y calcular los elementos que integran un proyecto urbanístico, arquitectónico, de diseño gráfico o artístico y de cualquier otra especialidad del diseño, la arquitectura y el urbanismo, que se requiera para integrar un proyecto ejecutivo de obra pública, así como los estudios inherentes al desarrollo urbano en el Estado; </w:t>
      </w:r>
    </w:p>
    <w:p w14:paraId="68EF8249"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III</w:t>
      </w:r>
      <w:r w:rsidRPr="000E5506">
        <w:rPr>
          <w:rFonts w:ascii="Palatino Linotype" w:eastAsia="Palatino Linotype" w:hAnsi="Palatino Linotype" w:cs="Palatino Linotype"/>
          <w:i/>
          <w:color w:val="000000"/>
          <w:lang w:eastAsia="es-MX"/>
        </w:rPr>
        <w:t>. Los estudios técnicos de agrología y desarrollo pecuario, hidrología, mecánica de suelos, sismología, topografía, geología, geodesia, geofísica, geotermia, meteorología, aerofotogrametría, ambientales, ecológicos y de ingeniería de tránsito; </w:t>
      </w:r>
    </w:p>
    <w:p w14:paraId="47661AE9"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IV</w:t>
      </w:r>
      <w:r w:rsidRPr="000E5506">
        <w:rPr>
          <w:rFonts w:ascii="Palatino Linotype" w:eastAsia="Palatino Linotype" w:hAnsi="Palatino Linotype" w:cs="Palatino Linotype"/>
          <w:i/>
          <w:color w:val="000000"/>
          <w:lang w:eastAsia="es-MX"/>
        </w:rPr>
        <w:t>. Los estudios económicos y de planeación de preinversión, factibilidad técnico económica, ecológica o social, de evaluación, adaptación, tenencia de la tierra, financieros, de desarrollo y restitución de la eficiencia de las instalaciones; </w:t>
      </w:r>
    </w:p>
    <w:p w14:paraId="3323482B"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V.</w:t>
      </w:r>
      <w:r w:rsidRPr="000E5506">
        <w:rPr>
          <w:rFonts w:ascii="Palatino Linotype" w:eastAsia="Palatino Linotype" w:hAnsi="Palatino Linotype" w:cs="Palatino Linotype"/>
          <w:i/>
          <w:color w:val="000000"/>
          <w:lang w:eastAsia="es-MX"/>
        </w:rPr>
        <w:t xml:space="preserve"> 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 </w:t>
      </w:r>
    </w:p>
    <w:p w14:paraId="6B946632"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lastRenderedPageBreak/>
        <w:t>VI.</w:t>
      </w:r>
      <w:r w:rsidRPr="000E5506">
        <w:rPr>
          <w:rFonts w:ascii="Palatino Linotype" w:eastAsia="Palatino Linotype" w:hAnsi="Palatino Linotype" w:cs="Palatino Linotype"/>
          <w:i/>
          <w:color w:val="000000"/>
          <w:lang w:eastAsia="es-MX"/>
        </w:rPr>
        <w:t xml:space="preserve"> Los trabajos de organización, informática, comunicaciones, cibernética y sistemas aplicados a las materias que regulan este Libro; </w:t>
      </w:r>
    </w:p>
    <w:p w14:paraId="37217E6E"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VII.</w:t>
      </w:r>
      <w:r w:rsidRPr="000E5506">
        <w:rPr>
          <w:rFonts w:ascii="Palatino Linotype" w:eastAsia="Palatino Linotype" w:hAnsi="Palatino Linotype" w:cs="Palatino Linotype"/>
          <w:i/>
          <w:color w:val="000000"/>
          <w:lang w:eastAsia="es-MX"/>
        </w:rPr>
        <w:t xml:space="preserve"> Los dictámenes, peritajes, avalúos y auditorías técnico normativas, y estudios aplicables a la obra pública; </w:t>
      </w:r>
    </w:p>
    <w:p w14:paraId="1AFC1BF4"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VIII.</w:t>
      </w:r>
      <w:r w:rsidRPr="000E5506">
        <w:rPr>
          <w:rFonts w:ascii="Palatino Linotype" w:eastAsia="Palatino Linotype" w:hAnsi="Palatino Linotype" w:cs="Palatino Linotype"/>
          <w:i/>
          <w:color w:val="000000"/>
          <w:lang w:eastAsia="es-MX"/>
        </w:rPr>
        <w:t xml:space="preserve"> Los estudios que tengan por objeto rehabilitar, corregir, sustituir o incrementar la eficiencia de las instalaciones en un bien inmueble; </w:t>
      </w:r>
    </w:p>
    <w:p w14:paraId="54C918E3" w14:textId="77777777" w:rsidR="00DA6E62" w:rsidRPr="000E5506" w:rsidRDefault="00DA6E62" w:rsidP="00832A79">
      <w:pPr>
        <w:pBdr>
          <w:top w:val="nil"/>
          <w:left w:val="nil"/>
          <w:bottom w:val="nil"/>
          <w:right w:val="nil"/>
          <w:between w:val="nil"/>
        </w:pBdr>
        <w:spacing w:before="240" w:after="24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IX.</w:t>
      </w:r>
      <w:r w:rsidRPr="000E5506">
        <w:rPr>
          <w:rFonts w:ascii="Palatino Linotype" w:eastAsia="Palatino Linotype" w:hAnsi="Palatino Linotype" w:cs="Palatino Linotype"/>
          <w:i/>
          <w:color w:val="000000"/>
          <w:lang w:eastAsia="es-MX"/>
        </w:rPr>
        <w:t xml:space="preserve"> Los estudios de apoyo tecnológico, incluyendo los de desarrollo y transferencia de tecnología, entre otros; </w:t>
      </w:r>
    </w:p>
    <w:p w14:paraId="41CC8D9D" w14:textId="77777777" w:rsidR="00DA6E62" w:rsidRPr="000E5506" w:rsidRDefault="00DA6E62" w:rsidP="00832A79">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X.</w:t>
      </w:r>
      <w:r w:rsidRPr="000E5506">
        <w:rPr>
          <w:rFonts w:ascii="Palatino Linotype" w:eastAsia="Palatino Linotype" w:hAnsi="Palatino Linotype" w:cs="Palatino Linotype"/>
          <w:i/>
          <w:color w:val="000000"/>
          <w:lang w:eastAsia="es-MX"/>
        </w:rPr>
        <w:t xml:space="preserve"> Los demás que tengan por objeto alguno de los conceptos a que se refiere el párrafo primero de este artículo.</w:t>
      </w:r>
    </w:p>
    <w:p w14:paraId="00B821F2" w14:textId="77777777" w:rsidR="00832A79" w:rsidRPr="000E5506" w:rsidRDefault="00832A79" w:rsidP="00832A7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p>
    <w:p w14:paraId="5F618F02" w14:textId="48BC73ED" w:rsidR="00DA6E62" w:rsidRPr="000E5506" w:rsidRDefault="00DA6E62" w:rsidP="00832A7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El artículo 12.12 del Libro Décimo Segundo, señala que en la planeación de la obra pública o de los servicios relacionados con la misma, las dependencias, entidades y ayuntamientos en lo que les corresponda, deberán, entre otras previsiones, considerar la disponibilidad de recursos financieros.</w:t>
      </w:r>
    </w:p>
    <w:p w14:paraId="23DBABF2" w14:textId="77777777" w:rsidR="00832A79" w:rsidRPr="000E5506" w:rsidRDefault="00832A79" w:rsidP="00832A7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p>
    <w:p w14:paraId="3CB82ACD" w14:textId="77777777" w:rsidR="00DA6E62" w:rsidRPr="000E5506" w:rsidRDefault="00DA6E62" w:rsidP="00832A7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Por lo que se refiere al procedimiento de adjudicación, el Capítulo Tercero del Libro Décimo Segundo del Código Administrativo del Estado de México, dispone lo siguiente:</w:t>
      </w:r>
    </w:p>
    <w:p w14:paraId="2D8A7A75" w14:textId="77777777" w:rsidR="00832A79" w:rsidRPr="000E5506" w:rsidRDefault="00832A79" w:rsidP="00832A79">
      <w:pPr>
        <w:pStyle w:val="Sinespaciado"/>
        <w:rPr>
          <w:lang w:eastAsia="es-MX"/>
        </w:rPr>
      </w:pPr>
    </w:p>
    <w:p w14:paraId="004EC39B" w14:textId="77777777" w:rsidR="00DA6E62" w:rsidRPr="000E5506" w:rsidRDefault="00DA6E62" w:rsidP="00DA6E62">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“Artículo 12.20</w:t>
      </w:r>
      <w:r w:rsidRPr="000E5506">
        <w:rPr>
          <w:rFonts w:ascii="Palatino Linotype" w:eastAsia="Palatino Linotype" w:hAnsi="Palatino Linotype" w:cs="Palatino Linotype"/>
          <w:i/>
          <w:color w:val="000000"/>
          <w:lang w:eastAsia="es-MX"/>
        </w:rPr>
        <w:t xml:space="preserve">.- Los contratos a que se refiere este Libro, </w:t>
      </w:r>
      <w:r w:rsidRPr="000E5506">
        <w:rPr>
          <w:rFonts w:ascii="Palatino Linotype" w:eastAsia="Palatino Linotype" w:hAnsi="Palatino Linotype" w:cs="Palatino Linotype"/>
          <w:b/>
          <w:i/>
          <w:color w:val="000000"/>
          <w:lang w:eastAsia="es-MX"/>
        </w:rPr>
        <w:t xml:space="preserve">se adjudicarán a través de </w:t>
      </w:r>
      <w:r w:rsidRPr="000E5506">
        <w:rPr>
          <w:rFonts w:ascii="Palatino Linotype" w:eastAsia="Palatino Linotype" w:hAnsi="Palatino Linotype" w:cs="Palatino Linotype"/>
          <w:b/>
          <w:i/>
          <w:color w:val="000000"/>
          <w:u w:val="single"/>
          <w:lang w:eastAsia="es-MX"/>
        </w:rPr>
        <w:t>licitaciones públicas</w:t>
      </w:r>
      <w:r w:rsidRPr="000E5506">
        <w:rPr>
          <w:rFonts w:ascii="Palatino Linotype" w:eastAsia="Palatino Linotype" w:hAnsi="Palatino Linotype" w:cs="Palatino Linotype"/>
          <w:b/>
          <w:i/>
          <w:color w:val="000000"/>
          <w:lang w:eastAsia="es-MX"/>
        </w:rPr>
        <w:t>, mediante convocatoria pública.</w:t>
      </w:r>
      <w:r w:rsidRPr="000E5506">
        <w:rPr>
          <w:rFonts w:ascii="Palatino Linotype" w:eastAsia="Palatino Linotype" w:hAnsi="Palatino Linotype" w:cs="Palatino Linotype"/>
          <w:i/>
          <w:color w:val="000000"/>
          <w:lang w:eastAsia="es-MX"/>
        </w:rPr>
        <w:t> </w:t>
      </w:r>
    </w:p>
    <w:p w14:paraId="68B2CF92" w14:textId="77777777" w:rsidR="00DA6E62" w:rsidRPr="000E5506" w:rsidRDefault="00DA6E62" w:rsidP="00DA6E62">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Artículo 12.21</w:t>
      </w:r>
      <w:r w:rsidRPr="000E5506">
        <w:rPr>
          <w:rFonts w:ascii="Palatino Linotype" w:eastAsia="Palatino Linotype" w:hAnsi="Palatino Linotype" w:cs="Palatino Linotype"/>
          <w:i/>
          <w:color w:val="000000"/>
          <w:lang w:eastAsia="es-MX"/>
        </w:rPr>
        <w:t xml:space="preserve">.- Las dependencias, entidades y ayuntamientos podrán adjudicar contratos para la ejecución de obra pública o servicios relacionados con la misma. </w:t>
      </w:r>
      <w:r w:rsidRPr="000E5506">
        <w:rPr>
          <w:rFonts w:ascii="Palatino Linotype" w:eastAsia="Palatino Linotype" w:hAnsi="Palatino Linotype" w:cs="Palatino Linotype"/>
          <w:b/>
          <w:i/>
          <w:color w:val="000000"/>
          <w:lang w:eastAsia="es-MX"/>
        </w:rPr>
        <w:t>mediante las excepciones al procedimiento de licitación</w:t>
      </w:r>
      <w:r w:rsidRPr="000E5506">
        <w:rPr>
          <w:rFonts w:ascii="Palatino Linotype" w:eastAsia="Palatino Linotype" w:hAnsi="Palatino Linotype" w:cs="Palatino Linotype"/>
          <w:i/>
          <w:color w:val="000000"/>
          <w:lang w:eastAsia="es-MX"/>
        </w:rPr>
        <w:t xml:space="preserve"> siguientes: </w:t>
      </w:r>
    </w:p>
    <w:p w14:paraId="2ED21212" w14:textId="77777777" w:rsidR="00DA6E62" w:rsidRPr="000E5506" w:rsidRDefault="00DA6E62" w:rsidP="00DA6E62">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w:t>
      </w:r>
      <w:r w:rsidRPr="000E5506">
        <w:rPr>
          <w:rFonts w:ascii="Palatino Linotype" w:eastAsia="Palatino Linotype" w:hAnsi="Palatino Linotype" w:cs="Palatino Linotype"/>
          <w:i/>
          <w:color w:val="000000"/>
          <w:lang w:eastAsia="es-MX"/>
        </w:rPr>
        <w:t xml:space="preserve">. </w:t>
      </w:r>
      <w:r w:rsidRPr="000E5506">
        <w:rPr>
          <w:rFonts w:ascii="Palatino Linotype" w:eastAsia="Palatino Linotype" w:hAnsi="Palatino Linotype" w:cs="Palatino Linotype"/>
          <w:b/>
          <w:i/>
          <w:color w:val="000000"/>
          <w:lang w:eastAsia="es-MX"/>
        </w:rPr>
        <w:t>Invitación restringida</w:t>
      </w:r>
      <w:r w:rsidRPr="000E5506">
        <w:rPr>
          <w:rFonts w:ascii="Palatino Linotype" w:eastAsia="Palatino Linotype" w:hAnsi="Palatino Linotype" w:cs="Palatino Linotype"/>
          <w:i/>
          <w:color w:val="000000"/>
          <w:lang w:eastAsia="es-MX"/>
        </w:rPr>
        <w:t>; </w:t>
      </w:r>
    </w:p>
    <w:p w14:paraId="4C0C1255" w14:textId="77777777" w:rsidR="00DA6E62" w:rsidRPr="000E5506" w:rsidRDefault="00DA6E62" w:rsidP="00832A79">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w:t>
      </w:r>
      <w:r w:rsidRPr="000E5506">
        <w:rPr>
          <w:rFonts w:ascii="Palatino Linotype" w:eastAsia="Palatino Linotype" w:hAnsi="Palatino Linotype" w:cs="Palatino Linotype"/>
          <w:i/>
          <w:color w:val="000000"/>
          <w:lang w:eastAsia="es-MX"/>
        </w:rPr>
        <w:t xml:space="preserve">. </w:t>
      </w:r>
      <w:r w:rsidRPr="000E5506">
        <w:rPr>
          <w:rFonts w:ascii="Palatino Linotype" w:eastAsia="Palatino Linotype" w:hAnsi="Palatino Linotype" w:cs="Palatino Linotype"/>
          <w:b/>
          <w:i/>
          <w:color w:val="000000"/>
          <w:lang w:eastAsia="es-MX"/>
        </w:rPr>
        <w:t>Adjudicación directa.”</w:t>
      </w:r>
    </w:p>
    <w:p w14:paraId="06281FE6" w14:textId="77777777" w:rsidR="00DA6E62" w:rsidRPr="000E5506" w:rsidRDefault="00DA6E62" w:rsidP="00832A7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lastRenderedPageBreak/>
        <w:t xml:space="preserve">Como se advierte, la normativa contempla como modalidades para la adjudicación de contratos de obra pública y servicios relacionados con la misma la licitación pública, y de manera excepcional a través de invitación restringida y </w:t>
      </w:r>
      <w:r w:rsidRPr="000E5506">
        <w:rPr>
          <w:rFonts w:ascii="Palatino Linotype" w:eastAsia="Palatino Linotype" w:hAnsi="Palatino Linotype" w:cs="Palatino Linotype"/>
          <w:b/>
          <w:color w:val="000000"/>
          <w:sz w:val="24"/>
          <w:szCs w:val="24"/>
          <w:lang w:eastAsia="es-MX"/>
        </w:rPr>
        <w:t>adjudicación directa</w:t>
      </w:r>
      <w:r w:rsidRPr="000E5506">
        <w:rPr>
          <w:rFonts w:ascii="Palatino Linotype" w:eastAsia="Palatino Linotype" w:hAnsi="Palatino Linotype" w:cs="Palatino Linotype"/>
          <w:color w:val="000000"/>
          <w:sz w:val="24"/>
          <w:szCs w:val="24"/>
          <w:lang w:eastAsia="es-MX"/>
        </w:rPr>
        <w:t>, cuyas formalidades se encuentran previstas en el Reglamento del Libro Décimo Segundo del Código Administrativo del Estado de México, que en su parte conducente dispone lo siguiente:</w:t>
      </w:r>
    </w:p>
    <w:p w14:paraId="607D6C27" w14:textId="77777777" w:rsidR="00832A79" w:rsidRPr="000E5506" w:rsidRDefault="00832A79" w:rsidP="00832A79">
      <w:pPr>
        <w:pStyle w:val="Sinespaciado"/>
        <w:rPr>
          <w:lang w:eastAsia="es-MX"/>
        </w:rPr>
      </w:pPr>
    </w:p>
    <w:p w14:paraId="4C5C65F0"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i/>
          <w:color w:val="000000"/>
          <w:lang w:eastAsia="es-MX"/>
        </w:rPr>
        <w:t>“</w:t>
      </w:r>
      <w:r w:rsidRPr="000E5506">
        <w:rPr>
          <w:rFonts w:ascii="Palatino Linotype" w:eastAsia="Palatino Linotype" w:hAnsi="Palatino Linotype" w:cs="Palatino Linotype"/>
          <w:b/>
          <w:i/>
          <w:color w:val="000000"/>
          <w:lang w:eastAsia="es-MX"/>
        </w:rPr>
        <w:t>Artículo 26</w:t>
      </w:r>
      <w:r w:rsidRPr="000E5506">
        <w:rPr>
          <w:rFonts w:ascii="Palatino Linotype" w:eastAsia="Palatino Linotype" w:hAnsi="Palatino Linotype" w:cs="Palatino Linotype"/>
          <w:i/>
          <w:color w:val="000000"/>
          <w:lang w:eastAsia="es-MX"/>
        </w:rPr>
        <w:t>.- La licitación pública es el procedimiento de adjudicación de una obra pública o de un servicio por convocatoria pública. Tiene por objeto asegurar la participación abierta de todos los interesados en igualdad de condiciones y la selección fundamentada y transparente de la propuesta más conveniente para las dependencias, entidades y ayuntamientos.</w:t>
      </w:r>
    </w:p>
    <w:p w14:paraId="0FBF888C"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w:t>
      </w:r>
    </w:p>
    <w:p w14:paraId="41E62CF7"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Artículo 58.-</w:t>
      </w:r>
      <w:r w:rsidRPr="000E5506">
        <w:rPr>
          <w:rFonts w:ascii="Palatino Linotype" w:eastAsia="Palatino Linotype" w:hAnsi="Palatino Linotype" w:cs="Palatino Linotype"/>
          <w:i/>
          <w:color w:val="000000"/>
          <w:lang w:eastAsia="es-MX"/>
        </w:rPr>
        <w:t xml:space="preserve"> El convocante deberá verificar en las propuestas que consideren precios unitarios, que </w:t>
      </w:r>
    </w:p>
    <w:p w14:paraId="3657CBDC"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A.</w:t>
      </w:r>
      <w:r w:rsidRPr="000E5506">
        <w:rPr>
          <w:rFonts w:ascii="Palatino Linotype" w:eastAsia="Palatino Linotype" w:hAnsi="Palatino Linotype" w:cs="Palatino Linotype"/>
          <w:i/>
          <w:color w:val="000000"/>
          <w:lang w:eastAsia="es-MX"/>
        </w:rPr>
        <w:t xml:space="preserve"> En el presupuesto de obra: </w:t>
      </w:r>
    </w:p>
    <w:p w14:paraId="61347F60"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w:t>
      </w:r>
      <w:r w:rsidRPr="000E5506">
        <w:rPr>
          <w:rFonts w:ascii="Palatino Linotype" w:eastAsia="Palatino Linotype" w:hAnsi="Palatino Linotype" w:cs="Palatino Linotype"/>
          <w:i/>
          <w:color w:val="000000"/>
          <w:lang w:eastAsia="es-MX"/>
        </w:rPr>
        <w:t xml:space="preserve"> Cada uno de los conceptos señale el importe del precio unitario;</w:t>
      </w:r>
    </w:p>
    <w:p w14:paraId="36077884"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b/>
          <w:color w:val="000000"/>
          <w:lang w:eastAsia="es-MX"/>
        </w:rPr>
      </w:pPr>
      <w:r w:rsidRPr="000E5506">
        <w:rPr>
          <w:rFonts w:ascii="Palatino Linotype" w:eastAsia="Palatino Linotype" w:hAnsi="Palatino Linotype" w:cs="Palatino Linotype"/>
          <w:b/>
          <w:i/>
          <w:color w:val="000000"/>
          <w:lang w:eastAsia="es-MX"/>
        </w:rPr>
        <w:t>II. El importe del precio unitario esté anotado con número y letra y que éstos sean coincidentes entre sí. En caso de diferencia prevalecerá el que coincida con la integración del precio unitario o, cuando no se tenga, el escrito con letra, y </w:t>
      </w:r>
    </w:p>
    <w:p w14:paraId="57A73658"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III</w:t>
      </w:r>
      <w:r w:rsidRPr="000E5506">
        <w:rPr>
          <w:rFonts w:ascii="Palatino Linotype" w:eastAsia="Palatino Linotype" w:hAnsi="Palatino Linotype" w:cs="Palatino Linotype"/>
          <w:i/>
          <w:color w:val="000000"/>
          <w:lang w:eastAsia="es-MX"/>
        </w:rPr>
        <w:t>. Las operaciones aritméticas estén correctas. Cuando una o más operaciones estén equivocadas, se harán las correcciones correspondientes. El monto correcto será el considerado para el análisis comparativo de las propuestas. </w:t>
      </w:r>
    </w:p>
    <w:p w14:paraId="44DCB85E"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b/>
          <w:color w:val="000000"/>
          <w:lang w:eastAsia="es-MX"/>
        </w:rPr>
      </w:pPr>
      <w:r w:rsidRPr="000E5506">
        <w:rPr>
          <w:rFonts w:ascii="Palatino Linotype" w:eastAsia="Palatino Linotype" w:hAnsi="Palatino Linotype" w:cs="Palatino Linotype"/>
          <w:b/>
          <w:i/>
          <w:color w:val="000000"/>
          <w:lang w:eastAsia="es-MX"/>
        </w:rPr>
        <w:t>B. El análisis, cálculo e integración de los precios unitarios se haya realizado de acuerdo con lo establecido en este Reglamento y que: </w:t>
      </w:r>
    </w:p>
    <w:p w14:paraId="6299C54A"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b/>
          <w:color w:val="000000"/>
          <w:lang w:eastAsia="es-MX"/>
        </w:rPr>
      </w:pPr>
      <w:r w:rsidRPr="000E5506">
        <w:rPr>
          <w:rFonts w:ascii="Palatino Linotype" w:eastAsia="Palatino Linotype" w:hAnsi="Palatino Linotype" w:cs="Palatino Linotype"/>
          <w:b/>
          <w:i/>
          <w:color w:val="000000"/>
          <w:lang w:eastAsia="es-MX"/>
        </w:rPr>
        <w:t>I. Los análisis de los precios unitarios se integren con costos directos, indirectos, de financiamiento, cargo por utilidad y cargos adicionales; </w:t>
      </w:r>
    </w:p>
    <w:p w14:paraId="40328B3D"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w:t>
      </w:r>
      <w:r w:rsidRPr="000E5506">
        <w:rPr>
          <w:rFonts w:ascii="Palatino Linotype" w:eastAsia="Palatino Linotype" w:hAnsi="Palatino Linotype" w:cs="Palatino Linotype"/>
          <w:i/>
          <w:color w:val="000000"/>
          <w:lang w:eastAsia="es-MX"/>
        </w:rPr>
        <w:t xml:space="preserve"> Los costos directos comprendan los correspondientes a materiales, mano de obra, maquinaria y equipo de construcción;</w:t>
      </w:r>
    </w:p>
    <w:p w14:paraId="6E147774"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III</w:t>
      </w:r>
      <w:r w:rsidRPr="000E5506">
        <w:rPr>
          <w:rFonts w:ascii="Palatino Linotype" w:eastAsia="Palatino Linotype" w:hAnsi="Palatino Linotype" w:cs="Palatino Linotype"/>
          <w:i/>
          <w:color w:val="000000"/>
          <w:lang w:eastAsia="es-MX"/>
        </w:rPr>
        <w:t>. Los precios de adquisición de los materiales estén dentro de los parámetros de precios de mercado; </w:t>
      </w:r>
    </w:p>
    <w:p w14:paraId="2237843E"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lastRenderedPageBreak/>
        <w:t>IV</w:t>
      </w:r>
      <w:r w:rsidRPr="000E5506">
        <w:rPr>
          <w:rFonts w:ascii="Palatino Linotype" w:eastAsia="Palatino Linotype" w:hAnsi="Palatino Linotype" w:cs="Palatino Linotype"/>
          <w:i/>
          <w:color w:val="000000"/>
          <w:lang w:eastAsia="es-MX"/>
        </w:rPr>
        <w:t>. Los costos de la mano de obra se hayan obtenido aplicando los factores de salario integrado a los sueldos y salarios del personal, conforme a lo previsto en este Reglamento; </w:t>
      </w:r>
    </w:p>
    <w:p w14:paraId="46D915F7"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V</w:t>
      </w:r>
      <w:r w:rsidRPr="000E5506">
        <w:rPr>
          <w:rFonts w:ascii="Palatino Linotype" w:eastAsia="Palatino Linotype" w:hAnsi="Palatino Linotype" w:cs="Palatino Linotype"/>
          <w:i/>
          <w:color w:val="000000"/>
          <w:lang w:eastAsia="es-MX"/>
        </w:rPr>
        <w:t>. El cargo por el uso de herramienta menor esté incluido; </w:t>
      </w:r>
    </w:p>
    <w:p w14:paraId="112C7D99"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VI.</w:t>
      </w:r>
      <w:r w:rsidRPr="000E5506">
        <w:rPr>
          <w:rFonts w:ascii="Palatino Linotype" w:eastAsia="Palatino Linotype" w:hAnsi="Palatino Linotype" w:cs="Palatino Linotype"/>
          <w:i/>
          <w:color w:val="000000"/>
          <w:lang w:eastAsia="es-MX"/>
        </w:rPr>
        <w:t xml:space="preserve"> Los costos horarios por la utilización de la maquinaria y equipo de construcción estén determinados por hora efectiva de trabajo, calculados para cada máquina o equipo; considerando, cuando sea el caso, los accesorios integrados; </w:t>
      </w:r>
    </w:p>
    <w:p w14:paraId="72DB1A64"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C</w:t>
      </w:r>
      <w:r w:rsidRPr="000E5506">
        <w:rPr>
          <w:rFonts w:ascii="Palatino Linotype" w:eastAsia="Palatino Linotype" w:hAnsi="Palatino Linotype" w:cs="Palatino Linotype"/>
          <w:i/>
          <w:color w:val="000000"/>
          <w:lang w:eastAsia="es-MX"/>
        </w:rPr>
        <w:t>. Los costos directos de los precios unitarios se hayan estructurado y determinado de acuerdo con lo previsto en este Reglamento y que: </w:t>
      </w:r>
    </w:p>
    <w:p w14:paraId="5A9056ED"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w:t>
      </w:r>
      <w:r w:rsidRPr="000E5506">
        <w:rPr>
          <w:rFonts w:ascii="Palatino Linotype" w:eastAsia="Palatino Linotype" w:hAnsi="Palatino Linotype" w:cs="Palatino Linotype"/>
          <w:i/>
          <w:color w:val="000000"/>
          <w:lang w:eastAsia="es-MX"/>
        </w:rPr>
        <w:t>. Los costos de los materiales considerados por el licitante sean coincidentes con la relación de los costos y cumplan las normas de calidad señaladas en las bases de la licitación; </w:t>
      </w:r>
    </w:p>
    <w:p w14:paraId="6E63B1D0"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w:t>
      </w:r>
      <w:r w:rsidRPr="000E5506">
        <w:rPr>
          <w:rFonts w:ascii="Palatino Linotype" w:eastAsia="Palatino Linotype" w:hAnsi="Palatino Linotype" w:cs="Palatino Linotype"/>
          <w:i/>
          <w:color w:val="000000"/>
          <w:lang w:eastAsia="es-MX"/>
        </w:rPr>
        <w:t xml:space="preserve"> Los costos de mano de obra considerados por el licitante sean coincidentes con el tabulador de salarios y con los costos que prevalezcan en la zona donde se ejecutarán los trabajos; y</w:t>
      </w:r>
    </w:p>
    <w:p w14:paraId="01A9721A"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III</w:t>
      </w:r>
      <w:r w:rsidRPr="000E5506">
        <w:rPr>
          <w:rFonts w:ascii="Palatino Linotype" w:eastAsia="Palatino Linotype" w:hAnsi="Palatino Linotype" w:cs="Palatino Linotype"/>
          <w:i/>
          <w:color w:val="000000"/>
          <w:lang w:eastAsia="es-MX"/>
        </w:rPr>
        <w:t>. Los costos horarios de la maquinaria y equipo de construcción estén determinados con base en el precio y rendimientos máximos de unidades nuevas, tomados de los manuales de los fabricantes y que consideraron las características ambientales de la zona donde vayan a realizarse los trabajos. </w:t>
      </w:r>
    </w:p>
    <w:p w14:paraId="5C8AF489"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D</w:t>
      </w:r>
      <w:r w:rsidRPr="000E5506">
        <w:rPr>
          <w:rFonts w:ascii="Palatino Linotype" w:eastAsia="Palatino Linotype" w:hAnsi="Palatino Linotype" w:cs="Palatino Linotype"/>
          <w:i/>
          <w:color w:val="000000"/>
          <w:lang w:eastAsia="es-MX"/>
        </w:rPr>
        <w:t>. Los costos indirectos de los precios unitarios estén integrados de acuerdo con lo previsto en este Reglamento y que: </w:t>
      </w:r>
    </w:p>
    <w:p w14:paraId="59D4023D"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w:t>
      </w:r>
      <w:r w:rsidRPr="000E5506">
        <w:rPr>
          <w:rFonts w:ascii="Palatino Linotype" w:eastAsia="Palatino Linotype" w:hAnsi="Palatino Linotype" w:cs="Palatino Linotype"/>
          <w:i/>
          <w:color w:val="000000"/>
          <w:lang w:eastAsia="es-MX"/>
        </w:rPr>
        <w:t xml:space="preserve"> Estén calculados por conceptos con sus importes, determinándose el monto total y su porcentaje sobre el monto del costo directo;</w:t>
      </w:r>
    </w:p>
    <w:p w14:paraId="3566B4A1"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w:t>
      </w:r>
      <w:r w:rsidRPr="000E5506">
        <w:rPr>
          <w:rFonts w:ascii="Palatino Linotype" w:eastAsia="Palatino Linotype" w:hAnsi="Palatino Linotype" w:cs="Palatino Linotype"/>
          <w:i/>
          <w:color w:val="000000"/>
          <w:lang w:eastAsia="es-MX"/>
        </w:rPr>
        <w:t>. Los costos indirectos de las oficinas centrales del licitante sean únicamente los necesarios para el apoyo técnico y administrativo a la superintendencia de la obra encargada directamente de los trabajos, así como los de campo necesarios para la dirección, supervisión y administración de la obra; y </w:t>
      </w:r>
    </w:p>
    <w:p w14:paraId="402C4F7E"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III</w:t>
      </w:r>
      <w:r w:rsidRPr="000E5506">
        <w:rPr>
          <w:rFonts w:ascii="Palatino Linotype" w:eastAsia="Palatino Linotype" w:hAnsi="Palatino Linotype" w:cs="Palatino Linotype"/>
          <w:i/>
          <w:color w:val="000000"/>
          <w:lang w:eastAsia="es-MX"/>
        </w:rPr>
        <w:t>. No se incluyan cargos que, por sus características o conforme a las bases de la licitación, deban formen parte de un precio unitario. </w:t>
      </w:r>
    </w:p>
    <w:p w14:paraId="7EF267CA"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b/>
          <w:color w:val="000000"/>
          <w:lang w:eastAsia="es-MX"/>
        </w:rPr>
      </w:pPr>
      <w:r w:rsidRPr="000E5506">
        <w:rPr>
          <w:rFonts w:ascii="Palatino Linotype" w:eastAsia="Palatino Linotype" w:hAnsi="Palatino Linotype" w:cs="Palatino Linotype"/>
          <w:b/>
          <w:i/>
          <w:color w:val="000000"/>
          <w:lang w:eastAsia="es-MX"/>
        </w:rPr>
        <w:t>E. El costo financiero de los precios unitarios se haya estructurado y determinado conforme a lo señalado en este Reglamento y que:</w:t>
      </w:r>
    </w:p>
    <w:p w14:paraId="3484BA7A"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w:t>
      </w:r>
      <w:r w:rsidRPr="000E5506">
        <w:rPr>
          <w:rFonts w:ascii="Palatino Linotype" w:eastAsia="Palatino Linotype" w:hAnsi="Palatino Linotype" w:cs="Palatino Linotype"/>
          <w:i/>
          <w:color w:val="000000"/>
          <w:lang w:eastAsia="es-MX"/>
        </w:rPr>
        <w:t>. Los ingresos consideren la periodicidad y el plazo de trámite y el pago del o los anticipos y las estimaciones y que éstas incluyan la amortización de los anticipos; </w:t>
      </w:r>
    </w:p>
    <w:p w14:paraId="62F2AB2B"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w:t>
      </w:r>
      <w:r w:rsidRPr="000E5506">
        <w:rPr>
          <w:rFonts w:ascii="Palatino Linotype" w:eastAsia="Palatino Linotype" w:hAnsi="Palatino Linotype" w:cs="Palatino Linotype"/>
          <w:i/>
          <w:color w:val="000000"/>
          <w:lang w:eastAsia="es-MX"/>
        </w:rPr>
        <w:t xml:space="preserve"> El costo del financiamiento esté representado por un porcentaje de la suma de los costos directos e indirectos; </w:t>
      </w:r>
    </w:p>
    <w:p w14:paraId="129D6A17"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lastRenderedPageBreak/>
        <w:t>III</w:t>
      </w:r>
      <w:r w:rsidRPr="000E5506">
        <w:rPr>
          <w:rFonts w:ascii="Palatino Linotype" w:eastAsia="Palatino Linotype" w:hAnsi="Palatino Linotype" w:cs="Palatino Linotype"/>
          <w:i/>
          <w:color w:val="000000"/>
          <w:lang w:eastAsia="es-MX"/>
        </w:rPr>
        <w:t>. La tasa de interés aplicable esté definida con base en un indicador económico específico; </w:t>
      </w:r>
    </w:p>
    <w:p w14:paraId="3BFBA330"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IV</w:t>
      </w:r>
      <w:r w:rsidRPr="000E5506">
        <w:rPr>
          <w:rFonts w:ascii="Palatino Linotype" w:eastAsia="Palatino Linotype" w:hAnsi="Palatino Linotype" w:cs="Palatino Linotype"/>
          <w:i/>
          <w:color w:val="000000"/>
          <w:lang w:eastAsia="es-MX"/>
        </w:rPr>
        <w:t>. El costo del financiamiento sea congruente con el programa de ejecución valorizado con montos mensuales; y </w:t>
      </w:r>
    </w:p>
    <w:p w14:paraId="3FB03012"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V</w:t>
      </w:r>
      <w:r w:rsidRPr="000E5506">
        <w:rPr>
          <w:rFonts w:ascii="Palatino Linotype" w:eastAsia="Palatino Linotype" w:hAnsi="Palatino Linotype" w:cs="Palatino Linotype"/>
          <w:i/>
          <w:color w:val="000000"/>
          <w:lang w:eastAsia="es-MX"/>
        </w:rPr>
        <w:t>. El procedimiento para el cálculo del costo por financiamiento aplicado por el licitante corresponda con el de las bases de la licitación. </w:t>
      </w:r>
    </w:p>
    <w:p w14:paraId="6530EEE4"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F</w:t>
      </w:r>
      <w:r w:rsidRPr="000E5506">
        <w:rPr>
          <w:rFonts w:ascii="Palatino Linotype" w:eastAsia="Palatino Linotype" w:hAnsi="Palatino Linotype" w:cs="Palatino Linotype"/>
          <w:i/>
          <w:color w:val="000000"/>
          <w:lang w:eastAsia="es-MX"/>
        </w:rPr>
        <w:t>. El cálculo del cargo por utilidad de los precios unitarios considere la utilidad que el contratista estima debe percibir y las deducciones e impuestos correspondientes, no siendo necesario su desglose. </w:t>
      </w:r>
    </w:p>
    <w:p w14:paraId="21497E31"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G.</w:t>
      </w:r>
      <w:r w:rsidRPr="000E5506">
        <w:rPr>
          <w:rFonts w:ascii="Palatino Linotype" w:eastAsia="Palatino Linotype" w:hAnsi="Palatino Linotype" w:cs="Palatino Linotype"/>
          <w:i/>
          <w:color w:val="000000"/>
          <w:lang w:eastAsia="es-MX"/>
        </w:rPr>
        <w:t xml:space="preserve"> El importe total de la propuesta a precios unitarios sea coincidente con el total del programa general de erogaciones de ejecución de los trabajos y con la suma de los importes de los programas específicos de erogaciones de materiales, mano de obra y maquinaria y equipo de construcción. </w:t>
      </w:r>
    </w:p>
    <w:p w14:paraId="1B7ADDB8"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i/>
          <w:color w:val="000000"/>
          <w:lang w:eastAsia="es-MX"/>
        </w:rPr>
        <w:t>El servidor público responsable de revisar la correcta formulación de los precios unitarios deberá contar con la certificación de conocimientos y habilidades en la materia.</w:t>
      </w:r>
    </w:p>
    <w:p w14:paraId="53988CFF"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i/>
          <w:color w:val="000000"/>
          <w:lang w:eastAsia="es-MX"/>
        </w:rPr>
        <w:t>...</w:t>
      </w:r>
    </w:p>
    <w:p w14:paraId="1E65F279"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Artículo 62.-</w:t>
      </w:r>
      <w:r w:rsidRPr="000E5506">
        <w:rPr>
          <w:rFonts w:ascii="Palatino Linotype" w:eastAsia="Palatino Linotype" w:hAnsi="Palatino Linotype" w:cs="Palatino Linotype"/>
          <w:i/>
          <w:color w:val="000000"/>
          <w:lang w:eastAsia="es-MX"/>
        </w:rPr>
        <w:t xml:space="preserve"> Realizada la evaluación de las propuestas, el convocante emitirá el dictamen que servirá de base para el fallo. El dictamen deberá contener: </w:t>
      </w:r>
    </w:p>
    <w:p w14:paraId="4813CBA5"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w:t>
      </w:r>
      <w:r w:rsidRPr="000E5506">
        <w:rPr>
          <w:rFonts w:ascii="Palatino Linotype" w:eastAsia="Palatino Linotype" w:hAnsi="Palatino Linotype" w:cs="Palatino Linotype"/>
          <w:i/>
          <w:color w:val="000000"/>
          <w:lang w:eastAsia="es-MX"/>
        </w:rPr>
        <w:t>. La relación sucinta y cronológica de los actos del procedimiento; </w:t>
      </w:r>
    </w:p>
    <w:p w14:paraId="3A7861EB"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II.</w:t>
      </w:r>
      <w:r w:rsidRPr="000E5506">
        <w:rPr>
          <w:rFonts w:ascii="Palatino Linotype" w:eastAsia="Palatino Linotype" w:hAnsi="Palatino Linotype" w:cs="Palatino Linotype"/>
          <w:i/>
          <w:color w:val="000000"/>
          <w:lang w:eastAsia="es-MX"/>
        </w:rPr>
        <w:t xml:space="preserve"> </w:t>
      </w:r>
      <w:r w:rsidRPr="000E5506">
        <w:rPr>
          <w:rFonts w:ascii="Palatino Linotype" w:eastAsia="Palatino Linotype" w:hAnsi="Palatino Linotype" w:cs="Palatino Linotype"/>
          <w:b/>
          <w:i/>
          <w:color w:val="000000"/>
          <w:lang w:eastAsia="es-MX"/>
        </w:rPr>
        <w:t>Los criterios utilizados para la evaluación de las propuestas;</w:t>
      </w:r>
    </w:p>
    <w:p w14:paraId="37513A35"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 xml:space="preserve">III. </w:t>
      </w:r>
      <w:r w:rsidRPr="000E5506">
        <w:rPr>
          <w:rFonts w:ascii="Palatino Linotype" w:eastAsia="Palatino Linotype" w:hAnsi="Palatino Linotype" w:cs="Palatino Linotype"/>
          <w:b/>
          <w:i/>
          <w:color w:val="000000"/>
          <w:u w:val="single"/>
          <w:lang w:eastAsia="es-MX"/>
        </w:rPr>
        <w:t>Las razones por las cuales se aceptan o desechan las propuestas presentadas por los licitantes;</w:t>
      </w:r>
    </w:p>
    <w:p w14:paraId="4232C1D2"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IV</w:t>
      </w:r>
      <w:r w:rsidRPr="000E5506">
        <w:rPr>
          <w:rFonts w:ascii="Palatino Linotype" w:eastAsia="Palatino Linotype" w:hAnsi="Palatino Linotype" w:cs="Palatino Linotype"/>
          <w:i/>
          <w:color w:val="000000"/>
          <w:lang w:eastAsia="es-MX"/>
        </w:rPr>
        <w:t>. El nombre de los licitantes cuyas propuestas fueron aceptadas por haber cumplido con los requerimientos exigidos;</w:t>
      </w:r>
    </w:p>
    <w:p w14:paraId="30426277"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V</w:t>
      </w:r>
      <w:r w:rsidRPr="000E5506">
        <w:rPr>
          <w:rFonts w:ascii="Palatino Linotype" w:eastAsia="Palatino Linotype" w:hAnsi="Palatino Linotype" w:cs="Palatino Linotype"/>
          <w:i/>
          <w:color w:val="000000"/>
          <w:lang w:eastAsia="es-MX"/>
        </w:rPr>
        <w:t>. El nombre de los licitantes cuyas propuestas hayan sido desechadas como resultado del análisis de las mismas; </w:t>
      </w:r>
    </w:p>
    <w:p w14:paraId="7DC84C83"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VI</w:t>
      </w:r>
      <w:r w:rsidRPr="000E5506">
        <w:rPr>
          <w:rFonts w:ascii="Palatino Linotype" w:eastAsia="Palatino Linotype" w:hAnsi="Palatino Linotype" w:cs="Palatino Linotype"/>
          <w:i/>
          <w:color w:val="000000"/>
          <w:lang w:eastAsia="es-MX"/>
        </w:rPr>
        <w:t>. La relación de los licitantes cuyas propuestas se calificaron como solventes, ubicándolas de menor a mayor, de acuerdo con sus montos; </w:t>
      </w:r>
    </w:p>
    <w:p w14:paraId="082C4344"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VII</w:t>
      </w:r>
      <w:r w:rsidRPr="000E5506">
        <w:rPr>
          <w:rFonts w:ascii="Palatino Linotype" w:eastAsia="Palatino Linotype" w:hAnsi="Palatino Linotype" w:cs="Palatino Linotype"/>
          <w:i/>
          <w:color w:val="000000"/>
          <w:lang w:eastAsia="es-MX"/>
        </w:rPr>
        <w:t>. La fecha y lugar de elaboración, y </w:t>
      </w:r>
    </w:p>
    <w:p w14:paraId="251D3CFB"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VIII.</w:t>
      </w:r>
      <w:r w:rsidRPr="000E5506">
        <w:rPr>
          <w:rFonts w:ascii="Palatino Linotype" w:eastAsia="Palatino Linotype" w:hAnsi="Palatino Linotype" w:cs="Palatino Linotype"/>
          <w:i/>
          <w:color w:val="000000"/>
          <w:lang w:eastAsia="es-MX"/>
        </w:rPr>
        <w:t xml:space="preserve"> El nombre, firma y cargo de los servidores públicos encargados de su elaboración y aprobación.</w:t>
      </w:r>
    </w:p>
    <w:p w14:paraId="6DB92247"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i/>
          <w:color w:val="000000"/>
          <w:lang w:eastAsia="es-MX"/>
        </w:rPr>
        <w:t>...</w:t>
      </w:r>
    </w:p>
    <w:p w14:paraId="7264E75D"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lastRenderedPageBreak/>
        <w:t>Artículo 69</w:t>
      </w:r>
      <w:r w:rsidRPr="000E5506">
        <w:rPr>
          <w:rFonts w:ascii="Palatino Linotype" w:eastAsia="Palatino Linotype" w:hAnsi="Palatino Linotype" w:cs="Palatino Linotype"/>
          <w:i/>
          <w:color w:val="000000"/>
          <w:lang w:eastAsia="es-MX"/>
        </w:rPr>
        <w:t>.- Cuando las dependencias, entidades y ayuntamientos determinen optar por las modalidades de invitación restringida o adjudicación directa, deberán respaldar su determinación en un estudio que fundamente su conveniencia por ofrecer mejores condiciones para el Estado de México, tomando en cuenta los siguientes criterios: </w:t>
      </w:r>
    </w:p>
    <w:p w14:paraId="240CD871" w14:textId="77777777" w:rsidR="00DA6E62" w:rsidRPr="000E5506" w:rsidRDefault="00DA6E62" w:rsidP="00832A79">
      <w:pPr>
        <w:pBdr>
          <w:top w:val="nil"/>
          <w:left w:val="nil"/>
          <w:bottom w:val="nil"/>
          <w:right w:val="nil"/>
          <w:between w:val="nil"/>
        </w:pBdr>
        <w:spacing w:before="120" w:after="120" w:line="240" w:lineRule="auto"/>
        <w:ind w:left="567" w:right="708"/>
        <w:jc w:val="both"/>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b/>
          <w:i/>
          <w:color w:val="000000"/>
          <w:lang w:eastAsia="es-MX"/>
        </w:rPr>
        <w:t>…</w:t>
      </w:r>
    </w:p>
    <w:p w14:paraId="71B73F15" w14:textId="77777777" w:rsidR="00832A79" w:rsidRPr="000E5506" w:rsidRDefault="00DA6E62" w:rsidP="00832A7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 xml:space="preserve">Por cuanto hace a la contratación, el artículo 12.38 del Libro Décimo Segundo del Código Administrativo de la entidad, dispone que la adjudicación de la obra o servicios relacionados con la misma obligará a la dependencia, entidad o ayuntamiento y a la persona en que hubiere recaído, a </w:t>
      </w:r>
      <w:r w:rsidRPr="000E5506">
        <w:rPr>
          <w:rFonts w:ascii="Palatino Linotype" w:eastAsia="Palatino Linotype" w:hAnsi="Palatino Linotype" w:cs="Palatino Linotype"/>
          <w:b/>
          <w:color w:val="000000"/>
          <w:sz w:val="24"/>
          <w:szCs w:val="24"/>
          <w:lang w:eastAsia="es-MX"/>
        </w:rPr>
        <w:t>suscribir el contrato respectivo dentro de los diez días hábiles siguientes al de la notificación del fallo</w:t>
      </w:r>
      <w:r w:rsidRPr="000E5506">
        <w:rPr>
          <w:rFonts w:ascii="Palatino Linotype" w:eastAsia="Palatino Linotype" w:hAnsi="Palatino Linotype" w:cs="Palatino Linotype"/>
          <w:color w:val="000000"/>
          <w:sz w:val="24"/>
          <w:szCs w:val="24"/>
          <w:lang w:eastAsia="es-MX"/>
        </w:rPr>
        <w:t>.</w:t>
      </w:r>
    </w:p>
    <w:p w14:paraId="7499881A" w14:textId="77777777" w:rsidR="00832A79" w:rsidRPr="000E5506" w:rsidRDefault="00832A79" w:rsidP="00832A7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p>
    <w:p w14:paraId="5005161B" w14:textId="64859B09" w:rsidR="00DA6E62" w:rsidRPr="000E5506" w:rsidRDefault="00DA6E62" w:rsidP="00832A7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En este tenor, los contratos de obra pública y servicios relacionados con la misma, deben contener, como mínimo los requisitos que establece el artículo 104 del Reglamento del Libro Décimo Segundo del Código Administrativo, a saber:</w:t>
      </w:r>
    </w:p>
    <w:p w14:paraId="6E2DED89"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w:t>
      </w:r>
      <w:r w:rsidRPr="000E5506">
        <w:rPr>
          <w:rFonts w:ascii="Palatino Linotype" w:eastAsia="Palatino Linotype" w:hAnsi="Palatino Linotype" w:cs="Palatino Linotype"/>
          <w:i/>
          <w:color w:val="000000"/>
          <w:lang w:eastAsia="es-MX"/>
        </w:rPr>
        <w:t xml:space="preserve">. </w:t>
      </w:r>
      <w:r w:rsidRPr="000E5506">
        <w:rPr>
          <w:rFonts w:ascii="Palatino Linotype" w:eastAsia="Palatino Linotype" w:hAnsi="Palatino Linotype" w:cs="Palatino Linotype"/>
          <w:b/>
          <w:i/>
          <w:color w:val="000000"/>
          <w:lang w:eastAsia="es-MX"/>
        </w:rPr>
        <w:t>La autorización presupuestal</w:t>
      </w:r>
      <w:r w:rsidRPr="000E5506">
        <w:rPr>
          <w:rFonts w:ascii="Palatino Linotype" w:eastAsia="Palatino Linotype" w:hAnsi="Palatino Linotype" w:cs="Palatino Linotype"/>
          <w:i/>
          <w:color w:val="000000"/>
          <w:lang w:eastAsia="es-MX"/>
        </w:rPr>
        <w:t xml:space="preserve"> para cubrir el compromiso derivado del contrato y sus anexos; </w:t>
      </w:r>
    </w:p>
    <w:p w14:paraId="72FE97E7"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II</w:t>
      </w:r>
      <w:r w:rsidRPr="000E5506">
        <w:rPr>
          <w:rFonts w:ascii="Palatino Linotype" w:eastAsia="Palatino Linotype" w:hAnsi="Palatino Linotype" w:cs="Palatino Linotype"/>
          <w:i/>
          <w:color w:val="000000"/>
          <w:lang w:eastAsia="es-MX"/>
        </w:rPr>
        <w:t xml:space="preserve">. </w:t>
      </w:r>
      <w:r w:rsidRPr="000E5506">
        <w:rPr>
          <w:rFonts w:ascii="Palatino Linotype" w:eastAsia="Palatino Linotype" w:hAnsi="Palatino Linotype" w:cs="Palatino Linotype"/>
          <w:b/>
          <w:i/>
          <w:color w:val="000000"/>
          <w:lang w:eastAsia="es-MX"/>
        </w:rPr>
        <w:t>La indicación del procedimiento</w:t>
      </w:r>
      <w:r w:rsidRPr="000E5506">
        <w:rPr>
          <w:rFonts w:ascii="Palatino Linotype" w:eastAsia="Palatino Linotype" w:hAnsi="Palatino Linotype" w:cs="Palatino Linotype"/>
          <w:i/>
          <w:color w:val="000000"/>
          <w:lang w:eastAsia="es-MX"/>
        </w:rPr>
        <w:t xml:space="preserve"> conforme al cual se adjudicó el contrato;</w:t>
      </w:r>
    </w:p>
    <w:p w14:paraId="2C1671EE"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III.</w:t>
      </w:r>
      <w:r w:rsidRPr="000E5506">
        <w:rPr>
          <w:rFonts w:ascii="Palatino Linotype" w:eastAsia="Palatino Linotype" w:hAnsi="Palatino Linotype" w:cs="Palatino Linotype"/>
          <w:i/>
          <w:color w:val="000000"/>
          <w:lang w:eastAsia="es-MX"/>
        </w:rPr>
        <w:t xml:space="preserve"> La descripción pormenorizada de los trabajos que se deban ejecutar, debiendo acompañar los proyectos, planos, especificaciones, programas y presupuestos como parte integrante del contrato en el caso de las obras; tratándose de servicios, los términos de referencia; </w:t>
      </w:r>
    </w:p>
    <w:p w14:paraId="741D786C"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b/>
          <w:i/>
          <w:color w:val="000000"/>
          <w:lang w:eastAsia="es-MX"/>
        </w:rPr>
      </w:pPr>
      <w:r w:rsidRPr="000E5506">
        <w:rPr>
          <w:rFonts w:ascii="Palatino Linotype" w:eastAsia="Palatino Linotype" w:hAnsi="Palatino Linotype" w:cs="Palatino Linotype"/>
          <w:b/>
          <w:i/>
          <w:color w:val="000000"/>
          <w:lang w:eastAsia="es-MX"/>
        </w:rPr>
        <w:t>IV. El precio a pagar por los trabajos objeto del contrato. En el caso de contratos mixtos, la parte y el monto que se cubrirá sobre la base de precios unitarios y la correspondiente a precio alzado; </w:t>
      </w:r>
    </w:p>
    <w:p w14:paraId="29A1B395"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V</w:t>
      </w:r>
      <w:r w:rsidRPr="000E5506">
        <w:rPr>
          <w:rFonts w:ascii="Palatino Linotype" w:eastAsia="Palatino Linotype" w:hAnsi="Palatino Linotype" w:cs="Palatino Linotype"/>
          <w:i/>
          <w:color w:val="000000"/>
          <w:lang w:eastAsia="es-MX"/>
        </w:rPr>
        <w:t>. El plazo de ejecución de los trabajos determinado en días naturales, indicando la fecha de inicio y término de los mismos, así como el plazo para la recepción física de los trabajos y la elaboración del finiquito, los cuales deben ser establecidos de acuerdo con las características, complejidad y magnitud de los trabajos; </w:t>
      </w:r>
    </w:p>
    <w:p w14:paraId="3B7327C8"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lastRenderedPageBreak/>
        <w:t>VI</w:t>
      </w:r>
      <w:r w:rsidRPr="000E5506">
        <w:rPr>
          <w:rFonts w:ascii="Palatino Linotype" w:eastAsia="Palatino Linotype" w:hAnsi="Palatino Linotype" w:cs="Palatino Linotype"/>
          <w:i/>
          <w:color w:val="000000"/>
          <w:lang w:eastAsia="es-MX"/>
        </w:rPr>
        <w:t>. Porcentajes, número y fechas de las exhibiciones y amortización de los anticipos que se otorguen; </w:t>
      </w:r>
    </w:p>
    <w:p w14:paraId="4BC9F687"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VII. Forma y términos de garantizar la correcta inversión de los anticipos y el cumplimiento del contrato;</w:t>
      </w:r>
    </w:p>
    <w:p w14:paraId="1E036ED7"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VIII</w:t>
      </w:r>
      <w:r w:rsidRPr="000E5506">
        <w:rPr>
          <w:rFonts w:ascii="Palatino Linotype" w:eastAsia="Palatino Linotype" w:hAnsi="Palatino Linotype" w:cs="Palatino Linotype"/>
          <w:i/>
          <w:color w:val="000000"/>
          <w:lang w:eastAsia="es-MX"/>
        </w:rPr>
        <w:t>. Plazos, forma y lugar de pago de las estimaciones de trabajos ejecutados y, cuando corresponda, de los ajustes de costos; </w:t>
      </w:r>
    </w:p>
    <w:p w14:paraId="04BFE0C3"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IX.</w:t>
      </w:r>
      <w:r w:rsidRPr="000E5506">
        <w:rPr>
          <w:rFonts w:ascii="Palatino Linotype" w:eastAsia="Palatino Linotype" w:hAnsi="Palatino Linotype" w:cs="Palatino Linotype"/>
          <w:i/>
          <w:color w:val="000000"/>
          <w:lang w:eastAsia="es-MX"/>
        </w:rPr>
        <w:t xml:space="preserve"> Penas convencionales por atraso en la ejecución de los trabajos por causas imputables a los contratistas, determinadas únicamente en función del incumplimiento al programa convenido, las que en ningún caso podrán ser superiores, en su conjunto, al monto de la garantía de cumplimiento. El contratante deberá establecer los términos, forma y porcentajes para aplicar las penas convencionales; </w:t>
      </w:r>
    </w:p>
    <w:p w14:paraId="501E4439"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X</w:t>
      </w:r>
      <w:r w:rsidRPr="000E5506">
        <w:rPr>
          <w:rFonts w:ascii="Palatino Linotype" w:eastAsia="Palatino Linotype" w:hAnsi="Palatino Linotype" w:cs="Palatino Linotype"/>
          <w:i/>
          <w:color w:val="000000"/>
          <w:lang w:eastAsia="es-MX"/>
        </w:rPr>
        <w:t>. Términos en que el contratista, en su caso, reintegrará las cantidades que hubiere recibido en exceso por la contratación o durante la ejecución de los trabajos, para lo cual se utilizará el procedimiento que se establezca; </w:t>
      </w:r>
    </w:p>
    <w:p w14:paraId="342C1F11"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XI</w:t>
      </w:r>
      <w:r w:rsidRPr="000E5506">
        <w:rPr>
          <w:rFonts w:ascii="Palatino Linotype" w:eastAsia="Palatino Linotype" w:hAnsi="Palatino Linotype" w:cs="Palatino Linotype"/>
          <w:i/>
          <w:color w:val="000000"/>
          <w:lang w:eastAsia="es-MX"/>
        </w:rPr>
        <w:t>. Procedimiento de ajuste de costos que deberá ser el determinado desde las bases de la licitación por el convocante, el cual deberá regir durante la vigencia del contrato; </w:t>
      </w:r>
    </w:p>
    <w:p w14:paraId="1BB09948"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XII</w:t>
      </w:r>
      <w:r w:rsidRPr="000E5506">
        <w:rPr>
          <w:rFonts w:ascii="Palatino Linotype" w:eastAsia="Palatino Linotype" w:hAnsi="Palatino Linotype" w:cs="Palatino Linotype"/>
          <w:i/>
          <w:color w:val="000000"/>
          <w:lang w:eastAsia="es-MX"/>
        </w:rPr>
        <w:t>. Causales y procedimiento mediante los cuales el contratante podrá dar por rescindido el contrato en los términos de este Reglamento; </w:t>
      </w:r>
    </w:p>
    <w:p w14:paraId="60F52B48"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 xml:space="preserve">XIII. </w:t>
      </w:r>
      <w:r w:rsidRPr="000E5506">
        <w:rPr>
          <w:rFonts w:ascii="Palatino Linotype" w:eastAsia="Palatino Linotype" w:hAnsi="Palatino Linotype" w:cs="Palatino Linotype"/>
          <w:i/>
          <w:color w:val="000000"/>
          <w:lang w:eastAsia="es-MX"/>
        </w:rPr>
        <w:t>Los procedimientos mediante los cuales las partes resolverán, entre sí, las discrepancias futuras y previsibles sobre problemas específicos de carácter técnico y administrativo;</w:t>
      </w:r>
    </w:p>
    <w:p w14:paraId="388A57FA"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XIV</w:t>
      </w:r>
      <w:r w:rsidRPr="000E5506">
        <w:rPr>
          <w:rFonts w:ascii="Palatino Linotype" w:eastAsia="Palatino Linotype" w:hAnsi="Palatino Linotype" w:cs="Palatino Linotype"/>
          <w:i/>
          <w:color w:val="000000"/>
          <w:lang w:eastAsia="es-MX"/>
        </w:rPr>
        <w:t>. Señalamiento del domicilio en el Estado para oír y recibir notificaciones; y </w:t>
      </w:r>
    </w:p>
    <w:p w14:paraId="2E5DDE19"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b/>
          <w:i/>
          <w:color w:val="000000"/>
          <w:lang w:eastAsia="es-MX"/>
        </w:rPr>
        <w:t xml:space="preserve">XV. </w:t>
      </w:r>
      <w:r w:rsidRPr="000E5506">
        <w:rPr>
          <w:rFonts w:ascii="Palatino Linotype" w:eastAsia="Palatino Linotype" w:hAnsi="Palatino Linotype" w:cs="Palatino Linotype"/>
          <w:i/>
          <w:color w:val="000000"/>
          <w:lang w:eastAsia="es-MX"/>
        </w:rPr>
        <w:t>Manifestación de renuncia expresa al fuero que les pudiera corresponder en función de su domicilio presente o futuro en el caso de que no se encuentre en el Estado de México. </w:t>
      </w:r>
    </w:p>
    <w:p w14:paraId="621E3B79"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i/>
          <w:color w:val="000000"/>
          <w:lang w:eastAsia="es-MX"/>
        </w:rPr>
        <w:t>El contrato deberá firmarse dentro de los diez días hábiles siguientes a la notificación del fallo. Se deberá entregar al contratista una copia del contrato firmado. </w:t>
      </w:r>
    </w:p>
    <w:p w14:paraId="3CDC7B5B" w14:textId="77777777" w:rsidR="00DA6E62" w:rsidRPr="000E5506" w:rsidRDefault="00DA6E62" w:rsidP="00DA6E62">
      <w:pPr>
        <w:pBdr>
          <w:top w:val="nil"/>
          <w:left w:val="nil"/>
          <w:bottom w:val="nil"/>
          <w:right w:val="nil"/>
          <w:between w:val="nil"/>
        </w:pBdr>
        <w:spacing w:before="240" w:after="24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i/>
          <w:color w:val="000000"/>
          <w:lang w:eastAsia="es-MX"/>
        </w:rPr>
        <w:t>Para los efectos del Libro y este Reglamento, el contrato, sus anexos y la bitácora son los instrumentos que establecen los derechos y obligaciones de las partes. </w:t>
      </w:r>
    </w:p>
    <w:p w14:paraId="71752933" w14:textId="77777777" w:rsidR="00DA6E62" w:rsidRPr="000E5506" w:rsidRDefault="00DA6E62" w:rsidP="00832A79">
      <w:pPr>
        <w:pBdr>
          <w:top w:val="nil"/>
          <w:left w:val="nil"/>
          <w:bottom w:val="nil"/>
          <w:right w:val="nil"/>
          <w:between w:val="nil"/>
        </w:pBdr>
        <w:spacing w:after="0" w:line="240" w:lineRule="auto"/>
        <w:ind w:left="426" w:right="560"/>
        <w:jc w:val="both"/>
        <w:rPr>
          <w:rFonts w:ascii="Palatino Linotype" w:eastAsia="Palatino Linotype" w:hAnsi="Palatino Linotype" w:cs="Palatino Linotype"/>
          <w:i/>
          <w:color w:val="000000"/>
          <w:lang w:eastAsia="es-MX"/>
        </w:rPr>
      </w:pPr>
      <w:r w:rsidRPr="000E5506">
        <w:rPr>
          <w:rFonts w:ascii="Palatino Linotype" w:eastAsia="Palatino Linotype" w:hAnsi="Palatino Linotype" w:cs="Palatino Linotype"/>
          <w:i/>
          <w:color w:val="000000"/>
          <w:lang w:eastAsia="es-MX"/>
        </w:rPr>
        <w:t xml:space="preserve">El contratante enviará a la Secretaría del Ramo y a la Contraloría un informe de los contratos formalizados por excepción a la licitación pública durante el mes inmediato anterior, dentro de los cinco primeros días hábiles de cada mes. De la misma manera, lo harán los </w:t>
      </w:r>
      <w:r w:rsidRPr="000E5506">
        <w:rPr>
          <w:rFonts w:ascii="Palatino Linotype" w:eastAsia="Palatino Linotype" w:hAnsi="Palatino Linotype" w:cs="Palatino Linotype"/>
          <w:i/>
          <w:color w:val="000000"/>
          <w:lang w:eastAsia="es-MX"/>
        </w:rPr>
        <w:lastRenderedPageBreak/>
        <w:t>ayuntamientos que en esas modalidades contraten obra pública o servicios con cargo total o parcial a los recursos estatales.</w:t>
      </w:r>
    </w:p>
    <w:p w14:paraId="41C98AA6" w14:textId="77777777" w:rsidR="00832A79" w:rsidRPr="000E5506" w:rsidRDefault="00832A79" w:rsidP="00832A7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6BA6CE2" w14:textId="6D506F45" w:rsidR="00DA6E62" w:rsidRPr="000E5506" w:rsidRDefault="00DA6E62" w:rsidP="00832A7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Por otro lado, es imprescindible mencionar que de conformidad con el ACUERDO DEL SECRETARIO DE INFRAESTRUCTURA POR EL QUE SE ESTABLECE EL ÍNDICE DE EXPEDIENTE ÚNICO DE OBRA PÚBLICA E INSTRUCTIVOS DE LLENADO EN LAS MODALIDADES DE ADJUDICACIÓN DIRECTA, INVITACIÓN RESTRINGIDA Y LICITACIÓN PÚBLICA, mediante el cual se establecen los índices de Expedientes Únicos de Obra e instructivos de llenado, en las modalidades de Adjudicación Directa, Invitación Restringida y Licitación Pública, para la integración del expediente único de obra pública que para tal efecto integran las dependencias, entidades, ayuntamientos y tribunales administrativos que ejecuten obra pública, los expedientes de Adjudicación Directa, Invitación Restringida y Licitación Pública, se integran de la siguiente manera:</w:t>
      </w:r>
    </w:p>
    <w:p w14:paraId="28EFEE8C" w14:textId="77777777" w:rsidR="00DA6E62" w:rsidRPr="000E5506" w:rsidRDefault="00DA6E62" w:rsidP="00DA6E62">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noProof/>
          <w:color w:val="000000"/>
          <w:lang w:eastAsia="es-MX"/>
        </w:rPr>
        <w:drawing>
          <wp:inline distT="0" distB="0" distL="0" distR="0" wp14:anchorId="36FDECB6" wp14:editId="5B20297D">
            <wp:extent cx="4122641" cy="2856377"/>
            <wp:effectExtent l="0" t="0" r="0" b="1270"/>
            <wp:docPr id="21401318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3111"/>
                    <a:stretch>
                      <a:fillRect/>
                    </a:stretch>
                  </pic:blipFill>
                  <pic:spPr>
                    <a:xfrm>
                      <a:off x="0" y="0"/>
                      <a:ext cx="4173569" cy="2891662"/>
                    </a:xfrm>
                    <a:prstGeom prst="rect">
                      <a:avLst/>
                    </a:prstGeom>
                    <a:ln/>
                  </pic:spPr>
                </pic:pic>
              </a:graphicData>
            </a:graphic>
          </wp:inline>
        </w:drawing>
      </w:r>
    </w:p>
    <w:p w14:paraId="179F3F89" w14:textId="77777777" w:rsidR="00DA6E62" w:rsidRPr="000E5506" w:rsidRDefault="00DA6E62" w:rsidP="00DA6E62">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noProof/>
          <w:color w:val="000000"/>
          <w:lang w:eastAsia="es-MX"/>
        </w:rPr>
        <w:lastRenderedPageBreak/>
        <w:drawing>
          <wp:inline distT="0" distB="0" distL="0" distR="0" wp14:anchorId="27690720" wp14:editId="0343133F">
            <wp:extent cx="5648325" cy="5162550"/>
            <wp:effectExtent l="0" t="0" r="9525" b="0"/>
            <wp:docPr id="21401318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48890" cy="5163066"/>
                    </a:xfrm>
                    <a:prstGeom prst="rect">
                      <a:avLst/>
                    </a:prstGeom>
                    <a:ln/>
                  </pic:spPr>
                </pic:pic>
              </a:graphicData>
            </a:graphic>
          </wp:inline>
        </w:drawing>
      </w:r>
    </w:p>
    <w:p w14:paraId="535539F8" w14:textId="77777777" w:rsidR="00DA6E62" w:rsidRPr="000E5506" w:rsidRDefault="00DA6E62" w:rsidP="00DA6E62">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lang w:eastAsia="es-MX"/>
        </w:rPr>
      </w:pPr>
    </w:p>
    <w:p w14:paraId="079DB8B6" w14:textId="77777777" w:rsidR="00DA6E62" w:rsidRPr="000E5506" w:rsidRDefault="00DA6E62" w:rsidP="00DA6E62">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noProof/>
          <w:color w:val="000000"/>
          <w:lang w:eastAsia="es-MX"/>
        </w:rPr>
        <w:lastRenderedPageBreak/>
        <w:drawing>
          <wp:inline distT="0" distB="0" distL="0" distR="0" wp14:anchorId="3F460957" wp14:editId="7CE123F3">
            <wp:extent cx="3943900" cy="7459116"/>
            <wp:effectExtent l="0" t="0" r="0" b="8890"/>
            <wp:docPr id="687347729" name="Imagen 68734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3900" cy="7459116"/>
                    </a:xfrm>
                    <a:prstGeom prst="rect">
                      <a:avLst/>
                    </a:prstGeom>
                  </pic:spPr>
                </pic:pic>
              </a:graphicData>
            </a:graphic>
          </wp:inline>
        </w:drawing>
      </w:r>
    </w:p>
    <w:p w14:paraId="48C3DAE2" w14:textId="77777777" w:rsidR="00DA6E62" w:rsidRPr="000E5506" w:rsidRDefault="00DA6E62" w:rsidP="00DA6E62">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noProof/>
          <w:color w:val="000000"/>
          <w:lang w:eastAsia="es-MX"/>
        </w:rPr>
        <w:lastRenderedPageBreak/>
        <w:drawing>
          <wp:inline distT="0" distB="0" distL="0" distR="0" wp14:anchorId="642D0DD9" wp14:editId="2F791F51">
            <wp:extent cx="4944165" cy="7449590"/>
            <wp:effectExtent l="0" t="0" r="0" b="0"/>
            <wp:docPr id="21401318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944165" cy="7449590"/>
                    </a:xfrm>
                    <a:prstGeom prst="rect">
                      <a:avLst/>
                    </a:prstGeom>
                    <a:ln/>
                  </pic:spPr>
                </pic:pic>
              </a:graphicData>
            </a:graphic>
          </wp:inline>
        </w:drawing>
      </w:r>
    </w:p>
    <w:p w14:paraId="1CB0F5DB" w14:textId="77777777" w:rsidR="00DA6E62" w:rsidRPr="000E5506" w:rsidRDefault="00DA6E62" w:rsidP="00DA6E62">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lang w:eastAsia="es-MX"/>
        </w:rPr>
      </w:pPr>
      <w:r w:rsidRPr="000E5506">
        <w:rPr>
          <w:rFonts w:ascii="Palatino Linotype" w:eastAsia="Palatino Linotype" w:hAnsi="Palatino Linotype" w:cs="Palatino Linotype"/>
          <w:noProof/>
          <w:color w:val="000000"/>
          <w:lang w:eastAsia="es-MX"/>
        </w:rPr>
        <w:lastRenderedPageBreak/>
        <w:drawing>
          <wp:inline distT="0" distB="0" distL="0" distR="0" wp14:anchorId="54B325F7" wp14:editId="77C44FC4">
            <wp:extent cx="4788000" cy="2233679"/>
            <wp:effectExtent l="0" t="0" r="0" b="0"/>
            <wp:docPr id="214013186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64120" b="629"/>
                    <a:stretch>
                      <a:fillRect/>
                    </a:stretch>
                  </pic:blipFill>
                  <pic:spPr>
                    <a:xfrm>
                      <a:off x="0" y="0"/>
                      <a:ext cx="4788000" cy="2233679"/>
                    </a:xfrm>
                    <a:prstGeom prst="rect">
                      <a:avLst/>
                    </a:prstGeom>
                    <a:ln/>
                  </pic:spPr>
                </pic:pic>
              </a:graphicData>
            </a:graphic>
          </wp:inline>
        </w:drawing>
      </w:r>
    </w:p>
    <w:p w14:paraId="140F943F" w14:textId="7BE47886" w:rsidR="00DA6E62" w:rsidRPr="000E5506" w:rsidRDefault="00DA6E62" w:rsidP="00832A7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 xml:space="preserve">De las imágenes insertas se advierten los elementos que deben contener los expedientes únicos de obra pública, entre los que se encuentran los contratos celebrados y la autorización de precios unitarios, en las modalidades de </w:t>
      </w:r>
      <w:r w:rsidRPr="000E5506">
        <w:rPr>
          <w:rFonts w:ascii="Palatino Linotype" w:eastAsia="Palatino Linotype" w:hAnsi="Palatino Linotype" w:cs="Palatino Linotype"/>
          <w:b/>
          <w:color w:val="000000"/>
          <w:sz w:val="24"/>
          <w:szCs w:val="24"/>
          <w:lang w:eastAsia="es-MX"/>
        </w:rPr>
        <w:t>adjudicación directa</w:t>
      </w:r>
      <w:r w:rsidRPr="000E5506">
        <w:rPr>
          <w:rFonts w:ascii="Palatino Linotype" w:eastAsia="Palatino Linotype" w:hAnsi="Palatino Linotype" w:cs="Palatino Linotype"/>
          <w:color w:val="000000"/>
          <w:sz w:val="24"/>
          <w:szCs w:val="24"/>
          <w:lang w:eastAsia="es-MX"/>
        </w:rPr>
        <w:t xml:space="preserve">, </w:t>
      </w:r>
      <w:r w:rsidRPr="000E5506">
        <w:rPr>
          <w:rFonts w:ascii="Palatino Linotype" w:eastAsia="Palatino Linotype" w:hAnsi="Palatino Linotype" w:cs="Palatino Linotype"/>
          <w:b/>
          <w:bCs/>
          <w:color w:val="000000"/>
          <w:sz w:val="24"/>
          <w:szCs w:val="24"/>
          <w:lang w:eastAsia="es-MX"/>
        </w:rPr>
        <w:t>invitación restringida y licitación pública</w:t>
      </w:r>
      <w:r w:rsidRPr="000E5506">
        <w:rPr>
          <w:rFonts w:ascii="Palatino Linotype" w:eastAsia="Palatino Linotype" w:hAnsi="Palatino Linotype" w:cs="Palatino Linotype"/>
          <w:color w:val="000000"/>
          <w:sz w:val="24"/>
          <w:szCs w:val="24"/>
          <w:lang w:eastAsia="es-MX"/>
        </w:rPr>
        <w:t>, incluyen diversos documentos.</w:t>
      </w:r>
    </w:p>
    <w:p w14:paraId="52D78376" w14:textId="77777777" w:rsidR="00832A79" w:rsidRPr="000E5506" w:rsidRDefault="00832A79" w:rsidP="00A96F6D">
      <w:pPr>
        <w:spacing w:line="360" w:lineRule="auto"/>
        <w:ind w:right="141"/>
        <w:jc w:val="both"/>
        <w:rPr>
          <w:rFonts w:ascii="Palatino Linotype" w:hAnsi="Palatino Linotype" w:cs="Arial"/>
          <w:iCs/>
          <w:sz w:val="24"/>
          <w:szCs w:val="24"/>
        </w:rPr>
      </w:pPr>
    </w:p>
    <w:p w14:paraId="6787B9F8" w14:textId="51C96B9D" w:rsidR="00A96F6D" w:rsidRPr="000E5506" w:rsidRDefault="00832A79" w:rsidP="00A96F6D">
      <w:pPr>
        <w:spacing w:line="360" w:lineRule="auto"/>
        <w:ind w:right="141"/>
        <w:jc w:val="both"/>
        <w:rPr>
          <w:rFonts w:ascii="Palatino Linotype" w:eastAsia="Times New Roman" w:hAnsi="Palatino Linotype" w:cs="Times New Roman"/>
          <w:sz w:val="24"/>
          <w:szCs w:val="24"/>
          <w:lang w:val="es-ES_tradnl" w:eastAsia="es-ES"/>
        </w:rPr>
      </w:pPr>
      <w:r w:rsidRPr="000E5506">
        <w:rPr>
          <w:rFonts w:ascii="Palatino Linotype" w:hAnsi="Palatino Linotype" w:cs="Arial"/>
          <w:iCs/>
          <w:sz w:val="24"/>
          <w:szCs w:val="24"/>
        </w:rPr>
        <w:t>Además de lo anterior, no debe perderse de vista que</w:t>
      </w:r>
      <w:r w:rsidR="00A96F6D" w:rsidRPr="000E5506">
        <w:rPr>
          <w:rFonts w:ascii="Palatino Linotype" w:hAnsi="Palatino Linotype" w:cs="Arial"/>
          <w:iCs/>
          <w:sz w:val="24"/>
          <w:szCs w:val="24"/>
        </w:rPr>
        <w:t xml:space="preserve">, </w:t>
      </w:r>
      <w:r w:rsidR="00A96F6D" w:rsidRPr="000E5506">
        <w:rPr>
          <w:rFonts w:ascii="Palatino Linotype" w:hAnsi="Palatino Linotype" w:cs="Arial"/>
          <w:b/>
          <w:bCs/>
          <w:iCs/>
          <w:sz w:val="24"/>
          <w:szCs w:val="24"/>
          <w:u w:val="thick"/>
        </w:rPr>
        <w:t>los contratos</w:t>
      </w:r>
      <w:r w:rsidR="00A96F6D" w:rsidRPr="000E5506">
        <w:rPr>
          <w:rFonts w:ascii="Palatino Linotype" w:hAnsi="Palatino Linotype" w:cs="Arial"/>
          <w:iCs/>
          <w:sz w:val="24"/>
          <w:szCs w:val="24"/>
        </w:rPr>
        <w:t xml:space="preserve">, </w:t>
      </w:r>
      <w:r w:rsidR="00A96F6D" w:rsidRPr="000E5506">
        <w:rPr>
          <w:rFonts w:ascii="Palatino Linotype" w:eastAsia="Times New Roman" w:hAnsi="Palatino Linotype" w:cs="Times New Roman"/>
          <w:sz w:val="24"/>
          <w:szCs w:val="24"/>
          <w:lang w:val="es-ES" w:eastAsia="es-MX"/>
        </w:rPr>
        <w:t xml:space="preserve">forma parte de las Obligaciones de Transparencia Comunes del </w:t>
      </w:r>
      <w:r w:rsidR="00A96F6D" w:rsidRPr="000E5506">
        <w:rPr>
          <w:rFonts w:ascii="Palatino Linotype" w:eastAsia="Times New Roman" w:hAnsi="Palatino Linotype" w:cs="Times New Roman"/>
          <w:b/>
          <w:sz w:val="24"/>
          <w:szCs w:val="24"/>
          <w:lang w:val="es-ES" w:eastAsia="es-MX"/>
        </w:rPr>
        <w:t>Sujeto Obligado</w:t>
      </w:r>
      <w:r w:rsidR="00A96F6D" w:rsidRPr="000E5506">
        <w:rPr>
          <w:rFonts w:ascii="Palatino Linotype" w:eastAsia="Times New Roman" w:hAnsi="Palatino Linotype" w:cs="Times New Roman"/>
          <w:sz w:val="24"/>
          <w:szCs w:val="24"/>
          <w:lang w:val="es-ES" w:eastAsia="es-MX"/>
        </w:rPr>
        <w:t xml:space="preserve">, lo que nos </w:t>
      </w:r>
      <w:r w:rsidR="00A96F6D" w:rsidRPr="000E5506">
        <w:rPr>
          <w:rFonts w:ascii="Palatino Linotype" w:eastAsia="Times New Roman" w:hAnsi="Palatino Linotype" w:cs="Times New Roman"/>
          <w:sz w:val="24"/>
          <w:szCs w:val="24"/>
          <w:lang w:val="es-ES_tradnl" w:eastAsia="es-ES"/>
        </w:rPr>
        <w:t>permite traer a colación lo dispuesto por la fracción XXIX y XXXII, del artículo 92, de la Ley de Transparencia y Acceso a la Información Pública del Estado de México y Municipios en el cual se aprecia lo siguiente:</w:t>
      </w:r>
    </w:p>
    <w:p w14:paraId="5CF64020" w14:textId="77777777" w:rsidR="00A96F6D" w:rsidRPr="000E5506" w:rsidRDefault="00A96F6D" w:rsidP="00A96F6D">
      <w:pPr>
        <w:pStyle w:val="Sinespaciado"/>
        <w:rPr>
          <w:lang w:val="es-ES" w:eastAsia="es-MX"/>
        </w:rPr>
      </w:pPr>
    </w:p>
    <w:p w14:paraId="6E06EE14" w14:textId="77777777" w:rsidR="00A96F6D" w:rsidRPr="000E5506" w:rsidRDefault="00A96F6D" w:rsidP="00A96F6D">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w:t>
      </w:r>
      <w:r w:rsidRPr="000E5506">
        <w:rPr>
          <w:rFonts w:ascii="Palatino Linotype" w:eastAsia="Times New Roman" w:hAnsi="Palatino Linotype" w:cs="Arial"/>
          <w:b/>
          <w:i/>
          <w:szCs w:val="24"/>
          <w:lang w:val="es-ES" w:eastAsia="es-ES"/>
        </w:rPr>
        <w:t>Artículo 92</w:t>
      </w:r>
      <w:r w:rsidRPr="000E5506">
        <w:rPr>
          <w:rFonts w:ascii="Palatino Linotype" w:eastAsia="Times New Roman" w:hAnsi="Palatino Linotype" w:cs="Arial"/>
          <w:i/>
          <w:szCs w:val="24"/>
          <w:lang w:val="es-ES" w:eastAsia="es-ES"/>
        </w:rPr>
        <w:t xml:space="preserve">. </w:t>
      </w:r>
      <w:r w:rsidRPr="000E5506">
        <w:rPr>
          <w:rFonts w:ascii="Palatino Linotype" w:eastAsia="Times New Roman" w:hAnsi="Palatino Linotype" w:cs="Arial"/>
          <w:b/>
          <w:i/>
          <w:szCs w:val="24"/>
          <w:u w:val="single"/>
          <w:lang w:val="es-ES" w:eastAsia="es-ES"/>
        </w:rPr>
        <w:t>Los sujetos obligados deberán poner a disposición del público de manera permanente y actualizada de forma sencilla, precisa y entendible, en los respectivos medios electrónicos</w:t>
      </w:r>
      <w:r w:rsidRPr="000E5506">
        <w:rPr>
          <w:rFonts w:ascii="Palatino Linotype" w:eastAsia="Times New Roman" w:hAnsi="Palatino Linotype" w:cs="Arial"/>
          <w:i/>
          <w:szCs w:val="24"/>
          <w:lang w:val="es-ES" w:eastAsia="es-ES"/>
        </w:rPr>
        <w:t xml:space="preserve">, de acuerdo con sus facultades, atribuciones, funciones u objeto social, según corresponda, la información, </w:t>
      </w:r>
      <w:r w:rsidRPr="000E5506">
        <w:rPr>
          <w:rFonts w:ascii="Palatino Linotype" w:eastAsia="Times New Roman" w:hAnsi="Palatino Linotype" w:cs="Arial"/>
          <w:b/>
          <w:i/>
          <w:szCs w:val="24"/>
          <w:u w:val="single"/>
          <w:lang w:val="es-ES" w:eastAsia="es-ES"/>
        </w:rPr>
        <w:t>por lo menos, de los temas, documentos y políticas que a continuación se señalan</w:t>
      </w:r>
      <w:r w:rsidRPr="000E5506">
        <w:rPr>
          <w:rFonts w:ascii="Palatino Linotype" w:eastAsia="Times New Roman" w:hAnsi="Palatino Linotype" w:cs="Arial"/>
          <w:i/>
          <w:szCs w:val="24"/>
          <w:lang w:val="es-ES" w:eastAsia="es-ES"/>
        </w:rPr>
        <w:t>:</w:t>
      </w:r>
    </w:p>
    <w:p w14:paraId="1AE86908" w14:textId="77777777" w:rsidR="00A96F6D" w:rsidRPr="000E5506" w:rsidRDefault="00A96F6D" w:rsidP="00A96F6D">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w:t>
      </w:r>
    </w:p>
    <w:p w14:paraId="611223CF" w14:textId="77777777" w:rsidR="00A96F6D" w:rsidRPr="000E5506" w:rsidRDefault="00A96F6D" w:rsidP="00A96F6D">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b/>
          <w:i/>
          <w:szCs w:val="24"/>
          <w:lang w:val="es-ES" w:eastAsia="es-ES"/>
        </w:rPr>
        <w:t>XXIX.</w:t>
      </w:r>
      <w:r w:rsidRPr="000E5506">
        <w:rPr>
          <w:rFonts w:ascii="Palatino Linotype" w:eastAsia="Times New Roman" w:hAnsi="Palatino Linotype" w:cs="Arial"/>
          <w:b/>
          <w:i/>
          <w:szCs w:val="24"/>
          <w:lang w:val="es-ES" w:eastAsia="es-ES"/>
        </w:rPr>
        <w:tab/>
      </w:r>
      <w:r w:rsidRPr="000E5506">
        <w:rPr>
          <w:rFonts w:ascii="Palatino Linotype" w:eastAsia="Times New Roman" w:hAnsi="Palatino Linotype" w:cs="Arial"/>
          <w:b/>
          <w:i/>
          <w:szCs w:val="24"/>
          <w:u w:val="single"/>
          <w:lang w:val="es-ES" w:eastAsia="es-ES"/>
        </w:rPr>
        <w:t xml:space="preserve">La información sobre los procesos y resultados sobre procedimientos de adjudicación directa, invitación restringida y licitación de cualquier </w:t>
      </w:r>
      <w:r w:rsidRPr="000E5506">
        <w:rPr>
          <w:rFonts w:ascii="Palatino Linotype" w:eastAsia="Times New Roman" w:hAnsi="Palatino Linotype" w:cs="Arial"/>
          <w:b/>
          <w:i/>
          <w:szCs w:val="24"/>
          <w:u w:val="single"/>
          <w:lang w:val="es-ES" w:eastAsia="es-ES"/>
        </w:rPr>
        <w:lastRenderedPageBreak/>
        <w:t>naturaleza, incluyendo la versión pública del expediente respectivo y de los contratos celebrados</w:t>
      </w:r>
      <w:r w:rsidRPr="000E5506">
        <w:rPr>
          <w:rFonts w:ascii="Palatino Linotype" w:eastAsia="Times New Roman" w:hAnsi="Palatino Linotype" w:cs="Arial"/>
          <w:i/>
          <w:szCs w:val="24"/>
          <w:lang w:val="es-ES" w:eastAsia="es-ES"/>
        </w:rPr>
        <w:t xml:space="preserve">, que deberán contener, por los menos, lo siguiente: </w:t>
      </w:r>
    </w:p>
    <w:p w14:paraId="0FF4961E" w14:textId="77777777" w:rsidR="00A96F6D" w:rsidRPr="000E5506" w:rsidRDefault="00A96F6D" w:rsidP="00A96F6D">
      <w:pPr>
        <w:tabs>
          <w:tab w:val="left" w:pos="851"/>
        </w:tabs>
        <w:spacing w:after="0" w:line="240" w:lineRule="auto"/>
        <w:ind w:left="709" w:right="709"/>
        <w:jc w:val="both"/>
        <w:rPr>
          <w:rFonts w:ascii="Palatino Linotype" w:eastAsia="Times New Roman" w:hAnsi="Palatino Linotype" w:cs="Arial"/>
          <w:i/>
          <w:szCs w:val="24"/>
          <w:lang w:val="es-ES" w:eastAsia="es-ES"/>
        </w:rPr>
      </w:pPr>
    </w:p>
    <w:p w14:paraId="352FAF2D" w14:textId="77777777" w:rsidR="00A96F6D" w:rsidRPr="000E5506" w:rsidRDefault="00A96F6D" w:rsidP="00A96F6D">
      <w:pPr>
        <w:tabs>
          <w:tab w:val="left" w:pos="851"/>
        </w:tabs>
        <w:spacing w:after="0" w:line="240" w:lineRule="auto"/>
        <w:ind w:left="709" w:right="709"/>
        <w:jc w:val="both"/>
        <w:rPr>
          <w:rFonts w:ascii="Palatino Linotype" w:eastAsia="Times New Roman" w:hAnsi="Palatino Linotype" w:cs="Arial"/>
          <w:b/>
          <w:bCs/>
          <w:i/>
          <w:szCs w:val="24"/>
          <w:lang w:val="es-ES" w:eastAsia="es-ES"/>
        </w:rPr>
      </w:pPr>
      <w:r w:rsidRPr="000E5506">
        <w:rPr>
          <w:rFonts w:ascii="Palatino Linotype" w:eastAsia="Times New Roman" w:hAnsi="Palatino Linotype" w:cs="Arial"/>
          <w:b/>
          <w:bCs/>
          <w:i/>
          <w:szCs w:val="24"/>
          <w:lang w:val="es-ES" w:eastAsia="es-ES"/>
        </w:rPr>
        <w:t>a)</w:t>
      </w:r>
      <w:r w:rsidRPr="000E5506">
        <w:rPr>
          <w:rFonts w:ascii="Palatino Linotype" w:eastAsia="Times New Roman" w:hAnsi="Palatino Linotype" w:cs="Arial"/>
          <w:b/>
          <w:bCs/>
          <w:i/>
          <w:szCs w:val="24"/>
          <w:lang w:val="es-ES" w:eastAsia="es-ES"/>
        </w:rPr>
        <w:tab/>
        <w:t xml:space="preserve">De licitaciones públicas o procedimientos de invitación restringida: </w:t>
      </w:r>
    </w:p>
    <w:p w14:paraId="0160269F"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w:t>
      </w:r>
      <w:r w:rsidRPr="000E5506">
        <w:rPr>
          <w:rFonts w:ascii="Palatino Linotype" w:eastAsia="Times New Roman" w:hAnsi="Palatino Linotype" w:cs="Arial"/>
          <w:i/>
          <w:szCs w:val="24"/>
          <w:lang w:val="es-ES" w:eastAsia="es-ES"/>
        </w:rPr>
        <w:tab/>
        <w:t xml:space="preserve">La convocatoria o invitación emitida, así como los fundamentos legales aplicados para llevarla a cabo; </w:t>
      </w:r>
    </w:p>
    <w:p w14:paraId="60B649FF"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2)</w:t>
      </w:r>
      <w:r w:rsidRPr="000E5506">
        <w:rPr>
          <w:rFonts w:ascii="Palatino Linotype" w:eastAsia="Times New Roman" w:hAnsi="Palatino Linotype" w:cs="Arial"/>
          <w:i/>
          <w:szCs w:val="24"/>
          <w:lang w:val="es-ES" w:eastAsia="es-ES"/>
        </w:rPr>
        <w:tab/>
        <w:t xml:space="preserve">Los nombres de los participantes o invitados; </w:t>
      </w:r>
    </w:p>
    <w:p w14:paraId="4C41AA3B"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3)</w:t>
      </w:r>
      <w:r w:rsidRPr="000E5506">
        <w:rPr>
          <w:rFonts w:ascii="Palatino Linotype" w:eastAsia="Times New Roman" w:hAnsi="Palatino Linotype" w:cs="Arial"/>
          <w:i/>
          <w:szCs w:val="24"/>
          <w:lang w:val="es-ES" w:eastAsia="es-ES"/>
        </w:rPr>
        <w:tab/>
        <w:t xml:space="preserve">El nombre del ganador y las razones que lo justifican; </w:t>
      </w:r>
    </w:p>
    <w:p w14:paraId="0E2C82A3"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4)</w:t>
      </w:r>
      <w:r w:rsidRPr="000E5506">
        <w:rPr>
          <w:rFonts w:ascii="Palatino Linotype" w:eastAsia="Times New Roman" w:hAnsi="Palatino Linotype" w:cs="Arial"/>
          <w:i/>
          <w:szCs w:val="24"/>
          <w:lang w:val="es-ES" w:eastAsia="es-ES"/>
        </w:rPr>
        <w:tab/>
        <w:t xml:space="preserve">El área solicitante y la responsable de su ejecución; </w:t>
      </w:r>
    </w:p>
    <w:p w14:paraId="5C9C5B97"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5)</w:t>
      </w:r>
      <w:r w:rsidRPr="000E5506">
        <w:rPr>
          <w:rFonts w:ascii="Palatino Linotype" w:eastAsia="Times New Roman" w:hAnsi="Palatino Linotype" w:cs="Arial"/>
          <w:i/>
          <w:szCs w:val="24"/>
          <w:lang w:val="es-ES" w:eastAsia="es-ES"/>
        </w:rPr>
        <w:tab/>
        <w:t xml:space="preserve">Las convocatorias e invitaciones emitidas; </w:t>
      </w:r>
    </w:p>
    <w:p w14:paraId="7572886B"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6)</w:t>
      </w:r>
      <w:r w:rsidRPr="000E5506">
        <w:rPr>
          <w:rFonts w:ascii="Palatino Linotype" w:eastAsia="Times New Roman" w:hAnsi="Palatino Linotype" w:cs="Arial"/>
          <w:i/>
          <w:szCs w:val="24"/>
          <w:lang w:val="es-ES" w:eastAsia="es-ES"/>
        </w:rPr>
        <w:tab/>
        <w:t xml:space="preserve">Los dictámenes y fallo de adjudicación; </w:t>
      </w:r>
    </w:p>
    <w:p w14:paraId="45E86589"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7)</w:t>
      </w:r>
      <w:r w:rsidRPr="000E5506">
        <w:rPr>
          <w:rFonts w:ascii="Palatino Linotype" w:eastAsia="Times New Roman" w:hAnsi="Palatino Linotype" w:cs="Arial"/>
          <w:i/>
          <w:szCs w:val="24"/>
          <w:lang w:val="es-ES" w:eastAsia="es-ES"/>
        </w:rPr>
        <w:tab/>
      </w:r>
      <w:r w:rsidRPr="000E5506">
        <w:rPr>
          <w:rFonts w:ascii="Palatino Linotype" w:eastAsia="Times New Roman" w:hAnsi="Palatino Linotype" w:cs="Arial"/>
          <w:b/>
          <w:i/>
          <w:szCs w:val="24"/>
          <w:u w:val="single"/>
          <w:lang w:val="es-ES" w:eastAsia="es-ES"/>
        </w:rPr>
        <w:t>El contrato y, en su caso, sus anexos</w:t>
      </w:r>
      <w:r w:rsidRPr="000E5506">
        <w:rPr>
          <w:rFonts w:ascii="Palatino Linotype" w:eastAsia="Times New Roman" w:hAnsi="Palatino Linotype" w:cs="Arial"/>
          <w:i/>
          <w:szCs w:val="24"/>
          <w:lang w:val="es-ES" w:eastAsia="es-ES"/>
        </w:rPr>
        <w:t xml:space="preserve">; </w:t>
      </w:r>
    </w:p>
    <w:p w14:paraId="7F8C0B90"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8)</w:t>
      </w:r>
      <w:r w:rsidRPr="000E5506">
        <w:rPr>
          <w:rFonts w:ascii="Palatino Linotype" w:eastAsia="Times New Roman" w:hAnsi="Palatino Linotype" w:cs="Arial"/>
          <w:i/>
          <w:szCs w:val="24"/>
          <w:lang w:val="es-ES" w:eastAsia="es-ES"/>
        </w:rPr>
        <w:tab/>
        <w:t xml:space="preserve">Los mecanismos de vigilancia y supervisión, incluyendo en su caso, los estudios de impacto urbano y ambiental, según corresponda; </w:t>
      </w:r>
    </w:p>
    <w:p w14:paraId="3AA48880"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9)</w:t>
      </w:r>
      <w:r w:rsidRPr="000E5506">
        <w:rPr>
          <w:rFonts w:ascii="Palatino Linotype" w:eastAsia="Times New Roman" w:hAnsi="Palatino Linotype" w:cs="Arial"/>
          <w:i/>
          <w:szCs w:val="24"/>
          <w:lang w:val="es-ES" w:eastAsia="es-ES"/>
        </w:rPr>
        <w:tab/>
        <w:t xml:space="preserve">La partida presupuestal, de conformidad con el clasificador por objeto del gasto, en el caso de ser aplicable; </w:t>
      </w:r>
    </w:p>
    <w:p w14:paraId="551573A3"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10)</w:t>
      </w:r>
      <w:r w:rsidRPr="000E5506">
        <w:rPr>
          <w:rFonts w:ascii="Palatino Linotype" w:eastAsia="Times New Roman" w:hAnsi="Palatino Linotype" w:cs="Arial"/>
          <w:i/>
          <w:szCs w:val="24"/>
          <w:lang w:val="es-ES" w:eastAsia="es-ES"/>
        </w:rPr>
        <w:tab/>
        <w:t xml:space="preserve">Origen de los recursos especificando si son federales, estatales o municipales, así como el tipo de fondo de participación o aportación respectiva; </w:t>
      </w:r>
    </w:p>
    <w:p w14:paraId="33020597"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11)</w:t>
      </w:r>
      <w:r w:rsidRPr="000E5506">
        <w:rPr>
          <w:rFonts w:ascii="Palatino Linotype" w:eastAsia="Times New Roman" w:hAnsi="Palatino Linotype" w:cs="Arial"/>
          <w:i/>
          <w:szCs w:val="24"/>
          <w:lang w:val="es-ES" w:eastAsia="es-ES"/>
        </w:rPr>
        <w:tab/>
        <w:t xml:space="preserve">Los convenios modificatorios que, en su caso, sean firmados, precisando el objeto y la fecha de celebración; </w:t>
      </w:r>
    </w:p>
    <w:p w14:paraId="6F9D2F5E"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12)</w:t>
      </w:r>
      <w:r w:rsidRPr="000E5506">
        <w:rPr>
          <w:rFonts w:ascii="Palatino Linotype" w:eastAsia="Times New Roman" w:hAnsi="Palatino Linotype" w:cs="Arial"/>
          <w:i/>
          <w:szCs w:val="24"/>
          <w:lang w:val="es-ES" w:eastAsia="es-ES"/>
        </w:rPr>
        <w:tab/>
        <w:t xml:space="preserve">Los informes de avance físico y financiero sobre las obras o servicios contratados; </w:t>
      </w:r>
    </w:p>
    <w:p w14:paraId="7C2F2E38"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13)</w:t>
      </w:r>
      <w:r w:rsidRPr="000E5506">
        <w:rPr>
          <w:rFonts w:ascii="Palatino Linotype" w:eastAsia="Times New Roman" w:hAnsi="Palatino Linotype" w:cs="Arial"/>
          <w:i/>
          <w:szCs w:val="24"/>
          <w:lang w:val="es-ES" w:eastAsia="es-ES"/>
        </w:rPr>
        <w:tab/>
        <w:t xml:space="preserve">El convenio de terminación; y </w:t>
      </w:r>
    </w:p>
    <w:p w14:paraId="390D0AF6"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14)</w:t>
      </w:r>
      <w:r w:rsidRPr="000E5506">
        <w:rPr>
          <w:rFonts w:ascii="Palatino Linotype" w:eastAsia="Times New Roman" w:hAnsi="Palatino Linotype" w:cs="Arial"/>
          <w:i/>
          <w:szCs w:val="24"/>
          <w:lang w:val="es-ES" w:eastAsia="es-ES"/>
        </w:rPr>
        <w:tab/>
        <w:t xml:space="preserve">El finiquito. </w:t>
      </w:r>
    </w:p>
    <w:p w14:paraId="446A5982"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p>
    <w:p w14:paraId="3EF89769" w14:textId="77777777" w:rsidR="00A96F6D" w:rsidRPr="000E5506" w:rsidRDefault="00A96F6D" w:rsidP="00A96F6D">
      <w:pPr>
        <w:tabs>
          <w:tab w:val="left" w:pos="851"/>
        </w:tabs>
        <w:spacing w:after="0" w:line="240" w:lineRule="auto"/>
        <w:ind w:left="709" w:right="709"/>
        <w:jc w:val="both"/>
        <w:rPr>
          <w:rFonts w:ascii="Palatino Linotype" w:eastAsia="Times New Roman" w:hAnsi="Palatino Linotype" w:cs="Arial"/>
          <w:b/>
          <w:bCs/>
          <w:i/>
          <w:szCs w:val="24"/>
          <w:lang w:val="es-ES" w:eastAsia="es-ES"/>
        </w:rPr>
      </w:pPr>
      <w:r w:rsidRPr="000E5506">
        <w:rPr>
          <w:rFonts w:ascii="Palatino Linotype" w:eastAsia="Times New Roman" w:hAnsi="Palatino Linotype" w:cs="Arial"/>
          <w:b/>
          <w:bCs/>
          <w:i/>
          <w:szCs w:val="24"/>
          <w:lang w:val="es-ES" w:eastAsia="es-ES"/>
        </w:rPr>
        <w:t>b)</w:t>
      </w:r>
      <w:r w:rsidRPr="000E5506">
        <w:rPr>
          <w:rFonts w:ascii="Palatino Linotype" w:eastAsia="Times New Roman" w:hAnsi="Palatino Linotype" w:cs="Arial"/>
          <w:b/>
          <w:bCs/>
          <w:i/>
          <w:szCs w:val="24"/>
          <w:lang w:val="es-ES" w:eastAsia="es-ES"/>
        </w:rPr>
        <w:tab/>
        <w:t>De las adjudicaciones directas:</w:t>
      </w:r>
    </w:p>
    <w:p w14:paraId="61D5600C"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w:t>
      </w:r>
      <w:r w:rsidRPr="000E5506">
        <w:rPr>
          <w:rFonts w:ascii="Palatino Linotype" w:eastAsia="Times New Roman" w:hAnsi="Palatino Linotype" w:cs="Arial"/>
          <w:i/>
          <w:szCs w:val="24"/>
          <w:lang w:val="es-ES" w:eastAsia="es-ES"/>
        </w:rPr>
        <w:tab/>
        <w:t xml:space="preserve">La propuesta enviada por el participante; </w:t>
      </w:r>
    </w:p>
    <w:p w14:paraId="51D2A272"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2)</w:t>
      </w:r>
      <w:r w:rsidRPr="000E5506">
        <w:rPr>
          <w:rFonts w:ascii="Palatino Linotype" w:eastAsia="Times New Roman" w:hAnsi="Palatino Linotype" w:cs="Arial"/>
          <w:i/>
          <w:szCs w:val="24"/>
          <w:lang w:val="es-ES" w:eastAsia="es-ES"/>
        </w:rPr>
        <w:tab/>
        <w:t xml:space="preserve">Los motivos y fundamentos legales aplicados para llevarla a cabo; </w:t>
      </w:r>
    </w:p>
    <w:p w14:paraId="18AED372"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3)</w:t>
      </w:r>
      <w:r w:rsidRPr="000E5506">
        <w:rPr>
          <w:rFonts w:ascii="Palatino Linotype" w:eastAsia="Times New Roman" w:hAnsi="Palatino Linotype" w:cs="Arial"/>
          <w:i/>
          <w:szCs w:val="24"/>
          <w:lang w:val="es-ES" w:eastAsia="es-ES"/>
        </w:rPr>
        <w:tab/>
        <w:t xml:space="preserve">La autorización del ejercicio de la opción; </w:t>
      </w:r>
    </w:p>
    <w:p w14:paraId="05F282B3"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4)</w:t>
      </w:r>
      <w:r w:rsidRPr="000E5506">
        <w:rPr>
          <w:rFonts w:ascii="Palatino Linotype" w:eastAsia="Times New Roman" w:hAnsi="Palatino Linotype" w:cs="Arial"/>
          <w:i/>
          <w:szCs w:val="24"/>
          <w:lang w:val="es-ES" w:eastAsia="es-ES"/>
        </w:rPr>
        <w:tab/>
        <w:t xml:space="preserve">En su caso, las cotizaciones consideradas, especificando los nombres de los proveedores y sus montos; </w:t>
      </w:r>
    </w:p>
    <w:p w14:paraId="438CCF0A"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5)</w:t>
      </w:r>
      <w:r w:rsidRPr="000E5506">
        <w:rPr>
          <w:rFonts w:ascii="Palatino Linotype" w:eastAsia="Times New Roman" w:hAnsi="Palatino Linotype" w:cs="Arial"/>
          <w:i/>
          <w:szCs w:val="24"/>
          <w:lang w:val="es-ES" w:eastAsia="es-ES"/>
        </w:rPr>
        <w:tab/>
        <w:t xml:space="preserve">El nombre de la persona física o jurídica colectiva adjudicada; </w:t>
      </w:r>
    </w:p>
    <w:p w14:paraId="0BEF8D73"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6)</w:t>
      </w:r>
      <w:r w:rsidRPr="000E5506">
        <w:rPr>
          <w:rFonts w:ascii="Palatino Linotype" w:eastAsia="Times New Roman" w:hAnsi="Palatino Linotype" w:cs="Arial"/>
          <w:i/>
          <w:szCs w:val="24"/>
          <w:lang w:val="es-ES" w:eastAsia="es-ES"/>
        </w:rPr>
        <w:tab/>
        <w:t xml:space="preserve">La unidad administrativa solicitante y la responsable de su ejecución; </w:t>
      </w:r>
    </w:p>
    <w:p w14:paraId="00122DF4"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7)</w:t>
      </w:r>
      <w:r w:rsidRPr="000E5506">
        <w:rPr>
          <w:rFonts w:ascii="Palatino Linotype" w:eastAsia="Times New Roman" w:hAnsi="Palatino Linotype" w:cs="Arial"/>
          <w:i/>
          <w:szCs w:val="24"/>
          <w:lang w:val="es-ES" w:eastAsia="es-ES"/>
        </w:rPr>
        <w:tab/>
        <w:t xml:space="preserve">El número, fecha, el monto del contrato y el plazo de entrega o de ejecución de los servicios u obra; </w:t>
      </w:r>
    </w:p>
    <w:p w14:paraId="54798D75"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8)</w:t>
      </w:r>
      <w:r w:rsidRPr="000E5506">
        <w:rPr>
          <w:rFonts w:ascii="Palatino Linotype" w:eastAsia="Times New Roman" w:hAnsi="Palatino Linotype" w:cs="Arial"/>
          <w:i/>
          <w:szCs w:val="24"/>
          <w:lang w:val="es-ES" w:eastAsia="es-ES"/>
        </w:rPr>
        <w:tab/>
        <w:t xml:space="preserve">Los mecanismos de vigilancia y supervisión, incluyendo, en su caso, los estudios de impacto urbano y ambiental, según corresponda; </w:t>
      </w:r>
    </w:p>
    <w:p w14:paraId="5634949A"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9)</w:t>
      </w:r>
      <w:r w:rsidRPr="000E5506">
        <w:rPr>
          <w:rFonts w:ascii="Palatino Linotype" w:eastAsia="Times New Roman" w:hAnsi="Palatino Linotype" w:cs="Arial"/>
          <w:i/>
          <w:szCs w:val="24"/>
          <w:lang w:val="es-ES" w:eastAsia="es-ES"/>
        </w:rPr>
        <w:tab/>
        <w:t xml:space="preserve">Los informes de avance sobre las obras o servicios contratados; </w:t>
      </w:r>
    </w:p>
    <w:p w14:paraId="3A35A9EB"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10)</w:t>
      </w:r>
      <w:r w:rsidRPr="000E5506">
        <w:rPr>
          <w:rFonts w:ascii="Palatino Linotype" w:eastAsia="Times New Roman" w:hAnsi="Palatino Linotype" w:cs="Arial"/>
          <w:i/>
          <w:szCs w:val="24"/>
          <w:lang w:val="es-ES" w:eastAsia="es-ES"/>
        </w:rPr>
        <w:tab/>
        <w:t xml:space="preserve">El convenio de terminación; y </w:t>
      </w:r>
    </w:p>
    <w:p w14:paraId="37C46B45" w14:textId="77777777" w:rsidR="00A96F6D" w:rsidRPr="000E5506" w:rsidRDefault="00A96F6D" w:rsidP="00A96F6D">
      <w:pPr>
        <w:tabs>
          <w:tab w:val="left" w:pos="851"/>
        </w:tabs>
        <w:spacing w:after="0" w:line="240" w:lineRule="auto"/>
        <w:ind w:left="1416"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Arial"/>
          <w:i/>
          <w:szCs w:val="24"/>
          <w:lang w:val="es-ES" w:eastAsia="es-ES"/>
        </w:rPr>
        <w:t>11)</w:t>
      </w:r>
      <w:r w:rsidRPr="000E5506">
        <w:rPr>
          <w:rFonts w:ascii="Palatino Linotype" w:eastAsia="Times New Roman" w:hAnsi="Palatino Linotype" w:cs="Arial"/>
          <w:i/>
          <w:szCs w:val="24"/>
          <w:lang w:val="es-ES" w:eastAsia="es-ES"/>
        </w:rPr>
        <w:tab/>
        <w:t xml:space="preserve">El finiquito. </w:t>
      </w:r>
    </w:p>
    <w:p w14:paraId="05541A2D" w14:textId="77777777" w:rsidR="00A96F6D" w:rsidRPr="000E5506" w:rsidRDefault="00A96F6D" w:rsidP="00A96F6D">
      <w:pPr>
        <w:tabs>
          <w:tab w:val="left" w:pos="851"/>
        </w:tabs>
        <w:spacing w:after="0" w:line="240" w:lineRule="auto"/>
        <w:ind w:left="851" w:right="709"/>
        <w:jc w:val="both"/>
        <w:rPr>
          <w:rFonts w:ascii="Times New Roman" w:eastAsia="Times New Roman" w:hAnsi="Times New Roman" w:cs="Times New Roman"/>
          <w:szCs w:val="24"/>
          <w:lang w:val="es-ES" w:eastAsia="es-ES"/>
        </w:rPr>
      </w:pPr>
    </w:p>
    <w:p w14:paraId="067CD73D" w14:textId="77777777" w:rsidR="00A96F6D" w:rsidRPr="000E5506" w:rsidRDefault="00A96F6D" w:rsidP="00A96F6D">
      <w:pPr>
        <w:tabs>
          <w:tab w:val="left" w:pos="851"/>
        </w:tabs>
        <w:spacing w:after="0" w:line="240" w:lineRule="auto"/>
        <w:ind w:left="851" w:right="709"/>
        <w:jc w:val="both"/>
        <w:rPr>
          <w:rFonts w:ascii="Palatino Linotype" w:eastAsia="Times New Roman" w:hAnsi="Palatino Linotype" w:cs="Arial"/>
          <w:i/>
          <w:szCs w:val="24"/>
          <w:lang w:val="es-ES" w:eastAsia="es-ES"/>
        </w:rPr>
      </w:pPr>
      <w:r w:rsidRPr="000E5506">
        <w:rPr>
          <w:rFonts w:ascii="Palatino Linotype" w:eastAsia="Times New Roman" w:hAnsi="Palatino Linotype" w:cs="Times New Roman"/>
          <w:b/>
          <w:i/>
          <w:szCs w:val="24"/>
          <w:lang w:val="es-ES" w:eastAsia="es-ES"/>
        </w:rPr>
        <w:t>XXXII.</w:t>
      </w:r>
      <w:r w:rsidRPr="000E5506">
        <w:rPr>
          <w:rFonts w:ascii="Palatino Linotype" w:eastAsia="Times New Roman" w:hAnsi="Palatino Linotype" w:cs="Times New Roman"/>
          <w:i/>
          <w:szCs w:val="24"/>
          <w:lang w:val="es-ES" w:eastAsia="es-ES"/>
        </w:rPr>
        <w:t xml:space="preserve"> Las concesiones, </w:t>
      </w:r>
      <w:r w:rsidRPr="000E5506">
        <w:rPr>
          <w:rFonts w:ascii="Palatino Linotype" w:eastAsia="Times New Roman" w:hAnsi="Palatino Linotype" w:cs="Times New Roman"/>
          <w:b/>
          <w:i/>
          <w:szCs w:val="24"/>
          <w:u w:val="single"/>
          <w:lang w:val="es-ES" w:eastAsia="es-ES"/>
        </w:rPr>
        <w:t>contratos</w:t>
      </w:r>
      <w:r w:rsidRPr="000E5506">
        <w:rPr>
          <w:rFonts w:ascii="Palatino Linotype" w:eastAsia="Times New Roman" w:hAnsi="Palatino Linotype" w:cs="Times New Roman"/>
          <w:i/>
          <w:szCs w:val="24"/>
          <w:lang w:val="es-ES" w:eastAsia="es-ES"/>
        </w:rPr>
        <w:t xml:space="preserve">, convenios, permisos, licencias o autorizaciones otorgados, </w:t>
      </w:r>
      <w:r w:rsidRPr="000E5506">
        <w:rPr>
          <w:rFonts w:ascii="Palatino Linotype" w:eastAsia="Times New Roman" w:hAnsi="Palatino Linotype" w:cs="Times New Roman"/>
          <w:b/>
          <w:i/>
          <w:szCs w:val="24"/>
          <w:u w:val="single"/>
          <w:lang w:val="es-ES" w:eastAsia="es-E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0E5506">
        <w:rPr>
          <w:rFonts w:ascii="Palatino Linotype" w:eastAsia="Times New Roman" w:hAnsi="Palatino Linotype" w:cs="Times New Roman"/>
          <w:i/>
          <w:szCs w:val="24"/>
          <w:lang w:val="es-ES" w:eastAsia="es-ES"/>
        </w:rPr>
        <w:t>;</w:t>
      </w:r>
    </w:p>
    <w:p w14:paraId="7A81FB04" w14:textId="77777777" w:rsidR="00A96F6D" w:rsidRPr="000E5506" w:rsidRDefault="00A96F6D" w:rsidP="00B44A69">
      <w:pPr>
        <w:pStyle w:val="Sinespaciado"/>
        <w:rPr>
          <w:lang w:val="es-ES"/>
        </w:rPr>
      </w:pPr>
    </w:p>
    <w:p w14:paraId="241A11CD" w14:textId="77777777" w:rsidR="00B44A69" w:rsidRPr="000E5506" w:rsidRDefault="00B44A69" w:rsidP="00B44A69">
      <w:pPr>
        <w:pStyle w:val="Sinespaciado"/>
        <w:rPr>
          <w:lang w:val="es-ES"/>
        </w:rPr>
      </w:pPr>
    </w:p>
    <w:p w14:paraId="2F968D01" w14:textId="77777777" w:rsidR="00B44A69" w:rsidRPr="000E5506" w:rsidRDefault="00B44A69" w:rsidP="00B44A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 xml:space="preserve">A partir de lo anterior, se considera que ha quedado acreditada la competencia del </w:t>
      </w:r>
      <w:r w:rsidRPr="000E5506">
        <w:rPr>
          <w:rFonts w:ascii="Palatino Linotype" w:eastAsia="Palatino Linotype" w:hAnsi="Palatino Linotype" w:cs="Palatino Linotype"/>
          <w:b/>
          <w:color w:val="000000"/>
          <w:sz w:val="24"/>
          <w:szCs w:val="24"/>
          <w:lang w:eastAsia="es-MX"/>
        </w:rPr>
        <w:t>Sujeto Obligado</w:t>
      </w:r>
      <w:r w:rsidRPr="000E5506">
        <w:rPr>
          <w:rFonts w:ascii="Palatino Linotype" w:eastAsia="Palatino Linotype" w:hAnsi="Palatino Linotype" w:cs="Palatino Linotype"/>
          <w:color w:val="000000"/>
          <w:sz w:val="24"/>
          <w:szCs w:val="24"/>
          <w:lang w:eastAsia="es-MX"/>
        </w:rPr>
        <w:t xml:space="preserve"> para conocer la información que es del interés de la persona solicitante respecto a las obras públicas y la información que se deriva de ellas y que se debe integrar al expediente correspondiente, en sus tres modalidades de contratación.</w:t>
      </w:r>
    </w:p>
    <w:p w14:paraId="5433BD95" w14:textId="77777777" w:rsidR="00B44A69" w:rsidRPr="000E5506" w:rsidRDefault="00B44A69" w:rsidP="00B44A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DAC299E" w14:textId="383F5D42" w:rsidR="00B44A69" w:rsidRPr="000E5506" w:rsidRDefault="00B44A69" w:rsidP="00B44A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0E5506">
        <w:rPr>
          <w:rFonts w:ascii="Palatino Linotype" w:eastAsia="Palatino Linotype" w:hAnsi="Palatino Linotype" w:cs="Palatino Linotype"/>
          <w:color w:val="000000"/>
          <w:sz w:val="24"/>
          <w:szCs w:val="24"/>
          <w:lang w:eastAsia="es-MX"/>
        </w:rPr>
        <w:t xml:space="preserve">Ahora bien, no pasa desapercibido que, quien se pronunció es el Director de Obras Públicas, por lo que se tiene que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03E661B7" w14:textId="77777777" w:rsidR="00B44A69" w:rsidRPr="000E5506" w:rsidRDefault="00B44A69" w:rsidP="00B44A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0C56C77" w14:textId="77777777" w:rsidR="00B44A69" w:rsidRPr="000E5506" w:rsidRDefault="00B44A69" w:rsidP="00B44A69">
      <w:pPr>
        <w:spacing w:line="360" w:lineRule="auto"/>
        <w:ind w:left="284"/>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0DED173" w14:textId="77777777" w:rsidR="00B44A69" w:rsidRPr="000E5506" w:rsidRDefault="00B44A69" w:rsidP="00B44A69">
      <w:pPr>
        <w:spacing w:line="360" w:lineRule="auto"/>
        <w:ind w:left="284"/>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lastRenderedPageBreak/>
        <w:t xml:space="preserve">• La respuesta a los requerimientos informativos, deberá notificarse al interesado en el menor tiempo posible, que no podrá exceder de quince días hábiles, contados a partir del día siguiente a la presentación de esta.  </w:t>
      </w:r>
    </w:p>
    <w:p w14:paraId="7F15CF70" w14:textId="77777777" w:rsidR="00B44A69" w:rsidRPr="000E5506" w:rsidRDefault="00B44A69" w:rsidP="00B44A69">
      <w:pPr>
        <w:spacing w:line="360" w:lineRule="auto"/>
        <w:ind w:left="284"/>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Excepcionalmente, el plazo referido podrá ampliarse por siete días hábiles más, cuando existan razones fundadas y motivadas, a través del Comité de Transparencia; </w:t>
      </w:r>
    </w:p>
    <w:p w14:paraId="02C3F168" w14:textId="77777777" w:rsidR="00B44A69" w:rsidRPr="000E5506" w:rsidRDefault="00B44A69" w:rsidP="00B44A69">
      <w:pPr>
        <w:spacing w:line="360" w:lineRule="auto"/>
        <w:ind w:left="284"/>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210C938" w14:textId="77777777" w:rsidR="00B44A69" w:rsidRPr="000E5506" w:rsidRDefault="00B44A69" w:rsidP="00B44A69">
      <w:pPr>
        <w:spacing w:line="360" w:lineRule="auto"/>
        <w:ind w:left="284"/>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0EF0D6A" w14:textId="77777777" w:rsidR="00B44A69" w:rsidRPr="000E5506" w:rsidRDefault="00B44A69" w:rsidP="00B44A69">
      <w:pPr>
        <w:spacing w:after="0" w:line="360" w:lineRule="auto"/>
        <w:ind w:left="284"/>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49D9EB9" w14:textId="6B0A6833" w:rsidR="00B44A69" w:rsidRPr="000E5506" w:rsidRDefault="00B44A69" w:rsidP="00B44A69">
      <w:pPr>
        <w:spacing w:after="0" w:line="360" w:lineRule="auto"/>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lastRenderedPageBreak/>
        <w:t>En este orden de ideas, se reitera que la Dirección de Obras Públicas, es el área que cuenta con atribuciones para generar, administrar o poseer la información requerida; con lo que se acreditó que se realizó una correcta búsqueda exhaustiva y razonable de la información.</w:t>
      </w:r>
    </w:p>
    <w:p w14:paraId="04258CC8" w14:textId="77777777" w:rsidR="00B44A69" w:rsidRPr="000E5506" w:rsidRDefault="00B44A69" w:rsidP="00F27EE1">
      <w:pPr>
        <w:spacing w:after="0" w:line="360" w:lineRule="auto"/>
        <w:jc w:val="both"/>
        <w:rPr>
          <w:rFonts w:ascii="Palatino Linotype" w:eastAsia="Calibri" w:hAnsi="Palatino Linotype" w:cs="Arial"/>
          <w:bCs/>
          <w:sz w:val="24"/>
          <w:szCs w:val="24"/>
          <w:lang w:val="es-ES"/>
        </w:rPr>
      </w:pPr>
    </w:p>
    <w:p w14:paraId="13D02C60" w14:textId="628E321E" w:rsidR="00F27EE1" w:rsidRPr="000E5506" w:rsidRDefault="00F27EE1" w:rsidP="00F27EE1">
      <w:pPr>
        <w:spacing w:after="0" w:line="360" w:lineRule="auto"/>
        <w:jc w:val="both"/>
        <w:rPr>
          <w:rFonts w:ascii="Palatino Linotype" w:eastAsia="Times New Roman" w:hAnsi="Palatino Linotype" w:cs="Times New Roman"/>
          <w:sz w:val="24"/>
          <w:lang w:eastAsia="es-ES"/>
        </w:rPr>
      </w:pPr>
      <w:r w:rsidRPr="000E5506">
        <w:rPr>
          <w:rFonts w:ascii="Palatino Linotype" w:hAnsi="Palatino Linotype" w:cs="Arial"/>
          <w:sz w:val="24"/>
          <w:szCs w:val="24"/>
        </w:rPr>
        <w:t xml:space="preserve">Por lo que, es de precisar que, aunque la solicitud de información y la respuesta estén dirigidas y atendidas por un </w:t>
      </w:r>
      <w:r w:rsidRPr="000E5506">
        <w:rPr>
          <w:rFonts w:ascii="Palatino Linotype" w:hAnsi="Palatino Linotype" w:cs="Arial"/>
          <w:b/>
          <w:sz w:val="24"/>
          <w:szCs w:val="24"/>
        </w:rPr>
        <w:t>Sujeto Obligado</w:t>
      </w:r>
      <w:r w:rsidRPr="000E5506">
        <w:rPr>
          <w:rFonts w:ascii="Palatino Linotype" w:hAnsi="Palatino Linotype" w:cs="Arial"/>
          <w:sz w:val="24"/>
          <w:szCs w:val="24"/>
        </w:rPr>
        <w:t xml:space="preserve">, lo cierto es que también tienen diversas Unidades Administrativas y cada área cuenta con un </w:t>
      </w:r>
      <w:r w:rsidRPr="000E5506">
        <w:rPr>
          <w:rFonts w:ascii="Palatino Linotype" w:hAnsi="Palatino Linotype" w:cs="Arial"/>
          <w:b/>
          <w:sz w:val="24"/>
          <w:szCs w:val="24"/>
        </w:rPr>
        <w:t>Servidor Público Habilitado</w:t>
      </w:r>
      <w:r w:rsidRPr="000E5506">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44327C8" w14:textId="77777777" w:rsidR="00F27EE1" w:rsidRPr="000E5506" w:rsidRDefault="00F27EE1" w:rsidP="00F27EE1">
      <w:pPr>
        <w:spacing w:after="0" w:line="240" w:lineRule="auto"/>
        <w:rPr>
          <w:rFonts w:ascii="Palatino Linotype" w:hAnsi="Palatino Linotype"/>
        </w:rPr>
      </w:pPr>
    </w:p>
    <w:p w14:paraId="0F59F362" w14:textId="77777777" w:rsidR="00F27EE1" w:rsidRPr="000E5506" w:rsidRDefault="00F27EE1" w:rsidP="00F27EE1">
      <w:pPr>
        <w:autoSpaceDE w:val="0"/>
        <w:autoSpaceDN w:val="0"/>
        <w:adjustRightInd w:val="0"/>
        <w:spacing w:after="0" w:line="240" w:lineRule="auto"/>
        <w:ind w:left="567" w:right="708"/>
        <w:jc w:val="both"/>
        <w:rPr>
          <w:rFonts w:ascii="Palatino Linotype" w:hAnsi="Palatino Linotype" w:cs="Arial"/>
          <w:i/>
          <w:szCs w:val="24"/>
        </w:rPr>
      </w:pPr>
      <w:r w:rsidRPr="000E5506">
        <w:rPr>
          <w:rFonts w:ascii="Palatino Linotype" w:hAnsi="Palatino Linotype" w:cs="Arial"/>
          <w:b/>
          <w:i/>
          <w:szCs w:val="24"/>
        </w:rPr>
        <w:t>Artículo 3.</w:t>
      </w:r>
      <w:r w:rsidRPr="000E5506">
        <w:rPr>
          <w:rFonts w:ascii="Palatino Linotype" w:hAnsi="Palatino Linotype" w:cs="Arial"/>
          <w:i/>
          <w:szCs w:val="24"/>
        </w:rPr>
        <w:t xml:space="preserve"> Para los efectos de la presente Ley se entenderá por:</w:t>
      </w:r>
    </w:p>
    <w:p w14:paraId="08DAB445" w14:textId="77777777" w:rsidR="00F27EE1" w:rsidRPr="000E5506" w:rsidRDefault="00F27EE1" w:rsidP="00F27EE1">
      <w:pPr>
        <w:autoSpaceDE w:val="0"/>
        <w:autoSpaceDN w:val="0"/>
        <w:adjustRightInd w:val="0"/>
        <w:spacing w:after="0" w:line="240" w:lineRule="auto"/>
        <w:ind w:left="567" w:right="708"/>
        <w:jc w:val="both"/>
        <w:rPr>
          <w:rFonts w:ascii="Palatino Linotype" w:hAnsi="Palatino Linotype" w:cs="Arial"/>
          <w:i/>
          <w:szCs w:val="24"/>
        </w:rPr>
      </w:pPr>
      <w:r w:rsidRPr="000E5506">
        <w:rPr>
          <w:rFonts w:ascii="Palatino Linotype" w:hAnsi="Palatino Linotype" w:cs="Arial"/>
          <w:i/>
          <w:szCs w:val="24"/>
        </w:rPr>
        <w:t>(…)</w:t>
      </w:r>
    </w:p>
    <w:p w14:paraId="49428159" w14:textId="77777777" w:rsidR="00F27EE1" w:rsidRPr="000E5506" w:rsidRDefault="00F27EE1" w:rsidP="00F27EE1">
      <w:pPr>
        <w:autoSpaceDE w:val="0"/>
        <w:autoSpaceDN w:val="0"/>
        <w:adjustRightInd w:val="0"/>
        <w:spacing w:after="0" w:line="240" w:lineRule="auto"/>
        <w:ind w:left="567" w:right="708"/>
        <w:jc w:val="both"/>
        <w:rPr>
          <w:rFonts w:ascii="Palatino Linotype" w:hAnsi="Palatino Linotype" w:cs="Arial"/>
          <w:i/>
          <w:szCs w:val="24"/>
        </w:rPr>
      </w:pPr>
      <w:r w:rsidRPr="000E5506">
        <w:rPr>
          <w:rFonts w:ascii="Palatino Linotype" w:hAnsi="Palatino Linotype" w:cs="Arial"/>
          <w:b/>
          <w:i/>
          <w:szCs w:val="24"/>
        </w:rPr>
        <w:t xml:space="preserve">XXXIX. Servidor público habilitado: </w:t>
      </w:r>
      <w:r w:rsidRPr="000E5506">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7691BB6" w14:textId="77777777" w:rsidR="00F27EE1" w:rsidRPr="000E5506" w:rsidRDefault="00F27EE1" w:rsidP="00F27EE1">
      <w:pPr>
        <w:autoSpaceDE w:val="0"/>
        <w:autoSpaceDN w:val="0"/>
        <w:adjustRightInd w:val="0"/>
        <w:spacing w:after="0" w:line="240" w:lineRule="auto"/>
        <w:ind w:left="567" w:right="708"/>
        <w:jc w:val="both"/>
        <w:rPr>
          <w:rFonts w:ascii="Palatino Linotype" w:hAnsi="Palatino Linotype" w:cs="Arial"/>
          <w:i/>
          <w:szCs w:val="24"/>
        </w:rPr>
      </w:pPr>
      <w:r w:rsidRPr="000E5506">
        <w:rPr>
          <w:rFonts w:ascii="Palatino Linotype" w:hAnsi="Palatino Linotype" w:cs="Arial"/>
          <w:i/>
          <w:szCs w:val="24"/>
        </w:rPr>
        <w:t>(…)</w:t>
      </w:r>
    </w:p>
    <w:p w14:paraId="3658C991" w14:textId="77777777" w:rsidR="00F27EE1" w:rsidRPr="000E5506" w:rsidRDefault="00F27EE1" w:rsidP="00F27EE1">
      <w:pPr>
        <w:autoSpaceDE w:val="0"/>
        <w:autoSpaceDN w:val="0"/>
        <w:adjustRightInd w:val="0"/>
        <w:spacing w:after="0" w:line="240" w:lineRule="auto"/>
        <w:ind w:left="567" w:right="708"/>
        <w:jc w:val="both"/>
        <w:rPr>
          <w:rFonts w:ascii="Palatino Linotype" w:hAnsi="Palatino Linotype" w:cs="Arial"/>
          <w:i/>
          <w:szCs w:val="24"/>
        </w:rPr>
      </w:pPr>
      <w:r w:rsidRPr="000E5506">
        <w:rPr>
          <w:rFonts w:ascii="Palatino Linotype" w:hAnsi="Palatino Linotype" w:cs="Arial"/>
          <w:b/>
          <w:i/>
          <w:szCs w:val="24"/>
        </w:rPr>
        <w:t>Artículo 58.</w:t>
      </w:r>
      <w:r w:rsidRPr="000E5506">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07399F37" w14:textId="77777777" w:rsidR="00F27EE1" w:rsidRPr="000E5506" w:rsidRDefault="00F27EE1" w:rsidP="00F27EE1">
      <w:pPr>
        <w:autoSpaceDE w:val="0"/>
        <w:autoSpaceDN w:val="0"/>
        <w:adjustRightInd w:val="0"/>
        <w:spacing w:after="0" w:line="240" w:lineRule="auto"/>
        <w:ind w:left="567" w:right="708"/>
        <w:jc w:val="both"/>
        <w:rPr>
          <w:rFonts w:ascii="Palatino Linotype" w:hAnsi="Palatino Linotype" w:cs="Arial"/>
          <w:i/>
          <w:szCs w:val="24"/>
        </w:rPr>
      </w:pPr>
    </w:p>
    <w:p w14:paraId="489DA4CC" w14:textId="77777777" w:rsidR="00F27EE1" w:rsidRPr="000E5506" w:rsidRDefault="00F27EE1" w:rsidP="00F27EE1">
      <w:pPr>
        <w:autoSpaceDE w:val="0"/>
        <w:autoSpaceDN w:val="0"/>
        <w:adjustRightInd w:val="0"/>
        <w:spacing w:after="240" w:line="240" w:lineRule="auto"/>
        <w:ind w:left="567" w:right="708"/>
        <w:jc w:val="both"/>
        <w:rPr>
          <w:rFonts w:ascii="Palatino Linotype" w:hAnsi="Palatino Linotype" w:cs="Arial"/>
          <w:i/>
          <w:szCs w:val="24"/>
        </w:rPr>
      </w:pPr>
      <w:r w:rsidRPr="000E5506">
        <w:rPr>
          <w:rFonts w:ascii="Palatino Linotype" w:hAnsi="Palatino Linotype" w:cs="Arial"/>
          <w:b/>
          <w:i/>
          <w:szCs w:val="24"/>
        </w:rPr>
        <w:t>Artículo 59.</w:t>
      </w:r>
      <w:r w:rsidRPr="000E5506">
        <w:rPr>
          <w:rFonts w:ascii="Palatino Linotype" w:hAnsi="Palatino Linotype" w:cs="Arial"/>
          <w:i/>
          <w:szCs w:val="24"/>
        </w:rPr>
        <w:t xml:space="preserve"> </w:t>
      </w:r>
      <w:r w:rsidRPr="000E5506">
        <w:rPr>
          <w:rFonts w:ascii="Palatino Linotype" w:hAnsi="Palatino Linotype" w:cs="Arial"/>
          <w:b/>
          <w:i/>
          <w:szCs w:val="24"/>
          <w:u w:val="single"/>
        </w:rPr>
        <w:t>Los servidores públicos habilitados</w:t>
      </w:r>
      <w:r w:rsidRPr="000E5506">
        <w:rPr>
          <w:rFonts w:ascii="Palatino Linotype" w:hAnsi="Palatino Linotype" w:cs="Arial"/>
          <w:i/>
          <w:szCs w:val="24"/>
        </w:rPr>
        <w:t xml:space="preserve"> tendrán las funciones siguientes:</w:t>
      </w:r>
    </w:p>
    <w:p w14:paraId="62C7F934" w14:textId="77777777" w:rsidR="00F27EE1" w:rsidRPr="000E5506" w:rsidRDefault="00F27EE1" w:rsidP="00F27EE1">
      <w:pPr>
        <w:autoSpaceDE w:val="0"/>
        <w:autoSpaceDN w:val="0"/>
        <w:adjustRightInd w:val="0"/>
        <w:spacing w:after="240" w:line="240" w:lineRule="auto"/>
        <w:ind w:left="567" w:right="708"/>
        <w:jc w:val="both"/>
        <w:rPr>
          <w:rFonts w:ascii="Palatino Linotype" w:hAnsi="Palatino Linotype" w:cs="Arial"/>
          <w:i/>
          <w:szCs w:val="24"/>
        </w:rPr>
      </w:pPr>
      <w:r w:rsidRPr="000E5506">
        <w:rPr>
          <w:rFonts w:ascii="Palatino Linotype" w:hAnsi="Palatino Linotype" w:cs="Arial"/>
          <w:i/>
          <w:szCs w:val="24"/>
        </w:rPr>
        <w:t xml:space="preserve">I. </w:t>
      </w:r>
      <w:r w:rsidRPr="000E5506">
        <w:rPr>
          <w:rFonts w:ascii="Palatino Linotype" w:hAnsi="Palatino Linotype" w:cs="Arial"/>
          <w:b/>
          <w:i/>
          <w:szCs w:val="24"/>
          <w:u w:val="single"/>
        </w:rPr>
        <w:t>Localizar la información que le solicite la Unidad de Transparencia</w:t>
      </w:r>
      <w:r w:rsidRPr="000E5506">
        <w:rPr>
          <w:rFonts w:ascii="Palatino Linotype" w:hAnsi="Palatino Linotype" w:cs="Arial"/>
          <w:i/>
          <w:szCs w:val="24"/>
        </w:rPr>
        <w:t>;</w:t>
      </w:r>
    </w:p>
    <w:p w14:paraId="2CB02A97" w14:textId="77777777" w:rsidR="00F27EE1" w:rsidRPr="000E5506" w:rsidRDefault="00F27EE1" w:rsidP="00F27EE1">
      <w:pPr>
        <w:autoSpaceDE w:val="0"/>
        <w:autoSpaceDN w:val="0"/>
        <w:adjustRightInd w:val="0"/>
        <w:spacing w:after="240" w:line="240" w:lineRule="auto"/>
        <w:ind w:left="567" w:right="708"/>
        <w:jc w:val="both"/>
        <w:rPr>
          <w:rFonts w:ascii="Palatino Linotype" w:hAnsi="Palatino Linotype" w:cs="Arial"/>
          <w:i/>
          <w:szCs w:val="24"/>
        </w:rPr>
      </w:pPr>
      <w:r w:rsidRPr="000E5506">
        <w:rPr>
          <w:rFonts w:ascii="Palatino Linotype" w:hAnsi="Palatino Linotype" w:cs="Arial"/>
          <w:i/>
          <w:szCs w:val="24"/>
        </w:rPr>
        <w:lastRenderedPageBreak/>
        <w:t xml:space="preserve">II. </w:t>
      </w:r>
      <w:r w:rsidRPr="000E5506">
        <w:rPr>
          <w:rFonts w:ascii="Palatino Linotype" w:hAnsi="Palatino Linotype" w:cs="Arial"/>
          <w:b/>
          <w:i/>
          <w:szCs w:val="24"/>
          <w:u w:val="single"/>
        </w:rPr>
        <w:t>Proporcionar la información que obre en los archivos y que le sea solicitada por la Unidad de Transparencia</w:t>
      </w:r>
      <w:r w:rsidRPr="000E5506">
        <w:rPr>
          <w:rFonts w:ascii="Palatino Linotype" w:hAnsi="Palatino Linotype" w:cs="Arial"/>
          <w:i/>
          <w:szCs w:val="24"/>
        </w:rPr>
        <w:t>;</w:t>
      </w:r>
    </w:p>
    <w:p w14:paraId="7D5EAF81" w14:textId="77777777" w:rsidR="00F27EE1" w:rsidRPr="000E5506" w:rsidRDefault="00F27EE1" w:rsidP="00F27EE1">
      <w:pPr>
        <w:autoSpaceDE w:val="0"/>
        <w:autoSpaceDN w:val="0"/>
        <w:adjustRightInd w:val="0"/>
        <w:spacing w:after="240" w:line="240" w:lineRule="auto"/>
        <w:ind w:left="567" w:right="708"/>
        <w:jc w:val="both"/>
        <w:rPr>
          <w:rFonts w:ascii="Palatino Linotype" w:hAnsi="Palatino Linotype" w:cs="Arial"/>
          <w:i/>
          <w:szCs w:val="24"/>
        </w:rPr>
      </w:pPr>
      <w:r w:rsidRPr="000E5506">
        <w:rPr>
          <w:rFonts w:ascii="Palatino Linotype" w:hAnsi="Palatino Linotype" w:cs="Arial"/>
          <w:i/>
          <w:szCs w:val="24"/>
        </w:rPr>
        <w:t>III. Apoyar a la Unidad de Transparencia en lo que esta le solicite para el cumplimiento de sus funciones;</w:t>
      </w:r>
    </w:p>
    <w:p w14:paraId="347FE119" w14:textId="77777777" w:rsidR="00F27EE1" w:rsidRPr="000E5506" w:rsidRDefault="00F27EE1" w:rsidP="00F27EE1">
      <w:pPr>
        <w:autoSpaceDE w:val="0"/>
        <w:autoSpaceDN w:val="0"/>
        <w:adjustRightInd w:val="0"/>
        <w:spacing w:after="240" w:line="240" w:lineRule="auto"/>
        <w:ind w:left="567" w:right="708"/>
        <w:jc w:val="both"/>
        <w:rPr>
          <w:rFonts w:ascii="Palatino Linotype" w:hAnsi="Palatino Linotype" w:cs="Arial"/>
          <w:i/>
          <w:szCs w:val="24"/>
        </w:rPr>
      </w:pPr>
      <w:r w:rsidRPr="000E5506">
        <w:rPr>
          <w:rFonts w:ascii="Palatino Linotype" w:hAnsi="Palatino Linotype" w:cs="Arial"/>
          <w:i/>
          <w:szCs w:val="24"/>
        </w:rPr>
        <w:t>IV. Proporcionar a la Unidad de Transparencia, las modificaciones a la información pública de oficio que obre en su poder;</w:t>
      </w:r>
    </w:p>
    <w:p w14:paraId="28EB5207" w14:textId="77777777" w:rsidR="00F27EE1" w:rsidRPr="000E5506" w:rsidRDefault="00F27EE1" w:rsidP="00F27EE1">
      <w:pPr>
        <w:autoSpaceDE w:val="0"/>
        <w:autoSpaceDN w:val="0"/>
        <w:adjustRightInd w:val="0"/>
        <w:spacing w:after="240" w:line="240" w:lineRule="auto"/>
        <w:ind w:left="567" w:right="708"/>
        <w:jc w:val="both"/>
        <w:rPr>
          <w:rFonts w:ascii="Palatino Linotype" w:hAnsi="Palatino Linotype" w:cs="Arial"/>
          <w:i/>
          <w:szCs w:val="24"/>
        </w:rPr>
      </w:pPr>
      <w:r w:rsidRPr="000E5506">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6B69721" w14:textId="77777777" w:rsidR="00F27EE1" w:rsidRPr="000E5506" w:rsidRDefault="00F27EE1" w:rsidP="00F27EE1">
      <w:pPr>
        <w:autoSpaceDE w:val="0"/>
        <w:autoSpaceDN w:val="0"/>
        <w:adjustRightInd w:val="0"/>
        <w:spacing w:after="240" w:line="240" w:lineRule="auto"/>
        <w:ind w:left="567" w:right="708"/>
        <w:jc w:val="both"/>
        <w:rPr>
          <w:rFonts w:ascii="Palatino Linotype" w:hAnsi="Palatino Linotype" w:cs="Arial"/>
          <w:i/>
          <w:szCs w:val="24"/>
        </w:rPr>
      </w:pPr>
      <w:r w:rsidRPr="000E5506">
        <w:rPr>
          <w:rFonts w:ascii="Palatino Linotype" w:hAnsi="Palatino Linotype" w:cs="Arial"/>
          <w:i/>
          <w:szCs w:val="24"/>
        </w:rPr>
        <w:t>VI. Verificar, una vez analizado el contenido de la información, que no se encuentre en los supuestos de información clasificada; y</w:t>
      </w:r>
    </w:p>
    <w:p w14:paraId="05D0BCDC" w14:textId="77777777" w:rsidR="00F27EE1" w:rsidRPr="000E5506" w:rsidRDefault="00F27EE1" w:rsidP="00F27EE1">
      <w:pPr>
        <w:autoSpaceDE w:val="0"/>
        <w:autoSpaceDN w:val="0"/>
        <w:adjustRightInd w:val="0"/>
        <w:spacing w:after="240" w:line="240" w:lineRule="auto"/>
        <w:ind w:left="567" w:right="708"/>
        <w:jc w:val="both"/>
        <w:rPr>
          <w:rFonts w:ascii="Palatino Linotype" w:hAnsi="Palatino Linotype" w:cs="Arial"/>
          <w:i/>
          <w:szCs w:val="24"/>
        </w:rPr>
      </w:pPr>
      <w:r w:rsidRPr="000E5506">
        <w:rPr>
          <w:rFonts w:ascii="Palatino Linotype" w:hAnsi="Palatino Linotype" w:cs="Arial"/>
          <w:i/>
          <w:szCs w:val="24"/>
        </w:rPr>
        <w:t>VII. Dar cuenta a la Unidad de Transparencia del vencimiento de los plazos de reserva.”</w:t>
      </w:r>
    </w:p>
    <w:p w14:paraId="33E9FEAB" w14:textId="77777777" w:rsidR="00F27EE1" w:rsidRPr="000E5506" w:rsidRDefault="00F27EE1" w:rsidP="00F27EE1">
      <w:pPr>
        <w:spacing w:after="0" w:line="240" w:lineRule="auto"/>
        <w:rPr>
          <w:rFonts w:ascii="Times New Roman" w:hAnsi="Times New Roman" w:cs="Times New Roman"/>
          <w:sz w:val="24"/>
          <w:szCs w:val="24"/>
        </w:rPr>
      </w:pPr>
    </w:p>
    <w:p w14:paraId="32DBA92F" w14:textId="094C4BD7" w:rsidR="00F27EE1" w:rsidRPr="000E5506" w:rsidRDefault="00F27EE1" w:rsidP="00F27EE1">
      <w:pPr>
        <w:spacing w:after="0" w:line="360" w:lineRule="auto"/>
        <w:jc w:val="both"/>
        <w:rPr>
          <w:rFonts w:ascii="Palatino Linotype" w:eastAsia="Times New Roman" w:hAnsi="Palatino Linotype"/>
          <w:sz w:val="24"/>
          <w:lang w:eastAsia="es-MX"/>
        </w:rPr>
      </w:pPr>
      <w:r w:rsidRPr="000E5506">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2FF6395B" w14:textId="77777777" w:rsidR="00F27EE1" w:rsidRPr="000E5506" w:rsidRDefault="00F27EE1" w:rsidP="00F27EE1">
      <w:pPr>
        <w:spacing w:after="0" w:line="360" w:lineRule="auto"/>
        <w:jc w:val="both"/>
        <w:rPr>
          <w:rFonts w:ascii="Palatino Linotype" w:eastAsia="Times New Roman" w:hAnsi="Palatino Linotype"/>
          <w:sz w:val="10"/>
          <w:lang w:eastAsia="es-MX"/>
        </w:rPr>
      </w:pPr>
    </w:p>
    <w:p w14:paraId="14032444" w14:textId="77777777" w:rsidR="00F27EE1" w:rsidRPr="000E5506" w:rsidRDefault="00F27EE1" w:rsidP="00F27EE1">
      <w:pPr>
        <w:spacing w:after="0" w:line="360" w:lineRule="auto"/>
        <w:jc w:val="both"/>
        <w:rPr>
          <w:rFonts w:ascii="Palatino Linotype" w:eastAsia="Times New Roman" w:hAnsi="Palatino Linotype"/>
          <w:sz w:val="10"/>
          <w:lang w:eastAsia="es-MX"/>
        </w:rPr>
      </w:pPr>
    </w:p>
    <w:p w14:paraId="5792EDC3" w14:textId="77777777" w:rsidR="00F27EE1" w:rsidRPr="000E5506" w:rsidRDefault="00F27EE1" w:rsidP="00F27EE1">
      <w:pPr>
        <w:spacing w:after="0" w:line="240" w:lineRule="auto"/>
        <w:ind w:left="567"/>
        <w:jc w:val="both"/>
        <w:rPr>
          <w:rFonts w:ascii="Palatino Linotype" w:eastAsia="Times New Roman" w:hAnsi="Palatino Linotype"/>
          <w:i/>
          <w:szCs w:val="20"/>
          <w:lang w:eastAsia="es-MX"/>
        </w:rPr>
      </w:pPr>
      <w:r w:rsidRPr="000E5506">
        <w:rPr>
          <w:rFonts w:ascii="Palatino Linotype" w:eastAsia="Times New Roman" w:hAnsi="Palatino Linotype"/>
          <w:i/>
          <w:szCs w:val="20"/>
          <w:lang w:eastAsia="es-MX"/>
        </w:rPr>
        <w:t>“</w:t>
      </w:r>
      <w:r w:rsidRPr="000E5506">
        <w:rPr>
          <w:rFonts w:ascii="Palatino Linotype" w:eastAsia="Times New Roman" w:hAnsi="Palatino Linotype"/>
          <w:b/>
          <w:bCs/>
          <w:i/>
          <w:szCs w:val="20"/>
          <w:lang w:eastAsia="es-MX"/>
        </w:rPr>
        <w:t xml:space="preserve">Artículo 162. </w:t>
      </w:r>
      <w:r w:rsidRPr="000E5506">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E5506">
        <w:rPr>
          <w:rFonts w:ascii="Palatino Linotype" w:eastAsia="Times New Roman" w:hAnsi="Palatino Linotype"/>
          <w:i/>
          <w:szCs w:val="20"/>
          <w:lang w:eastAsia="es-MX"/>
        </w:rPr>
        <w:t>”</w:t>
      </w:r>
    </w:p>
    <w:p w14:paraId="3AB8405C" w14:textId="77777777" w:rsidR="00F27EE1" w:rsidRPr="000E5506" w:rsidRDefault="00F27EE1" w:rsidP="00F27EE1">
      <w:pPr>
        <w:spacing w:after="0" w:line="360" w:lineRule="auto"/>
        <w:jc w:val="both"/>
        <w:rPr>
          <w:rFonts w:ascii="Palatino Linotype" w:hAnsi="Palatino Linotype" w:cs="Arial"/>
          <w:sz w:val="24"/>
        </w:rPr>
      </w:pPr>
    </w:p>
    <w:p w14:paraId="4989E030" w14:textId="73E0EA3C" w:rsidR="00F27EE1" w:rsidRPr="000E5506" w:rsidRDefault="00F27EE1" w:rsidP="00F27EE1">
      <w:pPr>
        <w:spacing w:after="0" w:line="360" w:lineRule="auto"/>
        <w:jc w:val="both"/>
        <w:rPr>
          <w:rFonts w:ascii="Palatino Linotype" w:eastAsia="Times New Roman" w:hAnsi="Palatino Linotype" w:cs="Arial"/>
          <w:sz w:val="24"/>
          <w:szCs w:val="24"/>
          <w:lang w:val="es-ES" w:eastAsia="es-ES"/>
        </w:rPr>
      </w:pPr>
      <w:r w:rsidRPr="000E5506">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0E5506">
        <w:rPr>
          <w:rFonts w:ascii="Palatino Linotype" w:eastAsia="Times New Roman" w:hAnsi="Palatino Linotype" w:cs="Times New Roman"/>
          <w:b/>
          <w:sz w:val="24"/>
          <w:szCs w:val="24"/>
          <w:lang w:val="es-ES" w:eastAsia="es-MX"/>
        </w:rPr>
        <w:t>Sujeto Obligado</w:t>
      </w:r>
      <w:r w:rsidRPr="000E5506">
        <w:rPr>
          <w:rFonts w:ascii="Palatino Linotype" w:eastAsia="Times New Roman" w:hAnsi="Palatino Linotype" w:cs="Times New Roman"/>
          <w:sz w:val="24"/>
          <w:szCs w:val="24"/>
          <w:lang w:val="es-ES" w:eastAsia="es-MX"/>
        </w:rPr>
        <w:t>, no colma en su totalidad con la</w:t>
      </w:r>
      <w:r w:rsidRPr="000E5506">
        <w:rPr>
          <w:rFonts w:ascii="Palatino Linotype" w:eastAsia="Times New Roman" w:hAnsi="Palatino Linotype" w:cs="Times New Roman"/>
          <w:sz w:val="24"/>
          <w:szCs w:val="24"/>
          <w:lang w:val="es-ES" w:eastAsia="es-ES"/>
        </w:rPr>
        <w:t xml:space="preserve"> información solicitada por el particular; </w:t>
      </w:r>
      <w:r w:rsidRPr="000E5506">
        <w:rPr>
          <w:rFonts w:ascii="Palatino Linotype" w:hAnsi="Palatino Linotype"/>
          <w:sz w:val="24"/>
          <w:szCs w:val="24"/>
          <w:lang w:val="es-ES"/>
        </w:rPr>
        <w:t>por lo que</w:t>
      </w:r>
      <w:r w:rsidRPr="000E5506">
        <w:rPr>
          <w:rFonts w:ascii="Palatino Linotype" w:hAnsi="Palatino Linotype"/>
          <w:sz w:val="24"/>
          <w:szCs w:val="24"/>
        </w:rPr>
        <w:t xml:space="preserve">, </w:t>
      </w:r>
      <w:r w:rsidRPr="000E5506">
        <w:rPr>
          <w:rFonts w:ascii="Palatino Linotype" w:eastAsia="Times New Roman" w:hAnsi="Palatino Linotype" w:cs="Arial"/>
          <w:sz w:val="24"/>
          <w:szCs w:val="24"/>
          <w:lang w:val="es-ES" w:eastAsia="es-ES"/>
        </w:rPr>
        <w:t xml:space="preserve">es dable ordenar la </w:t>
      </w:r>
      <w:r w:rsidRPr="000E5506">
        <w:rPr>
          <w:rFonts w:ascii="Palatino Linotype" w:hAnsi="Palatino Linotype"/>
          <w:sz w:val="24"/>
        </w:rPr>
        <w:t xml:space="preserve">entregar de la información requerida; asimismo, deberá </w:t>
      </w:r>
      <w:r w:rsidRPr="000E5506">
        <w:rPr>
          <w:rFonts w:ascii="Palatino Linotype" w:hAnsi="Palatino Linotype"/>
          <w:sz w:val="24"/>
          <w:szCs w:val="24"/>
        </w:rPr>
        <w:t>observar lo siguiente:</w:t>
      </w:r>
    </w:p>
    <w:p w14:paraId="496A7850" w14:textId="77777777" w:rsidR="00F27EE1" w:rsidRPr="000E5506" w:rsidRDefault="00F27EE1" w:rsidP="00F27EE1">
      <w:pPr>
        <w:spacing w:line="360" w:lineRule="auto"/>
        <w:jc w:val="both"/>
        <w:rPr>
          <w:rFonts w:ascii="Palatino Linotype" w:hAnsi="Palatino Linotype"/>
          <w:sz w:val="24"/>
          <w:szCs w:val="24"/>
        </w:rPr>
      </w:pPr>
    </w:p>
    <w:p w14:paraId="212B63BA" w14:textId="77777777" w:rsidR="00BD35EA" w:rsidRPr="000E5506" w:rsidRDefault="00BD35EA" w:rsidP="00F27EE1">
      <w:pPr>
        <w:spacing w:line="360" w:lineRule="auto"/>
        <w:jc w:val="both"/>
        <w:rPr>
          <w:rFonts w:ascii="Palatino Linotype" w:hAnsi="Palatino Linotype"/>
          <w:sz w:val="24"/>
          <w:szCs w:val="24"/>
        </w:rPr>
      </w:pPr>
    </w:p>
    <w:p w14:paraId="14967DF7" w14:textId="77777777" w:rsidR="00F27EE1" w:rsidRPr="000E5506" w:rsidRDefault="00F27EE1" w:rsidP="00F27EE1">
      <w:pPr>
        <w:numPr>
          <w:ilvl w:val="0"/>
          <w:numId w:val="10"/>
        </w:numPr>
        <w:spacing w:after="0" w:line="360" w:lineRule="auto"/>
        <w:jc w:val="both"/>
        <w:rPr>
          <w:rFonts w:ascii="Palatino Linotype" w:eastAsia="Times New Roman" w:hAnsi="Palatino Linotype" w:cs="Arial"/>
          <w:b/>
          <w:i/>
          <w:sz w:val="26"/>
          <w:szCs w:val="26"/>
          <w:lang w:val="es-ES" w:eastAsia="es-ES"/>
        </w:rPr>
      </w:pPr>
      <w:r w:rsidRPr="000E5506">
        <w:rPr>
          <w:rFonts w:ascii="Palatino Linotype" w:eastAsia="Times New Roman" w:hAnsi="Palatino Linotype" w:cs="Arial"/>
          <w:b/>
          <w:i/>
          <w:sz w:val="26"/>
          <w:szCs w:val="26"/>
          <w:lang w:val="es-ES" w:eastAsia="es-ES"/>
        </w:rPr>
        <w:lastRenderedPageBreak/>
        <w:t>DE LA VERSIÓN PÚBLICA.</w:t>
      </w:r>
    </w:p>
    <w:p w14:paraId="6C6B2B98" w14:textId="77777777" w:rsidR="00F27EE1" w:rsidRPr="000E5506" w:rsidRDefault="00F27EE1" w:rsidP="00F27EE1">
      <w:pPr>
        <w:spacing w:after="0" w:line="360" w:lineRule="auto"/>
        <w:ind w:right="49"/>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Al respecto, los artículos 3, fracciones IX, XX, XXI, XXXII, XLV; 6, 91, 132, 137, 143, fracción I, de la Ley de Transparencia y Acceso a la Información Pública del Estado de México y Municipios establecen:</w:t>
      </w:r>
    </w:p>
    <w:p w14:paraId="66744F44" w14:textId="77777777" w:rsidR="00F27EE1" w:rsidRPr="000E5506" w:rsidRDefault="00F27EE1" w:rsidP="00F27EE1">
      <w:pPr>
        <w:spacing w:after="0" w:line="360" w:lineRule="auto"/>
        <w:ind w:right="49"/>
        <w:jc w:val="both"/>
        <w:rPr>
          <w:rFonts w:ascii="Palatino Linotype" w:eastAsia="Palatino Linotype" w:hAnsi="Palatino Linotype" w:cs="Palatino Linotype"/>
          <w:sz w:val="24"/>
          <w:szCs w:val="24"/>
          <w:lang w:eastAsia="es-MX"/>
        </w:rPr>
      </w:pPr>
    </w:p>
    <w:p w14:paraId="1711D705"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sz w:val="24"/>
          <w:szCs w:val="24"/>
          <w:lang w:eastAsia="es-MX"/>
        </w:rPr>
        <w:t> </w:t>
      </w:r>
      <w:r w:rsidRPr="000E5506">
        <w:rPr>
          <w:rFonts w:ascii="Palatino Linotype" w:eastAsia="Palatino Linotype" w:hAnsi="Palatino Linotype" w:cs="Palatino Linotype"/>
          <w:i/>
          <w:lang w:eastAsia="es-MX"/>
        </w:rPr>
        <w:t>“</w:t>
      </w:r>
      <w:r w:rsidRPr="000E5506">
        <w:rPr>
          <w:rFonts w:ascii="Palatino Linotype" w:eastAsia="Palatino Linotype" w:hAnsi="Palatino Linotype" w:cs="Palatino Linotype"/>
          <w:b/>
          <w:i/>
          <w:lang w:eastAsia="es-MX"/>
        </w:rPr>
        <w:t>Artículo 3.</w:t>
      </w:r>
      <w:r w:rsidRPr="000E5506">
        <w:rPr>
          <w:rFonts w:ascii="Palatino Linotype" w:eastAsia="Palatino Linotype" w:hAnsi="Palatino Linotype" w:cs="Palatino Linotype"/>
          <w:i/>
          <w:lang w:eastAsia="es-MX"/>
        </w:rPr>
        <w:t xml:space="preserve"> Para los efectos de la presente Ley se entenderá por:</w:t>
      </w:r>
    </w:p>
    <w:p w14:paraId="2272A333" w14:textId="77777777" w:rsidR="00F27EE1" w:rsidRPr="000E5506" w:rsidRDefault="00F27EE1" w:rsidP="00F27EE1">
      <w:pPr>
        <w:tabs>
          <w:tab w:val="left" w:pos="1276"/>
        </w:tabs>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p>
    <w:p w14:paraId="22EBA0D7" w14:textId="77777777" w:rsidR="00F27EE1" w:rsidRPr="000E5506" w:rsidRDefault="00F27EE1" w:rsidP="00F27EE1">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IX. Datos personales</w:t>
      </w:r>
      <w:r w:rsidRPr="000E5506">
        <w:rPr>
          <w:rFonts w:ascii="Palatino Linotype" w:eastAsia="Palatino Linotype" w:hAnsi="Palatino Linotype" w:cs="Palatino Linotype"/>
          <w:i/>
          <w:lang w:eastAsia="es-MX"/>
        </w:rPr>
        <w:t>: La información concerniente a una persona, identificada o identificable según lo dispuesto por la Ley de Protección de Datos Personales del Estado de México;</w:t>
      </w:r>
    </w:p>
    <w:p w14:paraId="44860C41" w14:textId="77777777" w:rsidR="00F27EE1" w:rsidRPr="000E5506" w:rsidRDefault="00F27EE1" w:rsidP="00F27EE1">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p>
    <w:p w14:paraId="659103A3" w14:textId="77777777" w:rsidR="00F27EE1" w:rsidRPr="000E5506" w:rsidRDefault="00F27EE1" w:rsidP="00F27EE1">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XX. Información clasificada</w:t>
      </w:r>
      <w:r w:rsidRPr="000E5506">
        <w:rPr>
          <w:rFonts w:ascii="Palatino Linotype" w:eastAsia="Palatino Linotype" w:hAnsi="Palatino Linotype" w:cs="Palatino Linotype"/>
          <w:i/>
          <w:lang w:eastAsia="es-MX"/>
        </w:rPr>
        <w:t>: Aquella considerada por la presente Ley como reservada o confidencial;</w:t>
      </w:r>
    </w:p>
    <w:p w14:paraId="07455EE2" w14:textId="77777777" w:rsidR="00F27EE1" w:rsidRPr="000E5506" w:rsidRDefault="00F27EE1" w:rsidP="00F27EE1">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XXI. Información confidencial</w:t>
      </w:r>
      <w:r w:rsidRPr="000E5506">
        <w:rPr>
          <w:rFonts w:ascii="Palatino Linotype" w:eastAsia="Palatino Linotype" w:hAnsi="Palatino Linotype" w:cs="Palatino Linotype"/>
          <w:i/>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55AF57" w14:textId="77777777" w:rsidR="00F27EE1" w:rsidRPr="000E5506" w:rsidRDefault="00F27EE1" w:rsidP="00F27EE1">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p>
    <w:p w14:paraId="713448A9" w14:textId="77777777" w:rsidR="00F27EE1" w:rsidRPr="000E5506" w:rsidRDefault="00F27EE1" w:rsidP="00F27EE1">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XXXII. Protección de Datos Personales</w:t>
      </w:r>
      <w:r w:rsidRPr="000E5506">
        <w:rPr>
          <w:rFonts w:ascii="Palatino Linotype" w:eastAsia="Palatino Linotype" w:hAnsi="Palatino Linotype" w:cs="Palatino Linotype"/>
          <w:i/>
          <w:lang w:eastAsia="es-MX"/>
        </w:rPr>
        <w:t>: Derecho humano que tutela la privacidad de datos personales en poder de los sujetos obligados y sujetos particulares;</w:t>
      </w:r>
    </w:p>
    <w:p w14:paraId="7DD4741A" w14:textId="77777777" w:rsidR="00F27EE1" w:rsidRPr="000E5506" w:rsidRDefault="00F27EE1" w:rsidP="00F27EE1">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p>
    <w:p w14:paraId="5A76FB43" w14:textId="77777777" w:rsidR="00F27EE1" w:rsidRPr="000E5506" w:rsidRDefault="00F27EE1" w:rsidP="00F27EE1">
      <w:pPr>
        <w:tabs>
          <w:tab w:val="left" w:pos="1276"/>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XLV. Versión pública</w:t>
      </w:r>
      <w:r w:rsidRPr="000E5506">
        <w:rPr>
          <w:rFonts w:ascii="Palatino Linotype" w:eastAsia="Palatino Linotype" w:hAnsi="Palatino Linotype" w:cs="Palatino Linotype"/>
          <w:i/>
          <w:lang w:eastAsia="es-MX"/>
        </w:rPr>
        <w:t>: Documento en el que se elimine, suprime o borra la información clasificada como reservada o confidencial para permitir su acceso.</w:t>
      </w:r>
    </w:p>
    <w:p w14:paraId="21920FE2"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 Artículo 6</w:t>
      </w:r>
      <w:r w:rsidRPr="000E5506">
        <w:rPr>
          <w:rFonts w:ascii="Palatino Linotype" w:eastAsia="Palatino Linotype" w:hAnsi="Palatino Linotype" w:cs="Palatino Linotype"/>
          <w:i/>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B782312"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p>
    <w:p w14:paraId="4AE65ECD"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lastRenderedPageBreak/>
        <w:t>Artículo 91.</w:t>
      </w:r>
      <w:r w:rsidRPr="000E5506">
        <w:rPr>
          <w:rFonts w:ascii="Palatino Linotype" w:eastAsia="Palatino Linotype" w:hAnsi="Palatino Linotype" w:cs="Palatino Linotype"/>
          <w:i/>
          <w:lang w:eastAsia="es-MX"/>
        </w:rPr>
        <w:t xml:space="preserve"> El acceso a la información pública será restringido excepcionalmente, cuando ésta sea clasificada como reservada o confidencial.</w:t>
      </w:r>
      <w:r w:rsidRPr="000E5506">
        <w:rPr>
          <w:rFonts w:ascii="Palatino Linotype" w:eastAsia="Palatino Linotype" w:hAnsi="Palatino Linotype" w:cs="Palatino Linotype"/>
          <w:i/>
          <w:lang w:eastAsia="es-MX"/>
        </w:rPr>
        <w:br/>
        <w:t>…</w:t>
      </w:r>
    </w:p>
    <w:p w14:paraId="02CFC2A8"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Artículo 132.</w:t>
      </w:r>
      <w:r w:rsidRPr="000E5506">
        <w:rPr>
          <w:rFonts w:ascii="Palatino Linotype" w:eastAsia="Palatino Linotype" w:hAnsi="Palatino Linotype" w:cs="Palatino Linotype"/>
          <w:i/>
          <w:lang w:eastAsia="es-MX"/>
        </w:rPr>
        <w:t xml:space="preserve"> La clasificación de la información se llevará a cabo en el momento en que:</w:t>
      </w:r>
    </w:p>
    <w:p w14:paraId="776B54E2"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w:t>
      </w:r>
      <w:r w:rsidRPr="000E5506">
        <w:rPr>
          <w:rFonts w:ascii="Palatino Linotype" w:eastAsia="Palatino Linotype" w:hAnsi="Palatino Linotype" w:cs="Palatino Linotype"/>
          <w:i/>
          <w:lang w:eastAsia="es-MX"/>
        </w:rPr>
        <w:t>. Se reciba una solicitud de acceso a la información;</w:t>
      </w:r>
    </w:p>
    <w:p w14:paraId="6BA46899"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w:t>
      </w:r>
      <w:r w:rsidRPr="000E5506">
        <w:rPr>
          <w:rFonts w:ascii="Palatino Linotype" w:eastAsia="Palatino Linotype" w:hAnsi="Palatino Linotype" w:cs="Palatino Linotype"/>
          <w:i/>
          <w:lang w:eastAsia="es-MX"/>
        </w:rPr>
        <w:t xml:space="preserve"> Se determine mediante resolución de autoridad competente; o</w:t>
      </w:r>
    </w:p>
    <w:p w14:paraId="1D4DA826"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III.</w:t>
      </w:r>
      <w:r w:rsidRPr="000E5506">
        <w:rPr>
          <w:rFonts w:ascii="Palatino Linotype" w:eastAsia="Palatino Linotype" w:hAnsi="Palatino Linotype" w:cs="Palatino Linotype"/>
          <w:i/>
          <w:lang w:eastAsia="es-MX"/>
        </w:rPr>
        <w:t xml:space="preserve"> Se generen versiones públicas para dar cumplimiento a las obligaciones de transparencia previstas en esta Ley.</w:t>
      </w:r>
    </w:p>
    <w:p w14:paraId="4738894E"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w:t>
      </w:r>
    </w:p>
    <w:p w14:paraId="5EF84475"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Artículo 137.</w:t>
      </w:r>
      <w:r w:rsidRPr="000E5506">
        <w:rPr>
          <w:rFonts w:ascii="Palatino Linotype" w:eastAsia="Palatino Linotype" w:hAnsi="Palatino Linotype" w:cs="Palatino Linotype"/>
          <w:i/>
          <w:lang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5673583"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 Artículo 143.</w:t>
      </w:r>
      <w:r w:rsidRPr="000E5506">
        <w:rPr>
          <w:rFonts w:ascii="Palatino Linotype" w:eastAsia="Palatino Linotype" w:hAnsi="Palatino Linotype" w:cs="Palatino Linotype"/>
          <w:i/>
          <w:lang w:eastAsia="es-MX"/>
        </w:rPr>
        <w:t xml:space="preserve"> Para los efectos de esta Ley se considera información confidencial, la clasificada como tal, de manera permanente, por su naturaleza, cuando:</w:t>
      </w:r>
    </w:p>
    <w:p w14:paraId="137CC9D8"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w:t>
      </w:r>
      <w:r w:rsidRPr="000E5506">
        <w:rPr>
          <w:rFonts w:ascii="Palatino Linotype" w:eastAsia="Palatino Linotype" w:hAnsi="Palatino Linotype" w:cs="Palatino Linotype"/>
          <w:i/>
          <w:lang w:eastAsia="es-MX"/>
        </w:rPr>
        <w:t xml:space="preserve"> Se refiera a la información privada y los datos personales concernientes a una persona física o jurídico colectiva identificada o identificable...”</w:t>
      </w:r>
    </w:p>
    <w:p w14:paraId="355822A2"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11357F6A"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E5506">
        <w:rPr>
          <w:rFonts w:ascii="Palatino Linotype" w:eastAsia="Palatino Linotype" w:hAnsi="Palatino Linotype" w:cs="Palatino Linotype"/>
          <w:b/>
          <w:sz w:val="24"/>
          <w:szCs w:val="24"/>
          <w:lang w:eastAsia="es-MX"/>
        </w:rPr>
        <w:t>Sujeto Obligado</w:t>
      </w:r>
      <w:r w:rsidRPr="000E5506">
        <w:rPr>
          <w:rFonts w:ascii="Palatino Linotype" w:eastAsia="Palatino Linotype" w:hAnsi="Palatino Linotype" w:cs="Palatino Linotype"/>
          <w:sz w:val="24"/>
          <w:szCs w:val="24"/>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w:t>
      </w:r>
      <w:r w:rsidRPr="000E5506">
        <w:rPr>
          <w:rFonts w:ascii="Palatino Linotype" w:eastAsia="Palatino Linotype" w:hAnsi="Palatino Linotype" w:cs="Palatino Linotype"/>
          <w:sz w:val="24"/>
          <w:szCs w:val="24"/>
          <w:lang w:eastAsia="es-MX"/>
        </w:rPr>
        <w:lastRenderedPageBreak/>
        <w:t>la fracción XII del artículo 4 de la Ley de Protección de Datos Personales en posesión de Sujeto Obligados del Estado de México.</w:t>
      </w:r>
    </w:p>
    <w:p w14:paraId="4C65C1D3"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76C99DF5"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FBDA5D5"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198FB087"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3873DDD8"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50128727"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La </w:t>
      </w:r>
      <w:r w:rsidRPr="000E5506">
        <w:rPr>
          <w:rFonts w:ascii="Palatino Linotype" w:eastAsia="Palatino Linotype" w:hAnsi="Palatino Linotype" w:cs="Palatino Linotype"/>
          <w:b/>
          <w:sz w:val="24"/>
          <w:szCs w:val="24"/>
          <w:lang w:eastAsia="es-MX"/>
        </w:rPr>
        <w:t>clave de elector</w:t>
      </w:r>
      <w:r w:rsidRPr="000E5506">
        <w:rPr>
          <w:rFonts w:ascii="Palatino Linotype" w:eastAsia="Palatino Linotype" w:hAnsi="Palatino Linotype" w:cs="Palatino Linotype"/>
          <w:sz w:val="24"/>
          <w:szCs w:val="24"/>
          <w:lang w:eastAsia="es-MX"/>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71D7BB48"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p>
    <w:p w14:paraId="7C38AA5F"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lastRenderedPageBreak/>
        <w:t xml:space="preserve">El </w:t>
      </w:r>
      <w:r w:rsidRPr="000E5506">
        <w:rPr>
          <w:rFonts w:ascii="Palatino Linotype" w:eastAsia="Palatino Linotype" w:hAnsi="Palatino Linotype" w:cs="Palatino Linotype"/>
          <w:b/>
          <w:sz w:val="24"/>
          <w:szCs w:val="24"/>
          <w:lang w:eastAsia="es-MX"/>
        </w:rPr>
        <w:t>número de OCR,</w:t>
      </w:r>
      <w:r w:rsidRPr="000E5506">
        <w:rPr>
          <w:rFonts w:ascii="Palatino Linotype" w:eastAsia="Palatino Linotype" w:hAnsi="Palatino Linotype" w:cs="Palatino Linotype"/>
          <w:sz w:val="24"/>
          <w:szCs w:val="24"/>
          <w:lang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24ECEA09"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p>
    <w:p w14:paraId="2FDB27EC"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La </w:t>
      </w:r>
      <w:r w:rsidRPr="000E5506">
        <w:rPr>
          <w:rFonts w:ascii="Palatino Linotype" w:eastAsia="Palatino Linotype" w:hAnsi="Palatino Linotype" w:cs="Palatino Linotype"/>
          <w:b/>
          <w:sz w:val="24"/>
          <w:szCs w:val="24"/>
          <w:lang w:eastAsia="es-MX"/>
        </w:rPr>
        <w:t>clave única del registro de población,</w:t>
      </w:r>
      <w:r w:rsidRPr="000E5506">
        <w:rPr>
          <w:rFonts w:ascii="Palatino Linotype" w:eastAsia="Palatino Linotype" w:hAnsi="Palatino Linotype" w:cs="Palatino Linotype"/>
          <w:i/>
          <w:sz w:val="24"/>
          <w:szCs w:val="24"/>
          <w:lang w:eastAsia="es-MX"/>
        </w:rPr>
        <w:t xml:space="preserve"> </w:t>
      </w:r>
      <w:r w:rsidRPr="000E5506">
        <w:rPr>
          <w:rFonts w:ascii="Palatino Linotype" w:eastAsia="Palatino Linotype" w:hAnsi="Palatino Linotype" w:cs="Palatino Linotype"/>
          <w:sz w:val="24"/>
          <w:szCs w:val="24"/>
          <w:lang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62938D3"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p>
    <w:p w14:paraId="05975B9C"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Igualmente, resulta importante destacar que el </w:t>
      </w:r>
      <w:r w:rsidRPr="000E5506">
        <w:rPr>
          <w:rFonts w:ascii="Palatino Linotype" w:eastAsia="Palatino Linotype" w:hAnsi="Palatino Linotype" w:cs="Palatino Linotype"/>
          <w:i/>
          <w:sz w:val="24"/>
          <w:szCs w:val="24"/>
          <w:lang w:eastAsia="es-MX"/>
        </w:rPr>
        <w:t>número de cuenta bancaria</w:t>
      </w:r>
      <w:r w:rsidRPr="000E5506">
        <w:rPr>
          <w:rFonts w:ascii="Palatino Linotype" w:eastAsia="Palatino Linotype" w:hAnsi="Palatino Linotype" w:cs="Palatino Linotype"/>
          <w:sz w:val="24"/>
          <w:szCs w:val="24"/>
          <w:lang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AA21F1B"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58900175"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794DD9E"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1506B065"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CA9DCCC"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5B884A3C"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En esa virtud, este Pleno determina que dicha información no puede ser del dominio público, toda vez que se podría dar un uso inadecuado a la misma o cometer algún ilícito o fraude como ya ha sido expuesto. </w:t>
      </w:r>
    </w:p>
    <w:p w14:paraId="1694CE9E"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65C74FAC"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Es por esta razón que se debe omitir el o los números de cuentas bancarias de particulares en las versiones públicas que de las facturas se hagan, para ser entregadas.</w:t>
      </w:r>
    </w:p>
    <w:p w14:paraId="2A48763E"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38ECEC8F"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Lo anterior, no es así tratándose de las cuentas bancarias o claves interbancarias de los Sujetos Obligados ya que su publicidad cede a la rendición de cuentas al transparentar la forma en que son administrados los recursos públicos.</w:t>
      </w:r>
    </w:p>
    <w:p w14:paraId="743C0117"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2B8EC490" w14:textId="1686FD61" w:rsidR="00F27EE1" w:rsidRPr="000E5506" w:rsidRDefault="00F27EE1" w:rsidP="00B44A69">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Lo argumentado encuentra sustento en los criterios 10/17 y 11/17, emitidos por el entonces Instituto Nacional de Transparencia, Acceso a la Información y Protección de Datos Personales, INAI, que llevan por rubro y texto los siguientes:</w:t>
      </w:r>
    </w:p>
    <w:p w14:paraId="1F1796FD"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lastRenderedPageBreak/>
        <w:t>“Cuentas bancarias y/o CLABE interbancaria de personas físicas y morales privadas.</w:t>
      </w:r>
      <w:r w:rsidRPr="000E5506">
        <w:rPr>
          <w:rFonts w:ascii="Palatino Linotype" w:eastAsia="Palatino Linotype" w:hAnsi="Palatino Linotype" w:cs="Palatino Linotype"/>
          <w:i/>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708371B"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p>
    <w:p w14:paraId="413706C9"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Cuentas bancarias y/o CLABE interbancaria de sujetos obligados que reciben y/o transfieren recursos públicos, son información pública</w:t>
      </w:r>
      <w:r w:rsidRPr="000E5506">
        <w:rPr>
          <w:rFonts w:ascii="Palatino Linotype" w:eastAsia="Palatino Linotype" w:hAnsi="Palatino Linotype" w:cs="Palatino Linotype"/>
          <w:i/>
          <w:lang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70C3026"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29A0078F"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Por cuanto hace al </w:t>
      </w:r>
      <w:r w:rsidRPr="000E5506">
        <w:rPr>
          <w:rFonts w:ascii="Palatino Linotype" w:eastAsia="Palatino Linotype" w:hAnsi="Palatino Linotype" w:cs="Palatino Linotype"/>
          <w:b/>
          <w:sz w:val="24"/>
          <w:szCs w:val="24"/>
          <w:lang w:eastAsia="es-MX"/>
        </w:rPr>
        <w:t xml:space="preserve">Registro Federal de Contribuyentes (RFC) </w:t>
      </w:r>
      <w:r w:rsidRPr="000E5506">
        <w:rPr>
          <w:rFonts w:ascii="Palatino Linotype" w:eastAsia="Palatino Linotype" w:hAnsi="Palatino Linotype" w:cs="Palatino Linotype"/>
          <w:sz w:val="24"/>
          <w:szCs w:val="24"/>
          <w:lang w:eastAsia="es-MX"/>
        </w:rPr>
        <w:t>y</w:t>
      </w:r>
      <w:r w:rsidRPr="000E5506">
        <w:rPr>
          <w:rFonts w:ascii="Palatino Linotype" w:eastAsia="Palatino Linotype" w:hAnsi="Palatino Linotype" w:cs="Palatino Linotype"/>
          <w:b/>
          <w:sz w:val="24"/>
          <w:szCs w:val="24"/>
          <w:lang w:eastAsia="es-MX"/>
        </w:rPr>
        <w:t xml:space="preserve"> el domicilio fiscal </w:t>
      </w:r>
      <w:r w:rsidRPr="000E5506">
        <w:rPr>
          <w:rFonts w:ascii="Palatino Linotype" w:eastAsia="Palatino Linotype" w:hAnsi="Palatino Linotype" w:cs="Palatino Linotype"/>
          <w:sz w:val="24"/>
          <w:szCs w:val="24"/>
          <w:lang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B4EC632"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181676C9"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0D7B1FF"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5DD44738"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lastRenderedPageBreak/>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0E5506">
        <w:rPr>
          <w:rFonts w:ascii="Palatino Linotype" w:eastAsia="Palatino Linotype" w:hAnsi="Palatino Linotype" w:cs="Palatino Linotype"/>
          <w:b/>
          <w:sz w:val="24"/>
          <w:szCs w:val="24"/>
          <w:lang w:eastAsia="es-MX"/>
        </w:rPr>
        <w:t>no puede considerarse como información clasificada lo relativo a su nombre, registro federal de contribuyentes y domicilio fiscal</w:t>
      </w:r>
      <w:r w:rsidRPr="000E5506">
        <w:rPr>
          <w:rFonts w:ascii="Palatino Linotype" w:eastAsia="Palatino Linotype" w:hAnsi="Palatino Linotype" w:cs="Palatino Linotype"/>
          <w:sz w:val="24"/>
          <w:szCs w:val="24"/>
          <w:lang w:eastAsia="es-MX"/>
        </w:rPr>
        <w:t>, atento a que dicha información es la que puede generar certeza en los gobernados en que se está ejerciendo debidamente el presupuesto.</w:t>
      </w:r>
    </w:p>
    <w:p w14:paraId="33BD2967"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7AEA2A22"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Robustece lo anterior el criterio orientador 04/21 emitido por el entonces Instituto Nacional de Transparencia, Acceso a la Información y Protección de Datos Personales, INAI, el cual refiere:</w:t>
      </w:r>
    </w:p>
    <w:p w14:paraId="4393491C" w14:textId="77777777" w:rsidR="00BD35EA" w:rsidRPr="000E5506" w:rsidRDefault="00BD35EA" w:rsidP="00BD35EA">
      <w:pPr>
        <w:pStyle w:val="Sinespaciado"/>
        <w:rPr>
          <w:lang w:eastAsia="es-MX"/>
        </w:rPr>
      </w:pPr>
    </w:p>
    <w:p w14:paraId="045F52C4" w14:textId="77777777" w:rsidR="00F27EE1" w:rsidRPr="000E5506" w:rsidRDefault="00F27EE1" w:rsidP="00BD35EA">
      <w:pPr>
        <w:spacing w:after="0" w:line="240" w:lineRule="auto"/>
        <w:ind w:left="851" w:right="902"/>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 xml:space="preserve">“Registro Federal de Contribuyentes (RFC) de personas físicas proveedoras o contratistas. </w:t>
      </w:r>
      <w:r w:rsidRPr="000E5506">
        <w:rPr>
          <w:rFonts w:ascii="Palatino Linotype" w:eastAsia="Palatino Linotype" w:hAnsi="Palatino Linotype" w:cs="Palatino Linotype"/>
          <w:i/>
          <w:lang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5C5CD2E" w14:textId="77777777" w:rsidR="00BD35EA" w:rsidRPr="000E5506" w:rsidRDefault="00BD35EA" w:rsidP="00BD35EA">
      <w:pPr>
        <w:pStyle w:val="Sinespaciado"/>
        <w:rPr>
          <w:lang w:eastAsia="es-MX"/>
        </w:rPr>
      </w:pPr>
    </w:p>
    <w:p w14:paraId="57F6D8C8" w14:textId="4F75658E"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Relacionado con lo anterior, el </w:t>
      </w:r>
      <w:r w:rsidRPr="000E5506">
        <w:rPr>
          <w:rFonts w:ascii="Palatino Linotype" w:eastAsia="Palatino Linotype" w:hAnsi="Palatino Linotype" w:cs="Palatino Linotype"/>
          <w:b/>
          <w:sz w:val="24"/>
          <w:szCs w:val="24"/>
          <w:lang w:eastAsia="es-MX"/>
        </w:rPr>
        <w:t>nombre de las personas físicas</w:t>
      </w:r>
      <w:r w:rsidRPr="000E5506">
        <w:rPr>
          <w:rFonts w:ascii="Palatino Linotype" w:eastAsia="Palatino Linotype" w:hAnsi="Palatino Linotype" w:cs="Palatino Linotype"/>
          <w:sz w:val="24"/>
          <w:szCs w:val="24"/>
          <w:lang w:eastAsia="es-MX"/>
        </w:rPr>
        <w:t xml:space="preserve"> o los </w:t>
      </w:r>
      <w:r w:rsidRPr="000E5506">
        <w:rPr>
          <w:rFonts w:ascii="Palatino Linotype" w:eastAsia="Palatino Linotype" w:hAnsi="Palatino Linotype" w:cs="Palatino Linotype"/>
          <w:b/>
          <w:sz w:val="24"/>
          <w:szCs w:val="24"/>
          <w:lang w:eastAsia="es-MX"/>
        </w:rPr>
        <w:t>representantes legales de las personas morales</w:t>
      </w:r>
      <w:r w:rsidRPr="000E5506">
        <w:rPr>
          <w:rFonts w:ascii="Palatino Linotype" w:eastAsia="Palatino Linotype" w:hAnsi="Palatino Linotype" w:cs="Palatino Linotype"/>
          <w:sz w:val="24"/>
          <w:szCs w:val="24"/>
          <w:lang w:eastAsia="es-MX"/>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w:t>
      </w:r>
      <w:r w:rsidRPr="000E5506">
        <w:rPr>
          <w:rFonts w:ascii="Palatino Linotype" w:eastAsia="Palatino Linotype" w:hAnsi="Palatino Linotype" w:cs="Palatino Linotype"/>
          <w:sz w:val="24"/>
          <w:szCs w:val="24"/>
          <w:lang w:eastAsia="es-MX"/>
        </w:rPr>
        <w:lastRenderedPageBreak/>
        <w:t>el cual los datos del representante legal de la persona moral que resultó favorecida con el procedimiento de licitación no conservan el carácter de confidencial y por tanto no deben ser testados.</w:t>
      </w:r>
    </w:p>
    <w:p w14:paraId="33E7579C"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p>
    <w:p w14:paraId="4D18C52D"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Argumentación que guarda sustento en lo estipulado por el artículo 23 de la Ley de Transparencia y Acceso a la Información Pública del Estado de México y Municipios en su penúltimo párrafo, mismo que es del tenor literal siguiente:</w:t>
      </w:r>
    </w:p>
    <w:p w14:paraId="4A513074" w14:textId="77777777" w:rsidR="00F27EE1" w:rsidRPr="000E5506" w:rsidRDefault="00F27EE1" w:rsidP="00F27EE1">
      <w:pPr>
        <w:spacing w:after="0" w:line="240" w:lineRule="auto"/>
        <w:rPr>
          <w:rFonts w:ascii="Times New Roman" w:eastAsia="Palatino Linotype" w:hAnsi="Times New Roman" w:cs="Times New Roman"/>
          <w:sz w:val="24"/>
          <w:szCs w:val="24"/>
          <w:lang w:eastAsia="es-MX"/>
        </w:rPr>
      </w:pPr>
    </w:p>
    <w:p w14:paraId="27BCBB91"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r w:rsidRPr="000E5506">
        <w:rPr>
          <w:rFonts w:ascii="Palatino Linotype" w:eastAsia="Palatino Linotype" w:hAnsi="Palatino Linotype" w:cs="Palatino Linotype"/>
          <w:b/>
          <w:i/>
          <w:lang w:eastAsia="es-MX"/>
        </w:rPr>
        <w:t>Artículo 23.</w:t>
      </w:r>
      <w:r w:rsidRPr="000E5506">
        <w:rPr>
          <w:rFonts w:ascii="Palatino Linotype" w:eastAsia="Palatino Linotype" w:hAnsi="Palatino Linotype" w:cs="Palatino Linotype"/>
          <w:i/>
          <w:lang w:eastAsia="es-MX"/>
        </w:rPr>
        <w:t xml:space="preserve"> (…)</w:t>
      </w:r>
    </w:p>
    <w:p w14:paraId="0E7472F6"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46AED35"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p>
    <w:p w14:paraId="351AD9AE"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621DB05D" w14:textId="77777777" w:rsidR="00F27EE1" w:rsidRPr="000E5506" w:rsidRDefault="00F27EE1" w:rsidP="00F27EE1">
      <w:pPr>
        <w:spacing w:after="0" w:line="240" w:lineRule="auto"/>
        <w:rPr>
          <w:rFonts w:ascii="Times New Roman" w:eastAsia="Palatino Linotype" w:hAnsi="Times New Roman" w:cs="Times New Roman"/>
          <w:sz w:val="24"/>
          <w:szCs w:val="24"/>
          <w:lang w:eastAsia="es-MX"/>
        </w:rPr>
      </w:pPr>
    </w:p>
    <w:p w14:paraId="2803DCEB"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“Datos de identificación del representante o apoderado legal.</w:t>
      </w:r>
      <w:r w:rsidRPr="000E5506">
        <w:rPr>
          <w:rFonts w:ascii="Palatino Linotype" w:eastAsia="Palatino Linotype" w:hAnsi="Palatino Linotype" w:cs="Palatino Linotype"/>
          <w:i/>
          <w:lang w:eastAsia="es-MX"/>
        </w:rPr>
        <w:t xml:space="preserve"> </w:t>
      </w:r>
      <w:r w:rsidRPr="000E5506">
        <w:rPr>
          <w:rFonts w:ascii="Palatino Linotype" w:eastAsia="Palatino Linotype" w:hAnsi="Palatino Linotype" w:cs="Palatino Linotype"/>
          <w:b/>
          <w:i/>
          <w:lang w:eastAsia="es-MX"/>
        </w:rPr>
        <w:t xml:space="preserve">Naturaleza jurídica. </w:t>
      </w:r>
      <w:r w:rsidRPr="000E5506">
        <w:rPr>
          <w:rFonts w:ascii="Palatino Linotype" w:eastAsia="Palatino Linotype" w:hAnsi="Palatino Linotype" w:cs="Palatino Linotype"/>
          <w:i/>
          <w:lang w:eastAsia="es-MX"/>
        </w:rPr>
        <w:t xml:space="preserve">El nombre, la firma y la rúbrica de una persona física, que actúe como representante o apoderado legal de un tercero que haya celebrado un acto jurídico, con algún sujeto obligado, </w:t>
      </w:r>
      <w:r w:rsidRPr="000E5506">
        <w:rPr>
          <w:rFonts w:ascii="Palatino Linotype" w:eastAsia="Palatino Linotype" w:hAnsi="Palatino Linotype" w:cs="Palatino Linotype"/>
          <w:b/>
          <w:i/>
          <w:lang w:eastAsia="es-MX"/>
        </w:rPr>
        <w:t>es información pública, en razón de que tales datos fueron proporcionados con el objeto de expresar el consentimiento obligacional del tercero y otorgar validez a dicho instrumento jurídico</w:t>
      </w:r>
      <w:r w:rsidRPr="000E5506">
        <w:rPr>
          <w:rFonts w:ascii="Palatino Linotype" w:eastAsia="Palatino Linotype" w:hAnsi="Palatino Linotype" w:cs="Palatino Linotype"/>
          <w:i/>
          <w:lang w:eastAsia="es-MX"/>
        </w:rPr>
        <w:t>.”</w:t>
      </w:r>
    </w:p>
    <w:p w14:paraId="373EE3E3" w14:textId="77777777" w:rsidR="00F27EE1" w:rsidRPr="000E5506" w:rsidRDefault="00F27EE1" w:rsidP="00F27EE1">
      <w:pPr>
        <w:spacing w:after="0" w:line="240" w:lineRule="auto"/>
        <w:rPr>
          <w:rFonts w:ascii="Times New Roman" w:eastAsia="Palatino Linotype" w:hAnsi="Times New Roman" w:cs="Times New Roman"/>
          <w:sz w:val="24"/>
          <w:szCs w:val="24"/>
          <w:lang w:eastAsia="es-MX"/>
        </w:rPr>
      </w:pPr>
    </w:p>
    <w:p w14:paraId="02B93E01" w14:textId="77777777" w:rsidR="00F27EE1" w:rsidRPr="000E5506" w:rsidRDefault="00F27EE1" w:rsidP="00F27EE1">
      <w:pPr>
        <w:spacing w:after="0" w:line="360" w:lineRule="auto"/>
        <w:ind w:right="50"/>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sidRPr="000E5506">
        <w:rPr>
          <w:rFonts w:ascii="Palatino Linotype" w:eastAsia="Palatino Linotype" w:hAnsi="Palatino Linotype" w:cs="Palatino Linotype"/>
          <w:sz w:val="24"/>
          <w:szCs w:val="24"/>
          <w:lang w:eastAsia="es-MX"/>
        </w:rPr>
        <w:lastRenderedPageBreak/>
        <w:t>términos de lo que disponen los artículos 49 fracción VIII, 53, fracción X y 59, fracción V, de la Ley en consulta, cuyo sentido literal es el siguiente:</w:t>
      </w:r>
    </w:p>
    <w:p w14:paraId="178C6B3B" w14:textId="77777777" w:rsidR="00F27EE1" w:rsidRPr="000E5506" w:rsidRDefault="00F27EE1" w:rsidP="00F27EE1">
      <w:pPr>
        <w:spacing w:after="0" w:line="240" w:lineRule="auto"/>
        <w:rPr>
          <w:rFonts w:ascii="Times New Roman" w:eastAsia="Palatino Linotype" w:hAnsi="Times New Roman" w:cs="Times New Roman"/>
          <w:sz w:val="24"/>
          <w:szCs w:val="24"/>
          <w:lang w:eastAsia="es-MX"/>
        </w:rPr>
      </w:pPr>
    </w:p>
    <w:p w14:paraId="00FA7920"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“Artículo 49.</w:t>
      </w:r>
      <w:r w:rsidRPr="000E5506">
        <w:rPr>
          <w:rFonts w:ascii="Palatino Linotype" w:eastAsia="Palatino Linotype" w:hAnsi="Palatino Linotype" w:cs="Palatino Linotype"/>
          <w:i/>
          <w:lang w:eastAsia="es-MX"/>
        </w:rPr>
        <w:t xml:space="preserve"> </w:t>
      </w:r>
      <w:r w:rsidRPr="000E5506">
        <w:rPr>
          <w:rFonts w:ascii="Palatino Linotype" w:eastAsia="Palatino Linotype" w:hAnsi="Palatino Linotype" w:cs="Palatino Linotype"/>
          <w:b/>
          <w:i/>
          <w:lang w:eastAsia="es-MX"/>
        </w:rPr>
        <w:t>Los Comités de Transparencia</w:t>
      </w:r>
      <w:r w:rsidRPr="000E5506">
        <w:rPr>
          <w:rFonts w:ascii="Palatino Linotype" w:eastAsia="Palatino Linotype" w:hAnsi="Palatino Linotype" w:cs="Palatino Linotype"/>
          <w:i/>
          <w:lang w:eastAsia="es-MX"/>
        </w:rPr>
        <w:t xml:space="preserve"> tendrán las siguientes atribuciones:</w:t>
      </w:r>
    </w:p>
    <w:p w14:paraId="24057E11"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VIII. Aprobar, modificar o revocar la clasificación de la información</w:t>
      </w:r>
      <w:r w:rsidRPr="000E5506">
        <w:rPr>
          <w:rFonts w:ascii="Palatino Linotype" w:eastAsia="Palatino Linotype" w:hAnsi="Palatino Linotype" w:cs="Palatino Linotype"/>
          <w:i/>
          <w:lang w:eastAsia="es-MX"/>
        </w:rPr>
        <w:t>…”</w:t>
      </w:r>
    </w:p>
    <w:p w14:paraId="01C229EC"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p>
    <w:p w14:paraId="10CEF640"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r w:rsidRPr="000E5506">
        <w:rPr>
          <w:rFonts w:ascii="Palatino Linotype" w:eastAsia="Palatino Linotype" w:hAnsi="Palatino Linotype" w:cs="Palatino Linotype"/>
          <w:b/>
          <w:i/>
          <w:lang w:eastAsia="es-MX"/>
        </w:rPr>
        <w:t>Artículo 53.</w:t>
      </w:r>
      <w:r w:rsidRPr="000E5506">
        <w:rPr>
          <w:rFonts w:ascii="Palatino Linotype" w:eastAsia="Palatino Linotype" w:hAnsi="Palatino Linotype" w:cs="Palatino Linotype"/>
          <w:i/>
          <w:lang w:eastAsia="es-MX"/>
        </w:rPr>
        <w:t xml:space="preserve"> Las </w:t>
      </w:r>
      <w:r w:rsidRPr="000E5506">
        <w:rPr>
          <w:rFonts w:ascii="Palatino Linotype" w:eastAsia="Palatino Linotype" w:hAnsi="Palatino Linotype" w:cs="Palatino Linotype"/>
          <w:b/>
          <w:i/>
          <w:lang w:eastAsia="es-MX"/>
        </w:rPr>
        <w:t>Unidades de Transparencia</w:t>
      </w:r>
      <w:r w:rsidRPr="000E5506">
        <w:rPr>
          <w:rFonts w:ascii="Palatino Linotype" w:eastAsia="Palatino Linotype" w:hAnsi="Palatino Linotype" w:cs="Palatino Linotype"/>
          <w:i/>
          <w:lang w:eastAsia="es-MX"/>
        </w:rPr>
        <w:t xml:space="preserve"> tendrán las siguientes </w:t>
      </w:r>
      <w:r w:rsidRPr="000E5506">
        <w:rPr>
          <w:rFonts w:ascii="Palatino Linotype" w:eastAsia="Palatino Linotype" w:hAnsi="Palatino Linotype" w:cs="Palatino Linotype"/>
          <w:b/>
          <w:i/>
          <w:lang w:eastAsia="es-MX"/>
        </w:rPr>
        <w:t>funciones</w:t>
      </w:r>
      <w:r w:rsidRPr="000E5506">
        <w:rPr>
          <w:rFonts w:ascii="Palatino Linotype" w:eastAsia="Palatino Linotype" w:hAnsi="Palatino Linotype" w:cs="Palatino Linotype"/>
          <w:i/>
          <w:lang w:eastAsia="es-MX"/>
        </w:rPr>
        <w:t>:</w:t>
      </w:r>
    </w:p>
    <w:p w14:paraId="6EC9B739"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X. Presentar ante el Comité, el proyecto de clasificación de información</w:t>
      </w:r>
      <w:r w:rsidRPr="000E5506">
        <w:rPr>
          <w:rFonts w:ascii="Palatino Linotype" w:eastAsia="Palatino Linotype" w:hAnsi="Palatino Linotype" w:cs="Palatino Linotype"/>
          <w:i/>
          <w:lang w:eastAsia="es-MX"/>
        </w:rPr>
        <w:t xml:space="preserve">…” </w:t>
      </w:r>
    </w:p>
    <w:p w14:paraId="4B870738"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b/>
          <w:i/>
          <w:lang w:eastAsia="es-MX"/>
        </w:rPr>
      </w:pPr>
    </w:p>
    <w:p w14:paraId="162CDB2B"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“Artículo 59.</w:t>
      </w:r>
      <w:r w:rsidRPr="000E5506">
        <w:rPr>
          <w:rFonts w:ascii="Palatino Linotype" w:eastAsia="Palatino Linotype" w:hAnsi="Palatino Linotype" w:cs="Palatino Linotype"/>
          <w:i/>
          <w:lang w:eastAsia="es-MX"/>
        </w:rPr>
        <w:t xml:space="preserve"> Los </w:t>
      </w:r>
      <w:r w:rsidRPr="000E5506">
        <w:rPr>
          <w:rFonts w:ascii="Palatino Linotype" w:eastAsia="Palatino Linotype" w:hAnsi="Palatino Linotype" w:cs="Palatino Linotype"/>
          <w:b/>
          <w:i/>
          <w:lang w:eastAsia="es-MX"/>
        </w:rPr>
        <w:t>servidores públicos habilitados</w:t>
      </w:r>
      <w:r w:rsidRPr="000E5506">
        <w:rPr>
          <w:rFonts w:ascii="Palatino Linotype" w:eastAsia="Palatino Linotype" w:hAnsi="Palatino Linotype" w:cs="Palatino Linotype"/>
          <w:i/>
          <w:lang w:eastAsia="es-MX"/>
        </w:rPr>
        <w:t xml:space="preserve"> tendrán las </w:t>
      </w:r>
      <w:r w:rsidRPr="000E5506">
        <w:rPr>
          <w:rFonts w:ascii="Palatino Linotype" w:eastAsia="Palatino Linotype" w:hAnsi="Palatino Linotype" w:cs="Palatino Linotype"/>
          <w:b/>
          <w:i/>
          <w:lang w:eastAsia="es-MX"/>
        </w:rPr>
        <w:t>funciones</w:t>
      </w:r>
      <w:r w:rsidRPr="000E5506">
        <w:rPr>
          <w:rFonts w:ascii="Palatino Linotype" w:eastAsia="Palatino Linotype" w:hAnsi="Palatino Linotype" w:cs="Palatino Linotype"/>
          <w:i/>
          <w:lang w:eastAsia="es-MX"/>
        </w:rPr>
        <w:t xml:space="preserve"> siguientes:</w:t>
      </w:r>
    </w:p>
    <w:p w14:paraId="51E0C2B5" w14:textId="77777777" w:rsidR="00F27EE1" w:rsidRPr="000E5506" w:rsidRDefault="00F27EE1" w:rsidP="00F27EE1">
      <w:pPr>
        <w:spacing w:after="0" w:line="240" w:lineRule="auto"/>
        <w:ind w:left="567" w:right="616"/>
        <w:jc w:val="both"/>
        <w:rPr>
          <w:rFonts w:ascii="Palatino Linotype" w:eastAsia="Palatino Linotype" w:hAnsi="Palatino Linotype" w:cs="Palatino Linotype"/>
          <w:i/>
          <w:sz w:val="24"/>
          <w:szCs w:val="24"/>
          <w:lang w:eastAsia="es-MX"/>
        </w:rPr>
      </w:pPr>
      <w:r w:rsidRPr="000E5506">
        <w:rPr>
          <w:rFonts w:ascii="Palatino Linotype" w:eastAsia="Palatino Linotype" w:hAnsi="Palatino Linotype" w:cs="Palatino Linotype"/>
          <w:b/>
          <w:i/>
          <w:lang w:eastAsia="es-MX"/>
        </w:rPr>
        <w:t>V. Integrar y presentar al responsable de la Unidad de Transparencia la propuesta de clasificación de información</w:t>
      </w:r>
      <w:r w:rsidRPr="000E5506">
        <w:rPr>
          <w:rFonts w:ascii="Palatino Linotype" w:eastAsia="Palatino Linotype" w:hAnsi="Palatino Linotype" w:cs="Palatino Linotype"/>
          <w:i/>
          <w:lang w:eastAsia="es-MX"/>
        </w:rPr>
        <w:t xml:space="preserve">, la cual </w:t>
      </w:r>
      <w:r w:rsidRPr="000E5506">
        <w:rPr>
          <w:rFonts w:ascii="Palatino Linotype" w:eastAsia="Palatino Linotype" w:hAnsi="Palatino Linotype" w:cs="Palatino Linotype"/>
          <w:i/>
          <w:sz w:val="24"/>
          <w:szCs w:val="24"/>
          <w:lang w:eastAsia="es-MX"/>
        </w:rPr>
        <w:t>tendrá los fundamentos y argumentos en que se basa dicha propuesta…”</w:t>
      </w:r>
    </w:p>
    <w:p w14:paraId="369A7B89" w14:textId="77777777" w:rsidR="00F27EE1" w:rsidRPr="000E5506" w:rsidRDefault="00F27EE1" w:rsidP="00F27EE1">
      <w:pPr>
        <w:spacing w:after="0" w:line="240" w:lineRule="auto"/>
        <w:jc w:val="both"/>
        <w:rPr>
          <w:rFonts w:ascii="Palatino Linotype" w:eastAsia="Palatino Linotype" w:hAnsi="Palatino Linotype" w:cs="Palatino Linotype"/>
          <w:sz w:val="24"/>
          <w:szCs w:val="24"/>
          <w:lang w:eastAsia="es-MX"/>
        </w:rPr>
      </w:pPr>
    </w:p>
    <w:p w14:paraId="5F82122E"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C005FA1"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Para lo cual, a su vez en el caso de información de carácter confidencial, se debe atender a lo que señala el artículo 149 de la Ley de Transparencia Local vigente, que se lee como sigue:</w:t>
      </w:r>
    </w:p>
    <w:p w14:paraId="55617310" w14:textId="77777777" w:rsidR="00F27EE1" w:rsidRPr="000E5506" w:rsidRDefault="00F27EE1" w:rsidP="00BD35EA">
      <w:pPr>
        <w:pStyle w:val="Sinespaciado"/>
        <w:rPr>
          <w:lang w:eastAsia="es-MX"/>
        </w:rPr>
      </w:pPr>
    </w:p>
    <w:p w14:paraId="168802E8" w14:textId="77777777" w:rsidR="00F27EE1" w:rsidRPr="000E5506" w:rsidRDefault="00F27EE1" w:rsidP="00F27EE1">
      <w:pPr>
        <w:spacing w:after="0" w:line="240" w:lineRule="auto"/>
        <w:ind w:left="851" w:right="902"/>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r w:rsidRPr="000E5506">
        <w:rPr>
          <w:rFonts w:ascii="Palatino Linotype" w:eastAsia="Palatino Linotype" w:hAnsi="Palatino Linotype" w:cs="Palatino Linotype"/>
          <w:b/>
          <w:i/>
          <w:lang w:eastAsia="es-MX"/>
        </w:rPr>
        <w:t>Artículo 149.</w:t>
      </w:r>
      <w:r w:rsidRPr="000E5506">
        <w:rPr>
          <w:rFonts w:ascii="Palatino Linotype" w:eastAsia="Palatino Linotype" w:hAnsi="Palatino Linotype" w:cs="Palatino Linotype"/>
          <w:i/>
          <w:lang w:eastAsia="es-MX"/>
        </w:rPr>
        <w:t xml:space="preserve"> El </w:t>
      </w:r>
      <w:r w:rsidRPr="000E5506">
        <w:rPr>
          <w:rFonts w:ascii="Palatino Linotype" w:eastAsia="Palatino Linotype" w:hAnsi="Palatino Linotype" w:cs="Palatino Linotype"/>
          <w:b/>
          <w:i/>
          <w:lang w:eastAsia="es-MX"/>
        </w:rPr>
        <w:t>acuerdo que clasifique la información como confidencial</w:t>
      </w:r>
      <w:r w:rsidRPr="000E5506">
        <w:rPr>
          <w:rFonts w:ascii="Palatino Linotype" w:eastAsia="Palatino Linotype" w:hAnsi="Palatino Linotype" w:cs="Palatino Linotype"/>
          <w:i/>
          <w:lang w:eastAsia="es-MX"/>
        </w:rPr>
        <w:t xml:space="preserve"> deberá contener un razonamiento lógico en el que demuestre que la información se encuentra en alguna o algunas de las hipótesis previstas en la presente Ley.” </w:t>
      </w:r>
    </w:p>
    <w:p w14:paraId="7AE44CCE" w14:textId="77777777" w:rsidR="00F27EE1" w:rsidRPr="000E5506" w:rsidRDefault="00F27EE1" w:rsidP="00F27EE1">
      <w:pPr>
        <w:spacing w:after="0" w:line="360" w:lineRule="auto"/>
        <w:ind w:right="51"/>
        <w:jc w:val="both"/>
        <w:rPr>
          <w:rFonts w:ascii="Palatino Linotype" w:eastAsia="Palatino Linotype" w:hAnsi="Palatino Linotype" w:cs="Palatino Linotype"/>
          <w:sz w:val="24"/>
          <w:szCs w:val="24"/>
          <w:lang w:eastAsia="es-MX"/>
        </w:rPr>
      </w:pPr>
    </w:p>
    <w:p w14:paraId="23636277" w14:textId="77777777" w:rsidR="00F27EE1" w:rsidRPr="000E5506" w:rsidRDefault="00F27EE1" w:rsidP="00F27EE1">
      <w:pPr>
        <w:spacing w:after="0" w:line="360" w:lineRule="auto"/>
        <w:ind w:right="51"/>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lastRenderedPageBreak/>
        <w:t xml:space="preserve">Es decir, el </w:t>
      </w:r>
      <w:r w:rsidRPr="000E5506">
        <w:rPr>
          <w:rFonts w:ascii="Palatino Linotype" w:eastAsia="Palatino Linotype" w:hAnsi="Palatino Linotype" w:cs="Palatino Linotype"/>
          <w:b/>
          <w:sz w:val="24"/>
          <w:szCs w:val="24"/>
          <w:lang w:eastAsia="es-MX"/>
        </w:rPr>
        <w:t>Sujeto Obligado</w:t>
      </w:r>
      <w:r w:rsidRPr="000E5506">
        <w:rPr>
          <w:rFonts w:ascii="Palatino Linotype" w:eastAsia="Palatino Linotype" w:hAnsi="Palatino Linotype" w:cs="Palatino Linotype"/>
          <w:sz w:val="24"/>
          <w:szCs w:val="24"/>
          <w:lang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6C52ACD" w14:textId="77777777" w:rsidR="00F27EE1" w:rsidRPr="000E5506" w:rsidRDefault="00F27EE1" w:rsidP="00F27EE1">
      <w:pPr>
        <w:spacing w:after="0" w:line="360" w:lineRule="auto"/>
        <w:ind w:right="51"/>
        <w:jc w:val="both"/>
        <w:rPr>
          <w:rFonts w:ascii="Palatino Linotype" w:eastAsia="Palatino Linotype" w:hAnsi="Palatino Linotype" w:cs="Palatino Linotype"/>
          <w:sz w:val="24"/>
          <w:szCs w:val="24"/>
          <w:lang w:eastAsia="es-MX"/>
        </w:rPr>
      </w:pPr>
    </w:p>
    <w:p w14:paraId="4507BD75" w14:textId="77777777" w:rsidR="00F27EE1" w:rsidRPr="000E5506" w:rsidRDefault="00F27EE1" w:rsidP="00F27EE1">
      <w:pPr>
        <w:spacing w:after="0" w:line="360" w:lineRule="auto"/>
        <w:ind w:right="49"/>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Atento a lo anterior, cabe señalar que el Comité de Transparencia del </w:t>
      </w:r>
      <w:r w:rsidRPr="000E5506">
        <w:rPr>
          <w:rFonts w:ascii="Palatino Linotype" w:eastAsia="Palatino Linotype" w:hAnsi="Palatino Linotype" w:cs="Palatino Linotype"/>
          <w:b/>
          <w:sz w:val="24"/>
          <w:szCs w:val="24"/>
          <w:lang w:eastAsia="es-MX"/>
        </w:rPr>
        <w:t>Sujeto Obligado</w:t>
      </w:r>
      <w:r w:rsidRPr="000E5506">
        <w:rPr>
          <w:rFonts w:ascii="Palatino Linotype" w:eastAsia="Palatino Linotype" w:hAnsi="Palatino Linotype" w:cs="Palatino Linotype"/>
          <w:sz w:val="24"/>
          <w:szCs w:val="24"/>
          <w:lang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4FC1A2E" w14:textId="77777777" w:rsidR="00F27EE1" w:rsidRPr="000E5506" w:rsidRDefault="00F27EE1" w:rsidP="00F27EE1">
      <w:pPr>
        <w:spacing w:after="0" w:line="240" w:lineRule="auto"/>
        <w:rPr>
          <w:lang w:eastAsia="es-MX"/>
        </w:rPr>
      </w:pPr>
    </w:p>
    <w:p w14:paraId="66852708" w14:textId="6D8DDCC8"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 xml:space="preserve"> “</w:t>
      </w:r>
      <w:r w:rsidR="00B44A69" w:rsidRPr="000E5506">
        <w:rPr>
          <w:rFonts w:ascii="Palatino Linotype" w:eastAsia="Palatino Linotype" w:hAnsi="Palatino Linotype" w:cs="Palatino Linotype"/>
          <w:b/>
          <w:i/>
          <w:lang w:eastAsia="es-MX"/>
        </w:rPr>
        <w:t>Segundo.-</w:t>
      </w:r>
      <w:r w:rsidRPr="000E5506">
        <w:rPr>
          <w:rFonts w:ascii="Palatino Linotype" w:eastAsia="Palatino Linotype" w:hAnsi="Palatino Linotype" w:cs="Palatino Linotype"/>
          <w:i/>
          <w:lang w:eastAsia="es-MX"/>
        </w:rPr>
        <w:t xml:space="preserve"> Para efectos de los presentes Lineamientos Generales, se entenderá por:</w:t>
      </w:r>
    </w:p>
    <w:p w14:paraId="1D375352"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XVIII.</w:t>
      </w:r>
      <w:r w:rsidRPr="000E5506">
        <w:rPr>
          <w:rFonts w:ascii="Palatino Linotype" w:eastAsia="Palatino Linotype" w:hAnsi="Palatino Linotype" w:cs="Palatino Linotype"/>
          <w:i/>
          <w:lang w:eastAsia="es-MX"/>
        </w:rPr>
        <w:t xml:space="preserve"> </w:t>
      </w:r>
      <w:r w:rsidRPr="000E5506">
        <w:rPr>
          <w:rFonts w:ascii="Palatino Linotype" w:eastAsia="Palatino Linotype" w:hAnsi="Palatino Linotype" w:cs="Palatino Linotype"/>
          <w:b/>
          <w:i/>
          <w:lang w:eastAsia="es-MX"/>
        </w:rPr>
        <w:t>Versión pública:</w:t>
      </w:r>
      <w:r w:rsidRPr="000E5506">
        <w:rPr>
          <w:rFonts w:ascii="Palatino Linotype" w:eastAsia="Palatino Linotype" w:hAnsi="Palatino Linotype" w:cs="Palatino Linotype"/>
          <w:i/>
          <w:lang w:eastAsia="es-MX"/>
        </w:rPr>
        <w:t xml:space="preserve"> El documento a partir del que se otorga acceso a la información, en el que se testan partes o secciones clasificadas, indicando el contenido de éstas de manera genérica, </w:t>
      </w:r>
      <w:r w:rsidRPr="000E5506">
        <w:rPr>
          <w:rFonts w:ascii="Palatino Linotype" w:eastAsia="Palatino Linotype" w:hAnsi="Palatino Linotype" w:cs="Palatino Linotype"/>
          <w:b/>
          <w:i/>
          <w:lang w:eastAsia="es-MX"/>
        </w:rPr>
        <w:t>fundando y motivando la</w:t>
      </w:r>
      <w:r w:rsidRPr="000E5506">
        <w:rPr>
          <w:rFonts w:ascii="Palatino Linotype" w:eastAsia="Palatino Linotype" w:hAnsi="Palatino Linotype" w:cs="Palatino Linotype"/>
          <w:i/>
          <w:lang w:eastAsia="es-MX"/>
        </w:rPr>
        <w:t xml:space="preserve"> </w:t>
      </w:r>
      <w:r w:rsidRPr="000E5506">
        <w:rPr>
          <w:rFonts w:ascii="Palatino Linotype" w:eastAsia="Palatino Linotype" w:hAnsi="Palatino Linotype" w:cs="Palatino Linotype"/>
          <w:b/>
          <w:i/>
          <w:lang w:eastAsia="es-MX"/>
        </w:rPr>
        <w:t>reserva o confidencialidad</w:t>
      </w:r>
      <w:r w:rsidRPr="000E5506">
        <w:rPr>
          <w:rFonts w:ascii="Palatino Linotype" w:eastAsia="Palatino Linotype" w:hAnsi="Palatino Linotype" w:cs="Palatino Linotype"/>
          <w:i/>
          <w:lang w:eastAsia="es-MX"/>
        </w:rPr>
        <w:t>, a través de la resolución que para tal efecto emita el Comité de Transparencia.</w:t>
      </w:r>
    </w:p>
    <w:p w14:paraId="6E843C77"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b/>
          <w:i/>
          <w:lang w:eastAsia="es-MX"/>
        </w:rPr>
      </w:pPr>
      <w:r w:rsidRPr="000E5506">
        <w:rPr>
          <w:rFonts w:ascii="Palatino Linotype" w:eastAsia="Palatino Linotype" w:hAnsi="Palatino Linotype" w:cs="Palatino Linotype"/>
          <w:b/>
          <w:i/>
          <w:lang w:eastAsia="es-MX"/>
        </w:rPr>
        <w:t>...</w:t>
      </w:r>
    </w:p>
    <w:p w14:paraId="62108C9A"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Cuarto.</w:t>
      </w:r>
      <w:r w:rsidRPr="000E5506">
        <w:rPr>
          <w:rFonts w:ascii="Palatino Linotype" w:eastAsia="Palatino Linotype" w:hAnsi="Palatino Linotype" w:cs="Palatino Linotype"/>
          <w:i/>
          <w:lang w:eastAsia="es-MX"/>
        </w:rPr>
        <w:t xml:space="preserve"> </w:t>
      </w:r>
      <w:r w:rsidRPr="000E5506">
        <w:rPr>
          <w:rFonts w:ascii="Palatino Linotype" w:eastAsia="Palatino Linotype" w:hAnsi="Palatino Linotype" w:cs="Palatino Linotype"/>
          <w:b/>
          <w:i/>
          <w:lang w:eastAsia="es-MX"/>
        </w:rPr>
        <w:t>Para clasificar la información como</w:t>
      </w:r>
      <w:r w:rsidRPr="000E5506">
        <w:rPr>
          <w:rFonts w:ascii="Palatino Linotype" w:eastAsia="Palatino Linotype" w:hAnsi="Palatino Linotype" w:cs="Palatino Linotype"/>
          <w:i/>
          <w:lang w:eastAsia="es-MX"/>
        </w:rPr>
        <w:t xml:space="preserve"> </w:t>
      </w:r>
      <w:r w:rsidRPr="000E5506">
        <w:rPr>
          <w:rFonts w:ascii="Palatino Linotype" w:eastAsia="Palatino Linotype" w:hAnsi="Palatino Linotype" w:cs="Palatino Linotype"/>
          <w:b/>
          <w:i/>
          <w:lang w:eastAsia="es-MX"/>
        </w:rPr>
        <w:t>reservada o</w:t>
      </w:r>
      <w:r w:rsidRPr="000E5506">
        <w:rPr>
          <w:rFonts w:ascii="Palatino Linotype" w:eastAsia="Palatino Linotype" w:hAnsi="Palatino Linotype" w:cs="Palatino Linotype"/>
          <w:i/>
          <w:lang w:eastAsia="es-MX"/>
        </w:rPr>
        <w:t xml:space="preserve"> </w:t>
      </w:r>
      <w:r w:rsidRPr="000E5506">
        <w:rPr>
          <w:rFonts w:ascii="Palatino Linotype" w:eastAsia="Palatino Linotype" w:hAnsi="Palatino Linotype" w:cs="Palatino Linotype"/>
          <w:b/>
          <w:i/>
          <w:lang w:eastAsia="es-MX"/>
        </w:rPr>
        <w:t>confidencial, de manera total o parcial, el titular del área del sujeto obligado deberá atender lo dispuesto por el Título Sexto de la Ley General</w:t>
      </w:r>
      <w:r w:rsidRPr="000E5506">
        <w:rPr>
          <w:rFonts w:ascii="Palatino Linotype" w:eastAsia="Palatino Linotype" w:hAnsi="Palatino Linotype" w:cs="Palatino Linotype"/>
          <w:i/>
          <w:lang w:eastAsia="es-MX"/>
        </w:rPr>
        <w:t xml:space="preserve">, en relación con las disposiciones contenidas en los presentes lineamientos, así como en aquellas disposiciones legales aplicables a la materia </w:t>
      </w:r>
      <w:r w:rsidRPr="000E5506">
        <w:rPr>
          <w:rFonts w:ascii="Palatino Linotype" w:eastAsia="Palatino Linotype" w:hAnsi="Palatino Linotype" w:cs="Palatino Linotype"/>
          <w:i/>
          <w:lang w:eastAsia="es-MX"/>
        </w:rPr>
        <w:lastRenderedPageBreak/>
        <w:t>en el ámbito de sus respectivas competencias, en tanto estas últimas no contravengan lo dispuesto en la Ley General.</w:t>
      </w:r>
    </w:p>
    <w:p w14:paraId="2FEED506"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Los sujetos obligados deberán aplicar, de manera estricta, las excepciones al derecho de acceso a la información y sólo podrán invocarlas cuando acrediten su procedencia.</w:t>
      </w:r>
    </w:p>
    <w:p w14:paraId="786F224A"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Quinto.</w:t>
      </w:r>
      <w:r w:rsidRPr="000E5506">
        <w:rPr>
          <w:rFonts w:ascii="Palatino Linotype" w:eastAsia="Palatino Linotype" w:hAnsi="Palatino Linotype" w:cs="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836C4A"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Sexto.</w:t>
      </w:r>
      <w:r w:rsidRPr="000E5506">
        <w:rPr>
          <w:rFonts w:ascii="Palatino Linotype" w:eastAsia="Palatino Linotype" w:hAnsi="Palatino Linotype" w:cs="Palatino Linotype"/>
          <w:i/>
          <w:lang w:eastAsia="es-MX"/>
        </w:rPr>
        <w:t xml:space="preserve"> Se deroga.</w:t>
      </w:r>
    </w:p>
    <w:p w14:paraId="7EDE3303"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Séptimo.</w:t>
      </w:r>
      <w:r w:rsidRPr="000E5506">
        <w:rPr>
          <w:rFonts w:ascii="Palatino Linotype" w:eastAsia="Palatino Linotype" w:hAnsi="Palatino Linotype" w:cs="Palatino Linotype"/>
          <w:i/>
          <w:lang w:eastAsia="es-MX"/>
        </w:rPr>
        <w:t xml:space="preserve"> La clasificación de la información se llevará a cabo en el momento en que:</w:t>
      </w:r>
    </w:p>
    <w:p w14:paraId="2D57FC04"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w:t>
      </w:r>
      <w:r w:rsidRPr="000E5506">
        <w:rPr>
          <w:rFonts w:ascii="Palatino Linotype" w:eastAsia="Palatino Linotype" w:hAnsi="Palatino Linotype" w:cs="Palatino Linotype"/>
          <w:i/>
          <w:lang w:eastAsia="es-MX"/>
        </w:rPr>
        <w:t xml:space="preserve"> Se reciba una solicitud de acceso a la información;</w:t>
      </w:r>
    </w:p>
    <w:p w14:paraId="236BFE18"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w:t>
      </w:r>
      <w:r w:rsidRPr="000E5506">
        <w:rPr>
          <w:rFonts w:ascii="Palatino Linotype" w:eastAsia="Palatino Linotype" w:hAnsi="Palatino Linotype" w:cs="Palatino Linotype"/>
          <w:i/>
          <w:lang w:eastAsia="es-MX"/>
        </w:rPr>
        <w:t xml:space="preserve"> Se determine mediante resolución del Comité de Transparencia, el órgano garante competente, o en cumplimiento a una sentencia del Poder Judicial; o</w:t>
      </w:r>
    </w:p>
    <w:p w14:paraId="00FFB3FE"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III.</w:t>
      </w:r>
      <w:r w:rsidRPr="000E5506">
        <w:rPr>
          <w:rFonts w:ascii="Palatino Linotype" w:eastAsia="Palatino Linotype" w:hAnsi="Palatino Linotype" w:cs="Palatino Linotype"/>
          <w:i/>
          <w:lang w:eastAsia="es-MX"/>
        </w:rPr>
        <w:t xml:space="preserve"> Se generen versiones públicas para dar cumplimiento a las obligaciones de transparencia previstas en la Ley General, la Ley Federal y las correspondientes de las entidades federativas.</w:t>
      </w:r>
    </w:p>
    <w:p w14:paraId="6CA8BF82"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Los titulares de las áreas deberán revisar la clasificación al momento de la recepción de una solicitud de acceso, para verificar</w:t>
      </w:r>
      <w:r w:rsidRPr="000E5506">
        <w:rPr>
          <w:rFonts w:ascii="Palatino Linotype" w:eastAsia="Palatino Linotype" w:hAnsi="Palatino Linotype" w:cs="Palatino Linotype"/>
          <w:lang w:eastAsia="es-MX"/>
        </w:rPr>
        <w:t xml:space="preserve">, </w:t>
      </w:r>
      <w:r w:rsidRPr="000E5506">
        <w:rPr>
          <w:rFonts w:ascii="Palatino Linotype" w:eastAsia="Palatino Linotype" w:hAnsi="Palatino Linotype" w:cs="Palatino Linotype"/>
          <w:i/>
          <w:lang w:eastAsia="es-MX"/>
        </w:rPr>
        <w:t>conforme a su naturaleza, si encuadra en una causal de reserva o de confidencialidad.</w:t>
      </w:r>
    </w:p>
    <w:p w14:paraId="20C7CCD3"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Octavo.</w:t>
      </w:r>
      <w:r w:rsidRPr="000E5506">
        <w:rPr>
          <w:rFonts w:ascii="Palatino Linotype" w:eastAsia="Palatino Linotype" w:hAnsi="Palatino Linotype" w:cs="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097D91"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0322DF06"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BD29742"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Noveno.</w:t>
      </w:r>
      <w:r w:rsidRPr="000E5506">
        <w:rPr>
          <w:rFonts w:ascii="Palatino Linotype" w:eastAsia="Palatino Linotype" w:hAnsi="Palatino Linotype" w:cs="Palatino Linotype"/>
          <w:i/>
          <w:lang w:eastAsia="es-MX"/>
        </w:rPr>
        <w:t xml:space="preserve"> En los casos en que se solicite un documento o expediente que contenga partes o secciones clasificadas, los titulares de las áreas deberán elaborar una versión pública </w:t>
      </w:r>
      <w:r w:rsidRPr="000E5506">
        <w:rPr>
          <w:rFonts w:ascii="Palatino Linotype" w:eastAsia="Palatino Linotype" w:hAnsi="Palatino Linotype" w:cs="Palatino Linotype"/>
          <w:i/>
          <w:lang w:eastAsia="es-MX"/>
        </w:rPr>
        <w:lastRenderedPageBreak/>
        <w:t>fundando y motivando la clasificación de las partes o secciones que se testen, siguiendo los procedimientos establecidos en el Capítulo IX de los presentes lineamientos.</w:t>
      </w:r>
    </w:p>
    <w:p w14:paraId="0901B405"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Décimo.</w:t>
      </w:r>
      <w:r w:rsidRPr="000E5506">
        <w:rPr>
          <w:rFonts w:ascii="Palatino Linotype" w:eastAsia="Palatino Linotype" w:hAnsi="Palatino Linotype" w:cs="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163E3BC"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En ausencia de los titulares de las áreas, la información será clasificada o desclasificada por la persona que lo supla, en términos de la normativa que rija la actuación del sujeto obligado.</w:t>
      </w:r>
    </w:p>
    <w:p w14:paraId="10245474" w14:textId="77777777" w:rsidR="00F27EE1" w:rsidRPr="000E5506" w:rsidRDefault="00F27EE1" w:rsidP="00F27EE1">
      <w:pPr>
        <w:tabs>
          <w:tab w:val="left" w:pos="8222"/>
        </w:tabs>
        <w:spacing w:before="120" w:after="120" w:line="240" w:lineRule="auto"/>
        <w:ind w:left="567" w:right="616"/>
        <w:jc w:val="both"/>
        <w:rPr>
          <w:rFonts w:ascii="Palatino Linotype" w:eastAsia="Palatino Linotype" w:hAnsi="Palatino Linotype" w:cs="Palatino Linotype"/>
          <w:i/>
          <w:sz w:val="24"/>
          <w:szCs w:val="24"/>
          <w:lang w:eastAsia="es-MX"/>
        </w:rPr>
      </w:pPr>
      <w:r w:rsidRPr="000E5506">
        <w:rPr>
          <w:rFonts w:ascii="Palatino Linotype" w:eastAsia="Palatino Linotype" w:hAnsi="Palatino Linotype" w:cs="Palatino Linotype"/>
          <w:b/>
          <w:i/>
          <w:lang w:eastAsia="es-MX"/>
        </w:rPr>
        <w:t>Décimo primero.</w:t>
      </w:r>
      <w:r w:rsidRPr="000E5506">
        <w:rPr>
          <w:rFonts w:ascii="Palatino Linotype" w:eastAsia="Palatino Linotype" w:hAnsi="Palatino Linotype" w:cs="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E5506">
        <w:rPr>
          <w:rFonts w:ascii="Palatino Linotype" w:eastAsia="Palatino Linotype" w:hAnsi="Palatino Linotype" w:cs="Palatino Linotype"/>
          <w:i/>
          <w:sz w:val="24"/>
          <w:szCs w:val="24"/>
          <w:lang w:eastAsia="es-MX"/>
        </w:rPr>
        <w:t xml:space="preserve"> </w:t>
      </w:r>
    </w:p>
    <w:p w14:paraId="5CC89F9C" w14:textId="77777777" w:rsidR="00F27EE1" w:rsidRPr="000E5506" w:rsidRDefault="00F27EE1" w:rsidP="00F27EE1">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lang w:eastAsia="es-MX"/>
        </w:rPr>
      </w:pPr>
    </w:p>
    <w:p w14:paraId="17A009BA" w14:textId="77777777" w:rsidR="00F27EE1" w:rsidRPr="000E5506" w:rsidRDefault="00F27EE1" w:rsidP="00F27EE1">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 xml:space="preserve">Asimismo, respecto a las formalidades que deberá llevar el acuerdo de clasificación que deberá emitir el </w:t>
      </w:r>
      <w:r w:rsidRPr="000E5506">
        <w:rPr>
          <w:rFonts w:ascii="Palatino Linotype" w:eastAsia="Palatino Linotype" w:hAnsi="Palatino Linotype" w:cs="Palatino Linotype"/>
          <w:b/>
          <w:sz w:val="24"/>
          <w:szCs w:val="24"/>
          <w:lang w:eastAsia="es-MX"/>
        </w:rPr>
        <w:t>Sujeto Obligado</w:t>
      </w:r>
      <w:r w:rsidRPr="000E5506">
        <w:rPr>
          <w:rFonts w:ascii="Palatino Linotype" w:eastAsia="Palatino Linotype" w:hAnsi="Palatino Linotype" w:cs="Palatino Linotype"/>
          <w:sz w:val="24"/>
          <w:szCs w:val="24"/>
          <w:lang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1A1E72E" w14:textId="77777777" w:rsidR="00F27EE1" w:rsidRPr="000E5506" w:rsidRDefault="00F27EE1" w:rsidP="00F27EE1">
      <w:pPr>
        <w:spacing w:after="0" w:line="240" w:lineRule="auto"/>
        <w:rPr>
          <w:rFonts w:ascii="Times New Roman" w:eastAsia="Palatino Linotype" w:hAnsi="Times New Roman" w:cs="Times New Roman"/>
          <w:sz w:val="24"/>
          <w:szCs w:val="24"/>
          <w:lang w:eastAsia="es-MX"/>
        </w:rPr>
      </w:pPr>
    </w:p>
    <w:p w14:paraId="6B2EBBE8"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 xml:space="preserve"> “Quincuagésimo. </w:t>
      </w:r>
      <w:r w:rsidRPr="000E5506">
        <w:rPr>
          <w:rFonts w:ascii="Palatino Linotype" w:eastAsia="Palatino Linotype" w:hAnsi="Palatino Linotype" w:cs="Palatino Linotype"/>
          <w:i/>
          <w:lang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AEB9835"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 xml:space="preserve">Quincuagésimo primero. </w:t>
      </w:r>
      <w:r w:rsidRPr="000E5506">
        <w:rPr>
          <w:rFonts w:ascii="Palatino Linotype" w:eastAsia="Palatino Linotype" w:hAnsi="Palatino Linotype" w:cs="Palatino Linotype"/>
          <w:i/>
          <w:lang w:eastAsia="es-MX"/>
        </w:rPr>
        <w:t xml:space="preserve">Toda acta del Comité de Transparencia deberá contener: </w:t>
      </w:r>
    </w:p>
    <w:p w14:paraId="3B3B1CDE"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w:t>
      </w:r>
      <w:r w:rsidRPr="000E5506">
        <w:rPr>
          <w:rFonts w:ascii="Palatino Linotype" w:eastAsia="Palatino Linotype" w:hAnsi="Palatino Linotype" w:cs="Palatino Linotype"/>
          <w:i/>
          <w:lang w:eastAsia="es-MX"/>
        </w:rPr>
        <w:t xml:space="preserve"> El número de sesión y fecha; </w:t>
      </w:r>
    </w:p>
    <w:p w14:paraId="65CF54FA"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w:t>
      </w:r>
      <w:r w:rsidRPr="000E5506">
        <w:rPr>
          <w:rFonts w:ascii="Palatino Linotype" w:eastAsia="Palatino Linotype" w:hAnsi="Palatino Linotype" w:cs="Palatino Linotype"/>
          <w:i/>
          <w:lang w:eastAsia="es-MX"/>
        </w:rPr>
        <w:t xml:space="preserve">. El nombre del área que solicitó la clasificación de información; </w:t>
      </w:r>
    </w:p>
    <w:p w14:paraId="5DFBDCFA"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III</w:t>
      </w:r>
      <w:r w:rsidRPr="000E5506">
        <w:rPr>
          <w:rFonts w:ascii="Palatino Linotype" w:eastAsia="Palatino Linotype" w:hAnsi="Palatino Linotype" w:cs="Palatino Linotype"/>
          <w:i/>
          <w:lang w:eastAsia="es-MX"/>
        </w:rPr>
        <w:t xml:space="preserve">. La fundamentación legal y motivación correspondiente; </w:t>
      </w:r>
    </w:p>
    <w:p w14:paraId="22593AB7"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IV</w:t>
      </w:r>
      <w:r w:rsidRPr="000E5506">
        <w:rPr>
          <w:rFonts w:ascii="Palatino Linotype" w:eastAsia="Palatino Linotype" w:hAnsi="Palatino Linotype" w:cs="Palatino Linotype"/>
          <w:i/>
          <w:lang w:eastAsia="es-MX"/>
        </w:rPr>
        <w:t xml:space="preserve">. La resolución o resoluciones aprobadas; y </w:t>
      </w:r>
    </w:p>
    <w:p w14:paraId="542E346E"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lastRenderedPageBreak/>
        <w:t>V</w:t>
      </w:r>
      <w:r w:rsidRPr="000E5506">
        <w:rPr>
          <w:rFonts w:ascii="Palatino Linotype" w:eastAsia="Palatino Linotype" w:hAnsi="Palatino Linotype" w:cs="Palatino Linotype"/>
          <w:i/>
          <w:lang w:eastAsia="es-MX"/>
        </w:rPr>
        <w:t xml:space="preserve">. La rúbrica o firma digital de cada integrante del Comité de Transparencia. </w:t>
      </w:r>
    </w:p>
    <w:p w14:paraId="0B9E3169"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 xml:space="preserve">Las resoluciones del Comité en las que se haya determinado confirmar o modificar la clasificación de información pública como reservada, deberán incluir, cuando menos: </w:t>
      </w:r>
    </w:p>
    <w:p w14:paraId="4EDA4DA1"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w:t>
      </w:r>
      <w:r w:rsidRPr="000E5506">
        <w:rPr>
          <w:rFonts w:ascii="Palatino Linotype" w:eastAsia="Palatino Linotype" w:hAnsi="Palatino Linotype" w:cs="Palatino Linotype"/>
          <w:i/>
          <w:lang w:eastAsia="es-MX"/>
        </w:rPr>
        <w:t xml:space="preserve"> Los motivos y razonamientos que sustenten la confirmación o modificación de la prueba de daño;</w:t>
      </w:r>
    </w:p>
    <w:p w14:paraId="27E0F414"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eastAsia="es-MX"/>
        </w:rPr>
      </w:pPr>
      <w:r w:rsidRPr="000E5506">
        <w:rPr>
          <w:rFonts w:ascii="Palatino Linotype" w:eastAsia="Palatino Linotype" w:hAnsi="Palatino Linotype" w:cs="Palatino Linotype"/>
          <w:b/>
          <w:i/>
          <w:lang w:eastAsia="es-MX"/>
        </w:rPr>
        <w:t>II</w:t>
      </w:r>
      <w:r w:rsidRPr="000E5506">
        <w:rPr>
          <w:rFonts w:ascii="Palatino Linotype" w:eastAsia="Palatino Linotype" w:hAnsi="Palatino Linotype" w:cs="Palatino Linotype"/>
          <w:i/>
          <w:lang w:eastAsia="es-MX"/>
        </w:rPr>
        <w:t>. Descripción de las partes o secciones reservadas, en caso de clasificación parcial</w:t>
      </w:r>
      <w:r w:rsidRPr="000E5506">
        <w:rPr>
          <w:rFonts w:ascii="Palatino Linotype" w:eastAsia="Palatino Linotype" w:hAnsi="Palatino Linotype" w:cs="Palatino Linotype"/>
          <w:b/>
          <w:i/>
          <w:lang w:eastAsia="es-MX"/>
        </w:rPr>
        <w:t xml:space="preserve">; </w:t>
      </w:r>
    </w:p>
    <w:p w14:paraId="7C006DE4"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III.</w:t>
      </w:r>
      <w:r w:rsidRPr="000E5506">
        <w:rPr>
          <w:rFonts w:ascii="Palatino Linotype" w:eastAsia="Palatino Linotype" w:hAnsi="Palatino Linotype" w:cs="Palatino Linotype"/>
          <w:i/>
          <w:lang w:eastAsia="es-MX"/>
        </w:rPr>
        <w:t xml:space="preserve"> El periodo por el que mantendrá su clasificación y fecha de expiración; y </w:t>
      </w:r>
    </w:p>
    <w:p w14:paraId="3784C0BC"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IV.</w:t>
      </w:r>
      <w:r w:rsidRPr="000E5506">
        <w:rPr>
          <w:rFonts w:ascii="Palatino Linotype" w:eastAsia="Palatino Linotype" w:hAnsi="Palatino Linotype" w:cs="Palatino Linotype"/>
          <w:i/>
          <w:lang w:eastAsia="es-MX"/>
        </w:rPr>
        <w:t xml:space="preserve"> El nombre del titular y área encargada de realizar la versión pública del documento, en su caso. </w:t>
      </w:r>
    </w:p>
    <w:p w14:paraId="7AE2BE57"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 xml:space="preserve">En los casos en que se clasifique la información como reservada siempre se entregará o anexará la prueba de daño con la respuesta al solicitante. </w:t>
      </w:r>
    </w:p>
    <w:p w14:paraId="67AD0BD6"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74ABF0DF"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p>
    <w:p w14:paraId="03449CF1" w14:textId="77777777" w:rsidR="00F27EE1" w:rsidRPr="000E5506" w:rsidRDefault="00F27EE1" w:rsidP="00F27EE1">
      <w:pPr>
        <w:spacing w:after="0" w:line="360" w:lineRule="auto"/>
        <w:jc w:val="both"/>
        <w:rPr>
          <w:rFonts w:ascii="Palatino Linotype" w:eastAsia="Palatino Linotype" w:hAnsi="Palatino Linotype" w:cs="Palatino Linotype"/>
          <w:sz w:val="24"/>
          <w:szCs w:val="24"/>
          <w:lang w:eastAsia="es-MX"/>
        </w:rPr>
      </w:pPr>
      <w:r w:rsidRPr="000E5506">
        <w:rPr>
          <w:rFonts w:ascii="Palatino Linotype" w:eastAsia="Palatino Linotype" w:hAnsi="Palatino Linotype" w:cs="Palatino Linotype"/>
          <w:sz w:val="24"/>
          <w:szCs w:val="24"/>
          <w:lang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A457BD3" w14:textId="77777777" w:rsidR="00F27EE1" w:rsidRPr="000E5506" w:rsidRDefault="00F27EE1" w:rsidP="00F27EE1">
      <w:pPr>
        <w:spacing w:after="0" w:line="240" w:lineRule="auto"/>
        <w:rPr>
          <w:rFonts w:ascii="Times New Roman" w:eastAsia="Palatino Linotype" w:hAnsi="Times New Roman" w:cs="Times New Roman"/>
          <w:sz w:val="24"/>
          <w:szCs w:val="24"/>
          <w:lang w:eastAsia="es-MX"/>
        </w:rPr>
      </w:pPr>
    </w:p>
    <w:p w14:paraId="56AC4949"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r w:rsidRPr="000E5506">
        <w:rPr>
          <w:rFonts w:ascii="Palatino Linotype" w:eastAsia="Palatino Linotype" w:hAnsi="Palatino Linotype" w:cs="Palatino Linotype"/>
          <w:b/>
          <w:i/>
          <w:lang w:eastAsia="es-MX"/>
        </w:rPr>
        <w:t>Quincuagésimo segundo</w:t>
      </w:r>
      <w:r w:rsidRPr="000E5506">
        <w:rPr>
          <w:rFonts w:ascii="Palatino Linotype" w:eastAsia="Palatino Linotype" w:hAnsi="Palatino Linotype" w:cs="Palatino Linotype"/>
          <w:i/>
          <w:lang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A845B33"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 xml:space="preserve">En el caso específico de la clasificación y elaboración de versiones públicas de documentos que contengan información confidencial, las áreas de los sujetos obligados deberán: </w:t>
      </w:r>
    </w:p>
    <w:p w14:paraId="32AB79A9"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w:t>
      </w:r>
      <w:r w:rsidRPr="000E5506">
        <w:rPr>
          <w:rFonts w:ascii="Palatino Linotype" w:eastAsia="Palatino Linotype" w:hAnsi="Palatino Linotype" w:cs="Palatino Linotype"/>
          <w:i/>
          <w:lang w:eastAsia="es-MX"/>
        </w:rPr>
        <w:t xml:space="preserve"> Fijar la fecha en que se elaboró la versión pública y la fecha en la cual el Comité de Transparencia confirmó dicha versión;</w:t>
      </w:r>
    </w:p>
    <w:p w14:paraId="776722D4"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w:t>
      </w:r>
      <w:r w:rsidRPr="000E5506">
        <w:rPr>
          <w:rFonts w:ascii="Palatino Linotype" w:eastAsia="Palatino Linotype" w:hAnsi="Palatino Linotype" w:cs="Palatino Linotype"/>
          <w:i/>
          <w:lang w:eastAsia="es-MX"/>
        </w:rPr>
        <w:t xml:space="preserve"> Señalar dentro del documento el tipo de información confidencial que fue testada en cada caso específico, de conformidad con el lineamiento trigésimo octavo; y</w:t>
      </w:r>
    </w:p>
    <w:p w14:paraId="4AB0286F"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lastRenderedPageBreak/>
        <w:t>III.</w:t>
      </w:r>
      <w:r w:rsidRPr="000E5506">
        <w:rPr>
          <w:rFonts w:ascii="Palatino Linotype" w:eastAsia="Palatino Linotype" w:hAnsi="Palatino Linotype" w:cs="Palatino Linotype"/>
          <w:i/>
          <w:lang w:eastAsia="es-MX"/>
        </w:rPr>
        <w:t xml:space="preserve"> Señalar las personas o instancias autorizadas a acceder a la información clasificada.</w:t>
      </w:r>
    </w:p>
    <w:p w14:paraId="630C0942"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En los documentos de difusión electrónica, señalar en la primera hoja y en el nombre del archivo, que la versión pública corresponde a un documento que contiene información confidencial.”</w:t>
      </w:r>
    </w:p>
    <w:p w14:paraId="5FCC0822"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w:t>
      </w:r>
    </w:p>
    <w:p w14:paraId="3160F46B" w14:textId="77777777" w:rsidR="00F27EE1" w:rsidRPr="000E5506" w:rsidRDefault="00F27EE1" w:rsidP="00F27EE1">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eastAsia="es-MX"/>
        </w:rPr>
      </w:pPr>
      <w:r w:rsidRPr="000E5506">
        <w:rPr>
          <w:rFonts w:ascii="Palatino Linotype" w:eastAsia="Palatino Linotype" w:hAnsi="Palatino Linotype" w:cs="Palatino Linotype"/>
          <w:b/>
          <w:i/>
          <w:lang w:eastAsia="es-MX"/>
        </w:rPr>
        <w:t xml:space="preserve">Quincuagésimo cuarto. </w:t>
      </w:r>
      <w:r w:rsidRPr="000E5506">
        <w:rPr>
          <w:rFonts w:ascii="Palatino Linotype" w:eastAsia="Palatino Linotype" w:hAnsi="Palatino Linotype" w:cs="Palatino Linotype"/>
          <w:i/>
          <w:lang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E5506">
        <w:rPr>
          <w:rFonts w:ascii="Palatino Linotype" w:eastAsia="Palatino Linotype" w:hAnsi="Palatino Linotype" w:cs="Palatino Linotype"/>
          <w:b/>
          <w:i/>
          <w:lang w:eastAsia="es-MX"/>
        </w:rPr>
        <w:t xml:space="preserve"> </w:t>
      </w:r>
    </w:p>
    <w:p w14:paraId="6F8D6E35"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 xml:space="preserve">Quincuagésimo quinto. </w:t>
      </w:r>
      <w:r w:rsidRPr="000E5506">
        <w:rPr>
          <w:rFonts w:ascii="Palatino Linotype" w:eastAsia="Palatino Linotype" w:hAnsi="Palatino Linotype" w:cs="Palatino Linotype"/>
          <w:i/>
          <w:lang w:eastAsia="es-MX"/>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FC9D015"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b/>
          <w:i/>
          <w:lang w:eastAsia="es-MX"/>
        </w:rPr>
      </w:pPr>
      <w:r w:rsidRPr="000E5506">
        <w:rPr>
          <w:rFonts w:ascii="Palatino Linotype" w:eastAsia="Palatino Linotype" w:hAnsi="Palatino Linotype" w:cs="Palatino Linotype"/>
          <w:b/>
          <w:i/>
          <w:lang w:eastAsia="es-MX"/>
        </w:rPr>
        <w:t>...</w:t>
      </w:r>
    </w:p>
    <w:p w14:paraId="1C406D9A"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Quincuagésimo séptimo</w:t>
      </w:r>
      <w:r w:rsidRPr="000E5506">
        <w:rPr>
          <w:rFonts w:ascii="Palatino Linotype" w:eastAsia="Palatino Linotype" w:hAnsi="Palatino Linotype" w:cs="Palatino Linotype"/>
          <w:i/>
          <w:lang w:eastAsia="es-MX"/>
        </w:rPr>
        <w:t xml:space="preserve">. Se considera, en principio, como información pública y no podrá omitirse de las versiones públicas la siguiente: </w:t>
      </w:r>
    </w:p>
    <w:p w14:paraId="6EB97AB8"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w:t>
      </w:r>
      <w:r w:rsidRPr="000E5506">
        <w:rPr>
          <w:rFonts w:ascii="Palatino Linotype" w:eastAsia="Palatino Linotype" w:hAnsi="Palatino Linotype" w:cs="Palatino Linotype"/>
          <w:i/>
          <w:lang w:eastAsia="es-MX"/>
        </w:rPr>
        <w:t xml:space="preserve">. La relativa a las Obligaciones de Transparencia que contempla el Título V de la Ley General y las demás disposiciones legales aplicables; </w:t>
      </w:r>
    </w:p>
    <w:p w14:paraId="5CA5D383"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w:t>
      </w:r>
      <w:r w:rsidRPr="000E5506">
        <w:rPr>
          <w:rFonts w:ascii="Palatino Linotype" w:eastAsia="Palatino Linotype" w:hAnsi="Palatino Linotype" w:cs="Palatino Linotype"/>
          <w:i/>
          <w:lang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60B02D5E"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III</w:t>
      </w:r>
      <w:r w:rsidRPr="000E5506">
        <w:rPr>
          <w:rFonts w:ascii="Palatino Linotype" w:eastAsia="Palatino Linotype" w:hAnsi="Palatino Linotype" w:cs="Palatino Linotype"/>
          <w:i/>
          <w:lang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1C954C0"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i/>
          <w:lang w:eastAsia="es-MX"/>
        </w:rPr>
        <w:t xml:space="preserve">Lo anterior, siempre y cuando no se acredite alguna causal de clasificación, prevista en las leyes o en los tratados internacionales suscritas por el Estado mexicano.  </w:t>
      </w:r>
    </w:p>
    <w:p w14:paraId="03C52F48" w14:textId="77777777" w:rsidR="00F27EE1" w:rsidRPr="000E5506" w:rsidRDefault="00F27EE1" w:rsidP="00F27EE1">
      <w:pPr>
        <w:spacing w:before="120" w:after="120" w:line="240" w:lineRule="auto"/>
        <w:ind w:left="567" w:right="616"/>
        <w:jc w:val="both"/>
        <w:rPr>
          <w:rFonts w:ascii="Palatino Linotype" w:eastAsia="Palatino Linotype" w:hAnsi="Palatino Linotype" w:cs="Palatino Linotype"/>
          <w:i/>
          <w:lang w:eastAsia="es-MX"/>
        </w:rPr>
      </w:pPr>
      <w:r w:rsidRPr="000E5506">
        <w:rPr>
          <w:rFonts w:ascii="Palatino Linotype" w:eastAsia="Palatino Linotype" w:hAnsi="Palatino Linotype" w:cs="Palatino Linotype"/>
          <w:b/>
          <w:i/>
          <w:lang w:eastAsia="es-MX"/>
        </w:rPr>
        <w:t>Quincuagésimo octavo</w:t>
      </w:r>
      <w:r w:rsidRPr="000E5506">
        <w:rPr>
          <w:rFonts w:ascii="Palatino Linotype" w:eastAsia="Palatino Linotype" w:hAnsi="Palatino Linotype" w:cs="Palatino Linotype"/>
          <w:i/>
          <w:lang w:eastAsia="es-MX"/>
        </w:rPr>
        <w:t>. Los sujetos obligados garantizarán que los sistemas o medios empleados para eliminar la información en las versiones públicas sean irreversibles, de tal forma que no permitan su recuperación o la visualización de la misma.”</w:t>
      </w:r>
    </w:p>
    <w:p w14:paraId="1A632D08" w14:textId="77777777" w:rsidR="00F27EE1" w:rsidRPr="000E5506" w:rsidRDefault="00F27EE1" w:rsidP="00531D47">
      <w:pPr>
        <w:spacing w:after="0" w:line="360" w:lineRule="auto"/>
        <w:jc w:val="both"/>
        <w:rPr>
          <w:rFonts w:ascii="Palatino Linotype" w:eastAsia="Times New Roman" w:hAnsi="Palatino Linotype" w:cs="Arial"/>
          <w:bCs/>
          <w:sz w:val="24"/>
          <w:szCs w:val="24"/>
          <w:lang w:eastAsia="es-ES"/>
        </w:rPr>
      </w:pPr>
    </w:p>
    <w:p w14:paraId="5670DF34" w14:textId="3085DC5A" w:rsidR="006D1027" w:rsidRPr="000E5506" w:rsidRDefault="00F27EE1" w:rsidP="00531D47">
      <w:pPr>
        <w:spacing w:after="0" w:line="360" w:lineRule="auto"/>
        <w:jc w:val="both"/>
        <w:rPr>
          <w:rFonts w:ascii="Palatino Linotype" w:eastAsia="Times New Roman" w:hAnsi="Palatino Linotype" w:cs="Arial"/>
          <w:bCs/>
          <w:sz w:val="24"/>
          <w:szCs w:val="24"/>
          <w:lang w:eastAsia="es-ES"/>
        </w:rPr>
      </w:pPr>
      <w:r w:rsidRPr="000E5506">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sidRPr="000E5506">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0E5506">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0E5506">
        <w:rPr>
          <w:rFonts w:ascii="Palatino Linotype" w:eastAsia="Times New Roman" w:hAnsi="Palatino Linotype" w:cs="Arial"/>
          <w:b/>
          <w:bCs/>
          <w:sz w:val="24"/>
          <w:szCs w:val="24"/>
          <w:lang w:eastAsia="es-ES"/>
        </w:rPr>
        <w:t>Recurrente</w:t>
      </w:r>
      <w:r w:rsidRPr="000E5506">
        <w:rPr>
          <w:rFonts w:ascii="Palatino Linotype" w:eastAsia="Times New Roman" w:hAnsi="Palatino Linotype" w:cs="Arial"/>
          <w:bCs/>
          <w:sz w:val="24"/>
          <w:szCs w:val="24"/>
          <w:lang w:eastAsia="es-ES"/>
        </w:rPr>
        <w:t>.</w:t>
      </w:r>
    </w:p>
    <w:p w14:paraId="3EF3F835" w14:textId="77777777" w:rsidR="00F27EE1" w:rsidRPr="000E5506" w:rsidRDefault="00F27EE1" w:rsidP="00531D47">
      <w:pPr>
        <w:spacing w:after="0" w:line="360" w:lineRule="auto"/>
        <w:jc w:val="both"/>
        <w:rPr>
          <w:rFonts w:ascii="Palatino Linotype" w:eastAsia="Times New Roman" w:hAnsi="Palatino Linotype" w:cs="Arial"/>
          <w:bCs/>
          <w:sz w:val="24"/>
          <w:szCs w:val="24"/>
          <w:lang w:eastAsia="es-ES"/>
        </w:rPr>
      </w:pPr>
    </w:p>
    <w:p w14:paraId="43DF2BF6" w14:textId="1FD60F48" w:rsidR="006D1027" w:rsidRPr="000E5506" w:rsidRDefault="006D1027" w:rsidP="006D1027">
      <w:pPr>
        <w:spacing w:after="0" w:line="360" w:lineRule="auto"/>
        <w:jc w:val="both"/>
        <w:rPr>
          <w:rFonts w:ascii="Palatino Linotype" w:eastAsia="Times New Roman" w:hAnsi="Palatino Linotype" w:cs="Arial"/>
          <w:sz w:val="24"/>
          <w:szCs w:val="24"/>
          <w:lang w:val="es-ES" w:eastAsia="es-ES"/>
        </w:rPr>
      </w:pPr>
      <w:r w:rsidRPr="000E5506">
        <w:rPr>
          <w:rFonts w:ascii="Palatino Linotype" w:eastAsia="Times New Roman" w:hAnsi="Palatino Linotype" w:cs="Times New Roman"/>
          <w:sz w:val="24"/>
          <w:szCs w:val="24"/>
          <w:lang w:val="es-ES" w:eastAsia="es-ES"/>
        </w:rPr>
        <w:t xml:space="preserve">Así, en mérito de lo expuesto en líneas anteriores, </w:t>
      </w:r>
      <w:r w:rsidRPr="000E5506">
        <w:rPr>
          <w:rFonts w:ascii="Palatino Linotype" w:eastAsia="Times New Roman" w:hAnsi="Palatino Linotype" w:cs="Times New Roman"/>
          <w:noProof/>
          <w:sz w:val="24"/>
          <w:szCs w:val="24"/>
          <w:lang w:val="es-ES" w:eastAsia="es-MX"/>
        </w:rPr>
        <w:t xml:space="preserve">resultan </w:t>
      </w:r>
      <w:r w:rsidRPr="000E5506">
        <w:rPr>
          <w:rFonts w:ascii="Palatino Linotype" w:eastAsia="Times New Roman" w:hAnsi="Palatino Linotype" w:cs="Arial"/>
          <w:sz w:val="24"/>
          <w:szCs w:val="24"/>
          <w:lang w:val="es-ES" w:eastAsia="es-ES"/>
        </w:rPr>
        <w:t xml:space="preserve">fundadas las razones o motivos de inconformidad, así que, </w:t>
      </w:r>
      <w:r w:rsidRPr="000E5506">
        <w:rPr>
          <w:rFonts w:ascii="Palatino Linotype" w:eastAsia="MS Mincho" w:hAnsi="Palatino Linotype" w:cs="Arial"/>
          <w:sz w:val="24"/>
          <w:szCs w:val="24"/>
          <w:lang w:val="es-ES"/>
        </w:rPr>
        <w:t xml:space="preserve">con fundamento en la </w:t>
      </w:r>
      <w:r w:rsidR="00F171E4" w:rsidRPr="000E5506">
        <w:rPr>
          <w:rFonts w:ascii="Palatino Linotype" w:eastAsia="MS Mincho" w:hAnsi="Palatino Linotype" w:cs="Arial"/>
          <w:i/>
          <w:iCs/>
          <w:sz w:val="24"/>
          <w:szCs w:val="24"/>
          <w:lang w:val="es-ES"/>
        </w:rPr>
        <w:t>primera</w:t>
      </w:r>
      <w:r w:rsidRPr="000E5506">
        <w:rPr>
          <w:rFonts w:ascii="Palatino Linotype" w:eastAsia="MS Mincho" w:hAnsi="Palatino Linotype" w:cs="Arial"/>
          <w:sz w:val="24"/>
          <w:szCs w:val="24"/>
          <w:lang w:val="es-ES"/>
        </w:rPr>
        <w:t xml:space="preserve"> </w:t>
      </w:r>
      <w:r w:rsidRPr="000E5506">
        <w:rPr>
          <w:rFonts w:ascii="Palatino Linotype" w:eastAsia="MS Mincho" w:hAnsi="Palatino Linotype" w:cs="Arial"/>
          <w:i/>
          <w:sz w:val="24"/>
          <w:szCs w:val="24"/>
          <w:lang w:val="es-ES"/>
        </w:rPr>
        <w:t>hipótesis</w:t>
      </w:r>
      <w:r w:rsidRPr="000E5506">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F171E4" w:rsidRPr="000E5506">
        <w:rPr>
          <w:rFonts w:ascii="Palatino Linotype" w:eastAsia="MS Mincho" w:hAnsi="Palatino Linotype" w:cs="Arial"/>
          <w:b/>
          <w:sz w:val="24"/>
          <w:szCs w:val="24"/>
          <w:lang w:val="es-ES"/>
        </w:rPr>
        <w:t>REVOCAN</w:t>
      </w:r>
      <w:r w:rsidRPr="000E5506">
        <w:rPr>
          <w:rFonts w:ascii="Palatino Linotype" w:eastAsia="MS Mincho" w:hAnsi="Palatino Linotype" w:cs="Arial"/>
          <w:sz w:val="24"/>
          <w:szCs w:val="24"/>
          <w:lang w:val="es-ES"/>
        </w:rPr>
        <w:t xml:space="preserve"> las respuestas a las solicitudes de información número </w:t>
      </w:r>
      <w:r w:rsidR="00B44A69" w:rsidRPr="000E5506">
        <w:rPr>
          <w:rFonts w:ascii="Palatino Linotype" w:hAnsi="Palatino Linotype" w:cs="Arial"/>
          <w:b/>
          <w:sz w:val="24"/>
          <w:szCs w:val="24"/>
        </w:rPr>
        <w:t>00615/TEPOTZOT/IP/2025</w:t>
      </w:r>
      <w:r w:rsidRPr="000E5506">
        <w:rPr>
          <w:rFonts w:ascii="Palatino Linotype" w:hAnsi="Palatino Linotype" w:cs="Arial"/>
          <w:bCs/>
          <w:sz w:val="24"/>
          <w:szCs w:val="24"/>
        </w:rPr>
        <w:t xml:space="preserve"> </w:t>
      </w:r>
      <w:r w:rsidRPr="000E5506">
        <w:rPr>
          <w:rFonts w:ascii="Palatino Linotype" w:hAnsi="Palatino Linotype" w:cs="Arial"/>
          <w:sz w:val="24"/>
          <w:szCs w:val="24"/>
        </w:rPr>
        <w:t xml:space="preserve">y </w:t>
      </w:r>
      <w:r w:rsidR="00B44A69" w:rsidRPr="000E5506">
        <w:rPr>
          <w:rFonts w:ascii="Palatino Linotype" w:hAnsi="Palatino Linotype" w:cs="Arial"/>
          <w:b/>
          <w:sz w:val="24"/>
          <w:szCs w:val="24"/>
        </w:rPr>
        <w:t>00616/TEPOTZOT/IP/2025</w:t>
      </w:r>
      <w:r w:rsidRPr="000E5506">
        <w:rPr>
          <w:rFonts w:ascii="Palatino Linotype" w:eastAsia="MS Mincho" w:hAnsi="Palatino Linotype" w:cs="Arial"/>
          <w:sz w:val="24"/>
          <w:szCs w:val="24"/>
          <w:lang w:val="es-ES"/>
        </w:rPr>
        <w:t>, que han sido materia del presente fallo.</w:t>
      </w:r>
    </w:p>
    <w:p w14:paraId="63A66258" w14:textId="77777777" w:rsidR="006D1027" w:rsidRPr="000E5506" w:rsidRDefault="006D1027" w:rsidP="006D1027">
      <w:pPr>
        <w:spacing w:after="0" w:line="360" w:lineRule="auto"/>
        <w:jc w:val="both"/>
        <w:rPr>
          <w:rFonts w:ascii="Palatino Linotype" w:eastAsia="Times New Roman" w:hAnsi="Palatino Linotype" w:cs="Arial"/>
          <w:sz w:val="24"/>
          <w:szCs w:val="24"/>
          <w:lang w:val="es-ES" w:eastAsia="es-ES"/>
        </w:rPr>
      </w:pPr>
    </w:p>
    <w:p w14:paraId="0117ABFB" w14:textId="77777777" w:rsidR="006D1027" w:rsidRPr="000E5506" w:rsidRDefault="006D1027" w:rsidP="006D1027">
      <w:pPr>
        <w:spacing w:after="0" w:line="360" w:lineRule="auto"/>
        <w:jc w:val="both"/>
        <w:rPr>
          <w:rFonts w:ascii="Palatino Linotype" w:eastAsia="MS Mincho" w:hAnsi="Palatino Linotype" w:cs="Arial"/>
          <w:sz w:val="24"/>
          <w:szCs w:val="24"/>
          <w:lang w:val="es-ES"/>
        </w:rPr>
      </w:pPr>
      <w:r w:rsidRPr="000E5506">
        <w:rPr>
          <w:rFonts w:ascii="Palatino Linotype" w:eastAsia="MS Mincho" w:hAnsi="Palatino Linotype" w:cs="Arial"/>
          <w:sz w:val="24"/>
          <w:szCs w:val="24"/>
          <w:lang w:val="es-ES"/>
        </w:rPr>
        <w:t>Por lo antes expuesto y fundado es de resolverse y,</w:t>
      </w:r>
    </w:p>
    <w:p w14:paraId="042D5FC7" w14:textId="77777777" w:rsidR="006D1027" w:rsidRPr="000E5506" w:rsidRDefault="006D1027" w:rsidP="006D1027">
      <w:pPr>
        <w:spacing w:after="0" w:line="360" w:lineRule="auto"/>
        <w:jc w:val="both"/>
        <w:rPr>
          <w:rFonts w:ascii="Palatino Linotype" w:eastAsia="MS Mincho" w:hAnsi="Palatino Linotype" w:cs="Arial"/>
          <w:sz w:val="24"/>
          <w:szCs w:val="24"/>
          <w:lang w:val="es-ES"/>
        </w:rPr>
      </w:pPr>
    </w:p>
    <w:p w14:paraId="5BC0137C" w14:textId="77777777" w:rsidR="006D1027" w:rsidRPr="000E5506" w:rsidRDefault="006D1027" w:rsidP="006D1027">
      <w:pPr>
        <w:spacing w:after="0" w:line="360" w:lineRule="auto"/>
        <w:ind w:left="426"/>
        <w:jc w:val="center"/>
        <w:rPr>
          <w:rFonts w:ascii="Palatino Linotype" w:eastAsia="Times New Roman" w:hAnsi="Palatino Linotype" w:cs="Times New Roman"/>
          <w:b/>
          <w:sz w:val="28"/>
          <w:szCs w:val="24"/>
          <w:lang w:val="es-ES" w:eastAsia="es-ES"/>
        </w:rPr>
      </w:pPr>
      <w:r w:rsidRPr="000E5506">
        <w:rPr>
          <w:rFonts w:ascii="Palatino Linotype" w:eastAsia="Times New Roman" w:hAnsi="Palatino Linotype" w:cs="Times New Roman"/>
          <w:b/>
          <w:sz w:val="28"/>
          <w:szCs w:val="24"/>
          <w:lang w:val="es-ES" w:eastAsia="es-ES"/>
        </w:rPr>
        <w:t>SE    RESUELVE</w:t>
      </w:r>
    </w:p>
    <w:p w14:paraId="72B8583D" w14:textId="77777777" w:rsidR="006D1027" w:rsidRPr="000E5506" w:rsidRDefault="006D1027" w:rsidP="006D1027">
      <w:pPr>
        <w:pStyle w:val="Sinespaciado"/>
      </w:pPr>
    </w:p>
    <w:p w14:paraId="251E1519" w14:textId="15A2C115" w:rsidR="006D1027" w:rsidRPr="000E5506" w:rsidRDefault="006D1027" w:rsidP="006D1027">
      <w:pPr>
        <w:spacing w:after="0" w:line="360" w:lineRule="auto"/>
        <w:jc w:val="both"/>
        <w:rPr>
          <w:rFonts w:ascii="Palatino Linotype" w:eastAsia="Times New Roman" w:hAnsi="Palatino Linotype" w:cs="Arial"/>
          <w:sz w:val="24"/>
          <w:szCs w:val="24"/>
          <w:lang w:eastAsia="es-ES"/>
        </w:rPr>
      </w:pPr>
      <w:r w:rsidRPr="000E5506">
        <w:rPr>
          <w:rFonts w:ascii="Palatino Linotype" w:eastAsia="Times New Roman" w:hAnsi="Palatino Linotype" w:cs="Arial"/>
          <w:b/>
          <w:sz w:val="28"/>
          <w:szCs w:val="24"/>
          <w:lang w:eastAsia="es-ES"/>
        </w:rPr>
        <w:t>PRIMERO</w:t>
      </w:r>
      <w:r w:rsidRPr="000E5506">
        <w:rPr>
          <w:rFonts w:ascii="Palatino Linotype" w:eastAsia="Times New Roman" w:hAnsi="Palatino Linotype" w:cs="Arial"/>
          <w:b/>
          <w:sz w:val="24"/>
          <w:szCs w:val="24"/>
          <w:lang w:eastAsia="es-ES"/>
        </w:rPr>
        <w:t xml:space="preserve">. </w:t>
      </w:r>
      <w:r w:rsidRPr="000E5506">
        <w:rPr>
          <w:rFonts w:ascii="Palatino Linotype" w:eastAsia="Times New Roman" w:hAnsi="Palatino Linotype" w:cs="Arial"/>
          <w:sz w:val="24"/>
          <w:szCs w:val="24"/>
          <w:lang w:eastAsia="es-ES"/>
        </w:rPr>
        <w:t>Se</w:t>
      </w:r>
      <w:r w:rsidRPr="000E5506">
        <w:rPr>
          <w:rFonts w:ascii="Palatino Linotype" w:eastAsia="MS Mincho" w:hAnsi="Palatino Linotype" w:cs="Arial"/>
          <w:sz w:val="24"/>
          <w:szCs w:val="24"/>
          <w:lang w:val="es-ES"/>
        </w:rPr>
        <w:t xml:space="preserve"> </w:t>
      </w:r>
      <w:r w:rsidR="00F171E4" w:rsidRPr="000E5506">
        <w:rPr>
          <w:rFonts w:ascii="Palatino Linotype" w:eastAsia="MS Mincho" w:hAnsi="Palatino Linotype" w:cs="Arial"/>
          <w:b/>
          <w:sz w:val="24"/>
          <w:szCs w:val="24"/>
          <w:lang w:val="es-ES"/>
        </w:rPr>
        <w:t>REVOCAN</w:t>
      </w:r>
      <w:r w:rsidRPr="000E5506">
        <w:rPr>
          <w:rFonts w:ascii="Palatino Linotype" w:eastAsia="MS Mincho" w:hAnsi="Palatino Linotype" w:cs="Arial"/>
          <w:b/>
          <w:sz w:val="24"/>
          <w:szCs w:val="24"/>
          <w:lang w:val="es-ES"/>
        </w:rPr>
        <w:t xml:space="preserve"> </w:t>
      </w:r>
      <w:r w:rsidRPr="000E5506">
        <w:rPr>
          <w:rFonts w:ascii="Palatino Linotype" w:eastAsia="MS Mincho" w:hAnsi="Palatino Linotype" w:cs="Arial"/>
          <w:sz w:val="24"/>
          <w:szCs w:val="24"/>
          <w:lang w:val="es-ES"/>
        </w:rPr>
        <w:t xml:space="preserve">las respuestas otorgadas a las solicitudes número </w:t>
      </w:r>
      <w:r w:rsidR="00B44A69" w:rsidRPr="000E5506">
        <w:rPr>
          <w:rFonts w:ascii="Palatino Linotype" w:hAnsi="Palatino Linotype" w:cs="Arial"/>
          <w:b/>
          <w:sz w:val="24"/>
          <w:szCs w:val="24"/>
        </w:rPr>
        <w:t>00615/TEPOTZOT/IP/2025</w:t>
      </w:r>
      <w:r w:rsidR="006E6D3B" w:rsidRPr="000E5506">
        <w:rPr>
          <w:rFonts w:ascii="Palatino Linotype" w:hAnsi="Palatino Linotype" w:cs="Arial"/>
          <w:b/>
          <w:sz w:val="24"/>
          <w:szCs w:val="24"/>
        </w:rPr>
        <w:t xml:space="preserve"> </w:t>
      </w:r>
      <w:r w:rsidR="006E6D3B" w:rsidRPr="000E5506">
        <w:rPr>
          <w:rFonts w:ascii="Palatino Linotype" w:hAnsi="Palatino Linotype" w:cs="Arial"/>
          <w:bCs/>
          <w:sz w:val="24"/>
          <w:szCs w:val="24"/>
        </w:rPr>
        <w:t>y</w:t>
      </w:r>
      <w:r w:rsidR="006E6D3B" w:rsidRPr="000E5506">
        <w:rPr>
          <w:rFonts w:ascii="Palatino Linotype" w:hAnsi="Palatino Linotype" w:cs="Arial"/>
          <w:b/>
          <w:sz w:val="24"/>
          <w:szCs w:val="24"/>
        </w:rPr>
        <w:t xml:space="preserve"> </w:t>
      </w:r>
      <w:r w:rsidR="00B44A69" w:rsidRPr="000E5506">
        <w:rPr>
          <w:rFonts w:ascii="Palatino Linotype" w:hAnsi="Palatino Linotype" w:cs="Arial"/>
          <w:b/>
          <w:sz w:val="24"/>
          <w:szCs w:val="24"/>
        </w:rPr>
        <w:t>00616/TEPOTZOT/IP/2025</w:t>
      </w:r>
      <w:r w:rsidRPr="000E5506">
        <w:rPr>
          <w:rFonts w:ascii="Palatino Linotype" w:hAnsi="Palatino Linotype" w:cs="Arial"/>
          <w:sz w:val="24"/>
          <w:szCs w:val="24"/>
        </w:rPr>
        <w:t xml:space="preserve">, </w:t>
      </w:r>
      <w:r w:rsidRPr="000E5506">
        <w:rPr>
          <w:rFonts w:ascii="Palatino Linotype" w:eastAsia="Times New Roman" w:hAnsi="Palatino Linotype" w:cs="Arial"/>
          <w:sz w:val="24"/>
          <w:szCs w:val="24"/>
          <w:lang w:eastAsia="es-ES"/>
        </w:rPr>
        <w:t>por resultar fundados</w:t>
      </w:r>
      <w:r w:rsidRPr="000E5506">
        <w:rPr>
          <w:rFonts w:ascii="Palatino Linotype" w:eastAsia="Times New Roman" w:hAnsi="Palatino Linotype" w:cs="Arial"/>
          <w:b/>
          <w:sz w:val="24"/>
          <w:szCs w:val="24"/>
          <w:lang w:eastAsia="es-ES"/>
        </w:rPr>
        <w:t xml:space="preserve"> </w:t>
      </w:r>
      <w:r w:rsidRPr="000E5506">
        <w:rPr>
          <w:rFonts w:ascii="Palatino Linotype" w:eastAsia="Times New Roman" w:hAnsi="Palatino Linotype" w:cs="Arial"/>
          <w:sz w:val="24"/>
          <w:szCs w:val="24"/>
          <w:lang w:eastAsia="es-ES"/>
        </w:rPr>
        <w:t xml:space="preserve">los motivos de inconformidad vertidos por la parte </w:t>
      </w:r>
      <w:r w:rsidRPr="000E5506">
        <w:rPr>
          <w:rFonts w:ascii="Palatino Linotype" w:eastAsia="Times New Roman" w:hAnsi="Palatino Linotype" w:cs="Arial"/>
          <w:b/>
          <w:sz w:val="24"/>
          <w:szCs w:val="24"/>
          <w:lang w:eastAsia="es-ES"/>
        </w:rPr>
        <w:t>Recurrente</w:t>
      </w:r>
      <w:r w:rsidRPr="000E5506">
        <w:rPr>
          <w:rFonts w:ascii="Palatino Linotype" w:eastAsia="Times New Roman" w:hAnsi="Palatino Linotype" w:cs="Arial"/>
          <w:sz w:val="24"/>
          <w:szCs w:val="24"/>
          <w:lang w:eastAsia="es-ES"/>
        </w:rPr>
        <w:t>, en términos del considerando</w:t>
      </w:r>
      <w:r w:rsidRPr="000E5506">
        <w:rPr>
          <w:rFonts w:ascii="Palatino Linotype" w:eastAsia="Times New Roman" w:hAnsi="Palatino Linotype" w:cs="Arial"/>
          <w:b/>
          <w:sz w:val="24"/>
          <w:szCs w:val="24"/>
          <w:lang w:eastAsia="es-ES"/>
        </w:rPr>
        <w:t xml:space="preserve"> </w:t>
      </w:r>
      <w:r w:rsidR="00A73FB5" w:rsidRPr="000E5506">
        <w:rPr>
          <w:rFonts w:ascii="Palatino Linotype" w:eastAsia="Times New Roman" w:hAnsi="Palatino Linotype" w:cs="Arial"/>
          <w:b/>
          <w:sz w:val="24"/>
          <w:szCs w:val="24"/>
          <w:lang w:eastAsia="es-ES"/>
        </w:rPr>
        <w:t>CUARTO</w:t>
      </w:r>
      <w:r w:rsidRPr="000E5506">
        <w:rPr>
          <w:rFonts w:ascii="Palatino Linotype" w:eastAsia="Times New Roman" w:hAnsi="Palatino Linotype" w:cs="Arial"/>
          <w:b/>
          <w:sz w:val="24"/>
          <w:szCs w:val="24"/>
          <w:lang w:eastAsia="es-ES"/>
        </w:rPr>
        <w:t xml:space="preserve"> </w:t>
      </w:r>
      <w:r w:rsidRPr="000E5506">
        <w:rPr>
          <w:rFonts w:ascii="Palatino Linotype" w:eastAsia="Times New Roman" w:hAnsi="Palatino Linotype" w:cs="Arial"/>
          <w:sz w:val="24"/>
          <w:szCs w:val="24"/>
          <w:lang w:eastAsia="es-ES"/>
        </w:rPr>
        <w:t>de la presente Resolución.</w:t>
      </w:r>
    </w:p>
    <w:p w14:paraId="0E1C1A28" w14:textId="77777777" w:rsidR="006D1027" w:rsidRPr="000E5506" w:rsidRDefault="006D1027" w:rsidP="006D1027">
      <w:pPr>
        <w:spacing w:after="0" w:line="360" w:lineRule="auto"/>
        <w:jc w:val="both"/>
        <w:rPr>
          <w:rFonts w:ascii="Palatino Linotype" w:eastAsia="Times New Roman" w:hAnsi="Palatino Linotype" w:cs="Arial"/>
          <w:b/>
          <w:sz w:val="24"/>
          <w:szCs w:val="24"/>
          <w:lang w:eastAsia="es-ES"/>
        </w:rPr>
      </w:pPr>
    </w:p>
    <w:p w14:paraId="70C304C0" w14:textId="47B3E11A" w:rsidR="00220D90" w:rsidRPr="000E5506" w:rsidRDefault="006D1027" w:rsidP="00220D90">
      <w:pPr>
        <w:spacing w:after="0" w:line="360" w:lineRule="auto"/>
        <w:jc w:val="both"/>
        <w:rPr>
          <w:rFonts w:ascii="Palatino Linotype" w:hAnsi="Palatino Linotype" w:cs="Arial"/>
          <w:sz w:val="24"/>
          <w:szCs w:val="24"/>
        </w:rPr>
      </w:pPr>
      <w:r w:rsidRPr="000E5506">
        <w:rPr>
          <w:rFonts w:ascii="Palatino Linotype" w:hAnsi="Palatino Linotype" w:cs="Arial"/>
          <w:b/>
          <w:sz w:val="28"/>
          <w:szCs w:val="28"/>
        </w:rPr>
        <w:t>SEGUNDO.</w:t>
      </w:r>
      <w:r w:rsidRPr="000E5506">
        <w:rPr>
          <w:rFonts w:ascii="Palatino Linotype" w:hAnsi="Palatino Linotype" w:cs="Arial"/>
          <w:sz w:val="24"/>
          <w:szCs w:val="24"/>
        </w:rPr>
        <w:t xml:space="preserve"> Se </w:t>
      </w:r>
      <w:r w:rsidRPr="000E5506">
        <w:rPr>
          <w:rFonts w:ascii="Palatino Linotype" w:hAnsi="Palatino Linotype" w:cs="Arial"/>
          <w:b/>
          <w:sz w:val="24"/>
          <w:szCs w:val="24"/>
        </w:rPr>
        <w:t>ORDENA</w:t>
      </w:r>
      <w:r w:rsidRPr="000E5506">
        <w:rPr>
          <w:rFonts w:ascii="Palatino Linotype" w:hAnsi="Palatino Linotype" w:cs="Arial"/>
          <w:sz w:val="24"/>
          <w:szCs w:val="24"/>
        </w:rPr>
        <w:t xml:space="preserve"> al </w:t>
      </w:r>
      <w:r w:rsidRPr="000E5506">
        <w:rPr>
          <w:rFonts w:ascii="Palatino Linotype" w:hAnsi="Palatino Linotype" w:cs="Arial"/>
          <w:b/>
          <w:sz w:val="24"/>
          <w:szCs w:val="24"/>
        </w:rPr>
        <w:t>Sujeto Obligado</w:t>
      </w:r>
      <w:r w:rsidRPr="000E5506">
        <w:rPr>
          <w:rFonts w:ascii="Palatino Linotype" w:hAnsi="Palatino Linotype" w:cs="Arial"/>
          <w:sz w:val="24"/>
          <w:szCs w:val="24"/>
        </w:rPr>
        <w:t xml:space="preserve"> haga entrega a la parte </w:t>
      </w:r>
      <w:r w:rsidRPr="000E5506">
        <w:rPr>
          <w:rFonts w:ascii="Palatino Linotype" w:hAnsi="Palatino Linotype" w:cs="Arial"/>
          <w:b/>
          <w:sz w:val="24"/>
          <w:szCs w:val="24"/>
        </w:rPr>
        <w:t xml:space="preserve">Recurrente </w:t>
      </w:r>
      <w:r w:rsidRPr="000E5506">
        <w:rPr>
          <w:rFonts w:ascii="Palatino Linotype" w:hAnsi="Palatino Linotype" w:cs="Arial"/>
          <w:sz w:val="24"/>
          <w:szCs w:val="24"/>
        </w:rPr>
        <w:t xml:space="preserve">en términos del Considerando </w:t>
      </w:r>
      <w:r w:rsidR="00A73FB5" w:rsidRPr="000E5506">
        <w:rPr>
          <w:rFonts w:ascii="Palatino Linotype" w:hAnsi="Palatino Linotype" w:cs="Arial"/>
          <w:b/>
          <w:sz w:val="24"/>
          <w:szCs w:val="24"/>
        </w:rPr>
        <w:t>CUARTO</w:t>
      </w:r>
      <w:r w:rsidRPr="000E5506">
        <w:rPr>
          <w:rFonts w:ascii="Palatino Linotype" w:hAnsi="Palatino Linotype" w:cs="Arial"/>
          <w:b/>
          <w:sz w:val="24"/>
          <w:szCs w:val="24"/>
        </w:rPr>
        <w:t xml:space="preserve"> </w:t>
      </w:r>
      <w:r w:rsidRPr="000E5506">
        <w:rPr>
          <w:rFonts w:ascii="Palatino Linotype" w:hAnsi="Palatino Linotype" w:cs="Arial"/>
          <w:sz w:val="24"/>
          <w:szCs w:val="24"/>
        </w:rPr>
        <w:t>de esta resolución, a través del</w:t>
      </w:r>
      <w:r w:rsidRPr="000E5506">
        <w:rPr>
          <w:rFonts w:ascii="Palatino Linotype" w:hAnsi="Palatino Linotype" w:cs="Arial"/>
          <w:b/>
          <w:sz w:val="24"/>
          <w:szCs w:val="24"/>
        </w:rPr>
        <w:t xml:space="preserve"> </w:t>
      </w:r>
      <w:r w:rsidRPr="000E5506">
        <w:rPr>
          <w:rFonts w:ascii="Palatino Linotype" w:hAnsi="Palatino Linotype" w:cs="Arial"/>
          <w:sz w:val="24"/>
        </w:rPr>
        <w:t xml:space="preserve">Sistema de </w:t>
      </w:r>
      <w:r w:rsidRPr="000E5506">
        <w:rPr>
          <w:rFonts w:ascii="Palatino Linotype" w:hAnsi="Palatino Linotype" w:cs="Arial"/>
          <w:sz w:val="24"/>
        </w:rPr>
        <w:lastRenderedPageBreak/>
        <w:t xml:space="preserve">Acceso a la Información Mexiquense </w:t>
      </w:r>
      <w:r w:rsidRPr="000E5506">
        <w:rPr>
          <w:rFonts w:ascii="Palatino Linotype" w:hAnsi="Palatino Linotype" w:cs="Arial"/>
          <w:b/>
          <w:sz w:val="24"/>
        </w:rPr>
        <w:t>(SAIMEX)</w:t>
      </w:r>
      <w:r w:rsidRPr="000E5506">
        <w:rPr>
          <w:rFonts w:ascii="Palatino Linotype" w:hAnsi="Palatino Linotype" w:cs="Arial"/>
          <w:sz w:val="24"/>
          <w:szCs w:val="24"/>
        </w:rPr>
        <w:t xml:space="preserve">, </w:t>
      </w:r>
      <w:r w:rsidR="00A138BC" w:rsidRPr="000E5506">
        <w:rPr>
          <w:rFonts w:ascii="Palatino Linotype" w:hAnsi="Palatino Linotype" w:cs="Arial"/>
          <w:sz w:val="24"/>
          <w:szCs w:val="24"/>
        </w:rPr>
        <w:t>de ser procedente en versión pública,</w:t>
      </w:r>
      <w:r w:rsidR="00220D90" w:rsidRPr="000E5506">
        <w:rPr>
          <w:rFonts w:ascii="Palatino Linotype" w:hAnsi="Palatino Linotype" w:cs="Arial"/>
          <w:sz w:val="24"/>
          <w:szCs w:val="24"/>
        </w:rPr>
        <w:t xml:space="preserve"> respecto d</w:t>
      </w:r>
      <w:r w:rsidR="00B44A69" w:rsidRPr="000E5506">
        <w:rPr>
          <w:rFonts w:ascii="Palatino Linotype" w:hAnsi="Palatino Linotype" w:cs="Arial"/>
          <w:sz w:val="24"/>
          <w:szCs w:val="24"/>
        </w:rPr>
        <w:t>e la empresa encargada de la demolición y reconstrucción de los cabezales de los apoyos 2, 3 y 4; así como, de la colocación de las trabes de los claros 1-2</w:t>
      </w:r>
      <w:r w:rsidR="00220D90" w:rsidRPr="000E5506">
        <w:rPr>
          <w:rFonts w:ascii="Palatino Linotype" w:hAnsi="Palatino Linotype" w:cs="Arial"/>
          <w:sz w:val="24"/>
          <w:szCs w:val="24"/>
        </w:rPr>
        <w:t xml:space="preserve">; </w:t>
      </w:r>
      <w:r w:rsidR="00B44A69" w:rsidRPr="000E5506">
        <w:rPr>
          <w:rFonts w:ascii="Palatino Linotype" w:hAnsi="Palatino Linotype" w:cs="Arial"/>
          <w:sz w:val="24"/>
          <w:szCs w:val="24"/>
        </w:rPr>
        <w:t xml:space="preserve">4-5 y los claros 2-3 y 3-4, durante los meses de febrero y marzo 2025, de acuerdo a lo indicado en el oficio </w:t>
      </w:r>
      <w:r w:rsidR="00B44A69" w:rsidRPr="000E5506">
        <w:rPr>
          <w:rFonts w:ascii="Palatino Linotype" w:hAnsi="Palatino Linotype" w:cs="Arial"/>
          <w:b/>
          <w:bCs/>
          <w:sz w:val="24"/>
          <w:szCs w:val="24"/>
        </w:rPr>
        <w:t>DOP/0821/2025</w:t>
      </w:r>
      <w:r w:rsidR="00B44A69" w:rsidRPr="000E5506">
        <w:rPr>
          <w:rFonts w:ascii="Palatino Linotype" w:hAnsi="Palatino Linotype" w:cs="Arial"/>
          <w:sz w:val="24"/>
          <w:szCs w:val="24"/>
        </w:rPr>
        <w:t xml:space="preserve"> de fecha 11 de junio de 2025, del paso inferior vehicular Tepotzotlán ubicado en la carretera México-Querétaro en el kilómetro 44, aproximadamente, </w:t>
      </w:r>
      <w:r w:rsidR="00220D90" w:rsidRPr="000E5506">
        <w:rPr>
          <w:rFonts w:ascii="Palatino Linotype" w:hAnsi="Palatino Linotype" w:cs="Arial"/>
          <w:sz w:val="24"/>
          <w:szCs w:val="24"/>
        </w:rPr>
        <w:t xml:space="preserve">la siguiente información: </w:t>
      </w:r>
    </w:p>
    <w:p w14:paraId="15490B09" w14:textId="77777777" w:rsidR="00220D90" w:rsidRPr="000E5506" w:rsidRDefault="00220D90" w:rsidP="00220D90">
      <w:pPr>
        <w:pStyle w:val="Sinespaciado"/>
        <w:rPr>
          <w:sz w:val="24"/>
          <w:szCs w:val="24"/>
        </w:rPr>
      </w:pPr>
    </w:p>
    <w:p w14:paraId="6C9DCBB9" w14:textId="77777777" w:rsidR="00220D90" w:rsidRPr="000E5506" w:rsidRDefault="00220D90" w:rsidP="00220D90">
      <w:pPr>
        <w:pStyle w:val="Prrafodelista"/>
        <w:numPr>
          <w:ilvl w:val="0"/>
          <w:numId w:val="40"/>
        </w:numPr>
        <w:autoSpaceDE w:val="0"/>
        <w:autoSpaceDN w:val="0"/>
        <w:adjustRightInd w:val="0"/>
        <w:spacing w:line="360" w:lineRule="auto"/>
        <w:jc w:val="both"/>
        <w:rPr>
          <w:rFonts w:ascii="Palatino Linotype" w:hAnsi="Palatino Linotype" w:cs="Arial"/>
        </w:rPr>
      </w:pPr>
      <w:r w:rsidRPr="000E5506">
        <w:rPr>
          <w:rFonts w:ascii="Palatino Linotype" w:hAnsi="Palatino Linotype" w:cs="Arial"/>
        </w:rPr>
        <w:t>El o los documentos en donde conste el n</w:t>
      </w:r>
      <w:r w:rsidR="00B44A69" w:rsidRPr="000E5506">
        <w:rPr>
          <w:rFonts w:ascii="Palatino Linotype" w:hAnsi="Palatino Linotype" w:cs="Arial"/>
        </w:rPr>
        <w:t>ombre de la empresa.</w:t>
      </w:r>
    </w:p>
    <w:p w14:paraId="13A70976" w14:textId="77777777" w:rsidR="00220D90" w:rsidRPr="000E5506" w:rsidRDefault="00220D90" w:rsidP="00220D90">
      <w:pPr>
        <w:pStyle w:val="Prrafodelista"/>
        <w:numPr>
          <w:ilvl w:val="0"/>
          <w:numId w:val="40"/>
        </w:numPr>
        <w:autoSpaceDE w:val="0"/>
        <w:autoSpaceDN w:val="0"/>
        <w:adjustRightInd w:val="0"/>
        <w:spacing w:line="360" w:lineRule="auto"/>
        <w:jc w:val="both"/>
        <w:rPr>
          <w:rFonts w:ascii="Palatino Linotype" w:hAnsi="Palatino Linotype" w:cs="Arial"/>
        </w:rPr>
      </w:pPr>
      <w:r w:rsidRPr="000E5506">
        <w:rPr>
          <w:rFonts w:ascii="Palatino Linotype" w:hAnsi="Palatino Linotype" w:cs="Arial"/>
        </w:rPr>
        <w:t xml:space="preserve">El </w:t>
      </w:r>
      <w:r w:rsidR="00B44A69" w:rsidRPr="000E5506">
        <w:rPr>
          <w:rFonts w:ascii="Palatino Linotype" w:hAnsi="Palatino Linotype" w:cs="Arial"/>
        </w:rPr>
        <w:t>Contrato.</w:t>
      </w:r>
    </w:p>
    <w:p w14:paraId="6E9C1318" w14:textId="3444A0E5" w:rsidR="00B44A69" w:rsidRPr="000E5506" w:rsidRDefault="00220D90" w:rsidP="00220D90">
      <w:pPr>
        <w:pStyle w:val="Prrafodelista"/>
        <w:numPr>
          <w:ilvl w:val="0"/>
          <w:numId w:val="40"/>
        </w:numPr>
        <w:autoSpaceDE w:val="0"/>
        <w:autoSpaceDN w:val="0"/>
        <w:adjustRightInd w:val="0"/>
        <w:spacing w:line="360" w:lineRule="auto"/>
        <w:jc w:val="both"/>
        <w:rPr>
          <w:rFonts w:ascii="Palatino Linotype" w:hAnsi="Palatino Linotype" w:cs="Arial"/>
        </w:rPr>
      </w:pPr>
      <w:r w:rsidRPr="000E5506">
        <w:rPr>
          <w:rFonts w:ascii="Palatino Linotype" w:hAnsi="Palatino Linotype" w:cs="Arial"/>
        </w:rPr>
        <w:t xml:space="preserve">La </w:t>
      </w:r>
      <w:r w:rsidR="00B44A69" w:rsidRPr="000E5506">
        <w:rPr>
          <w:rFonts w:ascii="Palatino Linotype" w:hAnsi="Palatino Linotype" w:cs="Arial"/>
        </w:rPr>
        <w:t>Póliza de responsabilidad civil.</w:t>
      </w:r>
    </w:p>
    <w:p w14:paraId="62CC0F31" w14:textId="77777777" w:rsidR="0032391D" w:rsidRPr="000E5506" w:rsidRDefault="0032391D" w:rsidP="00220D90">
      <w:pPr>
        <w:pStyle w:val="Sinespaciado"/>
        <w:spacing w:line="360" w:lineRule="auto"/>
        <w:jc w:val="both"/>
        <w:rPr>
          <w:sz w:val="14"/>
          <w:szCs w:val="14"/>
          <w:lang w:val="es-ES" w:eastAsia="es-ES"/>
        </w:rPr>
      </w:pPr>
    </w:p>
    <w:p w14:paraId="20241670" w14:textId="496FBF3D" w:rsidR="00A138BC" w:rsidRPr="000E5506" w:rsidRDefault="00A138BC" w:rsidP="00220D90">
      <w:pPr>
        <w:autoSpaceDE w:val="0"/>
        <w:autoSpaceDN w:val="0"/>
        <w:adjustRightInd w:val="0"/>
        <w:spacing w:after="0" w:line="240" w:lineRule="auto"/>
        <w:ind w:left="284" w:right="190"/>
        <w:jc w:val="both"/>
        <w:rPr>
          <w:rFonts w:ascii="Palatino Linotype" w:eastAsia="Times New Roman" w:hAnsi="Palatino Linotype" w:cs="Tahoma"/>
          <w:i/>
          <w:lang w:val="es-ES" w:eastAsia="es-ES"/>
        </w:rPr>
      </w:pPr>
      <w:r w:rsidRPr="000E5506">
        <w:rPr>
          <w:rFonts w:ascii="Palatino Linotype" w:eastAsia="Times New Roman" w:hAnsi="Palatino Linotype" w:cs="Tahoma"/>
          <w:i/>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0E5506">
        <w:rPr>
          <w:rFonts w:ascii="Palatino Linotype" w:eastAsia="Times New Roman" w:hAnsi="Palatino Linotype" w:cs="Tahoma"/>
          <w:b/>
          <w:i/>
          <w:lang w:val="es-ES" w:eastAsia="es-ES"/>
        </w:rPr>
        <w:t>Recurrente</w:t>
      </w:r>
      <w:r w:rsidRPr="000E5506">
        <w:rPr>
          <w:rFonts w:ascii="Palatino Linotype" w:eastAsia="Times New Roman" w:hAnsi="Palatino Linotype" w:cs="Tahoma"/>
          <w:i/>
          <w:lang w:val="es-ES" w:eastAsia="es-ES"/>
        </w:rPr>
        <w:t>.</w:t>
      </w:r>
    </w:p>
    <w:p w14:paraId="73211CC3" w14:textId="77777777" w:rsidR="00CF6844" w:rsidRPr="000E5506" w:rsidRDefault="00CF6844" w:rsidP="00A138BC">
      <w:pPr>
        <w:pStyle w:val="Sinespaciado"/>
        <w:spacing w:line="360" w:lineRule="auto"/>
        <w:jc w:val="both"/>
        <w:rPr>
          <w:lang w:val="es-ES" w:eastAsia="es-ES"/>
        </w:rPr>
      </w:pPr>
    </w:p>
    <w:p w14:paraId="62FFED81" w14:textId="50C83E92" w:rsidR="006D1027" w:rsidRPr="000E5506" w:rsidRDefault="00CF6844" w:rsidP="006D1027">
      <w:pPr>
        <w:spacing w:after="0" w:line="360" w:lineRule="auto"/>
        <w:jc w:val="both"/>
        <w:rPr>
          <w:rFonts w:ascii="Palatino Linotype" w:hAnsi="Palatino Linotype"/>
          <w:sz w:val="24"/>
        </w:rPr>
      </w:pPr>
      <w:r w:rsidRPr="000E5506">
        <w:rPr>
          <w:rFonts w:ascii="Palatino Linotype" w:hAnsi="Palatino Linotype" w:cs="Arial"/>
          <w:b/>
          <w:sz w:val="28"/>
          <w:szCs w:val="28"/>
          <w:lang w:val="es-ES_tradnl"/>
        </w:rPr>
        <w:t>TERCERO</w:t>
      </w:r>
      <w:r w:rsidR="006D1027" w:rsidRPr="000E5506">
        <w:rPr>
          <w:rFonts w:ascii="Palatino Linotype" w:hAnsi="Palatino Linotype" w:cs="Arial"/>
          <w:b/>
          <w:sz w:val="28"/>
          <w:szCs w:val="28"/>
          <w:lang w:val="es-ES_tradnl"/>
        </w:rPr>
        <w:t xml:space="preserve">. </w:t>
      </w:r>
      <w:r w:rsidR="006D1027" w:rsidRPr="000E5506">
        <w:rPr>
          <w:rFonts w:ascii="Palatino Linotype" w:hAnsi="Palatino Linotype"/>
          <w:b/>
          <w:sz w:val="24"/>
        </w:rPr>
        <w:t>NOTIFÍQUESE</w:t>
      </w:r>
      <w:r w:rsidR="006D1027" w:rsidRPr="000E5506">
        <w:rPr>
          <w:rFonts w:ascii="Palatino Linotype" w:hAnsi="Palatino Linotype"/>
          <w:sz w:val="24"/>
        </w:rPr>
        <w:t xml:space="preserve"> la presente resolución a través del</w:t>
      </w:r>
      <w:r w:rsidR="006D1027" w:rsidRPr="000E5506">
        <w:rPr>
          <w:rFonts w:ascii="Palatino Linotype" w:hAnsi="Palatino Linotype"/>
          <w:b/>
          <w:sz w:val="24"/>
        </w:rPr>
        <w:t xml:space="preserve"> </w:t>
      </w:r>
      <w:r w:rsidR="006D1027" w:rsidRPr="000E5506">
        <w:rPr>
          <w:rFonts w:ascii="Palatino Linotype" w:hAnsi="Palatino Linotype"/>
          <w:sz w:val="24"/>
        </w:rPr>
        <w:t xml:space="preserve">Sistema de Acceso a la Información Mexiquense </w:t>
      </w:r>
      <w:r w:rsidR="006D1027" w:rsidRPr="000E5506">
        <w:rPr>
          <w:rFonts w:ascii="Palatino Linotype" w:hAnsi="Palatino Linotype"/>
          <w:b/>
          <w:sz w:val="24"/>
        </w:rPr>
        <w:t xml:space="preserve">(SAIMEX) </w:t>
      </w:r>
      <w:r w:rsidR="006D1027" w:rsidRPr="000E5506">
        <w:rPr>
          <w:rFonts w:ascii="Palatino Linotype" w:hAnsi="Palatino Linotype"/>
          <w:sz w:val="24"/>
        </w:rPr>
        <w:t xml:space="preserve">al Titular de la Unidad de Transparencia del </w:t>
      </w:r>
      <w:r w:rsidR="006D1027" w:rsidRPr="000E5506">
        <w:rPr>
          <w:rFonts w:ascii="Palatino Linotype" w:hAnsi="Palatino Linotype"/>
          <w:b/>
          <w:sz w:val="24"/>
        </w:rPr>
        <w:t>Sujeto Obligado</w:t>
      </w:r>
      <w:r w:rsidR="006D1027" w:rsidRPr="000E5506">
        <w:rPr>
          <w:rFonts w:ascii="Palatino Linotype" w:hAnsi="Palatino Linotype"/>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006D1027" w:rsidRPr="000E5506">
        <w:rPr>
          <w:rFonts w:ascii="Palatino Linotype" w:hAnsi="Palatino Linotype"/>
          <w:sz w:val="24"/>
        </w:rPr>
        <w:lastRenderedPageBreak/>
        <w:t>y 216 de la Ley  de Transparencia y Acceso a la Información Pública del Estado de México y Municipios.</w:t>
      </w:r>
    </w:p>
    <w:p w14:paraId="0F4748E8" w14:textId="77777777" w:rsidR="006D1027" w:rsidRPr="000E5506" w:rsidRDefault="006D1027" w:rsidP="006D1027">
      <w:pPr>
        <w:spacing w:after="0" w:line="360" w:lineRule="auto"/>
        <w:jc w:val="both"/>
        <w:rPr>
          <w:rFonts w:ascii="Palatino Linotype" w:hAnsi="Palatino Linotype"/>
          <w:sz w:val="24"/>
        </w:rPr>
      </w:pPr>
    </w:p>
    <w:p w14:paraId="3CC493FE" w14:textId="4E221A72" w:rsidR="006D1027" w:rsidRPr="000E5506" w:rsidRDefault="00CF6844" w:rsidP="006D1027">
      <w:pPr>
        <w:spacing w:after="0" w:line="360" w:lineRule="auto"/>
        <w:jc w:val="both"/>
        <w:rPr>
          <w:rFonts w:ascii="Palatino Linotype" w:hAnsi="Palatino Linotype" w:cs="Arial"/>
          <w:bCs/>
          <w:sz w:val="24"/>
          <w:szCs w:val="28"/>
        </w:rPr>
      </w:pPr>
      <w:r w:rsidRPr="000E5506">
        <w:rPr>
          <w:rFonts w:ascii="Palatino Linotype" w:hAnsi="Palatino Linotype" w:cs="Arial"/>
          <w:b/>
          <w:bCs/>
          <w:sz w:val="28"/>
          <w:szCs w:val="28"/>
        </w:rPr>
        <w:t>CUARTO</w:t>
      </w:r>
      <w:r w:rsidR="006D1027" w:rsidRPr="000E5506">
        <w:rPr>
          <w:rFonts w:ascii="Palatino Linotype" w:hAnsi="Palatino Linotype" w:cs="Arial"/>
          <w:b/>
          <w:bCs/>
          <w:sz w:val="28"/>
          <w:szCs w:val="28"/>
        </w:rPr>
        <w:t>.</w:t>
      </w:r>
      <w:r w:rsidR="006D1027" w:rsidRPr="000E5506">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6D1027" w:rsidRPr="000E5506">
        <w:rPr>
          <w:rFonts w:ascii="Palatino Linotype" w:hAnsi="Palatino Linotype" w:cs="Arial"/>
          <w:b/>
          <w:bCs/>
          <w:sz w:val="24"/>
          <w:szCs w:val="28"/>
        </w:rPr>
        <w:t>Sujeto Obligado</w:t>
      </w:r>
      <w:r w:rsidR="006D1027" w:rsidRPr="000E5506">
        <w:rPr>
          <w:rFonts w:ascii="Palatino Linotype" w:hAnsi="Palatino Linotype" w:cs="Arial"/>
          <w:bCs/>
          <w:sz w:val="24"/>
          <w:szCs w:val="28"/>
        </w:rPr>
        <w:t xml:space="preserve"> de manera fundada y motivada, podrá solicitar una ampliación de plazo para el cumplimiento de la presente resolución.</w:t>
      </w:r>
    </w:p>
    <w:p w14:paraId="5C6E5B73" w14:textId="77777777" w:rsidR="006D1027" w:rsidRPr="000E5506" w:rsidRDefault="006D1027" w:rsidP="006D1027">
      <w:pPr>
        <w:spacing w:after="0" w:line="360" w:lineRule="auto"/>
        <w:jc w:val="both"/>
        <w:rPr>
          <w:rFonts w:ascii="Palatino Linotype" w:hAnsi="Palatino Linotype" w:cs="Arial"/>
          <w:bCs/>
          <w:sz w:val="24"/>
          <w:szCs w:val="28"/>
        </w:rPr>
      </w:pPr>
    </w:p>
    <w:p w14:paraId="7ABF1E2F" w14:textId="1660B1D5" w:rsidR="0040191D" w:rsidRPr="000E5506" w:rsidRDefault="00CF6844" w:rsidP="0040191D">
      <w:pPr>
        <w:autoSpaceDE w:val="0"/>
        <w:autoSpaceDN w:val="0"/>
        <w:adjustRightInd w:val="0"/>
        <w:spacing w:after="0" w:line="360" w:lineRule="auto"/>
        <w:ind w:right="49"/>
        <w:jc w:val="both"/>
        <w:rPr>
          <w:rFonts w:ascii="Palatino Linotype" w:hAnsi="Palatino Linotype" w:cs="Arial"/>
          <w:sz w:val="24"/>
          <w:szCs w:val="24"/>
          <w:lang w:val="es-ES"/>
        </w:rPr>
      </w:pPr>
      <w:r w:rsidRPr="000E5506">
        <w:rPr>
          <w:rFonts w:ascii="Palatino Linotype" w:hAnsi="Palatino Linotype" w:cs="Arial"/>
          <w:b/>
          <w:sz w:val="28"/>
          <w:szCs w:val="28"/>
        </w:rPr>
        <w:t>QUINTO</w:t>
      </w:r>
      <w:r w:rsidR="006D1027" w:rsidRPr="000E5506">
        <w:rPr>
          <w:rFonts w:ascii="Palatino Linotype" w:hAnsi="Palatino Linotype" w:cs="Arial"/>
          <w:b/>
          <w:sz w:val="28"/>
          <w:szCs w:val="28"/>
        </w:rPr>
        <w:t>.</w:t>
      </w:r>
      <w:r w:rsidR="006D1027" w:rsidRPr="000E5506">
        <w:rPr>
          <w:rFonts w:ascii="Palatino Linotype" w:hAnsi="Palatino Linotype" w:cs="Arial"/>
          <w:b/>
          <w:sz w:val="24"/>
          <w:szCs w:val="24"/>
        </w:rPr>
        <w:t xml:space="preserve"> NOTIFÍQUESE</w:t>
      </w:r>
      <w:r w:rsidR="006D1027" w:rsidRPr="000E5506">
        <w:rPr>
          <w:rFonts w:ascii="Palatino Linotype" w:hAnsi="Palatino Linotype" w:cs="Arial"/>
          <w:sz w:val="24"/>
          <w:szCs w:val="24"/>
        </w:rPr>
        <w:t xml:space="preserve"> a la parte </w:t>
      </w:r>
      <w:r w:rsidR="006D1027" w:rsidRPr="000E5506">
        <w:rPr>
          <w:rFonts w:ascii="Palatino Linotype" w:hAnsi="Palatino Linotype" w:cs="Arial"/>
          <w:b/>
          <w:sz w:val="24"/>
          <w:szCs w:val="24"/>
        </w:rPr>
        <w:t>Recurrente</w:t>
      </w:r>
      <w:r w:rsidR="006D1027" w:rsidRPr="000E5506">
        <w:rPr>
          <w:rFonts w:ascii="Palatino Linotype" w:hAnsi="Palatino Linotype" w:cs="Arial"/>
          <w:sz w:val="24"/>
          <w:szCs w:val="24"/>
        </w:rPr>
        <w:t xml:space="preserve"> la presente resolución a través del </w:t>
      </w:r>
      <w:r w:rsidR="006D1027" w:rsidRPr="000E5506">
        <w:rPr>
          <w:rFonts w:ascii="Palatino Linotype" w:hAnsi="Palatino Linotype" w:cs="Arial"/>
          <w:sz w:val="24"/>
        </w:rPr>
        <w:t xml:space="preserve">Sistema de Acceso a la Información Mexiquense </w:t>
      </w:r>
      <w:r w:rsidR="006D1027" w:rsidRPr="000E5506">
        <w:rPr>
          <w:rFonts w:ascii="Palatino Linotype" w:hAnsi="Palatino Linotype" w:cs="Arial"/>
          <w:b/>
          <w:sz w:val="24"/>
        </w:rPr>
        <w:t>(SAIMEX)</w:t>
      </w:r>
      <w:r w:rsidR="006D1027" w:rsidRPr="000E5506">
        <w:rPr>
          <w:rFonts w:ascii="Palatino Linotype" w:hAnsi="Palatino Linotype" w:cs="Arial"/>
          <w:b/>
          <w:sz w:val="24"/>
          <w:szCs w:val="24"/>
        </w:rPr>
        <w:t>,</w:t>
      </w:r>
      <w:r w:rsidR="006D1027" w:rsidRPr="000E550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6D1027" w:rsidRPr="000E5506">
        <w:rPr>
          <w:rFonts w:ascii="Palatino Linotype" w:hAnsi="Palatino Linotype" w:cs="Arial"/>
          <w:sz w:val="24"/>
          <w:szCs w:val="24"/>
          <w:lang w:val="es-ES"/>
        </w:rPr>
        <w:t>.</w:t>
      </w:r>
    </w:p>
    <w:p w14:paraId="4D8A1569" w14:textId="77777777" w:rsidR="006D1027" w:rsidRPr="000E5506" w:rsidRDefault="006D1027" w:rsidP="0040191D">
      <w:pPr>
        <w:autoSpaceDE w:val="0"/>
        <w:autoSpaceDN w:val="0"/>
        <w:adjustRightInd w:val="0"/>
        <w:spacing w:after="0" w:line="360" w:lineRule="auto"/>
        <w:ind w:right="49"/>
        <w:jc w:val="both"/>
        <w:rPr>
          <w:rFonts w:ascii="Palatino Linotype" w:hAnsi="Palatino Linotype" w:cs="Arial"/>
          <w:sz w:val="24"/>
          <w:szCs w:val="24"/>
          <w:lang w:val="es-ES"/>
        </w:rPr>
      </w:pPr>
    </w:p>
    <w:p w14:paraId="3BA61198" w14:textId="0CAF0120" w:rsidR="004E74D8" w:rsidRPr="009030C4" w:rsidRDefault="000E5506" w:rsidP="008D4945">
      <w:pPr>
        <w:autoSpaceDE w:val="0"/>
        <w:autoSpaceDN w:val="0"/>
        <w:adjustRightInd w:val="0"/>
        <w:spacing w:after="0" w:line="360" w:lineRule="auto"/>
        <w:ind w:right="49"/>
        <w:jc w:val="both"/>
        <w:rPr>
          <w:rFonts w:ascii="Palatino Linotype" w:hAnsi="Palatino Linotype" w:cs="Arial"/>
        </w:rPr>
      </w:pPr>
      <w:r w:rsidRPr="000E5506">
        <w:rPr>
          <w:rFonts w:ascii="Palatino Linotype" w:eastAsia="Times New Roman" w:hAnsi="Palatino Linotype" w:cs="Times New Roman"/>
          <w:sz w:val="24"/>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8D4945" w:rsidRPr="000E5506">
        <w:rPr>
          <w:rFonts w:ascii="Palatino Linotype" w:hAnsi="Palatino Linotype" w:cs="Arial"/>
          <w:sz w:val="24"/>
          <w:szCs w:val="24"/>
        </w:rPr>
        <w:t>.</w:t>
      </w:r>
      <w:r w:rsidR="00220D90" w:rsidRPr="00B44A69">
        <w:rPr>
          <w:rFonts w:ascii="Palatino Linotype" w:hAnsi="Palatino Linotype" w:cs="Arial"/>
          <w:sz w:val="18"/>
          <w:szCs w:val="24"/>
        </w:rPr>
        <w:t xml:space="preserve"> </w:t>
      </w:r>
    </w:p>
    <w:p w14:paraId="6CFDC570" w14:textId="77777777" w:rsidR="004E74D8" w:rsidRPr="009030C4" w:rsidRDefault="004E74D8" w:rsidP="004E74D8">
      <w:pPr>
        <w:spacing w:after="0" w:line="360" w:lineRule="auto"/>
        <w:jc w:val="both"/>
        <w:rPr>
          <w:rFonts w:ascii="Palatino Linotype" w:hAnsi="Palatino Linotype" w:cs="Arial"/>
          <w:sz w:val="24"/>
          <w:szCs w:val="24"/>
        </w:rPr>
      </w:pPr>
    </w:p>
    <w:p w14:paraId="5E8C55FE" w14:textId="77777777" w:rsidR="004E74D8" w:rsidRPr="009030C4" w:rsidRDefault="004E74D8" w:rsidP="004E74D8">
      <w:pPr>
        <w:spacing w:after="0" w:line="360" w:lineRule="auto"/>
        <w:jc w:val="both"/>
        <w:rPr>
          <w:rFonts w:ascii="Palatino Linotype" w:hAnsi="Palatino Linotype" w:cs="Arial"/>
          <w:sz w:val="24"/>
          <w:szCs w:val="24"/>
        </w:rPr>
      </w:pPr>
    </w:p>
    <w:p w14:paraId="48CBD84D" w14:textId="77777777" w:rsidR="004E74D8" w:rsidRPr="009030C4" w:rsidRDefault="004E74D8" w:rsidP="004E74D8">
      <w:pPr>
        <w:spacing w:after="0" w:line="360" w:lineRule="auto"/>
        <w:jc w:val="both"/>
        <w:rPr>
          <w:rFonts w:ascii="Palatino Linotype" w:hAnsi="Palatino Linotype" w:cs="Arial"/>
          <w:sz w:val="24"/>
          <w:szCs w:val="24"/>
        </w:rPr>
      </w:pPr>
    </w:p>
    <w:p w14:paraId="4F35D272" w14:textId="77777777" w:rsidR="004E74D8" w:rsidRPr="009030C4"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9030C4"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9030C4"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9030C4"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9030C4" w:rsidRDefault="004E74D8" w:rsidP="004E74D8">
      <w:pPr>
        <w:autoSpaceDE w:val="0"/>
        <w:autoSpaceDN w:val="0"/>
        <w:adjustRightInd w:val="0"/>
        <w:spacing w:after="0" w:line="480" w:lineRule="auto"/>
        <w:jc w:val="both"/>
        <w:rPr>
          <w:rFonts w:ascii="Palatino Linotype" w:hAnsi="Palatino Linotype"/>
        </w:rPr>
      </w:pPr>
      <w:r w:rsidRPr="009030C4">
        <w:rPr>
          <w:rFonts w:ascii="Palatino Linotype" w:hAnsi="Palatino Linotype" w:cs="Arial"/>
          <w:sz w:val="24"/>
          <w:szCs w:val="24"/>
        </w:rPr>
        <w:t xml:space="preserve"> </w:t>
      </w:r>
    </w:p>
    <w:p w14:paraId="1D16A044" w14:textId="77777777" w:rsidR="004E74D8" w:rsidRPr="009030C4" w:rsidRDefault="004E74D8" w:rsidP="004E74D8">
      <w:pPr>
        <w:spacing w:after="0" w:line="480" w:lineRule="auto"/>
        <w:jc w:val="both"/>
        <w:rPr>
          <w:rFonts w:ascii="Palatino Linotype" w:hAnsi="Palatino Linotype"/>
        </w:rPr>
      </w:pPr>
    </w:p>
    <w:p w14:paraId="080F248D" w14:textId="77777777" w:rsidR="004E74D8" w:rsidRPr="009030C4" w:rsidRDefault="004E74D8" w:rsidP="00A17CAB">
      <w:pPr>
        <w:spacing w:after="0" w:line="480" w:lineRule="auto"/>
        <w:rPr>
          <w:rFonts w:ascii="Palatino Linotype" w:hAnsi="Palatino Linotype"/>
        </w:rPr>
      </w:pPr>
    </w:p>
    <w:p w14:paraId="47F9F284" w14:textId="77777777" w:rsidR="004E74D8" w:rsidRPr="009030C4" w:rsidRDefault="004E74D8" w:rsidP="004E74D8">
      <w:pPr>
        <w:spacing w:after="0" w:line="480" w:lineRule="auto"/>
        <w:rPr>
          <w:rFonts w:ascii="Palatino Linotype" w:hAnsi="Palatino Linotype"/>
          <w:b/>
        </w:rPr>
      </w:pPr>
    </w:p>
    <w:p w14:paraId="5AD97BC2" w14:textId="77777777" w:rsidR="004E74D8" w:rsidRPr="009030C4" w:rsidRDefault="004E74D8" w:rsidP="004E74D8">
      <w:pPr>
        <w:spacing w:after="0" w:line="480" w:lineRule="auto"/>
        <w:rPr>
          <w:rFonts w:ascii="Palatino Linotype" w:hAnsi="Palatino Linotype"/>
          <w:b/>
        </w:rPr>
      </w:pPr>
    </w:p>
    <w:p w14:paraId="646D9817" w14:textId="77777777" w:rsidR="004E74D8" w:rsidRPr="009030C4" w:rsidRDefault="004E74D8" w:rsidP="004E74D8">
      <w:pPr>
        <w:spacing w:after="0" w:line="480" w:lineRule="auto"/>
        <w:rPr>
          <w:rFonts w:ascii="Palatino Linotype" w:hAnsi="Palatino Linotype"/>
          <w:b/>
        </w:rPr>
      </w:pPr>
    </w:p>
    <w:p w14:paraId="5B70A9A8" w14:textId="77777777" w:rsidR="004E74D8" w:rsidRPr="009030C4" w:rsidRDefault="004E74D8" w:rsidP="004E74D8">
      <w:pPr>
        <w:spacing w:after="0" w:line="480" w:lineRule="auto"/>
        <w:rPr>
          <w:rFonts w:ascii="Palatino Linotype" w:hAnsi="Palatino Linotype"/>
          <w:b/>
        </w:rPr>
      </w:pPr>
    </w:p>
    <w:p w14:paraId="0C29832D" w14:textId="77777777" w:rsidR="004E74D8" w:rsidRPr="009030C4" w:rsidRDefault="004E74D8" w:rsidP="004E74D8">
      <w:pPr>
        <w:spacing w:after="0" w:line="480" w:lineRule="auto"/>
        <w:rPr>
          <w:rFonts w:ascii="Palatino Linotype" w:hAnsi="Palatino Linotype"/>
          <w:b/>
        </w:rPr>
      </w:pPr>
    </w:p>
    <w:p w14:paraId="2F9A1377" w14:textId="77777777" w:rsidR="004E74D8" w:rsidRPr="009030C4" w:rsidRDefault="004E74D8" w:rsidP="004E74D8">
      <w:pPr>
        <w:spacing w:after="0" w:line="480" w:lineRule="auto"/>
        <w:rPr>
          <w:rFonts w:ascii="Palatino Linotype" w:hAnsi="Palatino Linotype"/>
          <w:b/>
        </w:rPr>
      </w:pPr>
    </w:p>
    <w:p w14:paraId="44E985F6" w14:textId="77777777" w:rsidR="004E74D8" w:rsidRPr="009030C4" w:rsidRDefault="004E74D8" w:rsidP="004E74D8">
      <w:pPr>
        <w:spacing w:after="0" w:line="480" w:lineRule="auto"/>
        <w:rPr>
          <w:rFonts w:ascii="Palatino Linotype" w:hAnsi="Palatino Linotype"/>
          <w:b/>
        </w:rPr>
      </w:pPr>
    </w:p>
    <w:p w14:paraId="4DC4FE04" w14:textId="77777777" w:rsidR="004E74D8" w:rsidRPr="009030C4" w:rsidRDefault="004E74D8" w:rsidP="004E74D8">
      <w:pPr>
        <w:tabs>
          <w:tab w:val="left" w:pos="709"/>
        </w:tabs>
        <w:spacing w:after="0" w:line="360" w:lineRule="auto"/>
        <w:ind w:right="51"/>
        <w:jc w:val="both"/>
        <w:rPr>
          <w:rFonts w:ascii="Palatino Linotype" w:hAnsi="Palatino Linotype"/>
          <w:sz w:val="24"/>
          <w:szCs w:val="24"/>
        </w:rPr>
      </w:pPr>
    </w:p>
    <w:p w14:paraId="1B9E63F0" w14:textId="43BE6C88" w:rsidR="00BF3F7B" w:rsidRPr="009030C4" w:rsidRDefault="00BF3F7B" w:rsidP="000B2724">
      <w:pPr>
        <w:spacing w:after="0"/>
      </w:pPr>
    </w:p>
    <w:sectPr w:rsidR="00BF3F7B" w:rsidRPr="009030C4" w:rsidSect="003169A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7E8E1" w14:textId="77777777" w:rsidR="00485849" w:rsidRDefault="00485849" w:rsidP="00BF3F7B">
      <w:pPr>
        <w:spacing w:after="0" w:line="240" w:lineRule="auto"/>
      </w:pPr>
      <w:r>
        <w:separator/>
      </w:r>
    </w:p>
  </w:endnote>
  <w:endnote w:type="continuationSeparator" w:id="0">
    <w:p w14:paraId="6DB06275" w14:textId="77777777" w:rsidR="00485849" w:rsidRDefault="00485849"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226C2" w:rsidRPr="002D6DD8" w:rsidRDefault="007226C2"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3464">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43464">
              <w:rPr>
                <w:rFonts w:ascii="Palatino Linotype" w:hAnsi="Palatino Linotype"/>
                <w:bCs/>
                <w:noProof/>
                <w:sz w:val="20"/>
              </w:rPr>
              <w:t>59</w:t>
            </w:r>
            <w:r>
              <w:rPr>
                <w:rFonts w:ascii="Palatino Linotype" w:hAnsi="Palatino Linotype"/>
                <w:bCs/>
                <w:noProof/>
                <w:sz w:val="20"/>
              </w:rPr>
              <w:fldChar w:fldCharType="end"/>
            </w:r>
          </w:p>
        </w:sdtContent>
      </w:sdt>
    </w:sdtContent>
  </w:sdt>
  <w:p w14:paraId="5DF78F98" w14:textId="77777777" w:rsidR="007226C2" w:rsidRDefault="007226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7226C2" w:rsidRPr="000B69FA" w:rsidRDefault="007226C2"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34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43464">
      <w:rPr>
        <w:rFonts w:ascii="Palatino Linotype" w:hAnsi="Palatino Linotype"/>
        <w:bCs/>
        <w:noProof/>
        <w:sz w:val="20"/>
      </w:rPr>
      <w:t>59</w:t>
    </w:r>
    <w:r>
      <w:rPr>
        <w:rFonts w:ascii="Palatino Linotype" w:hAnsi="Palatino Linotype"/>
        <w:bCs/>
        <w:noProof/>
        <w:sz w:val="20"/>
      </w:rPr>
      <w:fldChar w:fldCharType="end"/>
    </w:r>
  </w:p>
  <w:p w14:paraId="259F31C4" w14:textId="77777777" w:rsidR="007226C2" w:rsidRDefault="007226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72A2F" w14:textId="77777777" w:rsidR="00485849" w:rsidRDefault="00485849" w:rsidP="00BF3F7B">
      <w:pPr>
        <w:spacing w:after="0" w:line="240" w:lineRule="auto"/>
      </w:pPr>
      <w:r>
        <w:separator/>
      </w:r>
    </w:p>
  </w:footnote>
  <w:footnote w:type="continuationSeparator" w:id="0">
    <w:p w14:paraId="2295DE43" w14:textId="77777777" w:rsidR="00485849" w:rsidRDefault="00485849" w:rsidP="00BF3F7B">
      <w:pPr>
        <w:spacing w:after="0" w:line="240" w:lineRule="auto"/>
      </w:pPr>
      <w:r>
        <w:continuationSeparator/>
      </w:r>
    </w:p>
  </w:footnote>
  <w:footnote w:id="1">
    <w:p w14:paraId="22C37593" w14:textId="77777777" w:rsidR="007226C2" w:rsidRPr="00F07740" w:rsidRDefault="007226C2"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226C2" w:rsidRPr="00946E1F" w:rsidRDefault="007226C2"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226C2" w14:paraId="7B7D63E7" w14:textId="77777777" w:rsidTr="00823563">
      <w:trPr>
        <w:trHeight w:val="227"/>
      </w:trPr>
      <w:tc>
        <w:tcPr>
          <w:tcW w:w="5916" w:type="dxa"/>
          <w:hideMark/>
        </w:tcPr>
        <w:p w14:paraId="34F4937E" w14:textId="2161835F" w:rsidR="007226C2" w:rsidRPr="00641471" w:rsidRDefault="007226C2"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58DF6067" w:rsidR="007226C2" w:rsidRPr="007052BF" w:rsidRDefault="00BD5D54" w:rsidP="00282070">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13315</w:t>
          </w:r>
          <w:r w:rsidR="007226C2" w:rsidRPr="007052BF">
            <w:rPr>
              <w:rFonts w:ascii="Palatino Linotype" w:hAnsi="Palatino Linotype" w:cs="Arial"/>
              <w:bCs/>
              <w:sz w:val="24"/>
              <w:lang w:eastAsia="es-MX"/>
            </w:rPr>
            <w:t>/INFOEM/IP/RR/202</w:t>
          </w:r>
          <w:r w:rsidR="007226C2">
            <w:rPr>
              <w:rFonts w:ascii="Palatino Linotype" w:hAnsi="Palatino Linotype" w:cs="Arial"/>
              <w:bCs/>
              <w:sz w:val="24"/>
              <w:lang w:eastAsia="es-MX"/>
            </w:rPr>
            <w:t>5 y acumulado</w:t>
          </w:r>
        </w:p>
      </w:tc>
    </w:tr>
    <w:tr w:rsidR="007226C2" w14:paraId="1EA8D7CD" w14:textId="77777777" w:rsidTr="00823563">
      <w:trPr>
        <w:trHeight w:val="242"/>
      </w:trPr>
      <w:tc>
        <w:tcPr>
          <w:tcW w:w="5916" w:type="dxa"/>
          <w:hideMark/>
        </w:tcPr>
        <w:p w14:paraId="146E9FB0" w14:textId="77777777" w:rsidR="007226C2" w:rsidRPr="00641471" w:rsidRDefault="007226C2"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FDA24D7" w:rsidR="007226C2" w:rsidRPr="007052BF" w:rsidRDefault="00BD5D54" w:rsidP="005462CE">
          <w:pPr>
            <w:spacing w:after="0" w:line="240" w:lineRule="auto"/>
            <w:jc w:val="right"/>
            <w:rPr>
              <w:rFonts w:ascii="Palatino Linotype" w:hAnsi="Palatino Linotype" w:cs="Arial"/>
              <w:szCs w:val="20"/>
            </w:rPr>
          </w:pPr>
          <w:r w:rsidRPr="00BD5D54">
            <w:rPr>
              <w:rFonts w:ascii="Palatino Linotype" w:hAnsi="Palatino Linotype" w:cs="Arial"/>
              <w:szCs w:val="20"/>
            </w:rPr>
            <w:t>Ayuntamiento de Tepotzotlán</w:t>
          </w:r>
        </w:p>
      </w:tc>
    </w:tr>
    <w:tr w:rsidR="007226C2" w14:paraId="7430744A" w14:textId="77777777" w:rsidTr="00823563">
      <w:trPr>
        <w:trHeight w:val="342"/>
      </w:trPr>
      <w:tc>
        <w:tcPr>
          <w:tcW w:w="5916" w:type="dxa"/>
          <w:hideMark/>
        </w:tcPr>
        <w:p w14:paraId="4E6B89F2" w14:textId="77777777" w:rsidR="007226C2" w:rsidRPr="00641471" w:rsidRDefault="007226C2"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226C2" w:rsidRPr="007052BF" w:rsidRDefault="007226C2"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7226C2" w14:paraId="793CC298" w14:textId="77777777" w:rsidTr="00823563">
      <w:trPr>
        <w:trHeight w:val="342"/>
      </w:trPr>
      <w:tc>
        <w:tcPr>
          <w:tcW w:w="5916" w:type="dxa"/>
        </w:tcPr>
        <w:p w14:paraId="72F6CBE7" w14:textId="77777777" w:rsidR="007226C2" w:rsidRPr="00641471" w:rsidRDefault="007226C2"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7226C2" w:rsidRPr="007052BF" w:rsidRDefault="007226C2" w:rsidP="00E77FB5">
          <w:pPr>
            <w:spacing w:after="0" w:line="240" w:lineRule="auto"/>
            <w:ind w:left="-486" w:firstLine="567"/>
            <w:jc w:val="right"/>
            <w:rPr>
              <w:rFonts w:ascii="Palatino Linotype" w:hAnsi="Palatino Linotype" w:cs="Arial"/>
              <w:szCs w:val="20"/>
            </w:rPr>
          </w:pPr>
        </w:p>
      </w:tc>
    </w:tr>
  </w:tbl>
  <w:p w14:paraId="01EA3E76" w14:textId="66C4A7AD" w:rsidR="007226C2" w:rsidRPr="00AE046A" w:rsidRDefault="007226C2"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1985"/>
      <w:gridCol w:w="5244"/>
    </w:tblGrid>
    <w:tr w:rsidR="007226C2" w14:paraId="58899F3B" w14:textId="77777777" w:rsidTr="00823563">
      <w:trPr>
        <w:trHeight w:val="227"/>
      </w:trPr>
      <w:tc>
        <w:tcPr>
          <w:tcW w:w="1985" w:type="dxa"/>
          <w:vAlign w:val="center"/>
          <w:hideMark/>
        </w:tcPr>
        <w:p w14:paraId="00067C09" w14:textId="77777777" w:rsidR="007226C2" w:rsidRPr="00823563" w:rsidRDefault="007226C2" w:rsidP="00823563">
          <w:pPr>
            <w:spacing w:after="0" w:line="240" w:lineRule="auto"/>
            <w:jc w:val="right"/>
            <w:rPr>
              <w:rFonts w:ascii="Palatino Linotype" w:hAnsi="Palatino Linotype" w:cs="Arial"/>
              <w:b/>
              <w:bCs/>
            </w:rPr>
          </w:pPr>
          <w:r w:rsidRPr="00823563">
            <w:rPr>
              <w:rFonts w:ascii="Palatino Linotype" w:hAnsi="Palatino Linotype" w:cs="Arial"/>
              <w:b/>
              <w:bCs/>
            </w:rPr>
            <w:t>Recurso de Revisión N°:</w:t>
          </w:r>
        </w:p>
      </w:tc>
      <w:tc>
        <w:tcPr>
          <w:tcW w:w="5244" w:type="dxa"/>
          <w:hideMark/>
        </w:tcPr>
        <w:p w14:paraId="3C1E60AA" w14:textId="450D05DC" w:rsidR="00823563" w:rsidRDefault="00BD5D54" w:rsidP="00282070">
          <w:pPr>
            <w:spacing w:after="0" w:line="240" w:lineRule="auto"/>
            <w:ind w:left="-486" w:firstLine="1585"/>
            <w:jc w:val="right"/>
            <w:rPr>
              <w:rFonts w:ascii="Palatino Linotype" w:hAnsi="Palatino Linotype" w:cs="Arial"/>
              <w:bCs/>
              <w:lang w:eastAsia="es-MX"/>
            </w:rPr>
          </w:pPr>
          <w:r>
            <w:rPr>
              <w:rFonts w:ascii="Palatino Linotype" w:hAnsi="Palatino Linotype" w:cs="Arial"/>
              <w:bCs/>
              <w:lang w:eastAsia="es-MX"/>
            </w:rPr>
            <w:t>13315</w:t>
          </w:r>
          <w:r w:rsidR="007226C2" w:rsidRPr="00E77A29">
            <w:rPr>
              <w:rFonts w:ascii="Palatino Linotype" w:hAnsi="Palatino Linotype" w:cs="Arial"/>
              <w:bCs/>
              <w:lang w:eastAsia="es-MX"/>
            </w:rPr>
            <w:t>/INFOEM/IP/RR/202</w:t>
          </w:r>
          <w:r w:rsidR="007226C2">
            <w:rPr>
              <w:rFonts w:ascii="Palatino Linotype" w:hAnsi="Palatino Linotype" w:cs="Arial"/>
              <w:bCs/>
              <w:lang w:eastAsia="es-MX"/>
            </w:rPr>
            <w:t>5</w:t>
          </w:r>
          <w:r w:rsidR="007226C2" w:rsidRPr="00E77A29">
            <w:rPr>
              <w:rFonts w:ascii="Palatino Linotype" w:hAnsi="Palatino Linotype" w:cs="Arial"/>
              <w:bCs/>
              <w:lang w:eastAsia="es-MX"/>
            </w:rPr>
            <w:t xml:space="preserve"> y </w:t>
          </w:r>
        </w:p>
        <w:p w14:paraId="13D11E71" w14:textId="3281E441" w:rsidR="007226C2" w:rsidRPr="00E77A29" w:rsidRDefault="007226C2" w:rsidP="00282070">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acumulado</w:t>
          </w:r>
        </w:p>
      </w:tc>
    </w:tr>
    <w:tr w:rsidR="007226C2" w14:paraId="47BE7648" w14:textId="77777777" w:rsidTr="00823563">
      <w:trPr>
        <w:trHeight w:val="242"/>
      </w:trPr>
      <w:tc>
        <w:tcPr>
          <w:tcW w:w="1985" w:type="dxa"/>
          <w:vAlign w:val="center"/>
          <w:hideMark/>
        </w:tcPr>
        <w:p w14:paraId="32AE7B30" w14:textId="77777777" w:rsidR="007226C2" w:rsidRPr="00823563" w:rsidRDefault="007226C2" w:rsidP="00823563">
          <w:pPr>
            <w:spacing w:after="0" w:line="240" w:lineRule="auto"/>
            <w:jc w:val="right"/>
            <w:rPr>
              <w:rFonts w:ascii="Palatino Linotype" w:hAnsi="Palatino Linotype" w:cs="Arial"/>
              <w:b/>
              <w:bCs/>
            </w:rPr>
          </w:pPr>
          <w:r w:rsidRPr="00823563">
            <w:rPr>
              <w:rFonts w:ascii="Palatino Linotype" w:hAnsi="Palatino Linotype" w:cs="Arial"/>
              <w:b/>
              <w:bCs/>
            </w:rPr>
            <w:t>Sujeto Obligado:</w:t>
          </w:r>
        </w:p>
      </w:tc>
      <w:tc>
        <w:tcPr>
          <w:tcW w:w="5244" w:type="dxa"/>
          <w:hideMark/>
        </w:tcPr>
        <w:p w14:paraId="6AB89F26" w14:textId="3B6AA372" w:rsidR="007226C2" w:rsidRPr="00E77A29" w:rsidRDefault="00BD5D54" w:rsidP="00E77FB5">
          <w:pPr>
            <w:spacing w:after="0" w:line="240" w:lineRule="auto"/>
            <w:ind w:left="-486" w:firstLine="977"/>
            <w:jc w:val="right"/>
            <w:rPr>
              <w:rFonts w:ascii="Palatino Linotype" w:hAnsi="Palatino Linotype" w:cs="Arial"/>
            </w:rPr>
          </w:pPr>
          <w:r w:rsidRPr="00BD5D54">
            <w:rPr>
              <w:rFonts w:ascii="Palatino Linotype" w:hAnsi="Palatino Linotype" w:cs="Arial"/>
            </w:rPr>
            <w:t>Ayuntamiento de Tepotzotlán</w:t>
          </w:r>
        </w:p>
      </w:tc>
    </w:tr>
    <w:tr w:rsidR="007226C2" w14:paraId="4906683C" w14:textId="77777777" w:rsidTr="00823563">
      <w:trPr>
        <w:trHeight w:val="342"/>
      </w:trPr>
      <w:tc>
        <w:tcPr>
          <w:tcW w:w="1985" w:type="dxa"/>
          <w:vAlign w:val="center"/>
        </w:tcPr>
        <w:p w14:paraId="70CC7D32" w14:textId="07F6302D" w:rsidR="007226C2" w:rsidRPr="00823563" w:rsidRDefault="007226C2" w:rsidP="00823563">
          <w:pPr>
            <w:tabs>
              <w:tab w:val="left" w:pos="4892"/>
            </w:tabs>
            <w:spacing w:after="0" w:line="240" w:lineRule="auto"/>
            <w:jc w:val="right"/>
            <w:rPr>
              <w:rFonts w:ascii="Palatino Linotype" w:hAnsi="Palatino Linotype" w:cs="Arial"/>
              <w:b/>
              <w:bCs/>
            </w:rPr>
          </w:pPr>
          <w:r w:rsidRPr="00823563">
            <w:rPr>
              <w:rFonts w:ascii="Palatino Linotype" w:hAnsi="Palatino Linotype" w:cs="Arial"/>
              <w:b/>
              <w:bCs/>
            </w:rPr>
            <w:t>Recurrente:</w:t>
          </w:r>
        </w:p>
      </w:tc>
      <w:tc>
        <w:tcPr>
          <w:tcW w:w="5244" w:type="dxa"/>
        </w:tcPr>
        <w:p w14:paraId="6FEBED95" w14:textId="53D28B0B" w:rsidR="007226C2" w:rsidRPr="00E77A29" w:rsidRDefault="00F43464" w:rsidP="00E77FB5">
          <w:pPr>
            <w:spacing w:after="0" w:line="240" w:lineRule="auto"/>
            <w:ind w:left="-486" w:firstLine="567"/>
            <w:jc w:val="right"/>
            <w:rPr>
              <w:rFonts w:ascii="Palatino Linotype" w:hAnsi="Palatino Linotype" w:cs="Arial"/>
            </w:rPr>
          </w:pPr>
          <w:r>
            <w:rPr>
              <w:rFonts w:ascii="Palatino Linotype" w:hAnsi="Palatino Linotype" w:cs="Arial"/>
            </w:rPr>
            <w:t>XXXXXX</w:t>
          </w:r>
        </w:p>
      </w:tc>
    </w:tr>
    <w:tr w:rsidR="007226C2" w14:paraId="6FC7E25C" w14:textId="77777777" w:rsidTr="00823563">
      <w:trPr>
        <w:trHeight w:val="60"/>
      </w:trPr>
      <w:tc>
        <w:tcPr>
          <w:tcW w:w="1985" w:type="dxa"/>
          <w:vAlign w:val="center"/>
        </w:tcPr>
        <w:p w14:paraId="15D9B06C" w14:textId="77777777" w:rsidR="007226C2" w:rsidRPr="00823563" w:rsidRDefault="007226C2" w:rsidP="00823563">
          <w:pPr>
            <w:tabs>
              <w:tab w:val="left" w:pos="4892"/>
            </w:tabs>
            <w:spacing w:after="0" w:line="240" w:lineRule="auto"/>
            <w:jc w:val="right"/>
            <w:rPr>
              <w:rFonts w:ascii="Palatino Linotype" w:hAnsi="Palatino Linotype" w:cs="Arial"/>
              <w:b/>
              <w:bCs/>
            </w:rPr>
          </w:pPr>
          <w:r w:rsidRPr="00823563">
            <w:rPr>
              <w:rFonts w:ascii="Palatino Linotype" w:hAnsi="Palatino Linotype" w:cs="Arial"/>
              <w:b/>
              <w:bCs/>
            </w:rPr>
            <w:t>Comisionado Ponente:</w:t>
          </w:r>
        </w:p>
      </w:tc>
      <w:tc>
        <w:tcPr>
          <w:tcW w:w="5244" w:type="dxa"/>
        </w:tcPr>
        <w:p w14:paraId="5B51E4EB" w14:textId="77777777" w:rsidR="007226C2" w:rsidRPr="00E77A29" w:rsidRDefault="007226C2"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226C2" w:rsidRPr="00C222C0" w:rsidRDefault="007226C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ADB24A0">
          <wp:simplePos x="0" y="0"/>
          <wp:positionH relativeFrom="margin">
            <wp:posOffset>-1229636</wp:posOffset>
          </wp:positionH>
          <wp:positionV relativeFrom="page">
            <wp:align>top</wp:align>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15pt;height:11.15pt;visibility:visible;mso-wrap-style:square" o:bullet="t">
        <v:imagedata r:id="rId1" o:title=""/>
      </v:shape>
    </w:pict>
  </w:numPicBullet>
  <w:abstractNum w:abstractNumId="0" w15:restartNumberingAfterBreak="0">
    <w:nsid w:val="05704593"/>
    <w:multiLevelType w:val="hybridMultilevel"/>
    <w:tmpl w:val="9E12B3A6"/>
    <w:lvl w:ilvl="0" w:tplc="B5A4DCB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350843"/>
    <w:multiLevelType w:val="hybridMultilevel"/>
    <w:tmpl w:val="49408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C49AD"/>
    <w:multiLevelType w:val="multilevel"/>
    <w:tmpl w:val="ECAC0786"/>
    <w:lvl w:ilvl="0">
      <w:start w:val="1"/>
      <w:numFmt w:val="decimal"/>
      <w:lvlText w:val="%1."/>
      <w:lvlJc w:val="left"/>
      <w:pPr>
        <w:ind w:left="720" w:hanging="360"/>
      </w:pPr>
      <w:rPr>
        <w:rFonts w:ascii="Palatino Linotype" w:hAnsi="Palatino Linotype" w:hint="default"/>
        <w:b/>
        <w:bCs/>
        <w:sz w:val="24"/>
        <w:szCs w:val="24"/>
        <w:lang w:val="es-MX"/>
      </w:rPr>
    </w:lvl>
    <w:lvl w:ilvl="1">
      <w:start w:val="1"/>
      <w:numFmt w:val="decimal"/>
      <w:isLgl/>
      <w:lvlText w:val="%1.%2."/>
      <w:lvlJc w:val="left"/>
      <w:pPr>
        <w:ind w:left="1080" w:hanging="360"/>
      </w:pPr>
      <w:rPr>
        <w:rFonts w:ascii="Palatino Linotype" w:hAnsi="Palatino Linotype" w:hint="default"/>
        <w:b/>
        <w:bCs/>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E0A28BB"/>
    <w:multiLevelType w:val="hybridMultilevel"/>
    <w:tmpl w:val="2EE43804"/>
    <w:lvl w:ilvl="0" w:tplc="6716110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331274"/>
    <w:multiLevelType w:val="hybridMultilevel"/>
    <w:tmpl w:val="225A2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4116A"/>
    <w:multiLevelType w:val="hybridMultilevel"/>
    <w:tmpl w:val="28B40AA4"/>
    <w:lvl w:ilvl="0" w:tplc="73805422">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62600B"/>
    <w:multiLevelType w:val="hybridMultilevel"/>
    <w:tmpl w:val="4D180210"/>
    <w:lvl w:ilvl="0" w:tplc="869222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A54544"/>
    <w:multiLevelType w:val="hybridMultilevel"/>
    <w:tmpl w:val="2F02D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142DDD"/>
    <w:multiLevelType w:val="hybridMultilevel"/>
    <w:tmpl w:val="BACC9274"/>
    <w:lvl w:ilvl="0" w:tplc="F488A0E0">
      <w:start w:val="1"/>
      <w:numFmt w:val="decimal"/>
      <w:lvlText w:val="%1."/>
      <w:lvlJc w:val="left"/>
      <w:pPr>
        <w:ind w:left="720" w:hanging="360"/>
      </w:pPr>
      <w:rPr>
        <w:rFonts w:ascii="Palatino Linotype" w:eastAsia="Times New Roman" w:hAnsi="Palatino Linotype" w:cs="Arial"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C97044"/>
    <w:multiLevelType w:val="hybridMultilevel"/>
    <w:tmpl w:val="F872BD2E"/>
    <w:lvl w:ilvl="0" w:tplc="43C697E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9D4908"/>
    <w:multiLevelType w:val="hybridMultilevel"/>
    <w:tmpl w:val="F7F882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3C7AC5"/>
    <w:multiLevelType w:val="hybridMultilevel"/>
    <w:tmpl w:val="4EF0C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2B36D2"/>
    <w:multiLevelType w:val="hybridMultilevel"/>
    <w:tmpl w:val="8E36319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1D2DC0"/>
    <w:multiLevelType w:val="hybridMultilevel"/>
    <w:tmpl w:val="F8F47120"/>
    <w:lvl w:ilvl="0" w:tplc="71DA5240">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69276F"/>
    <w:multiLevelType w:val="hybridMultilevel"/>
    <w:tmpl w:val="F30235F4"/>
    <w:lvl w:ilvl="0" w:tplc="5A6666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20264A8"/>
    <w:multiLevelType w:val="hybridMultilevel"/>
    <w:tmpl w:val="FE00C9BA"/>
    <w:lvl w:ilvl="0" w:tplc="9134142C">
      <w:start w:val="1"/>
      <w:numFmt w:val="decimal"/>
      <w:lvlText w:val="%1."/>
      <w:lvlJc w:val="left"/>
      <w:pPr>
        <w:ind w:left="927" w:hanging="360"/>
      </w:pPr>
      <w:rPr>
        <w:rFonts w:hint="default"/>
        <w:b/>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A12A54"/>
    <w:multiLevelType w:val="hybridMultilevel"/>
    <w:tmpl w:val="D576A9BA"/>
    <w:lvl w:ilvl="0" w:tplc="DA8CDD76">
      <w:start w:val="1"/>
      <w:numFmt w:val="lowerLetter"/>
      <w:lvlText w:val="%1)"/>
      <w:lvlJc w:val="left"/>
      <w:pPr>
        <w:ind w:left="720" w:hanging="360"/>
      </w:pPr>
      <w:rPr>
        <w:rFonts w:hint="default"/>
        <w:b/>
        <w:bCs w:val="0"/>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964E9F"/>
    <w:multiLevelType w:val="hybridMultilevel"/>
    <w:tmpl w:val="CE68F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2022E9"/>
    <w:multiLevelType w:val="hybridMultilevel"/>
    <w:tmpl w:val="FCB2D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5C18ED"/>
    <w:multiLevelType w:val="hybridMultilevel"/>
    <w:tmpl w:val="26E48088"/>
    <w:lvl w:ilvl="0" w:tplc="D2C0965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6632EF"/>
    <w:multiLevelType w:val="hybridMultilevel"/>
    <w:tmpl w:val="808858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F06C98"/>
    <w:multiLevelType w:val="hybridMultilevel"/>
    <w:tmpl w:val="89526E0E"/>
    <w:lvl w:ilvl="0" w:tplc="84845550">
      <w:start w:val="1"/>
      <w:numFmt w:val="lowerLetter"/>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724F87"/>
    <w:multiLevelType w:val="hybridMultilevel"/>
    <w:tmpl w:val="3834794C"/>
    <w:lvl w:ilvl="0" w:tplc="2E86277C">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4912FF"/>
    <w:multiLevelType w:val="hybridMultilevel"/>
    <w:tmpl w:val="A2DEB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843337"/>
    <w:multiLevelType w:val="hybridMultilevel"/>
    <w:tmpl w:val="50D21D42"/>
    <w:lvl w:ilvl="0" w:tplc="080A0017">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4F4335"/>
    <w:multiLevelType w:val="hybridMultilevel"/>
    <w:tmpl w:val="07F231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4E5727"/>
    <w:multiLevelType w:val="hybridMultilevel"/>
    <w:tmpl w:val="B4DE3748"/>
    <w:lvl w:ilvl="0" w:tplc="DD221D7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9618B6"/>
    <w:multiLevelType w:val="hybridMultilevel"/>
    <w:tmpl w:val="9B28B5B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153E29"/>
    <w:multiLevelType w:val="hybridMultilevel"/>
    <w:tmpl w:val="F2845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150C57"/>
    <w:multiLevelType w:val="hybridMultilevel"/>
    <w:tmpl w:val="9B28B5B2"/>
    <w:lvl w:ilvl="0" w:tplc="E8D286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1F16AF"/>
    <w:multiLevelType w:val="hybridMultilevel"/>
    <w:tmpl w:val="FECA3C3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4B1320"/>
    <w:multiLevelType w:val="hybridMultilevel"/>
    <w:tmpl w:val="77EC0CA2"/>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8"/>
  </w:num>
  <w:num w:numId="3">
    <w:abstractNumId w:val="29"/>
  </w:num>
  <w:num w:numId="4">
    <w:abstractNumId w:val="3"/>
  </w:num>
  <w:num w:numId="5">
    <w:abstractNumId w:val="7"/>
  </w:num>
  <w:num w:numId="6">
    <w:abstractNumId w:val="14"/>
  </w:num>
  <w:num w:numId="7">
    <w:abstractNumId w:val="17"/>
  </w:num>
  <w:num w:numId="8">
    <w:abstractNumId w:val="19"/>
  </w:num>
  <w:num w:numId="9">
    <w:abstractNumId w:val="18"/>
  </w:num>
  <w:num w:numId="10">
    <w:abstractNumId w:val="39"/>
  </w:num>
  <w:num w:numId="11">
    <w:abstractNumId w:val="23"/>
  </w:num>
  <w:num w:numId="12">
    <w:abstractNumId w:val="31"/>
  </w:num>
  <w:num w:numId="13">
    <w:abstractNumId w:val="33"/>
  </w:num>
  <w:num w:numId="14">
    <w:abstractNumId w:val="24"/>
  </w:num>
  <w:num w:numId="15">
    <w:abstractNumId w:val="8"/>
  </w:num>
  <w:num w:numId="16">
    <w:abstractNumId w:val="38"/>
  </w:num>
  <w:num w:numId="17">
    <w:abstractNumId w:val="35"/>
  </w:num>
  <w:num w:numId="18">
    <w:abstractNumId w:val="9"/>
  </w:num>
  <w:num w:numId="19">
    <w:abstractNumId w:val="0"/>
  </w:num>
  <w:num w:numId="20">
    <w:abstractNumId w:val="27"/>
  </w:num>
  <w:num w:numId="21">
    <w:abstractNumId w:val="6"/>
  </w:num>
  <w:num w:numId="22">
    <w:abstractNumId w:val="22"/>
  </w:num>
  <w:num w:numId="23">
    <w:abstractNumId w:val="25"/>
  </w:num>
  <w:num w:numId="24">
    <w:abstractNumId w:val="13"/>
  </w:num>
  <w:num w:numId="25">
    <w:abstractNumId w:val="26"/>
  </w:num>
  <w:num w:numId="26">
    <w:abstractNumId w:val="20"/>
  </w:num>
  <w:num w:numId="27">
    <w:abstractNumId w:val="37"/>
  </w:num>
  <w:num w:numId="28">
    <w:abstractNumId w:val="10"/>
  </w:num>
  <w:num w:numId="29">
    <w:abstractNumId w:val="4"/>
  </w:num>
  <w:num w:numId="30">
    <w:abstractNumId w:val="30"/>
  </w:num>
  <w:num w:numId="31">
    <w:abstractNumId w:val="12"/>
  </w:num>
  <w:num w:numId="32">
    <w:abstractNumId w:val="2"/>
  </w:num>
  <w:num w:numId="33">
    <w:abstractNumId w:val="5"/>
  </w:num>
  <w:num w:numId="34">
    <w:abstractNumId w:val="21"/>
  </w:num>
  <w:num w:numId="35">
    <w:abstractNumId w:val="32"/>
  </w:num>
  <w:num w:numId="36">
    <w:abstractNumId w:val="36"/>
  </w:num>
  <w:num w:numId="37">
    <w:abstractNumId w:val="15"/>
  </w:num>
  <w:num w:numId="38">
    <w:abstractNumId w:val="34"/>
  </w:num>
  <w:num w:numId="39">
    <w:abstractNumId w:val="1"/>
  </w:num>
  <w:num w:numId="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16B3C"/>
    <w:rsid w:val="000222E4"/>
    <w:rsid w:val="00030FE0"/>
    <w:rsid w:val="0003350B"/>
    <w:rsid w:val="00033EA7"/>
    <w:rsid w:val="000359A9"/>
    <w:rsid w:val="00036F8B"/>
    <w:rsid w:val="0003724D"/>
    <w:rsid w:val="00052C48"/>
    <w:rsid w:val="000563BA"/>
    <w:rsid w:val="00056B3F"/>
    <w:rsid w:val="000675BD"/>
    <w:rsid w:val="0007032B"/>
    <w:rsid w:val="00071F96"/>
    <w:rsid w:val="000800BA"/>
    <w:rsid w:val="000819DF"/>
    <w:rsid w:val="0008382E"/>
    <w:rsid w:val="000847DF"/>
    <w:rsid w:val="000A1173"/>
    <w:rsid w:val="000A3F53"/>
    <w:rsid w:val="000A551B"/>
    <w:rsid w:val="000A6199"/>
    <w:rsid w:val="000A73D8"/>
    <w:rsid w:val="000B2724"/>
    <w:rsid w:val="000B462C"/>
    <w:rsid w:val="000B61B4"/>
    <w:rsid w:val="000D0F10"/>
    <w:rsid w:val="000D14DC"/>
    <w:rsid w:val="000E5506"/>
    <w:rsid w:val="000E5B1A"/>
    <w:rsid w:val="000E5C94"/>
    <w:rsid w:val="000E7735"/>
    <w:rsid w:val="000F65A4"/>
    <w:rsid w:val="000F7E6C"/>
    <w:rsid w:val="00101510"/>
    <w:rsid w:val="00106EBC"/>
    <w:rsid w:val="00106F80"/>
    <w:rsid w:val="0011456F"/>
    <w:rsid w:val="00123996"/>
    <w:rsid w:val="00134C90"/>
    <w:rsid w:val="0013553B"/>
    <w:rsid w:val="00135BDB"/>
    <w:rsid w:val="00137E9C"/>
    <w:rsid w:val="00137F03"/>
    <w:rsid w:val="00144385"/>
    <w:rsid w:val="00162300"/>
    <w:rsid w:val="00170051"/>
    <w:rsid w:val="00172A0C"/>
    <w:rsid w:val="00174D25"/>
    <w:rsid w:val="001764C6"/>
    <w:rsid w:val="001823F8"/>
    <w:rsid w:val="00182F8E"/>
    <w:rsid w:val="00197B26"/>
    <w:rsid w:val="001A06A6"/>
    <w:rsid w:val="001A1576"/>
    <w:rsid w:val="001A6900"/>
    <w:rsid w:val="001D5215"/>
    <w:rsid w:val="001D5574"/>
    <w:rsid w:val="001E309D"/>
    <w:rsid w:val="001F0907"/>
    <w:rsid w:val="0020398F"/>
    <w:rsid w:val="00212A3E"/>
    <w:rsid w:val="00220BF5"/>
    <w:rsid w:val="00220D90"/>
    <w:rsid w:val="00226A9E"/>
    <w:rsid w:val="0023049D"/>
    <w:rsid w:val="00230A7E"/>
    <w:rsid w:val="002329FC"/>
    <w:rsid w:val="00240897"/>
    <w:rsid w:val="0024368B"/>
    <w:rsid w:val="0025170A"/>
    <w:rsid w:val="00251D42"/>
    <w:rsid w:val="00252C35"/>
    <w:rsid w:val="00255E2D"/>
    <w:rsid w:val="002571AD"/>
    <w:rsid w:val="00264A40"/>
    <w:rsid w:val="002750C6"/>
    <w:rsid w:val="002812AA"/>
    <w:rsid w:val="00282070"/>
    <w:rsid w:val="002852DC"/>
    <w:rsid w:val="00291AA2"/>
    <w:rsid w:val="002A05C9"/>
    <w:rsid w:val="002A23C5"/>
    <w:rsid w:val="002A7601"/>
    <w:rsid w:val="002B26BC"/>
    <w:rsid w:val="002B3F07"/>
    <w:rsid w:val="002B6145"/>
    <w:rsid w:val="002C237E"/>
    <w:rsid w:val="002C7998"/>
    <w:rsid w:val="002D373A"/>
    <w:rsid w:val="002D6299"/>
    <w:rsid w:val="002D7F66"/>
    <w:rsid w:val="002F2038"/>
    <w:rsid w:val="002F4ED3"/>
    <w:rsid w:val="003011BC"/>
    <w:rsid w:val="0030347A"/>
    <w:rsid w:val="003040F0"/>
    <w:rsid w:val="00304EC5"/>
    <w:rsid w:val="003066E3"/>
    <w:rsid w:val="00307CD9"/>
    <w:rsid w:val="0031300D"/>
    <w:rsid w:val="00313B98"/>
    <w:rsid w:val="00313FF4"/>
    <w:rsid w:val="0031407D"/>
    <w:rsid w:val="003163C5"/>
    <w:rsid w:val="003169A2"/>
    <w:rsid w:val="003213A4"/>
    <w:rsid w:val="0032391D"/>
    <w:rsid w:val="00326039"/>
    <w:rsid w:val="003271A8"/>
    <w:rsid w:val="003305F2"/>
    <w:rsid w:val="0035192B"/>
    <w:rsid w:val="00353F57"/>
    <w:rsid w:val="00362340"/>
    <w:rsid w:val="00364F71"/>
    <w:rsid w:val="00364FF3"/>
    <w:rsid w:val="00372CB0"/>
    <w:rsid w:val="00382BEC"/>
    <w:rsid w:val="00382C36"/>
    <w:rsid w:val="00383CBE"/>
    <w:rsid w:val="00394482"/>
    <w:rsid w:val="003A1E1A"/>
    <w:rsid w:val="003B0CE4"/>
    <w:rsid w:val="003B24A5"/>
    <w:rsid w:val="003B2635"/>
    <w:rsid w:val="003B55E0"/>
    <w:rsid w:val="003B6EA5"/>
    <w:rsid w:val="003C679D"/>
    <w:rsid w:val="003D2E48"/>
    <w:rsid w:val="003D742C"/>
    <w:rsid w:val="003D74B8"/>
    <w:rsid w:val="00400878"/>
    <w:rsid w:val="0040191D"/>
    <w:rsid w:val="004026F5"/>
    <w:rsid w:val="00404350"/>
    <w:rsid w:val="00420998"/>
    <w:rsid w:val="004303F9"/>
    <w:rsid w:val="00431A35"/>
    <w:rsid w:val="0044589E"/>
    <w:rsid w:val="004516AA"/>
    <w:rsid w:val="00451AEC"/>
    <w:rsid w:val="004568C0"/>
    <w:rsid w:val="00477701"/>
    <w:rsid w:val="004777DE"/>
    <w:rsid w:val="004824F0"/>
    <w:rsid w:val="00482A19"/>
    <w:rsid w:val="00485849"/>
    <w:rsid w:val="004876F2"/>
    <w:rsid w:val="00487942"/>
    <w:rsid w:val="004879CA"/>
    <w:rsid w:val="004916AF"/>
    <w:rsid w:val="00492CAB"/>
    <w:rsid w:val="004A50EE"/>
    <w:rsid w:val="004B1228"/>
    <w:rsid w:val="004B6127"/>
    <w:rsid w:val="004B69B1"/>
    <w:rsid w:val="004B6A48"/>
    <w:rsid w:val="004C2655"/>
    <w:rsid w:val="004D019A"/>
    <w:rsid w:val="004D03A1"/>
    <w:rsid w:val="004D11F8"/>
    <w:rsid w:val="004D2092"/>
    <w:rsid w:val="004D2C6B"/>
    <w:rsid w:val="004D3848"/>
    <w:rsid w:val="004E2178"/>
    <w:rsid w:val="004E74D8"/>
    <w:rsid w:val="004E7632"/>
    <w:rsid w:val="004E7F1B"/>
    <w:rsid w:val="004F208F"/>
    <w:rsid w:val="00501937"/>
    <w:rsid w:val="00502F83"/>
    <w:rsid w:val="00506158"/>
    <w:rsid w:val="0051123C"/>
    <w:rsid w:val="00515229"/>
    <w:rsid w:val="00515E59"/>
    <w:rsid w:val="0051761F"/>
    <w:rsid w:val="00517B76"/>
    <w:rsid w:val="00521270"/>
    <w:rsid w:val="005227A0"/>
    <w:rsid w:val="0052477A"/>
    <w:rsid w:val="0052698B"/>
    <w:rsid w:val="00530053"/>
    <w:rsid w:val="005303C8"/>
    <w:rsid w:val="00531D47"/>
    <w:rsid w:val="00532F2F"/>
    <w:rsid w:val="00536E53"/>
    <w:rsid w:val="005379D7"/>
    <w:rsid w:val="00540082"/>
    <w:rsid w:val="005462CE"/>
    <w:rsid w:val="005469C0"/>
    <w:rsid w:val="005500DD"/>
    <w:rsid w:val="00552AB4"/>
    <w:rsid w:val="005550D3"/>
    <w:rsid w:val="00556622"/>
    <w:rsid w:val="005635D9"/>
    <w:rsid w:val="00563628"/>
    <w:rsid w:val="0057548B"/>
    <w:rsid w:val="00583518"/>
    <w:rsid w:val="0059024B"/>
    <w:rsid w:val="00590A3C"/>
    <w:rsid w:val="00594B93"/>
    <w:rsid w:val="00596339"/>
    <w:rsid w:val="005A22E1"/>
    <w:rsid w:val="005B3BB5"/>
    <w:rsid w:val="005B558C"/>
    <w:rsid w:val="005C1668"/>
    <w:rsid w:val="005C226B"/>
    <w:rsid w:val="005C54BF"/>
    <w:rsid w:val="005C6D73"/>
    <w:rsid w:val="005C74A8"/>
    <w:rsid w:val="005D7AC1"/>
    <w:rsid w:val="005E2CB9"/>
    <w:rsid w:val="005E634B"/>
    <w:rsid w:val="005F3F57"/>
    <w:rsid w:val="005F485D"/>
    <w:rsid w:val="005F5710"/>
    <w:rsid w:val="005F68C1"/>
    <w:rsid w:val="00602CC5"/>
    <w:rsid w:val="00603A17"/>
    <w:rsid w:val="006151A5"/>
    <w:rsid w:val="00617494"/>
    <w:rsid w:val="006224FF"/>
    <w:rsid w:val="00622E9C"/>
    <w:rsid w:val="00626123"/>
    <w:rsid w:val="00666650"/>
    <w:rsid w:val="00676DBA"/>
    <w:rsid w:val="006815FC"/>
    <w:rsid w:val="0068588D"/>
    <w:rsid w:val="00693640"/>
    <w:rsid w:val="00693F10"/>
    <w:rsid w:val="00694E89"/>
    <w:rsid w:val="006C0365"/>
    <w:rsid w:val="006C2525"/>
    <w:rsid w:val="006C5819"/>
    <w:rsid w:val="006C7695"/>
    <w:rsid w:val="006C7FC5"/>
    <w:rsid w:val="006D1027"/>
    <w:rsid w:val="006D4D83"/>
    <w:rsid w:val="006D670E"/>
    <w:rsid w:val="006E45E5"/>
    <w:rsid w:val="006E46A6"/>
    <w:rsid w:val="006E6D3B"/>
    <w:rsid w:val="006F1DBC"/>
    <w:rsid w:val="006F28D0"/>
    <w:rsid w:val="006F43B9"/>
    <w:rsid w:val="006F4760"/>
    <w:rsid w:val="007001D0"/>
    <w:rsid w:val="00700CE1"/>
    <w:rsid w:val="007052BF"/>
    <w:rsid w:val="007052C5"/>
    <w:rsid w:val="007063B2"/>
    <w:rsid w:val="007066C0"/>
    <w:rsid w:val="00710340"/>
    <w:rsid w:val="00716E55"/>
    <w:rsid w:val="007226C2"/>
    <w:rsid w:val="007340D3"/>
    <w:rsid w:val="0073655B"/>
    <w:rsid w:val="00742446"/>
    <w:rsid w:val="00743958"/>
    <w:rsid w:val="00744A03"/>
    <w:rsid w:val="007466FB"/>
    <w:rsid w:val="00756DA5"/>
    <w:rsid w:val="00763BAF"/>
    <w:rsid w:val="007750EA"/>
    <w:rsid w:val="00775651"/>
    <w:rsid w:val="00777288"/>
    <w:rsid w:val="007806DA"/>
    <w:rsid w:val="00782E05"/>
    <w:rsid w:val="007929EB"/>
    <w:rsid w:val="007A4033"/>
    <w:rsid w:val="007A7245"/>
    <w:rsid w:val="007C0DE3"/>
    <w:rsid w:val="007C103E"/>
    <w:rsid w:val="007C7C86"/>
    <w:rsid w:val="007D018A"/>
    <w:rsid w:val="007D3EC2"/>
    <w:rsid w:val="007D550C"/>
    <w:rsid w:val="007D58F0"/>
    <w:rsid w:val="007D684E"/>
    <w:rsid w:val="007E2C27"/>
    <w:rsid w:val="007E7025"/>
    <w:rsid w:val="007F4108"/>
    <w:rsid w:val="007F70FD"/>
    <w:rsid w:val="00803C59"/>
    <w:rsid w:val="00807519"/>
    <w:rsid w:val="008102C9"/>
    <w:rsid w:val="00812299"/>
    <w:rsid w:val="00815125"/>
    <w:rsid w:val="0082195F"/>
    <w:rsid w:val="00821A80"/>
    <w:rsid w:val="00823563"/>
    <w:rsid w:val="00824C34"/>
    <w:rsid w:val="00827451"/>
    <w:rsid w:val="008300ED"/>
    <w:rsid w:val="00830DB3"/>
    <w:rsid w:val="00832A79"/>
    <w:rsid w:val="0085256F"/>
    <w:rsid w:val="00852772"/>
    <w:rsid w:val="008533F1"/>
    <w:rsid w:val="00856A03"/>
    <w:rsid w:val="00860A0D"/>
    <w:rsid w:val="0086538B"/>
    <w:rsid w:val="00870DD7"/>
    <w:rsid w:val="00874F4E"/>
    <w:rsid w:val="00876981"/>
    <w:rsid w:val="00882003"/>
    <w:rsid w:val="00884816"/>
    <w:rsid w:val="00885E00"/>
    <w:rsid w:val="00891302"/>
    <w:rsid w:val="0089782A"/>
    <w:rsid w:val="008A3695"/>
    <w:rsid w:val="008A43C0"/>
    <w:rsid w:val="008A6A78"/>
    <w:rsid w:val="008B11BE"/>
    <w:rsid w:val="008B45EF"/>
    <w:rsid w:val="008C09DD"/>
    <w:rsid w:val="008C6598"/>
    <w:rsid w:val="008C705B"/>
    <w:rsid w:val="008D3C6F"/>
    <w:rsid w:val="008D4945"/>
    <w:rsid w:val="008D51A5"/>
    <w:rsid w:val="008D59FD"/>
    <w:rsid w:val="008E0255"/>
    <w:rsid w:val="008E24E6"/>
    <w:rsid w:val="008E790B"/>
    <w:rsid w:val="008F3DEB"/>
    <w:rsid w:val="008F6317"/>
    <w:rsid w:val="008F6B8B"/>
    <w:rsid w:val="008F7598"/>
    <w:rsid w:val="009012A4"/>
    <w:rsid w:val="009030C4"/>
    <w:rsid w:val="0092499F"/>
    <w:rsid w:val="00932352"/>
    <w:rsid w:val="00932D19"/>
    <w:rsid w:val="0093391A"/>
    <w:rsid w:val="009367E3"/>
    <w:rsid w:val="00936F9E"/>
    <w:rsid w:val="00940FC6"/>
    <w:rsid w:val="009430D3"/>
    <w:rsid w:val="0095328B"/>
    <w:rsid w:val="00972510"/>
    <w:rsid w:val="00973E11"/>
    <w:rsid w:val="00976EDE"/>
    <w:rsid w:val="00977258"/>
    <w:rsid w:val="00981D66"/>
    <w:rsid w:val="0098497E"/>
    <w:rsid w:val="009927C8"/>
    <w:rsid w:val="009978E4"/>
    <w:rsid w:val="00997B3D"/>
    <w:rsid w:val="009A55CD"/>
    <w:rsid w:val="009A658B"/>
    <w:rsid w:val="009B15A1"/>
    <w:rsid w:val="009B56D0"/>
    <w:rsid w:val="009B5B65"/>
    <w:rsid w:val="009B72AF"/>
    <w:rsid w:val="009C33AA"/>
    <w:rsid w:val="009C342E"/>
    <w:rsid w:val="009C41CD"/>
    <w:rsid w:val="009C4E53"/>
    <w:rsid w:val="009C6CE1"/>
    <w:rsid w:val="009D1905"/>
    <w:rsid w:val="009E4288"/>
    <w:rsid w:val="009F09E3"/>
    <w:rsid w:val="009F5ACA"/>
    <w:rsid w:val="00A041E1"/>
    <w:rsid w:val="00A05359"/>
    <w:rsid w:val="00A06CB1"/>
    <w:rsid w:val="00A125E9"/>
    <w:rsid w:val="00A138BC"/>
    <w:rsid w:val="00A15F4E"/>
    <w:rsid w:val="00A17CAB"/>
    <w:rsid w:val="00A22BF7"/>
    <w:rsid w:val="00A27D00"/>
    <w:rsid w:val="00A37A0C"/>
    <w:rsid w:val="00A37F48"/>
    <w:rsid w:val="00A45D68"/>
    <w:rsid w:val="00A46600"/>
    <w:rsid w:val="00A645F3"/>
    <w:rsid w:val="00A717F6"/>
    <w:rsid w:val="00A73FB5"/>
    <w:rsid w:val="00A75B19"/>
    <w:rsid w:val="00A77280"/>
    <w:rsid w:val="00A828F4"/>
    <w:rsid w:val="00A8792B"/>
    <w:rsid w:val="00A945C2"/>
    <w:rsid w:val="00A96F6D"/>
    <w:rsid w:val="00AA160F"/>
    <w:rsid w:val="00AA2C60"/>
    <w:rsid w:val="00AA3FFC"/>
    <w:rsid w:val="00AA7BA2"/>
    <w:rsid w:val="00AB0546"/>
    <w:rsid w:val="00AB1A6A"/>
    <w:rsid w:val="00AB506C"/>
    <w:rsid w:val="00AC05DF"/>
    <w:rsid w:val="00AC60CF"/>
    <w:rsid w:val="00AC6E2A"/>
    <w:rsid w:val="00AC77FB"/>
    <w:rsid w:val="00AC7DE2"/>
    <w:rsid w:val="00AD0E19"/>
    <w:rsid w:val="00AD7303"/>
    <w:rsid w:val="00AD777A"/>
    <w:rsid w:val="00AE26C8"/>
    <w:rsid w:val="00AE3CEC"/>
    <w:rsid w:val="00AF110B"/>
    <w:rsid w:val="00AF114B"/>
    <w:rsid w:val="00AF12FB"/>
    <w:rsid w:val="00AF2816"/>
    <w:rsid w:val="00AF797C"/>
    <w:rsid w:val="00B01708"/>
    <w:rsid w:val="00B136CE"/>
    <w:rsid w:val="00B227D6"/>
    <w:rsid w:val="00B24C3B"/>
    <w:rsid w:val="00B24E51"/>
    <w:rsid w:val="00B301B5"/>
    <w:rsid w:val="00B35216"/>
    <w:rsid w:val="00B40359"/>
    <w:rsid w:val="00B4043C"/>
    <w:rsid w:val="00B4474E"/>
    <w:rsid w:val="00B44A69"/>
    <w:rsid w:val="00B45F7E"/>
    <w:rsid w:val="00B5703B"/>
    <w:rsid w:val="00B57CB4"/>
    <w:rsid w:val="00B61157"/>
    <w:rsid w:val="00B708CC"/>
    <w:rsid w:val="00B722E0"/>
    <w:rsid w:val="00B723C3"/>
    <w:rsid w:val="00B76DBE"/>
    <w:rsid w:val="00B829A1"/>
    <w:rsid w:val="00B82FD1"/>
    <w:rsid w:val="00B86F62"/>
    <w:rsid w:val="00B94483"/>
    <w:rsid w:val="00BA16D1"/>
    <w:rsid w:val="00BA53E8"/>
    <w:rsid w:val="00BA610B"/>
    <w:rsid w:val="00BA63DA"/>
    <w:rsid w:val="00BA63F3"/>
    <w:rsid w:val="00BB3F8B"/>
    <w:rsid w:val="00BB7F53"/>
    <w:rsid w:val="00BC198D"/>
    <w:rsid w:val="00BC6D1D"/>
    <w:rsid w:val="00BD048D"/>
    <w:rsid w:val="00BD1922"/>
    <w:rsid w:val="00BD2476"/>
    <w:rsid w:val="00BD35EA"/>
    <w:rsid w:val="00BD3FFC"/>
    <w:rsid w:val="00BD5D54"/>
    <w:rsid w:val="00BE0064"/>
    <w:rsid w:val="00BF3F7B"/>
    <w:rsid w:val="00BF6393"/>
    <w:rsid w:val="00C171B8"/>
    <w:rsid w:val="00C22652"/>
    <w:rsid w:val="00C22C9F"/>
    <w:rsid w:val="00C33B82"/>
    <w:rsid w:val="00C35E7E"/>
    <w:rsid w:val="00C44118"/>
    <w:rsid w:val="00C45B81"/>
    <w:rsid w:val="00C57C84"/>
    <w:rsid w:val="00C63EE7"/>
    <w:rsid w:val="00C66719"/>
    <w:rsid w:val="00C76941"/>
    <w:rsid w:val="00C76E1B"/>
    <w:rsid w:val="00C84DFD"/>
    <w:rsid w:val="00C93E70"/>
    <w:rsid w:val="00C95235"/>
    <w:rsid w:val="00CA4264"/>
    <w:rsid w:val="00CA5EE8"/>
    <w:rsid w:val="00CA7BA9"/>
    <w:rsid w:val="00CB1CAB"/>
    <w:rsid w:val="00CB23C8"/>
    <w:rsid w:val="00CB3963"/>
    <w:rsid w:val="00CB5773"/>
    <w:rsid w:val="00CC6751"/>
    <w:rsid w:val="00CC741A"/>
    <w:rsid w:val="00CC77B7"/>
    <w:rsid w:val="00CC7C72"/>
    <w:rsid w:val="00CC7F82"/>
    <w:rsid w:val="00CD2F26"/>
    <w:rsid w:val="00CD486E"/>
    <w:rsid w:val="00CD6464"/>
    <w:rsid w:val="00CF6844"/>
    <w:rsid w:val="00D05AE1"/>
    <w:rsid w:val="00D11BE2"/>
    <w:rsid w:val="00D12609"/>
    <w:rsid w:val="00D12795"/>
    <w:rsid w:val="00D14788"/>
    <w:rsid w:val="00D20F19"/>
    <w:rsid w:val="00D216E7"/>
    <w:rsid w:val="00D305AB"/>
    <w:rsid w:val="00D30674"/>
    <w:rsid w:val="00D42082"/>
    <w:rsid w:val="00D43013"/>
    <w:rsid w:val="00D503B3"/>
    <w:rsid w:val="00D53F58"/>
    <w:rsid w:val="00D57786"/>
    <w:rsid w:val="00D57A77"/>
    <w:rsid w:val="00D6065A"/>
    <w:rsid w:val="00D6190A"/>
    <w:rsid w:val="00D62CD4"/>
    <w:rsid w:val="00D67C61"/>
    <w:rsid w:val="00D70AD7"/>
    <w:rsid w:val="00D90B83"/>
    <w:rsid w:val="00D96C70"/>
    <w:rsid w:val="00DA058F"/>
    <w:rsid w:val="00DA6E62"/>
    <w:rsid w:val="00DB3B5B"/>
    <w:rsid w:val="00DB3D82"/>
    <w:rsid w:val="00DB40E7"/>
    <w:rsid w:val="00DC13AA"/>
    <w:rsid w:val="00DC57C8"/>
    <w:rsid w:val="00DD00A7"/>
    <w:rsid w:val="00DD1B62"/>
    <w:rsid w:val="00DD2FB7"/>
    <w:rsid w:val="00DD51FB"/>
    <w:rsid w:val="00DE39B6"/>
    <w:rsid w:val="00DF02A3"/>
    <w:rsid w:val="00DF0444"/>
    <w:rsid w:val="00DF11F8"/>
    <w:rsid w:val="00DF7FD7"/>
    <w:rsid w:val="00E1234C"/>
    <w:rsid w:val="00E177E3"/>
    <w:rsid w:val="00E21B85"/>
    <w:rsid w:val="00E23A64"/>
    <w:rsid w:val="00E242EB"/>
    <w:rsid w:val="00E24A00"/>
    <w:rsid w:val="00E257CB"/>
    <w:rsid w:val="00E32AF9"/>
    <w:rsid w:val="00E330BD"/>
    <w:rsid w:val="00E452EB"/>
    <w:rsid w:val="00E458CD"/>
    <w:rsid w:val="00E4658F"/>
    <w:rsid w:val="00E51816"/>
    <w:rsid w:val="00E51AF3"/>
    <w:rsid w:val="00E5281D"/>
    <w:rsid w:val="00E55813"/>
    <w:rsid w:val="00E743B8"/>
    <w:rsid w:val="00E77A29"/>
    <w:rsid w:val="00E77FB5"/>
    <w:rsid w:val="00E814A2"/>
    <w:rsid w:val="00E85D44"/>
    <w:rsid w:val="00E86F9D"/>
    <w:rsid w:val="00E870FE"/>
    <w:rsid w:val="00E87963"/>
    <w:rsid w:val="00E87C82"/>
    <w:rsid w:val="00E94D8B"/>
    <w:rsid w:val="00E95E6D"/>
    <w:rsid w:val="00E96AB5"/>
    <w:rsid w:val="00EA20A3"/>
    <w:rsid w:val="00EA49ED"/>
    <w:rsid w:val="00EB3529"/>
    <w:rsid w:val="00EB56C4"/>
    <w:rsid w:val="00EC0076"/>
    <w:rsid w:val="00EC0F11"/>
    <w:rsid w:val="00EC2D05"/>
    <w:rsid w:val="00ED1A42"/>
    <w:rsid w:val="00ED3ABC"/>
    <w:rsid w:val="00ED46B2"/>
    <w:rsid w:val="00ED605E"/>
    <w:rsid w:val="00EF257A"/>
    <w:rsid w:val="00EF7D3D"/>
    <w:rsid w:val="00F000C4"/>
    <w:rsid w:val="00F00A32"/>
    <w:rsid w:val="00F15BE3"/>
    <w:rsid w:val="00F171E4"/>
    <w:rsid w:val="00F25C93"/>
    <w:rsid w:val="00F27EE1"/>
    <w:rsid w:val="00F301DE"/>
    <w:rsid w:val="00F30FEF"/>
    <w:rsid w:val="00F3428A"/>
    <w:rsid w:val="00F43464"/>
    <w:rsid w:val="00F44AAE"/>
    <w:rsid w:val="00F4766B"/>
    <w:rsid w:val="00F50781"/>
    <w:rsid w:val="00F50919"/>
    <w:rsid w:val="00F54C7E"/>
    <w:rsid w:val="00F56205"/>
    <w:rsid w:val="00F601CE"/>
    <w:rsid w:val="00F64103"/>
    <w:rsid w:val="00F65B7D"/>
    <w:rsid w:val="00F715AB"/>
    <w:rsid w:val="00F731A5"/>
    <w:rsid w:val="00F73965"/>
    <w:rsid w:val="00F8402A"/>
    <w:rsid w:val="00F900E9"/>
    <w:rsid w:val="00F9259D"/>
    <w:rsid w:val="00F9432E"/>
    <w:rsid w:val="00F965F1"/>
    <w:rsid w:val="00FB0B55"/>
    <w:rsid w:val="00FB780C"/>
    <w:rsid w:val="00FC254E"/>
    <w:rsid w:val="00FC5405"/>
    <w:rsid w:val="00FD1FA8"/>
    <w:rsid w:val="00FD7BAE"/>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4"/>
      </w:numPr>
      <w:spacing w:after="0" w:line="240" w:lineRule="auto"/>
      <w:contextualSpacing/>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4B69B1"/>
    <w:rPr>
      <w:color w:val="605E5C"/>
      <w:shd w:val="clear" w:color="auto" w:fill="E1DFDD"/>
    </w:rPr>
  </w:style>
  <w:style w:type="character" w:styleId="Hipervnculovisitado">
    <w:name w:val="FollowedHyperlink"/>
    <w:basedOn w:val="Fuentedeprrafopredeter"/>
    <w:uiPriority w:val="99"/>
    <w:semiHidden/>
    <w:unhideWhenUsed/>
    <w:rsid w:val="00590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725D-2DC5-4CC5-9C5D-D86DEF13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59</Pages>
  <Words>14899</Words>
  <Characters>81946</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2026-03-26T19:33:00Z</cp:lastPrinted>
  <dcterms:created xsi:type="dcterms:W3CDTF">2026-03-11T19:18:00Z</dcterms:created>
  <dcterms:modified xsi:type="dcterms:W3CDTF">2026-04-10T17:07:00Z</dcterms:modified>
</cp:coreProperties>
</file>