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D31" w:rsidRDefault="003E5E9F">
      <w:pPr>
        <w:spacing w:before="240" w:after="240"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sz w:val="24"/>
          <w:szCs w:val="24"/>
        </w:rPr>
        <w:t>tres (03) de junio de dos mil veintiséis.</w:t>
      </w:r>
    </w:p>
    <w:p w:rsidR="009F3D31" w:rsidRDefault="003E5E9F">
      <w:pPr>
        <w:pBdr>
          <w:top w:val="nil"/>
          <w:left w:val="nil"/>
          <w:bottom w:val="nil"/>
          <w:right w:val="nil"/>
          <w:between w:val="nil"/>
        </w:pBdr>
        <w:tabs>
          <w:tab w:val="center" w:pos="4419"/>
          <w:tab w:val="right" w:pos="8838"/>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VISTO el</w:t>
      </w:r>
      <w:r>
        <w:rPr>
          <w:rFonts w:ascii="Palatino Linotype" w:eastAsia="Palatino Linotype" w:hAnsi="Palatino Linotype" w:cs="Palatino Linotype"/>
          <w:color w:val="000000"/>
          <w:sz w:val="24"/>
          <w:szCs w:val="24"/>
        </w:rPr>
        <w:t xml:space="preserve"> expediente electrónico formado con motivo del recurso de revisión </w:t>
      </w:r>
      <w:r>
        <w:rPr>
          <w:rFonts w:ascii="Palatino Linotype" w:eastAsia="Palatino Linotype" w:hAnsi="Palatino Linotype" w:cs="Palatino Linotype"/>
          <w:b/>
          <w:bCs/>
          <w:color w:val="000000"/>
          <w:sz w:val="24"/>
          <w:szCs w:val="24"/>
        </w:rPr>
        <w:t xml:space="preserve">13068/INFOEM/IP/RR/2025, </w:t>
      </w:r>
      <w:r>
        <w:rPr>
          <w:rFonts w:ascii="Palatino Linotype" w:eastAsia="Palatino Linotype" w:hAnsi="Palatino Linotype" w:cs="Palatino Linotype"/>
          <w:color w:val="000000"/>
          <w:sz w:val="24"/>
          <w:szCs w:val="24"/>
        </w:rPr>
        <w:t xml:space="preserve">promovido por </w:t>
      </w:r>
      <w:r w:rsidR="00D974AB">
        <w:rPr>
          <w:rFonts w:ascii="Palatino Linotype" w:eastAsia="Palatino Linotype" w:hAnsi="Palatino Linotype" w:cs="Palatino Linotype"/>
          <w:b/>
          <w:bCs/>
          <w:color w:val="000000"/>
          <w:sz w:val="24"/>
          <w:szCs w:val="24"/>
        </w:rPr>
        <w:t>XXXX</w:t>
      </w:r>
      <w:r>
        <w:rPr>
          <w:rFonts w:ascii="Palatino Linotype" w:eastAsia="Palatino Linotype" w:hAnsi="Palatino Linotype" w:cs="Palatino Linotype"/>
          <w:b/>
          <w:bCs/>
          <w:color w:val="000000"/>
          <w:sz w:val="24"/>
          <w:szCs w:val="24"/>
        </w:rPr>
        <w:t>,</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que se identificará como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en contra de la respuesta de</w:t>
      </w:r>
      <w:r w:rsidR="00274251">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color w:val="000000"/>
          <w:sz w:val="24"/>
          <w:szCs w:val="24"/>
        </w:rPr>
        <w:t>l</w:t>
      </w:r>
      <w:r w:rsidR="00274251">
        <w:rPr>
          <w:rFonts w:ascii="Palatino Linotype" w:eastAsia="Palatino Linotype" w:hAnsi="Palatino Linotype" w:cs="Palatino Linotype"/>
          <w:color w:val="000000"/>
          <w:sz w:val="24"/>
          <w:szCs w:val="24"/>
        </w:rPr>
        <w:t>a</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Fiscalía General de Justicia del Estado de México</w:t>
      </w:r>
      <w:r>
        <w:rPr>
          <w:rFonts w:ascii="Palatino Linotype" w:eastAsia="Palatino Linotype" w:hAnsi="Palatino Linotype" w:cs="Palatino Linotype"/>
          <w:color w:val="000000"/>
          <w:sz w:val="24"/>
          <w:szCs w:val="24"/>
        </w:rPr>
        <w:t>,</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en lo sucesivo el</w:t>
      </w:r>
      <w:r>
        <w:rPr>
          <w:rFonts w:ascii="Palatino Linotype" w:eastAsia="Palatino Linotype" w:hAnsi="Palatino Linotype" w:cs="Palatino Linotype"/>
          <w:b/>
          <w:bCs/>
          <w:color w:val="000000"/>
          <w:sz w:val="24"/>
          <w:szCs w:val="24"/>
        </w:rPr>
        <w:t xml:space="preserve"> SUJETO OBLIGADO, </w:t>
      </w:r>
      <w:r>
        <w:rPr>
          <w:rFonts w:ascii="Palatino Linotype" w:eastAsia="Palatino Linotype" w:hAnsi="Palatino Linotype" w:cs="Palatino Linotype"/>
          <w:color w:val="000000"/>
          <w:sz w:val="24"/>
          <w:szCs w:val="24"/>
        </w:rPr>
        <w:t>se procede a dictar la presente resolución, con base en los siguientes:</w:t>
      </w:r>
    </w:p>
    <w:p w:rsidR="009F3D31" w:rsidRDefault="003E5E9F">
      <w:pPr>
        <w:pStyle w:val="Ttulo1"/>
        <w:ind w:right="-876"/>
        <w:jc w:val="center"/>
        <w:rPr>
          <w:rFonts w:ascii="Palatino Linotype" w:eastAsia="Palatino Linotype" w:hAnsi="Palatino Linotype" w:cs="Palatino Linotype"/>
          <w:b/>
          <w:bCs/>
          <w:color w:val="000000"/>
          <w:sz w:val="24"/>
          <w:szCs w:val="24"/>
        </w:rPr>
      </w:pPr>
      <w:bookmarkStart w:id="0" w:name="_heading=h.w93m9m1cwsh2" w:colFirst="0" w:colLast="0"/>
      <w:bookmarkEnd w:id="0"/>
      <w:r>
        <w:rPr>
          <w:rFonts w:ascii="Palatino Linotype" w:eastAsia="Palatino Linotype" w:hAnsi="Palatino Linotype" w:cs="Palatino Linotype"/>
          <w:b/>
          <w:bCs/>
          <w:color w:val="000000"/>
          <w:sz w:val="24"/>
          <w:szCs w:val="24"/>
        </w:rPr>
        <w:t>A N T E C E D E N T E S</w:t>
      </w:r>
    </w:p>
    <w:p w:rsidR="009F3D31" w:rsidRDefault="009F3D31">
      <w:pPr>
        <w:ind w:right="-876"/>
        <w:rPr>
          <w:rFonts w:ascii="Palatino Linotype" w:eastAsia="Palatino Linotype" w:hAnsi="Palatino Linotype" w:cs="Palatino Linotype"/>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El ocho de octubre de dos mil veinticinco, </w:t>
      </w:r>
      <w:r>
        <w:rPr>
          <w:rFonts w:ascii="Palatino Linotype" w:eastAsia="Palatino Linotype" w:hAnsi="Palatino Linotype" w:cs="Palatino Linotype"/>
          <w:b/>
          <w:bCs/>
          <w:color w:val="000000"/>
          <w:sz w:val="24"/>
          <w:szCs w:val="24"/>
        </w:rPr>
        <w:t xml:space="preserve">EL RECURRENTE </w:t>
      </w:r>
      <w:r>
        <w:rPr>
          <w:rFonts w:ascii="Palatino Linotype" w:eastAsia="Palatino Linotype" w:hAnsi="Palatino Linotype" w:cs="Palatino Linotype"/>
          <w:color w:val="000000"/>
          <w:sz w:val="24"/>
          <w:szCs w:val="24"/>
        </w:rPr>
        <w:t>presentó</w:t>
      </w:r>
      <w:r>
        <w:rPr>
          <w:rFonts w:ascii="Palatino Linotype" w:eastAsia="Palatino Linotype" w:hAnsi="Palatino Linotype" w:cs="Palatino Linotype"/>
          <w:b/>
          <w:bCs/>
          <w:color w:val="000000"/>
          <w:sz w:val="24"/>
          <w:szCs w:val="24"/>
        </w:rPr>
        <w:t>,</w:t>
      </w:r>
      <w:r>
        <w:rPr>
          <w:rFonts w:ascii="Palatino Linotype" w:eastAsia="Palatino Linotype" w:hAnsi="Palatino Linotype" w:cs="Palatino Linotype"/>
          <w:color w:val="000000"/>
          <w:sz w:val="24"/>
          <w:szCs w:val="24"/>
        </w:rPr>
        <w:t xml:space="preserve"> ante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vía Sistema de Acceso a la Información Mexiquense (</w:t>
      </w:r>
      <w:r>
        <w:rPr>
          <w:rFonts w:ascii="Palatino Linotype" w:eastAsia="Palatino Linotype" w:hAnsi="Palatino Linotype" w:cs="Palatino Linotype"/>
          <w:b/>
          <w:bCs/>
          <w:color w:val="000000"/>
          <w:sz w:val="24"/>
          <w:szCs w:val="24"/>
        </w:rPr>
        <w:t>SAIMEX)</w:t>
      </w:r>
      <w:r>
        <w:rPr>
          <w:rFonts w:ascii="Palatino Linotype" w:eastAsia="Palatino Linotype" w:hAnsi="Palatino Linotype" w:cs="Palatino Linotype"/>
          <w:color w:val="000000"/>
          <w:sz w:val="24"/>
          <w:szCs w:val="24"/>
        </w:rPr>
        <w:t xml:space="preserve">, la solicitud de información pública registrada con el número </w:t>
      </w:r>
      <w:r>
        <w:rPr>
          <w:rFonts w:ascii="Palatino Linotype" w:eastAsia="Palatino Linotype" w:hAnsi="Palatino Linotype" w:cs="Palatino Linotype"/>
          <w:b/>
          <w:bCs/>
          <w:color w:val="000000"/>
          <w:sz w:val="24"/>
          <w:szCs w:val="24"/>
        </w:rPr>
        <w:t> 00728/FGJ/IP/2025</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 xml:space="preserve">en la que se </w:t>
      </w:r>
      <w:r>
        <w:rPr>
          <w:rFonts w:ascii="Palatino Linotype" w:eastAsia="Palatino Linotype" w:hAnsi="Palatino Linotype" w:cs="Palatino Linotype"/>
          <w:color w:val="000000"/>
          <w:sz w:val="24"/>
          <w:szCs w:val="24"/>
        </w:rPr>
        <w:t>solicitó lo siguiente:</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9F3D31" w:rsidRDefault="003E5E9F">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INCIDENTE O EVENTO LUGAR DEL INCIDENTE O EVENTO UBICACIÓN DEL INCIDENTE O </w:t>
      </w:r>
      <w:r>
        <w:rPr>
          <w:rFonts w:ascii="Palatino Linotype" w:eastAsia="Palatino Linotype" w:hAnsi="Palatino Linotype" w:cs="Palatino Linotype"/>
          <w:i/>
          <w:iCs/>
          <w:color w:val="000000"/>
          <w:sz w:val="24"/>
          <w:szCs w:val="24"/>
        </w:rPr>
        <w:lastRenderedPageBreak/>
        <w:t xml:space="preserve">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del 1 de enero de 2018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w:t>
      </w:r>
      <w:r>
        <w:rPr>
          <w:rFonts w:ascii="Palatino Linotype" w:eastAsia="Palatino Linotype" w:hAnsi="Palatino Linotype" w:cs="Palatino Linotype"/>
          <w:i/>
          <w:iCs/>
          <w:color w:val="000000"/>
          <w:sz w:val="24"/>
          <w:szCs w:val="24"/>
        </w:rPr>
        <w:lastRenderedPageBreak/>
        <w:t>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p>
    <w:p w:rsidR="009F3D31" w:rsidRDefault="009F3D31">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Señaló como modalidad de entrega de la información a través del </w:t>
      </w:r>
      <w:r>
        <w:rPr>
          <w:rFonts w:ascii="Palatino Linotype" w:eastAsia="Palatino Linotype" w:hAnsi="Palatino Linotype" w:cs="Palatino Linotype"/>
          <w:b/>
          <w:bCs/>
          <w:color w:val="000000"/>
          <w:sz w:val="24"/>
          <w:szCs w:val="24"/>
        </w:rPr>
        <w:t>SAIMEX.</w:t>
      </w:r>
    </w:p>
    <w:p w:rsidR="009F3D31" w:rsidRDefault="009F3D31">
      <w:pPr>
        <w:ind w:right="-876"/>
        <w:rPr>
          <w:rFonts w:ascii="Palatino Linotype" w:eastAsia="Palatino Linotype" w:hAnsi="Palatino Linotype" w:cs="Palatino Linotype"/>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t>El veintisiete de octubre de dos mil veinticinco, el Sujeto Obligado dio respuesta a la solicitud de información en el siguiente sentido:</w:t>
      </w:r>
    </w:p>
    <w:tbl>
      <w:tblPr>
        <w:tblStyle w:val="a"/>
        <w:tblW w:w="7709" w:type="dxa"/>
        <w:jc w:val="center"/>
        <w:tblInd w:w="0" w:type="dxa"/>
        <w:tblLayout w:type="fixed"/>
        <w:tblLook w:val="0400" w:firstRow="0" w:lastRow="0" w:firstColumn="0" w:lastColumn="0" w:noHBand="0" w:noVBand="1"/>
      </w:tblPr>
      <w:tblGrid>
        <w:gridCol w:w="7709"/>
      </w:tblGrid>
      <w:tr w:rsidR="009F3D31" w:rsidTr="00D974AB">
        <w:trPr>
          <w:trHeight w:val="274"/>
          <w:jc w:val="center"/>
        </w:trPr>
        <w:tc>
          <w:tcPr>
            <w:tcW w:w="7709" w:type="dxa"/>
            <w:vAlign w:val="center"/>
          </w:tcPr>
          <w:p w:rsidR="009F3D31" w:rsidRDefault="003E5E9F">
            <w:pPr>
              <w:ind w:right="-876"/>
              <w:jc w:val="right"/>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Metepec, México a 27 de Octubre de 2025</w:t>
            </w:r>
          </w:p>
        </w:tc>
      </w:tr>
      <w:tr w:rsidR="009F3D31" w:rsidTr="00D974AB">
        <w:trPr>
          <w:trHeight w:val="274"/>
          <w:jc w:val="center"/>
        </w:trPr>
        <w:tc>
          <w:tcPr>
            <w:tcW w:w="7709" w:type="dxa"/>
            <w:vAlign w:val="center"/>
          </w:tcPr>
          <w:p w:rsidR="009F3D31" w:rsidRDefault="003E5E9F">
            <w:pPr>
              <w:ind w:right="-876"/>
              <w:jc w:val="right"/>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Nombre del solicitante: C. Solicitante</w:t>
            </w:r>
          </w:p>
        </w:tc>
      </w:tr>
      <w:tr w:rsidR="009F3D31" w:rsidTr="00D974AB">
        <w:trPr>
          <w:trHeight w:val="274"/>
          <w:jc w:val="center"/>
        </w:trPr>
        <w:tc>
          <w:tcPr>
            <w:tcW w:w="7709" w:type="dxa"/>
            <w:vAlign w:val="center"/>
          </w:tcPr>
          <w:p w:rsidR="009F3D31" w:rsidRDefault="003E5E9F">
            <w:pPr>
              <w:ind w:right="-876"/>
              <w:jc w:val="right"/>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Folio de la solicitud: 00728/FGJ/IP/2025</w:t>
            </w:r>
          </w:p>
        </w:tc>
      </w:tr>
      <w:tr w:rsidR="009F3D31" w:rsidTr="00D974AB">
        <w:trPr>
          <w:trHeight w:val="412"/>
          <w:jc w:val="center"/>
        </w:trPr>
        <w:tc>
          <w:tcPr>
            <w:tcW w:w="7709" w:type="dxa"/>
            <w:vAlign w:val="center"/>
          </w:tcPr>
          <w:p w:rsidR="009F3D31" w:rsidRDefault="009F3D31">
            <w:pPr>
              <w:ind w:right="-876"/>
              <w:jc w:val="right"/>
              <w:rPr>
                <w:rFonts w:ascii="Palatino Linotype" w:eastAsia="Palatino Linotype" w:hAnsi="Palatino Linotype" w:cs="Palatino Linotype"/>
                <w:i/>
                <w:iCs/>
                <w:sz w:val="24"/>
                <w:szCs w:val="24"/>
              </w:rPr>
            </w:pPr>
          </w:p>
        </w:tc>
      </w:tr>
      <w:tr w:rsidR="009F3D31" w:rsidTr="00D974AB">
        <w:trPr>
          <w:trHeight w:val="137"/>
          <w:jc w:val="center"/>
        </w:trPr>
        <w:tc>
          <w:tcPr>
            <w:tcW w:w="7709" w:type="dxa"/>
            <w:vAlign w:val="center"/>
          </w:tcPr>
          <w:p w:rsidR="009F3D31" w:rsidRDefault="009F3D31">
            <w:pPr>
              <w:ind w:right="-876"/>
              <w:jc w:val="center"/>
              <w:rPr>
                <w:rFonts w:ascii="Palatino Linotype" w:eastAsia="Palatino Linotype" w:hAnsi="Palatino Linotype" w:cs="Palatino Linotype"/>
                <w:i/>
                <w:iCs/>
                <w:sz w:val="24"/>
                <w:szCs w:val="24"/>
              </w:rPr>
            </w:pPr>
          </w:p>
        </w:tc>
      </w:tr>
      <w:tr w:rsidR="009F3D31" w:rsidTr="00D974AB">
        <w:trPr>
          <w:trHeight w:val="343"/>
          <w:jc w:val="center"/>
        </w:trPr>
        <w:tc>
          <w:tcPr>
            <w:tcW w:w="7709" w:type="dxa"/>
            <w:vAlign w:val="center"/>
          </w:tcPr>
          <w:p w:rsidR="009F3D31" w:rsidRDefault="009F3D31">
            <w:pPr>
              <w:ind w:right="-876"/>
              <w:rPr>
                <w:rFonts w:ascii="Palatino Linotype" w:eastAsia="Palatino Linotype" w:hAnsi="Palatino Linotype" w:cs="Palatino Linotype"/>
                <w:i/>
                <w:iCs/>
                <w:sz w:val="24"/>
                <w:szCs w:val="24"/>
              </w:rPr>
            </w:pPr>
          </w:p>
        </w:tc>
      </w:tr>
      <w:tr w:rsidR="009F3D31" w:rsidTr="00D974AB">
        <w:trPr>
          <w:trHeight w:val="137"/>
          <w:jc w:val="center"/>
        </w:trPr>
        <w:tc>
          <w:tcPr>
            <w:tcW w:w="7709" w:type="dxa"/>
            <w:vAlign w:val="center"/>
          </w:tcPr>
          <w:p w:rsidR="009F3D31" w:rsidRDefault="003E5E9F">
            <w:pPr>
              <w:ind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SE ANEXA RESPUESTA Asimismo, se hace de conocimiento que de conformidad con el artículo 178 de la Ley de la materia, podrá inconformarse de la respuesta otorgada, por sí mismo o a través de su representante, de manera directa o por medios electrónicos, a través del recurso de revisión, presentado ante el INFOEM o esta Unidad de Transparencia, dentro de los quince días hábiles, siguientes a la fecha de la notificación de presente respuesta.</w:t>
            </w:r>
          </w:p>
        </w:tc>
      </w:tr>
      <w:tr w:rsidR="009F3D31" w:rsidTr="00D974AB">
        <w:trPr>
          <w:trHeight w:val="343"/>
          <w:jc w:val="center"/>
        </w:trPr>
        <w:tc>
          <w:tcPr>
            <w:tcW w:w="7709" w:type="dxa"/>
            <w:vAlign w:val="center"/>
          </w:tcPr>
          <w:p w:rsidR="009F3D31" w:rsidRDefault="009F3D31">
            <w:pPr>
              <w:ind w:right="-876"/>
              <w:jc w:val="both"/>
              <w:rPr>
                <w:rFonts w:ascii="Palatino Linotype" w:eastAsia="Palatino Linotype" w:hAnsi="Palatino Linotype" w:cs="Palatino Linotype"/>
                <w:i/>
                <w:iCs/>
                <w:sz w:val="24"/>
                <w:szCs w:val="24"/>
              </w:rPr>
            </w:pPr>
          </w:p>
        </w:tc>
      </w:tr>
      <w:tr w:rsidR="009F3D31" w:rsidTr="00D974AB">
        <w:trPr>
          <w:trHeight w:val="137"/>
          <w:jc w:val="center"/>
        </w:trPr>
        <w:tc>
          <w:tcPr>
            <w:tcW w:w="7709" w:type="dxa"/>
            <w:vAlign w:val="center"/>
          </w:tcPr>
          <w:p w:rsidR="009F3D31" w:rsidRDefault="009F3D31">
            <w:pPr>
              <w:ind w:right="-876"/>
              <w:jc w:val="center"/>
              <w:rPr>
                <w:rFonts w:ascii="Palatino Linotype" w:eastAsia="Palatino Linotype" w:hAnsi="Palatino Linotype" w:cs="Palatino Linotype"/>
                <w:i/>
                <w:iCs/>
                <w:sz w:val="24"/>
                <w:szCs w:val="24"/>
              </w:rPr>
            </w:pPr>
            <w:bookmarkStart w:id="1" w:name="_GoBack"/>
            <w:bookmarkEnd w:id="1"/>
          </w:p>
        </w:tc>
      </w:tr>
      <w:tr w:rsidR="009F3D31" w:rsidTr="00D974AB">
        <w:trPr>
          <w:trHeight w:val="137"/>
          <w:jc w:val="center"/>
        </w:trPr>
        <w:tc>
          <w:tcPr>
            <w:tcW w:w="7709" w:type="dxa"/>
            <w:vAlign w:val="center"/>
          </w:tcPr>
          <w:p w:rsidR="009F3D31" w:rsidRDefault="009F3D31">
            <w:pPr>
              <w:ind w:right="-876"/>
              <w:rPr>
                <w:rFonts w:ascii="Palatino Linotype" w:eastAsia="Palatino Linotype" w:hAnsi="Palatino Linotype" w:cs="Palatino Linotype"/>
                <w:i/>
                <w:iCs/>
                <w:sz w:val="24"/>
                <w:szCs w:val="24"/>
              </w:rPr>
            </w:pPr>
          </w:p>
        </w:tc>
      </w:tr>
      <w:tr w:rsidR="009F3D31" w:rsidTr="00D974AB">
        <w:trPr>
          <w:trHeight w:val="137"/>
          <w:jc w:val="center"/>
        </w:trPr>
        <w:tc>
          <w:tcPr>
            <w:tcW w:w="7709" w:type="dxa"/>
            <w:vAlign w:val="center"/>
          </w:tcPr>
          <w:p w:rsidR="009F3D31" w:rsidRDefault="003E5E9F">
            <w:pPr>
              <w:ind w:right="-876"/>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ATENTAMENTE</w:t>
            </w:r>
          </w:p>
        </w:tc>
      </w:tr>
      <w:tr w:rsidR="009F3D31" w:rsidTr="00D974AB">
        <w:trPr>
          <w:trHeight w:val="206"/>
          <w:jc w:val="center"/>
        </w:trPr>
        <w:tc>
          <w:tcPr>
            <w:tcW w:w="7709" w:type="dxa"/>
            <w:vAlign w:val="center"/>
          </w:tcPr>
          <w:p w:rsidR="009F3D31" w:rsidRDefault="009F3D31">
            <w:pPr>
              <w:ind w:right="-876"/>
              <w:rPr>
                <w:rFonts w:ascii="Palatino Linotype" w:eastAsia="Palatino Linotype" w:hAnsi="Palatino Linotype" w:cs="Palatino Linotype"/>
                <w:i/>
                <w:iCs/>
                <w:sz w:val="24"/>
                <w:szCs w:val="24"/>
              </w:rPr>
            </w:pPr>
          </w:p>
        </w:tc>
      </w:tr>
      <w:tr w:rsidR="009F3D31" w:rsidTr="00D974AB">
        <w:trPr>
          <w:trHeight w:val="137"/>
          <w:jc w:val="center"/>
        </w:trPr>
        <w:tc>
          <w:tcPr>
            <w:tcW w:w="7709" w:type="dxa"/>
            <w:vAlign w:val="center"/>
          </w:tcPr>
          <w:p w:rsidR="009F3D31" w:rsidRDefault="003E5E9F">
            <w:pPr>
              <w:ind w:right="-876"/>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LICENCIADA EN DERECHO NORMA ANGÉLICA ZETINA MARTÍNEZ</w:t>
            </w:r>
          </w:p>
        </w:tc>
      </w:tr>
    </w:tbl>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sz w:val="24"/>
          <w:szCs w:val="24"/>
        </w:rPr>
      </w:pPr>
    </w:p>
    <w:p w:rsidR="009F3D31" w:rsidRDefault="003E5E9F">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color w:val="000000"/>
          <w:sz w:val="24"/>
          <w:szCs w:val="24"/>
        </w:rPr>
        <w:t xml:space="preserve">A la respuesta se adjuntó el archivo </w:t>
      </w:r>
      <w:hyperlink r:id="rId8">
        <w:r>
          <w:rPr>
            <w:rFonts w:ascii="Palatino Linotype" w:eastAsia="Palatino Linotype" w:hAnsi="Palatino Linotype" w:cs="Palatino Linotype"/>
            <w:b/>
            <w:bCs/>
            <w:color w:val="0563C1"/>
            <w:sz w:val="24"/>
            <w:szCs w:val="24"/>
            <w:u w:val="single"/>
          </w:rPr>
          <w:t>Respuesta 00728_2024_10_22_21_11_08_871.pdf</w:t>
        </w:r>
      </w:hyperlink>
      <w:r>
        <w:rPr>
          <w:rFonts w:ascii="Palatino Linotype" w:eastAsia="Palatino Linotype" w:hAnsi="Palatino Linotype" w:cs="Palatino Linotype"/>
          <w:color w:val="000000"/>
          <w:sz w:val="24"/>
          <w:szCs w:val="24"/>
        </w:rPr>
        <w:t>, en el que se advierte el oficio número 2718/MAIP/FGJ/2025 de fecha veintisiete de octubre de dos mil veinticinco, suscrito por el Titular de la Unidad de Transparencia, en el que señaló “</w:t>
      </w:r>
      <w:r>
        <w:rPr>
          <w:rFonts w:ascii="Palatino Linotype" w:eastAsia="Palatino Linotype" w:hAnsi="Palatino Linotype" w:cs="Palatino Linotype"/>
          <w:i/>
          <w:iCs/>
          <w:color w:val="000000"/>
          <w:sz w:val="24"/>
          <w:szCs w:val="24"/>
        </w:rPr>
        <w:t>Al respecto, la Dirección General de Información, Planeación, Programación y Evaluación, hace del conocimiento que no procesa información con el grado de desagregación que solicita y tampoco se encuentra obligada a procesar, resumir, efectuar cálculos o practicar investigaciones conforme al interés del solicitante, tal y como lo dispone el artículo 12 de la Ley de Transparencia y Acceso a la Información Pública del Estado de México y Municipios</w:t>
      </w:r>
      <w:r>
        <w:rPr>
          <w:rFonts w:ascii="Palatino Linotype" w:eastAsia="Palatino Linotype" w:hAnsi="Palatino Linotype" w:cs="Palatino Linotype"/>
          <w:color w:val="000000"/>
          <w:sz w:val="24"/>
          <w:szCs w:val="24"/>
        </w:rPr>
        <w:t xml:space="preserve">”. </w:t>
      </w:r>
    </w:p>
    <w:p w:rsidR="009F3D31" w:rsidRDefault="009F3D31">
      <w:pPr>
        <w:pBdr>
          <w:top w:val="nil"/>
          <w:left w:val="nil"/>
          <w:bottom w:val="nil"/>
          <w:right w:val="nil"/>
          <w:between w:val="nil"/>
        </w:pBdr>
        <w:spacing w:line="360" w:lineRule="auto"/>
        <w:ind w:left="720" w:right="-876"/>
        <w:jc w:val="both"/>
        <w:rPr>
          <w:rFonts w:ascii="Palatino Linotype" w:eastAsia="Palatino Linotype" w:hAnsi="Palatino Linotype" w:cs="Palatino Linotype"/>
          <w:b/>
          <w:bCs/>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bookmarkStart w:id="2" w:name="_heading=h.715b61lecfuj" w:colFirst="0" w:colLast="0"/>
      <w:bookmarkEnd w:id="2"/>
      <w:r>
        <w:rPr>
          <w:rFonts w:ascii="Palatino Linotype" w:eastAsia="Palatino Linotype" w:hAnsi="Palatino Linotype" w:cs="Palatino Linotype"/>
          <w:color w:val="000000"/>
          <w:sz w:val="24"/>
          <w:szCs w:val="24"/>
        </w:rPr>
        <w:lastRenderedPageBreak/>
        <w:t xml:space="preserve">El diecisiete de noviembre de noviembre de dos mil veinticinco, </w:t>
      </w:r>
      <w:r>
        <w:rPr>
          <w:rFonts w:ascii="Palatino Linotype" w:eastAsia="Palatino Linotype" w:hAnsi="Palatino Linotype" w:cs="Palatino Linotype"/>
          <w:b/>
          <w:bCs/>
          <w:color w:val="000000"/>
          <w:sz w:val="24"/>
          <w:szCs w:val="24"/>
        </w:rPr>
        <w:t>EL RECURRENTE</w:t>
      </w:r>
      <w:r>
        <w:rPr>
          <w:rFonts w:ascii="Palatino Linotype" w:eastAsia="Palatino Linotype" w:hAnsi="Palatino Linotype" w:cs="Palatino Linotype"/>
          <w:color w:val="000000"/>
          <w:sz w:val="24"/>
          <w:szCs w:val="24"/>
        </w:rPr>
        <w:t xml:space="preserve"> interpuso el recurso de revisión, en contra de la respuesta y señaló como:</w:t>
      </w:r>
    </w:p>
    <w:p w:rsidR="009F3D31" w:rsidRDefault="009F3D31">
      <w:pPr>
        <w:pBdr>
          <w:top w:val="nil"/>
          <w:left w:val="nil"/>
          <w:bottom w:val="nil"/>
          <w:right w:val="nil"/>
          <w:between w:val="nil"/>
        </w:pBdr>
        <w:ind w:left="720" w:right="-876"/>
        <w:rPr>
          <w:rFonts w:ascii="Palatino Linotype" w:eastAsia="Palatino Linotype" w:hAnsi="Palatino Linotype" w:cs="Palatino Linotype"/>
          <w:b/>
          <w:bCs/>
          <w:color w:val="000000"/>
          <w:sz w:val="24"/>
          <w:szCs w:val="24"/>
        </w:rPr>
      </w:pPr>
    </w:p>
    <w:p w:rsidR="009F3D31" w:rsidRDefault="003E5E9F">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Acto impugnado: </w:t>
      </w:r>
      <w:r>
        <w:rPr>
          <w:rFonts w:ascii="Palatino Linotype" w:eastAsia="Palatino Linotype" w:hAnsi="Palatino Linotype" w:cs="Palatino Linotype"/>
          <w:i/>
          <w:iCs/>
          <w:color w:val="000000"/>
          <w:sz w:val="24"/>
          <w:szCs w:val="24"/>
        </w:rPr>
        <w:t>“Respuesta del sujeto obligado” (sic)</w:t>
      </w:r>
    </w:p>
    <w:p w:rsidR="009F3D31" w:rsidRDefault="009F3D31">
      <w:pPr>
        <w:spacing w:line="360" w:lineRule="auto"/>
        <w:ind w:left="720" w:right="-876"/>
        <w:jc w:val="both"/>
        <w:rPr>
          <w:rFonts w:ascii="Palatino Linotype" w:eastAsia="Palatino Linotype" w:hAnsi="Palatino Linotype" w:cs="Palatino Linotype"/>
          <w:i/>
          <w:iCs/>
          <w:sz w:val="24"/>
          <w:szCs w:val="24"/>
        </w:rPr>
      </w:pPr>
    </w:p>
    <w:p w:rsidR="009F3D31" w:rsidRDefault="003E5E9F">
      <w:pPr>
        <w:numPr>
          <w:ilvl w:val="0"/>
          <w:numId w:val="1"/>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Motivos o razones de inconformidad: </w:t>
      </w:r>
      <w:r>
        <w:rPr>
          <w:rFonts w:ascii="Palatino Linotype" w:eastAsia="Palatino Linotype" w:hAnsi="Palatino Linotype" w:cs="Palatino Linotype"/>
          <w:b/>
          <w:bCs/>
          <w:i/>
          <w:iCs/>
          <w:color w:val="000000"/>
          <w:sz w:val="24"/>
          <w:szCs w:val="24"/>
        </w:rPr>
        <w:t>“</w:t>
      </w:r>
      <w:r>
        <w:rPr>
          <w:rFonts w:ascii="Palatino Linotype" w:eastAsia="Palatino Linotype" w:hAnsi="Palatino Linotype" w:cs="Palatino Linotype"/>
          <w:i/>
          <w:iCs/>
          <w:color w:val="000000"/>
          <w:sz w:val="24"/>
          <w:szCs w:val="24"/>
        </w:rPr>
        <w:t xml:space="preserve">En la respuesta recibida vía Plataforma Nacional de Transparencia (PNT), el Sujeto Obligado no me entrega la información que requerí y responde lo siguiente: "Al respecto, la Dirección General de Información, Planeación, Programación y Evaluación, hace del conocimiento que no procesa información con el grado de desagregación que solicita y tampoco se encuentra obligada a procesar, resumir, efectuar cálculos o practicar investigaciones conforme al interés del solicitante, tal y como lo dispone el artículo 12 de la Ley de Transparencia y Acceso a la Información Pública del Estado de México y Municipios.” En virtud de tal respuesta, es mi deseo recurrir en este acto la respuesta del sujeto obligado. Es importante mencionar que la información tal y como la solicito de manera sistematizada, debe encontrarse dentro del Sujeto Obligado por los siguientes argumentos: En primer lugar, entre las obligaciones de las entidades de seguridad pública, se encuentra la de requisitar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w:t>
      </w:r>
      <w:r>
        <w:rPr>
          <w:rFonts w:ascii="Palatino Linotype" w:eastAsia="Palatino Linotype" w:hAnsi="Palatino Linotype" w:cs="Palatino Linotype"/>
          <w:i/>
          <w:iCs/>
          <w:color w:val="000000"/>
          <w:sz w:val="24"/>
          <w:szCs w:val="24"/>
        </w:rPr>
        <w:lastRenderedPageBreak/>
        <w:t>XIV, así como en los Lineamientos para el Llenado, Entrega, Recepción, Registro, Resguardo y Consulta del Informe Policial Homologado (LIPH) publicados en el DOF el 21/02/2020. Ya establecida la obligación de requisitar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no agota el principio de exhaustividad al no pronunciarse sobre todos los puntos de mi solicitud ni de acuerdo al Criterio 02/171, emitido por el Peno del Instituto Nacional de Transparencia, Acceso a la Información Pública y Protección de Datos Personales</w:t>
      </w:r>
      <w:r>
        <w:rPr>
          <w:rFonts w:ascii="Palatino Linotype" w:eastAsia="Palatino Linotype" w:hAnsi="Palatino Linotype" w:cs="Palatino Linotype"/>
          <w:b/>
          <w:bCs/>
          <w:i/>
          <w:iCs/>
          <w:color w:val="000000"/>
          <w:sz w:val="24"/>
          <w:szCs w:val="24"/>
        </w:rPr>
        <w:t>”</w:t>
      </w:r>
      <w:r>
        <w:rPr>
          <w:rFonts w:ascii="Palatino Linotype" w:eastAsia="Palatino Linotype" w:hAnsi="Palatino Linotype" w:cs="Palatino Linotype"/>
          <w:i/>
          <w:iCs/>
          <w:color w:val="000000"/>
          <w:sz w:val="24"/>
          <w:szCs w:val="24"/>
        </w:rPr>
        <w:t xml:space="preserve"> (sic)</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lastRenderedPageBreak/>
        <w:t xml:space="preserve">Se registró el recurso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sz w:val="24"/>
          <w:szCs w:val="24"/>
        </w:rPr>
        <w:t>turna</w:t>
      </w:r>
      <w:r>
        <w:rPr>
          <w:rFonts w:ascii="Palatino Linotype" w:eastAsia="Palatino Linotype" w:hAnsi="Palatino Linotype" w:cs="Palatino Linotype"/>
          <w:color w:val="000000"/>
          <w:sz w:val="24"/>
          <w:szCs w:val="24"/>
        </w:rPr>
        <w:t xml:space="preserve"> a la </w:t>
      </w:r>
      <w:r>
        <w:rPr>
          <w:rFonts w:ascii="Palatino Linotype" w:eastAsia="Palatino Linotype" w:hAnsi="Palatino Linotype" w:cs="Palatino Linotype"/>
          <w:b/>
          <w:bCs/>
          <w:color w:val="000000"/>
          <w:sz w:val="24"/>
          <w:szCs w:val="24"/>
        </w:rPr>
        <w:t xml:space="preserve">Comisionada María del Rosario Mejía Ayala, </w:t>
      </w:r>
      <w:r>
        <w:rPr>
          <w:rFonts w:ascii="Palatino Linotype" w:eastAsia="Palatino Linotype" w:hAnsi="Palatino Linotype" w:cs="Palatino Linotype"/>
          <w:sz w:val="24"/>
          <w:szCs w:val="24"/>
        </w:rPr>
        <w:t>para</w:t>
      </w:r>
      <w:r>
        <w:rPr>
          <w:rFonts w:ascii="Palatino Linotype" w:eastAsia="Palatino Linotype" w:hAnsi="Palatino Linotype" w:cs="Palatino Linotype"/>
          <w:color w:val="000000"/>
          <w:sz w:val="24"/>
          <w:szCs w:val="24"/>
        </w:rPr>
        <w:t xml:space="preserve"> su análisis.</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sz w:val="24"/>
          <w:szCs w:val="24"/>
        </w:rPr>
        <w:t>veinte de noviembre de dos mil veinticinco</w:t>
      </w:r>
      <w:r>
        <w:rPr>
          <w:rFonts w:ascii="Palatino Linotype" w:eastAsia="Palatino Linotype" w:hAnsi="Palatino Linotype" w:cs="Palatino Linotype"/>
          <w:color w:val="000000"/>
          <w:sz w:val="24"/>
          <w:szCs w:val="24"/>
        </w:rPr>
        <w:t xml:space="preserve">, puso a disposición de las partes el expediente electrónico vía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a efecto de que en un plazo máximo de siete días </w:t>
      </w:r>
      <w:r>
        <w:rPr>
          <w:rFonts w:ascii="Palatino Linotype" w:eastAsia="Palatino Linotype" w:hAnsi="Palatino Linotype" w:cs="Palatino Linotype"/>
          <w:sz w:val="24"/>
          <w:szCs w:val="24"/>
        </w:rPr>
        <w:t>manifestara</w:t>
      </w:r>
      <w:r>
        <w:rPr>
          <w:rFonts w:ascii="Palatino Linotype" w:eastAsia="Palatino Linotype" w:hAnsi="Palatino Linotype" w:cs="Palatino Linotype"/>
          <w:color w:val="000000"/>
          <w:sz w:val="24"/>
          <w:szCs w:val="24"/>
        </w:rPr>
        <w:t xml:space="preserve"> lo que a derecho </w:t>
      </w:r>
      <w:r>
        <w:rPr>
          <w:rFonts w:ascii="Palatino Linotype" w:eastAsia="Palatino Linotype" w:hAnsi="Palatino Linotype" w:cs="Palatino Linotype"/>
          <w:sz w:val="24"/>
          <w:szCs w:val="24"/>
        </w:rPr>
        <w:t>conviniera</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ofreciera</w:t>
      </w:r>
      <w:r>
        <w:rPr>
          <w:rFonts w:ascii="Palatino Linotype" w:eastAsia="Palatino Linotype" w:hAnsi="Palatino Linotype" w:cs="Palatino Linotype"/>
          <w:color w:val="000000"/>
          <w:sz w:val="24"/>
          <w:szCs w:val="24"/>
        </w:rPr>
        <w:t xml:space="preserve"> pruebas y alegatos según corresponda al caso concreto, de esta forma para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presentará</w:t>
      </w:r>
      <w:r>
        <w:rPr>
          <w:rFonts w:ascii="Palatino Linotype" w:eastAsia="Palatino Linotype" w:hAnsi="Palatino Linotype" w:cs="Palatino Linotype"/>
          <w:color w:val="000000"/>
          <w:sz w:val="24"/>
          <w:szCs w:val="24"/>
        </w:rPr>
        <w:t xml:space="preserve"> el informe justificado procedente.</w:t>
      </w:r>
    </w:p>
    <w:p w:rsidR="009F3D31" w:rsidRDefault="009F3D31">
      <w:pPr>
        <w:pBdr>
          <w:top w:val="nil"/>
          <w:left w:val="nil"/>
          <w:bottom w:val="nil"/>
          <w:right w:val="nil"/>
          <w:between w:val="nil"/>
        </w:pBdr>
        <w:ind w:left="720" w:right="-876"/>
        <w:rPr>
          <w:rFonts w:ascii="Palatino Linotype" w:eastAsia="Palatino Linotype" w:hAnsi="Palatino Linotype" w:cs="Palatino Linotype"/>
          <w:i/>
          <w:iCs/>
          <w:color w:val="000000"/>
          <w:sz w:val="24"/>
          <w:szCs w:val="24"/>
        </w:rPr>
      </w:pPr>
    </w:p>
    <w:p w:rsidR="009F3D31" w:rsidRDefault="003E5E9F">
      <w:pPr>
        <w:numPr>
          <w:ilvl w:val="0"/>
          <w:numId w:val="4"/>
        </w:numPr>
        <w:tabs>
          <w:tab w:val="left" w:pos="284"/>
        </w:tabs>
        <w:spacing w:before="240" w:after="240" w:line="360" w:lineRule="auto"/>
        <w:ind w:left="0" w:right="-876"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t xml:space="preserve">De las constancias que obran en el expediente electrónico del SAIMEX, se aprecia que la parte Recurrente no realizó manifestaciones que a su derecho </w:t>
      </w:r>
      <w:r>
        <w:rPr>
          <w:rFonts w:ascii="Palatino Linotype" w:eastAsia="Palatino Linotype" w:hAnsi="Palatino Linotype" w:cs="Palatino Linotype"/>
          <w:sz w:val="24"/>
          <w:szCs w:val="24"/>
        </w:rPr>
        <w:t>conviniera</w:t>
      </w:r>
      <w:r>
        <w:rPr>
          <w:rFonts w:ascii="Palatino Linotype" w:eastAsia="Palatino Linotype" w:hAnsi="Palatino Linotype" w:cs="Palatino Linotype"/>
          <w:color w:val="000000"/>
          <w:sz w:val="24"/>
          <w:szCs w:val="24"/>
        </w:rPr>
        <w:t>; por su parte, el Sujeto Obligado entregó informe justificado el primero y dos de diciembre de dos mil veinticinco, mismo que se puso a la vista del Recurrente el veintiocho de abril de dos mil veintiséis y que consta de los archivos que se describen enseguida:</w:t>
      </w:r>
    </w:p>
    <w:p w:rsidR="009F3D31" w:rsidRDefault="00CE0C3D">
      <w:pPr>
        <w:numPr>
          <w:ilvl w:val="0"/>
          <w:numId w:val="3"/>
        </w:numPr>
        <w:pBdr>
          <w:top w:val="nil"/>
          <w:left w:val="nil"/>
          <w:bottom w:val="nil"/>
          <w:right w:val="nil"/>
          <w:between w:val="nil"/>
        </w:pBdr>
        <w:tabs>
          <w:tab w:val="left" w:pos="284"/>
        </w:tabs>
        <w:spacing w:before="240" w:line="360" w:lineRule="auto"/>
        <w:ind w:right="-876"/>
        <w:jc w:val="both"/>
        <w:rPr>
          <w:rFonts w:ascii="Palatino Linotype" w:eastAsia="Palatino Linotype" w:hAnsi="Palatino Linotype" w:cs="Palatino Linotype"/>
          <w:b/>
          <w:bCs/>
          <w:color w:val="000000"/>
          <w:sz w:val="24"/>
          <w:szCs w:val="24"/>
        </w:rPr>
      </w:pPr>
      <w:hyperlink r:id="rId9">
        <w:r w:rsidR="003E5E9F">
          <w:rPr>
            <w:rFonts w:ascii="Palatino Linotype" w:eastAsia="Palatino Linotype" w:hAnsi="Palatino Linotype" w:cs="Palatino Linotype"/>
            <w:b/>
            <w:bCs/>
            <w:color w:val="000000"/>
            <w:sz w:val="24"/>
            <w:szCs w:val="24"/>
            <w:u w:val="single"/>
          </w:rPr>
          <w:t>Oficio Informe Justificado sol 728 RR 13068.pdf</w:t>
        </w:r>
      </w:hyperlink>
      <w:r w:rsidR="003E5E9F">
        <w:rPr>
          <w:rFonts w:ascii="Palatino Linotype" w:eastAsia="Palatino Linotype" w:hAnsi="Palatino Linotype" w:cs="Palatino Linotype"/>
          <w:b/>
          <w:bCs/>
          <w:color w:val="000000"/>
          <w:sz w:val="24"/>
          <w:szCs w:val="24"/>
        </w:rPr>
        <w:t xml:space="preserve">: </w:t>
      </w:r>
      <w:r w:rsidR="003E5E9F">
        <w:rPr>
          <w:rFonts w:ascii="Palatino Linotype" w:eastAsia="Palatino Linotype" w:hAnsi="Palatino Linotype" w:cs="Palatino Linotype"/>
          <w:color w:val="000000"/>
          <w:sz w:val="24"/>
          <w:szCs w:val="24"/>
        </w:rPr>
        <w:t>oficio número 2918/MAIP/FGJ/2025, de fecha veintiocho de noviembre de dos mil veinticinco, suscrito por el Titular de la Unidad de Transparencia, quien señaló que se adjunta el informe justificado.</w:t>
      </w:r>
      <w:r w:rsidR="003E5E9F">
        <w:rPr>
          <w:rFonts w:ascii="Palatino Linotype" w:eastAsia="Palatino Linotype" w:hAnsi="Palatino Linotype" w:cs="Palatino Linotype"/>
          <w:b/>
          <w:bCs/>
          <w:color w:val="000000"/>
          <w:sz w:val="24"/>
          <w:szCs w:val="24"/>
        </w:rPr>
        <w:t xml:space="preserve"> </w:t>
      </w:r>
    </w:p>
    <w:p w:rsidR="009F3D31" w:rsidRDefault="00CE0C3D">
      <w:pPr>
        <w:numPr>
          <w:ilvl w:val="0"/>
          <w:numId w:val="3"/>
        </w:num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b/>
          <w:bCs/>
          <w:color w:val="000000"/>
          <w:sz w:val="24"/>
          <w:szCs w:val="24"/>
        </w:rPr>
      </w:pPr>
      <w:hyperlink r:id="rId10">
        <w:r w:rsidR="003E5E9F">
          <w:rPr>
            <w:rFonts w:ascii="Palatino Linotype" w:eastAsia="Palatino Linotype" w:hAnsi="Palatino Linotype" w:cs="Palatino Linotype"/>
            <w:b/>
            <w:bCs/>
            <w:color w:val="000000"/>
            <w:sz w:val="24"/>
            <w:szCs w:val="24"/>
            <w:u w:val="single"/>
          </w:rPr>
          <w:t xml:space="preserve">INFORME JUSTIFICADO </w:t>
        </w:r>
      </w:hyperlink>
      <w:hyperlink r:id="rId11">
        <w:r w:rsidR="003E5E9F">
          <w:rPr>
            <w:rFonts w:ascii="Palatino Linotype" w:eastAsia="Palatino Linotype" w:hAnsi="Palatino Linotype" w:cs="Palatino Linotype"/>
            <w:b/>
            <w:bCs/>
            <w:color w:val="000000"/>
            <w:sz w:val="24"/>
            <w:szCs w:val="24"/>
            <w:u w:val="single"/>
          </w:rPr>
          <w:t>RR13068</w:t>
        </w:r>
      </w:hyperlink>
      <w:hyperlink r:id="rId12">
        <w:r w:rsidR="003E5E9F">
          <w:rPr>
            <w:rFonts w:ascii="Palatino Linotype" w:eastAsia="Palatino Linotype" w:hAnsi="Palatino Linotype" w:cs="Palatino Linotype"/>
            <w:b/>
            <w:bCs/>
            <w:color w:val="000000"/>
            <w:sz w:val="24"/>
            <w:szCs w:val="24"/>
            <w:u w:val="single"/>
          </w:rPr>
          <w:t xml:space="preserve"> SOL 728.pdf</w:t>
        </w:r>
      </w:hyperlink>
      <w:r w:rsidR="003E5E9F">
        <w:rPr>
          <w:rFonts w:ascii="Palatino Linotype" w:eastAsia="Palatino Linotype" w:hAnsi="Palatino Linotype" w:cs="Palatino Linotype"/>
          <w:b/>
          <w:bCs/>
          <w:color w:val="000000"/>
          <w:sz w:val="24"/>
          <w:szCs w:val="24"/>
        </w:rPr>
        <w:t xml:space="preserve"> y </w:t>
      </w:r>
      <w:hyperlink r:id="rId13">
        <w:r w:rsidR="003E5E9F">
          <w:rPr>
            <w:rFonts w:ascii="Palatino Linotype" w:eastAsia="Palatino Linotype" w:hAnsi="Palatino Linotype" w:cs="Palatino Linotype"/>
            <w:b/>
            <w:bCs/>
            <w:color w:val="000000"/>
            <w:sz w:val="24"/>
            <w:szCs w:val="24"/>
            <w:u w:val="single"/>
          </w:rPr>
          <w:t>INFORME JUSTIFICADO RRR 13068 SOL 728.pdf</w:t>
        </w:r>
      </w:hyperlink>
      <w:r w:rsidR="003E5E9F">
        <w:rPr>
          <w:rFonts w:ascii="Palatino Linotype" w:eastAsia="Palatino Linotype" w:hAnsi="Palatino Linotype" w:cs="Palatino Linotype"/>
          <w:b/>
          <w:bCs/>
          <w:color w:val="000000"/>
          <w:sz w:val="24"/>
          <w:szCs w:val="24"/>
        </w:rPr>
        <w:t xml:space="preserve">: </w:t>
      </w:r>
      <w:r w:rsidR="003E5E9F">
        <w:rPr>
          <w:rFonts w:ascii="Palatino Linotype" w:eastAsia="Palatino Linotype" w:hAnsi="Palatino Linotype" w:cs="Palatino Linotype"/>
          <w:color w:val="000000"/>
          <w:sz w:val="24"/>
          <w:szCs w:val="24"/>
        </w:rPr>
        <w:t xml:space="preserve">oficio número 2917/MAIP/FGJ/2025 de fecha primero de diciembre </w:t>
      </w:r>
      <w:r w:rsidR="003E5E9F">
        <w:rPr>
          <w:rFonts w:ascii="Palatino Linotype" w:eastAsia="Palatino Linotype" w:hAnsi="Palatino Linotype" w:cs="Palatino Linotype"/>
          <w:color w:val="000000"/>
          <w:sz w:val="24"/>
          <w:szCs w:val="24"/>
        </w:rPr>
        <w:lastRenderedPageBreak/>
        <w:t>de dos mil veinticinco, suscrito por el Titular de la Unidad de Transparencia, quien ratificó respuesta.</w:t>
      </w:r>
    </w:p>
    <w:p w:rsidR="009F3D31" w:rsidRDefault="009F3D31">
      <w:pPr>
        <w:pBdr>
          <w:top w:val="nil"/>
          <w:left w:val="nil"/>
          <w:bottom w:val="nil"/>
          <w:right w:val="nil"/>
          <w:between w:val="nil"/>
        </w:pBdr>
        <w:tabs>
          <w:tab w:val="left" w:pos="284"/>
        </w:tabs>
        <w:spacing w:line="360" w:lineRule="auto"/>
        <w:ind w:left="720" w:right="-876"/>
        <w:jc w:val="both"/>
        <w:rPr>
          <w:rFonts w:ascii="Palatino Linotype" w:eastAsia="Palatino Linotype" w:hAnsi="Palatino Linotype" w:cs="Palatino Linotype"/>
          <w:b/>
          <w:bCs/>
          <w:i/>
          <w:iCs/>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diez de abril de dos mil veintiséis,</w:t>
      </w:r>
      <w:r>
        <w:rPr>
          <w:rFonts w:ascii="Palatino Linotype" w:eastAsia="Palatino Linotype" w:hAnsi="Palatino Linotype" w:cs="Palatino Linotype"/>
          <w:color w:val="000000"/>
          <w:sz w:val="24"/>
          <w:szCs w:val="24"/>
        </w:rPr>
        <w:t xml:space="preserve"> se notificó el acuerdo mediante el cual se aprobó la ampliación de plazo para emitir resolución. </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trece de mayo de dos mil veintiséis,</w:t>
      </w:r>
      <w:r>
        <w:rPr>
          <w:rFonts w:ascii="Palatino Linotype" w:eastAsia="Palatino Linotype" w:hAnsi="Palatino Linotype" w:cs="Palatino Linotype"/>
          <w:color w:val="000000"/>
          <w:sz w:val="24"/>
          <w:szCs w:val="24"/>
        </w:rPr>
        <w:t xml:space="preserve"> se notificó el acuerdo mediante el cual se decretó el cierre de instrucción.</w:t>
      </w:r>
    </w:p>
    <w:p w:rsidR="009F3D31" w:rsidRDefault="003E5E9F">
      <w:pPr>
        <w:pStyle w:val="Ttulo1"/>
        <w:ind w:right="-876"/>
        <w:jc w:val="center"/>
        <w:rPr>
          <w:rFonts w:ascii="Palatino Linotype" w:eastAsia="Palatino Linotype" w:hAnsi="Palatino Linotype" w:cs="Palatino Linotype"/>
          <w:b/>
          <w:bCs/>
          <w:color w:val="000000"/>
          <w:sz w:val="24"/>
          <w:szCs w:val="24"/>
        </w:rPr>
      </w:pPr>
      <w:bookmarkStart w:id="3" w:name="_heading=h.4lh1yet26ln5" w:colFirst="0" w:colLast="0"/>
      <w:bookmarkEnd w:id="3"/>
      <w:r>
        <w:rPr>
          <w:rFonts w:ascii="Palatino Linotype" w:eastAsia="Palatino Linotype" w:hAnsi="Palatino Linotype" w:cs="Palatino Linotype"/>
          <w:b/>
          <w:bCs/>
          <w:color w:val="000000"/>
          <w:sz w:val="24"/>
          <w:szCs w:val="24"/>
        </w:rPr>
        <w:t xml:space="preserve">C O N S I D E R A N D O </w:t>
      </w:r>
    </w:p>
    <w:p w:rsidR="009F3D31" w:rsidRDefault="009F3D31">
      <w:pPr>
        <w:ind w:right="-876"/>
        <w:rPr>
          <w:rFonts w:ascii="Palatino Linotype" w:eastAsia="Palatino Linotype" w:hAnsi="Palatino Linotype" w:cs="Palatino Linotype"/>
          <w:sz w:val="24"/>
          <w:szCs w:val="24"/>
        </w:rPr>
      </w:pPr>
    </w:p>
    <w:p w:rsidR="009F3D31" w:rsidRDefault="003E5E9F">
      <w:pPr>
        <w:pStyle w:val="Ttulo2"/>
        <w:ind w:right="-876"/>
        <w:rPr>
          <w:rFonts w:ascii="Palatino Linotype" w:eastAsia="Palatino Linotype" w:hAnsi="Palatino Linotype" w:cs="Palatino Linotype"/>
          <w:b/>
          <w:bCs/>
          <w:color w:val="000000"/>
          <w:sz w:val="24"/>
          <w:szCs w:val="24"/>
        </w:rPr>
      </w:pPr>
      <w:bookmarkStart w:id="4" w:name="_heading=h.6rj32n4del3a" w:colFirst="0" w:colLast="0"/>
      <w:bookmarkEnd w:id="4"/>
      <w:r>
        <w:rPr>
          <w:rFonts w:ascii="Palatino Linotype" w:eastAsia="Palatino Linotype" w:hAnsi="Palatino Linotype" w:cs="Palatino Linotype"/>
          <w:b/>
          <w:bCs/>
          <w:color w:val="000000"/>
          <w:sz w:val="24"/>
          <w:szCs w:val="24"/>
        </w:rPr>
        <w:t>PRIMERO. De la competencia</w:t>
      </w: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sz w:val="24"/>
          <w:szCs w:val="24"/>
        </w:rPr>
        <w:t>Constitución Política de los Estados Unidos Mexicanos</w:t>
      </w:r>
      <w:r>
        <w:rPr>
          <w:rFonts w:ascii="Palatino Linotype" w:eastAsia="Palatino Linotype" w:hAnsi="Palatino Linotype" w:cs="Palatino Linotype"/>
          <w:color w:val="000000"/>
          <w:sz w:val="24"/>
          <w:szCs w:val="24"/>
        </w:rPr>
        <w:t xml:space="preserve">; 5, párrafos </w:t>
      </w:r>
      <w:r>
        <w:rPr>
          <w:rFonts w:ascii="Palatino Linotype" w:eastAsia="Palatino Linotype" w:hAnsi="Palatino Linotype" w:cs="Palatino Linotype"/>
          <w:color w:val="222222"/>
          <w:sz w:val="24"/>
          <w:szCs w:val="24"/>
        </w:rPr>
        <w:t>trigésimo segundo, trigésimo tercero y trigésimo cuarto fracciones</w:t>
      </w:r>
      <w:r>
        <w:rPr>
          <w:rFonts w:ascii="Palatino Linotype" w:eastAsia="Palatino Linotype" w:hAnsi="Palatino Linotype" w:cs="Palatino Linotype"/>
          <w:color w:val="000000"/>
          <w:sz w:val="24"/>
          <w:szCs w:val="24"/>
        </w:rPr>
        <w:t xml:space="preserve"> IV y V de la </w:t>
      </w:r>
      <w:r>
        <w:rPr>
          <w:rFonts w:ascii="Palatino Linotype" w:eastAsia="Palatino Linotype" w:hAnsi="Palatino Linotype" w:cs="Palatino Linotype"/>
          <w:b/>
          <w:bCs/>
          <w:color w:val="000000"/>
          <w:sz w:val="24"/>
          <w:szCs w:val="24"/>
        </w:rPr>
        <w:t>Constitución Política del Estado Libre y Soberano de México</w:t>
      </w:r>
      <w:r>
        <w:rPr>
          <w:rFonts w:ascii="Palatino Linotype" w:eastAsia="Palatino Linotype" w:hAnsi="Palatino Linotype" w:cs="Palatino Linotype"/>
          <w:color w:val="000000"/>
          <w:sz w:val="24"/>
          <w:szCs w:val="24"/>
        </w:rPr>
        <w:t xml:space="preserve">; artículos 1, 2 fracción II, 13, 29, 36 fracciones I y II, 176, 178, 179, 181 párrafo tercero y 185 de la </w:t>
      </w:r>
      <w:r>
        <w:rPr>
          <w:rFonts w:ascii="Palatino Linotype" w:eastAsia="Palatino Linotype" w:hAnsi="Palatino Linotype" w:cs="Palatino Linotype"/>
          <w:b/>
          <w:bCs/>
          <w:color w:val="000000"/>
          <w:sz w:val="24"/>
          <w:szCs w:val="24"/>
        </w:rPr>
        <w:t>Ley de Transparencia y Acceso a la Información Pública del Estado de México y Municipios</w:t>
      </w:r>
      <w:r>
        <w:rPr>
          <w:rFonts w:ascii="Palatino Linotype" w:eastAsia="Palatino Linotype" w:hAnsi="Palatino Linotype" w:cs="Palatino Linotype"/>
          <w:color w:val="000000"/>
          <w:sz w:val="24"/>
          <w:szCs w:val="24"/>
        </w:rPr>
        <w:t xml:space="preserve">; y 7, 9 fracciones I y XXIII, y 11 del </w:t>
      </w:r>
      <w:r>
        <w:rPr>
          <w:rFonts w:ascii="Palatino Linotype" w:eastAsia="Palatino Linotype" w:hAnsi="Palatino Linotype" w:cs="Palatino Linotype"/>
          <w:b/>
          <w:bCs/>
          <w:color w:val="000000"/>
          <w:sz w:val="24"/>
          <w:szCs w:val="24"/>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sz w:val="24"/>
          <w:szCs w:val="24"/>
        </w:rPr>
        <w:t>.</w:t>
      </w:r>
    </w:p>
    <w:p w:rsidR="009F3D31" w:rsidRDefault="009F3D31">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sz w:val="24"/>
          <w:szCs w:val="24"/>
        </w:rPr>
      </w:pPr>
    </w:p>
    <w:p w:rsidR="009F3D31" w:rsidRDefault="003E5E9F">
      <w:pPr>
        <w:pStyle w:val="Ttulo2"/>
        <w:ind w:right="-876"/>
        <w:rPr>
          <w:rFonts w:ascii="Palatino Linotype" w:eastAsia="Palatino Linotype" w:hAnsi="Palatino Linotype" w:cs="Palatino Linotype"/>
          <w:b/>
          <w:bCs/>
          <w:color w:val="000000"/>
          <w:sz w:val="24"/>
          <w:szCs w:val="24"/>
        </w:rPr>
      </w:pPr>
      <w:bookmarkStart w:id="5" w:name="_heading=h.2l71e2urigzs" w:colFirst="0" w:colLast="0"/>
      <w:bookmarkEnd w:id="5"/>
      <w:r>
        <w:rPr>
          <w:rFonts w:ascii="Palatino Linotype" w:eastAsia="Palatino Linotype" w:hAnsi="Palatino Linotype" w:cs="Palatino Linotype"/>
          <w:b/>
          <w:bCs/>
          <w:color w:val="000000"/>
          <w:sz w:val="24"/>
          <w:szCs w:val="24"/>
        </w:rPr>
        <w:lastRenderedPageBreak/>
        <w:t>SEGUNDO. De la oportunidad y procedencia.</w:t>
      </w: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color w:val="000000"/>
        </w:rPr>
      </w:pPr>
      <w:bookmarkStart w:id="6" w:name="_heading=h.kvcolkde12so" w:colFirst="0" w:colLast="0"/>
      <w:bookmarkEnd w:id="6"/>
      <w:r>
        <w:rPr>
          <w:rFonts w:ascii="Palatino Linotype" w:eastAsia="Palatino Linotype" w:hAnsi="Palatino Linotype" w:cs="Palatino Linotype"/>
          <w:color w:val="000000"/>
          <w:sz w:val="24"/>
          <w:szCs w:val="24"/>
        </w:rPr>
        <w:t xml:space="preserve">El medio de impugnación fue presentado a través del SAIMEX en el formato previamente aprobado para tal efecto y dentro del plazo legal de quince días hábiles otorgados; siendo así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entregó respuesta el </w:t>
      </w:r>
      <w:r>
        <w:rPr>
          <w:rFonts w:ascii="Palatino Linotype" w:eastAsia="Palatino Linotype" w:hAnsi="Palatino Linotype" w:cs="Palatino Linotype"/>
          <w:b/>
          <w:bCs/>
          <w:color w:val="000000"/>
          <w:sz w:val="24"/>
          <w:szCs w:val="24"/>
        </w:rPr>
        <w:t>veintisiete de octubre de dos mil veinticinco</w:t>
      </w:r>
      <w:r>
        <w:rPr>
          <w:rFonts w:ascii="Palatino Linotype" w:eastAsia="Palatino Linotype" w:hAnsi="Palatino Linotype" w:cs="Palatino Linotype"/>
          <w:color w:val="000000"/>
          <w:sz w:val="24"/>
          <w:szCs w:val="24"/>
        </w:rPr>
        <w:t xml:space="preserve">, de tal forma que el plazo para interponer el recurso de revisión transcurrió del </w:t>
      </w:r>
      <w:r>
        <w:rPr>
          <w:rFonts w:ascii="Palatino Linotype" w:eastAsia="Palatino Linotype" w:hAnsi="Palatino Linotype" w:cs="Palatino Linotype"/>
          <w:b/>
          <w:bCs/>
          <w:color w:val="000000"/>
          <w:sz w:val="24"/>
          <w:szCs w:val="24"/>
        </w:rPr>
        <w:t>veintiocho de octubre al dieciocho de noviembre de dos mil veinticinco</w:t>
      </w:r>
      <w:r>
        <w:rPr>
          <w:rFonts w:ascii="Palatino Linotype" w:eastAsia="Palatino Linotype" w:hAnsi="Palatino Linotype" w:cs="Palatino Linotype"/>
          <w:color w:val="000000"/>
          <w:sz w:val="24"/>
          <w:szCs w:val="24"/>
        </w:rPr>
        <w:t xml:space="preserve">, el recurso de revisión fue interpuesto el </w:t>
      </w:r>
      <w:r>
        <w:rPr>
          <w:rFonts w:ascii="Palatino Linotype" w:eastAsia="Palatino Linotype" w:hAnsi="Palatino Linotype" w:cs="Palatino Linotype"/>
          <w:b/>
          <w:bCs/>
          <w:color w:val="000000"/>
          <w:sz w:val="24"/>
          <w:szCs w:val="24"/>
        </w:rPr>
        <w:t>diecisiete de noviembre de dos mil veinticinco</w:t>
      </w:r>
      <w:r>
        <w:rPr>
          <w:rFonts w:ascii="Palatino Linotype" w:eastAsia="Palatino Linotype" w:hAnsi="Palatino Linotype" w:cs="Palatino Linotype"/>
          <w:color w:val="000000"/>
          <w:sz w:val="24"/>
          <w:szCs w:val="24"/>
        </w:rPr>
        <w:t>, éste se encuentra dentro de los márgenes temporales previstos en el artículo 178 de la Ley de Transparencia y Acceso a la Información Pública del Estado de México y Municipios</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vigente. </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i/>
          <w:iCs/>
          <w:color w:val="000000"/>
          <w:sz w:val="24"/>
          <w:szCs w:val="24"/>
        </w:rPr>
      </w:pP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9F3D31" w:rsidRDefault="003E5E9F">
      <w:pPr>
        <w:pStyle w:val="Ttulo1"/>
        <w:ind w:right="-876"/>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TERCERO. Planteamiento de la Litis </w:t>
      </w:r>
    </w:p>
    <w:p w:rsidR="009F3D31" w:rsidRDefault="003E5E9F">
      <w:pPr>
        <w:numPr>
          <w:ilvl w:val="0"/>
          <w:numId w:val="4"/>
        </w:numPr>
        <w:pBdr>
          <w:top w:val="nil"/>
          <w:left w:val="nil"/>
          <w:bottom w:val="nil"/>
          <w:right w:val="nil"/>
          <w:between w:val="nil"/>
        </w:pBdr>
        <w:spacing w:before="240"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El recurrente solicitó en formato abierto como xls o cvs una base de datos sobre incidencia o reporte de incidentes, eventos o cualquier otro registro o documentos que genere, posea o administre el Sujeto Obligado, del primero de enero de dos mil dieciocho al ocho de octubre de dos mil veinticinco. </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i/>
          <w:iCs/>
          <w:color w:val="000000"/>
          <w:sz w:val="24"/>
          <w:szCs w:val="24"/>
        </w:rPr>
      </w:pPr>
    </w:p>
    <w:p w:rsidR="009F3D31" w:rsidRDefault="003E5E9F">
      <w:pPr>
        <w:numPr>
          <w:ilvl w:val="0"/>
          <w:numId w:val="4"/>
        </w:numPr>
        <w:pBdr>
          <w:top w:val="nil"/>
          <w:left w:val="nil"/>
          <w:bottom w:val="nil"/>
          <w:right w:val="nil"/>
          <w:between w:val="nil"/>
        </w:pBdr>
        <w:spacing w:after="240"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El Sujeto Obligado, señaló en respuesta que no procesa la información al grado de desagregación que la solicita el Recurrente y tampoco se encuentra obligada a </w:t>
      </w:r>
      <w:r>
        <w:rPr>
          <w:rFonts w:ascii="Palatino Linotype" w:eastAsia="Palatino Linotype" w:hAnsi="Palatino Linotype" w:cs="Palatino Linotype"/>
          <w:sz w:val="24"/>
          <w:szCs w:val="24"/>
        </w:rPr>
        <w:t>procesar</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lastRenderedPageBreak/>
        <w:t>resumir o</w:t>
      </w:r>
      <w:r>
        <w:rPr>
          <w:rFonts w:ascii="Palatino Linotype" w:eastAsia="Palatino Linotype" w:hAnsi="Palatino Linotype" w:cs="Palatino Linotype"/>
          <w:color w:val="000000"/>
          <w:sz w:val="24"/>
          <w:szCs w:val="24"/>
        </w:rPr>
        <w:t xml:space="preserve"> efectuar cálculos. Posteriormente, el Recurrente se </w:t>
      </w:r>
      <w:r>
        <w:rPr>
          <w:rFonts w:ascii="Palatino Linotype" w:eastAsia="Palatino Linotype" w:hAnsi="Palatino Linotype" w:cs="Palatino Linotype"/>
          <w:sz w:val="24"/>
          <w:szCs w:val="24"/>
        </w:rPr>
        <w:t>inconforma</w:t>
      </w:r>
      <w:r>
        <w:rPr>
          <w:rFonts w:ascii="Palatino Linotype" w:eastAsia="Palatino Linotype" w:hAnsi="Palatino Linotype" w:cs="Palatino Linotype"/>
          <w:color w:val="000000"/>
          <w:sz w:val="24"/>
          <w:szCs w:val="24"/>
        </w:rPr>
        <w:t xml:space="preserve">, de forma medular, por la negativa de la información. </w:t>
      </w:r>
    </w:p>
    <w:p w:rsidR="009F3D31" w:rsidRDefault="003E5E9F">
      <w:pPr>
        <w:numPr>
          <w:ilvl w:val="0"/>
          <w:numId w:val="4"/>
        </w:numPr>
        <w:tabs>
          <w:tab w:val="left" w:pos="284"/>
        </w:tabs>
        <w:spacing w:before="240" w:line="360" w:lineRule="auto"/>
        <w:ind w:left="0" w:right="-876" w:firstLine="0"/>
        <w:jc w:val="both"/>
      </w:pPr>
      <w:r>
        <w:rPr>
          <w:rFonts w:ascii="Palatino Linotype" w:eastAsia="Palatino Linotype" w:hAnsi="Palatino Linotype" w:cs="Palatino Linotype"/>
          <w:sz w:val="24"/>
          <w:szCs w:val="24"/>
        </w:rPr>
        <w:t>Por lo tanto, el presente recurso de revisión se circunscribe en determinar si se actualiza las causales de procedencia</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contenidas en el artículo 179 fracciones I, relativo a la negativa de la información, de la </w:t>
      </w:r>
      <w:r>
        <w:rPr>
          <w:rFonts w:ascii="Palatino Linotype" w:eastAsia="Palatino Linotype" w:hAnsi="Palatino Linotype" w:cs="Palatino Linotype"/>
          <w:b/>
          <w:bCs/>
          <w:sz w:val="24"/>
          <w:szCs w:val="24"/>
        </w:rPr>
        <w:t>Ley de Transparencia y Acceso a la Información Pública del Estado de México y Municipios</w:t>
      </w:r>
      <w:r>
        <w:rPr>
          <w:rFonts w:ascii="Palatino Linotype" w:eastAsia="Palatino Linotype" w:hAnsi="Palatino Linotype" w:cs="Palatino Linotype"/>
          <w:sz w:val="24"/>
          <w:szCs w:val="24"/>
        </w:rPr>
        <w:t>.</w:t>
      </w:r>
    </w:p>
    <w:p w:rsidR="009F3D31" w:rsidRDefault="009F3D31">
      <w:pPr>
        <w:tabs>
          <w:tab w:val="left" w:pos="426"/>
        </w:tabs>
        <w:spacing w:line="360" w:lineRule="auto"/>
        <w:ind w:left="567" w:right="-876"/>
        <w:jc w:val="both"/>
        <w:rPr>
          <w:rFonts w:ascii="Palatino Linotype" w:eastAsia="Palatino Linotype" w:hAnsi="Palatino Linotype" w:cs="Palatino Linotype"/>
          <w:i/>
          <w:iCs/>
          <w:color w:val="000000"/>
          <w:sz w:val="24"/>
          <w:szCs w:val="24"/>
        </w:rPr>
      </w:pPr>
    </w:p>
    <w:p w:rsidR="009F3D31" w:rsidRDefault="003E5E9F">
      <w:pPr>
        <w:pStyle w:val="Ttulo2"/>
        <w:tabs>
          <w:tab w:val="left" w:pos="426"/>
        </w:tabs>
        <w:ind w:right="-876"/>
        <w:rPr>
          <w:rFonts w:ascii="Palatino Linotype" w:eastAsia="Palatino Linotype" w:hAnsi="Palatino Linotype" w:cs="Palatino Linotype"/>
          <w:b/>
          <w:bCs/>
          <w:color w:val="000000"/>
          <w:sz w:val="24"/>
          <w:szCs w:val="24"/>
        </w:rPr>
      </w:pPr>
      <w:bookmarkStart w:id="7" w:name="_heading=h.lk69dw9v37y6" w:colFirst="0" w:colLast="0"/>
      <w:bookmarkEnd w:id="7"/>
      <w:r>
        <w:rPr>
          <w:rFonts w:ascii="Palatino Linotype" w:eastAsia="Palatino Linotype" w:hAnsi="Palatino Linotype" w:cs="Palatino Linotype"/>
          <w:b/>
          <w:bCs/>
          <w:color w:val="000000"/>
          <w:sz w:val="24"/>
          <w:szCs w:val="24"/>
        </w:rPr>
        <w:t>CUARTO. Estudio y Resolución del asunto.</w:t>
      </w: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9F3D31" w:rsidRDefault="009F3D31">
      <w:pPr>
        <w:pBdr>
          <w:top w:val="nil"/>
          <w:left w:val="nil"/>
          <w:bottom w:val="nil"/>
          <w:right w:val="nil"/>
          <w:between w:val="nil"/>
        </w:pBdr>
        <w:spacing w:line="360" w:lineRule="auto"/>
        <w:ind w:left="4613" w:right="-876"/>
        <w:jc w:val="both"/>
        <w:rPr>
          <w:rFonts w:ascii="Palatino Linotype" w:eastAsia="Palatino Linotype" w:hAnsi="Palatino Linotype" w:cs="Palatino Linotype"/>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Primeramente, debemos recapitular que el particular solicitó en </w:t>
      </w:r>
      <w:r>
        <w:rPr>
          <w:rFonts w:ascii="Palatino Linotype" w:eastAsia="Palatino Linotype" w:hAnsi="Palatino Linotype" w:cs="Palatino Linotype"/>
          <w:sz w:val="24"/>
          <w:szCs w:val="24"/>
        </w:rPr>
        <w:t xml:space="preserve">formato abierto como xls o cvs una base de datos sobre incidencia o reporte de incidentes, eventos o cualquier otro registro o documentos que genere, posea o administre el Sujeto Obligado, del primero de enero de dos mil dieciocho al ocho de octubre de dos mil veinticinco. </w:t>
      </w:r>
    </w:p>
    <w:p w:rsidR="009F3D31" w:rsidRDefault="003E5E9F">
      <w:pPr>
        <w:numPr>
          <w:ilvl w:val="0"/>
          <w:numId w:val="4"/>
        </w:numPr>
        <w:pBdr>
          <w:top w:val="nil"/>
          <w:left w:val="nil"/>
          <w:bottom w:val="nil"/>
          <w:right w:val="nil"/>
          <w:between w:val="nil"/>
        </w:pBdr>
        <w:tabs>
          <w:tab w:val="left" w:pos="426"/>
        </w:tabs>
        <w:spacing w:before="240" w:line="360" w:lineRule="auto"/>
        <w:ind w:left="0" w:right="-876" w:firstLine="0"/>
        <w:jc w:val="both"/>
        <w:rPr>
          <w:color w:val="000000"/>
        </w:rPr>
      </w:pPr>
      <w:r>
        <w:rPr>
          <w:rFonts w:ascii="Palatino Linotype" w:eastAsia="Palatino Linotype" w:hAnsi="Palatino Linotype" w:cs="Palatino Linotype"/>
          <w:color w:val="000000"/>
          <w:sz w:val="24"/>
          <w:szCs w:val="24"/>
        </w:rPr>
        <w:t>Conforme a lo anterior, es conveniente traer en contexto lo establecido en los artículos 5, fracción II, XVII, 7, fracción IX, 19, fracción I, 39, inciso b), fracción VI y XI, 118 de la Ley General del Sistema Nacional de Seguridad Pública, mismos que disponen lo siguiente:</w:t>
      </w:r>
    </w:p>
    <w:p w:rsidR="009F3D31" w:rsidRDefault="003E5E9F">
      <w:pPr>
        <w:pBdr>
          <w:top w:val="nil"/>
          <w:left w:val="nil"/>
          <w:bottom w:val="nil"/>
          <w:right w:val="nil"/>
          <w:between w:val="nil"/>
        </w:pBdr>
        <w:spacing w:before="240" w:after="160"/>
        <w:ind w:left="851" w:right="-876"/>
        <w:jc w:val="center"/>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lastRenderedPageBreak/>
        <w:t>LEY GENERAL DEL SISTEMA NACIONAL DE SEGURIDAD PÚBLICA</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5.-</w:t>
      </w:r>
      <w:r>
        <w:rPr>
          <w:rFonts w:ascii="Palatino Linotype" w:eastAsia="Palatino Linotype" w:hAnsi="Palatino Linotype" w:cs="Palatino Linotype"/>
          <w:i/>
          <w:iCs/>
          <w:color w:val="000000"/>
          <w:sz w:val="24"/>
          <w:szCs w:val="24"/>
        </w:rPr>
        <w:t xml:space="preserve"> Para los efectos de esta Ley, se entenderá por:</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II. Bases de Datos: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XVII. Sistema Nacional de Información: al Sistema Nacional de Información en Seguridad Pública, el cual constituye el conjunto integrado, organizado y sistematizado de las Bases de Datos. Está integrado por elementos metodológicos y procedimentales que permiten a las Instituciones de Seguridad Pública su consulta e interconexión para el desempeño de sus funciones.</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7.-</w:t>
      </w:r>
      <w:r>
        <w:rPr>
          <w:rFonts w:ascii="Palatino Linotype" w:eastAsia="Palatino Linotype" w:hAnsi="Palatino Linotype" w:cs="Palatino Linotype"/>
          <w:i/>
          <w:iCs/>
          <w:color w:val="000000"/>
          <w:sz w:val="24"/>
          <w:szCs w:val="24"/>
        </w:rPr>
        <w:t xml:space="preserve">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IX. Generar, compartir, intercambiar, ingresar, almacenar y proveer información, archivos y contenidos a las Bases de Datos que integran el Sistema Nacional de Información, de conformidad con lo dispuesto en la legislación en la materia. </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Tratándose de manejo de datos que provengan del Registro Nacional de Detenciones se atendrá a lo dispuesto en la Ley Nacional del Registro de Detenciones;</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19.-</w:t>
      </w:r>
      <w:r>
        <w:rPr>
          <w:rFonts w:ascii="Palatino Linotype" w:eastAsia="Palatino Linotype" w:hAnsi="Palatino Linotype" w:cs="Palatino Linotype"/>
          <w:i/>
          <w:iCs/>
          <w:color w:val="000000"/>
          <w:sz w:val="24"/>
          <w:szCs w:val="24"/>
        </w:rPr>
        <w:t xml:space="preserve"> El Centro Nacional de Información será el responsable de regular el Sistema Nacional de Información y tendrá, entre otras, las siguientes atribuciones: </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I. Determinar los criterios técnicos y de homologación de las Bases de Datos que conforman el Sistema Nacional de Información;</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Artículo 39.- La concurrencia de facultades entre la Federación, las entidades federativas y los Municipios, quedará distribuida conforme a lo siguiente:</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B. Corresponde a la Federación, a las entidades federativas y a los Municipios, en el ámbito de sus respectivas competencias:</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VI. Designar a un responsable del control, suministro y adecuado manejo de la información a que se refiere esta Ley;</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XI. Integrar y consultar la información relativa a la operación y Desarrollo Policial para el registro y seguimiento en el Sistema Nacional de Información; </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Artículo 118.- Las Bases de Datos que integran el Sistema Nacional de Información se actualizarán permanentemente y serán de consulta obligatoria para garantizar la efectividad en las actividades de Seguridad Pública. </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lastRenderedPageBreak/>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i/>
          <w:iCs/>
          <w:color w:val="000000"/>
          <w:sz w:val="24"/>
          <w:szCs w:val="24"/>
        </w:rPr>
        <w:t xml:space="preserve">El Registro Nacional de Detenciones se vinculará con las Bases de Datos a que se refiere el presente artículo, mediante el número de identificación al que hace referencia la ley de la materia.” </w:t>
      </w:r>
      <w:r>
        <w:rPr>
          <w:rFonts w:ascii="Palatino Linotype" w:eastAsia="Palatino Linotype" w:hAnsi="Palatino Linotype" w:cs="Palatino Linotype"/>
          <w:b/>
          <w:bCs/>
          <w:i/>
          <w:iCs/>
          <w:color w:val="000000"/>
          <w:sz w:val="24"/>
          <w:szCs w:val="24"/>
        </w:rPr>
        <w:t xml:space="preserve">[Sic] </w:t>
      </w:r>
    </w:p>
    <w:p w:rsidR="009F3D31" w:rsidRDefault="009F3D31">
      <w:pPr>
        <w:pBdr>
          <w:top w:val="nil"/>
          <w:left w:val="nil"/>
          <w:bottom w:val="nil"/>
          <w:right w:val="nil"/>
          <w:between w:val="nil"/>
        </w:pBdr>
        <w:tabs>
          <w:tab w:val="left" w:pos="426"/>
        </w:tabs>
        <w:spacing w:before="240"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Por su parte, el Manual de Organización del Sujeto Obligado establece que la Dirección General de Información, Planeación, Programación y Evaluación, tiene como objetivo dirigir y </w:t>
      </w:r>
      <w:r>
        <w:rPr>
          <w:rFonts w:ascii="Palatino Linotype" w:eastAsia="Palatino Linotype" w:hAnsi="Palatino Linotype" w:cs="Palatino Linotype"/>
          <w:sz w:val="24"/>
          <w:szCs w:val="24"/>
        </w:rPr>
        <w:t>evaluar</w:t>
      </w:r>
      <w:r>
        <w:rPr>
          <w:rFonts w:ascii="Palatino Linotype" w:eastAsia="Palatino Linotype" w:hAnsi="Palatino Linotype" w:cs="Palatino Linotype"/>
          <w:color w:val="000000"/>
          <w:sz w:val="24"/>
          <w:szCs w:val="24"/>
        </w:rPr>
        <w:t xml:space="preserve"> el proceso de planeación, programación, presupuesto y evaluación de las actividades realizadas por la Procuraduría General de Justicia del Estado de México, mediante el diseño e implementación de estrategias de coordinación, acopio y sistematización de información, quien entre sus funciones está </w:t>
      </w:r>
      <w:r>
        <w:rPr>
          <w:rFonts w:ascii="Palatino Linotype" w:eastAsia="Palatino Linotype" w:hAnsi="Palatino Linotype" w:cs="Palatino Linotype"/>
          <w:b/>
          <w:bCs/>
          <w:color w:val="000000"/>
          <w:sz w:val="24"/>
          <w:szCs w:val="24"/>
          <w:u w:val="single"/>
        </w:rPr>
        <w:t>revisar y validar la información estadística que generen las unidades administrativas de la Procuraduría y mantener su actualización permanente</w:t>
      </w:r>
      <w:r>
        <w:rPr>
          <w:rFonts w:ascii="Palatino Linotype" w:eastAsia="Palatino Linotype" w:hAnsi="Palatino Linotype" w:cs="Palatino Linotype"/>
          <w:color w:val="000000"/>
          <w:sz w:val="24"/>
          <w:szCs w:val="24"/>
        </w:rPr>
        <w:t xml:space="preserve">. </w:t>
      </w:r>
    </w:p>
    <w:p w:rsidR="009F3D31" w:rsidRDefault="009F3D31">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Cabe señalar que, la Dirección tiene dentro de su estructura orgánica al Departamento de Información y Estadística, quien tiene como objetivo concentrar y consultar la información de los sistemas informáticos y unidades, tanto administrativas como operativas, para la </w:t>
      </w:r>
      <w:r>
        <w:rPr>
          <w:rFonts w:ascii="Palatino Linotype" w:eastAsia="Palatino Linotype" w:hAnsi="Palatino Linotype" w:cs="Palatino Linotype"/>
          <w:b/>
          <w:bCs/>
          <w:color w:val="000000"/>
          <w:sz w:val="24"/>
          <w:szCs w:val="24"/>
          <w:u w:val="single"/>
        </w:rPr>
        <w:t>interpretación de datos que permitan identificar y medir los parámetro de incidencia delictiva en comparativo con otros Estados del país</w:t>
      </w:r>
      <w:r>
        <w:rPr>
          <w:rFonts w:ascii="Palatino Linotype" w:eastAsia="Palatino Linotype" w:hAnsi="Palatino Linotype" w:cs="Palatino Linotype"/>
          <w:color w:val="000000"/>
          <w:sz w:val="24"/>
          <w:szCs w:val="24"/>
        </w:rPr>
        <w:t xml:space="preserve">. </w:t>
      </w:r>
    </w:p>
    <w:p w:rsidR="009F3D31" w:rsidRDefault="009F3D31">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En ese sentido, es preciso señalar que la Dirección General de Información, Planeación, Programación y Evaluación, es el área que puede generar, poseer y administrar la información solicitada, es decir, que se dio cumplimento al proceso de búsqueda que establece el artículo </w:t>
      </w:r>
      <w:r>
        <w:rPr>
          <w:rFonts w:ascii="Palatino Linotype" w:eastAsia="Palatino Linotype" w:hAnsi="Palatino Linotype" w:cs="Palatino Linotype"/>
          <w:color w:val="000000"/>
          <w:sz w:val="24"/>
          <w:szCs w:val="24"/>
        </w:rPr>
        <w:lastRenderedPageBreak/>
        <w:t>162 de la Ley de Transparencia y Acceso a la Información Pública del Estado de México que refiere “</w:t>
      </w:r>
      <w:r>
        <w:rPr>
          <w:rFonts w:ascii="Palatino Linotype" w:eastAsia="Palatino Linotype" w:hAnsi="Palatino Linotype" w:cs="Palatino Linotype"/>
          <w:i/>
          <w:iCs/>
          <w:color w:val="000000"/>
          <w:sz w:val="24"/>
          <w:szCs w:val="24"/>
        </w:rPr>
        <w:t xml:space="preserve">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p>
    <w:p w:rsidR="009F3D31" w:rsidRDefault="009F3D31">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tabs>
          <w:tab w:val="left" w:pos="426"/>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Ahora bien, como ya fue señalado, la Dirección General de Información, Planeación, Información y Evaluación señaló que no tiene la información al grado de desagregación solicitado, sin embargo, debió entregar la información sin necesidad de entregarla al grado de desagregación solicitado. </w:t>
      </w:r>
    </w:p>
    <w:p w:rsidR="009F3D31" w:rsidRDefault="009F3D31">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tabs>
          <w:tab w:val="left" w:pos="426"/>
        </w:tabs>
        <w:spacing w:after="240" w:line="360" w:lineRule="auto"/>
        <w:ind w:left="0" w:right="-876" w:firstLine="0"/>
        <w:jc w:val="both"/>
        <w:rPr>
          <w:color w:val="000000"/>
        </w:rPr>
      </w:pPr>
      <w:r>
        <w:rPr>
          <w:rFonts w:ascii="Palatino Linotype" w:eastAsia="Palatino Linotype" w:hAnsi="Palatino Linotype" w:cs="Palatino Linotype"/>
          <w:color w:val="000000"/>
          <w:sz w:val="24"/>
          <w:szCs w:val="24"/>
        </w:rPr>
        <w:t>Por otro lado, otro lado, es preciso mencionar que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rsidR="009F3D31" w:rsidRDefault="003E5E9F">
      <w:pPr>
        <w:spacing w:before="240"/>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24.</w:t>
      </w:r>
      <w:r>
        <w:rPr>
          <w:rFonts w:ascii="Palatino Linotype" w:eastAsia="Palatino Linotype" w:hAnsi="Palatino Linotype" w:cs="Palatino Linotype"/>
          <w:i/>
          <w:iCs/>
          <w:sz w:val="24"/>
          <w:szCs w:val="24"/>
        </w:rPr>
        <w:t xml:space="preserve"> Para el cumplimiento de los objetivos de esta Ley, los sujetos obligados deberán cumplir con las siguientes obligaciones, según corresponda, de acuerdo a su naturaleza:</w:t>
      </w:r>
    </w:p>
    <w:p w:rsidR="009F3D31" w:rsidRDefault="003E5E9F">
      <w:pPr>
        <w:spacing w:before="240"/>
        <w:ind w:left="851"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XII. Publicar y mantener actualizada la información relativa a las obligaciones generales de transparencia previstas en la presente Ley o determinadas así por el Instituto, y en general aquella que sea de interés público;</w:t>
      </w:r>
    </w:p>
    <w:p w:rsidR="009F3D31" w:rsidRDefault="003E5E9F">
      <w:pPr>
        <w:spacing w:before="240"/>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92.</w:t>
      </w:r>
      <w:r>
        <w:rPr>
          <w:rFonts w:ascii="Palatino Linotype" w:eastAsia="Palatino Linotype" w:hAnsi="Palatino Linotype" w:cs="Palatino Linotype"/>
          <w:i/>
          <w:iCs/>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w:t>
      </w:r>
      <w:r>
        <w:rPr>
          <w:rFonts w:ascii="Palatino Linotype" w:eastAsia="Palatino Linotype" w:hAnsi="Palatino Linotype" w:cs="Palatino Linotype"/>
          <w:i/>
          <w:iCs/>
          <w:sz w:val="24"/>
          <w:szCs w:val="24"/>
        </w:rPr>
        <w:lastRenderedPageBreak/>
        <w:t>corresponda, la información, por lo menos, de los temas, documentos y políticas que a continuación se señalan:</w:t>
      </w:r>
    </w:p>
    <w:p w:rsidR="009F3D31" w:rsidRDefault="003E5E9F">
      <w:pPr>
        <w:spacing w:before="240"/>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9F3D31" w:rsidRDefault="003E5E9F">
      <w:pPr>
        <w:pBdr>
          <w:top w:val="nil"/>
          <w:left w:val="nil"/>
          <w:bottom w:val="nil"/>
          <w:right w:val="nil"/>
          <w:between w:val="nil"/>
        </w:pBdr>
        <w:tabs>
          <w:tab w:val="left" w:pos="426"/>
        </w:tabs>
        <w:spacing w:before="240" w:after="24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XXXIV. Las estadísticas que generen en cumplimiento de sus facultades, competencias o funciones con la mayor desagregación posible;</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i/>
          <w:iCs/>
          <w:color w:val="000000"/>
          <w:sz w:val="24"/>
          <w:szCs w:val="24"/>
        </w:rPr>
        <w:t xml:space="preserve">(…)” </w:t>
      </w:r>
    </w:p>
    <w:p w:rsidR="009F3D31" w:rsidRDefault="003E5E9F">
      <w:pPr>
        <w:pBdr>
          <w:top w:val="nil"/>
          <w:left w:val="nil"/>
          <w:bottom w:val="nil"/>
          <w:right w:val="nil"/>
          <w:between w:val="nil"/>
        </w:pBdr>
        <w:spacing w:before="240" w:after="160"/>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(Énfasis Añadido)</w:t>
      </w:r>
    </w:p>
    <w:p w:rsidR="009F3D31" w:rsidRDefault="009F3D31">
      <w:pPr>
        <w:pBdr>
          <w:top w:val="nil"/>
          <w:left w:val="nil"/>
          <w:bottom w:val="nil"/>
          <w:right w:val="nil"/>
          <w:between w:val="nil"/>
        </w:pBdr>
        <w:tabs>
          <w:tab w:val="left" w:pos="426"/>
        </w:tabs>
        <w:spacing w:before="240"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after="160"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Aunado a lo anterior, el criterio </w:t>
      </w:r>
      <w:r>
        <w:rPr>
          <w:rFonts w:ascii="Palatino Linotype" w:eastAsia="Palatino Linotype" w:hAnsi="Palatino Linotype" w:cs="Palatino Linotype"/>
          <w:b/>
          <w:bCs/>
          <w:color w:val="000000"/>
          <w:sz w:val="24"/>
          <w:szCs w:val="24"/>
        </w:rPr>
        <w:t xml:space="preserve">11/09 </w:t>
      </w:r>
      <w:r>
        <w:rPr>
          <w:rFonts w:ascii="Palatino Linotype" w:eastAsia="Palatino Linotype" w:hAnsi="Palatino Linotype" w:cs="Palatino Linotype"/>
          <w:color w:val="000000"/>
          <w:sz w:val="24"/>
          <w:szCs w:val="24"/>
        </w:rPr>
        <w:t xml:space="preserve">emitido por el hoy Instituto Nacional de Transparencia, Acceso a la Información y Protección de Datos Personales, dispone lo siguiente: </w:t>
      </w:r>
    </w:p>
    <w:p w:rsidR="009F3D31" w:rsidRDefault="003E5E9F">
      <w:pPr>
        <w:pBdr>
          <w:top w:val="nil"/>
          <w:left w:val="nil"/>
          <w:bottom w:val="nil"/>
          <w:right w:val="nil"/>
          <w:between w:val="nil"/>
        </w:pBdr>
        <w:spacing w:before="240" w:after="160" w:line="276" w:lineRule="auto"/>
        <w:ind w:left="851"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“LA INFORMACIÓN ESTADÍSTICA ES DE NATURALEZA PÚBLICA, INDEPENDIENTEMENTE DE LA  MATERIA  CON  LA  QUE  SE ENCUENTRE  VINCULADA.</w:t>
      </w:r>
    </w:p>
    <w:p w:rsidR="009F3D31" w:rsidRDefault="003E5E9F">
      <w:pPr>
        <w:pBdr>
          <w:top w:val="nil"/>
          <w:left w:val="nil"/>
          <w:bottom w:val="nil"/>
          <w:right w:val="nil"/>
          <w:between w:val="nil"/>
        </w:pBdr>
        <w:spacing w:before="240" w:after="160" w:line="276" w:lineRule="auto"/>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 xml:space="preserve"> </w:t>
      </w:r>
      <w:r>
        <w:rPr>
          <w:rFonts w:ascii="Palatino Linotype" w:eastAsia="Palatino Linotype" w:hAnsi="Palatino Linotype" w:cs="Palatino Linotype"/>
          <w:i/>
          <w:iCs/>
          <w:color w:val="000000"/>
          <w:sz w:val="24"/>
          <w:szCs w:val="24"/>
        </w:rPr>
        <w:t>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rsidR="009F3D31" w:rsidRDefault="003E5E9F">
      <w:pPr>
        <w:pBdr>
          <w:top w:val="nil"/>
          <w:left w:val="nil"/>
          <w:bottom w:val="nil"/>
          <w:right w:val="nil"/>
          <w:between w:val="nil"/>
        </w:pBdr>
        <w:spacing w:before="240" w:after="160" w:line="276" w:lineRule="auto"/>
        <w:ind w:left="851"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Expedientes:</w:t>
      </w:r>
    </w:p>
    <w:p w:rsidR="009F3D31" w:rsidRDefault="003E5E9F">
      <w:pPr>
        <w:numPr>
          <w:ilvl w:val="0"/>
          <w:numId w:val="7"/>
        </w:numPr>
        <w:pBdr>
          <w:top w:val="nil"/>
          <w:left w:val="nil"/>
          <w:bottom w:val="nil"/>
          <w:right w:val="nil"/>
          <w:between w:val="nil"/>
        </w:pBdr>
        <w:tabs>
          <w:tab w:val="left" w:pos="567"/>
        </w:tabs>
        <w:spacing w:before="240" w:after="160" w:line="276" w:lineRule="auto"/>
        <w:ind w:left="851" w:right="-876" w:firstLine="0"/>
        <w:jc w:val="both"/>
        <w:rPr>
          <w:sz w:val="24"/>
          <w:szCs w:val="24"/>
        </w:rPr>
      </w:pPr>
      <w:r>
        <w:rPr>
          <w:rFonts w:ascii="Palatino Linotype" w:eastAsia="Palatino Linotype" w:hAnsi="Palatino Linotype" w:cs="Palatino Linotype"/>
          <w:i/>
          <w:iCs/>
          <w:color w:val="000000"/>
          <w:sz w:val="24"/>
          <w:szCs w:val="24"/>
        </w:rPr>
        <w:lastRenderedPageBreak/>
        <w:t>2593/07 Procuraduría General de la República – Alonso Gómez-Robledo V.</w:t>
      </w:r>
    </w:p>
    <w:p w:rsidR="009F3D31" w:rsidRDefault="003E5E9F">
      <w:pPr>
        <w:numPr>
          <w:ilvl w:val="0"/>
          <w:numId w:val="7"/>
        </w:numPr>
        <w:pBdr>
          <w:top w:val="nil"/>
          <w:left w:val="nil"/>
          <w:bottom w:val="nil"/>
          <w:right w:val="nil"/>
          <w:between w:val="nil"/>
        </w:pBdr>
        <w:tabs>
          <w:tab w:val="left" w:pos="567"/>
        </w:tabs>
        <w:spacing w:before="240" w:after="160" w:line="276" w:lineRule="auto"/>
        <w:ind w:left="851" w:right="-876" w:firstLine="0"/>
        <w:jc w:val="both"/>
        <w:rPr>
          <w:sz w:val="24"/>
          <w:szCs w:val="24"/>
        </w:rPr>
      </w:pPr>
      <w:r>
        <w:rPr>
          <w:rFonts w:ascii="Palatino Linotype" w:eastAsia="Palatino Linotype" w:hAnsi="Palatino Linotype" w:cs="Palatino Linotype"/>
          <w:i/>
          <w:iCs/>
          <w:color w:val="000000"/>
          <w:sz w:val="24"/>
          <w:szCs w:val="24"/>
        </w:rPr>
        <w:t>4333/08 Procuraduría General de la República – Alonso Lujambio Irazábal</w:t>
      </w:r>
    </w:p>
    <w:p w:rsidR="009F3D31" w:rsidRDefault="003E5E9F">
      <w:pPr>
        <w:numPr>
          <w:ilvl w:val="0"/>
          <w:numId w:val="7"/>
        </w:numPr>
        <w:pBdr>
          <w:top w:val="nil"/>
          <w:left w:val="nil"/>
          <w:bottom w:val="nil"/>
          <w:right w:val="nil"/>
          <w:between w:val="nil"/>
        </w:pBdr>
        <w:tabs>
          <w:tab w:val="left" w:pos="567"/>
        </w:tabs>
        <w:spacing w:before="240" w:after="160" w:line="276" w:lineRule="auto"/>
        <w:ind w:left="851" w:right="-876" w:firstLine="0"/>
        <w:jc w:val="both"/>
        <w:rPr>
          <w:sz w:val="24"/>
          <w:szCs w:val="24"/>
        </w:rPr>
      </w:pPr>
      <w:r>
        <w:rPr>
          <w:rFonts w:ascii="Palatino Linotype" w:eastAsia="Palatino Linotype" w:hAnsi="Palatino Linotype" w:cs="Palatino Linotype"/>
          <w:i/>
          <w:iCs/>
          <w:color w:val="000000"/>
          <w:sz w:val="24"/>
          <w:szCs w:val="24"/>
        </w:rPr>
        <w:t>2280/08 Policía Federal – Jacqueline Peschard Mariscal</w:t>
      </w:r>
    </w:p>
    <w:p w:rsidR="009F3D31" w:rsidRDefault="003E5E9F">
      <w:pPr>
        <w:numPr>
          <w:ilvl w:val="0"/>
          <w:numId w:val="7"/>
        </w:numPr>
        <w:pBdr>
          <w:top w:val="nil"/>
          <w:left w:val="nil"/>
          <w:bottom w:val="nil"/>
          <w:right w:val="nil"/>
          <w:between w:val="nil"/>
        </w:pBdr>
        <w:tabs>
          <w:tab w:val="left" w:pos="567"/>
        </w:tabs>
        <w:spacing w:before="240" w:after="160" w:line="276" w:lineRule="auto"/>
        <w:ind w:left="851" w:right="-876" w:firstLine="0"/>
        <w:jc w:val="both"/>
        <w:rPr>
          <w:sz w:val="24"/>
          <w:szCs w:val="24"/>
        </w:rPr>
      </w:pPr>
      <w:r>
        <w:rPr>
          <w:rFonts w:ascii="Palatino Linotype" w:eastAsia="Palatino Linotype" w:hAnsi="Palatino Linotype" w:cs="Palatino Linotype"/>
          <w:i/>
          <w:iCs/>
          <w:color w:val="000000"/>
          <w:sz w:val="24"/>
          <w:szCs w:val="24"/>
        </w:rPr>
        <w:t>3151/09 Secretaría de Seguridad Pública – María Marván Laborde</w:t>
      </w:r>
    </w:p>
    <w:p w:rsidR="009F3D31" w:rsidRDefault="003E5E9F">
      <w:pPr>
        <w:pBdr>
          <w:top w:val="nil"/>
          <w:left w:val="nil"/>
          <w:bottom w:val="nil"/>
          <w:right w:val="nil"/>
          <w:between w:val="nil"/>
        </w:pBdr>
        <w:tabs>
          <w:tab w:val="left" w:pos="426"/>
        </w:tabs>
        <w:spacing w:before="240" w:line="276" w:lineRule="auto"/>
        <w:ind w:left="851"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0547/09 Procuraduría General de la República – Juan Pablo Guerrero Amparán”</w:t>
      </w:r>
    </w:p>
    <w:p w:rsidR="009F3D31" w:rsidRDefault="009F3D31">
      <w:pPr>
        <w:pBdr>
          <w:top w:val="nil"/>
          <w:left w:val="nil"/>
          <w:bottom w:val="nil"/>
          <w:right w:val="nil"/>
          <w:between w:val="nil"/>
        </w:pBdr>
        <w:tabs>
          <w:tab w:val="left" w:pos="426"/>
        </w:tabs>
        <w:spacing w:after="240" w:line="276" w:lineRule="auto"/>
        <w:ind w:left="851" w:right="-876"/>
        <w:jc w:val="both"/>
        <w:rPr>
          <w:rFonts w:ascii="Palatino Linotype" w:eastAsia="Palatino Linotype" w:hAnsi="Palatino Linotype" w:cs="Palatino Linotype"/>
          <w:color w:val="000000"/>
          <w:sz w:val="24"/>
          <w:szCs w:val="24"/>
        </w:rPr>
      </w:pPr>
    </w:p>
    <w:p w:rsidR="009F3D31" w:rsidRDefault="003E5E9F">
      <w:pPr>
        <w:numPr>
          <w:ilvl w:val="0"/>
          <w:numId w:val="4"/>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Por otro lado, sobre el tema de las coordenadas, debemos señalar que dar a conocerlas permitiría identificar el lugar específico de la posible comisión de un delito y en el caso de que dicho sitio sea un domicilio particular, la información actualiza la causal de confidencialidad, por tratarse de datos personales ya que se hace identificable la vivienda de una o varias personas; en este sentido, se deberá realizar la versión pública correspondiente conforme al Considerando Quinto</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de la presente Resolución.</w:t>
      </w:r>
    </w:p>
    <w:p w:rsidR="009F3D31" w:rsidRDefault="009F3D31">
      <w:pPr>
        <w:ind w:right="-876"/>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Establecido lo anterior, el derecho de acceso a la información pública consiste en el </w:t>
      </w:r>
      <w:r>
        <w:rPr>
          <w:rFonts w:ascii="Palatino Linotype" w:eastAsia="Palatino Linotype" w:hAnsi="Palatino Linotype" w:cs="Palatino Linotype"/>
          <w:b/>
          <w:bCs/>
          <w:color w:val="000000"/>
          <w:sz w:val="24"/>
          <w:szCs w:val="24"/>
        </w:rPr>
        <w:t>acceso a documentos</w:t>
      </w:r>
      <w:r>
        <w:rPr>
          <w:rFonts w:ascii="Palatino Linotype" w:eastAsia="Palatino Linotype" w:hAnsi="Palatino Linotype" w:cs="Palatino Linotype"/>
          <w:color w:val="000000"/>
          <w:sz w:val="24"/>
          <w:szCs w:val="24"/>
        </w:rPr>
        <w:t xml:space="preserve"> generados, poseídos o administrados por la autoridad, en ejercicio de sus funciones, con antelación a que fuera presentada la solicitud de acceso a la información pública.</w:t>
      </w:r>
    </w:p>
    <w:p w:rsidR="009F3D31" w:rsidRDefault="009F3D31">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Así, el Criterio 028-10 emitido por el Pleno del entonces llamado Instituto Federal de Acceso a la Información y Protección de Datos, establece que se deberá garantizar el acceso a la información contenida en documentos que los sujetos obligados generen, obtengan, adquieran, transformen o conserven por cualquier título; que se entienden como cualquier </w:t>
      </w:r>
      <w:r>
        <w:rPr>
          <w:rFonts w:ascii="Palatino Linotype" w:eastAsia="Palatino Linotype" w:hAnsi="Palatino Linotype" w:cs="Palatino Linotype"/>
          <w:color w:val="000000"/>
          <w:sz w:val="24"/>
          <w:szCs w:val="24"/>
        </w:rPr>
        <w:lastRenderedPageBreak/>
        <w:t xml:space="preserve">registro que documente el ejercicio de las facultades o la actividad de los sujetos obligados sin importar su fuente o fecha de elaboración, y lo anterior sin importar que  particular lleve a cabo una solicitud de información sin identificar de forma precisa la documentación a la que requiere acceso, como a continuación se observa: </w:t>
      </w:r>
    </w:p>
    <w:p w:rsidR="009F3D31" w:rsidRDefault="003E5E9F">
      <w:pPr>
        <w:spacing w:after="360"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“Cuando en una solicitud de información no se identifique un documento en específico, si ésta tiene una expresión documental, el sujeto obligado deberá entregar al particular el documento en específico.</w:t>
      </w:r>
      <w:r>
        <w:rPr>
          <w:rFonts w:ascii="Palatino Linotype" w:eastAsia="Palatino Linotype" w:hAnsi="Palatino Linotype" w:cs="Palatino Linotype"/>
          <w:i/>
          <w:iCs/>
          <w:color w:val="000000"/>
          <w:sz w:val="24"/>
          <w:szCs w:val="24"/>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rsidR="009F3D31" w:rsidRDefault="003E5E9F">
      <w:pPr>
        <w:numPr>
          <w:ilvl w:val="0"/>
          <w:numId w:val="4"/>
        </w:numPr>
        <w:pBdr>
          <w:top w:val="nil"/>
          <w:left w:val="nil"/>
          <w:bottom w:val="nil"/>
          <w:right w:val="nil"/>
          <w:between w:val="nil"/>
        </w:pBdr>
        <w:spacing w:before="240" w:after="360" w:line="360" w:lineRule="auto"/>
        <w:ind w:left="0" w:right="-876" w:firstLine="0"/>
        <w:jc w:val="both"/>
        <w:rPr>
          <w:color w:val="000000"/>
        </w:rPr>
      </w:pPr>
      <w:r>
        <w:rPr>
          <w:rFonts w:ascii="Palatino Linotype" w:eastAsia="Palatino Linotype" w:hAnsi="Palatino Linotype" w:cs="Palatino Linotype"/>
          <w:color w:val="000000"/>
          <w:sz w:val="24"/>
          <w:szCs w:val="24"/>
        </w:rPr>
        <w:t>Robustece lo anterior el criterio orientador 16/17 emitido de igual forma por el Instituto Nacional de Transparencia, Acceso a la Información y Protección de Datos Personales que a la literalidad prevé:</w:t>
      </w:r>
    </w:p>
    <w:p w:rsidR="009F3D31" w:rsidRDefault="003E5E9F">
      <w:pPr>
        <w:spacing w:before="240"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lastRenderedPageBreak/>
        <w:t>“Expresión documental</w:t>
      </w:r>
      <w:r>
        <w:rPr>
          <w:rFonts w:ascii="Palatino Linotype" w:eastAsia="Palatino Linotype" w:hAnsi="Palatino Linotype" w:cs="Palatino Linotype"/>
          <w:i/>
          <w:iCs/>
          <w:color w:val="000000"/>
          <w:sz w:val="24"/>
          <w:szCs w:val="24"/>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rsidR="009F3D31" w:rsidRDefault="009F3D31">
      <w:pPr>
        <w:spacing w:line="360" w:lineRule="auto"/>
        <w:ind w:left="567" w:right="-876"/>
        <w:jc w:val="both"/>
        <w:rPr>
          <w:rFonts w:ascii="Palatino Linotype" w:eastAsia="Palatino Linotype" w:hAnsi="Palatino Linotype" w:cs="Palatino Linotype"/>
          <w:i/>
          <w:iCs/>
          <w:color w:val="000000"/>
          <w:sz w:val="24"/>
          <w:szCs w:val="24"/>
        </w:rPr>
      </w:pPr>
    </w:p>
    <w:p w:rsidR="009F3D31" w:rsidRDefault="003E5E9F">
      <w:pP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Resoluciones:</w:t>
      </w:r>
    </w:p>
    <w:p w:rsidR="009F3D31" w:rsidRDefault="009F3D31">
      <w:pPr>
        <w:spacing w:line="360" w:lineRule="auto"/>
        <w:ind w:left="567" w:right="-876"/>
        <w:jc w:val="both"/>
        <w:rPr>
          <w:rFonts w:ascii="Palatino Linotype" w:eastAsia="Palatino Linotype" w:hAnsi="Palatino Linotype" w:cs="Palatino Linotype"/>
          <w:i/>
          <w:iCs/>
          <w:color w:val="000000"/>
          <w:sz w:val="24"/>
          <w:szCs w:val="24"/>
        </w:rPr>
      </w:pPr>
    </w:p>
    <w:p w:rsidR="009F3D31" w:rsidRDefault="003E5E9F">
      <w:pP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i/>
          <w:iCs/>
          <w:color w:val="000000"/>
          <w:sz w:val="24"/>
          <w:szCs w:val="24"/>
        </w:rPr>
        <w:tab/>
        <w:t>RRA 0774/16. Secretaría de Salud. 31 de agosto de 2016. Por unanimidad. Comisionada Ponente María Patricia Kurczyn Villalobos.</w:t>
      </w:r>
    </w:p>
    <w:p w:rsidR="009F3D31" w:rsidRDefault="003E5E9F">
      <w:pP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i/>
          <w:iCs/>
          <w:color w:val="000000"/>
          <w:sz w:val="24"/>
          <w:szCs w:val="24"/>
        </w:rPr>
        <w:tab/>
        <w:t xml:space="preserve">RRA 0143/17. Universidad Autónoma Agraria Antonio Narro. 22 de febrero de 2017. Por unanimidad. Comisionado Ponente Oscar Mauricio Guerra Ford. </w:t>
      </w:r>
    </w:p>
    <w:p w:rsidR="009F3D31" w:rsidRDefault="003E5E9F">
      <w:pP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i/>
          <w:iCs/>
          <w:color w:val="000000"/>
          <w:sz w:val="24"/>
          <w:szCs w:val="24"/>
        </w:rPr>
        <w:tab/>
        <w:t>RRA 0540/17. Secretaría de Economía. 08 de marzo del 2017. Por unanimidad. Comisionado Ponente Francisco Javier Acuña Llamas”</w:t>
      </w:r>
    </w:p>
    <w:p w:rsidR="009F3D31" w:rsidRDefault="009F3D31">
      <w:pPr>
        <w:spacing w:line="360" w:lineRule="auto"/>
        <w:ind w:left="567" w:right="-876"/>
        <w:jc w:val="both"/>
        <w:rPr>
          <w:rFonts w:ascii="Palatino Linotype" w:eastAsia="Palatino Linotype" w:hAnsi="Palatino Linotype" w:cs="Palatino Linotype"/>
          <w:i/>
          <w:iCs/>
          <w:color w:val="000000"/>
          <w:sz w:val="24"/>
          <w:szCs w:val="24"/>
        </w:rPr>
      </w:pPr>
    </w:p>
    <w:p w:rsidR="009F3D31" w:rsidRDefault="003E5E9F">
      <w:pPr>
        <w:numPr>
          <w:ilvl w:val="0"/>
          <w:numId w:val="4"/>
        </w:numPr>
        <w:shd w:val="clear" w:color="auto" w:fill="FFFFFF"/>
        <w:spacing w:after="240" w:line="360" w:lineRule="auto"/>
        <w:ind w:left="0" w:right="-876" w:firstLine="0"/>
        <w:jc w:val="both"/>
        <w:rPr>
          <w:color w:val="222222"/>
        </w:rPr>
      </w:pPr>
      <w:bookmarkStart w:id="8" w:name="_heading=h.2s8eyo1" w:colFirst="0" w:colLast="0"/>
      <w:bookmarkEnd w:id="8"/>
      <w:r>
        <w:rPr>
          <w:rFonts w:ascii="Palatino Linotype" w:eastAsia="Palatino Linotype" w:hAnsi="Palatino Linotype" w:cs="Palatino Linotype"/>
          <w:color w:val="000000"/>
          <w:sz w:val="24"/>
          <w:szCs w:val="24"/>
        </w:rPr>
        <w:t xml:space="preserve">Por lo tanto, en consecuencia y en mérito de lo expuesto en líneas anteriores, resultan fundadas las razones o motivos de inconformidad hechos valer por el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dentro del recurso de revisión </w:t>
      </w:r>
      <w:r>
        <w:rPr>
          <w:rFonts w:ascii="Palatino Linotype" w:eastAsia="Palatino Linotype" w:hAnsi="Palatino Linotype" w:cs="Palatino Linotype"/>
          <w:b/>
          <w:bCs/>
          <w:color w:val="000000"/>
          <w:sz w:val="24"/>
          <w:szCs w:val="24"/>
        </w:rPr>
        <w:t>13068/INFOEM/IP/RR/2025</w:t>
      </w:r>
      <w:r>
        <w:rPr>
          <w:rFonts w:ascii="Palatino Linotype" w:eastAsia="Palatino Linotype" w:hAnsi="Palatino Linotype" w:cs="Palatino Linotype"/>
          <w:color w:val="000000"/>
          <w:sz w:val="24"/>
          <w:szCs w:val="24"/>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sz w:val="24"/>
          <w:szCs w:val="24"/>
        </w:rPr>
        <w:t>REVOCA</w:t>
      </w:r>
      <w:r>
        <w:rPr>
          <w:rFonts w:ascii="Palatino Linotype" w:eastAsia="Palatino Linotype" w:hAnsi="Palatino Linotype" w:cs="Palatino Linotype"/>
          <w:color w:val="000000"/>
          <w:sz w:val="24"/>
          <w:szCs w:val="24"/>
        </w:rPr>
        <w:t xml:space="preserve"> la respuesta a la solicitud de información número </w:t>
      </w:r>
      <w:r>
        <w:rPr>
          <w:rFonts w:ascii="Palatino Linotype" w:eastAsia="Palatino Linotype" w:hAnsi="Palatino Linotype" w:cs="Palatino Linotype"/>
          <w:b/>
          <w:bCs/>
          <w:color w:val="000000"/>
          <w:sz w:val="24"/>
          <w:szCs w:val="24"/>
        </w:rPr>
        <w:t>00728/FGJ/IP/2025</w:t>
      </w:r>
      <w:r>
        <w:rPr>
          <w:rFonts w:ascii="Palatino Linotype" w:eastAsia="Palatino Linotype" w:hAnsi="Palatino Linotype" w:cs="Palatino Linotype"/>
          <w:color w:val="000000"/>
          <w:sz w:val="24"/>
          <w:szCs w:val="24"/>
        </w:rPr>
        <w:t>.</w:t>
      </w:r>
    </w:p>
    <w:p w:rsidR="009F3D31" w:rsidRDefault="003E5E9F">
      <w:pPr>
        <w:pStyle w:val="Ttulo1"/>
        <w:ind w:right="-876"/>
        <w:rPr>
          <w:rFonts w:ascii="Palatino Linotype" w:eastAsia="Palatino Linotype" w:hAnsi="Palatino Linotype" w:cs="Palatino Linotype"/>
          <w:b/>
          <w:bCs/>
          <w:color w:val="000000"/>
          <w:sz w:val="24"/>
          <w:szCs w:val="24"/>
        </w:rPr>
      </w:pPr>
      <w:bookmarkStart w:id="9" w:name="_heading=h.gf1v2ci6gv5p" w:colFirst="0" w:colLast="0"/>
      <w:bookmarkEnd w:id="9"/>
      <w:r>
        <w:rPr>
          <w:rFonts w:ascii="Palatino Linotype" w:eastAsia="Palatino Linotype" w:hAnsi="Palatino Linotype" w:cs="Palatino Linotype"/>
          <w:b/>
          <w:bCs/>
          <w:color w:val="000000"/>
          <w:sz w:val="24"/>
          <w:szCs w:val="24"/>
        </w:rPr>
        <w:lastRenderedPageBreak/>
        <w:t>QUINTO. De la versión pública.</w:t>
      </w:r>
    </w:p>
    <w:p w:rsidR="009F3D31" w:rsidRDefault="003E5E9F">
      <w:pPr>
        <w:numPr>
          <w:ilvl w:val="0"/>
          <w:numId w:val="4"/>
        </w:numPr>
        <w:pBdr>
          <w:top w:val="nil"/>
          <w:left w:val="nil"/>
          <w:bottom w:val="nil"/>
          <w:right w:val="nil"/>
          <w:between w:val="nil"/>
        </w:pBdr>
        <w:tabs>
          <w:tab w:val="left" w:pos="284"/>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Debe destacarse que, debido a la naturaleza de la información solicitada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9F3D31" w:rsidRDefault="009F3D31">
      <w:pPr>
        <w:pBdr>
          <w:top w:val="nil"/>
          <w:left w:val="nil"/>
          <w:bottom w:val="nil"/>
          <w:right w:val="nil"/>
          <w:between w:val="nil"/>
        </w:pBdr>
        <w:tabs>
          <w:tab w:val="left" w:pos="0"/>
          <w:tab w:val="left" w:pos="284"/>
        </w:tabs>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tabs>
          <w:tab w:val="left" w:pos="284"/>
        </w:tabs>
        <w:spacing w:line="360" w:lineRule="auto"/>
        <w:ind w:left="0" w:right="-876" w:firstLine="0"/>
        <w:jc w:val="both"/>
        <w:rPr>
          <w:color w:val="000000"/>
        </w:rPr>
      </w:pPr>
      <w:r>
        <w:rPr>
          <w:rFonts w:ascii="Palatino Linotype" w:eastAsia="Palatino Linotype" w:hAnsi="Palatino Linotype" w:cs="Palatino Linotype"/>
          <w:color w:val="000000"/>
          <w:sz w:val="24"/>
          <w:szCs w:val="24"/>
        </w:rPr>
        <w:t xml:space="preserve">No pasa desapercibido para este Órgano Garante que los </w:t>
      </w:r>
      <w:r>
        <w:rPr>
          <w:rFonts w:ascii="Palatino Linotype" w:eastAsia="Palatino Linotype" w:hAnsi="Palatino Linotype" w:cs="Palatino Linotype"/>
          <w:b/>
          <w:bCs/>
          <w:color w:val="000000"/>
          <w:sz w:val="24"/>
          <w:szCs w:val="24"/>
        </w:rPr>
        <w:t xml:space="preserve">Sujetos Obligados </w:t>
      </w:r>
      <w:r>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F3D31" w:rsidRDefault="009F3D31">
      <w:pPr>
        <w:tabs>
          <w:tab w:val="left" w:pos="284"/>
        </w:tabs>
        <w:spacing w:line="360" w:lineRule="auto"/>
        <w:ind w:right="-876"/>
        <w:jc w:val="both"/>
        <w:rPr>
          <w:rFonts w:ascii="Palatino Linotype" w:eastAsia="Palatino Linotype" w:hAnsi="Palatino Linotype" w:cs="Palatino Linotype"/>
          <w:color w:val="000000"/>
          <w:sz w:val="24"/>
          <w:szCs w:val="24"/>
        </w:rPr>
      </w:pPr>
    </w:p>
    <w:tbl>
      <w:tblPr>
        <w:tblStyle w:val="a0"/>
        <w:tblW w:w="9780"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060"/>
        <w:gridCol w:w="6720"/>
      </w:tblGrid>
      <w:tr w:rsidR="009F3D31" w:rsidTr="009F3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F3D31" w:rsidRDefault="003E5E9F">
            <w:pPr>
              <w:tabs>
                <w:tab w:val="left" w:pos="284"/>
              </w:tabs>
              <w:spacing w:line="360" w:lineRule="auto"/>
              <w:ind w:right="-106"/>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 Requisitos previos.</w:t>
            </w:r>
          </w:p>
        </w:tc>
        <w:tc>
          <w:tcPr>
            <w:tcW w:w="6720" w:type="dxa"/>
          </w:tcPr>
          <w:p w:rsidR="009F3D31" w:rsidRDefault="003E5E9F">
            <w:pPr>
              <w:tabs>
                <w:tab w:val="left" w:pos="284"/>
              </w:tabs>
              <w:spacing w:line="360" w:lineRule="auto"/>
              <w:ind w:right="-10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F3D31" w:rsidRDefault="003E5E9F">
            <w:pPr>
              <w:tabs>
                <w:tab w:val="left" w:pos="284"/>
              </w:tabs>
              <w:spacing w:line="360" w:lineRule="auto"/>
              <w:ind w:right="-10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9F3D31" w:rsidRDefault="003E5E9F">
            <w:pPr>
              <w:tabs>
                <w:tab w:val="left" w:pos="284"/>
              </w:tabs>
              <w:spacing w:line="360" w:lineRule="auto"/>
              <w:ind w:right="-10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Además, se debe señalar el procedimiento, de los tres que establecen los artículos 132 y 106 de la Ley Estatal y General, respectivamente.</w:t>
            </w:r>
          </w:p>
          <w:p w:rsidR="009F3D31" w:rsidRDefault="003E5E9F">
            <w:pPr>
              <w:tabs>
                <w:tab w:val="left" w:pos="284"/>
              </w:tabs>
              <w:spacing w:line="360" w:lineRule="auto"/>
              <w:ind w:right="-10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9F3D31" w:rsidTr="009F3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F3D31" w:rsidRDefault="003E5E9F">
            <w:pPr>
              <w:tabs>
                <w:tab w:val="left" w:pos="284"/>
              </w:tabs>
              <w:spacing w:line="360" w:lineRule="auto"/>
              <w:ind w:right="-106"/>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b) Supuestos de clasificación.</w:t>
            </w:r>
          </w:p>
        </w:tc>
        <w:tc>
          <w:tcPr>
            <w:tcW w:w="6720" w:type="dxa"/>
          </w:tcPr>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lastRenderedPageBreak/>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F3D31" w:rsidTr="009F3D31">
        <w:tc>
          <w:tcPr>
            <w:cnfStyle w:val="001000000000" w:firstRow="0" w:lastRow="0" w:firstColumn="1" w:lastColumn="0" w:oddVBand="0" w:evenVBand="0" w:oddHBand="0" w:evenHBand="0" w:firstRowFirstColumn="0" w:firstRowLastColumn="0" w:lastRowFirstColumn="0" w:lastRowLastColumn="0"/>
            <w:tcW w:w="3060" w:type="dxa"/>
          </w:tcPr>
          <w:p w:rsidR="009F3D31" w:rsidRDefault="003E5E9F">
            <w:pPr>
              <w:tabs>
                <w:tab w:val="left" w:pos="284"/>
              </w:tabs>
              <w:spacing w:line="360" w:lineRule="auto"/>
              <w:ind w:right="-106"/>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c) Formalidades para emitir el acuerdo de clasificación.</w:t>
            </w:r>
          </w:p>
        </w:tc>
        <w:tc>
          <w:tcPr>
            <w:tcW w:w="6720" w:type="dxa"/>
          </w:tcPr>
          <w:p w:rsidR="009F3D31" w:rsidRDefault="003E5E9F">
            <w:pPr>
              <w:tabs>
                <w:tab w:val="left" w:pos="284"/>
              </w:tabs>
              <w:spacing w:line="360" w:lineRule="auto"/>
              <w:ind w:right="-10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9F3D31" w:rsidRDefault="003E5E9F">
            <w:pPr>
              <w:tabs>
                <w:tab w:val="left" w:pos="284"/>
              </w:tabs>
              <w:spacing w:line="360" w:lineRule="auto"/>
              <w:ind w:right="-10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necesario que </w:t>
            </w:r>
            <w:r>
              <w:rPr>
                <w:rFonts w:ascii="Palatino Linotype" w:eastAsia="Palatino Linotype" w:hAnsi="Palatino Linotype" w:cs="Palatino Linotype"/>
                <w:b/>
                <w:bCs/>
                <w:color w:val="000000"/>
                <w:sz w:val="24"/>
                <w:szCs w:val="24"/>
                <w:u w:val="single"/>
              </w:rPr>
              <w:t>el acto reúna con los requisitos elementales</w:t>
            </w:r>
            <w:r>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9F3D31" w:rsidRDefault="003E5E9F">
            <w:pPr>
              <w:tabs>
                <w:tab w:val="left" w:pos="284"/>
              </w:tabs>
              <w:spacing w:line="360" w:lineRule="auto"/>
              <w:ind w:right="-10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sz w:val="24"/>
                <w:szCs w:val="24"/>
              </w:rPr>
              <w:t>El área</w:t>
            </w:r>
            <w:r>
              <w:rPr>
                <w:rFonts w:ascii="Palatino Linotype" w:eastAsia="Palatino Linotype" w:hAnsi="Palatino Linotype" w:cs="Palatino Linotype"/>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F3D31" w:rsidTr="009F3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9F3D31" w:rsidRDefault="009F3D31">
            <w:pPr>
              <w:tabs>
                <w:tab w:val="left" w:pos="284"/>
              </w:tabs>
              <w:spacing w:line="360" w:lineRule="auto"/>
              <w:ind w:right="-106"/>
              <w:rPr>
                <w:rFonts w:ascii="Palatino Linotype" w:eastAsia="Palatino Linotype" w:hAnsi="Palatino Linotype" w:cs="Palatino Linotype"/>
                <w:sz w:val="24"/>
                <w:szCs w:val="24"/>
              </w:rPr>
            </w:pPr>
          </w:p>
          <w:p w:rsidR="009F3D31" w:rsidRDefault="003E5E9F">
            <w:pPr>
              <w:tabs>
                <w:tab w:val="left" w:pos="284"/>
              </w:tabs>
              <w:spacing w:line="360" w:lineRule="auto"/>
              <w:ind w:right="-106"/>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lastRenderedPageBreak/>
              <w:t xml:space="preserve">d) Requisitos de fondo del acuerdo de clasificación. </w:t>
            </w:r>
          </w:p>
        </w:tc>
        <w:tc>
          <w:tcPr>
            <w:tcW w:w="6720" w:type="dxa"/>
          </w:tcPr>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Como se ha señalado antes, al hacer el juicio de subsunción o encaje entre el supuesto de hecho y la hipótesis jurídica, se debe </w:t>
            </w:r>
            <w:r>
              <w:rPr>
                <w:rFonts w:ascii="Palatino Linotype" w:eastAsia="Palatino Linotype" w:hAnsi="Palatino Linotype" w:cs="Palatino Linotype"/>
                <w:color w:val="000000"/>
                <w:sz w:val="24"/>
                <w:szCs w:val="24"/>
              </w:rPr>
              <w:lastRenderedPageBreak/>
              <w:t xml:space="preserve">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sz w:val="24"/>
                <w:szCs w:val="24"/>
              </w:rPr>
              <w:t>Sujetos Obligados</w:t>
            </w:r>
            <w:r>
              <w:rPr>
                <w:rFonts w:ascii="Palatino Linotype" w:eastAsia="Palatino Linotype" w:hAnsi="Palatino Linotype" w:cs="Palatino Linotype"/>
                <w:color w:val="000000"/>
                <w:sz w:val="24"/>
                <w:szCs w:val="24"/>
              </w:rPr>
              <w:t xml:space="preserve">, por lo que deberán fundar y motivar debidamente la clasificación. </w:t>
            </w:r>
          </w:p>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desprende que para una correcta </w:t>
            </w:r>
            <w:r>
              <w:rPr>
                <w:rFonts w:ascii="Palatino Linotype" w:eastAsia="Palatino Linotype" w:hAnsi="Palatino Linotype" w:cs="Palatino Linotype"/>
                <w:b/>
                <w:bCs/>
                <w:color w:val="000000"/>
                <w:sz w:val="24"/>
                <w:szCs w:val="24"/>
              </w:rPr>
              <w:t>clasificación total o parcial</w:t>
            </w:r>
            <w:r>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En ese mismo sentido, el numeral trigésimo tercero fracción V de los Lineamientos Generales, precisa que para motivar la clasificación se deben acreditar las circunstancias de tiempo, modo y lugar.</w:t>
            </w:r>
          </w:p>
          <w:p w:rsidR="009F3D31" w:rsidRDefault="003E5E9F">
            <w:pPr>
              <w:tabs>
                <w:tab w:val="left" w:pos="284"/>
              </w:tabs>
              <w:spacing w:line="360" w:lineRule="auto"/>
              <w:ind w:right="-10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Ahora bien, </w:t>
            </w:r>
            <w:r>
              <w:rPr>
                <w:rFonts w:ascii="Palatino Linotype" w:eastAsia="Palatino Linotype" w:hAnsi="Palatino Linotype" w:cs="Palatino Linotype"/>
                <w:b/>
                <w:bCs/>
                <w:color w:val="000000"/>
                <w:sz w:val="24"/>
                <w:szCs w:val="24"/>
                <w:u w:val="single"/>
              </w:rPr>
              <w:t>para cada caso además de fundar y motivar</w:t>
            </w:r>
            <w:r>
              <w:rPr>
                <w:rFonts w:ascii="Palatino Linotype" w:eastAsia="Palatino Linotype" w:hAnsi="Palatino Linotype" w:cs="Palatino Linotype"/>
                <w:color w:val="000000"/>
                <w:sz w:val="24"/>
                <w:szCs w:val="24"/>
              </w:rPr>
              <w:t xml:space="preserve">, se debe identificar con claridad </w:t>
            </w:r>
            <w:r>
              <w:rPr>
                <w:rFonts w:ascii="Palatino Linotype" w:eastAsia="Palatino Linotype" w:hAnsi="Palatino Linotype" w:cs="Palatino Linotype"/>
                <w:sz w:val="24"/>
                <w:szCs w:val="24"/>
              </w:rPr>
              <w:t>qué</w:t>
            </w:r>
            <w:r>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F3D31" w:rsidTr="009F3D31">
        <w:tc>
          <w:tcPr>
            <w:cnfStyle w:val="001000000000" w:firstRow="0" w:lastRow="0" w:firstColumn="1" w:lastColumn="0" w:oddVBand="0" w:evenVBand="0" w:oddHBand="0" w:evenHBand="0" w:firstRowFirstColumn="0" w:firstRowLastColumn="0" w:lastRowFirstColumn="0" w:lastRowLastColumn="0"/>
            <w:tcW w:w="3060" w:type="dxa"/>
          </w:tcPr>
          <w:p w:rsidR="009F3D31" w:rsidRDefault="003E5E9F">
            <w:pPr>
              <w:tabs>
                <w:tab w:val="left" w:pos="284"/>
              </w:tabs>
              <w:spacing w:line="360" w:lineRule="auto"/>
              <w:ind w:right="-106"/>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6720" w:type="dxa"/>
          </w:tcPr>
          <w:p w:rsidR="009F3D31" w:rsidRDefault="003E5E9F">
            <w:pPr>
              <w:tabs>
                <w:tab w:val="left" w:pos="284"/>
              </w:tabs>
              <w:spacing w:line="360" w:lineRule="auto"/>
              <w:ind w:right="-10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9F3D31" w:rsidRDefault="003E5E9F">
            <w:pPr>
              <w:tabs>
                <w:tab w:val="left" w:pos="284"/>
              </w:tabs>
              <w:spacing w:line="360" w:lineRule="auto"/>
              <w:ind w:right="-10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F3D31" w:rsidRDefault="003E5E9F">
            <w:pPr>
              <w:tabs>
                <w:tab w:val="left" w:pos="284"/>
              </w:tabs>
              <w:spacing w:line="360" w:lineRule="auto"/>
              <w:ind w:right="-106"/>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Pero si la información que se pretende clasificar como confidencial no se encuentra en los supuestos de los artículos </w:t>
            </w:r>
            <w:r>
              <w:rPr>
                <w:rFonts w:ascii="Palatino Linotype" w:eastAsia="Palatino Linotype" w:hAnsi="Palatino Linotype" w:cs="Palatino Linotype"/>
                <w:color w:val="000000"/>
                <w:sz w:val="24"/>
                <w:szCs w:val="24"/>
              </w:rPr>
              <w:lastRenderedPageBreak/>
              <w:t>señalados y es posible, se deberá consultar al titular de los datos si permite o no el acceso. De no ser posible, la realización de la consulta, procede, fundando y motivando, la clasificación.</w:t>
            </w:r>
          </w:p>
        </w:tc>
      </w:tr>
    </w:tbl>
    <w:p w:rsidR="009F3D31" w:rsidRDefault="009F3D31">
      <w:pPr>
        <w:pBdr>
          <w:top w:val="nil"/>
          <w:left w:val="nil"/>
          <w:bottom w:val="nil"/>
          <w:right w:val="nil"/>
          <w:between w:val="nil"/>
        </w:pBdr>
        <w:tabs>
          <w:tab w:val="left" w:pos="284"/>
        </w:tabs>
        <w:ind w:right="-876"/>
        <w:rPr>
          <w:rFonts w:ascii="Palatino Linotype" w:eastAsia="Palatino Linotype" w:hAnsi="Palatino Linotype" w:cs="Palatino Linotype"/>
          <w:sz w:val="24"/>
          <w:szCs w:val="24"/>
        </w:rPr>
      </w:pPr>
    </w:p>
    <w:p w:rsidR="009F3D31" w:rsidRDefault="009F3D31">
      <w:pPr>
        <w:pBdr>
          <w:top w:val="nil"/>
          <w:left w:val="nil"/>
          <w:bottom w:val="nil"/>
          <w:right w:val="nil"/>
          <w:between w:val="nil"/>
        </w:pBdr>
        <w:tabs>
          <w:tab w:val="left" w:pos="284"/>
        </w:tabs>
        <w:ind w:right="-876"/>
        <w:rPr>
          <w:rFonts w:ascii="Palatino Linotype" w:eastAsia="Palatino Linotype" w:hAnsi="Palatino Linotype" w:cs="Palatino Linotype"/>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sz w:val="24"/>
          <w:szCs w:val="24"/>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9F3D31" w:rsidRDefault="009F3D31">
      <w:p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4"/>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222222"/>
          <w:sz w:val="24"/>
          <w:szCs w:val="24"/>
        </w:rPr>
        <w:t xml:space="preserve">Por lo anteriormente expuesto y fundado, este </w:t>
      </w:r>
      <w:r>
        <w:rPr>
          <w:rFonts w:ascii="Palatino Linotype" w:eastAsia="Palatino Linotype" w:hAnsi="Palatino Linotype" w:cs="Palatino Linotype"/>
          <w:b/>
          <w:bCs/>
          <w:color w:val="222222"/>
          <w:sz w:val="24"/>
          <w:szCs w:val="24"/>
        </w:rPr>
        <w:t>ÓRGANO GARANTE</w:t>
      </w:r>
      <w:r>
        <w:rPr>
          <w:rFonts w:ascii="Palatino Linotype" w:eastAsia="Palatino Linotype" w:hAnsi="Palatino Linotype" w:cs="Palatino Linotype"/>
          <w:color w:val="222222"/>
          <w:sz w:val="24"/>
          <w:szCs w:val="24"/>
        </w:rPr>
        <w:t xml:space="preserve"> emite los siguientes:</w:t>
      </w:r>
    </w:p>
    <w:p w:rsidR="009F3D31" w:rsidRDefault="003E5E9F">
      <w:pPr>
        <w:pStyle w:val="Ttulo1"/>
        <w:ind w:right="-876"/>
        <w:jc w:val="center"/>
        <w:rPr>
          <w:rFonts w:ascii="Palatino Linotype" w:eastAsia="Palatino Linotype" w:hAnsi="Palatino Linotype" w:cs="Palatino Linotype"/>
          <w:b/>
          <w:bCs/>
          <w:color w:val="000000"/>
          <w:sz w:val="24"/>
          <w:szCs w:val="24"/>
        </w:rPr>
      </w:pPr>
      <w:bookmarkStart w:id="10" w:name="_heading=h.h6nln8co0n3g" w:colFirst="0" w:colLast="0"/>
      <w:bookmarkEnd w:id="10"/>
      <w:r>
        <w:rPr>
          <w:rFonts w:ascii="Palatino Linotype" w:eastAsia="Palatino Linotype" w:hAnsi="Palatino Linotype" w:cs="Palatino Linotype"/>
          <w:b/>
          <w:bCs/>
          <w:color w:val="000000"/>
          <w:sz w:val="24"/>
          <w:szCs w:val="24"/>
        </w:rPr>
        <w:t>R E S O L U T I V O S</w:t>
      </w:r>
    </w:p>
    <w:p w:rsidR="009F3D31" w:rsidRDefault="009F3D31">
      <w:pPr>
        <w:keepNext/>
        <w:keepLines/>
        <w:spacing w:line="360" w:lineRule="auto"/>
        <w:ind w:right="-876"/>
        <w:jc w:val="center"/>
        <w:rPr>
          <w:rFonts w:ascii="Palatino Linotype" w:eastAsia="Palatino Linotype" w:hAnsi="Palatino Linotype" w:cs="Palatino Linotype"/>
          <w:b/>
          <w:bCs/>
          <w:sz w:val="24"/>
          <w:szCs w:val="24"/>
        </w:rPr>
      </w:pPr>
    </w:p>
    <w:p w:rsidR="009F3D31" w:rsidRDefault="003E5E9F">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PRIMERO. </w:t>
      </w:r>
      <w:r>
        <w:rPr>
          <w:rFonts w:ascii="Palatino Linotype" w:eastAsia="Palatino Linotype" w:hAnsi="Palatino Linotype" w:cs="Palatino Linotype"/>
          <w:sz w:val="24"/>
          <w:szCs w:val="24"/>
        </w:rPr>
        <w:t>Resultan fundadas las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razones o motivos de inconformidad hechos valer en el recurso de revisión </w:t>
      </w:r>
      <w:r>
        <w:rPr>
          <w:rFonts w:ascii="Palatino Linotype" w:eastAsia="Palatino Linotype" w:hAnsi="Palatino Linotype" w:cs="Palatino Linotype"/>
          <w:b/>
          <w:bCs/>
          <w:sz w:val="24"/>
          <w:szCs w:val="24"/>
        </w:rPr>
        <w:t xml:space="preserve">13068/INFOEM/IP/RR/2025 </w:t>
      </w:r>
      <w:r>
        <w:rPr>
          <w:rFonts w:ascii="Palatino Linotype" w:eastAsia="Palatino Linotype" w:hAnsi="Palatino Linotype" w:cs="Palatino Linotype"/>
          <w:sz w:val="24"/>
          <w:szCs w:val="24"/>
        </w:rPr>
        <w:t>en términos de los</w:t>
      </w:r>
      <w:r>
        <w:rPr>
          <w:rFonts w:ascii="Palatino Linotype" w:eastAsia="Palatino Linotype" w:hAnsi="Palatino Linotype" w:cs="Palatino Linotype"/>
          <w:b/>
          <w:bCs/>
          <w:sz w:val="24"/>
          <w:szCs w:val="24"/>
        </w:rPr>
        <w:t xml:space="preserve"> Considerandos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CUARTO y QUINTO</w:t>
      </w:r>
      <w:r>
        <w:rPr>
          <w:rFonts w:ascii="Palatino Linotype" w:eastAsia="Palatino Linotype" w:hAnsi="Palatino Linotype" w:cs="Palatino Linotype"/>
          <w:sz w:val="24"/>
          <w:szCs w:val="24"/>
        </w:rPr>
        <w:t xml:space="preserve"> de la presente resolución.</w:t>
      </w:r>
    </w:p>
    <w:p w:rsidR="009F3D31" w:rsidRDefault="009F3D31">
      <w:pPr>
        <w:spacing w:line="360" w:lineRule="auto"/>
        <w:ind w:right="-876"/>
        <w:jc w:val="both"/>
        <w:rPr>
          <w:rFonts w:ascii="Palatino Linotype" w:eastAsia="Palatino Linotype" w:hAnsi="Palatino Linotype" w:cs="Palatino Linotype"/>
          <w:b/>
          <w:bCs/>
          <w:sz w:val="24"/>
          <w:szCs w:val="24"/>
        </w:rPr>
      </w:pPr>
    </w:p>
    <w:p w:rsidR="009F3D31" w:rsidRDefault="003E5E9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SEGUNDO.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b/>
          <w:bCs/>
          <w:color w:val="000000"/>
          <w:sz w:val="24"/>
          <w:szCs w:val="24"/>
        </w:rPr>
        <w:t>REVOCA</w:t>
      </w:r>
      <w:r>
        <w:rPr>
          <w:rFonts w:ascii="Palatino Linotype" w:eastAsia="Palatino Linotype" w:hAnsi="Palatino Linotype" w:cs="Palatino Linotype"/>
          <w:color w:val="000000"/>
          <w:sz w:val="24"/>
          <w:szCs w:val="24"/>
        </w:rPr>
        <w:t xml:space="preserve"> la respuesta y se </w:t>
      </w:r>
      <w:r>
        <w:rPr>
          <w:rFonts w:ascii="Palatino Linotype" w:eastAsia="Palatino Linotype" w:hAnsi="Palatino Linotype" w:cs="Palatino Linotype"/>
          <w:b/>
          <w:bCs/>
          <w:color w:val="000000"/>
          <w:sz w:val="24"/>
          <w:szCs w:val="24"/>
        </w:rPr>
        <w:t xml:space="preserve">ORDENA </w:t>
      </w:r>
      <w:r>
        <w:rPr>
          <w:rFonts w:ascii="Palatino Linotype" w:eastAsia="Palatino Linotype" w:hAnsi="Palatino Linotype" w:cs="Palatino Linotype"/>
          <w:color w:val="000000"/>
          <w:sz w:val="24"/>
          <w:szCs w:val="24"/>
        </w:rPr>
        <w:t xml:space="preserve">la </w:t>
      </w:r>
      <w:r>
        <w:rPr>
          <w:rFonts w:ascii="Palatino Linotype" w:eastAsia="Palatino Linotype" w:hAnsi="Palatino Linotype" w:cs="Palatino Linotype"/>
          <w:b/>
          <w:bCs/>
          <w:color w:val="000000"/>
          <w:sz w:val="24"/>
          <w:szCs w:val="24"/>
        </w:rPr>
        <w:t xml:space="preserve">Fiscalía General de Justicia del Estado de México </w:t>
      </w:r>
      <w:r>
        <w:rPr>
          <w:rFonts w:ascii="Palatino Linotype" w:eastAsia="Palatino Linotype" w:hAnsi="Palatino Linotype" w:cs="Palatino Linotype"/>
          <w:color w:val="000000"/>
          <w:sz w:val="24"/>
          <w:szCs w:val="24"/>
        </w:rPr>
        <w:t>entregar, vía Sistema de Acceso a la Información Mexiquense (SAIMEX), de ser el caso en versión pública, en formato abierto xls, cvs o aquel en el que se haya generado, la siguiente información:</w:t>
      </w:r>
    </w:p>
    <w:p w:rsidR="009F3D31" w:rsidRDefault="009F3D3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9F3D31" w:rsidRDefault="003E5E9F">
      <w:pPr>
        <w:numPr>
          <w:ilvl w:val="0"/>
          <w:numId w:val="5"/>
        </w:numPr>
        <w:spacing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lastRenderedPageBreak/>
        <w:t>El o los documentos donde conste la incidencia delictiva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sz w:val="24"/>
          <w:szCs w:val="24"/>
        </w:rPr>
        <w:t>y/o incidencia de faltas administrativas, al mayor grado de desagregación posible, comprendida del uno de enero de dos mil dieciocho al ocho de octubre de dos mil veinticinco; y</w:t>
      </w:r>
    </w:p>
    <w:p w:rsidR="009F3D31" w:rsidRDefault="009F3D31">
      <w:pPr>
        <w:spacing w:after="160" w:line="360" w:lineRule="auto"/>
        <w:ind w:right="-876"/>
        <w:jc w:val="both"/>
        <w:rPr>
          <w:rFonts w:ascii="Palatino Linotype" w:eastAsia="Palatino Linotype" w:hAnsi="Palatino Linotype" w:cs="Palatino Linotype"/>
          <w:b/>
          <w:bCs/>
          <w:color w:val="000000"/>
          <w:sz w:val="24"/>
          <w:szCs w:val="24"/>
        </w:rPr>
      </w:pPr>
    </w:p>
    <w:p w:rsidR="009F3D31" w:rsidRDefault="003E5E9F">
      <w:pPr>
        <w:pBdr>
          <w:top w:val="nil"/>
          <w:left w:val="nil"/>
          <w:bottom w:val="nil"/>
          <w:right w:val="nil"/>
          <w:between w:val="nil"/>
        </w:pBdr>
        <w:tabs>
          <w:tab w:val="left" w:pos="8080"/>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r>
        <w:rPr>
          <w:rFonts w:ascii="Palatino Linotype" w:eastAsia="Palatino Linotype" w:hAnsi="Palatino Linotype" w:cs="Palatino Linotype"/>
          <w:color w:val="000000"/>
          <w:sz w:val="24"/>
          <w:szCs w:val="24"/>
        </w:rPr>
        <w:t>así como aquellos que se clasifiquen en su totalidad.</w:t>
      </w:r>
    </w:p>
    <w:p w:rsidR="009F3D31" w:rsidRDefault="009F3D31">
      <w:pPr>
        <w:pBdr>
          <w:top w:val="nil"/>
          <w:left w:val="nil"/>
          <w:bottom w:val="nil"/>
          <w:right w:val="nil"/>
          <w:between w:val="nil"/>
        </w:pBdr>
        <w:tabs>
          <w:tab w:val="left" w:pos="8080"/>
        </w:tabs>
        <w:spacing w:line="360" w:lineRule="auto"/>
        <w:ind w:right="-876"/>
        <w:jc w:val="both"/>
        <w:rPr>
          <w:rFonts w:ascii="Palatino Linotype" w:eastAsia="Palatino Linotype" w:hAnsi="Palatino Linotype" w:cs="Palatino Linotype"/>
          <w:color w:val="000000"/>
          <w:sz w:val="24"/>
          <w:szCs w:val="24"/>
        </w:rPr>
      </w:pPr>
    </w:p>
    <w:p w:rsidR="009F3D31" w:rsidRDefault="003E5E9F">
      <w:pPr>
        <w:pBdr>
          <w:top w:val="nil"/>
          <w:left w:val="nil"/>
          <w:bottom w:val="nil"/>
          <w:right w:val="nil"/>
          <w:between w:val="nil"/>
        </w:pBdr>
        <w:tabs>
          <w:tab w:val="left" w:pos="8080"/>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Para el caso de que la información que se ordena entregar sobre la incidencia de faltas administrativas no obre en los archivos del Sujeto Obligado, al no haber sido generada, o bien, no cuente con las coordenadas geográficas, bastará con que lo haga del conocimiento del Recurrente, de manera precisa y clara.</w:t>
      </w:r>
    </w:p>
    <w:p w:rsidR="009F3D31" w:rsidRDefault="009F3D31">
      <w:pPr>
        <w:pBdr>
          <w:top w:val="nil"/>
          <w:left w:val="nil"/>
          <w:bottom w:val="nil"/>
          <w:right w:val="nil"/>
          <w:between w:val="nil"/>
        </w:pBdr>
        <w:tabs>
          <w:tab w:val="left" w:pos="8080"/>
        </w:tabs>
        <w:spacing w:line="360" w:lineRule="auto"/>
        <w:ind w:right="-876"/>
        <w:jc w:val="both"/>
        <w:rPr>
          <w:rFonts w:ascii="Palatino Linotype" w:eastAsia="Palatino Linotype" w:hAnsi="Palatino Linotype" w:cs="Palatino Linotype"/>
          <w:color w:val="000000"/>
          <w:sz w:val="24"/>
          <w:szCs w:val="24"/>
        </w:rPr>
      </w:pPr>
      <w:bookmarkStart w:id="11" w:name="_heading=h.4m6kspo4ax3t" w:colFirst="0" w:colLast="0"/>
      <w:bookmarkEnd w:id="11"/>
    </w:p>
    <w:p w:rsidR="009F3D31" w:rsidRDefault="003E5E9F">
      <w:pPr>
        <w:tabs>
          <w:tab w:val="left" w:pos="284"/>
          <w:tab w:val="left" w:pos="8080"/>
        </w:tabs>
        <w:spacing w:line="360" w:lineRule="auto"/>
        <w:ind w:right="-876"/>
        <w:jc w:val="both"/>
        <w:rPr>
          <w:rFonts w:ascii="Palatino Linotype" w:eastAsia="Palatino Linotype" w:hAnsi="Palatino Linotype" w:cs="Palatino Linotype"/>
          <w:color w:val="222222"/>
          <w:sz w:val="24"/>
          <w:szCs w:val="24"/>
          <w:highlight w:val="white"/>
        </w:rPr>
      </w:pPr>
      <w:r>
        <w:rPr>
          <w:rFonts w:ascii="Palatino Linotype" w:eastAsia="Palatino Linotype" w:hAnsi="Palatino Linotype" w:cs="Palatino Linotype"/>
          <w:b/>
          <w:bCs/>
          <w:sz w:val="24"/>
          <w:szCs w:val="24"/>
        </w:rPr>
        <w:t xml:space="preserve">TERCERO. </w:t>
      </w:r>
      <w:r>
        <w:rPr>
          <w:rFonts w:ascii="Palatino Linotype" w:eastAsia="Palatino Linotype" w:hAnsi="Palatino Linotype" w:cs="Palatino Linotype"/>
          <w:b/>
          <w:bCs/>
          <w:color w:val="222222"/>
          <w:sz w:val="24"/>
          <w:szCs w:val="24"/>
          <w:highlight w:val="white"/>
        </w:rPr>
        <w:t>NOTIFÍQUESE</w:t>
      </w:r>
      <w:r>
        <w:rPr>
          <w:rFonts w:ascii="Palatino Linotype" w:eastAsia="Palatino Linotype" w:hAnsi="Palatino Linotype" w:cs="Palatino Linotype"/>
          <w:color w:val="222222"/>
          <w:sz w:val="24"/>
          <w:szCs w:val="24"/>
          <w:highlight w:val="white"/>
        </w:rPr>
        <w:t xml:space="preserve"> la presente resolución al Titular de la Unidad de Transparencia del Sujeto Obligado </w:t>
      </w:r>
      <w:r>
        <w:rPr>
          <w:rFonts w:ascii="Palatino Linotype" w:eastAsia="Palatino Linotype" w:hAnsi="Palatino Linotype" w:cs="Palatino Linotype"/>
          <w:b/>
          <w:bCs/>
          <w:color w:val="222222"/>
          <w:sz w:val="24"/>
          <w:szCs w:val="24"/>
          <w:highlight w:val="white"/>
        </w:rPr>
        <w:t>vía SAIMEX</w:t>
      </w:r>
      <w:r>
        <w:rPr>
          <w:rFonts w:ascii="Palatino Linotype" w:eastAsia="Palatino Linotype" w:hAnsi="Palatino Linotype" w:cs="Palatino Linotype"/>
          <w:color w:val="222222"/>
          <w:sz w:val="24"/>
          <w:szCs w:val="24"/>
          <w:highlight w:val="whit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sz w:val="24"/>
          <w:szCs w:val="24"/>
          <w:highlight w:val="white"/>
        </w:rPr>
        <w:t xml:space="preserve">dé cumplimiento a lo ordenado dentro del plazo de diez días hábiles, </w:t>
      </w:r>
      <w:r>
        <w:rPr>
          <w:rFonts w:ascii="Palatino Linotype" w:eastAsia="Palatino Linotype" w:hAnsi="Palatino Linotype" w:cs="Palatino Linotype"/>
          <w:color w:val="222222"/>
          <w:sz w:val="24"/>
          <w:szCs w:val="24"/>
          <w:highlight w:val="whit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Pr>
          <w:rFonts w:ascii="Palatino Linotype" w:eastAsia="Palatino Linotype" w:hAnsi="Palatino Linotype" w:cs="Palatino Linotype"/>
          <w:color w:val="222222"/>
          <w:sz w:val="24"/>
          <w:szCs w:val="24"/>
          <w:highlight w:val="white"/>
        </w:rPr>
        <w:lastRenderedPageBreak/>
        <w:t>conformidad con lo previsto en los artículos 198, 200, fracción III; 214, 215 y 216 de la Ley  de Transparencia y Acceso a la Información Pública del Estado de México y Municipios.</w:t>
      </w:r>
    </w:p>
    <w:p w:rsidR="009F3D31" w:rsidRDefault="009F3D31">
      <w:pPr>
        <w:tabs>
          <w:tab w:val="left" w:pos="284"/>
          <w:tab w:val="left" w:pos="8080"/>
        </w:tabs>
        <w:spacing w:line="360" w:lineRule="auto"/>
        <w:ind w:right="-876"/>
        <w:jc w:val="both"/>
        <w:rPr>
          <w:rFonts w:ascii="Palatino Linotype" w:eastAsia="Palatino Linotype" w:hAnsi="Palatino Linotype" w:cs="Palatino Linotype"/>
          <w:color w:val="222222"/>
          <w:sz w:val="24"/>
          <w:szCs w:val="24"/>
          <w:highlight w:val="white"/>
        </w:rPr>
      </w:pPr>
    </w:p>
    <w:p w:rsidR="009F3D31" w:rsidRDefault="003E5E9F">
      <w:pPr>
        <w:tabs>
          <w:tab w:val="left" w:pos="284"/>
        </w:tabs>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CUARTO.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 xml:space="preserve">al </w:t>
      </w:r>
      <w:r>
        <w:rPr>
          <w:rFonts w:ascii="Palatino Linotype" w:eastAsia="Palatino Linotype" w:hAnsi="Palatino Linotype" w:cs="Palatino Linotype"/>
          <w:b/>
          <w:bCs/>
          <w:color w:val="222222"/>
          <w:sz w:val="24"/>
          <w:szCs w:val="24"/>
        </w:rPr>
        <w:t xml:space="preserve">RECURRENTE </w:t>
      </w:r>
      <w:r>
        <w:rPr>
          <w:rFonts w:ascii="Palatino Linotype" w:eastAsia="Palatino Linotype" w:hAnsi="Palatino Linotype" w:cs="Palatino Linotype"/>
          <w:sz w:val="24"/>
          <w:szCs w:val="24"/>
        </w:rPr>
        <w:t>la presente resolución a través del Sistema de Acceso a la Información Mexiquense (SAIMEX).</w:t>
      </w:r>
    </w:p>
    <w:p w:rsidR="009F3D31" w:rsidRDefault="009F3D31">
      <w:pPr>
        <w:tabs>
          <w:tab w:val="left" w:pos="284"/>
        </w:tabs>
        <w:spacing w:line="360" w:lineRule="auto"/>
        <w:ind w:right="-876"/>
        <w:jc w:val="both"/>
        <w:rPr>
          <w:rFonts w:ascii="Palatino Linotype" w:eastAsia="Palatino Linotype" w:hAnsi="Palatino Linotype" w:cs="Palatino Linotype"/>
          <w:sz w:val="24"/>
          <w:szCs w:val="24"/>
        </w:rPr>
      </w:pPr>
    </w:p>
    <w:p w:rsidR="009F3D31" w:rsidRDefault="003E5E9F">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F3D31" w:rsidRDefault="003E5E9F">
      <w:pPr>
        <w:spacing w:before="240" w:after="360" w:line="360" w:lineRule="auto"/>
        <w:ind w:right="-876"/>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sz w:val="24"/>
          <w:szCs w:val="24"/>
        </w:rPr>
        <w:t>SEXTO.</w:t>
      </w:r>
      <w:r>
        <w:rPr>
          <w:rFonts w:ascii="Palatino Linotype" w:eastAsia="Palatino Linotype" w:hAnsi="Palatino Linotype" w:cs="Palatino Linotype"/>
          <w:color w:val="222222"/>
          <w:sz w:val="24"/>
          <w:szCs w:val="24"/>
        </w:rPr>
        <w:t xml:space="preserve"> </w:t>
      </w:r>
      <w:r>
        <w:rPr>
          <w:rFonts w:ascii="Palatino Linotype" w:eastAsia="Palatino Linotype" w:hAnsi="Palatino Linotype" w:cs="Palatino Linotype"/>
          <w:sz w:val="24"/>
          <w:szCs w:val="24"/>
        </w:rPr>
        <w:t xml:space="preserve">Se hace del conocimiento del RECURRENTE que, de conformidad con lo establecido en el artículo 196 de la Ley de Transparencia y Acceso a la Información Pública del Estado de México y Municipios, </w:t>
      </w:r>
      <w:r>
        <w:rPr>
          <w:rFonts w:ascii="Palatino Linotype" w:eastAsia="Palatino Linotype" w:hAnsi="Palatino Linotype" w:cs="Palatino Linotype"/>
          <w:color w:val="000000"/>
          <w:sz w:val="24"/>
          <w:szCs w:val="24"/>
        </w:rPr>
        <w:t xml:space="preserve">en caso de que considere que la resolución le cause algún perjuicio podrá </w:t>
      </w:r>
      <w:r>
        <w:rPr>
          <w:rFonts w:ascii="Palatino Linotype" w:eastAsia="Palatino Linotype" w:hAnsi="Palatino Linotype" w:cs="Palatino Linotype"/>
          <w:sz w:val="24"/>
          <w:szCs w:val="24"/>
        </w:rPr>
        <w:t>impugnar vía</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juicio de amparo en los términos de las leyes aplicables.</w:t>
      </w:r>
    </w:p>
    <w:p w:rsidR="00274251" w:rsidRPr="00274251" w:rsidRDefault="00274251" w:rsidP="00274251">
      <w:pPr>
        <w:spacing w:before="240" w:after="240" w:line="360" w:lineRule="auto"/>
        <w:ind w:right="-737" w:firstLine="1"/>
        <w:jc w:val="both"/>
        <w:rPr>
          <w:rFonts w:ascii="Palatino Linotype" w:hAnsi="Palatino Linotype"/>
          <w:sz w:val="24"/>
        </w:rPr>
      </w:pPr>
      <w:bookmarkStart w:id="12" w:name="_Hlk99014733"/>
      <w:r w:rsidRPr="00274251">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274251">
        <w:rPr>
          <w:rFonts w:ascii="Palatino Linotype" w:hAnsi="Palatino Linotype" w:cs="Palatino Linotype"/>
          <w:color w:val="000000" w:themeColor="text1"/>
          <w:sz w:val="24"/>
        </w:rPr>
        <w:t>ALEXIS TAPIA RAMÍREZ.</w:t>
      </w:r>
    </w:p>
    <w:bookmarkEnd w:id="12"/>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spacing w:before="240" w:after="360" w:line="360" w:lineRule="auto"/>
        <w:ind w:right="-876"/>
        <w:jc w:val="both"/>
        <w:rPr>
          <w:rFonts w:ascii="Palatino Linotype" w:eastAsia="Palatino Linotype" w:hAnsi="Palatino Linotype" w:cs="Palatino Linotype"/>
          <w:color w:val="222222"/>
          <w:sz w:val="24"/>
          <w:szCs w:val="24"/>
        </w:rPr>
      </w:pPr>
    </w:p>
    <w:p w:rsidR="009F3D31" w:rsidRDefault="009F3D31">
      <w:pPr>
        <w:ind w:right="-876"/>
        <w:rPr>
          <w:rFonts w:ascii="Palatino Linotype" w:eastAsia="Palatino Linotype" w:hAnsi="Palatino Linotype" w:cs="Palatino Linotype"/>
          <w:sz w:val="24"/>
          <w:szCs w:val="24"/>
        </w:rPr>
      </w:pPr>
    </w:p>
    <w:p w:rsidR="009F3D31" w:rsidRPr="00274251" w:rsidRDefault="009F3D31">
      <w:pPr>
        <w:ind w:right="-876"/>
        <w:rPr>
          <w:rFonts w:ascii="Palatino Linotype" w:eastAsia="Palatino Linotype" w:hAnsi="Palatino Linotype" w:cs="Palatino Linotype"/>
          <w:sz w:val="24"/>
          <w:szCs w:val="24"/>
        </w:rPr>
      </w:pPr>
    </w:p>
    <w:sectPr w:rsidR="009F3D31" w:rsidRPr="00274251">
      <w:headerReference w:type="even" r:id="rId14"/>
      <w:headerReference w:type="default" r:id="rId15"/>
      <w:footerReference w:type="default" r:id="rId16"/>
      <w:headerReference w:type="first" r:id="rId17"/>
      <w:footerReference w:type="first" r:id="rId18"/>
      <w:pgSz w:w="12240" w:h="15840"/>
      <w:pgMar w:top="80" w:right="160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C3D" w:rsidRDefault="00CE0C3D">
      <w:r>
        <w:separator/>
      </w:r>
    </w:p>
  </w:endnote>
  <w:endnote w:type="continuationSeparator" w:id="0">
    <w:p w:rsidR="00CE0C3D" w:rsidRDefault="00CE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D181B29-1BED-450F-BA19-877935B1E77D}"/>
    <w:embedBold r:id="rId2" w:fontKey="{12011EBA-1D55-4237-8514-3795043F72FD}"/>
    <w:embedItalic r:id="rId3" w:fontKey="{7DD4211D-5245-4AD1-9C83-954349FF62A5}"/>
    <w:embedBoldItalic r:id="rId4" w:fontKey="{66455CEA-3A25-426B-9FB3-EEA9EE1EC28A}"/>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3FF1C1AA-E8C9-495D-A0BB-9E6A232BB46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03AE846-BFF1-4457-A5A3-0BE2D49A5F34}"/>
  </w:font>
  <w:font w:name="Georgia">
    <w:panose1 w:val="02040502050405020303"/>
    <w:charset w:val="00"/>
    <w:family w:val="roman"/>
    <w:pitch w:val="variable"/>
    <w:sig w:usb0="00000287" w:usb1="00000000" w:usb2="00000000" w:usb3="00000000" w:csb0="0000009F" w:csb1="00000000"/>
    <w:embedItalic r:id="rId7" w:fontKey="{39F888B9-DAF0-4412-85A1-5C70D3BA62F1}"/>
  </w:font>
  <w:font w:name="Garamond">
    <w:panose1 w:val="02020404030301010803"/>
    <w:charset w:val="00"/>
    <w:family w:val="roman"/>
    <w:pitch w:val="variable"/>
    <w:sig w:usb0="00000287" w:usb1="00000000" w:usb2="00000000" w:usb3="00000000" w:csb0="0000009F" w:csb1="00000000"/>
    <w:embedRegular r:id="rId8" w:fontKey="{79218998-57F4-4208-B17A-CD69EE59F22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543068B5-E4A0-41BA-8C96-C288AFE39A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D31" w:rsidRDefault="009F3D31">
    <w:pPr>
      <w:pBdr>
        <w:top w:val="nil"/>
        <w:left w:val="nil"/>
        <w:bottom w:val="nil"/>
        <w:right w:val="nil"/>
        <w:between w:val="nil"/>
      </w:pBdr>
      <w:tabs>
        <w:tab w:val="center" w:pos="4419"/>
        <w:tab w:val="right" w:pos="8838"/>
      </w:tabs>
      <w:jc w:val="right"/>
      <w:rPr>
        <w:color w:val="000000"/>
      </w:rPr>
    </w:pPr>
  </w:p>
  <w:p w:rsidR="009F3D31" w:rsidRDefault="003E5E9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974AB">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974AB">
      <w:rPr>
        <w:rFonts w:ascii="Palatino Linotype" w:eastAsia="Palatino Linotype" w:hAnsi="Palatino Linotype" w:cs="Palatino Linotype"/>
        <w:b/>
        <w:bCs/>
        <w:noProof/>
        <w:color w:val="000000"/>
        <w:sz w:val="22"/>
        <w:szCs w:val="22"/>
      </w:rPr>
      <w:t>27</w:t>
    </w:r>
    <w:r>
      <w:rPr>
        <w:rFonts w:ascii="Palatino Linotype" w:eastAsia="Palatino Linotype" w:hAnsi="Palatino Linotype" w:cs="Palatino Linotype"/>
        <w:b/>
        <w:bCs/>
        <w:color w:val="000000"/>
        <w:sz w:val="22"/>
        <w:szCs w:val="22"/>
      </w:rPr>
      <w:fldChar w:fldCharType="end"/>
    </w:r>
  </w:p>
  <w:p w:rsidR="009F3D31" w:rsidRDefault="009F3D31">
    <w:pPr>
      <w:pBdr>
        <w:top w:val="nil"/>
        <w:left w:val="nil"/>
        <w:bottom w:val="nil"/>
        <w:right w:val="nil"/>
        <w:between w:val="nil"/>
      </w:pBdr>
      <w:tabs>
        <w:tab w:val="center" w:pos="4419"/>
        <w:tab w:val="right" w:pos="8838"/>
      </w:tabs>
      <w:rPr>
        <w:color w:val="000000"/>
      </w:rPr>
    </w:pPr>
  </w:p>
  <w:p w:rsidR="009F3D31" w:rsidRDefault="009F3D31"/>
  <w:p w:rsidR="009F3D31" w:rsidRDefault="009F3D31"/>
  <w:p w:rsidR="009F3D31" w:rsidRDefault="009F3D3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D31" w:rsidRDefault="003E5E9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974AB">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974AB">
      <w:rPr>
        <w:rFonts w:ascii="Palatino Linotype" w:eastAsia="Palatino Linotype" w:hAnsi="Palatino Linotype" w:cs="Palatino Linotype"/>
        <w:b/>
        <w:bCs/>
        <w:noProof/>
        <w:color w:val="000000"/>
        <w:sz w:val="22"/>
        <w:szCs w:val="22"/>
      </w:rPr>
      <w:t>27</w:t>
    </w:r>
    <w:r>
      <w:rPr>
        <w:rFonts w:ascii="Palatino Linotype" w:eastAsia="Palatino Linotype" w:hAnsi="Palatino Linotype" w:cs="Palatino Linotype"/>
        <w:b/>
        <w:bCs/>
        <w:color w:val="000000"/>
        <w:sz w:val="22"/>
        <w:szCs w:val="22"/>
      </w:rPr>
      <w:fldChar w:fldCharType="end"/>
    </w:r>
  </w:p>
  <w:p w:rsidR="009F3D31" w:rsidRDefault="009F3D31">
    <w:pPr>
      <w:pBdr>
        <w:top w:val="nil"/>
        <w:left w:val="nil"/>
        <w:bottom w:val="nil"/>
        <w:right w:val="nil"/>
        <w:between w:val="nil"/>
      </w:pBdr>
      <w:tabs>
        <w:tab w:val="center" w:pos="4419"/>
        <w:tab w:val="right" w:pos="8838"/>
      </w:tabs>
      <w:rPr>
        <w:color w:val="000000"/>
      </w:rPr>
    </w:pPr>
  </w:p>
  <w:p w:rsidR="009F3D31" w:rsidRDefault="009F3D31"/>
  <w:p w:rsidR="009F3D31" w:rsidRDefault="009F3D31"/>
  <w:p w:rsidR="009F3D31" w:rsidRDefault="009F3D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C3D" w:rsidRDefault="00CE0C3D">
      <w:r>
        <w:separator/>
      </w:r>
    </w:p>
  </w:footnote>
  <w:footnote w:type="continuationSeparator" w:id="0">
    <w:p w:rsidR="00CE0C3D" w:rsidRDefault="00CE0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D31" w:rsidRDefault="00CE0C3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9F3D31" w:rsidRDefault="009F3D31"/>
  <w:p w:rsidR="009F3D31" w:rsidRDefault="009F3D31"/>
  <w:p w:rsidR="009F3D31" w:rsidRDefault="009F3D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9923" w:type="dxa"/>
      <w:tblInd w:w="0" w:type="dxa"/>
      <w:tblLayout w:type="fixed"/>
      <w:tblLook w:val="0400" w:firstRow="0" w:lastRow="0" w:firstColumn="0" w:lastColumn="0" w:noHBand="0" w:noVBand="1"/>
    </w:tblPr>
    <w:tblGrid>
      <w:gridCol w:w="1843"/>
      <w:gridCol w:w="8080"/>
    </w:tblGrid>
    <w:tr w:rsidR="009F3D31" w:rsidTr="00630B4D">
      <w:trPr>
        <w:trHeight w:val="1435"/>
      </w:trPr>
      <w:tc>
        <w:tcPr>
          <w:tcW w:w="1843" w:type="dxa"/>
          <w:shd w:val="clear" w:color="auto" w:fill="auto"/>
        </w:tcPr>
        <w:p w:rsidR="009F3D31" w:rsidRDefault="003E5E9F">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080" w:type="dxa"/>
          <w:shd w:val="clear" w:color="auto" w:fill="auto"/>
        </w:tcPr>
        <w:tbl>
          <w:tblPr>
            <w:tblStyle w:val="a2"/>
            <w:tblW w:w="6095" w:type="dxa"/>
            <w:tblInd w:w="1586" w:type="dxa"/>
            <w:tblBorders>
              <w:top w:val="nil"/>
              <w:left w:val="nil"/>
              <w:bottom w:val="nil"/>
              <w:right w:val="nil"/>
              <w:insideH w:val="nil"/>
              <w:insideV w:val="nil"/>
            </w:tblBorders>
            <w:tblLayout w:type="fixed"/>
            <w:tblLook w:val="0400" w:firstRow="0" w:lastRow="0" w:firstColumn="0" w:lastColumn="0" w:noHBand="0" w:noVBand="1"/>
          </w:tblPr>
          <w:tblGrid>
            <w:gridCol w:w="2730"/>
            <w:gridCol w:w="3365"/>
          </w:tblGrid>
          <w:tr w:rsidR="009F3D31" w:rsidTr="00630B4D">
            <w:trPr>
              <w:trHeight w:val="338"/>
            </w:trPr>
            <w:tc>
              <w:tcPr>
                <w:tcW w:w="2730" w:type="dxa"/>
              </w:tcPr>
              <w:p w:rsidR="009F3D31" w:rsidRDefault="003E5E9F">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3365" w:type="dxa"/>
              </w:tcPr>
              <w:p w:rsidR="009F3D31" w:rsidRDefault="003E5E9F">
                <w:pPr>
                  <w:ind w:right="-1380" w:hanging="101"/>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13068/INFOEM/IP/RR/2025</w:t>
                </w:r>
              </w:p>
            </w:tc>
          </w:tr>
          <w:tr w:rsidR="009F3D31" w:rsidTr="00630B4D">
            <w:trPr>
              <w:trHeight w:val="617"/>
            </w:trPr>
            <w:tc>
              <w:tcPr>
                <w:tcW w:w="2730" w:type="dxa"/>
              </w:tcPr>
              <w:p w:rsidR="009F3D31" w:rsidRDefault="003E5E9F">
                <w:pPr>
                  <w:tabs>
                    <w:tab w:val="right" w:pos="8838"/>
                  </w:tabs>
                  <w:ind w:right="-105"/>
                  <w:rPr>
                    <w:rFonts w:ascii="Palatino Linotype" w:eastAsia="Palatino Linotype" w:hAnsi="Palatino Linotype" w:cs="Palatino Linotype"/>
                    <w:b/>
                    <w:bCs/>
                    <w:sz w:val="24"/>
                    <w:szCs w:val="24"/>
                  </w:rPr>
                </w:pPr>
                <w:bookmarkStart w:id="13" w:name="_heading=h.cmgqnk4cixk3" w:colFirst="0" w:colLast="0"/>
                <w:bookmarkEnd w:id="13"/>
                <w:r>
                  <w:rPr>
                    <w:rFonts w:ascii="Palatino Linotype" w:eastAsia="Palatino Linotype" w:hAnsi="Palatino Linotype" w:cs="Palatino Linotype"/>
                    <w:b/>
                    <w:bCs/>
                    <w:sz w:val="24"/>
                    <w:szCs w:val="24"/>
                  </w:rPr>
                  <w:t>Sujeto Obligado:</w:t>
                </w:r>
              </w:p>
            </w:tc>
            <w:tc>
              <w:tcPr>
                <w:tcW w:w="3365" w:type="dxa"/>
              </w:tcPr>
              <w:p w:rsidR="00274251" w:rsidRDefault="00274251">
                <w:pPr>
                  <w:tabs>
                    <w:tab w:val="left" w:pos="2834"/>
                    <w:tab w:val="right" w:pos="8838"/>
                  </w:tabs>
                  <w:ind w:left="-113" w:right="-138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Fiscalía General de Justicia </w:t>
                </w:r>
              </w:p>
              <w:p w:rsidR="009F3D31" w:rsidRDefault="00274251">
                <w:pPr>
                  <w:tabs>
                    <w:tab w:val="left" w:pos="2834"/>
                    <w:tab w:val="right" w:pos="8838"/>
                  </w:tabs>
                  <w:ind w:left="-113" w:right="-138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del Estado de México</w:t>
                </w:r>
                <w:r w:rsidR="003E5E9F">
                  <w:rPr>
                    <w:rFonts w:ascii="Palatino Linotype" w:eastAsia="Palatino Linotype" w:hAnsi="Palatino Linotype" w:cs="Palatino Linotype"/>
                    <w:sz w:val="24"/>
                    <w:szCs w:val="24"/>
                  </w:rPr>
                  <w:t xml:space="preserve"> </w:t>
                </w:r>
              </w:p>
            </w:tc>
          </w:tr>
          <w:tr w:rsidR="009F3D31" w:rsidTr="00630B4D">
            <w:trPr>
              <w:trHeight w:val="283"/>
            </w:trPr>
            <w:tc>
              <w:tcPr>
                <w:tcW w:w="2730" w:type="dxa"/>
              </w:tcPr>
              <w:p w:rsidR="009F3D31" w:rsidRDefault="003E5E9F">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3365" w:type="dxa"/>
              </w:tcPr>
              <w:p w:rsidR="009F3D31" w:rsidRDefault="003E5E9F">
                <w:pPr>
                  <w:tabs>
                    <w:tab w:val="right" w:pos="8838"/>
                  </w:tabs>
                  <w:ind w:left="-113" w:right="-1380"/>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María del Rosario Mejía Ayala</w:t>
                </w:r>
              </w:p>
            </w:tc>
          </w:tr>
        </w:tbl>
        <w:p w:rsidR="009F3D31" w:rsidRDefault="009F3D31">
          <w:pPr>
            <w:tabs>
              <w:tab w:val="right" w:pos="8838"/>
            </w:tabs>
            <w:ind w:left="-28"/>
            <w:jc w:val="both"/>
            <w:rPr>
              <w:rFonts w:ascii="Arial" w:eastAsia="Arial" w:hAnsi="Arial" w:cs="Arial"/>
              <w:b/>
              <w:bCs/>
              <w:sz w:val="22"/>
              <w:szCs w:val="22"/>
            </w:rPr>
          </w:pPr>
        </w:p>
      </w:tc>
    </w:tr>
  </w:tbl>
  <w:p w:rsidR="009F3D31" w:rsidRDefault="00CE0C3D">
    <w:pPr>
      <w:pBdr>
        <w:top w:val="nil"/>
        <w:left w:val="nil"/>
        <w:bottom w:val="nil"/>
        <w:right w:val="nil"/>
        <w:between w:val="nil"/>
      </w:pBdr>
      <w:tabs>
        <w:tab w:val="center" w:pos="4419"/>
        <w:tab w:val="right" w:pos="8838"/>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6.05pt;margin-top:-127.85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35" w:type="dxa"/>
      <w:tblInd w:w="0" w:type="dxa"/>
      <w:tblLayout w:type="fixed"/>
      <w:tblLook w:val="0400" w:firstRow="0" w:lastRow="0" w:firstColumn="0" w:lastColumn="0" w:noHBand="0" w:noVBand="1"/>
    </w:tblPr>
    <w:tblGrid>
      <w:gridCol w:w="1560"/>
      <w:gridCol w:w="8775"/>
    </w:tblGrid>
    <w:tr w:rsidR="009F3D31">
      <w:trPr>
        <w:trHeight w:val="1435"/>
      </w:trPr>
      <w:tc>
        <w:tcPr>
          <w:tcW w:w="1560" w:type="dxa"/>
          <w:shd w:val="clear" w:color="auto" w:fill="auto"/>
        </w:tcPr>
        <w:p w:rsidR="009F3D31" w:rsidRDefault="009F3D31">
          <w:pPr>
            <w:tabs>
              <w:tab w:val="right" w:pos="4273"/>
            </w:tabs>
            <w:rPr>
              <w:rFonts w:ascii="Garamond" w:eastAsia="Garamond" w:hAnsi="Garamond" w:cs="Garamond"/>
              <w:sz w:val="22"/>
              <w:szCs w:val="22"/>
            </w:rPr>
          </w:pPr>
        </w:p>
      </w:tc>
      <w:tc>
        <w:tcPr>
          <w:tcW w:w="8775" w:type="dxa"/>
          <w:shd w:val="clear" w:color="auto" w:fill="auto"/>
        </w:tcPr>
        <w:tbl>
          <w:tblPr>
            <w:tblStyle w:val="a4"/>
            <w:tblW w:w="8940"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792"/>
            <w:gridCol w:w="4183"/>
            <w:gridCol w:w="1965"/>
          </w:tblGrid>
          <w:tr w:rsidR="009F3D31">
            <w:trPr>
              <w:trHeight w:val="144"/>
            </w:trPr>
            <w:tc>
              <w:tcPr>
                <w:tcW w:w="2792" w:type="dxa"/>
              </w:tcPr>
              <w:p w:rsidR="009F3D31" w:rsidRDefault="003E5E9F">
                <w:pPr>
                  <w:tabs>
                    <w:tab w:val="right" w:pos="8838"/>
                  </w:tabs>
                  <w:ind w:left="-74" w:right="-105"/>
                  <w:rPr>
                    <w:rFonts w:ascii="Palatino Linotype" w:eastAsia="Palatino Linotype" w:hAnsi="Palatino Linotype" w:cs="Palatino Linotype"/>
                    <w:b/>
                    <w:bCs/>
                    <w:sz w:val="24"/>
                    <w:szCs w:val="24"/>
                  </w:rPr>
                </w:pPr>
                <w:bookmarkStart w:id="14" w:name="_heading=h.hzoclxyr4ter" w:colFirst="0" w:colLast="0"/>
                <w:bookmarkEnd w:id="14"/>
                <w:r>
                  <w:rPr>
                    <w:rFonts w:ascii="Palatino Linotype" w:eastAsia="Palatino Linotype" w:hAnsi="Palatino Linotype" w:cs="Palatino Linotype"/>
                    <w:b/>
                    <w:bCs/>
                    <w:sz w:val="24"/>
                    <w:szCs w:val="24"/>
                  </w:rPr>
                  <w:t>Recurso de Revisión:</w:t>
                </w:r>
              </w:p>
            </w:tc>
            <w:tc>
              <w:tcPr>
                <w:tcW w:w="4183" w:type="dxa"/>
              </w:tcPr>
              <w:p w:rsidR="009F3D31" w:rsidRDefault="003E5E9F">
                <w:pPr>
                  <w:tabs>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13068/INFOEM/IP/RR/2025</w:t>
                </w:r>
              </w:p>
            </w:tc>
            <w:tc>
              <w:tcPr>
                <w:tcW w:w="1965" w:type="dxa"/>
              </w:tcPr>
              <w:p w:rsidR="009F3D31" w:rsidRDefault="009F3D31">
                <w:pPr>
                  <w:tabs>
                    <w:tab w:val="right" w:pos="8838"/>
                  </w:tabs>
                  <w:ind w:left="-74" w:right="-105"/>
                  <w:jc w:val="both"/>
                  <w:rPr>
                    <w:rFonts w:ascii="Palatino Linotype" w:eastAsia="Palatino Linotype" w:hAnsi="Palatino Linotype" w:cs="Palatino Linotype"/>
                    <w:sz w:val="22"/>
                    <w:szCs w:val="22"/>
                  </w:rPr>
                </w:pPr>
              </w:p>
            </w:tc>
          </w:tr>
          <w:tr w:rsidR="009F3D31">
            <w:trPr>
              <w:trHeight w:val="144"/>
            </w:trPr>
            <w:tc>
              <w:tcPr>
                <w:tcW w:w="2792" w:type="dxa"/>
              </w:tcPr>
              <w:p w:rsidR="009F3D31" w:rsidRDefault="003E5E9F">
                <w:pPr>
                  <w:tabs>
                    <w:tab w:val="right" w:pos="8838"/>
                  </w:tabs>
                  <w:ind w:left="-74" w:right="-105"/>
                  <w:rPr>
                    <w:rFonts w:ascii="Palatino Linotype" w:eastAsia="Palatino Linotype" w:hAnsi="Palatino Linotype" w:cs="Palatino Linotype"/>
                    <w:b/>
                    <w:bCs/>
                    <w:sz w:val="24"/>
                    <w:szCs w:val="24"/>
                  </w:rPr>
                </w:pPr>
                <w:bookmarkStart w:id="15" w:name="_heading=h.b5iyw4lxyaia" w:colFirst="0" w:colLast="0"/>
                <w:bookmarkEnd w:id="15"/>
                <w:r>
                  <w:rPr>
                    <w:rFonts w:ascii="Palatino Linotype" w:eastAsia="Palatino Linotype" w:hAnsi="Palatino Linotype" w:cs="Palatino Linotype"/>
                    <w:b/>
                    <w:bCs/>
                    <w:sz w:val="24"/>
                    <w:szCs w:val="24"/>
                  </w:rPr>
                  <w:t>Recurrente:</w:t>
                </w:r>
              </w:p>
            </w:tc>
            <w:tc>
              <w:tcPr>
                <w:tcW w:w="4183" w:type="dxa"/>
              </w:tcPr>
              <w:p w:rsidR="009F3D31" w:rsidRDefault="00D974AB">
                <w:pPr>
                  <w:tabs>
                    <w:tab w:val="left" w:pos="3122"/>
                    <w:tab w:val="right" w:pos="8838"/>
                  </w:tabs>
                  <w:ind w:right="74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c>
              <w:tcPr>
                <w:tcW w:w="1965" w:type="dxa"/>
              </w:tcPr>
              <w:p w:rsidR="009F3D31" w:rsidRDefault="009F3D31">
                <w:pPr>
                  <w:tabs>
                    <w:tab w:val="left" w:pos="3122"/>
                    <w:tab w:val="right" w:pos="8838"/>
                  </w:tabs>
                  <w:ind w:right="-105"/>
                  <w:jc w:val="both"/>
                  <w:rPr>
                    <w:rFonts w:ascii="Palatino Linotype" w:eastAsia="Palatino Linotype" w:hAnsi="Palatino Linotype" w:cs="Palatino Linotype"/>
                    <w:sz w:val="22"/>
                    <w:szCs w:val="22"/>
                  </w:rPr>
                </w:pPr>
              </w:p>
            </w:tc>
          </w:tr>
          <w:tr w:rsidR="009F3D31">
            <w:trPr>
              <w:trHeight w:val="283"/>
            </w:trPr>
            <w:tc>
              <w:tcPr>
                <w:tcW w:w="2792" w:type="dxa"/>
              </w:tcPr>
              <w:p w:rsidR="009F3D31" w:rsidRDefault="003E5E9F">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183" w:type="dxa"/>
              </w:tcPr>
              <w:p w:rsidR="00274251" w:rsidRDefault="003E5E9F">
                <w:pPr>
                  <w:tabs>
                    <w:tab w:val="left" w:pos="2834"/>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Fiscalía General de Justicia del </w:t>
                </w:r>
              </w:p>
              <w:p w:rsidR="009F3D31" w:rsidRDefault="003E5E9F">
                <w:pPr>
                  <w:tabs>
                    <w:tab w:val="left" w:pos="2834"/>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Estado de México</w:t>
                </w:r>
              </w:p>
            </w:tc>
            <w:tc>
              <w:tcPr>
                <w:tcW w:w="1965" w:type="dxa"/>
              </w:tcPr>
              <w:p w:rsidR="009F3D31" w:rsidRDefault="009F3D31">
                <w:pPr>
                  <w:tabs>
                    <w:tab w:val="left" w:pos="2834"/>
                    <w:tab w:val="right" w:pos="8838"/>
                  </w:tabs>
                  <w:ind w:left="-74" w:right="-105"/>
                  <w:jc w:val="both"/>
                  <w:rPr>
                    <w:rFonts w:ascii="Palatino Linotype" w:eastAsia="Palatino Linotype" w:hAnsi="Palatino Linotype" w:cs="Palatino Linotype"/>
                    <w:sz w:val="22"/>
                    <w:szCs w:val="22"/>
                  </w:rPr>
                </w:pPr>
              </w:p>
            </w:tc>
          </w:tr>
          <w:tr w:rsidR="009F3D31">
            <w:trPr>
              <w:trHeight w:val="283"/>
            </w:trPr>
            <w:tc>
              <w:tcPr>
                <w:tcW w:w="2792" w:type="dxa"/>
              </w:tcPr>
              <w:p w:rsidR="009F3D31" w:rsidRDefault="003E5E9F">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183" w:type="dxa"/>
              </w:tcPr>
              <w:p w:rsidR="009F3D31" w:rsidRDefault="003E5E9F">
                <w:pPr>
                  <w:tabs>
                    <w:tab w:val="right" w:pos="8838"/>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1965" w:type="dxa"/>
              </w:tcPr>
              <w:p w:rsidR="009F3D31" w:rsidRDefault="009F3D31">
                <w:pPr>
                  <w:tabs>
                    <w:tab w:val="right" w:pos="8838"/>
                  </w:tabs>
                  <w:ind w:left="-74" w:right="-105"/>
                  <w:jc w:val="both"/>
                  <w:rPr>
                    <w:rFonts w:ascii="Palatino Linotype" w:eastAsia="Palatino Linotype" w:hAnsi="Palatino Linotype" w:cs="Palatino Linotype"/>
                    <w:sz w:val="22"/>
                    <w:szCs w:val="22"/>
                  </w:rPr>
                </w:pPr>
              </w:p>
            </w:tc>
          </w:tr>
        </w:tbl>
        <w:p w:rsidR="009F3D31" w:rsidRDefault="009F3D31">
          <w:pPr>
            <w:tabs>
              <w:tab w:val="right" w:pos="8838"/>
            </w:tabs>
            <w:ind w:left="-28"/>
            <w:jc w:val="both"/>
            <w:rPr>
              <w:rFonts w:ascii="Arial" w:eastAsia="Arial" w:hAnsi="Arial" w:cs="Arial"/>
              <w:b/>
              <w:bCs/>
              <w:sz w:val="22"/>
              <w:szCs w:val="22"/>
            </w:rPr>
          </w:pPr>
        </w:p>
      </w:tc>
    </w:tr>
  </w:tbl>
  <w:p w:rsidR="009F3D31" w:rsidRDefault="00CE0C3D">
    <w:pPr>
      <w:pBdr>
        <w:top w:val="nil"/>
        <w:left w:val="nil"/>
        <w:bottom w:val="nil"/>
        <w:right w:val="nil"/>
        <w:between w:val="nil"/>
      </w:pBdr>
      <w:tabs>
        <w:tab w:val="center" w:pos="4419"/>
        <w:tab w:val="right" w:pos="8838"/>
        <w:tab w:val="center" w:pos="4522"/>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75.8pt;margin-top:-134.3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5514E"/>
    <w:multiLevelType w:val="multilevel"/>
    <w:tmpl w:val="C7C6A446"/>
    <w:lvl w:ilvl="0">
      <w:numFmt w:val="bullet"/>
      <w:lvlText w:val="-"/>
      <w:lvlJc w:val="left"/>
      <w:pPr>
        <w:ind w:left="720" w:hanging="360"/>
      </w:pPr>
      <w:rPr>
        <w:rFonts w:ascii="Palatino Linotype" w:eastAsia="Palatino Linotype" w:hAnsi="Palatino Linotype" w:cs="Palatino Linotype"/>
        <w:b w:val="0"/>
        <w:bCs w:val="0"/>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912B17"/>
    <w:multiLevelType w:val="multilevel"/>
    <w:tmpl w:val="8BF4718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 w15:restartNumberingAfterBreak="0">
    <w:nsid w:val="449B20B8"/>
    <w:multiLevelType w:val="multilevel"/>
    <w:tmpl w:val="FB766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165064"/>
    <w:multiLevelType w:val="multilevel"/>
    <w:tmpl w:val="C91A749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3B6D9C"/>
    <w:multiLevelType w:val="multilevel"/>
    <w:tmpl w:val="97C8744A"/>
    <w:lvl w:ilvl="0">
      <w:start w:val="1"/>
      <w:numFmt w:val="decimal"/>
      <w:lvlText w:val="%1."/>
      <w:lvlJc w:val="left"/>
      <w:pPr>
        <w:ind w:left="4613"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B45263"/>
    <w:multiLevelType w:val="multilevel"/>
    <w:tmpl w:val="EBF6C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64D3AB1"/>
    <w:multiLevelType w:val="multilevel"/>
    <w:tmpl w:val="C9B0E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0"/>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D31"/>
    <w:rsid w:val="00274251"/>
    <w:rsid w:val="003940DF"/>
    <w:rsid w:val="003E5E9F"/>
    <w:rsid w:val="00630B4D"/>
    <w:rsid w:val="009F3D31"/>
    <w:rsid w:val="00BC7634"/>
    <w:rsid w:val="00C32969"/>
    <w:rsid w:val="00CE0C3D"/>
    <w:rsid w:val="00D974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3DAB8E0-E2DE-44F7-86A8-741A7394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paragraph" w:styleId="Piedepgina">
    <w:name w:val="footer"/>
    <w:basedOn w:val="Normal"/>
    <w:link w:val="PiedepginaCar"/>
    <w:uiPriority w:val="99"/>
    <w:unhideWhenUsed/>
    <w:rsid w:val="00274251"/>
    <w:pPr>
      <w:tabs>
        <w:tab w:val="center" w:pos="4419"/>
        <w:tab w:val="right" w:pos="8838"/>
      </w:tabs>
    </w:pPr>
  </w:style>
  <w:style w:type="character" w:customStyle="1" w:styleId="PiedepginaCar">
    <w:name w:val="Pie de página Car"/>
    <w:basedOn w:val="Fuentedeprrafopredeter"/>
    <w:link w:val="Piedepgina"/>
    <w:uiPriority w:val="99"/>
    <w:rsid w:val="00274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03341.page" TargetMode="External"/><Relationship Id="rId13" Type="http://schemas.openxmlformats.org/officeDocument/2006/relationships/hyperlink" Target="https://www.saimex.org.mx/saimex/solicitud/downloadAttach/2636848.pag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imex.org.mx/saimex/solicitud/downloadAttach/2635532.pag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mex.org.mx/saimex/solicitud/downloadAttach/2635532.pag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aimex.org.mx/saimex/solicitud/downloadAttach/2635532.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imex.org.mx/saimex/solicitud/downloadAttach/2635531.pag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7KGXD3Bw6o/GXoTWKG3ys7PZg==">CgMxLjAyDmgudzkzbTltMWN3c2gyMg5oLjcxNWI2MWxlY2Z1ajIOaC40bGgxeWV0MjZsbjUyDmguNnJqMzJuNGRlbDNhMg5oLjJsNzFlMnVyaWd6czIOaC5rdmNvbGtkZTEyc28yDmgubGs2OWR3OXYzN3k2MgloLjJzOGV5bzEyDmguZ2YxdjJjaTZndjVwMg5oLmg2bmxuOGNvMG4zZzIOaC40bTZrc3BvNGF4M3QyDmguY21ncW5rNGNpeGszMg5oLmh6b2NseHlyNHRlcjIOaC5iNWl5dzRseHlhaWE4AHIhMXdOMkVxVG0zUVdNUFltNmk3WGh6UDJwWWtEQmhfcV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6314</Words>
  <Characters>34728</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2026-06-05T16:52:00Z</cp:lastPrinted>
  <dcterms:created xsi:type="dcterms:W3CDTF">2026-06-03T21:43:00Z</dcterms:created>
  <dcterms:modified xsi:type="dcterms:W3CDTF">2026-06-10T00:35:00Z</dcterms:modified>
</cp:coreProperties>
</file>