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3CC5E" w14:textId="77777777" w:rsidR="005F2218" w:rsidRDefault="005F2218">
      <w:pPr>
        <w:widowControl w:val="0"/>
        <w:pBdr>
          <w:top w:val="nil"/>
          <w:left w:val="nil"/>
          <w:bottom w:val="nil"/>
          <w:right w:val="nil"/>
          <w:between w:val="nil"/>
        </w:pBdr>
        <w:spacing w:line="276" w:lineRule="auto"/>
      </w:pPr>
    </w:p>
    <w:p w14:paraId="36A41654" w14:textId="77777777" w:rsidR="005F2218" w:rsidRDefault="005F2218">
      <w:pPr>
        <w:keepNext/>
        <w:keepLines/>
        <w:pBdr>
          <w:top w:val="nil"/>
          <w:left w:val="nil"/>
          <w:bottom w:val="nil"/>
          <w:right w:val="nil"/>
          <w:between w:val="nil"/>
        </w:pBdr>
        <w:spacing w:line="360" w:lineRule="auto"/>
        <w:ind w:left="-142"/>
        <w:jc w:val="both"/>
        <w:rPr>
          <w:rFonts w:ascii="Palatino Linotype" w:eastAsia="Palatino Linotype" w:hAnsi="Palatino Linotype" w:cs="Palatino Linotype"/>
          <w:color w:val="000000"/>
          <w:sz w:val="22"/>
          <w:szCs w:val="22"/>
        </w:rPr>
      </w:pPr>
    </w:p>
    <w:p w14:paraId="4FF968BC" w14:textId="77777777" w:rsidR="005F2218" w:rsidRDefault="00000000">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12961/INFOEM/ICR-15/IP/RR/2025.</w:t>
      </w:r>
    </w:p>
    <w:p w14:paraId="2E33D46E" w14:textId="77777777" w:rsidR="005F2218" w:rsidRDefault="005F2218">
      <w:pPr>
        <w:spacing w:line="360" w:lineRule="auto"/>
        <w:rPr>
          <w:rFonts w:ascii="Palatino Linotype" w:eastAsia="Palatino Linotype" w:hAnsi="Palatino Linotype" w:cs="Palatino Linotype"/>
          <w:sz w:val="22"/>
          <w:szCs w:val="22"/>
        </w:rPr>
      </w:pPr>
    </w:p>
    <w:sdt>
      <w:sdtPr>
        <w:id w:val="453337570"/>
        <w:docPartObj>
          <w:docPartGallery w:val="Table of Contents"/>
          <w:docPartUnique/>
        </w:docPartObj>
      </w:sdtPr>
      <w:sdtContent>
        <w:p w14:paraId="15695B87" w14:textId="77777777" w:rsidR="005F2218" w:rsidRDefault="00000000">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r>
            <w:fldChar w:fldCharType="begin"/>
          </w:r>
          <w:r>
            <w:instrText xml:space="preserve"> TOC \h \u \z \t "Heading 1,1,Heading 2,2,Heading 3,3,"</w:instrText>
          </w:r>
          <w:r>
            <w:fldChar w:fldCharType="separate"/>
          </w:r>
          <w:hyperlink w:anchor="_heading=h.kpkxt1k0k1oj">
            <w:r w:rsidR="005F2218">
              <w:rPr>
                <w:rFonts w:ascii="Palatino Linotype" w:eastAsia="Palatino Linotype" w:hAnsi="Palatino Linotype" w:cs="Palatino Linotype"/>
                <w:color w:val="000000"/>
                <w:sz w:val="22"/>
                <w:szCs w:val="22"/>
              </w:rPr>
              <w:t>A N T E C E D E N T E S</w:t>
            </w:r>
            <w:r w:rsidR="005F2218">
              <w:rPr>
                <w:rFonts w:ascii="Palatino Linotype" w:eastAsia="Palatino Linotype" w:hAnsi="Palatino Linotype" w:cs="Palatino Linotype"/>
                <w:color w:val="000000"/>
                <w:sz w:val="22"/>
                <w:szCs w:val="22"/>
              </w:rPr>
              <w:tab/>
              <w:t>2</w:t>
            </w:r>
          </w:hyperlink>
        </w:p>
        <w:p w14:paraId="05E8FC2D"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5ypfqyp9oonb">
            <w:r>
              <w:rPr>
                <w:rFonts w:ascii="Palatino Linotype" w:eastAsia="Palatino Linotype" w:hAnsi="Palatino Linotype" w:cs="Palatino Linotype"/>
                <w:color w:val="000000"/>
                <w:sz w:val="22"/>
                <w:szCs w:val="22"/>
              </w:rPr>
              <w:t>I. Presentación de la solicitud de información</w:t>
            </w:r>
            <w:r>
              <w:rPr>
                <w:rFonts w:ascii="Palatino Linotype" w:eastAsia="Palatino Linotype" w:hAnsi="Palatino Linotype" w:cs="Palatino Linotype"/>
                <w:color w:val="000000"/>
                <w:sz w:val="22"/>
                <w:szCs w:val="22"/>
              </w:rPr>
              <w:tab/>
              <w:t>2</w:t>
            </w:r>
          </w:hyperlink>
        </w:p>
        <w:p w14:paraId="561EEB51"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p8x3ctjea644">
            <w:r>
              <w:rPr>
                <w:rFonts w:ascii="Palatino Linotype" w:eastAsia="Palatino Linotype" w:hAnsi="Palatino Linotype" w:cs="Palatino Linotype"/>
                <w:color w:val="000000"/>
                <w:sz w:val="22"/>
                <w:szCs w:val="22"/>
              </w:rPr>
              <w:t>II. Respuesta del Sujeto Obligado</w:t>
            </w:r>
            <w:r>
              <w:rPr>
                <w:rFonts w:ascii="Palatino Linotype" w:eastAsia="Palatino Linotype" w:hAnsi="Palatino Linotype" w:cs="Palatino Linotype"/>
                <w:color w:val="000000"/>
                <w:sz w:val="22"/>
                <w:szCs w:val="22"/>
              </w:rPr>
              <w:tab/>
              <w:t>3</w:t>
            </w:r>
          </w:hyperlink>
        </w:p>
        <w:p w14:paraId="7B365944"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712dnqey8ldi">
            <w:r>
              <w:rPr>
                <w:rFonts w:ascii="Palatino Linotype" w:eastAsia="Palatino Linotype" w:hAnsi="Palatino Linotype" w:cs="Palatino Linotype"/>
                <w:color w:val="000000"/>
                <w:sz w:val="22"/>
                <w:szCs w:val="22"/>
              </w:rPr>
              <w:t>III. Interposición del Recurso de Revisión</w:t>
            </w:r>
            <w:r>
              <w:rPr>
                <w:rFonts w:ascii="Palatino Linotype" w:eastAsia="Palatino Linotype" w:hAnsi="Palatino Linotype" w:cs="Palatino Linotype"/>
                <w:color w:val="000000"/>
                <w:sz w:val="22"/>
                <w:szCs w:val="22"/>
              </w:rPr>
              <w:tab/>
              <w:t>3</w:t>
            </w:r>
          </w:hyperlink>
        </w:p>
        <w:p w14:paraId="6F0B738C"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7alosknxf459">
            <w:r>
              <w:rPr>
                <w:rFonts w:ascii="Palatino Linotype" w:eastAsia="Palatino Linotype" w:hAnsi="Palatino Linotype" w:cs="Palatino Linotype"/>
                <w:color w:val="000000"/>
                <w:sz w:val="22"/>
                <w:szCs w:val="22"/>
              </w:rPr>
              <w:t>IV. Trámite del Recurso de Revisión ante el Instituto</w:t>
            </w:r>
            <w:r>
              <w:rPr>
                <w:rFonts w:ascii="Palatino Linotype" w:eastAsia="Palatino Linotype" w:hAnsi="Palatino Linotype" w:cs="Palatino Linotype"/>
                <w:color w:val="000000"/>
                <w:sz w:val="22"/>
                <w:szCs w:val="22"/>
              </w:rPr>
              <w:tab/>
              <w:t>4</w:t>
            </w:r>
          </w:hyperlink>
        </w:p>
        <w:p w14:paraId="255CA6A4"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q7m2oo5gamsf">
            <w:r>
              <w:rPr>
                <w:rFonts w:ascii="Palatino Linotype" w:eastAsia="Palatino Linotype" w:hAnsi="Palatino Linotype" w:cs="Palatino Linotype"/>
                <w:color w:val="000000"/>
                <w:sz w:val="22"/>
                <w:szCs w:val="22"/>
              </w:rPr>
              <w:t>V. Entrega de la información en cumplimiento a la Resolución del Recurso de Revisión 12931/INFOEM/IP/RR/2025.</w:t>
            </w:r>
            <w:r>
              <w:rPr>
                <w:rFonts w:ascii="Palatino Linotype" w:eastAsia="Palatino Linotype" w:hAnsi="Palatino Linotype" w:cs="Palatino Linotype"/>
                <w:color w:val="000000"/>
                <w:sz w:val="22"/>
                <w:szCs w:val="22"/>
              </w:rPr>
              <w:tab/>
              <w:t>6</w:t>
            </w:r>
          </w:hyperlink>
        </w:p>
        <w:p w14:paraId="6E71A0E4"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fq98o0sa5yy6">
            <w:r>
              <w:rPr>
                <w:rFonts w:ascii="Palatino Linotype" w:eastAsia="Palatino Linotype" w:hAnsi="Palatino Linotype" w:cs="Palatino Linotype"/>
                <w:color w:val="000000"/>
                <w:sz w:val="22"/>
                <w:szCs w:val="22"/>
              </w:rPr>
              <w:t>VI. Interposición del Recurso de Revisión 01206/INFOEM/ICR-150/IP/RR/2025</w:t>
            </w:r>
            <w:r>
              <w:rPr>
                <w:rFonts w:ascii="Palatino Linotype" w:eastAsia="Palatino Linotype" w:hAnsi="Palatino Linotype" w:cs="Palatino Linotype"/>
                <w:color w:val="000000"/>
                <w:sz w:val="22"/>
                <w:szCs w:val="22"/>
              </w:rPr>
              <w:tab/>
              <w:t>6</w:t>
            </w:r>
          </w:hyperlink>
        </w:p>
        <w:p w14:paraId="18363754"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aa9wrhz1dvjg">
            <w:r>
              <w:rPr>
                <w:rFonts w:ascii="Palatino Linotype" w:eastAsia="Palatino Linotype" w:hAnsi="Palatino Linotype" w:cs="Palatino Linotype"/>
                <w:color w:val="000000"/>
                <w:sz w:val="22"/>
                <w:szCs w:val="22"/>
              </w:rPr>
              <w:t>VIII. Trámite del Recurso de Revisión número 12931/INFOEM/ICR-34/IP/RR/2025</w:t>
            </w:r>
            <w:r>
              <w:rPr>
                <w:rFonts w:ascii="Palatino Linotype" w:eastAsia="Palatino Linotype" w:hAnsi="Palatino Linotype" w:cs="Palatino Linotype"/>
                <w:color w:val="000000"/>
                <w:sz w:val="22"/>
                <w:szCs w:val="22"/>
              </w:rPr>
              <w:tab/>
              <w:t>7</w:t>
            </w:r>
          </w:hyperlink>
        </w:p>
        <w:p w14:paraId="72F54597" w14:textId="77777777" w:rsidR="005F2218" w:rsidRDefault="005F2218">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boz6p2zf4tbg">
            <w:r>
              <w:rPr>
                <w:rFonts w:ascii="Palatino Linotype" w:eastAsia="Palatino Linotype" w:hAnsi="Palatino Linotype" w:cs="Palatino Linotype"/>
                <w:color w:val="000000"/>
                <w:sz w:val="22"/>
                <w:szCs w:val="22"/>
              </w:rPr>
              <w:t>C O N S I D E R A N D O S</w:t>
            </w:r>
            <w:r>
              <w:rPr>
                <w:rFonts w:ascii="Palatino Linotype" w:eastAsia="Palatino Linotype" w:hAnsi="Palatino Linotype" w:cs="Palatino Linotype"/>
                <w:color w:val="000000"/>
                <w:sz w:val="22"/>
                <w:szCs w:val="22"/>
              </w:rPr>
              <w:tab/>
              <w:t>8</w:t>
            </w:r>
          </w:hyperlink>
        </w:p>
        <w:p w14:paraId="467B94E9"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2m54fsoyoazm">
            <w:r>
              <w:rPr>
                <w:rFonts w:ascii="Palatino Linotype" w:eastAsia="Palatino Linotype" w:hAnsi="Palatino Linotype" w:cs="Palatino Linotype"/>
                <w:color w:val="000000"/>
                <w:sz w:val="22"/>
                <w:szCs w:val="22"/>
              </w:rPr>
              <w:t>PRIMERO. Competencia</w:t>
            </w:r>
            <w:r>
              <w:rPr>
                <w:rFonts w:ascii="Palatino Linotype" w:eastAsia="Palatino Linotype" w:hAnsi="Palatino Linotype" w:cs="Palatino Linotype"/>
                <w:color w:val="000000"/>
                <w:sz w:val="22"/>
                <w:szCs w:val="22"/>
              </w:rPr>
              <w:tab/>
              <w:t>8</w:t>
            </w:r>
          </w:hyperlink>
        </w:p>
        <w:p w14:paraId="0E0C8D6F"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ue3nhto6kc1s">
            <w:r>
              <w:rPr>
                <w:rFonts w:ascii="Palatino Linotype" w:eastAsia="Palatino Linotype" w:hAnsi="Palatino Linotype" w:cs="Palatino Linotype"/>
                <w:color w:val="000000"/>
                <w:sz w:val="22"/>
                <w:szCs w:val="22"/>
              </w:rPr>
              <w:t>SEGUNDO. Causales de improcedencia y Sobreseimiento</w:t>
            </w:r>
            <w:r>
              <w:rPr>
                <w:rFonts w:ascii="Palatino Linotype" w:eastAsia="Palatino Linotype" w:hAnsi="Palatino Linotype" w:cs="Palatino Linotype"/>
                <w:color w:val="000000"/>
                <w:sz w:val="22"/>
                <w:szCs w:val="22"/>
              </w:rPr>
              <w:tab/>
              <w:t>9</w:t>
            </w:r>
          </w:hyperlink>
        </w:p>
        <w:p w14:paraId="129A8630"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9ldhf35bzhp6">
            <w:r>
              <w:rPr>
                <w:rFonts w:ascii="Palatino Linotype" w:eastAsia="Palatino Linotype" w:hAnsi="Palatino Linotype" w:cs="Palatino Linotype"/>
                <w:color w:val="000000"/>
                <w:sz w:val="22"/>
                <w:szCs w:val="22"/>
              </w:rPr>
              <w:t>TERCERO. Determinación de la Controversia</w:t>
            </w:r>
            <w:r>
              <w:rPr>
                <w:rFonts w:ascii="Palatino Linotype" w:eastAsia="Palatino Linotype" w:hAnsi="Palatino Linotype" w:cs="Palatino Linotype"/>
                <w:color w:val="000000"/>
                <w:sz w:val="22"/>
                <w:szCs w:val="22"/>
              </w:rPr>
              <w:tab/>
              <w:t>12</w:t>
            </w:r>
          </w:hyperlink>
        </w:p>
        <w:p w14:paraId="4D1A8F04"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guuu2zoci7wr">
            <w:r>
              <w:rPr>
                <w:rFonts w:ascii="Palatino Linotype" w:eastAsia="Palatino Linotype" w:hAnsi="Palatino Linotype" w:cs="Palatino Linotype"/>
                <w:color w:val="000000"/>
                <w:sz w:val="22"/>
                <w:szCs w:val="22"/>
              </w:rPr>
              <w:t>CUARTO. Marco normativo aplicable en materia de transparencia y acceso a la información pública</w:t>
            </w:r>
            <w:r>
              <w:rPr>
                <w:rFonts w:ascii="Palatino Linotype" w:eastAsia="Palatino Linotype" w:hAnsi="Palatino Linotype" w:cs="Palatino Linotype"/>
                <w:color w:val="000000"/>
                <w:sz w:val="22"/>
                <w:szCs w:val="22"/>
              </w:rPr>
              <w:tab/>
              <w:t>15</w:t>
            </w:r>
          </w:hyperlink>
        </w:p>
        <w:p w14:paraId="0EED7368"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emghu2ni5pfw">
            <w:r>
              <w:rPr>
                <w:rFonts w:ascii="Palatino Linotype" w:eastAsia="Palatino Linotype" w:hAnsi="Palatino Linotype" w:cs="Palatino Linotype"/>
                <w:color w:val="000000"/>
                <w:sz w:val="22"/>
                <w:szCs w:val="22"/>
              </w:rPr>
              <w:t>QUINTO. Estudio de Fondo</w:t>
            </w:r>
            <w:r>
              <w:rPr>
                <w:rFonts w:ascii="Palatino Linotype" w:eastAsia="Palatino Linotype" w:hAnsi="Palatino Linotype" w:cs="Palatino Linotype"/>
                <w:color w:val="000000"/>
                <w:sz w:val="22"/>
                <w:szCs w:val="22"/>
              </w:rPr>
              <w:tab/>
              <w:t>16</w:t>
            </w:r>
          </w:hyperlink>
        </w:p>
        <w:p w14:paraId="46712649" w14:textId="77777777" w:rsidR="005F2218" w:rsidRDefault="005F2218">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rf22dflhp3qn">
            <w:r>
              <w:rPr>
                <w:rFonts w:ascii="Palatino Linotype" w:eastAsia="Palatino Linotype" w:hAnsi="Palatino Linotype" w:cs="Palatino Linotype"/>
                <w:color w:val="000000"/>
                <w:sz w:val="22"/>
                <w:szCs w:val="22"/>
              </w:rPr>
              <w:t>SEXTO. Decisión</w:t>
            </w:r>
            <w:r>
              <w:rPr>
                <w:rFonts w:ascii="Palatino Linotype" w:eastAsia="Palatino Linotype" w:hAnsi="Palatino Linotype" w:cs="Palatino Linotype"/>
                <w:color w:val="000000"/>
                <w:sz w:val="22"/>
                <w:szCs w:val="22"/>
              </w:rPr>
              <w:tab/>
              <w:t>22</w:t>
            </w:r>
          </w:hyperlink>
        </w:p>
        <w:p w14:paraId="7DD69FA0" w14:textId="77777777" w:rsidR="005F2218" w:rsidRDefault="005F2218">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vn5kyom2h4w8">
            <w:r>
              <w:rPr>
                <w:rFonts w:ascii="Palatino Linotype" w:eastAsia="Palatino Linotype" w:hAnsi="Palatino Linotype" w:cs="Palatino Linotype"/>
                <w:color w:val="000000"/>
                <w:sz w:val="22"/>
                <w:szCs w:val="22"/>
              </w:rPr>
              <w:t>R E S U E L V E</w:t>
            </w:r>
            <w:r>
              <w:rPr>
                <w:rFonts w:ascii="Palatino Linotype" w:eastAsia="Palatino Linotype" w:hAnsi="Palatino Linotype" w:cs="Palatino Linotype"/>
                <w:color w:val="000000"/>
                <w:sz w:val="22"/>
                <w:szCs w:val="22"/>
              </w:rPr>
              <w:tab/>
              <w:t>22</w:t>
            </w:r>
          </w:hyperlink>
        </w:p>
        <w:p w14:paraId="2DB6A68D" w14:textId="77777777" w:rsidR="005F2218" w:rsidRDefault="00000000">
          <w:pPr>
            <w:spacing w:line="360" w:lineRule="auto"/>
            <w:jc w:val="both"/>
          </w:pPr>
          <w:r>
            <w:fldChar w:fldCharType="end"/>
          </w:r>
        </w:p>
      </w:sdtContent>
    </w:sdt>
    <w:p w14:paraId="53203894"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162758F0"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7E8BBA7D"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517E3C4E"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72DC4F94"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08E5D967" w14:textId="77777777" w:rsidR="005F2218" w:rsidRDefault="0000000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veinticinco de febrero de dos mil veintiséis. </w:t>
      </w:r>
    </w:p>
    <w:p w14:paraId="74D208D3"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38A980A3" w14:textId="77777777" w:rsidR="005F2218" w:rsidRDefault="0000000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sidRPr="00855B20">
        <w:rPr>
          <w:rFonts w:ascii="Palatino Linotype" w:eastAsia="Palatino Linotype" w:hAnsi="Palatino Linotype" w:cs="Palatino Linotype"/>
          <w:b/>
          <w:bCs/>
          <w:color w:val="000000"/>
          <w:sz w:val="22"/>
          <w:szCs w:val="22"/>
        </w:rPr>
        <w:t>12961/INFOEM/ICR-15/IP/RR/2025</w:t>
      </w:r>
      <w:r>
        <w:rPr>
          <w:rFonts w:ascii="Palatino Linotype" w:eastAsia="Palatino Linotype" w:hAnsi="Palatino Linotype" w:cs="Palatino Linotype"/>
          <w:color w:val="000000"/>
          <w:sz w:val="22"/>
          <w:szCs w:val="22"/>
        </w:rPr>
        <w:t xml:space="preserve">, interpuesto por la persona </w:t>
      </w:r>
      <w:r>
        <w:rPr>
          <w:rFonts w:ascii="Palatino Linotype" w:eastAsia="Palatino Linotype" w:hAnsi="Palatino Linotype" w:cs="Palatino Linotype"/>
          <w:color w:val="0D0D0D"/>
          <w:sz w:val="22"/>
          <w:szCs w:val="22"/>
        </w:rPr>
        <w:t>Recurrente o Particular</w:t>
      </w:r>
      <w:r>
        <w:rPr>
          <w:rFonts w:ascii="Palatino Linotype" w:eastAsia="Palatino Linotype" w:hAnsi="Palatino Linotype" w:cs="Palatino Linotype"/>
          <w:color w:val="000000"/>
          <w:sz w:val="22"/>
          <w:szCs w:val="22"/>
        </w:rPr>
        <w:t xml:space="preserve">, en contra de la respuesta del Sujeto Obligado, </w:t>
      </w:r>
      <w:r w:rsidRPr="00855B20">
        <w:rPr>
          <w:rFonts w:ascii="Palatino Linotype" w:eastAsia="Palatino Linotype" w:hAnsi="Palatino Linotype" w:cs="Palatino Linotype"/>
          <w:b/>
          <w:bCs/>
          <w:color w:val="000000"/>
          <w:sz w:val="22"/>
          <w:szCs w:val="22"/>
        </w:rPr>
        <w:t>Ayuntamiento de Tepotzotlán</w:t>
      </w:r>
      <w:r>
        <w:rPr>
          <w:rFonts w:ascii="Palatino Linotype" w:eastAsia="Palatino Linotype" w:hAnsi="Palatino Linotype" w:cs="Palatino Linotype"/>
          <w:color w:val="000000"/>
          <w:sz w:val="22"/>
          <w:szCs w:val="22"/>
        </w:rPr>
        <w:t>, a la solicitud de acceso a la información pública 00551/TEPOTZOT/IP/2025, entregada en cumplimiento a la determinación del diverso con número 12961/INFOEM/IP/RR/2025, se emite la presente Resolución, con base en los Antecedentes y Considerandos que a continuación se exponen:</w:t>
      </w:r>
    </w:p>
    <w:p w14:paraId="59B8BBF7" w14:textId="77777777" w:rsidR="005F2218" w:rsidRDefault="005F2218">
      <w:pPr>
        <w:pStyle w:val="Subttulo"/>
        <w:spacing w:after="0" w:line="360" w:lineRule="auto"/>
      </w:pPr>
    </w:p>
    <w:p w14:paraId="1F0FC8E6" w14:textId="77777777" w:rsidR="005F2218" w:rsidRDefault="00000000">
      <w:pPr>
        <w:pStyle w:val="Ttulo1"/>
      </w:pPr>
      <w:bookmarkStart w:id="0" w:name="_heading=h.kpkxt1k0k1oj" w:colFirst="0" w:colLast="0"/>
      <w:bookmarkEnd w:id="0"/>
      <w:r>
        <w:t>A N T E C E D E N T E S</w:t>
      </w:r>
    </w:p>
    <w:p w14:paraId="3B9AF50C" w14:textId="77777777" w:rsidR="005F2218" w:rsidRDefault="005F2218">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42B7B0DD" w14:textId="77777777" w:rsidR="005F2218" w:rsidRDefault="00000000">
      <w:pPr>
        <w:pStyle w:val="Ttulo2"/>
      </w:pPr>
      <w:bookmarkStart w:id="1" w:name="_heading=h.bu2ei4pi5hxs" w:colFirst="0" w:colLast="0"/>
      <w:bookmarkEnd w:id="1"/>
      <w:r>
        <w:t>I. Presentación de la solicitud de información</w:t>
      </w:r>
    </w:p>
    <w:p w14:paraId="1C08F085" w14:textId="77777777" w:rsidR="005F2218" w:rsidRDefault="005F2218"/>
    <w:p w14:paraId="1DFFD6D1" w14:textId="77777777" w:rsidR="005F2218" w:rsidRDefault="00000000">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diecisiete de septiembre de dos mil veinticinco, el Particular presentó solicitud de acceso a la información pública, a través del Sistema de Acceso a la Información Mexiquense (SAIMEX), ante el Ayuntamiento de Tepotzotlán, en los siguientes términos:</w:t>
      </w:r>
    </w:p>
    <w:p w14:paraId="7AE0C1C0" w14:textId="77777777" w:rsidR="005F2218" w:rsidRDefault="005F2218">
      <w:pPr>
        <w:tabs>
          <w:tab w:val="left" w:pos="567"/>
        </w:tabs>
        <w:spacing w:line="360" w:lineRule="auto"/>
        <w:jc w:val="both"/>
        <w:rPr>
          <w:rFonts w:ascii="Palatino Linotype" w:eastAsia="Palatino Linotype" w:hAnsi="Palatino Linotype" w:cs="Palatino Linotype"/>
          <w:sz w:val="22"/>
          <w:szCs w:val="22"/>
        </w:rPr>
      </w:pPr>
    </w:p>
    <w:p w14:paraId="1B75DAF0" w14:textId="77777777" w:rsidR="005F2218" w:rsidRDefault="00000000">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14:paraId="135CEA27" w14:textId="77777777" w:rsidR="005F2218" w:rsidRDefault="00000000">
      <w:pPr>
        <w:spacing w:line="360" w:lineRule="auto"/>
        <w:ind w:left="567" w:right="567"/>
        <w:jc w:val="both"/>
        <w:rPr>
          <w:rFonts w:ascii="Palatino Linotype" w:eastAsia="Palatino Linotype" w:hAnsi="Palatino Linotype" w:cs="Palatino Linotype"/>
          <w:i/>
          <w:iCs/>
        </w:rPr>
      </w:pPr>
      <w:bookmarkStart w:id="2" w:name="_heading=h.6keaokfhjp76" w:colFirst="0" w:colLast="0"/>
      <w:bookmarkEnd w:id="2"/>
      <w:r>
        <w:rPr>
          <w:rFonts w:ascii="Palatino Linotype" w:eastAsia="Palatino Linotype" w:hAnsi="Palatino Linotype" w:cs="Palatino Linotype"/>
          <w:i/>
          <w:iCs/>
        </w:rPr>
        <w:t xml:space="preserve">El recibo por el pago que hizo la feria que se instaló en las fiestas patrias de septiembre de 2025 en el centro de Tepotzotlán” (Sic) </w:t>
      </w:r>
    </w:p>
    <w:p w14:paraId="6E8FA026" w14:textId="77777777" w:rsidR="005F2218" w:rsidRDefault="00000000">
      <w:pPr>
        <w:spacing w:line="360" w:lineRule="auto"/>
        <w:ind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w:t>
      </w:r>
    </w:p>
    <w:p w14:paraId="16FFC4AC" w14:textId="77777777" w:rsidR="005F2218" w:rsidRDefault="00000000">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14:paraId="6D28BF7E" w14:textId="77777777" w:rsidR="005F2218" w:rsidRDefault="000000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A través del SAIMEX”</w:t>
      </w:r>
    </w:p>
    <w:p w14:paraId="4F4729C7" w14:textId="77777777" w:rsidR="005F2218" w:rsidRDefault="005F2218">
      <w:pPr>
        <w:spacing w:line="360" w:lineRule="auto"/>
        <w:jc w:val="both"/>
        <w:rPr>
          <w:rFonts w:ascii="Palatino Linotype" w:eastAsia="Palatino Linotype" w:hAnsi="Palatino Linotype" w:cs="Palatino Linotype"/>
          <w:b/>
          <w:bCs/>
          <w:color w:val="FF0000"/>
          <w:sz w:val="22"/>
          <w:szCs w:val="22"/>
        </w:rPr>
      </w:pPr>
    </w:p>
    <w:p w14:paraId="781A8B6F" w14:textId="77777777" w:rsidR="005F2218" w:rsidRDefault="00000000">
      <w:pPr>
        <w:keepNext/>
        <w:keepLines/>
        <w:spacing w:line="360" w:lineRule="auto"/>
        <w:jc w:val="both"/>
        <w:rPr>
          <w:rFonts w:ascii="Palatino Linotype" w:eastAsia="Palatino Linotype" w:hAnsi="Palatino Linotype" w:cs="Palatino Linotype"/>
          <w:b/>
          <w:bCs/>
          <w:sz w:val="22"/>
          <w:szCs w:val="22"/>
        </w:rPr>
      </w:pPr>
      <w:bookmarkStart w:id="3" w:name="_heading=h.lugm5gvrbmaf" w:colFirst="0" w:colLast="0"/>
      <w:bookmarkEnd w:id="3"/>
      <w:r>
        <w:rPr>
          <w:rFonts w:ascii="Palatino Linotype" w:eastAsia="Palatino Linotype" w:hAnsi="Palatino Linotype" w:cs="Palatino Linotype"/>
          <w:b/>
          <w:bCs/>
          <w:sz w:val="22"/>
          <w:szCs w:val="22"/>
        </w:rPr>
        <w:lastRenderedPageBreak/>
        <w:t>II. Respuesta del Sujeto Obligado</w:t>
      </w:r>
    </w:p>
    <w:p w14:paraId="2D6420DB" w14:textId="77777777" w:rsidR="005F2218" w:rsidRDefault="005F2218">
      <w:pPr>
        <w:spacing w:line="360" w:lineRule="auto"/>
        <w:jc w:val="both"/>
        <w:rPr>
          <w:rFonts w:ascii="Palatino Linotype" w:eastAsia="Palatino Linotype" w:hAnsi="Palatino Linotype" w:cs="Palatino Linotype"/>
          <w:b/>
          <w:bCs/>
          <w:sz w:val="22"/>
          <w:szCs w:val="22"/>
        </w:rPr>
      </w:pPr>
    </w:p>
    <w:p w14:paraId="754D2AE0" w14:textId="77777777" w:rsidR="005F2218" w:rsidRDefault="00000000">
      <w:pPr>
        <w:tabs>
          <w:tab w:val="left" w:pos="4667"/>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De conformidad con el artículo 163,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Sistema de Acceso a la Información Mexiquense (SAIMEX), se advierte que el </w:t>
      </w:r>
      <w:r>
        <w:rPr>
          <w:rFonts w:ascii="Palatino Linotype" w:eastAsia="Palatino Linotype" w:hAnsi="Palatino Linotype" w:cs="Palatino Linotype"/>
          <w:b/>
          <w:bCs/>
          <w:color w:val="000000"/>
          <w:sz w:val="22"/>
          <w:szCs w:val="22"/>
        </w:rPr>
        <w:t>Ayuntamiento de Tepotzotlán</w:t>
      </w:r>
      <w:r>
        <w:rPr>
          <w:rFonts w:ascii="Palatino Linotype" w:eastAsia="Palatino Linotype" w:hAnsi="Palatino Linotype" w:cs="Palatino Linotype"/>
          <w:b/>
          <w:bCs/>
          <w:sz w:val="22"/>
          <w:szCs w:val="22"/>
        </w:rPr>
        <w:t>,</w:t>
      </w:r>
      <w:r>
        <w:rPr>
          <w:rFonts w:ascii="Palatino Linotype" w:eastAsia="Palatino Linotype" w:hAnsi="Palatino Linotype" w:cs="Palatino Linotype"/>
          <w:sz w:val="22"/>
          <w:szCs w:val="22"/>
        </w:rPr>
        <w:t xml:space="preserve"> omitió dar respuesta a la solicitud de información, por lo que se configura la</w:t>
      </w:r>
      <w:r>
        <w:rPr>
          <w:rFonts w:ascii="Palatino Linotype" w:eastAsia="Palatino Linotype" w:hAnsi="Palatino Linotype" w:cs="Palatino Linotype"/>
          <w:b/>
          <w:bCs/>
          <w:sz w:val="22"/>
          <w:szCs w:val="22"/>
        </w:rPr>
        <w:t xml:space="preserve"> negativa ficta</w:t>
      </w:r>
      <w:r>
        <w:rPr>
          <w:rFonts w:ascii="Palatino Linotype" w:eastAsia="Palatino Linotype" w:hAnsi="Palatino Linotype" w:cs="Palatino Linotype"/>
          <w:sz w:val="22"/>
          <w:szCs w:val="22"/>
        </w:rPr>
        <w:t xml:space="preserve"> a entregar información, prevista en los artículos 166, párrafo cuarto y 178, párrafo segundo, de la Ley de Transparencia y Acceso a la Información Pública del Estado de México y Municipios.</w:t>
      </w:r>
    </w:p>
    <w:p w14:paraId="2C72D1DB" w14:textId="77777777" w:rsidR="005F2218" w:rsidRDefault="005F2218">
      <w:pPr>
        <w:spacing w:line="360" w:lineRule="auto"/>
        <w:jc w:val="both"/>
        <w:rPr>
          <w:rFonts w:ascii="Palatino Linotype" w:eastAsia="Palatino Linotype" w:hAnsi="Palatino Linotype" w:cs="Palatino Linotype"/>
          <w:b/>
          <w:bCs/>
          <w:sz w:val="22"/>
          <w:szCs w:val="22"/>
        </w:rPr>
      </w:pPr>
    </w:p>
    <w:p w14:paraId="4BE98969" w14:textId="77777777" w:rsidR="005F2218" w:rsidRDefault="00000000">
      <w:pPr>
        <w:keepNext/>
        <w:keepLines/>
        <w:spacing w:line="360" w:lineRule="auto"/>
        <w:jc w:val="both"/>
        <w:rPr>
          <w:rFonts w:ascii="Palatino Linotype" w:eastAsia="Palatino Linotype" w:hAnsi="Palatino Linotype" w:cs="Palatino Linotype"/>
          <w:b/>
          <w:bCs/>
          <w:sz w:val="22"/>
          <w:szCs w:val="22"/>
        </w:rPr>
      </w:pPr>
      <w:bookmarkStart w:id="4" w:name="_heading=h.uhpp17ofsv2w" w:colFirst="0" w:colLast="0"/>
      <w:bookmarkEnd w:id="4"/>
      <w:r>
        <w:rPr>
          <w:rFonts w:ascii="Palatino Linotype" w:eastAsia="Palatino Linotype" w:hAnsi="Palatino Linotype" w:cs="Palatino Linotype"/>
          <w:b/>
          <w:bCs/>
          <w:sz w:val="22"/>
          <w:szCs w:val="22"/>
        </w:rPr>
        <w:t xml:space="preserve">III. Interposición del Recurso de Revisión </w:t>
      </w:r>
    </w:p>
    <w:p w14:paraId="59496C97" w14:textId="77777777" w:rsidR="005F2218" w:rsidRDefault="005F2218">
      <w:pPr>
        <w:spacing w:line="360" w:lineRule="auto"/>
        <w:jc w:val="both"/>
        <w:rPr>
          <w:rFonts w:ascii="Palatino Linotype" w:eastAsia="Palatino Linotype" w:hAnsi="Palatino Linotype" w:cs="Palatino Linotype"/>
          <w:color w:val="FF0000"/>
          <w:sz w:val="22"/>
          <w:szCs w:val="22"/>
        </w:rPr>
      </w:pPr>
    </w:p>
    <w:p w14:paraId="70D7C8D3"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diez de noviembre de dos  mil veinticinco, el Particular interpuso un Recurso de Revisión ante este Instituto, a través del Sistema de Acceso a la Información Mexiquense (SAIMEX), en contra de la falta de respuesta por el Sujeto Obligado, a la solicitud de información, en los siguientes términos: </w:t>
      </w:r>
    </w:p>
    <w:p w14:paraId="21403D0B" w14:textId="77777777" w:rsidR="005F2218" w:rsidRDefault="005F2218">
      <w:pPr>
        <w:widowControl w:val="0"/>
        <w:spacing w:line="360" w:lineRule="auto"/>
        <w:jc w:val="both"/>
        <w:rPr>
          <w:rFonts w:ascii="Palatino Linotype" w:eastAsia="Palatino Linotype" w:hAnsi="Palatino Linotype" w:cs="Palatino Linotype"/>
          <w:i/>
          <w:iCs/>
          <w:color w:val="FF0000"/>
          <w:sz w:val="22"/>
          <w:szCs w:val="22"/>
        </w:rPr>
      </w:pPr>
    </w:p>
    <w:p w14:paraId="3872822C" w14:textId="77777777" w:rsidR="005F2218" w:rsidRDefault="00000000">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 IMPUGNADO</w:t>
      </w:r>
    </w:p>
    <w:p w14:paraId="1BF8AE26" w14:textId="77777777" w:rsidR="005F2218" w:rsidRDefault="00000000">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La falta de respuesta a una solicitud de acceso a la información.” </w:t>
      </w:r>
    </w:p>
    <w:p w14:paraId="2E3DAB51" w14:textId="77777777" w:rsidR="005F2218" w:rsidRDefault="005F2218">
      <w:pPr>
        <w:spacing w:line="360" w:lineRule="auto"/>
        <w:ind w:left="567" w:right="567"/>
        <w:jc w:val="both"/>
        <w:rPr>
          <w:rFonts w:ascii="Palatino Linotype" w:eastAsia="Palatino Linotype" w:hAnsi="Palatino Linotype" w:cs="Palatino Linotype"/>
          <w:i/>
          <w:iCs/>
          <w:color w:val="000000"/>
        </w:rPr>
      </w:pPr>
    </w:p>
    <w:p w14:paraId="0EE20F28" w14:textId="77777777" w:rsidR="005F2218" w:rsidRDefault="00000000">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116C2503" w14:textId="77777777" w:rsidR="005F2218" w:rsidRDefault="00000000">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La falta de respuesta a una solicitud de acceso a la información.” </w:t>
      </w:r>
    </w:p>
    <w:p w14:paraId="7CD48F65" w14:textId="77777777" w:rsidR="005F2218" w:rsidRDefault="005F2218">
      <w:pPr>
        <w:spacing w:line="360" w:lineRule="auto"/>
        <w:jc w:val="both"/>
        <w:rPr>
          <w:rFonts w:ascii="Palatino Linotype" w:eastAsia="Palatino Linotype" w:hAnsi="Palatino Linotype" w:cs="Palatino Linotype"/>
          <w:color w:val="FF0000"/>
          <w:sz w:val="22"/>
          <w:szCs w:val="22"/>
        </w:rPr>
      </w:pPr>
    </w:p>
    <w:p w14:paraId="018E1573" w14:textId="77777777" w:rsidR="005F2218" w:rsidRDefault="00000000">
      <w:pPr>
        <w:keepNext/>
        <w:keepLines/>
        <w:spacing w:line="360" w:lineRule="auto"/>
        <w:jc w:val="both"/>
        <w:rPr>
          <w:rFonts w:ascii="Palatino Linotype" w:eastAsia="Palatino Linotype" w:hAnsi="Palatino Linotype" w:cs="Palatino Linotype"/>
          <w:b/>
          <w:bCs/>
          <w:sz w:val="22"/>
          <w:szCs w:val="22"/>
        </w:rPr>
      </w:pPr>
      <w:bookmarkStart w:id="5" w:name="_heading=h.epklmwf1r1p" w:colFirst="0" w:colLast="0"/>
      <w:bookmarkEnd w:id="5"/>
      <w:r>
        <w:rPr>
          <w:rFonts w:ascii="Palatino Linotype" w:eastAsia="Palatino Linotype" w:hAnsi="Palatino Linotype" w:cs="Palatino Linotype"/>
          <w:b/>
          <w:bCs/>
          <w:sz w:val="22"/>
          <w:szCs w:val="22"/>
        </w:rPr>
        <w:t>IV. Trámite de los Recursos de Revisión ante este Instituto</w:t>
      </w:r>
    </w:p>
    <w:p w14:paraId="42D984B7" w14:textId="77777777" w:rsidR="005F2218" w:rsidRDefault="005F2218">
      <w:pPr>
        <w:spacing w:line="360" w:lineRule="auto"/>
        <w:jc w:val="both"/>
        <w:rPr>
          <w:rFonts w:ascii="Palatino Linotype" w:eastAsia="Palatino Linotype" w:hAnsi="Palatino Linotype" w:cs="Palatino Linotype"/>
          <w:b/>
          <w:bCs/>
          <w:color w:val="FF0000"/>
          <w:sz w:val="22"/>
          <w:szCs w:val="22"/>
        </w:rPr>
      </w:pPr>
    </w:p>
    <w:p w14:paraId="2DC53334"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a) Turno del Recurso de Revisión.</w:t>
      </w:r>
      <w:r>
        <w:rPr>
          <w:rFonts w:ascii="Palatino Linotype" w:eastAsia="Palatino Linotype" w:hAnsi="Palatino Linotype" w:cs="Palatino Linotype"/>
          <w:sz w:val="22"/>
          <w:szCs w:val="22"/>
        </w:rPr>
        <w:t xml:space="preserve"> El diez de noviembre de dos mil veinticinco, el Sistema de Acceso a la Información Mexiquense (SAIMEX), asignó el número de expediente </w:t>
      </w:r>
      <w:r>
        <w:rPr>
          <w:rFonts w:ascii="Palatino Linotype" w:eastAsia="Palatino Linotype" w:hAnsi="Palatino Linotype" w:cs="Palatino Linotype"/>
          <w:b/>
          <w:bCs/>
          <w:sz w:val="22"/>
          <w:szCs w:val="22"/>
        </w:rPr>
        <w:t>12961/INFOEM/IP/RR/2025</w:t>
      </w:r>
      <w:r>
        <w:rPr>
          <w:rFonts w:ascii="Palatino Linotype" w:eastAsia="Palatino Linotype" w:hAnsi="Palatino Linotype" w:cs="Palatino Linotype"/>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014A2537" w14:textId="77777777" w:rsidR="005F2218" w:rsidRDefault="005F2218">
      <w:pPr>
        <w:spacing w:line="360" w:lineRule="auto"/>
        <w:jc w:val="both"/>
        <w:rPr>
          <w:rFonts w:ascii="Palatino Linotype" w:eastAsia="Palatino Linotype" w:hAnsi="Palatino Linotype" w:cs="Palatino Linotype"/>
          <w:color w:val="FF0000"/>
          <w:sz w:val="22"/>
          <w:szCs w:val="22"/>
        </w:rPr>
      </w:pPr>
    </w:p>
    <w:p w14:paraId="148261DC"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El trece de noviembre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8F0F536" w14:textId="77777777" w:rsidR="005F2218" w:rsidRDefault="005F2218">
      <w:pPr>
        <w:spacing w:line="360" w:lineRule="auto"/>
        <w:jc w:val="both"/>
        <w:rPr>
          <w:rFonts w:ascii="Palatino Linotype" w:eastAsia="Palatino Linotype" w:hAnsi="Palatino Linotype" w:cs="Palatino Linotype"/>
          <w:b/>
          <w:bCs/>
          <w:sz w:val="22"/>
          <w:szCs w:val="22"/>
        </w:rPr>
      </w:pPr>
    </w:p>
    <w:p w14:paraId="7EFBF81C"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o manifestaciones. </w:t>
      </w:r>
      <w:r>
        <w:rPr>
          <w:rFonts w:ascii="Palatino Linotype" w:eastAsia="Palatino Linotype" w:hAnsi="Palatino Linotype" w:cs="Palatino Linotype"/>
          <w:sz w:val="22"/>
          <w:szCs w:val="22"/>
        </w:rPr>
        <w:t>Las partes fueron omisas en emitir manifestaciones o alegatos.</w:t>
      </w:r>
    </w:p>
    <w:p w14:paraId="236A4A74" w14:textId="77777777" w:rsidR="005F2218" w:rsidRDefault="005F2218">
      <w:pPr>
        <w:spacing w:line="360" w:lineRule="auto"/>
        <w:jc w:val="both"/>
        <w:rPr>
          <w:rFonts w:ascii="Palatino Linotype" w:eastAsia="Palatino Linotype" w:hAnsi="Palatino Linotype" w:cs="Palatino Linotype"/>
          <w:b/>
          <w:bCs/>
          <w:color w:val="FF0000"/>
          <w:sz w:val="22"/>
          <w:szCs w:val="22"/>
        </w:rPr>
      </w:pPr>
    </w:p>
    <w:p w14:paraId="3FB6F66B" w14:textId="77777777" w:rsidR="005F2218" w:rsidRDefault="000000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d) Cierre de instrucción.</w:t>
      </w:r>
      <w:r>
        <w:rPr>
          <w:rFonts w:ascii="Palatino Linotype" w:eastAsia="Palatino Linotype" w:hAnsi="Palatino Linotype" w:cs="Palatino Linotype"/>
          <w:sz w:val="22"/>
          <w:szCs w:val="22"/>
        </w:rPr>
        <w:t xml:space="preserve"> El cuatro de diciembre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veinticinco de dicho mes y año, a través del Sistema de Acceso a la Información Mexiquense (SAIMEX).</w:t>
      </w:r>
    </w:p>
    <w:p w14:paraId="69183C23" w14:textId="77777777" w:rsidR="005F2218" w:rsidRDefault="005F2218">
      <w:pPr>
        <w:spacing w:line="360" w:lineRule="auto"/>
        <w:jc w:val="both"/>
        <w:rPr>
          <w:rFonts w:ascii="Palatino Linotype" w:eastAsia="Palatino Linotype" w:hAnsi="Palatino Linotype" w:cs="Palatino Linotype"/>
          <w:sz w:val="22"/>
          <w:szCs w:val="22"/>
        </w:rPr>
      </w:pPr>
    </w:p>
    <w:p w14:paraId="61C7FFAD" w14:textId="77777777" w:rsidR="005F2218" w:rsidRDefault="005F2218">
      <w:pPr>
        <w:spacing w:line="360" w:lineRule="auto"/>
        <w:jc w:val="both"/>
        <w:rPr>
          <w:rFonts w:ascii="Palatino Linotype" w:eastAsia="Palatino Linotype" w:hAnsi="Palatino Linotype" w:cs="Palatino Linotype"/>
          <w:sz w:val="22"/>
          <w:szCs w:val="22"/>
        </w:rPr>
      </w:pPr>
    </w:p>
    <w:p w14:paraId="50A87E71" w14:textId="77777777" w:rsidR="005F2218" w:rsidRDefault="000000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 xml:space="preserve">e) Resolución del Recurso de Revisión 12961/INFOEM/IP/RR/2025. </w:t>
      </w:r>
      <w:r>
        <w:rPr>
          <w:rFonts w:ascii="Palatino Linotype" w:eastAsia="Palatino Linotype" w:hAnsi="Palatino Linotype" w:cs="Palatino Linotype"/>
          <w:sz w:val="22"/>
          <w:szCs w:val="22"/>
        </w:rPr>
        <w:t>El diez de diciembre de dos mil veinticinco, el Pleno del Instituto de Transparencia, Accesos la Información Pública y Protección de Datos Personales del Estado de México y Municipios, durante la Cuadragésima Cuarta Sesión Ordinaria, aprobó por Unanimidad de votos, la Resolución del Recurso de Revisión, en la cual se determinó lo siguiente:</w:t>
      </w:r>
    </w:p>
    <w:p w14:paraId="6B0792C9" w14:textId="77777777" w:rsidR="005F2218" w:rsidRDefault="005F2218">
      <w:pPr>
        <w:spacing w:line="360" w:lineRule="auto"/>
        <w:jc w:val="both"/>
        <w:rPr>
          <w:rFonts w:ascii="Palatino Linotype" w:eastAsia="Palatino Linotype" w:hAnsi="Palatino Linotype" w:cs="Palatino Linotype"/>
          <w:b/>
          <w:bCs/>
          <w:sz w:val="22"/>
          <w:szCs w:val="22"/>
        </w:rPr>
      </w:pPr>
    </w:p>
    <w:p w14:paraId="1C970BC7" w14:textId="77777777" w:rsidR="005F2218" w:rsidRDefault="000000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69AB9434" w14:textId="77777777" w:rsidR="005F2218" w:rsidRDefault="00000000">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PRIMERO. </w:t>
      </w:r>
      <w:r>
        <w:rPr>
          <w:rFonts w:ascii="Palatino Linotype" w:eastAsia="Palatino Linotype" w:hAnsi="Palatino Linotype" w:cs="Palatino Linotype"/>
          <w:i/>
          <w:iCs/>
        </w:rPr>
        <w:t xml:space="preserve">Resultan </w:t>
      </w:r>
      <w:r>
        <w:rPr>
          <w:rFonts w:ascii="Palatino Linotype" w:eastAsia="Palatino Linotype" w:hAnsi="Palatino Linotype" w:cs="Palatino Linotype"/>
          <w:b/>
          <w:bCs/>
          <w:i/>
          <w:iCs/>
        </w:rPr>
        <w:t>FUNDADAS</w:t>
      </w:r>
      <w:r>
        <w:rPr>
          <w:rFonts w:ascii="Palatino Linotype" w:eastAsia="Palatino Linotype" w:hAnsi="Palatino Linotype" w:cs="Palatino Linotype"/>
          <w:i/>
          <w:iCs/>
        </w:rPr>
        <w:t xml:space="preserve"> las razones o motivos de inconformidad hechos valer por el Particular en el Recurso de Revisión 12961/INFOEM/IP/RR/2025, en términos de los considerandos QUINTO y SEXTO de la presente Resolución.</w:t>
      </w:r>
      <w:r>
        <w:rPr>
          <w:rFonts w:ascii="Palatino Linotype" w:eastAsia="Palatino Linotype" w:hAnsi="Palatino Linotype" w:cs="Palatino Linotype"/>
          <w:b/>
          <w:bCs/>
          <w:i/>
          <w:iCs/>
        </w:rPr>
        <w:t xml:space="preserve"> </w:t>
      </w:r>
    </w:p>
    <w:p w14:paraId="76617098" w14:textId="77777777" w:rsidR="005F2218" w:rsidRDefault="005F2218">
      <w:pPr>
        <w:spacing w:line="360" w:lineRule="auto"/>
        <w:ind w:left="567" w:right="567"/>
        <w:jc w:val="both"/>
        <w:rPr>
          <w:rFonts w:ascii="Palatino Linotype" w:eastAsia="Palatino Linotype" w:hAnsi="Palatino Linotype" w:cs="Palatino Linotype"/>
          <w:b/>
          <w:bCs/>
          <w:i/>
          <w:iCs/>
        </w:rPr>
      </w:pPr>
    </w:p>
    <w:p w14:paraId="13297207" w14:textId="77777777" w:rsidR="005F2218" w:rsidRDefault="000000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SEGUNDO. </w:t>
      </w:r>
      <w:r>
        <w:rPr>
          <w:rFonts w:ascii="Palatino Linotype" w:eastAsia="Palatino Linotype" w:hAnsi="Palatino Linotype" w:cs="Palatino Linotype"/>
          <w:i/>
          <w:iCs/>
        </w:rPr>
        <w:t xml:space="preserve">Se </w:t>
      </w:r>
      <w:r>
        <w:rPr>
          <w:rFonts w:ascii="Palatino Linotype" w:eastAsia="Palatino Linotype" w:hAnsi="Palatino Linotype" w:cs="Palatino Linotype"/>
          <w:b/>
          <w:bCs/>
          <w:i/>
          <w:iCs/>
        </w:rPr>
        <w:t>ORDENA</w:t>
      </w:r>
      <w:r>
        <w:rPr>
          <w:rFonts w:ascii="Palatino Linotype" w:eastAsia="Palatino Linotype" w:hAnsi="Palatino Linotype" w:cs="Palatino Linotype"/>
          <w:i/>
          <w:iCs/>
        </w:rPr>
        <w:t xml:space="preserve"> al Sujeto Obligado, a efecto de que dé atención a la solicitud de acceso a la información 00551/TEPOTZOT/IP/2025 y, a través del Sistema de Acceso a la Información Mexiquense (SAIMEX), dé la respuesta que conforme a derecho corresponda  </w:t>
      </w:r>
    </w:p>
    <w:p w14:paraId="3808454B" w14:textId="77777777" w:rsidR="005F2218" w:rsidRDefault="000000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3057246A" w14:textId="77777777" w:rsidR="005F2218" w:rsidRDefault="005F2218">
      <w:pPr>
        <w:spacing w:line="360" w:lineRule="auto"/>
        <w:ind w:left="567" w:right="567"/>
        <w:jc w:val="both"/>
        <w:rPr>
          <w:rFonts w:ascii="Palatino Linotype" w:eastAsia="Palatino Linotype" w:hAnsi="Palatino Linotype" w:cs="Palatino Linotype"/>
          <w:i/>
          <w:iCs/>
        </w:rPr>
      </w:pPr>
    </w:p>
    <w:p w14:paraId="1A1CCC01"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f) Notificación de la Resolución del Recurso de Revisión 12961/INFOEM/IP/RR/2025. </w:t>
      </w:r>
      <w:r>
        <w:rPr>
          <w:rFonts w:ascii="Palatino Linotype" w:eastAsia="Palatino Linotype" w:hAnsi="Palatino Linotype" w:cs="Palatino Linotype"/>
          <w:sz w:val="22"/>
          <w:szCs w:val="22"/>
        </w:rPr>
        <w:t>El quince de diciembre de dos mil veinticinco, se notificó por medio del SAIMEX, a las partes, la resolución del Medio de Impugnación previamente referido.</w:t>
      </w:r>
    </w:p>
    <w:p w14:paraId="5DCAFF81" w14:textId="77777777" w:rsidR="005F2218" w:rsidRDefault="005F2218">
      <w:pPr>
        <w:spacing w:line="360" w:lineRule="auto"/>
        <w:jc w:val="both"/>
        <w:rPr>
          <w:rFonts w:ascii="Palatino Linotype" w:eastAsia="Palatino Linotype" w:hAnsi="Palatino Linotype" w:cs="Palatino Linotype"/>
          <w:sz w:val="22"/>
          <w:szCs w:val="22"/>
        </w:rPr>
      </w:pPr>
    </w:p>
    <w:p w14:paraId="4FB8DA18" w14:textId="77777777" w:rsidR="005F2218" w:rsidRDefault="00000000">
      <w:pPr>
        <w:pStyle w:val="Ttulo2"/>
        <w:jc w:val="both"/>
      </w:pPr>
      <w:bookmarkStart w:id="6" w:name="_heading=h.q7m2oo5gamsf" w:colFirst="0" w:colLast="0"/>
      <w:bookmarkEnd w:id="6"/>
      <w:r>
        <w:t>V. Entrega de la información en cumplimiento a la Resolución del Recurso de Revisión 12961/INFOEM/IP/RR/2025.</w:t>
      </w:r>
    </w:p>
    <w:p w14:paraId="0193A995" w14:textId="77777777" w:rsidR="005F2218" w:rsidRDefault="005F2218">
      <w:pPr>
        <w:spacing w:line="360" w:lineRule="auto"/>
        <w:jc w:val="both"/>
        <w:rPr>
          <w:rFonts w:ascii="Palatino Linotype" w:eastAsia="Palatino Linotype" w:hAnsi="Palatino Linotype" w:cs="Palatino Linotype"/>
          <w:sz w:val="22"/>
          <w:szCs w:val="22"/>
        </w:rPr>
      </w:pPr>
    </w:p>
    <w:p w14:paraId="18DD6AF5" w14:textId="77777777" w:rsidR="005F2218" w:rsidRDefault="00000000">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sz w:val="22"/>
          <w:szCs w:val="22"/>
        </w:rPr>
        <w:t xml:space="preserve">El veintiuno de enero de dos mil veintiséis, el Sujeto Obligado notificó a través del Sistema de Acceso a la Información Mexiquense (SAIMEX), la respuesta a la solicitud de información, para dar cumplimiento a la determinación del Recurso de Revisión 12961/INFOEM/IP/RR/2025, a través del oficio DAyF/118/2026, del veinte de enero de dicho </w:t>
      </w:r>
      <w:r>
        <w:rPr>
          <w:rFonts w:ascii="Palatino Linotype" w:eastAsia="Palatino Linotype" w:hAnsi="Palatino Linotype" w:cs="Palatino Linotype"/>
          <w:sz w:val="22"/>
          <w:szCs w:val="22"/>
        </w:rPr>
        <w:lastRenderedPageBreak/>
        <w:t>año, suscrito por el Director de Administración y Fianzas, y dirigido a la Titular de la Unidad de Transparencia, por medio del cual informó sobre el pago de los juegos mecánicos que dieron servicio en las fiestas patrias del mes de septiembre de dos mil veinticinco y para tal efecto anexó la factura por concepto de juegos y espectáculos, con un importe de cincuenta mil pesos.</w:t>
      </w:r>
    </w:p>
    <w:p w14:paraId="015D0AD5" w14:textId="77777777" w:rsidR="005F2218" w:rsidRDefault="005F2218">
      <w:pPr>
        <w:spacing w:line="360" w:lineRule="auto"/>
        <w:jc w:val="both"/>
        <w:rPr>
          <w:rFonts w:ascii="Palatino Linotype" w:eastAsia="Palatino Linotype" w:hAnsi="Palatino Linotype" w:cs="Palatino Linotype"/>
          <w:b/>
          <w:bCs/>
          <w:color w:val="000000"/>
          <w:sz w:val="22"/>
          <w:szCs w:val="22"/>
        </w:rPr>
      </w:pPr>
    </w:p>
    <w:p w14:paraId="6975337A" w14:textId="77777777" w:rsidR="005F2218" w:rsidRDefault="00000000">
      <w:pPr>
        <w:pStyle w:val="Ttulo2"/>
      </w:pPr>
      <w:bookmarkStart w:id="7" w:name="_heading=h.fq98o0sa5yy6" w:colFirst="0" w:colLast="0"/>
      <w:bookmarkEnd w:id="7"/>
      <w:r>
        <w:t>VI. Interposición del Recurso de Revisión 01206/INFOEM/ICR-150/IP/RR/2025</w:t>
      </w:r>
    </w:p>
    <w:p w14:paraId="5044CA51" w14:textId="77777777" w:rsidR="005F2218" w:rsidRDefault="005F2218">
      <w:pPr>
        <w:widowControl w:val="0"/>
        <w:spacing w:line="360" w:lineRule="auto"/>
        <w:jc w:val="both"/>
        <w:rPr>
          <w:rFonts w:ascii="Palatino Linotype" w:eastAsia="Palatino Linotype" w:hAnsi="Palatino Linotype" w:cs="Palatino Linotype"/>
          <w:sz w:val="22"/>
          <w:szCs w:val="22"/>
        </w:rPr>
      </w:pPr>
    </w:p>
    <w:p w14:paraId="7A125DD7" w14:textId="77777777" w:rsidR="005F2218" w:rsidRDefault="00000000">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veintiuno de enero de dos mil veintiséis se recibió en este Instituto, a través del Sistema de Acceso a la Información Mexiquense (SAIMEX), el Recurso de Revisión interpuesto por la parte Recurrente, en contra de la respuesta del Sujeto Obligado, en cumplimiento a la Resolución referida en el Antecedente V, en los siguientes términos:</w:t>
      </w:r>
    </w:p>
    <w:p w14:paraId="2DA6E7D5" w14:textId="77777777" w:rsidR="005F2218" w:rsidRDefault="005F2218">
      <w:pPr>
        <w:widowControl w:val="0"/>
        <w:spacing w:line="360" w:lineRule="auto"/>
        <w:jc w:val="both"/>
        <w:rPr>
          <w:rFonts w:ascii="Palatino Linotype" w:eastAsia="Palatino Linotype" w:hAnsi="Palatino Linotype" w:cs="Palatino Linotype"/>
          <w:color w:val="FF0000"/>
          <w:sz w:val="22"/>
          <w:szCs w:val="22"/>
        </w:rPr>
      </w:pPr>
    </w:p>
    <w:p w14:paraId="7718B16A" w14:textId="77777777" w:rsidR="005F2218" w:rsidRDefault="00000000">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“ACTO IMPUGNADO</w:t>
      </w:r>
    </w:p>
    <w:p w14:paraId="095B23F3" w14:textId="77777777" w:rsidR="005F2218" w:rsidRDefault="000000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La respuesta dudosa que emite el tesorero. “(Sic)</w:t>
      </w:r>
    </w:p>
    <w:p w14:paraId="087EDF19" w14:textId="77777777" w:rsidR="005F2218" w:rsidRDefault="005F2218">
      <w:pPr>
        <w:spacing w:line="360" w:lineRule="auto"/>
        <w:ind w:left="567" w:right="567"/>
        <w:jc w:val="both"/>
        <w:rPr>
          <w:rFonts w:ascii="Palatino Linotype" w:eastAsia="Palatino Linotype" w:hAnsi="Palatino Linotype" w:cs="Palatino Linotype"/>
          <w:i/>
          <w:iCs/>
        </w:rPr>
      </w:pPr>
    </w:p>
    <w:p w14:paraId="06416FF1" w14:textId="77777777" w:rsidR="005F2218" w:rsidRDefault="00000000">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17702A53" w14:textId="77777777" w:rsidR="005F2218" w:rsidRDefault="0000000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Exhibe dos facturas, que sumarían $100,000.00 pesos, pero exhibe la misma factura por $50,000.00 pesos dos veces. Por lo que no se sabe en realidad de cuanto fue el pago o si a la ciudadanía le van a decir que la feria pago cien mil pesos pero en realidad solo pagó cincuenta mil pesos y para engañar al pueblo el tesorero exhibe el mismo recibo pero dos veces “(Sic)</w:t>
      </w:r>
    </w:p>
    <w:p w14:paraId="4514675A"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3ACDC030" w14:textId="77777777" w:rsidR="005F2218" w:rsidRDefault="00000000">
      <w:pPr>
        <w:pStyle w:val="Ttulo2"/>
        <w:jc w:val="both"/>
      </w:pPr>
      <w:bookmarkStart w:id="8" w:name="_heading=h.aa9wrhz1dvjg" w:colFirst="0" w:colLast="0"/>
      <w:bookmarkEnd w:id="8"/>
      <w:r>
        <w:t>VII. Trámite del Recurso de Revisión número 12931/INFOEM/ICR-34/IP/RR/2025</w:t>
      </w:r>
    </w:p>
    <w:p w14:paraId="0252B8C6" w14:textId="77777777" w:rsidR="005F2218" w:rsidRDefault="005F2218">
      <w:pPr>
        <w:spacing w:line="360" w:lineRule="auto"/>
        <w:jc w:val="both"/>
        <w:rPr>
          <w:rFonts w:ascii="Palatino Linotype" w:eastAsia="Palatino Linotype" w:hAnsi="Palatino Linotype" w:cs="Palatino Linotype"/>
          <w:b/>
          <w:bCs/>
          <w:color w:val="FF0000"/>
          <w:sz w:val="22"/>
          <w:szCs w:val="22"/>
        </w:rPr>
      </w:pPr>
    </w:p>
    <w:p w14:paraId="3A873469" w14:textId="77777777" w:rsidR="005F2218" w:rsidRDefault="00000000">
      <w:pPr>
        <w:tabs>
          <w:tab w:val="center" w:pos="4560"/>
          <w:tab w:val="left" w:pos="8207"/>
        </w:tabs>
        <w:spacing w:line="360" w:lineRule="auto"/>
        <w:jc w:val="both"/>
        <w:rPr>
          <w:rFonts w:ascii="Palatino Linotype" w:eastAsia="Palatino Linotype" w:hAnsi="Palatino Linotype" w:cs="Palatino Linotype"/>
          <w:sz w:val="22"/>
          <w:szCs w:val="22"/>
        </w:rPr>
      </w:pPr>
      <w:bookmarkStart w:id="9" w:name="_heading=h.m60w9sd92nzi" w:colFirst="0" w:colLast="0"/>
      <w:bookmarkEnd w:id="9"/>
      <w:r>
        <w:rPr>
          <w:rFonts w:ascii="Palatino Linotype" w:eastAsia="Palatino Linotype" w:hAnsi="Palatino Linotype" w:cs="Palatino Linotype"/>
          <w:b/>
          <w:bCs/>
          <w:sz w:val="22"/>
          <w:szCs w:val="22"/>
        </w:rPr>
        <w:t>a) Turno de los Recursos de Revisión.</w:t>
      </w:r>
      <w:r>
        <w:rPr>
          <w:rFonts w:ascii="Palatino Linotype" w:eastAsia="Palatino Linotype" w:hAnsi="Palatino Linotype" w:cs="Palatino Linotype"/>
          <w:sz w:val="22"/>
          <w:szCs w:val="22"/>
        </w:rPr>
        <w:t xml:space="preserve"> El veintiuno de enero de dos mil veintiséis, el Sistema de Acceso a la Información Mexiquense (SAIMEX), asignó el número de expediente </w:t>
      </w:r>
      <w:r>
        <w:rPr>
          <w:rFonts w:ascii="Palatino Linotype" w:eastAsia="Palatino Linotype" w:hAnsi="Palatino Linotype" w:cs="Palatino Linotype"/>
          <w:b/>
          <w:bCs/>
          <w:sz w:val="22"/>
          <w:szCs w:val="22"/>
        </w:rPr>
        <w:lastRenderedPageBreak/>
        <w:tab/>
        <w:t>12961/INFOEM/ICR-15/IP/RR/2025</w:t>
      </w:r>
      <w:r>
        <w:rPr>
          <w:rFonts w:ascii="Palatino Linotype" w:eastAsia="Palatino Linotype" w:hAnsi="Palatino Linotype" w:cs="Palatino Linotype"/>
          <w:sz w:val="22"/>
          <w:szCs w:val="22"/>
        </w:rPr>
        <w:t xml:space="preserve">, al Medio de Impugnación que nos ocupa, con base en el sistema aprobado por el Pleno de este Organismo Garante y los turnó al </w:t>
      </w:r>
      <w:r>
        <w:rPr>
          <w:rFonts w:ascii="Palatino Linotype" w:eastAsia="Palatino Linotype" w:hAnsi="Palatino Linotype" w:cs="Palatino Linotype"/>
          <w:b/>
          <w:bCs/>
          <w:sz w:val="22"/>
          <w:szCs w:val="22"/>
        </w:rPr>
        <w:t>Comisionado Ponente 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6FF267A0"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 xml:space="preserve">El veintiséis de enero de dos mil veintiséis, se acordó la admisión del Recurso de Revisión número </w:t>
      </w:r>
      <w:r>
        <w:rPr>
          <w:rFonts w:ascii="Palatino Linotype" w:eastAsia="Palatino Linotype" w:hAnsi="Palatino Linotype" w:cs="Palatino Linotype"/>
          <w:b/>
          <w:bCs/>
          <w:sz w:val="22"/>
          <w:szCs w:val="22"/>
        </w:rPr>
        <w:t>12961/INFOEM/ICR-15/IP/RR/2025</w:t>
      </w:r>
      <w:r>
        <w:rPr>
          <w:rFonts w:ascii="Palatino Linotype" w:eastAsia="Palatino Linotype" w:hAnsi="Palatino Linotype" w:cs="Palatino Linotype"/>
          <w:sz w:val="22"/>
          <w:szCs w:val="22"/>
        </w:rPr>
        <w:t>, interpuesto por el Particular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Pr>
          <w:rFonts w:ascii="Palatino Linotype" w:eastAsia="Palatino Linotype" w:hAnsi="Palatino Linotype" w:cs="Palatino Linotype"/>
          <w:b/>
          <w:bCs/>
          <w:sz w:val="22"/>
          <w:szCs w:val="22"/>
        </w:rPr>
        <w:t xml:space="preserve"> </w:t>
      </w:r>
    </w:p>
    <w:p w14:paraId="417E60E8" w14:textId="77777777" w:rsidR="005F2218" w:rsidRDefault="005F2218">
      <w:pPr>
        <w:spacing w:line="360" w:lineRule="auto"/>
        <w:jc w:val="both"/>
        <w:rPr>
          <w:rFonts w:ascii="Palatino Linotype" w:eastAsia="Palatino Linotype" w:hAnsi="Palatino Linotype" w:cs="Palatino Linotype"/>
          <w:color w:val="FF0000"/>
          <w:sz w:val="22"/>
          <w:szCs w:val="22"/>
        </w:rPr>
      </w:pPr>
    </w:p>
    <w:p w14:paraId="285880D2"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o manifestaciones. </w:t>
      </w:r>
      <w:r>
        <w:rPr>
          <w:rFonts w:ascii="Palatino Linotype" w:eastAsia="Palatino Linotype" w:hAnsi="Palatino Linotype" w:cs="Palatino Linotype"/>
          <w:sz w:val="22"/>
          <w:szCs w:val="22"/>
        </w:rPr>
        <w:t>Las partes fueron omisas en emitir manifestaciones o alegatos.</w:t>
      </w:r>
    </w:p>
    <w:p w14:paraId="6652B847" w14:textId="77777777" w:rsidR="005F2218" w:rsidRDefault="005F2218">
      <w:pPr>
        <w:spacing w:line="360" w:lineRule="auto"/>
        <w:jc w:val="both"/>
        <w:rPr>
          <w:rFonts w:ascii="Palatino Linotype" w:eastAsia="Palatino Linotype" w:hAnsi="Palatino Linotype" w:cs="Palatino Linotype"/>
          <w:b/>
          <w:bCs/>
          <w:color w:val="FF0000"/>
          <w:sz w:val="22"/>
          <w:szCs w:val="22"/>
        </w:rPr>
      </w:pPr>
    </w:p>
    <w:p w14:paraId="0E745A48"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d) Cierre de instrucción.</w:t>
      </w:r>
      <w:r>
        <w:rPr>
          <w:rFonts w:ascii="Palatino Linotype" w:eastAsia="Palatino Linotype" w:hAnsi="Palatino Linotype" w:cs="Palatino Linotype"/>
          <w:sz w:val="22"/>
          <w:szCs w:val="22"/>
        </w:rPr>
        <w:t xml:space="preserve"> El diez de febrero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w:t>
      </w:r>
    </w:p>
    <w:p w14:paraId="20B83182" w14:textId="77777777" w:rsidR="005F2218" w:rsidRDefault="005F2218">
      <w:pPr>
        <w:spacing w:line="360" w:lineRule="auto"/>
        <w:jc w:val="both"/>
        <w:rPr>
          <w:rFonts w:ascii="Palatino Linotype" w:eastAsia="Palatino Linotype" w:hAnsi="Palatino Linotype" w:cs="Palatino Linotype"/>
          <w:b/>
          <w:bCs/>
          <w:sz w:val="18"/>
          <w:szCs w:val="18"/>
        </w:rPr>
      </w:pPr>
    </w:p>
    <w:p w14:paraId="5550084A" w14:textId="77777777" w:rsidR="005F2218" w:rsidRDefault="0000000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A5AE455" w14:textId="77777777" w:rsidR="005F2218" w:rsidRDefault="005F2218">
      <w:pPr>
        <w:tabs>
          <w:tab w:val="left" w:pos="3218"/>
        </w:tabs>
        <w:spacing w:line="360" w:lineRule="auto"/>
        <w:jc w:val="both"/>
        <w:rPr>
          <w:rFonts w:ascii="Palatino Linotype" w:eastAsia="Palatino Linotype" w:hAnsi="Palatino Linotype" w:cs="Palatino Linotype"/>
          <w:color w:val="000000"/>
          <w:sz w:val="22"/>
          <w:szCs w:val="22"/>
        </w:rPr>
      </w:pPr>
    </w:p>
    <w:p w14:paraId="0BF68ED6" w14:textId="77777777" w:rsidR="005F2218" w:rsidRDefault="00000000">
      <w:pPr>
        <w:pStyle w:val="Ttulo1"/>
      </w:pPr>
      <w:bookmarkStart w:id="10" w:name="_heading=h.boz6p2zf4tbg" w:colFirst="0" w:colLast="0"/>
      <w:bookmarkEnd w:id="10"/>
      <w:r>
        <w:t>C O N S I D E R A N D O S</w:t>
      </w:r>
    </w:p>
    <w:p w14:paraId="0CD26842" w14:textId="77777777" w:rsidR="005F2218" w:rsidRDefault="005F2218">
      <w:pPr>
        <w:spacing w:line="360" w:lineRule="auto"/>
        <w:jc w:val="both"/>
        <w:rPr>
          <w:rFonts w:ascii="Palatino Linotype" w:eastAsia="Palatino Linotype" w:hAnsi="Palatino Linotype" w:cs="Palatino Linotype"/>
          <w:b/>
          <w:bCs/>
          <w:sz w:val="22"/>
          <w:szCs w:val="22"/>
        </w:rPr>
      </w:pPr>
    </w:p>
    <w:p w14:paraId="7EF66E82" w14:textId="77777777" w:rsidR="005F2218" w:rsidRDefault="00000000">
      <w:pPr>
        <w:pStyle w:val="Ttulo2"/>
      </w:pPr>
      <w:bookmarkStart w:id="11" w:name="_heading=h.2m54fsoyoazm" w:colFirst="0" w:colLast="0"/>
      <w:bookmarkEnd w:id="11"/>
      <w:r>
        <w:t>PRIMERO. Competencia</w:t>
      </w:r>
    </w:p>
    <w:p w14:paraId="4EFA7CD1" w14:textId="77777777" w:rsidR="005F2218" w:rsidRDefault="005F2218">
      <w:pPr>
        <w:spacing w:line="360" w:lineRule="auto"/>
        <w:jc w:val="both"/>
        <w:rPr>
          <w:rFonts w:ascii="Palatino Linotype" w:eastAsia="Palatino Linotype" w:hAnsi="Palatino Linotype" w:cs="Palatino Linotype"/>
          <w:b/>
          <w:bCs/>
          <w:sz w:val="22"/>
          <w:szCs w:val="22"/>
        </w:rPr>
      </w:pPr>
    </w:p>
    <w:p w14:paraId="7A93470C"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F19917D"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12EF6B76" w14:textId="77777777" w:rsidR="005F2218" w:rsidRDefault="00000000">
      <w:pPr>
        <w:pStyle w:val="Ttulo2"/>
      </w:pPr>
      <w:bookmarkStart w:id="12" w:name="_heading=h.ue3nhto6kc1s" w:colFirst="0" w:colLast="0"/>
      <w:bookmarkEnd w:id="12"/>
      <w:r>
        <w:t>SEGUNDO. Causales de improcedencia y Sobreseimiento</w:t>
      </w:r>
    </w:p>
    <w:p w14:paraId="05FA5BDF" w14:textId="77777777" w:rsidR="005F2218" w:rsidRDefault="005F2218">
      <w:pPr>
        <w:spacing w:line="360" w:lineRule="auto"/>
        <w:jc w:val="both"/>
        <w:rPr>
          <w:rFonts w:ascii="Palatino Linotype" w:eastAsia="Palatino Linotype" w:hAnsi="Palatino Linotype" w:cs="Palatino Linotype"/>
          <w:sz w:val="22"/>
          <w:szCs w:val="22"/>
        </w:rPr>
      </w:pPr>
    </w:p>
    <w:p w14:paraId="70A330DB"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3F964043" w14:textId="77777777" w:rsidR="005F2218" w:rsidRDefault="005F2218">
      <w:pPr>
        <w:spacing w:line="360" w:lineRule="auto"/>
        <w:jc w:val="both"/>
        <w:rPr>
          <w:rFonts w:ascii="Palatino Linotype" w:eastAsia="Palatino Linotype" w:hAnsi="Palatino Linotype" w:cs="Palatino Linotype"/>
          <w:sz w:val="22"/>
          <w:szCs w:val="22"/>
        </w:rPr>
      </w:pPr>
    </w:p>
    <w:p w14:paraId="022C2A2D" w14:textId="77777777" w:rsidR="005F2218" w:rsidRDefault="000000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14:paraId="735AC009" w14:textId="77777777" w:rsidR="005F2218" w:rsidRDefault="005F2218">
      <w:pPr>
        <w:spacing w:line="360" w:lineRule="auto"/>
        <w:jc w:val="both"/>
        <w:rPr>
          <w:rFonts w:ascii="Palatino Linotype" w:eastAsia="Palatino Linotype" w:hAnsi="Palatino Linotype" w:cs="Palatino Linotype"/>
          <w:sz w:val="22"/>
          <w:szCs w:val="22"/>
        </w:rPr>
      </w:pPr>
    </w:p>
    <w:p w14:paraId="7B86023E"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F1107B9" w14:textId="77777777" w:rsidR="005F2218" w:rsidRDefault="005F2218">
      <w:pPr>
        <w:spacing w:line="360" w:lineRule="auto"/>
        <w:jc w:val="both"/>
        <w:rPr>
          <w:rFonts w:ascii="Palatino Linotype" w:eastAsia="Palatino Linotype" w:hAnsi="Palatino Linotype" w:cs="Palatino Linotype"/>
          <w:sz w:val="22"/>
          <w:szCs w:val="22"/>
        </w:rPr>
      </w:pPr>
    </w:p>
    <w:p w14:paraId="2B622025"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6E780068" w14:textId="77777777" w:rsidR="005F2218" w:rsidRDefault="005F2218">
      <w:pPr>
        <w:spacing w:line="360" w:lineRule="auto"/>
        <w:jc w:val="both"/>
        <w:rPr>
          <w:rFonts w:ascii="Palatino Linotype" w:eastAsia="Palatino Linotype" w:hAnsi="Palatino Linotype" w:cs="Palatino Linotype"/>
          <w:sz w:val="22"/>
          <w:szCs w:val="22"/>
        </w:rPr>
      </w:pPr>
    </w:p>
    <w:p w14:paraId="0CB4953D"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el último párrafo, de dicho artículo, establece que procede un Medio de Impugnación, en contra de las respuestas otorgadas por los sujetos obligados, en cumplimiento a una resolución de otro diverso, en el cual, la controversia recaiga, en la falta de respuesta a una solicitud de información.</w:t>
      </w:r>
    </w:p>
    <w:p w14:paraId="06CDF797" w14:textId="77777777" w:rsidR="005F2218" w:rsidRDefault="005F2218">
      <w:pPr>
        <w:spacing w:line="360" w:lineRule="auto"/>
        <w:jc w:val="both"/>
        <w:rPr>
          <w:rFonts w:ascii="Palatino Linotype" w:eastAsia="Palatino Linotype" w:hAnsi="Palatino Linotype" w:cs="Palatino Linotype"/>
          <w:sz w:val="22"/>
          <w:szCs w:val="22"/>
        </w:rPr>
      </w:pPr>
    </w:p>
    <w:p w14:paraId="26A018B3"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cabe referir que en el expediente con número de folio 12961/INFOEM/IP/RR/2025, se dictó Resolución, en la cual se determinó como causal de procedencia, la fracción VII, del artículo 179 de la Ley de Transparencia y Acceso a la Información Pública del Estado de México y Municipios, es decir, de la falta de respuesta; además, se concluyó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Ayuntamiento de Tepotzotlán, a emitir respuesta a la </w:t>
      </w:r>
      <w:r>
        <w:rPr>
          <w:rFonts w:ascii="Palatino Linotype" w:eastAsia="Palatino Linotype" w:hAnsi="Palatino Linotype" w:cs="Palatino Linotype"/>
          <w:sz w:val="22"/>
          <w:szCs w:val="22"/>
        </w:rPr>
        <w:lastRenderedPageBreak/>
        <w:t>solicitud de información con número 00551/TEPOTZOT/IP/2025, materia del presente Recurso de Revisión.</w:t>
      </w:r>
    </w:p>
    <w:p w14:paraId="66E05162" w14:textId="77777777" w:rsidR="005F2218" w:rsidRDefault="005F2218">
      <w:pPr>
        <w:spacing w:line="360" w:lineRule="auto"/>
        <w:jc w:val="both"/>
        <w:rPr>
          <w:rFonts w:ascii="Palatino Linotype" w:eastAsia="Palatino Linotype" w:hAnsi="Palatino Linotype" w:cs="Palatino Linotype"/>
          <w:sz w:val="22"/>
          <w:szCs w:val="22"/>
        </w:rPr>
      </w:pPr>
    </w:p>
    <w:p w14:paraId="469F0BF2"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mediante el Sistema de Acceso a la Información Mexiquense (SAIMEX), el Sujeto Obligado emitió respuesta al requerimiento de información previamente referido, en cumplimiento a la Resolución del Recurso de Revisión con número 12961/INFOEM/IP/RR/2025, en donde precisó que hacía entrega sobre el pago de los juegos mecánicos que dieron servicio en las fiestas patrias del mes de septiembre de dos mil veinticinco y anexó dos veces una factura por concepto de juegos mecánicos y espectáculos con un importe de cincuenta mil pesos mexicanos. </w:t>
      </w:r>
    </w:p>
    <w:p w14:paraId="5E9A199B" w14:textId="77777777" w:rsidR="005F2218" w:rsidRDefault="005F2218">
      <w:pPr>
        <w:spacing w:line="360" w:lineRule="auto"/>
        <w:jc w:val="both"/>
        <w:rPr>
          <w:rFonts w:ascii="Palatino Linotype" w:eastAsia="Palatino Linotype" w:hAnsi="Palatino Linotype" w:cs="Palatino Linotype"/>
          <w:sz w:val="22"/>
          <w:szCs w:val="22"/>
        </w:rPr>
      </w:pPr>
    </w:p>
    <w:p w14:paraId="58D52F37"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el ahora Recurrente se inconformó de dicha respuesta, al agraviarse de la entrega de información incompleta, al precisar que exhibió dos facturas que suman cien mil pesos pero únicamente remitían una factura repetida por concepto de cincuenta mil pesos, por lo cual, se concluye que actualiza el último párrafo del artículo 179 de la Ley de Transparencia y Acceso a la Información Pública del Estado de México y Municipios, toda vez que la controversia en el Recurso de Revisión 12961/INFOEM/IP/RR/2025, se fijó en la falta de respuesta al requerimiento informativo. Así, ante la contestación que recayó, derivada de dicha determinación, procede el presente Medio de Impugnación.</w:t>
      </w:r>
    </w:p>
    <w:p w14:paraId="05813E01" w14:textId="77777777" w:rsidR="005F2218" w:rsidRDefault="005F2218">
      <w:pPr>
        <w:spacing w:line="360" w:lineRule="auto"/>
        <w:jc w:val="both"/>
        <w:rPr>
          <w:rFonts w:ascii="Palatino Linotype" w:eastAsia="Palatino Linotype" w:hAnsi="Palatino Linotype" w:cs="Palatino Linotype"/>
          <w:sz w:val="22"/>
          <w:szCs w:val="22"/>
        </w:rPr>
      </w:pPr>
    </w:p>
    <w:p w14:paraId="4A346ADA"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en el caso concreto, resulta aplicable el supuesto previsto en la fracción V de dicho artículo, dado que el Particular, se inconformó de la entrega de información incompleta; por lo que resulta procedente el presente Medio de Impugnación.</w:t>
      </w:r>
    </w:p>
    <w:p w14:paraId="57F419C4" w14:textId="77777777" w:rsidR="005F2218" w:rsidRDefault="005F2218">
      <w:pPr>
        <w:spacing w:line="360" w:lineRule="auto"/>
        <w:jc w:val="both"/>
        <w:rPr>
          <w:rFonts w:ascii="Palatino Linotype" w:eastAsia="Palatino Linotype" w:hAnsi="Palatino Linotype" w:cs="Palatino Linotype"/>
          <w:sz w:val="22"/>
          <w:szCs w:val="22"/>
        </w:rPr>
      </w:pPr>
    </w:p>
    <w:p w14:paraId="4A8D559C" w14:textId="77777777" w:rsidR="005F2218" w:rsidRDefault="00000000">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b/>
          <w:bCs/>
          <w:color w:val="0D0D0D"/>
          <w:sz w:val="22"/>
          <w:szCs w:val="22"/>
        </w:rPr>
        <w:t>Causales de sobreseimiento</w:t>
      </w:r>
    </w:p>
    <w:p w14:paraId="2B1A209C" w14:textId="77777777" w:rsidR="005F2218" w:rsidRDefault="005F2218">
      <w:pPr>
        <w:spacing w:line="360" w:lineRule="auto"/>
        <w:jc w:val="both"/>
        <w:rPr>
          <w:rFonts w:ascii="Palatino Linotype" w:eastAsia="Palatino Linotype" w:hAnsi="Palatino Linotype" w:cs="Palatino Linotype"/>
          <w:color w:val="0D0D0D"/>
          <w:sz w:val="22"/>
          <w:szCs w:val="22"/>
        </w:rPr>
      </w:pPr>
    </w:p>
    <w:p w14:paraId="2461B978" w14:textId="77777777" w:rsidR="005F2218" w:rsidRDefault="00000000">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lastRenderedPageBreak/>
        <w:t>Por ser de previo y especial pronunciamiento, este Instituto analiza si se actualiza alguna causal de sobreseimiento.</w:t>
      </w:r>
    </w:p>
    <w:p w14:paraId="5414FE4B" w14:textId="77777777" w:rsidR="005F2218" w:rsidRDefault="005F2218">
      <w:pPr>
        <w:spacing w:line="360" w:lineRule="auto"/>
        <w:jc w:val="both"/>
        <w:rPr>
          <w:rFonts w:ascii="Palatino Linotype" w:eastAsia="Palatino Linotype" w:hAnsi="Palatino Linotype" w:cs="Palatino Linotype"/>
          <w:color w:val="0D0D0D"/>
          <w:sz w:val="22"/>
          <w:szCs w:val="22"/>
        </w:rPr>
      </w:pPr>
    </w:p>
    <w:p w14:paraId="446C6AF2"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0E4FAEBE" w14:textId="77777777" w:rsidR="005F2218" w:rsidRDefault="005F2218">
      <w:pPr>
        <w:spacing w:line="360" w:lineRule="auto"/>
        <w:jc w:val="both"/>
        <w:rPr>
          <w:rFonts w:ascii="Palatino Linotype" w:eastAsia="Palatino Linotype" w:hAnsi="Palatino Linotype" w:cs="Palatino Linotype"/>
          <w:sz w:val="22"/>
          <w:szCs w:val="22"/>
        </w:rPr>
      </w:pPr>
    </w:p>
    <w:p w14:paraId="21EF66EC" w14:textId="77777777" w:rsidR="005F2218" w:rsidRDefault="00000000">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14:paraId="784C328A" w14:textId="77777777" w:rsidR="005F2218" w:rsidRDefault="005F2218">
      <w:pPr>
        <w:spacing w:line="360" w:lineRule="auto"/>
        <w:jc w:val="both"/>
        <w:rPr>
          <w:rFonts w:ascii="Palatino Linotype" w:eastAsia="Palatino Linotype" w:hAnsi="Palatino Linotype" w:cs="Palatino Linotype"/>
          <w:color w:val="0D0D0D"/>
          <w:sz w:val="22"/>
          <w:szCs w:val="22"/>
        </w:rPr>
      </w:pPr>
    </w:p>
    <w:p w14:paraId="1E3BCAED" w14:textId="77777777" w:rsidR="005F2218" w:rsidRDefault="00000000">
      <w:pPr>
        <w:pStyle w:val="Ttulo2"/>
      </w:pPr>
      <w:bookmarkStart w:id="13" w:name="_heading=h.9ldhf35bzhp6" w:colFirst="0" w:colLast="0"/>
      <w:bookmarkEnd w:id="13"/>
      <w:r>
        <w:t>TERCERO. Determinación de la Controversia</w:t>
      </w:r>
    </w:p>
    <w:p w14:paraId="76E4A40F"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3C76DBF8" w14:textId="77777777" w:rsidR="005F2218" w:rsidRDefault="00000000">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el objeto de ilustrar la controversia planteada, resulta conveniente precisar, que una vez realizado el estudio de las constancias que integran el expediente en que se actúa, se desprende que el Particular requirió el recibo de pago que hizo la feria que se instaló en las fiestas patrias de septiembre de dos mil veinticinco en el centro de Tepotzotlán.  </w:t>
      </w:r>
    </w:p>
    <w:p w14:paraId="36E190FC" w14:textId="77777777" w:rsidR="005F2218" w:rsidRDefault="005F2218">
      <w:pPr>
        <w:tabs>
          <w:tab w:val="left" w:pos="4962"/>
        </w:tabs>
        <w:spacing w:line="360" w:lineRule="auto"/>
        <w:jc w:val="both"/>
        <w:rPr>
          <w:rFonts w:ascii="Palatino Linotype" w:eastAsia="Palatino Linotype" w:hAnsi="Palatino Linotype" w:cs="Palatino Linotype"/>
          <w:color w:val="000000"/>
          <w:sz w:val="22"/>
          <w:szCs w:val="22"/>
        </w:rPr>
      </w:pPr>
    </w:p>
    <w:p w14:paraId="0683EFDD" w14:textId="77777777" w:rsidR="005F2218" w:rsidRDefault="00000000">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14:paraId="0E959C5F" w14:textId="77777777" w:rsidR="005F2218" w:rsidRDefault="005F2218">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1C9CAD00" w14:textId="77777777" w:rsidR="005F2218" w:rsidRDefault="00000000">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Mediante la Resolución del Recurso de Revisión 12961/INFOEM/IP/RR/2025, el Pleno de este Instituto, determinó como </w:t>
      </w:r>
      <w:r>
        <w:rPr>
          <w:rFonts w:ascii="Palatino Linotype" w:eastAsia="Palatino Linotype" w:hAnsi="Palatino Linotype" w:cs="Palatino Linotype"/>
          <w:b/>
          <w:bCs/>
          <w:color w:val="000000"/>
          <w:sz w:val="22"/>
          <w:szCs w:val="22"/>
        </w:rPr>
        <w:t>FUNDADO</w:t>
      </w:r>
      <w:r>
        <w:rPr>
          <w:rFonts w:ascii="Palatino Linotype" w:eastAsia="Palatino Linotype" w:hAnsi="Palatino Linotype" w:cs="Palatino Linotype"/>
          <w:color w:val="000000"/>
          <w:sz w:val="22"/>
          <w:szCs w:val="22"/>
        </w:rPr>
        <w:t xml:space="preserve"> el agravio del Particular y se estableció procedente </w:t>
      </w:r>
      <w:r>
        <w:rPr>
          <w:rFonts w:ascii="Palatino Linotype" w:eastAsia="Palatino Linotype" w:hAnsi="Palatino Linotype" w:cs="Palatino Linotype"/>
          <w:b/>
          <w:bCs/>
          <w:color w:val="000000"/>
          <w:sz w:val="22"/>
          <w:szCs w:val="22"/>
        </w:rPr>
        <w:t>ORDENAR</w:t>
      </w:r>
      <w:r>
        <w:rPr>
          <w:rFonts w:ascii="Palatino Linotype" w:eastAsia="Palatino Linotype" w:hAnsi="Palatino Linotype" w:cs="Palatino Linotype"/>
          <w:color w:val="000000"/>
          <w:sz w:val="22"/>
          <w:szCs w:val="22"/>
        </w:rPr>
        <w:t xml:space="preserve"> al Ayuntamiento de Tepotzotlán, a efecto de que proporcionara la documentación requerida.</w:t>
      </w:r>
    </w:p>
    <w:p w14:paraId="41A58D3A" w14:textId="77777777" w:rsidR="005F2218" w:rsidRDefault="005F2218">
      <w:pPr>
        <w:tabs>
          <w:tab w:val="left" w:pos="4962"/>
        </w:tabs>
        <w:spacing w:line="360" w:lineRule="auto"/>
        <w:jc w:val="both"/>
        <w:rPr>
          <w:rFonts w:ascii="Palatino Linotype" w:eastAsia="Palatino Linotype" w:hAnsi="Palatino Linotype" w:cs="Palatino Linotype"/>
          <w:color w:val="000000"/>
          <w:sz w:val="22"/>
          <w:szCs w:val="22"/>
        </w:rPr>
      </w:pPr>
    </w:p>
    <w:p w14:paraId="0727B4B4" w14:textId="77777777" w:rsidR="005F2218" w:rsidRDefault="00000000">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cumplimiento a la determinación previamente señalada, el Sujeto Obligado a través de la </w:t>
      </w:r>
      <w:r>
        <w:rPr>
          <w:rFonts w:ascii="Palatino Linotype" w:eastAsia="Palatino Linotype" w:hAnsi="Palatino Linotype" w:cs="Palatino Linotype"/>
          <w:color w:val="000000"/>
          <w:sz w:val="22"/>
          <w:szCs w:val="22"/>
        </w:rPr>
        <w:br/>
        <w:t xml:space="preserve">Dirección de Administración y Finanzas precisó que remitía información sobre el pago de los juegos mecánicos que dieron servicio en las fiestas patrias del mes de septiembre de dos mil veinticinco y para tal efecto remitió dos veces la digitalización de una factura por concepto de juegos y espectáculos con un importe por cincuenta mil pesos; ante dicha circunstancia el particular se inconformó de la entrega de información incompleta, al señalar que exhibió dos facturas que suman cien mil pesos pero únicamente remitían una factura repetida por concepto de cincuenta mil pesos, lo cual se actualiza el supuesto previsto en el artículo 179, fracción V, de la Ley de Transparencia y Acceso a la Información Pública del Estado de México y Municipios. Así las cosas, una vez admitido y notificado el Recurso de Revisión a las partes, </w:t>
      </w:r>
      <w:r>
        <w:rPr>
          <w:rFonts w:ascii="Palatino Linotype" w:eastAsia="Palatino Linotype" w:hAnsi="Palatino Linotype" w:cs="Palatino Linotype"/>
          <w:sz w:val="22"/>
          <w:szCs w:val="22"/>
        </w:rPr>
        <w:t>estas fueron omisas en realizar manifestaciones o alegatos.</w:t>
      </w:r>
    </w:p>
    <w:p w14:paraId="194C0D92" w14:textId="77777777" w:rsidR="005F2218" w:rsidRDefault="005F2218">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15B16C03" w14:textId="77777777" w:rsidR="005F2218" w:rsidRDefault="0000000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 desprende de las documentales que obran en el expediente de referencia, materia de la presente resolución, consistente en: la solicitud de acceso a la información; el escrito recursal; la resolución emitida; la respuesta entregada en cumplimiento y el Segundo Recurso de Revisión; instrumentales que se toman en cuenta a efecto de resolver el presente medio de impugnación, conforme a lo dispuesto por el artículo 185, fracción IV, de la Ley de Transparencia y Acceso a la Información Pública del Estado de México y Municipios.</w:t>
      </w:r>
    </w:p>
    <w:p w14:paraId="52897DFD" w14:textId="77777777" w:rsidR="005F2218" w:rsidRDefault="005F2218">
      <w:pPr>
        <w:tabs>
          <w:tab w:val="left" w:pos="4962"/>
        </w:tabs>
        <w:spacing w:line="360" w:lineRule="auto"/>
        <w:jc w:val="both"/>
        <w:rPr>
          <w:rFonts w:ascii="Palatino Linotype" w:eastAsia="Palatino Linotype" w:hAnsi="Palatino Linotype" w:cs="Palatino Linotype"/>
          <w:sz w:val="22"/>
          <w:szCs w:val="22"/>
        </w:rPr>
      </w:pPr>
    </w:p>
    <w:p w14:paraId="7FB33703" w14:textId="77777777" w:rsidR="005F2218" w:rsidRDefault="00000000">
      <w:pPr>
        <w:pStyle w:val="Ttulo2"/>
        <w:jc w:val="both"/>
      </w:pPr>
      <w:bookmarkStart w:id="14" w:name="_heading=h.guuu2zoci7wr" w:colFirst="0" w:colLast="0"/>
      <w:bookmarkEnd w:id="14"/>
      <w:r>
        <w:lastRenderedPageBreak/>
        <w:t>CUARTO. Marco normativo aplicable en materia de transparencia y acceso a la información pública</w:t>
      </w:r>
    </w:p>
    <w:p w14:paraId="195261B5" w14:textId="77777777" w:rsidR="005F2218" w:rsidRDefault="005F2218">
      <w:pPr>
        <w:spacing w:line="360" w:lineRule="auto"/>
        <w:jc w:val="both"/>
        <w:rPr>
          <w:rFonts w:ascii="Palatino Linotype" w:eastAsia="Palatino Linotype" w:hAnsi="Palatino Linotype" w:cs="Palatino Linotype"/>
          <w:sz w:val="22"/>
          <w:szCs w:val="22"/>
        </w:rPr>
      </w:pPr>
    </w:p>
    <w:p w14:paraId="087B1AB9"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5BCE6FF" w14:textId="77777777" w:rsidR="005F2218" w:rsidRDefault="005F2218">
      <w:pPr>
        <w:spacing w:line="360" w:lineRule="auto"/>
        <w:jc w:val="both"/>
        <w:rPr>
          <w:rFonts w:ascii="Palatino Linotype" w:eastAsia="Palatino Linotype" w:hAnsi="Palatino Linotype" w:cs="Palatino Linotype"/>
          <w:sz w:val="22"/>
          <w:szCs w:val="22"/>
        </w:rPr>
      </w:pPr>
    </w:p>
    <w:p w14:paraId="6AF6C2E3"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79F8138" w14:textId="77777777" w:rsidR="005F2218" w:rsidRDefault="005F2218">
      <w:pPr>
        <w:spacing w:line="360" w:lineRule="auto"/>
        <w:jc w:val="both"/>
        <w:rPr>
          <w:rFonts w:ascii="Palatino Linotype" w:eastAsia="Palatino Linotype" w:hAnsi="Palatino Linotype" w:cs="Palatino Linotype"/>
          <w:sz w:val="22"/>
          <w:szCs w:val="22"/>
        </w:rPr>
      </w:pPr>
    </w:p>
    <w:p w14:paraId="5D2CF378"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2085304A" w14:textId="77777777" w:rsidR="005F2218" w:rsidRDefault="005F2218">
      <w:pPr>
        <w:spacing w:line="360" w:lineRule="auto"/>
        <w:jc w:val="both"/>
        <w:rPr>
          <w:rFonts w:ascii="Palatino Linotype" w:eastAsia="Palatino Linotype" w:hAnsi="Palatino Linotype" w:cs="Palatino Linotype"/>
          <w:sz w:val="22"/>
          <w:szCs w:val="22"/>
        </w:rPr>
      </w:pPr>
    </w:p>
    <w:p w14:paraId="309A5DBA"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2D0A700E" w14:textId="77777777" w:rsidR="005F2218" w:rsidRDefault="005F2218">
      <w:pPr>
        <w:spacing w:line="360" w:lineRule="auto"/>
        <w:jc w:val="both"/>
        <w:rPr>
          <w:rFonts w:ascii="Palatino Linotype" w:eastAsia="Palatino Linotype" w:hAnsi="Palatino Linotype" w:cs="Palatino Linotype"/>
          <w:sz w:val="22"/>
          <w:szCs w:val="22"/>
        </w:rPr>
      </w:pPr>
    </w:p>
    <w:p w14:paraId="04798781"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5501F1A" w14:textId="77777777" w:rsidR="005F2218" w:rsidRDefault="005F2218">
      <w:pPr>
        <w:spacing w:line="360" w:lineRule="auto"/>
        <w:jc w:val="both"/>
        <w:rPr>
          <w:rFonts w:ascii="Palatino Linotype" w:eastAsia="Palatino Linotype" w:hAnsi="Palatino Linotype" w:cs="Palatino Linotype"/>
          <w:sz w:val="22"/>
          <w:szCs w:val="22"/>
        </w:rPr>
      </w:pPr>
    </w:p>
    <w:p w14:paraId="2DC60DF9"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 que, se presume que la información debe existir si se refiere a las facultades, competencias y funciones que los ordenamientos jurídicos aplicables otorgan a los sujetos </w:t>
      </w:r>
      <w:r>
        <w:rPr>
          <w:rFonts w:ascii="Palatino Linotype" w:eastAsia="Palatino Linotype" w:hAnsi="Palatino Linotype" w:cs="Palatino Linotype"/>
          <w:sz w:val="22"/>
          <w:szCs w:val="22"/>
        </w:rPr>
        <w:lastRenderedPageBreak/>
        <w:t>obligados y en caso de que dichas facultades no se hayan ejercido, se deberá motivar la respuesta en función de las causas que motivaron tal circunstancia.</w:t>
      </w:r>
    </w:p>
    <w:p w14:paraId="2212E805" w14:textId="77777777" w:rsidR="005F2218" w:rsidRDefault="005F2218">
      <w:pPr>
        <w:spacing w:line="360" w:lineRule="auto"/>
        <w:jc w:val="both"/>
        <w:rPr>
          <w:rFonts w:ascii="Palatino Linotype" w:eastAsia="Palatino Linotype" w:hAnsi="Palatino Linotype" w:cs="Palatino Linotype"/>
          <w:sz w:val="22"/>
          <w:szCs w:val="22"/>
        </w:rPr>
      </w:pPr>
    </w:p>
    <w:p w14:paraId="4A5BC422" w14:textId="77777777" w:rsidR="005F2218" w:rsidRDefault="00000000">
      <w:pPr>
        <w:pStyle w:val="Ttulo2"/>
      </w:pPr>
      <w:bookmarkStart w:id="15" w:name="_heading=h.emghu2ni5pfw" w:colFirst="0" w:colLast="0"/>
      <w:bookmarkEnd w:id="15"/>
      <w:r>
        <w:t>QUINTO. Estudio de Fondo</w:t>
      </w:r>
    </w:p>
    <w:p w14:paraId="3D802EA8" w14:textId="77777777" w:rsidR="005F2218" w:rsidRDefault="005F2218">
      <w:pPr>
        <w:spacing w:line="360" w:lineRule="auto"/>
        <w:jc w:val="both"/>
        <w:rPr>
          <w:rFonts w:ascii="Palatino Linotype" w:eastAsia="Palatino Linotype" w:hAnsi="Palatino Linotype" w:cs="Palatino Linotype"/>
          <w:sz w:val="22"/>
          <w:szCs w:val="22"/>
        </w:rPr>
      </w:pPr>
    </w:p>
    <w:p w14:paraId="798AC8DB"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 los agravios hechos valer por la persona recurrente, concerniente a la entrega de información incompleta, por lo que, en principio es necesario contextualizar la solicitud de información.</w:t>
      </w:r>
    </w:p>
    <w:p w14:paraId="5C4873FD" w14:textId="77777777" w:rsidR="005F2218" w:rsidRDefault="005F2218">
      <w:pPr>
        <w:spacing w:line="360" w:lineRule="auto"/>
        <w:jc w:val="both"/>
        <w:rPr>
          <w:rFonts w:ascii="Palatino Linotype" w:eastAsia="Palatino Linotype" w:hAnsi="Palatino Linotype" w:cs="Palatino Linotype"/>
          <w:sz w:val="22"/>
          <w:szCs w:val="22"/>
        </w:rPr>
      </w:pPr>
    </w:p>
    <w:p w14:paraId="648A188C" w14:textId="0016D7BE" w:rsidR="00F74DA8" w:rsidRDefault="00F74DA8" w:rsidP="00F74DA8">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principio, este Instituto localizó en la plataforma de YouTube, un video denominado “</w:t>
      </w:r>
      <w:r>
        <w:rPr>
          <w:rFonts w:ascii="Palatino Linotype" w:eastAsia="Palatino Linotype" w:hAnsi="Palatino Linotype" w:cs="Palatino Linotype"/>
          <w:b/>
          <w:bCs/>
          <w:sz w:val="24"/>
          <w:szCs w:val="24"/>
        </w:rPr>
        <w:t>Llegando a las FIESTAS PATRIAS de TEPOTZOTLÁN 2025 (El mejor pueblo y  lugar del Estado de México)</w:t>
      </w:r>
      <w:r>
        <w:rPr>
          <w:rFonts w:ascii="Palatino Linotype" w:eastAsia="Palatino Linotype" w:hAnsi="Palatino Linotype" w:cs="Palatino Linotype"/>
          <w:sz w:val="24"/>
          <w:szCs w:val="24"/>
        </w:rPr>
        <w:t xml:space="preserve">, en el que se logró vislumbrar que durante las fiestas patrias celebradas por el Municipio de Tepotzotlán, se llevaron a cabo diversas actividades recreativas y empresas de juegos mecánicos; asimismo  conforme a la página oficial del Ayuntamiento de Tepotzotlán (consultada en la liga electrónica </w:t>
      </w:r>
      <w:hyperlink r:id="rId8">
        <w:r>
          <w:rPr>
            <w:rFonts w:ascii="Palatino Linotype" w:eastAsia="Palatino Linotype" w:hAnsi="Palatino Linotype" w:cs="Palatino Linotype"/>
            <w:color w:val="0563C1"/>
            <w:sz w:val="24"/>
            <w:szCs w:val="24"/>
            <w:u w:val="single"/>
          </w:rPr>
          <w:t>https://www.tepotzotlan.gob.mx/eventos-culturales</w:t>
        </w:r>
      </w:hyperlink>
      <w:r>
        <w:rPr>
          <w:rFonts w:ascii="Palatino Linotype" w:eastAsia="Palatino Linotype" w:hAnsi="Palatino Linotype" w:cs="Palatino Linotype"/>
          <w:sz w:val="24"/>
          <w:szCs w:val="24"/>
        </w:rPr>
        <w:t xml:space="preserve">) durante dichas celebraciones, se realizaron diversas fiestas patronales como la “Fiesta del Señor del Nicho”, “Fiesta del Apóstol San Mateo” y “Fiesta del Arcángel San Miguel”. </w:t>
      </w:r>
    </w:p>
    <w:p w14:paraId="62B212DA" w14:textId="77777777" w:rsidR="00F74DA8" w:rsidRDefault="00F74DA8">
      <w:pPr>
        <w:spacing w:line="360" w:lineRule="auto"/>
        <w:jc w:val="both"/>
        <w:rPr>
          <w:rFonts w:ascii="Palatino Linotype" w:eastAsia="Palatino Linotype" w:hAnsi="Palatino Linotype" w:cs="Palatino Linotype"/>
          <w:sz w:val="22"/>
          <w:szCs w:val="22"/>
        </w:rPr>
      </w:pPr>
    </w:p>
    <w:p w14:paraId="3449731E" w14:textId="2BBBB2CB" w:rsidR="00F74DA8" w:rsidRDefault="00F74DA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el artículo 122 del Código Financiero del Estado de México precisa que están obligados al pago del impuesto sobre diversiones, juegos y espectáculos públicos, aquellas personas físicas o jurídicas colectivas que obtengan ingresos por la explotación de juegos y espectáculos públicos.</w:t>
      </w:r>
    </w:p>
    <w:p w14:paraId="185BB349" w14:textId="77777777" w:rsidR="00F74DA8" w:rsidRDefault="00F74DA8">
      <w:pPr>
        <w:spacing w:line="360" w:lineRule="auto"/>
        <w:jc w:val="both"/>
        <w:rPr>
          <w:rFonts w:ascii="Palatino Linotype" w:eastAsia="Palatino Linotype" w:hAnsi="Palatino Linotype" w:cs="Palatino Linotype"/>
          <w:sz w:val="22"/>
          <w:szCs w:val="22"/>
        </w:rPr>
      </w:pPr>
    </w:p>
    <w:p w14:paraId="56BCD7D0" w14:textId="1E69D014" w:rsidR="00F74DA8" w:rsidRDefault="00F74DA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Además, precisa que se denominara juego a aquellas maquinas o aparatos de recreación o azar autorizados, cuya finalidad es la diversión o entretenimiento de las personas mediante el pago de cierta suma de dinero </w:t>
      </w:r>
      <w:r w:rsidR="00196474">
        <w:rPr>
          <w:rFonts w:ascii="Palatino Linotype" w:eastAsia="Palatino Linotype" w:hAnsi="Palatino Linotype" w:cs="Palatino Linotype"/>
          <w:sz w:val="22"/>
          <w:szCs w:val="22"/>
        </w:rPr>
        <w:t>tienen acceso a ellos.</w:t>
      </w:r>
    </w:p>
    <w:p w14:paraId="15A8A366" w14:textId="77777777" w:rsidR="00F74DA8" w:rsidRDefault="00F74DA8">
      <w:pPr>
        <w:spacing w:line="360" w:lineRule="auto"/>
        <w:jc w:val="both"/>
        <w:rPr>
          <w:rFonts w:ascii="Palatino Linotype" w:eastAsia="Palatino Linotype" w:hAnsi="Palatino Linotype" w:cs="Palatino Linotype"/>
          <w:sz w:val="22"/>
          <w:szCs w:val="22"/>
        </w:rPr>
      </w:pPr>
    </w:p>
    <w:p w14:paraId="5D08AC90" w14:textId="15B1B8AC" w:rsidR="005F2218" w:rsidRDefault="00F74DA8">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En ese contexto, resulta necesario traer a colación, la Resolución Miscelánea Fiscal para el 2025, establece que la </w:t>
      </w:r>
      <w:r>
        <w:rPr>
          <w:rFonts w:ascii="Palatino Linotype" w:eastAsia="Palatino Linotype" w:hAnsi="Palatino Linotype" w:cs="Palatino Linotype"/>
          <w:b/>
          <w:bCs/>
          <w:color w:val="000000"/>
          <w:sz w:val="22"/>
          <w:szCs w:val="22"/>
        </w:rPr>
        <w:t>factura</w:t>
      </w:r>
      <w:r>
        <w:rPr>
          <w:rFonts w:ascii="Palatino Linotype" w:eastAsia="Palatino Linotype" w:hAnsi="Palatino Linotype" w:cs="Palatino Linotype"/>
          <w:color w:val="000000"/>
          <w:sz w:val="22"/>
          <w:szCs w:val="22"/>
        </w:rPr>
        <w:t xml:space="preserve"> es lo mismo, que un Comprobante Fiscal Digital por Internet, por lo que, se puede considerar como el documento que comprueba la realización de una </w:t>
      </w:r>
      <w:r>
        <w:rPr>
          <w:rFonts w:ascii="Palatino Linotype" w:eastAsia="Palatino Linotype" w:hAnsi="Palatino Linotype" w:cs="Palatino Linotype"/>
          <w:b/>
          <w:bCs/>
          <w:color w:val="000000"/>
          <w:sz w:val="22"/>
          <w:szCs w:val="22"/>
        </w:rPr>
        <w:t>transacción comercial</w:t>
      </w:r>
      <w:r>
        <w:rPr>
          <w:rFonts w:ascii="Palatino Linotype" w:eastAsia="Palatino Linotype" w:hAnsi="Palatino Linotype" w:cs="Palatino Linotype"/>
          <w:color w:val="000000"/>
          <w:sz w:val="22"/>
          <w:szCs w:val="22"/>
        </w:rPr>
        <w:t xml:space="preserve">, entre un comprador y un vendedor, mediante el cual, el primero queda obligado a realizar un pago, mientras que el segundo, a entregar o brindar un producto o </w:t>
      </w:r>
      <w:r>
        <w:rPr>
          <w:rFonts w:ascii="Palatino Linotype" w:eastAsia="Palatino Linotype" w:hAnsi="Palatino Linotype" w:cs="Palatino Linotype"/>
          <w:b/>
          <w:bCs/>
          <w:color w:val="000000"/>
          <w:sz w:val="22"/>
          <w:szCs w:val="22"/>
        </w:rPr>
        <w:t>servicio.</w:t>
      </w:r>
    </w:p>
    <w:p w14:paraId="30D100EE" w14:textId="77777777" w:rsidR="005F2218" w:rsidRDefault="005F2218">
      <w:pPr>
        <w:spacing w:line="360" w:lineRule="auto"/>
        <w:jc w:val="both"/>
        <w:rPr>
          <w:rFonts w:ascii="Palatino Linotype" w:eastAsia="Palatino Linotype" w:hAnsi="Palatino Linotype" w:cs="Palatino Linotype"/>
          <w:b/>
          <w:bCs/>
          <w:color w:val="000000"/>
          <w:sz w:val="22"/>
          <w:szCs w:val="22"/>
        </w:rPr>
      </w:pPr>
    </w:p>
    <w:p w14:paraId="5D1D8486" w14:textId="105EEA14" w:rsidR="005F2218" w:rsidRDefault="0000000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orden de ideas, los Lineamientos para la integración y presentación de los Informes Trimestrales Estatales y Municipales del Ejercicio Fiscal 2025, entre los formatos que maneja en el </w:t>
      </w:r>
      <w:r>
        <w:rPr>
          <w:rFonts w:ascii="Palatino Linotype" w:eastAsia="Palatino Linotype" w:hAnsi="Palatino Linotype" w:cs="Palatino Linotype"/>
          <w:b/>
          <w:bCs/>
          <w:color w:val="000000"/>
          <w:sz w:val="22"/>
          <w:szCs w:val="22"/>
        </w:rPr>
        <w:t>Módulo 1</w:t>
      </w:r>
      <w:r>
        <w:rPr>
          <w:rFonts w:ascii="Palatino Linotype" w:eastAsia="Palatino Linotype" w:hAnsi="Palatino Linotype" w:cs="Palatino Linotype"/>
          <w:color w:val="000000"/>
          <w:sz w:val="22"/>
          <w:szCs w:val="22"/>
        </w:rPr>
        <w:t xml:space="preserve">, se advierte que se encuentran Póliza de </w:t>
      </w:r>
      <w:r w:rsidR="00F74DA8">
        <w:rPr>
          <w:rFonts w:ascii="Palatino Linotype" w:eastAsia="Palatino Linotype" w:hAnsi="Palatino Linotype" w:cs="Palatino Linotype"/>
          <w:color w:val="000000"/>
          <w:sz w:val="22"/>
          <w:szCs w:val="22"/>
        </w:rPr>
        <w:t>Ingresos</w:t>
      </w:r>
      <w:r>
        <w:rPr>
          <w:rFonts w:ascii="Palatino Linotype" w:eastAsia="Palatino Linotype" w:hAnsi="Palatino Linotype" w:cs="Palatino Linotype"/>
          <w:color w:val="000000"/>
          <w:sz w:val="22"/>
          <w:szCs w:val="22"/>
        </w:rPr>
        <w:t>, con los documentos comprobatorios, mismos que serán entregados al Órgano Superior de Fiscalización del Estado de México. Además, se precisa que dichos documentos deberán contener las imágenes de la documentación comprobatoria y justificativa de los egresos y de las respectivas pólizas, los cuales incluyen los Comprobantes Fiscales Digitales por Internet, facturas o recibos.</w:t>
      </w:r>
    </w:p>
    <w:p w14:paraId="5071EF41"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3DF48401" w14:textId="77777777" w:rsidR="005F2218" w:rsidRDefault="0000000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los artículos 38, 47 y 48, del Bando Municipal de Tepotzotlán, dos mil veinticinco, en relación con el Manual de Organización de la Dirección de Administración y Finanzas con funciones de Tesorería, establece que, para el ejercicio de sus funciones la Presidenta Municipal se auxiliará de una </w:t>
      </w:r>
      <w:r>
        <w:rPr>
          <w:rFonts w:ascii="Palatino Linotype" w:eastAsia="Palatino Linotype" w:hAnsi="Palatino Linotype" w:cs="Palatino Linotype"/>
          <w:b/>
          <w:bCs/>
          <w:color w:val="000000"/>
          <w:sz w:val="22"/>
          <w:szCs w:val="22"/>
        </w:rPr>
        <w:t>Dirección de Administración y Finanzas</w:t>
      </w:r>
      <w:r>
        <w:rPr>
          <w:rFonts w:ascii="Palatino Linotype" w:eastAsia="Palatino Linotype" w:hAnsi="Palatino Linotype" w:cs="Palatino Linotype"/>
          <w:color w:val="000000"/>
          <w:sz w:val="22"/>
          <w:szCs w:val="22"/>
        </w:rPr>
        <w:t xml:space="preserve"> con funciones de Tesorería encargada de la recaudación de los ingresos municipales y responsable de realizar las erogaciones que lleve a cabo el Ayuntamiento, así como, programar los pagos de las facturas; así mismo registrar el pasivo correspondiente dentro del mes con la documentación comprobatoria que acredite la obligación.</w:t>
      </w:r>
    </w:p>
    <w:p w14:paraId="6878E9B6"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4872C43B" w14:textId="6E369868"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y en atención a lo anterior, se logra vislumbrar que la pretensión de la persona Recurrente es obtener el recibo </w:t>
      </w:r>
      <w:r w:rsidR="00F74DA8">
        <w:rPr>
          <w:rFonts w:ascii="Palatino Linotype" w:eastAsia="Palatino Linotype" w:hAnsi="Palatino Linotype" w:cs="Palatino Linotype"/>
          <w:sz w:val="22"/>
          <w:szCs w:val="22"/>
        </w:rPr>
        <w:t>sobre el pago que</w:t>
      </w:r>
      <w:r>
        <w:rPr>
          <w:rFonts w:ascii="Palatino Linotype" w:eastAsia="Palatino Linotype" w:hAnsi="Palatino Linotype" w:cs="Palatino Linotype"/>
          <w:sz w:val="22"/>
          <w:szCs w:val="22"/>
        </w:rPr>
        <w:t xml:space="preserve"> hizo la feria que se instaló en las fiestas patrias de septiembre de dos mil veinticinco, en el Centro de Tepotzotlán, al diecisiete de septiembre de dos mil veinticinco. </w:t>
      </w:r>
    </w:p>
    <w:p w14:paraId="75DEE87E" w14:textId="77777777" w:rsidR="005F2218" w:rsidRDefault="005F2218">
      <w:pPr>
        <w:spacing w:line="360" w:lineRule="auto"/>
        <w:jc w:val="both"/>
        <w:rPr>
          <w:rFonts w:ascii="Palatino Linotype" w:eastAsia="Palatino Linotype" w:hAnsi="Palatino Linotype" w:cs="Palatino Linotype"/>
          <w:sz w:val="22"/>
          <w:szCs w:val="22"/>
        </w:rPr>
      </w:pPr>
    </w:p>
    <w:p w14:paraId="038A1A8B"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el Sujeto Obligado a través de la Dirección de Administración y Fianzas, en cumplimiento a la resolución precisó que remitía el pago de los juegos mecánicos que dieron servicios en las fiestas patrias del mes de septiembre de dos mil veinticinco y para tal efecto proporcionó la digitalización de dos facturas por concepto</w:t>
      </w:r>
      <w:r>
        <w:t xml:space="preserve"> </w:t>
      </w:r>
      <w:r>
        <w:rPr>
          <w:rFonts w:ascii="Palatino Linotype" w:eastAsia="Palatino Linotype" w:hAnsi="Palatino Linotype" w:cs="Palatino Linotype"/>
          <w:sz w:val="22"/>
          <w:szCs w:val="22"/>
        </w:rPr>
        <w:t xml:space="preserve">de juegos y espectáculos, con un importe de cincuenta mil pesos, tal como se muestra en la siguiente imagen ilustrativa: </w:t>
      </w:r>
    </w:p>
    <w:p w14:paraId="64290835" w14:textId="77777777" w:rsidR="005F2218" w:rsidRDefault="005F2218">
      <w:pPr>
        <w:spacing w:line="360" w:lineRule="auto"/>
        <w:jc w:val="both"/>
        <w:rPr>
          <w:rFonts w:ascii="Palatino Linotype" w:eastAsia="Palatino Linotype" w:hAnsi="Palatino Linotype" w:cs="Palatino Linotype"/>
          <w:sz w:val="22"/>
          <w:szCs w:val="22"/>
        </w:rPr>
      </w:pPr>
    </w:p>
    <w:p w14:paraId="152CBE8F"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43DFC47F" wp14:editId="73EC0019">
            <wp:extent cx="5801955" cy="3891516"/>
            <wp:effectExtent l="0" t="0" r="254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srcRect b="47484"/>
                    <a:stretch/>
                  </pic:blipFill>
                  <pic:spPr bwMode="auto">
                    <a:xfrm>
                      <a:off x="0" y="0"/>
                      <a:ext cx="5803226" cy="3892369"/>
                    </a:xfrm>
                    <a:prstGeom prst="rect">
                      <a:avLst/>
                    </a:prstGeom>
                    <a:ln>
                      <a:noFill/>
                    </a:ln>
                    <a:extLst>
                      <a:ext uri="{53640926-AAD7-44D8-BBD7-CCE9431645EC}">
                        <a14:shadowObscured xmlns:a14="http://schemas.microsoft.com/office/drawing/2010/main"/>
                      </a:ext>
                    </a:extLst>
                  </pic:spPr>
                </pic:pic>
              </a:graphicData>
            </a:graphic>
          </wp:inline>
        </w:drawing>
      </w:r>
    </w:p>
    <w:p w14:paraId="2C23CD15" w14:textId="747F66DB" w:rsidR="00F74DA8" w:rsidRDefault="00F74DA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5699E3A8" wp14:editId="67136C5D">
            <wp:extent cx="5742476" cy="3581592"/>
            <wp:effectExtent l="0" t="0" r="0" b="0"/>
            <wp:docPr id="15006035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srcRect t="51170"/>
                    <a:stretch/>
                  </pic:blipFill>
                  <pic:spPr bwMode="auto">
                    <a:xfrm>
                      <a:off x="0" y="0"/>
                      <a:ext cx="5742940" cy="3581882"/>
                    </a:xfrm>
                    <a:prstGeom prst="rect">
                      <a:avLst/>
                    </a:prstGeom>
                    <a:ln>
                      <a:noFill/>
                    </a:ln>
                    <a:extLst>
                      <a:ext uri="{53640926-AAD7-44D8-BBD7-CCE9431645EC}">
                        <a14:shadowObscured xmlns:a14="http://schemas.microsoft.com/office/drawing/2010/main"/>
                      </a:ext>
                    </a:extLst>
                  </pic:spPr>
                </pic:pic>
              </a:graphicData>
            </a:graphic>
          </wp:inline>
        </w:drawing>
      </w:r>
    </w:p>
    <w:p w14:paraId="49665DA1" w14:textId="77777777" w:rsidR="00F74DA8" w:rsidRDefault="00F74DA8">
      <w:pPr>
        <w:spacing w:line="360" w:lineRule="auto"/>
        <w:jc w:val="both"/>
        <w:rPr>
          <w:rFonts w:ascii="Palatino Linotype" w:eastAsia="Palatino Linotype" w:hAnsi="Palatino Linotype" w:cs="Palatino Linotype"/>
          <w:sz w:val="22"/>
          <w:szCs w:val="22"/>
        </w:rPr>
      </w:pPr>
    </w:p>
    <w:p w14:paraId="0C41B877" w14:textId="291013B4" w:rsidR="00F74DA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de la revisión de las facturas previamente referidas, se logró vislumbrar que corresponden a una sola factura que se encuentra digitalizada doble vez por accidente o un error humano, </w:t>
      </w:r>
      <w:r w:rsidR="00F74DA8">
        <w:rPr>
          <w:rFonts w:ascii="Palatino Linotype" w:eastAsia="Palatino Linotype" w:hAnsi="Palatino Linotype" w:cs="Palatino Linotype"/>
          <w:sz w:val="22"/>
          <w:szCs w:val="22"/>
        </w:rPr>
        <w:t>pues los datos contenidos en dichas documentales son identicos, incluidos el Folio Fiscal, las Cadenas y Sellos Originales, entre otros.</w:t>
      </w:r>
    </w:p>
    <w:p w14:paraId="6C30F6C8" w14:textId="77777777" w:rsidR="00F74DA8" w:rsidRDefault="00F74DA8">
      <w:pPr>
        <w:spacing w:line="360" w:lineRule="auto"/>
        <w:jc w:val="both"/>
        <w:rPr>
          <w:rFonts w:ascii="Palatino Linotype" w:eastAsia="Palatino Linotype" w:hAnsi="Palatino Linotype" w:cs="Palatino Linotype"/>
          <w:sz w:val="22"/>
          <w:szCs w:val="22"/>
        </w:rPr>
      </w:pPr>
    </w:p>
    <w:p w14:paraId="70973D9A" w14:textId="60529C7E" w:rsidR="005F2218" w:rsidRDefault="00F74DA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que, dicha factura da cuenta del </w:t>
      </w:r>
      <w:r w:rsidR="00196474">
        <w:rPr>
          <w:rFonts w:ascii="Palatino Linotype" w:eastAsia="Palatino Linotype" w:hAnsi="Palatino Linotype" w:cs="Palatino Linotype"/>
          <w:sz w:val="22"/>
          <w:szCs w:val="22"/>
        </w:rPr>
        <w:t xml:space="preserve">pago del impuesto realizado por la feria, para poder realizar actividades durante las fiestas patrias del dos mil veinticinco, en el Centro Municipal, </w:t>
      </w:r>
      <w:r>
        <w:rPr>
          <w:rFonts w:ascii="Palatino Linotype" w:eastAsia="Palatino Linotype" w:hAnsi="Palatino Linotype" w:cs="Palatino Linotype"/>
          <w:sz w:val="22"/>
          <w:szCs w:val="22"/>
        </w:rPr>
        <w:t>por un importe de cincuenta mil pesos; por lo que, contrario a lo señalado por la persona Recurrente, la respuesta entregada corresponde con lo solicitado y atiende la solicitud de información.</w:t>
      </w:r>
    </w:p>
    <w:p w14:paraId="75232BFC" w14:textId="77777777" w:rsidR="005F2218" w:rsidRDefault="005F2218">
      <w:pPr>
        <w:spacing w:line="360" w:lineRule="auto"/>
        <w:jc w:val="both"/>
        <w:rPr>
          <w:rFonts w:ascii="Palatino Linotype" w:eastAsia="Palatino Linotype" w:hAnsi="Palatino Linotype" w:cs="Palatino Linotype"/>
          <w:sz w:val="22"/>
          <w:szCs w:val="22"/>
        </w:rPr>
      </w:pPr>
    </w:p>
    <w:p w14:paraId="615B6A17"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B01E4D4" w14:textId="77777777" w:rsidR="005F2218" w:rsidRDefault="005F2218">
      <w:pPr>
        <w:spacing w:line="360" w:lineRule="auto"/>
        <w:jc w:val="both"/>
        <w:rPr>
          <w:rFonts w:ascii="Palatino Linotype" w:eastAsia="Palatino Linotype" w:hAnsi="Palatino Linotype" w:cs="Palatino Linotype"/>
          <w:sz w:val="22"/>
          <w:szCs w:val="22"/>
        </w:rPr>
      </w:pPr>
    </w:p>
    <w:p w14:paraId="62B43EC7"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37D9471D" w14:textId="77777777" w:rsidR="005F2218" w:rsidRDefault="005F2218">
      <w:pPr>
        <w:spacing w:line="360" w:lineRule="auto"/>
        <w:jc w:val="both"/>
        <w:rPr>
          <w:rFonts w:ascii="Palatino Linotype" w:eastAsia="Palatino Linotype" w:hAnsi="Palatino Linotype" w:cs="Palatino Linotype"/>
          <w:sz w:val="22"/>
          <w:szCs w:val="22"/>
        </w:rPr>
      </w:pPr>
    </w:p>
    <w:p w14:paraId="2589EFD0" w14:textId="2977948B" w:rsidR="005F2218" w:rsidRDefault="000000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como ya se refirió y contrario a lo señalado por la persona Recurrente, el Sujeto Obligado proporcionó la factura </w:t>
      </w:r>
      <w:r w:rsidR="00196474">
        <w:rPr>
          <w:rFonts w:ascii="Palatino Linotype" w:eastAsia="Palatino Linotype" w:hAnsi="Palatino Linotype" w:cs="Palatino Linotype"/>
          <w:sz w:val="22"/>
          <w:szCs w:val="22"/>
        </w:rPr>
        <w:t>sobre el pago del impuesto pagado por parte de la</w:t>
      </w:r>
      <w:r>
        <w:rPr>
          <w:rFonts w:ascii="Palatino Linotype" w:eastAsia="Palatino Linotype" w:hAnsi="Palatino Linotype" w:cs="Palatino Linotype"/>
          <w:sz w:val="22"/>
          <w:szCs w:val="22"/>
        </w:rPr>
        <w:t xml:space="preserve"> feria que se instaló en las fiestas patrias de septiembre de dos mil veinticinco, en el Centro de Tepotzotlán, al diecisiete de septiembre de dos mil veinticinco, por lo cual, el agravio realizado deviene de </w:t>
      </w:r>
      <w:r>
        <w:rPr>
          <w:rFonts w:ascii="Palatino Linotype" w:eastAsia="Palatino Linotype" w:hAnsi="Palatino Linotype" w:cs="Palatino Linotype"/>
          <w:b/>
          <w:bCs/>
          <w:sz w:val="22"/>
          <w:szCs w:val="22"/>
        </w:rPr>
        <w:t>INFUNDADO.</w:t>
      </w:r>
    </w:p>
    <w:p w14:paraId="37C1D4F5" w14:textId="77777777" w:rsidR="005F2218" w:rsidRDefault="005F2218">
      <w:pPr>
        <w:spacing w:line="360" w:lineRule="auto"/>
        <w:jc w:val="both"/>
        <w:rPr>
          <w:rFonts w:ascii="Palatino Linotype" w:eastAsia="Palatino Linotype" w:hAnsi="Palatino Linotype" w:cs="Palatino Linotype"/>
          <w:sz w:val="22"/>
          <w:szCs w:val="22"/>
        </w:rPr>
      </w:pPr>
    </w:p>
    <w:p w14:paraId="22137F0A" w14:textId="77777777" w:rsidR="005F2218" w:rsidRDefault="00000000">
      <w:pPr>
        <w:pStyle w:val="Ttulo2"/>
      </w:pPr>
      <w:bookmarkStart w:id="16" w:name="_heading=h.rf22dflhp3qn" w:colFirst="0" w:colLast="0"/>
      <w:bookmarkEnd w:id="16"/>
      <w:r>
        <w:t>SEXTO. Decisión</w:t>
      </w:r>
    </w:p>
    <w:p w14:paraId="60FD79C6" w14:textId="77777777" w:rsidR="005F2218" w:rsidRDefault="005F2218">
      <w:pPr>
        <w:spacing w:line="360" w:lineRule="auto"/>
        <w:jc w:val="both"/>
        <w:rPr>
          <w:rFonts w:ascii="Palatino Linotype" w:eastAsia="Palatino Linotype" w:hAnsi="Palatino Linotype" w:cs="Palatino Linotype"/>
          <w:sz w:val="22"/>
          <w:szCs w:val="22"/>
        </w:rPr>
      </w:pPr>
    </w:p>
    <w:p w14:paraId="77358448"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II,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lastRenderedPageBreak/>
        <w:t>CONFIRMAR</w:t>
      </w:r>
      <w:r>
        <w:rPr>
          <w:rFonts w:ascii="Palatino Linotype" w:eastAsia="Palatino Linotype" w:hAnsi="Palatino Linotype" w:cs="Palatino Linotype"/>
          <w:sz w:val="22"/>
          <w:szCs w:val="22"/>
        </w:rPr>
        <w:t xml:space="preserve"> la respuesta otorgada por el Sujeto Obligado, en cumplimiento a la Resolución del Recurso de Revisión 12961/INFOEM/IP/RR/2025.</w:t>
      </w:r>
    </w:p>
    <w:p w14:paraId="5B20B8D0" w14:textId="77777777" w:rsidR="005F2218" w:rsidRDefault="005F2218">
      <w:pPr>
        <w:spacing w:line="360" w:lineRule="auto"/>
        <w:jc w:val="both"/>
        <w:rPr>
          <w:rFonts w:ascii="Palatino Linotype" w:eastAsia="Palatino Linotype" w:hAnsi="Palatino Linotype" w:cs="Palatino Linotype"/>
          <w:sz w:val="22"/>
          <w:szCs w:val="22"/>
        </w:rPr>
      </w:pPr>
    </w:p>
    <w:p w14:paraId="115EEABE" w14:textId="77777777" w:rsidR="005F2218" w:rsidRDefault="000000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01603313" w14:textId="77777777" w:rsidR="005F2218" w:rsidRDefault="005F2218">
      <w:pPr>
        <w:spacing w:line="360" w:lineRule="auto"/>
        <w:jc w:val="both"/>
        <w:rPr>
          <w:rFonts w:ascii="Palatino Linotype" w:eastAsia="Palatino Linotype" w:hAnsi="Palatino Linotype" w:cs="Palatino Linotype"/>
          <w:b/>
          <w:bCs/>
          <w:sz w:val="22"/>
          <w:szCs w:val="22"/>
        </w:rPr>
      </w:pPr>
    </w:p>
    <w:p w14:paraId="62940E48" w14:textId="77777777" w:rsidR="005F2218" w:rsidRDefault="0000000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le hace del conocimiento al Particular, que, en el presente caso, no se le concede la razón pues el Sujeto Obligado entregó el documento que daba cuenta de lo solicitado, tal y como obraba en sus archivos, con el cual se tiene por atendido el requerimiento de información.</w:t>
      </w:r>
    </w:p>
    <w:p w14:paraId="64F4CAB4" w14:textId="77777777" w:rsidR="005F2218" w:rsidRDefault="005F2218">
      <w:pPr>
        <w:spacing w:line="360" w:lineRule="auto"/>
        <w:jc w:val="both"/>
        <w:rPr>
          <w:rFonts w:ascii="Palatino Linotype" w:eastAsia="Palatino Linotype" w:hAnsi="Palatino Linotype" w:cs="Palatino Linotype"/>
          <w:sz w:val="22"/>
          <w:szCs w:val="22"/>
        </w:rPr>
      </w:pPr>
    </w:p>
    <w:p w14:paraId="1E114BEF" w14:textId="77777777" w:rsidR="005F2218" w:rsidRDefault="0000000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Finalmente, se le hace del conocimiento al Particular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189AE2EC" w14:textId="77777777" w:rsidR="005F2218" w:rsidRDefault="005F2218">
      <w:pPr>
        <w:spacing w:line="360" w:lineRule="auto"/>
        <w:jc w:val="both"/>
        <w:rPr>
          <w:rFonts w:ascii="Palatino Linotype" w:eastAsia="Palatino Linotype" w:hAnsi="Palatino Linotype" w:cs="Palatino Linotype"/>
          <w:color w:val="000000"/>
          <w:sz w:val="22"/>
          <w:szCs w:val="22"/>
        </w:rPr>
      </w:pPr>
    </w:p>
    <w:p w14:paraId="09003C13" w14:textId="77777777" w:rsidR="005F2218"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690D4B30" w14:textId="77777777" w:rsidR="005F2218" w:rsidRDefault="005F2218">
      <w:pPr>
        <w:spacing w:line="360" w:lineRule="auto"/>
        <w:jc w:val="both"/>
        <w:rPr>
          <w:rFonts w:ascii="Palatino Linotype" w:eastAsia="Palatino Linotype" w:hAnsi="Palatino Linotype" w:cs="Palatino Linotype"/>
          <w:sz w:val="22"/>
          <w:szCs w:val="22"/>
        </w:rPr>
      </w:pPr>
    </w:p>
    <w:p w14:paraId="3E0A69AC" w14:textId="77777777" w:rsidR="005F2218" w:rsidRDefault="00000000">
      <w:pPr>
        <w:pStyle w:val="Ttulo1"/>
      </w:pPr>
      <w:bookmarkStart w:id="17" w:name="_heading=h.vn5kyom2h4w8" w:colFirst="0" w:colLast="0"/>
      <w:bookmarkEnd w:id="17"/>
      <w:r>
        <w:t>R E S U E L V E</w:t>
      </w:r>
    </w:p>
    <w:p w14:paraId="3084C147" w14:textId="77777777" w:rsidR="005F2218" w:rsidRDefault="005F2218">
      <w:pPr>
        <w:spacing w:line="360" w:lineRule="auto"/>
        <w:jc w:val="both"/>
        <w:rPr>
          <w:rFonts w:ascii="Palatino Linotype" w:eastAsia="Palatino Linotype" w:hAnsi="Palatino Linotype" w:cs="Palatino Linotype"/>
          <w:b/>
          <w:bCs/>
          <w:sz w:val="22"/>
          <w:szCs w:val="22"/>
        </w:rPr>
      </w:pPr>
    </w:p>
    <w:p w14:paraId="6FF799CE" w14:textId="77777777" w:rsidR="005F2218" w:rsidRDefault="000000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Se</w:t>
      </w:r>
      <w:r>
        <w:rPr>
          <w:rFonts w:ascii="Palatino Linotype" w:eastAsia="Palatino Linotype" w:hAnsi="Palatino Linotype" w:cs="Palatino Linotype"/>
          <w:b/>
          <w:bCs/>
          <w:sz w:val="22"/>
          <w:szCs w:val="22"/>
        </w:rPr>
        <w:t xml:space="preserve"> CONFIRMA </w:t>
      </w:r>
      <w:r>
        <w:rPr>
          <w:rFonts w:ascii="Palatino Linotype" w:eastAsia="Palatino Linotype" w:hAnsi="Palatino Linotype" w:cs="Palatino Linotype"/>
          <w:sz w:val="22"/>
          <w:szCs w:val="22"/>
        </w:rPr>
        <w:t xml:space="preserve">la respuesta entregada por el Sujeto Obligado a la solicitud de acceso a la información con número de folio 00551/TEPOTZOT/IP/2025, en cumplimiento a la Resolución del Recurso de Revisión 12961/INFOEM/IP/RR/2025, por resultar </w:t>
      </w:r>
      <w:r>
        <w:rPr>
          <w:rFonts w:ascii="Palatino Linotype" w:eastAsia="Palatino Linotype" w:hAnsi="Palatino Linotype" w:cs="Palatino Linotype"/>
          <w:b/>
          <w:bCs/>
          <w:sz w:val="22"/>
          <w:szCs w:val="22"/>
        </w:rPr>
        <w:t xml:space="preserve">INFUNDADAS </w:t>
      </w:r>
      <w:r>
        <w:rPr>
          <w:rFonts w:ascii="Palatino Linotype" w:eastAsia="Palatino Linotype" w:hAnsi="Palatino Linotype" w:cs="Palatino Linotype"/>
          <w:sz w:val="22"/>
          <w:szCs w:val="22"/>
        </w:rPr>
        <w:t>las razones o motivos de inconformidad hechas valer por el Recurrente, en términos de los Considerandos QUINTO y SEXTO de esta Resolución.</w:t>
      </w:r>
    </w:p>
    <w:p w14:paraId="08D46BF3" w14:textId="77777777" w:rsidR="005F2218" w:rsidRDefault="005F2218">
      <w:pPr>
        <w:spacing w:line="360" w:lineRule="auto"/>
        <w:jc w:val="both"/>
        <w:rPr>
          <w:rFonts w:ascii="Palatino Linotype" w:eastAsia="Palatino Linotype" w:hAnsi="Palatino Linotype" w:cs="Palatino Linotype"/>
          <w:b/>
          <w:bCs/>
          <w:sz w:val="22"/>
          <w:szCs w:val="22"/>
        </w:rPr>
      </w:pPr>
    </w:p>
    <w:p w14:paraId="583E0358" w14:textId="77777777" w:rsidR="005F2218" w:rsidRDefault="00000000">
      <w:pPr>
        <w:tabs>
          <w:tab w:val="left" w:pos="2834"/>
          <w:tab w:val="right" w:pos="8838"/>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SEGUNDO. NOTIFÍQUESE POR SAIMEX</w:t>
      </w:r>
      <w:r>
        <w:rPr>
          <w:rFonts w:ascii="Palatino Linotype" w:eastAsia="Palatino Linotype" w:hAnsi="Palatino Linotype" w:cs="Palatino Linotype"/>
          <w:color w:val="000000"/>
          <w:sz w:val="22"/>
          <w:szCs w:val="22"/>
        </w:rPr>
        <w:t xml:space="preserve"> la presente resolución al Titular de la Unidad de Transparencia del Sujeto Obligado. </w:t>
      </w:r>
    </w:p>
    <w:p w14:paraId="5E133E67" w14:textId="77777777" w:rsidR="005F2218" w:rsidRDefault="005F2218">
      <w:pPr>
        <w:tabs>
          <w:tab w:val="left" w:pos="2834"/>
          <w:tab w:val="right" w:pos="8838"/>
        </w:tabs>
        <w:spacing w:line="360" w:lineRule="auto"/>
        <w:jc w:val="both"/>
        <w:rPr>
          <w:rFonts w:ascii="Palatino Linotype" w:eastAsia="Palatino Linotype" w:hAnsi="Palatino Linotype" w:cs="Palatino Linotype"/>
          <w:color w:val="000000"/>
          <w:sz w:val="22"/>
          <w:szCs w:val="22"/>
        </w:rPr>
      </w:pPr>
    </w:p>
    <w:p w14:paraId="234DE3CA" w14:textId="77777777" w:rsidR="005F2218" w:rsidRDefault="00000000">
      <w:pPr>
        <w:tabs>
          <w:tab w:val="left" w:pos="2834"/>
          <w:tab w:val="right" w:pos="8838"/>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sz w:val="22"/>
          <w:szCs w:val="22"/>
        </w:rPr>
        <w:t>TERCERO. NOTIFÍQUESE POR SAIMEX</w:t>
      </w:r>
      <w:r>
        <w:rPr>
          <w:rFonts w:ascii="Palatino Linotype" w:eastAsia="Palatino Linotype" w:hAnsi="Palatino Linotype" w:cs="Palatino Linotype"/>
          <w:color w:val="000000"/>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E288536" w14:textId="77777777" w:rsidR="005F2218" w:rsidRDefault="005F2218">
      <w:pPr>
        <w:pBdr>
          <w:top w:val="nil"/>
          <w:left w:val="nil"/>
          <w:bottom w:val="nil"/>
          <w:right w:val="nil"/>
          <w:between w:val="nil"/>
        </w:pBdr>
        <w:spacing w:line="360" w:lineRule="auto"/>
        <w:ind w:left="1065"/>
        <w:jc w:val="both"/>
        <w:rPr>
          <w:rFonts w:ascii="Palatino Linotype" w:eastAsia="Palatino Linotype" w:hAnsi="Palatino Linotype" w:cs="Palatino Linotype"/>
          <w:b/>
          <w:bCs/>
          <w:color w:val="000000"/>
          <w:sz w:val="24"/>
          <w:szCs w:val="24"/>
        </w:rPr>
      </w:pPr>
    </w:p>
    <w:p w14:paraId="738B57BC" w14:textId="77777777" w:rsidR="005F2218" w:rsidRDefault="00000000">
      <w:pPr>
        <w:spacing w:line="360" w:lineRule="auto"/>
        <w:jc w:val="both"/>
        <w:rPr>
          <w:rFonts w:ascii="Palatino Linotype" w:eastAsia="Palatino Linotype" w:hAnsi="Palatino Linotype" w:cs="Palatino Linotype"/>
          <w:color w:val="000000"/>
          <w:sz w:val="22"/>
          <w:szCs w:val="22"/>
        </w:rPr>
      </w:pPr>
      <w:bookmarkStart w:id="18" w:name="_heading=h.yyzu007i0nbn" w:colFirst="0" w:colLast="0"/>
      <w:bookmarkEnd w:id="18"/>
      <w:r>
        <w:rPr>
          <w:rFonts w:ascii="Palatino Linotype" w:eastAsia="Palatino Linotype" w:hAnsi="Palatino Linotype" w:cs="Palatino Linotype"/>
          <w:color w:val="000000"/>
          <w:sz w:val="22"/>
          <w:szCs w:val="22"/>
        </w:rPr>
        <w:t>ASÍ LO RESUELVE, POR </w:t>
      </w:r>
      <w:r>
        <w:rPr>
          <w:rFonts w:ascii="Palatino Linotype" w:eastAsia="Palatino Linotype" w:hAnsi="Palatino Linotype" w:cs="Palatino Linotype"/>
          <w:b/>
          <w:bCs/>
          <w:color w:val="000000"/>
          <w:sz w:val="22"/>
          <w:szCs w:val="22"/>
        </w:rPr>
        <w:t>UNANIMIDAD</w:t>
      </w:r>
      <w:r>
        <w:rPr>
          <w:rFonts w:ascii="Palatino Linotype" w:eastAsia="Palatino Linotype" w:hAnsi="Palatino Linotype" w:cs="Palatino Linotype"/>
          <w:color w:val="000000"/>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VEINTICINCO DE FEBRERO DE DOS MIL VEINTISÉIS, ANTE EL SECRETARIO TÉCNICO DEL PLENO, ALEXIS TAPIA RAMÍREZ. </w:t>
      </w:r>
    </w:p>
    <w:p w14:paraId="43B1AF86" w14:textId="77777777" w:rsidR="005F2218" w:rsidRDefault="005F2218">
      <w:pPr>
        <w:spacing w:line="360" w:lineRule="auto"/>
        <w:jc w:val="both"/>
        <w:rPr>
          <w:rFonts w:ascii="Palatino Linotype" w:eastAsia="Palatino Linotype" w:hAnsi="Palatino Linotype" w:cs="Palatino Linotype"/>
          <w:sz w:val="22"/>
          <w:szCs w:val="22"/>
        </w:rPr>
      </w:pPr>
    </w:p>
    <w:p w14:paraId="12A774A2" w14:textId="77777777" w:rsidR="005F2218" w:rsidRDefault="005F2218">
      <w:pPr>
        <w:spacing w:line="360" w:lineRule="auto"/>
        <w:jc w:val="both"/>
        <w:rPr>
          <w:rFonts w:ascii="Palatino Linotype" w:eastAsia="Palatino Linotype" w:hAnsi="Palatino Linotype" w:cs="Palatino Linotype"/>
          <w:sz w:val="22"/>
          <w:szCs w:val="22"/>
        </w:rPr>
      </w:pPr>
    </w:p>
    <w:p w14:paraId="3D32333C" w14:textId="77777777" w:rsidR="005F2218" w:rsidRDefault="005F2218">
      <w:pPr>
        <w:spacing w:line="360" w:lineRule="auto"/>
        <w:jc w:val="both"/>
        <w:rPr>
          <w:rFonts w:ascii="Palatino Linotype" w:eastAsia="Palatino Linotype" w:hAnsi="Palatino Linotype" w:cs="Palatino Linotype"/>
          <w:sz w:val="22"/>
          <w:szCs w:val="22"/>
        </w:rPr>
      </w:pPr>
    </w:p>
    <w:p w14:paraId="49E44A1B" w14:textId="77777777" w:rsidR="005F2218" w:rsidRDefault="005F2218">
      <w:pPr>
        <w:spacing w:line="360" w:lineRule="auto"/>
        <w:jc w:val="both"/>
        <w:rPr>
          <w:rFonts w:ascii="Palatino Linotype" w:eastAsia="Palatino Linotype" w:hAnsi="Palatino Linotype" w:cs="Palatino Linotype"/>
          <w:sz w:val="22"/>
          <w:szCs w:val="22"/>
        </w:rPr>
      </w:pPr>
    </w:p>
    <w:p w14:paraId="55FBC852" w14:textId="77777777" w:rsidR="005F2218" w:rsidRDefault="005F2218">
      <w:pPr>
        <w:spacing w:line="360" w:lineRule="auto"/>
        <w:jc w:val="both"/>
        <w:rPr>
          <w:rFonts w:ascii="Palatino Linotype" w:eastAsia="Palatino Linotype" w:hAnsi="Palatino Linotype" w:cs="Palatino Linotype"/>
          <w:sz w:val="22"/>
          <w:szCs w:val="22"/>
        </w:rPr>
      </w:pPr>
    </w:p>
    <w:p w14:paraId="3740DBD0" w14:textId="77777777" w:rsidR="005F2218" w:rsidRDefault="005F2218">
      <w:pPr>
        <w:spacing w:line="360" w:lineRule="auto"/>
        <w:jc w:val="both"/>
        <w:rPr>
          <w:rFonts w:ascii="Palatino Linotype" w:eastAsia="Palatino Linotype" w:hAnsi="Palatino Linotype" w:cs="Palatino Linotype"/>
          <w:sz w:val="22"/>
          <w:szCs w:val="22"/>
        </w:rPr>
      </w:pPr>
    </w:p>
    <w:p w14:paraId="4E3D953A" w14:textId="77777777" w:rsidR="005F2218" w:rsidRDefault="005F2218">
      <w:pPr>
        <w:spacing w:line="360" w:lineRule="auto"/>
        <w:jc w:val="both"/>
        <w:rPr>
          <w:rFonts w:ascii="Palatino Linotype" w:eastAsia="Palatino Linotype" w:hAnsi="Palatino Linotype" w:cs="Palatino Linotype"/>
          <w:sz w:val="22"/>
          <w:szCs w:val="22"/>
        </w:rPr>
      </w:pPr>
    </w:p>
    <w:p w14:paraId="2B92A3AB" w14:textId="77777777" w:rsidR="005F2218" w:rsidRDefault="005F2218">
      <w:pPr>
        <w:spacing w:line="360" w:lineRule="auto"/>
        <w:jc w:val="both"/>
        <w:rPr>
          <w:rFonts w:ascii="Palatino Linotype" w:eastAsia="Palatino Linotype" w:hAnsi="Palatino Linotype" w:cs="Palatino Linotype"/>
          <w:sz w:val="22"/>
          <w:szCs w:val="22"/>
        </w:rPr>
      </w:pPr>
    </w:p>
    <w:p w14:paraId="339DA98B" w14:textId="77777777" w:rsidR="005F2218" w:rsidRDefault="005F2218">
      <w:pPr>
        <w:spacing w:line="360" w:lineRule="auto"/>
        <w:jc w:val="both"/>
        <w:rPr>
          <w:rFonts w:ascii="Palatino Linotype" w:eastAsia="Palatino Linotype" w:hAnsi="Palatino Linotype" w:cs="Palatino Linotype"/>
          <w:sz w:val="22"/>
          <w:szCs w:val="22"/>
        </w:rPr>
      </w:pPr>
    </w:p>
    <w:p w14:paraId="427E0BD8" w14:textId="77777777" w:rsidR="005F2218" w:rsidRDefault="005F2218">
      <w:pPr>
        <w:spacing w:line="360" w:lineRule="auto"/>
        <w:jc w:val="both"/>
        <w:rPr>
          <w:rFonts w:ascii="Palatino Linotype" w:eastAsia="Palatino Linotype" w:hAnsi="Palatino Linotype" w:cs="Palatino Linotype"/>
          <w:sz w:val="22"/>
          <w:szCs w:val="22"/>
        </w:rPr>
      </w:pPr>
    </w:p>
    <w:p w14:paraId="789928D8" w14:textId="77777777" w:rsidR="005F2218" w:rsidRDefault="005F2218">
      <w:pPr>
        <w:spacing w:line="360" w:lineRule="auto"/>
        <w:jc w:val="both"/>
        <w:rPr>
          <w:rFonts w:ascii="Palatino Linotype" w:eastAsia="Palatino Linotype" w:hAnsi="Palatino Linotype" w:cs="Palatino Linotype"/>
          <w:sz w:val="22"/>
          <w:szCs w:val="22"/>
        </w:rPr>
      </w:pPr>
    </w:p>
    <w:p w14:paraId="26C0DC55" w14:textId="77777777" w:rsidR="005F2218" w:rsidRDefault="005F2218">
      <w:pPr>
        <w:spacing w:line="360" w:lineRule="auto"/>
        <w:jc w:val="both"/>
        <w:rPr>
          <w:rFonts w:ascii="Palatino Linotype" w:eastAsia="Palatino Linotype" w:hAnsi="Palatino Linotype" w:cs="Palatino Linotype"/>
          <w:sz w:val="22"/>
          <w:szCs w:val="22"/>
        </w:rPr>
      </w:pPr>
    </w:p>
    <w:p w14:paraId="4FD17814" w14:textId="77777777" w:rsidR="005F2218" w:rsidRDefault="005F2218">
      <w:pPr>
        <w:spacing w:line="360" w:lineRule="auto"/>
        <w:jc w:val="both"/>
        <w:rPr>
          <w:rFonts w:ascii="Palatino Linotype" w:eastAsia="Palatino Linotype" w:hAnsi="Palatino Linotype" w:cs="Palatino Linotype"/>
          <w:sz w:val="22"/>
          <w:szCs w:val="22"/>
        </w:rPr>
      </w:pPr>
    </w:p>
    <w:p w14:paraId="31F870E2" w14:textId="77777777" w:rsidR="005F2218" w:rsidRDefault="005F2218">
      <w:pPr>
        <w:spacing w:line="360" w:lineRule="auto"/>
        <w:jc w:val="both"/>
        <w:rPr>
          <w:rFonts w:ascii="Palatino Linotype" w:eastAsia="Palatino Linotype" w:hAnsi="Palatino Linotype" w:cs="Palatino Linotype"/>
          <w:sz w:val="22"/>
          <w:szCs w:val="22"/>
        </w:rPr>
      </w:pPr>
    </w:p>
    <w:p w14:paraId="230F4ADF" w14:textId="77777777" w:rsidR="005F2218" w:rsidRDefault="005F2218">
      <w:pPr>
        <w:spacing w:line="360" w:lineRule="auto"/>
        <w:jc w:val="both"/>
        <w:rPr>
          <w:rFonts w:ascii="Palatino Linotype" w:eastAsia="Palatino Linotype" w:hAnsi="Palatino Linotype" w:cs="Palatino Linotype"/>
          <w:sz w:val="22"/>
          <w:szCs w:val="22"/>
        </w:rPr>
      </w:pPr>
    </w:p>
    <w:p w14:paraId="1CB80C67" w14:textId="77777777" w:rsidR="005F2218" w:rsidRDefault="005F2218">
      <w:pPr>
        <w:spacing w:line="360" w:lineRule="auto"/>
        <w:jc w:val="both"/>
        <w:rPr>
          <w:rFonts w:ascii="Palatino Linotype" w:eastAsia="Palatino Linotype" w:hAnsi="Palatino Linotype" w:cs="Palatino Linotype"/>
          <w:sz w:val="22"/>
          <w:szCs w:val="22"/>
        </w:rPr>
      </w:pPr>
    </w:p>
    <w:p w14:paraId="5BC09885" w14:textId="77777777" w:rsidR="005F2218" w:rsidRDefault="005F2218">
      <w:pPr>
        <w:spacing w:line="360" w:lineRule="auto"/>
        <w:jc w:val="both"/>
        <w:rPr>
          <w:rFonts w:ascii="Palatino Linotype" w:eastAsia="Palatino Linotype" w:hAnsi="Palatino Linotype" w:cs="Palatino Linotype"/>
          <w:sz w:val="22"/>
          <w:szCs w:val="22"/>
        </w:rPr>
      </w:pPr>
    </w:p>
    <w:p w14:paraId="06A7FCA3" w14:textId="77777777" w:rsidR="005F2218" w:rsidRDefault="005F2218">
      <w:pPr>
        <w:spacing w:line="360" w:lineRule="auto"/>
        <w:jc w:val="both"/>
        <w:rPr>
          <w:rFonts w:ascii="Palatino Linotype" w:eastAsia="Palatino Linotype" w:hAnsi="Palatino Linotype" w:cs="Palatino Linotype"/>
          <w:sz w:val="22"/>
          <w:szCs w:val="22"/>
        </w:rPr>
      </w:pPr>
    </w:p>
    <w:p w14:paraId="7593B647" w14:textId="77777777" w:rsidR="005F2218" w:rsidRDefault="005F2218">
      <w:pPr>
        <w:spacing w:line="360" w:lineRule="auto"/>
        <w:jc w:val="both"/>
        <w:rPr>
          <w:rFonts w:ascii="Palatino Linotype" w:eastAsia="Palatino Linotype" w:hAnsi="Palatino Linotype" w:cs="Palatino Linotype"/>
          <w:sz w:val="22"/>
          <w:szCs w:val="22"/>
        </w:rPr>
      </w:pPr>
    </w:p>
    <w:p w14:paraId="3EC4C36B" w14:textId="77777777" w:rsidR="005F2218" w:rsidRDefault="005F2218">
      <w:pPr>
        <w:spacing w:line="360" w:lineRule="auto"/>
        <w:jc w:val="both"/>
        <w:rPr>
          <w:rFonts w:ascii="Palatino Linotype" w:eastAsia="Palatino Linotype" w:hAnsi="Palatino Linotype" w:cs="Palatino Linotype"/>
          <w:sz w:val="22"/>
          <w:szCs w:val="22"/>
        </w:rPr>
      </w:pPr>
    </w:p>
    <w:p w14:paraId="1D89C2DB" w14:textId="77777777" w:rsidR="005F2218" w:rsidRDefault="005F2218">
      <w:pPr>
        <w:spacing w:line="360" w:lineRule="auto"/>
        <w:jc w:val="both"/>
        <w:rPr>
          <w:rFonts w:ascii="Palatino Linotype" w:eastAsia="Palatino Linotype" w:hAnsi="Palatino Linotype" w:cs="Palatino Linotype"/>
          <w:sz w:val="22"/>
          <w:szCs w:val="22"/>
        </w:rPr>
      </w:pPr>
    </w:p>
    <w:p w14:paraId="4904FD03" w14:textId="77777777" w:rsidR="005F2218" w:rsidRDefault="005F2218">
      <w:pPr>
        <w:spacing w:line="360" w:lineRule="auto"/>
        <w:jc w:val="both"/>
        <w:rPr>
          <w:rFonts w:ascii="Palatino Linotype" w:eastAsia="Palatino Linotype" w:hAnsi="Palatino Linotype" w:cs="Palatino Linotype"/>
          <w:sz w:val="22"/>
          <w:szCs w:val="22"/>
        </w:rPr>
      </w:pPr>
    </w:p>
    <w:p w14:paraId="5F6B316E" w14:textId="77777777" w:rsidR="005F2218" w:rsidRDefault="005F2218">
      <w:pPr>
        <w:spacing w:line="360" w:lineRule="auto"/>
        <w:jc w:val="both"/>
        <w:rPr>
          <w:rFonts w:ascii="Palatino Linotype" w:eastAsia="Palatino Linotype" w:hAnsi="Palatino Linotype" w:cs="Palatino Linotype"/>
          <w:sz w:val="22"/>
          <w:szCs w:val="22"/>
        </w:rPr>
      </w:pPr>
    </w:p>
    <w:p w14:paraId="2E5444E5" w14:textId="77777777" w:rsidR="005F2218" w:rsidRDefault="005F2218">
      <w:pPr>
        <w:spacing w:line="360" w:lineRule="auto"/>
        <w:jc w:val="both"/>
        <w:rPr>
          <w:rFonts w:ascii="Palatino Linotype" w:eastAsia="Palatino Linotype" w:hAnsi="Palatino Linotype" w:cs="Palatino Linotype"/>
          <w:sz w:val="22"/>
          <w:szCs w:val="22"/>
        </w:rPr>
      </w:pPr>
    </w:p>
    <w:p w14:paraId="71E3C94C" w14:textId="77777777" w:rsidR="005F2218" w:rsidRDefault="005F2218">
      <w:pPr>
        <w:spacing w:line="360" w:lineRule="auto"/>
        <w:jc w:val="both"/>
        <w:rPr>
          <w:rFonts w:ascii="Palatino Linotype" w:eastAsia="Palatino Linotype" w:hAnsi="Palatino Linotype" w:cs="Palatino Linotype"/>
          <w:sz w:val="22"/>
          <w:szCs w:val="22"/>
        </w:rPr>
      </w:pPr>
    </w:p>
    <w:p w14:paraId="4AAE6D15" w14:textId="77777777" w:rsidR="005F2218" w:rsidRDefault="005F2218">
      <w:pPr>
        <w:spacing w:line="360" w:lineRule="auto"/>
        <w:jc w:val="both"/>
        <w:rPr>
          <w:rFonts w:ascii="Palatino Linotype" w:eastAsia="Palatino Linotype" w:hAnsi="Palatino Linotype" w:cs="Palatino Linotype"/>
          <w:sz w:val="22"/>
          <w:szCs w:val="22"/>
        </w:rPr>
      </w:pPr>
    </w:p>
    <w:p w14:paraId="209B9DDD" w14:textId="77777777" w:rsidR="005F2218" w:rsidRDefault="005F2218">
      <w:pPr>
        <w:spacing w:line="360" w:lineRule="auto"/>
        <w:jc w:val="both"/>
        <w:rPr>
          <w:rFonts w:ascii="Palatino Linotype" w:eastAsia="Palatino Linotype" w:hAnsi="Palatino Linotype" w:cs="Palatino Linotype"/>
          <w:b/>
          <w:bCs/>
          <w:sz w:val="22"/>
          <w:szCs w:val="22"/>
        </w:rPr>
      </w:pPr>
    </w:p>
    <w:p w14:paraId="0D03FBF5" w14:textId="77777777" w:rsidR="005F2218" w:rsidRDefault="005F2218">
      <w:pPr>
        <w:spacing w:line="360" w:lineRule="auto"/>
        <w:jc w:val="both"/>
        <w:rPr>
          <w:rFonts w:ascii="Palatino Linotype" w:eastAsia="Palatino Linotype" w:hAnsi="Palatino Linotype" w:cs="Palatino Linotype"/>
          <w:sz w:val="22"/>
          <w:szCs w:val="22"/>
        </w:rPr>
      </w:pPr>
    </w:p>
    <w:p w14:paraId="6CE5A338" w14:textId="77777777" w:rsidR="005F2218" w:rsidRDefault="005F2218">
      <w:pPr>
        <w:spacing w:line="360" w:lineRule="auto"/>
        <w:jc w:val="both"/>
        <w:rPr>
          <w:rFonts w:ascii="Palatino Linotype" w:eastAsia="Palatino Linotype" w:hAnsi="Palatino Linotype" w:cs="Palatino Linotype"/>
          <w:sz w:val="22"/>
          <w:szCs w:val="22"/>
        </w:rPr>
      </w:pPr>
    </w:p>
    <w:p w14:paraId="40B3848B" w14:textId="77777777" w:rsidR="005F2218" w:rsidRDefault="005F2218">
      <w:pPr>
        <w:spacing w:line="360" w:lineRule="auto"/>
        <w:jc w:val="both"/>
        <w:rPr>
          <w:rFonts w:ascii="Palatino Linotype" w:eastAsia="Palatino Linotype" w:hAnsi="Palatino Linotype" w:cs="Palatino Linotype"/>
          <w:sz w:val="22"/>
          <w:szCs w:val="22"/>
        </w:rPr>
      </w:pPr>
    </w:p>
    <w:p w14:paraId="41F0A33C" w14:textId="77777777" w:rsidR="005F2218" w:rsidRDefault="005F2218">
      <w:pPr>
        <w:spacing w:line="360" w:lineRule="auto"/>
        <w:ind w:right="-93"/>
        <w:jc w:val="both"/>
        <w:rPr>
          <w:rFonts w:ascii="Palatino Linotype" w:eastAsia="Palatino Linotype" w:hAnsi="Palatino Linotype" w:cs="Palatino Linotype"/>
          <w:sz w:val="22"/>
          <w:szCs w:val="22"/>
        </w:rPr>
      </w:pPr>
    </w:p>
    <w:p w14:paraId="47B30D5D" w14:textId="77777777" w:rsidR="005F2218" w:rsidRDefault="005F2218">
      <w:pPr>
        <w:spacing w:line="360" w:lineRule="auto"/>
        <w:jc w:val="both"/>
        <w:rPr>
          <w:rFonts w:ascii="Palatino Linotype" w:eastAsia="Palatino Linotype" w:hAnsi="Palatino Linotype" w:cs="Palatino Linotype"/>
          <w:sz w:val="22"/>
          <w:szCs w:val="22"/>
        </w:rPr>
      </w:pPr>
    </w:p>
    <w:p w14:paraId="3B147716" w14:textId="77777777" w:rsidR="005F2218" w:rsidRDefault="005F2218">
      <w:pPr>
        <w:spacing w:line="360" w:lineRule="auto"/>
        <w:jc w:val="both"/>
        <w:rPr>
          <w:rFonts w:ascii="Palatino Linotype" w:eastAsia="Palatino Linotype" w:hAnsi="Palatino Linotype" w:cs="Palatino Linotype"/>
          <w:sz w:val="22"/>
          <w:szCs w:val="22"/>
        </w:rPr>
      </w:pPr>
    </w:p>
    <w:p w14:paraId="1B2959B7" w14:textId="77777777" w:rsidR="005F2218" w:rsidRDefault="005F2218">
      <w:pPr>
        <w:spacing w:line="360" w:lineRule="auto"/>
      </w:pPr>
    </w:p>
    <w:p w14:paraId="1C638957" w14:textId="77777777" w:rsidR="005F2218" w:rsidRDefault="005F2218">
      <w:pPr>
        <w:spacing w:line="360" w:lineRule="auto"/>
      </w:pPr>
    </w:p>
    <w:p w14:paraId="31988980" w14:textId="77777777" w:rsidR="005F2218" w:rsidRDefault="005F2218">
      <w:pPr>
        <w:spacing w:line="360" w:lineRule="auto"/>
        <w:jc w:val="both"/>
        <w:rPr>
          <w:rFonts w:ascii="Palatino Linotype" w:eastAsia="Palatino Linotype" w:hAnsi="Palatino Linotype" w:cs="Palatino Linotype"/>
          <w:color w:val="000000"/>
          <w:sz w:val="22"/>
          <w:szCs w:val="22"/>
        </w:rPr>
      </w:pPr>
    </w:p>
    <w:sectPr w:rsidR="005F2218">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F19C9" w14:textId="77777777" w:rsidR="00C12A6C" w:rsidRDefault="00C12A6C">
      <w:r>
        <w:separator/>
      </w:r>
    </w:p>
  </w:endnote>
  <w:endnote w:type="continuationSeparator" w:id="0">
    <w:p w14:paraId="3BA98CFF" w14:textId="77777777" w:rsidR="00C12A6C" w:rsidRDefault="00C12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08B1E7CD-643D-4663-A3D0-B5A0533CF66B}"/>
    <w:embedBold r:id="rId2" w:fontKey="{08AFA662-09AB-4DAE-BD89-BB70BEAAD5C3}"/>
    <w:embedItalic r:id="rId3" w:fontKey="{781CA4DE-2A7D-48C8-A65F-ED05A5E96DB7}"/>
    <w:embedBoldItalic r:id="rId4" w:fontKey="{11BDB5E7-A555-4334-B50F-1BE5611FBCA2}"/>
  </w:font>
  <w:font w:name="Calibri">
    <w:panose1 w:val="020F0502020204030204"/>
    <w:charset w:val="00"/>
    <w:family w:val="swiss"/>
    <w:pitch w:val="variable"/>
    <w:sig w:usb0="E4002EFF" w:usb1="C000247B" w:usb2="00000009" w:usb3="00000000" w:csb0="000001FF" w:csb1="00000000"/>
    <w:embedRegular r:id="rId5" w:fontKey="{24C0E8A6-26A9-4E89-9445-7ADC3C1F8C36}"/>
    <w:embedBold r:id="rId6" w:fontKey="{FE7BE09B-4016-467A-B0A9-2443FF0FCA65}"/>
  </w:font>
  <w:font w:name="Century Gothic">
    <w:panose1 w:val="020B0502020202020204"/>
    <w:charset w:val="00"/>
    <w:family w:val="swiss"/>
    <w:pitch w:val="variable"/>
    <w:sig w:usb0="00000287" w:usb1="00000000" w:usb2="00000000" w:usb3="00000000" w:csb0="0000009F" w:csb1="00000000"/>
    <w:embedRegular r:id="rId7" w:fontKey="{66EC7AC5-A2ED-48AA-AF71-971431060480}"/>
  </w:font>
  <w:font w:name="Segoe UI">
    <w:panose1 w:val="020B0502040204020203"/>
    <w:charset w:val="00"/>
    <w:family w:val="swiss"/>
    <w:pitch w:val="variable"/>
    <w:sig w:usb0="E4002EFF" w:usb1="C000E47F" w:usb2="00000009" w:usb3="00000000" w:csb0="000001FF" w:csb1="00000000"/>
    <w:embedRegular r:id="rId8" w:fontKey="{3728EC1D-D011-497B-A5B3-DC2684AF6F0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9" w:fontKey="{571B2030-6E12-4D7C-B20C-C927AF5D741A}"/>
  </w:font>
  <w:font w:name="Tahoma">
    <w:panose1 w:val="020B0604030504040204"/>
    <w:charset w:val="00"/>
    <w:family w:val="swiss"/>
    <w:pitch w:val="variable"/>
    <w:sig w:usb0="E1002EFF" w:usb1="C000605B" w:usb2="00000029" w:usb3="00000000" w:csb0="000101FF" w:csb1="00000000"/>
    <w:embedBold r:id="rId10" w:fontKey="{C8061AC1-A068-41AA-AB38-4AA7BCA79767}"/>
  </w:font>
  <w:font w:name="Garamond">
    <w:panose1 w:val="02020404030301010803"/>
    <w:charset w:val="00"/>
    <w:family w:val="roman"/>
    <w:pitch w:val="variable"/>
    <w:sig w:usb0="00000287" w:usb1="00000000" w:usb2="00000000" w:usb3="00000000" w:csb0="0000009F" w:csb1="00000000"/>
    <w:embedRegular r:id="rId11" w:fontKey="{89A6D05D-E1B3-4476-9278-58676B21F6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9BAD3" w14:textId="77777777" w:rsidR="005F2218" w:rsidRDefault="005F2218">
    <w:pPr>
      <w:pBdr>
        <w:top w:val="nil"/>
        <w:left w:val="nil"/>
        <w:bottom w:val="nil"/>
        <w:right w:val="nil"/>
        <w:between w:val="nil"/>
      </w:pBdr>
      <w:tabs>
        <w:tab w:val="center" w:pos="4419"/>
        <w:tab w:val="right" w:pos="8838"/>
      </w:tabs>
      <w:jc w:val="right"/>
      <w:rPr>
        <w:color w:val="000000"/>
        <w:sz w:val="26"/>
        <w:szCs w:val="26"/>
      </w:rPr>
    </w:pPr>
  </w:p>
  <w:p w14:paraId="26F10D57" w14:textId="77777777" w:rsidR="005F2218" w:rsidRDefault="0000000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74DA8">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74DA8">
      <w:rPr>
        <w:b/>
        <w:bCs/>
        <w:noProof/>
        <w:color w:val="000000"/>
        <w:sz w:val="24"/>
        <w:szCs w:val="24"/>
      </w:rPr>
      <w:t>3</w:t>
    </w:r>
    <w:r>
      <w:rPr>
        <w:b/>
        <w:bCs/>
        <w:color w:val="000000"/>
        <w:sz w:val="24"/>
        <w:szCs w:val="24"/>
      </w:rPr>
      <w:fldChar w:fldCharType="end"/>
    </w:r>
  </w:p>
  <w:p w14:paraId="08999089" w14:textId="77777777" w:rsidR="005F2218" w:rsidRDefault="005F221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6F0EA" w14:textId="77777777" w:rsidR="005F2218" w:rsidRDefault="005F2218">
    <w:pPr>
      <w:pBdr>
        <w:top w:val="nil"/>
        <w:left w:val="nil"/>
        <w:bottom w:val="nil"/>
        <w:right w:val="nil"/>
        <w:between w:val="nil"/>
      </w:pBdr>
      <w:tabs>
        <w:tab w:val="center" w:pos="4419"/>
        <w:tab w:val="right" w:pos="8838"/>
      </w:tabs>
      <w:jc w:val="right"/>
      <w:rPr>
        <w:color w:val="000000"/>
      </w:rPr>
    </w:pPr>
  </w:p>
  <w:p w14:paraId="77651FDD" w14:textId="77777777" w:rsidR="005F2218" w:rsidRDefault="0000000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74DA8">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74DA8">
      <w:rPr>
        <w:b/>
        <w:bCs/>
        <w:noProof/>
        <w:color w:val="000000"/>
        <w:sz w:val="24"/>
        <w:szCs w:val="24"/>
      </w:rPr>
      <w:t>2</w:t>
    </w:r>
    <w:r>
      <w:rPr>
        <w:b/>
        <w:bCs/>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ADB43" w14:textId="77777777" w:rsidR="00C12A6C" w:rsidRDefault="00C12A6C">
      <w:r>
        <w:separator/>
      </w:r>
    </w:p>
  </w:footnote>
  <w:footnote w:type="continuationSeparator" w:id="0">
    <w:p w14:paraId="760172FA" w14:textId="77777777" w:rsidR="00C12A6C" w:rsidRDefault="00C12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1D35" w14:textId="77777777" w:rsidR="005F2218" w:rsidRDefault="005F221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5F2218" w14:paraId="414B8C83" w14:textId="77777777">
      <w:trPr>
        <w:trHeight w:val="1412"/>
      </w:trPr>
      <w:tc>
        <w:tcPr>
          <w:tcW w:w="8222" w:type="dxa"/>
        </w:tcPr>
        <w:p w14:paraId="033E5F30" w14:textId="77777777" w:rsidR="005F2218" w:rsidRDefault="005F221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700" w:type="dxa"/>
            <w:tblInd w:w="34"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5F2218" w14:paraId="5E447EF6" w14:textId="77777777">
            <w:trPr>
              <w:trHeight w:val="144"/>
            </w:trPr>
            <w:tc>
              <w:tcPr>
                <w:tcW w:w="2552" w:type="dxa"/>
              </w:tcPr>
              <w:p w14:paraId="0AD65B54" w14:textId="77777777" w:rsidR="005F2218" w:rsidRDefault="000000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49" w:type="dxa"/>
              </w:tcPr>
              <w:p w14:paraId="5C7A6368" w14:textId="77777777" w:rsidR="005F2218" w:rsidRDefault="0000000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12961/INFOEM/ICR-15/IP/RR/2025</w:t>
                </w:r>
              </w:p>
            </w:tc>
          </w:tr>
          <w:tr w:rsidR="005F2218" w14:paraId="5CDA54DE" w14:textId="77777777">
            <w:trPr>
              <w:trHeight w:val="144"/>
            </w:trPr>
            <w:tc>
              <w:tcPr>
                <w:tcW w:w="2552" w:type="dxa"/>
              </w:tcPr>
              <w:p w14:paraId="04C78D65" w14:textId="77777777" w:rsidR="005F2218" w:rsidRDefault="000000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49" w:type="dxa"/>
              </w:tcPr>
              <w:p w14:paraId="76880FFD" w14:textId="77777777" w:rsidR="005F2218" w:rsidRDefault="0000000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Tepotzotlán</w:t>
                </w:r>
              </w:p>
            </w:tc>
          </w:tr>
          <w:tr w:rsidR="005F2218" w14:paraId="5D92A8C0" w14:textId="77777777">
            <w:trPr>
              <w:trHeight w:val="138"/>
            </w:trPr>
            <w:tc>
              <w:tcPr>
                <w:tcW w:w="2552" w:type="dxa"/>
              </w:tcPr>
              <w:p w14:paraId="3EF6C182" w14:textId="77777777" w:rsidR="005F2218" w:rsidRDefault="000000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49" w:type="dxa"/>
              </w:tcPr>
              <w:p w14:paraId="1B6A718B" w14:textId="77777777" w:rsidR="005F2218" w:rsidRDefault="0000000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E60C3FC" w14:textId="77777777" w:rsidR="005F2218" w:rsidRDefault="005F2218">
          <w:pPr>
            <w:tabs>
              <w:tab w:val="right" w:pos="8838"/>
            </w:tabs>
            <w:ind w:left="-28"/>
            <w:jc w:val="both"/>
            <w:rPr>
              <w:rFonts w:ascii="Arial" w:eastAsia="Arial" w:hAnsi="Arial" w:cs="Arial"/>
              <w:b/>
              <w:bCs/>
              <w:sz w:val="22"/>
              <w:szCs w:val="22"/>
            </w:rPr>
          </w:pPr>
        </w:p>
      </w:tc>
    </w:tr>
  </w:tbl>
  <w:p w14:paraId="0A5A61FF" w14:textId="77777777" w:rsidR="005F2218" w:rsidRDefault="00000000">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51F72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9.4pt;margin-top:-123.6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C7C3" w14:textId="77777777" w:rsidR="005F2218" w:rsidRDefault="00000000">
    <w:r>
      <w:rPr>
        <w:rFonts w:ascii="Palatino Linotype" w:eastAsia="Palatino Linotype" w:hAnsi="Palatino Linotype" w:cs="Palatino Linotype"/>
        <w:b/>
        <w:bCs/>
        <w:sz w:val="22"/>
        <w:szCs w:val="22"/>
      </w:rPr>
      <w:pict w14:anchorId="62816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margin-left:-79.7pt;margin-top:-120.95pt;width:663.5pt;height:12in;z-index:-251659264;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1"/>
      <w:tblpPr w:leftFromText="141" w:rightFromText="141" w:vertAnchor="page" w:horzAnchor="margin" w:tblpY="556"/>
      <w:tblW w:w="93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4"/>
      <w:gridCol w:w="2405"/>
      <w:gridCol w:w="4257"/>
    </w:tblGrid>
    <w:tr w:rsidR="005F2218" w14:paraId="6D8D00B5" w14:textId="77777777">
      <w:trPr>
        <w:trHeight w:val="466"/>
      </w:trPr>
      <w:tc>
        <w:tcPr>
          <w:tcW w:w="2694" w:type="dxa"/>
          <w:vAlign w:val="bottom"/>
        </w:tcPr>
        <w:p w14:paraId="40F68996" w14:textId="77777777" w:rsidR="005F2218" w:rsidRDefault="005F2218">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4D09222C" w14:textId="77777777" w:rsidR="005F2218" w:rsidRDefault="000000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14:paraId="7270D44A" w14:textId="77777777" w:rsidR="005F2218" w:rsidRDefault="00000000">
          <w:pPr>
            <w:tabs>
              <w:tab w:val="left" w:pos="3435"/>
              <w:tab w:val="right" w:pos="8838"/>
            </w:tabs>
            <w:spacing w:line="276" w:lineRule="auto"/>
            <w:ind w:left="-28"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12961/INFOEM/ICR-15/IP/RR/2025</w:t>
          </w:r>
        </w:p>
      </w:tc>
    </w:tr>
    <w:tr w:rsidR="005F2218" w14:paraId="2897DDDE" w14:textId="77777777">
      <w:trPr>
        <w:trHeight w:val="119"/>
      </w:trPr>
      <w:tc>
        <w:tcPr>
          <w:tcW w:w="2694" w:type="dxa"/>
        </w:tcPr>
        <w:p w14:paraId="55611A43" w14:textId="77777777" w:rsidR="005F2218" w:rsidRDefault="005F2218">
          <w:pPr>
            <w:tabs>
              <w:tab w:val="right" w:pos="8838"/>
            </w:tabs>
            <w:ind w:right="-105"/>
            <w:rPr>
              <w:rFonts w:ascii="Palatino Linotype" w:eastAsia="Palatino Linotype" w:hAnsi="Palatino Linotype" w:cs="Palatino Linotype"/>
              <w:b/>
              <w:bCs/>
              <w:sz w:val="22"/>
              <w:szCs w:val="22"/>
            </w:rPr>
          </w:pPr>
        </w:p>
      </w:tc>
      <w:tc>
        <w:tcPr>
          <w:tcW w:w="2405" w:type="dxa"/>
        </w:tcPr>
        <w:p w14:paraId="09395595" w14:textId="77777777" w:rsidR="005F2218" w:rsidRDefault="00000000">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14:paraId="7794F56A" w14:textId="77777777" w:rsidR="005F2218" w:rsidRDefault="005F2218">
          <w:pPr>
            <w:tabs>
              <w:tab w:val="right" w:pos="8838"/>
            </w:tabs>
            <w:spacing w:line="276" w:lineRule="auto"/>
            <w:ind w:right="-246"/>
            <w:jc w:val="both"/>
            <w:rPr>
              <w:rFonts w:ascii="Palatino Linotype" w:eastAsia="Palatino Linotype" w:hAnsi="Palatino Linotype" w:cs="Palatino Linotype"/>
              <w:sz w:val="22"/>
              <w:szCs w:val="22"/>
            </w:rPr>
          </w:pPr>
        </w:p>
      </w:tc>
    </w:tr>
    <w:tr w:rsidR="005F2218" w14:paraId="40FE21B5" w14:textId="77777777">
      <w:trPr>
        <w:trHeight w:val="234"/>
      </w:trPr>
      <w:tc>
        <w:tcPr>
          <w:tcW w:w="2694" w:type="dxa"/>
        </w:tcPr>
        <w:p w14:paraId="652758F3" w14:textId="77777777" w:rsidR="005F2218" w:rsidRDefault="005F2218">
          <w:pPr>
            <w:tabs>
              <w:tab w:val="right" w:pos="8838"/>
            </w:tabs>
            <w:ind w:right="-105"/>
            <w:rPr>
              <w:rFonts w:ascii="Palatino Linotype" w:eastAsia="Palatino Linotype" w:hAnsi="Palatino Linotype" w:cs="Palatino Linotype"/>
              <w:b/>
              <w:bCs/>
              <w:sz w:val="22"/>
              <w:szCs w:val="22"/>
            </w:rPr>
          </w:pPr>
        </w:p>
      </w:tc>
      <w:tc>
        <w:tcPr>
          <w:tcW w:w="2405" w:type="dxa"/>
        </w:tcPr>
        <w:p w14:paraId="318C512C" w14:textId="77777777" w:rsidR="005F2218" w:rsidRDefault="00000000">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14:paraId="6F12D83A" w14:textId="77777777" w:rsidR="005F2218" w:rsidRDefault="00000000">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Tepotzotlán</w:t>
          </w:r>
        </w:p>
      </w:tc>
    </w:tr>
    <w:tr w:rsidR="005F2218" w14:paraId="30BA3294" w14:textId="77777777">
      <w:trPr>
        <w:trHeight w:val="234"/>
      </w:trPr>
      <w:tc>
        <w:tcPr>
          <w:tcW w:w="2694" w:type="dxa"/>
        </w:tcPr>
        <w:p w14:paraId="705FE129" w14:textId="77777777" w:rsidR="005F2218" w:rsidRDefault="005F2218">
          <w:pPr>
            <w:tabs>
              <w:tab w:val="right" w:pos="8838"/>
            </w:tabs>
            <w:ind w:right="-105"/>
            <w:rPr>
              <w:rFonts w:ascii="Palatino Linotype" w:eastAsia="Palatino Linotype" w:hAnsi="Palatino Linotype" w:cs="Palatino Linotype"/>
              <w:b/>
              <w:bCs/>
              <w:sz w:val="22"/>
              <w:szCs w:val="22"/>
            </w:rPr>
          </w:pPr>
        </w:p>
      </w:tc>
      <w:tc>
        <w:tcPr>
          <w:tcW w:w="2405" w:type="dxa"/>
        </w:tcPr>
        <w:p w14:paraId="294DDBE1" w14:textId="77777777" w:rsidR="005F2218" w:rsidRDefault="00000000">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14:paraId="2AF9157D" w14:textId="77777777" w:rsidR="005F2218" w:rsidRDefault="00000000">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72332D42" w14:textId="77777777" w:rsidR="005F2218" w:rsidRDefault="005F2218">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0C780B"/>
    <w:multiLevelType w:val="multilevel"/>
    <w:tmpl w:val="37D095E6"/>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12577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18"/>
    <w:rsid w:val="00196474"/>
    <w:rsid w:val="004E2B05"/>
    <w:rsid w:val="005F2218"/>
    <w:rsid w:val="00613119"/>
    <w:rsid w:val="00697F04"/>
    <w:rsid w:val="00735BFE"/>
    <w:rsid w:val="00855B20"/>
    <w:rsid w:val="008B653A"/>
    <w:rsid w:val="009F6D53"/>
    <w:rsid w:val="00C12A6C"/>
    <w:rsid w:val="00F74D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3E66A"/>
  <w15:docId w15:val="{4D14BD66-6316-B247-B0C9-7F1276F0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Fuerte">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epotzotlan.gob.mx/eventos-cultural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y//3FV7GyBnD91yqBXaAz/1vag==">CgMxLjAyDmgua3BreHQxazBrMW9qMg5oLmJ1MmVpNHBpNWh4czIOaC42a2Vhb2tmaGpwNzYyDmgubHVnbTVndnJibWFmMg5oLnVocHAxN29mc3YydzINaC5lcGtsbXdmMXIxcDIOaC5xN20yb281Z2Ftc2YyDmguZnE5OG8wc2E1eXk2Mg5oLmFhOXdyaHoxZHZqZzIOaC5tNjB3OXNkOTJuemkyDmguYm96NnAyemY0dGJnMg5oLjJtNTRmc295b2F6bTIOaC51ZTNuaHRvNmtjMXMyDmguOWxkaGYzNWJ6aHA2Mg5oLmd1dXUyem9jaTd3cjIOaC5lbWdodTJuaTVwZncyDmgucmYyMmRmbGhwM3FuMg5oLnZuNWt5b20yaDR3ODIOaC55eXp1MDA3aTBuYm44AHIhMXhOVFlPVjVDbGMzM2JnTlB0RDNUQXlxTnNUVVRVa2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4789</Words>
  <Characters>25289</Characters>
  <Application>Microsoft Office Word</Application>
  <DocSecurity>0</DocSecurity>
  <Lines>538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Office</cp:lastModifiedBy>
  <cp:revision>2</cp:revision>
  <dcterms:created xsi:type="dcterms:W3CDTF">2026-02-27T04:25:00Z</dcterms:created>
  <dcterms:modified xsi:type="dcterms:W3CDTF">2026-02-27T04:25:00Z</dcterms:modified>
</cp:coreProperties>
</file>