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22F" w:rsidRDefault="00EB60D4">
      <w:pPr>
        <w:tabs>
          <w:tab w:val="left" w:pos="3465"/>
        </w:tabs>
        <w:spacing w:line="360" w:lineRule="auto"/>
        <w:ind w:right="-787"/>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292969">
        <w:rPr>
          <w:rFonts w:ascii="Palatino Linotype" w:eastAsia="Palatino Linotype" w:hAnsi="Palatino Linotype" w:cs="Palatino Linotype"/>
          <w:b/>
          <w:bCs/>
        </w:rPr>
        <w:t xml:space="preserve">diecisiete </w:t>
      </w:r>
      <w:r w:rsidR="001B13CF">
        <w:rPr>
          <w:rFonts w:ascii="Palatino Linotype" w:eastAsia="Palatino Linotype" w:hAnsi="Palatino Linotype" w:cs="Palatino Linotype"/>
          <w:b/>
          <w:bCs/>
        </w:rPr>
        <w:t xml:space="preserve">(17) </w:t>
      </w:r>
      <w:r>
        <w:rPr>
          <w:rFonts w:ascii="Palatino Linotype" w:eastAsia="Palatino Linotype" w:hAnsi="Palatino Linotype" w:cs="Palatino Linotype"/>
          <w:b/>
          <w:bCs/>
        </w:rPr>
        <w:t>de junio de dos mil veintiséis.</w:t>
      </w:r>
    </w:p>
    <w:p w:rsidR="00CC022F" w:rsidRDefault="00CC022F">
      <w:pPr>
        <w:tabs>
          <w:tab w:val="left" w:pos="3465"/>
        </w:tabs>
        <w:spacing w:line="360" w:lineRule="auto"/>
        <w:ind w:right="-787"/>
        <w:jc w:val="both"/>
        <w:rPr>
          <w:rFonts w:ascii="Palatino Linotype" w:eastAsia="Palatino Linotype" w:hAnsi="Palatino Linotype" w:cs="Palatino Linotype"/>
          <w:b/>
          <w:bCs/>
        </w:rPr>
      </w:pPr>
    </w:p>
    <w:p w:rsidR="00CC022F" w:rsidRDefault="00EB60D4">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02438/INFOEM/IP/RR/2026</w:t>
      </w:r>
      <w:r>
        <w:rPr>
          <w:rFonts w:ascii="Palatino Linotype" w:eastAsia="Palatino Linotype" w:hAnsi="Palatino Linotype" w:cs="Palatino Linotype"/>
          <w:color w:val="000000"/>
        </w:rPr>
        <w:t>, promovido de manera anónima,</w:t>
      </w:r>
      <w:r>
        <w:rPr>
          <w:rFonts w:ascii="Palatino Linotype" w:eastAsia="Palatino Linotype" w:hAnsi="Palatino Linotype" w:cs="Palatino Linotype"/>
        </w:rPr>
        <w:t xml:space="preserve"> en lo sucesivo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01000/TOLUCA/IP/2026</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se emite la presente resolución con base en los siguientes:</w:t>
      </w:r>
    </w:p>
    <w:p w:rsidR="00CC022F" w:rsidRDefault="00CC022F">
      <w:pPr>
        <w:spacing w:line="360" w:lineRule="auto"/>
        <w:ind w:right="-787"/>
        <w:jc w:val="both"/>
        <w:rPr>
          <w:rFonts w:ascii="Palatino Linotype" w:eastAsia="Palatino Linotype" w:hAnsi="Palatino Linotype" w:cs="Palatino Linotype"/>
        </w:rPr>
      </w:pPr>
    </w:p>
    <w:p w:rsidR="00CC022F" w:rsidRDefault="00EB60D4">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CC022F" w:rsidRDefault="00CC022F">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CC022F" w:rsidRDefault="00EB60D4">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veintiocho de enero de dos mil veintiséis</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w:t>
      </w:r>
      <w:r>
        <w:rPr>
          <w:rFonts w:ascii="Palatino Linotype" w:eastAsia="Palatino Linotype" w:hAnsi="Palatino Linotype" w:cs="Palatino Linotype"/>
          <w:color w:val="000000"/>
        </w:rPr>
        <w:t xml:space="preserve"> pública:</w:t>
      </w:r>
    </w:p>
    <w:p w:rsidR="00CC022F" w:rsidRDefault="00CC022F">
      <w:pPr>
        <w:pBdr>
          <w:top w:val="nil"/>
          <w:left w:val="nil"/>
          <w:bottom w:val="nil"/>
          <w:right w:val="nil"/>
          <w:between w:val="nil"/>
        </w:pBdr>
        <w:ind w:right="-788"/>
        <w:jc w:val="both"/>
        <w:rPr>
          <w:rFonts w:ascii="Palatino Linotype" w:eastAsia="Palatino Linotype" w:hAnsi="Palatino Linotype" w:cs="Palatino Linotype"/>
          <w:color w:val="000000"/>
        </w:rPr>
      </w:pPr>
    </w:p>
    <w:p w:rsidR="00CC022F" w:rsidRDefault="00EB60D4">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“solicito de esta dependencia su ayuda a fin de que me sea facilitado el cuadro de clasificación archivística del archivo histórico de la ciudad de Toluca, esto con el fin de poder realizar una actividad académica que me solicitan en la facultad. Derivado de que me es imposible asistir en dias habiles y en el horario de atencion recurro a ustedes” (Sic)</w:t>
      </w:r>
    </w:p>
    <w:p w:rsidR="00CC022F" w:rsidRDefault="00CC022F">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1B13CF" w:rsidRDefault="001B13CF">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CC022F" w:rsidRDefault="00EB60D4">
      <w:pPr>
        <w:numPr>
          <w:ilvl w:val="0"/>
          <w:numId w:val="5"/>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CC022F" w:rsidRDefault="00CC022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CC022F" w:rsidRDefault="00EB60D4">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diecinueve de febrero de dos mil veintiséis</w:t>
      </w:r>
      <w:r>
        <w:rPr>
          <w:rFonts w:ascii="Palatino Linotype" w:eastAsia="Palatino Linotype" w:hAnsi="Palatino Linotype" w:cs="Palatino Linotype"/>
          <w:color w:val="000000"/>
        </w:rPr>
        <w:t xml:space="preserve">, el Sujeto Obligado emitió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del archivo digital siguiente:</w:t>
      </w:r>
    </w:p>
    <w:p w:rsidR="00CC022F" w:rsidRDefault="00CC022F">
      <w:pPr>
        <w:pBdr>
          <w:top w:val="nil"/>
          <w:left w:val="nil"/>
          <w:bottom w:val="nil"/>
          <w:right w:val="nil"/>
          <w:between w:val="nil"/>
        </w:pBdr>
        <w:tabs>
          <w:tab w:val="left" w:pos="567"/>
        </w:tabs>
        <w:ind w:left="567" w:right="62"/>
        <w:jc w:val="both"/>
        <w:rPr>
          <w:rFonts w:ascii="Palatino Linotype" w:eastAsia="Palatino Linotype" w:hAnsi="Palatino Linotype" w:cs="Palatino Linotype"/>
          <w:b/>
          <w:bCs/>
          <w:i/>
          <w:iCs/>
          <w:color w:val="000000"/>
        </w:rPr>
      </w:pPr>
    </w:p>
    <w:p w:rsidR="00CC022F" w:rsidRDefault="00EB60D4">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SA anexo SAIMEX 01000 .pdf</w:t>
      </w:r>
    </w:p>
    <w:p w:rsidR="00CC022F" w:rsidRDefault="00EB60D4">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r>
        <w:rPr>
          <w:rFonts w:ascii="Palatino Linotype" w:eastAsia="Palatino Linotype" w:hAnsi="Palatino Linotype" w:cs="Palatino Linotype"/>
          <w:color w:val="000000"/>
        </w:rPr>
        <w:t>Documento denominado CUADRO DE CLASIFICACIÓN ARCHIVÍSTICA DEL ARCHIVO HISTÓRICO DEL MUNICIPIO DE TOLUCA.</w:t>
      </w:r>
    </w:p>
    <w:p w:rsidR="00CC022F" w:rsidRDefault="00CC022F">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CC022F" w:rsidRDefault="00EB60D4">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veinticuatro de febrero de dos mil veintiséis</w:t>
      </w:r>
      <w:r>
        <w:rPr>
          <w:rFonts w:ascii="Palatino Linotype" w:eastAsia="Palatino Linotype" w:hAnsi="Palatino Linotype" w:cs="Palatino Linotype"/>
          <w:color w:val="000000"/>
        </w:rPr>
        <w:t xml:space="preserve">, el particular interpuso el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xml:space="preserve"> al que se le asignó el folio </w:t>
      </w:r>
      <w:r>
        <w:rPr>
          <w:rFonts w:ascii="Palatino Linotype" w:eastAsia="Palatino Linotype" w:hAnsi="Palatino Linotype" w:cs="Palatino Linotype"/>
          <w:b/>
          <w:bCs/>
          <w:color w:val="000000"/>
        </w:rPr>
        <w:t xml:space="preserve">02438/INFOEM/IP/RR/2026,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CC022F" w:rsidRDefault="00CC022F">
      <w:pPr>
        <w:pBdr>
          <w:top w:val="nil"/>
          <w:left w:val="nil"/>
          <w:bottom w:val="nil"/>
          <w:right w:val="nil"/>
          <w:between w:val="nil"/>
        </w:pBdr>
        <w:ind w:left="1571" w:right="-787"/>
        <w:jc w:val="both"/>
        <w:rPr>
          <w:rFonts w:ascii="Palatino Linotype" w:eastAsia="Palatino Linotype" w:hAnsi="Palatino Linotype" w:cs="Palatino Linotype"/>
          <w:b/>
          <w:bCs/>
          <w:color w:val="000000"/>
        </w:rPr>
      </w:pPr>
      <w:bookmarkStart w:id="2" w:name="_heading=h.30j0zll" w:colFirst="0" w:colLast="0"/>
      <w:bookmarkEnd w:id="2"/>
    </w:p>
    <w:p w:rsidR="00CC022F" w:rsidRDefault="00EB60D4">
      <w:pPr>
        <w:numPr>
          <w:ilvl w:val="0"/>
          <w:numId w:val="1"/>
        </w:numPr>
        <w:pBdr>
          <w:top w:val="nil"/>
          <w:left w:val="nil"/>
          <w:bottom w:val="nil"/>
          <w:right w:val="nil"/>
          <w:between w:val="nil"/>
        </w:pBdr>
        <w:ind w:left="567" w:right="-57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Acto impugnado: </w:t>
      </w:r>
    </w:p>
    <w:p w:rsidR="00CC022F" w:rsidRDefault="00EB60D4">
      <w:pPr>
        <w:pBdr>
          <w:top w:val="nil"/>
          <w:left w:val="nil"/>
          <w:bottom w:val="nil"/>
          <w:right w:val="nil"/>
          <w:between w:val="nil"/>
        </w:pBdr>
        <w:ind w:left="567"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es la informaciòn solicitada falta” (Sic)</w:t>
      </w:r>
    </w:p>
    <w:p w:rsidR="00CC022F" w:rsidRDefault="00CC022F">
      <w:pPr>
        <w:pBdr>
          <w:top w:val="nil"/>
          <w:left w:val="nil"/>
          <w:bottom w:val="nil"/>
          <w:right w:val="nil"/>
          <w:between w:val="nil"/>
        </w:pBdr>
        <w:ind w:left="567" w:right="-574"/>
        <w:jc w:val="both"/>
        <w:rPr>
          <w:rFonts w:ascii="Palatino Linotype" w:eastAsia="Palatino Linotype" w:hAnsi="Palatino Linotype" w:cs="Palatino Linotype"/>
          <w:i/>
          <w:iCs/>
          <w:color w:val="000000"/>
        </w:rPr>
      </w:pPr>
    </w:p>
    <w:p w:rsidR="00CC022F" w:rsidRDefault="00EB60D4">
      <w:pPr>
        <w:numPr>
          <w:ilvl w:val="0"/>
          <w:numId w:val="4"/>
        </w:numPr>
        <w:pBdr>
          <w:top w:val="nil"/>
          <w:left w:val="nil"/>
          <w:bottom w:val="nil"/>
          <w:right w:val="nil"/>
          <w:between w:val="nil"/>
        </w:pBdr>
        <w:ind w:left="567" w:right="-574"/>
        <w:jc w:val="both"/>
        <w:rPr>
          <w:rFonts w:ascii="Palatino Linotype" w:eastAsia="Palatino Linotype" w:hAnsi="Palatino Linotype" w:cs="Palatino Linotype"/>
          <w:b/>
          <w:bCs/>
          <w:color w:val="000000"/>
        </w:rPr>
      </w:pPr>
      <w:bookmarkStart w:id="3" w:name="_heading=h.1fob9te" w:colFirst="0" w:colLast="0"/>
      <w:bookmarkEnd w:id="3"/>
      <w:r>
        <w:rPr>
          <w:rFonts w:ascii="Palatino Linotype" w:eastAsia="Palatino Linotype" w:hAnsi="Palatino Linotype" w:cs="Palatino Linotype"/>
          <w:b/>
          <w:bCs/>
          <w:color w:val="000000"/>
        </w:rPr>
        <w:t xml:space="preserve">Razones o Motivos de inconformidad: </w:t>
      </w:r>
    </w:p>
    <w:p w:rsidR="00CC022F" w:rsidRDefault="00EB60D4">
      <w:pPr>
        <w:pBdr>
          <w:top w:val="nil"/>
          <w:left w:val="nil"/>
          <w:bottom w:val="nil"/>
          <w:right w:val="nil"/>
          <w:between w:val="nil"/>
        </w:pBdr>
        <w:ind w:left="567" w:right="-574"/>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“no es la informaciòn solicitada falta” </w:t>
      </w:r>
      <w:r>
        <w:rPr>
          <w:rFonts w:ascii="Palatino Linotype" w:eastAsia="Palatino Linotype" w:hAnsi="Palatino Linotype" w:cs="Palatino Linotype"/>
          <w:color w:val="000000"/>
        </w:rPr>
        <w:t>(Sic)</w:t>
      </w:r>
    </w:p>
    <w:p w:rsidR="00CC022F" w:rsidRDefault="00CC022F">
      <w:pPr>
        <w:pBdr>
          <w:top w:val="nil"/>
          <w:left w:val="nil"/>
          <w:bottom w:val="nil"/>
          <w:right w:val="nil"/>
          <w:between w:val="nil"/>
        </w:pBdr>
        <w:ind w:right="-574"/>
        <w:jc w:val="both"/>
        <w:rPr>
          <w:rFonts w:ascii="Palatino Linotype" w:eastAsia="Palatino Linotype" w:hAnsi="Palatino Linotype" w:cs="Palatino Linotype"/>
          <w:color w:val="000000"/>
        </w:rPr>
      </w:pPr>
    </w:p>
    <w:p w:rsidR="00CC022F" w:rsidRDefault="00CC022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CC022F" w:rsidRDefault="00EB60D4">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veintiséis de febrero de dos mil 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CC022F" w:rsidRDefault="00CC022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 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fechas</w:t>
      </w:r>
      <w:r>
        <w:rPr>
          <w:rFonts w:ascii="Palatino Linotype" w:eastAsia="Palatino Linotype" w:hAnsi="Palatino Linotype" w:cs="Palatino Linotype"/>
          <w:b/>
          <w:bCs/>
          <w:color w:val="000000"/>
        </w:rPr>
        <w:t xml:space="preserve"> diez y doce de marzo de dos mil veintiséis </w:t>
      </w:r>
      <w:r>
        <w:rPr>
          <w:rFonts w:ascii="Palatino Linotype" w:eastAsia="Palatino Linotype" w:hAnsi="Palatino Linotype" w:cs="Palatino Linotype"/>
          <w:color w:val="000000"/>
        </w:rPr>
        <w:t xml:space="preserve">presentó </w:t>
      </w:r>
      <w:r>
        <w:rPr>
          <w:rFonts w:ascii="Palatino Linotype" w:eastAsia="Palatino Linotype" w:hAnsi="Palatino Linotype" w:cs="Palatino Linotype"/>
          <w:b/>
          <w:bCs/>
          <w:color w:val="000000"/>
        </w:rPr>
        <w:t>informe justificado</w:t>
      </w:r>
      <w:r>
        <w:rPr>
          <w:rFonts w:ascii="Palatino Linotype" w:eastAsia="Palatino Linotype" w:hAnsi="Palatino Linotype" w:cs="Palatino Linotype"/>
          <w:color w:val="000000"/>
        </w:rPr>
        <w:t xml:space="preserve"> a través de los siguientes archivos electrónicos: </w:t>
      </w:r>
    </w:p>
    <w:p w:rsidR="001B13CF" w:rsidRDefault="001B13CF">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1B13CF" w:rsidRDefault="001B13CF">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CC022F" w:rsidRDefault="00EB60D4">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Ratificación2438.pdf</w:t>
      </w:r>
    </w:p>
    <w:p w:rsidR="00CC022F" w:rsidRDefault="00EB60D4">
      <w:pPr>
        <w:pBdr>
          <w:top w:val="nil"/>
          <w:left w:val="nil"/>
          <w:bottom w:val="nil"/>
          <w:right w:val="nil"/>
          <w:between w:val="nil"/>
        </w:pBdr>
        <w:ind w:left="567" w:right="-7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suscrito por el Titular de la Unidad de Transparencia a través del cual ratifica la respuesta emitida por la SECRETARÍA DEL AYUNTAMIENTO.</w:t>
      </w:r>
    </w:p>
    <w:p w:rsidR="00CC022F" w:rsidRDefault="00CC022F">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CC022F" w:rsidRDefault="00EB60D4">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2438-2026-SA.pdf</w:t>
      </w:r>
    </w:p>
    <w:p w:rsidR="00CC022F" w:rsidRDefault="00EB60D4">
      <w:pPr>
        <w:pBdr>
          <w:top w:val="nil"/>
          <w:left w:val="nil"/>
          <w:bottom w:val="nil"/>
          <w:right w:val="nil"/>
          <w:between w:val="nil"/>
        </w:pBdr>
        <w:ind w:left="567" w:right="-7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No. 2010A0000/0880/2026 de fecha 09 de marzo de 2026, firmado por el </w:t>
      </w:r>
      <w:r>
        <w:rPr>
          <w:rFonts w:ascii="Palatino Linotype" w:eastAsia="Palatino Linotype" w:hAnsi="Palatino Linotype" w:cs="Palatino Linotype"/>
          <w:b/>
          <w:bCs/>
          <w:color w:val="000000"/>
        </w:rPr>
        <w:t>Secretario del Ayuntamiento</w:t>
      </w:r>
      <w:r>
        <w:rPr>
          <w:rFonts w:ascii="Palatino Linotype" w:eastAsia="Palatino Linotype" w:hAnsi="Palatino Linotype" w:cs="Palatino Linotype"/>
          <w:color w:val="000000"/>
        </w:rPr>
        <w:t xml:space="preserve">, a través del cual </w:t>
      </w:r>
      <w:r>
        <w:rPr>
          <w:rFonts w:ascii="Palatino Linotype" w:eastAsia="Palatino Linotype" w:hAnsi="Palatino Linotype" w:cs="Palatino Linotype"/>
          <w:b/>
          <w:bCs/>
          <w:color w:val="000000"/>
        </w:rPr>
        <w:t>ratifica la respuesta</w:t>
      </w:r>
      <w:r>
        <w:rPr>
          <w:rFonts w:ascii="Palatino Linotype" w:eastAsia="Palatino Linotype" w:hAnsi="Palatino Linotype" w:cs="Palatino Linotype"/>
          <w:color w:val="000000"/>
        </w:rPr>
        <w:t xml:space="preserve"> inicial.</w:t>
      </w:r>
    </w:p>
    <w:p w:rsidR="00CC022F" w:rsidRDefault="00CC022F">
      <w:pPr>
        <w:pBdr>
          <w:top w:val="nil"/>
          <w:left w:val="nil"/>
          <w:bottom w:val="nil"/>
          <w:right w:val="nil"/>
          <w:between w:val="nil"/>
        </w:pBdr>
        <w:ind w:right="-79"/>
        <w:jc w:val="both"/>
        <w:rPr>
          <w:rFonts w:ascii="Palatino Linotype" w:eastAsia="Palatino Linotype" w:hAnsi="Palatino Linotype" w:cs="Palatino Linotype"/>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veinticuatro de abril de dos mil veintiséis</w:t>
      </w:r>
      <w:r>
        <w:rPr>
          <w:rFonts w:ascii="Palatino Linotype" w:eastAsia="Palatino Linotype" w:hAnsi="Palatino Linotype" w:cs="Palatino Linotype"/>
          <w:color w:val="000000"/>
        </w:rPr>
        <w:t xml:space="preserve">, se acordó ampliar el </w:t>
      </w:r>
      <w:r>
        <w:rPr>
          <w:rFonts w:ascii="Palatino Linotype" w:eastAsia="Palatino Linotype" w:hAnsi="Palatino Linotype" w:cs="Palatino Linotype"/>
        </w:rPr>
        <w:t>plazo</w:t>
      </w:r>
      <w:r>
        <w:rPr>
          <w:rFonts w:ascii="Palatino Linotype" w:eastAsia="Palatino Linotype" w:hAnsi="Palatino Linotype" w:cs="Palatino Linotype"/>
          <w:color w:val="000000"/>
        </w:rPr>
        <w:t xml:space="preserve"> para resolver el presente Recurso de Revisión.</w:t>
      </w:r>
    </w:p>
    <w:p w:rsidR="00CC022F" w:rsidRDefault="00CC022F">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3znysh7" w:colFirst="0" w:colLast="0"/>
      <w:bookmarkEnd w:id="4"/>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diez de junio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rsidR="00CC022F" w:rsidRDefault="00CC022F">
      <w:pPr>
        <w:pBdr>
          <w:top w:val="nil"/>
          <w:left w:val="nil"/>
          <w:bottom w:val="nil"/>
          <w:right w:val="nil"/>
          <w:between w:val="nil"/>
        </w:pBdr>
        <w:ind w:left="720" w:right="-787"/>
        <w:rPr>
          <w:rFonts w:ascii="Palatino Linotype" w:eastAsia="Palatino Linotype" w:hAnsi="Palatino Linotype" w:cs="Palatino Linotype"/>
          <w:b/>
          <w:bCs/>
          <w:color w:val="000000"/>
        </w:rPr>
      </w:pPr>
    </w:p>
    <w:p w:rsidR="00CC022F" w:rsidRDefault="00EB60D4">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CC022F" w:rsidRDefault="00CC022F">
      <w:pPr>
        <w:spacing w:line="360" w:lineRule="auto"/>
        <w:rPr>
          <w:rFonts w:ascii="Palatino Linotype" w:eastAsia="Palatino Linotype" w:hAnsi="Palatino Linotype" w:cs="Palatino Linotype"/>
        </w:rPr>
      </w:pPr>
    </w:p>
    <w:p w:rsidR="00CC022F" w:rsidRDefault="00EB60D4">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w:t>
      </w:r>
      <w:r>
        <w:rPr>
          <w:rFonts w:ascii="Palatino Linotype" w:eastAsia="Palatino Linotype" w:hAnsi="Palatino Linotype" w:cs="Palatino Linotype"/>
          <w:color w:val="000000"/>
        </w:rPr>
        <w:lastRenderedPageBreak/>
        <w:t>Reglamento Interior del Instituto de Transparencia, Acceso a la Información Pública y Protección de Datos Personales del Estado de México y Municipios.</w:t>
      </w:r>
    </w:p>
    <w:p w:rsidR="00CC022F" w:rsidRDefault="00CC022F">
      <w:pPr>
        <w:tabs>
          <w:tab w:val="left" w:pos="426"/>
        </w:tabs>
        <w:spacing w:line="360" w:lineRule="auto"/>
        <w:jc w:val="both"/>
        <w:rPr>
          <w:rFonts w:ascii="Palatino Linotype" w:eastAsia="Palatino Linotype" w:hAnsi="Palatino Linotype" w:cs="Palatino Linotype"/>
          <w:color w:val="000000"/>
        </w:rPr>
      </w:pPr>
    </w:p>
    <w:p w:rsidR="00CC022F" w:rsidRDefault="00EB60D4">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5" w:name="_heading=h.2et92p0" w:colFirst="0" w:colLast="0"/>
      <w:bookmarkEnd w:id="5"/>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diecinueve de febrero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veinte de febrero al trece de marzo de dos mil veintiséis ,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veinticuatro de febrero de dos mil veintiséis</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CC022F" w:rsidRDefault="00CC022F">
      <w:pPr>
        <w:spacing w:line="360" w:lineRule="auto"/>
        <w:ind w:right="49"/>
        <w:jc w:val="both"/>
        <w:rPr>
          <w:rFonts w:ascii="Palatino Linotype" w:eastAsia="Palatino Linotype" w:hAnsi="Palatino Linotype" w:cs="Palatino Linotype"/>
        </w:rPr>
      </w:pPr>
    </w:p>
    <w:p w:rsidR="00CC022F" w:rsidRDefault="00EB60D4">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Se</w:t>
      </w:r>
      <w:r>
        <w:rPr>
          <w:rFonts w:ascii="Palatino Linotype" w:eastAsia="Palatino Linotype" w:hAnsi="Palatino Linotype" w:cs="Palatino Linotype"/>
          <w:color w:val="000000"/>
        </w:rPr>
        <w:t xml:space="preserve"> solicitó tener acceso, a la información que a continuación se simplifica:</w:t>
      </w:r>
    </w:p>
    <w:p w:rsidR="00CC022F" w:rsidRDefault="00EB60D4">
      <w:pPr>
        <w:numPr>
          <w:ilvl w:val="0"/>
          <w:numId w:val="2"/>
        </w:numPr>
        <w:pBdr>
          <w:top w:val="nil"/>
          <w:left w:val="nil"/>
          <w:bottom w:val="nil"/>
          <w:right w:val="nil"/>
          <w:between w:val="nil"/>
        </w:pBdr>
        <w:ind w:left="1276"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Cuadro de clasificación archivística del archivo histórico.</w:t>
      </w:r>
    </w:p>
    <w:p w:rsidR="00CC022F" w:rsidRDefault="00CC022F">
      <w:pPr>
        <w:pBdr>
          <w:top w:val="nil"/>
          <w:left w:val="nil"/>
          <w:bottom w:val="nil"/>
          <w:right w:val="nil"/>
          <w:between w:val="nil"/>
        </w:pBdr>
        <w:ind w:left="1287" w:right="-788"/>
        <w:jc w:val="both"/>
        <w:rPr>
          <w:rFonts w:ascii="Palatino Linotype" w:eastAsia="Palatino Linotype" w:hAnsi="Palatino Linotype" w:cs="Palatino Linotype"/>
          <w:i/>
          <w:iCs/>
          <w:color w:val="000000"/>
        </w:rPr>
      </w:pPr>
    </w:p>
    <w:p w:rsidR="00CC022F" w:rsidRDefault="00EB60D4">
      <w:pPr>
        <w:numPr>
          <w:ilvl w:val="0"/>
          <w:numId w:val="6"/>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entrega de información incompleta.</w:t>
      </w:r>
    </w:p>
    <w:p w:rsidR="00CC022F" w:rsidRDefault="00CC022F">
      <w:pPr>
        <w:ind w:left="720" w:right="-788"/>
        <w:jc w:val="both"/>
        <w:rPr>
          <w:rFonts w:ascii="Palatino Linotype" w:eastAsia="Palatino Linotype" w:hAnsi="Palatino Linotype" w:cs="Palatino Linotype"/>
          <w:i/>
          <w:iCs/>
          <w:color w:val="000000"/>
        </w:rPr>
      </w:pPr>
    </w:p>
    <w:p w:rsidR="00CC022F" w:rsidRDefault="00EB60D4">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artículo 179, fracción V,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w:t>
      </w:r>
      <w:r>
        <w:rPr>
          <w:rFonts w:ascii="Palatino Linotype" w:eastAsia="Palatino Linotype" w:hAnsi="Palatino Linotype" w:cs="Palatino Linotype"/>
          <w:b/>
          <w:bCs/>
          <w:color w:val="000000"/>
        </w:rPr>
        <w:t xml:space="preserve">hipótesis relativa a la entrega de información </w:t>
      </w:r>
      <w:r>
        <w:rPr>
          <w:rFonts w:ascii="Palatino Linotype" w:eastAsia="Palatino Linotype" w:hAnsi="Palatino Linotype" w:cs="Palatino Linotype"/>
          <w:b/>
          <w:bCs/>
          <w:color w:val="000000"/>
        </w:rPr>
        <w:lastRenderedPageBreak/>
        <w:t>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sus respuestas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rsidR="00CC022F" w:rsidRDefault="00CC022F">
      <w:pPr>
        <w:spacing w:line="360" w:lineRule="auto"/>
        <w:ind w:right="-787"/>
        <w:rPr>
          <w:rFonts w:ascii="Palatino Linotype" w:eastAsia="Palatino Linotype" w:hAnsi="Palatino Linotype" w:cs="Palatino Linotype"/>
        </w:rPr>
      </w:pPr>
    </w:p>
    <w:p w:rsidR="00CC022F" w:rsidRDefault="00EB60D4">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Pr>
          <w:rFonts w:ascii="Palatino Linotype" w:eastAsia="Palatino Linotype" w:hAnsi="Palatino Linotype" w:cs="Palatino Linotype"/>
          <w:b/>
          <w:bCs/>
          <w:color w:val="000000"/>
          <w:sz w:val="24"/>
          <w:szCs w:val="24"/>
        </w:rPr>
        <w:t>CUARTO. Del estudio y resolución del asunto.</w:t>
      </w:r>
    </w:p>
    <w:p w:rsidR="00CC022F" w:rsidRDefault="00EB60D4">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CC022F" w:rsidRDefault="00CC022F">
      <w:pPr>
        <w:spacing w:line="360" w:lineRule="auto"/>
        <w:ind w:right="-787"/>
        <w:jc w:val="both"/>
        <w:rPr>
          <w:rFonts w:ascii="Palatino Linotype" w:eastAsia="Palatino Linotype" w:hAnsi="Palatino Linotype" w:cs="Palatino Linotype"/>
        </w:rPr>
      </w:pPr>
    </w:p>
    <w:p w:rsidR="00CC022F" w:rsidRDefault="00EB60D4">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CC022F" w:rsidRDefault="00CC022F">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CC022F" w:rsidRDefault="00EB60D4">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w:t>
      </w:r>
      <w:r>
        <w:rPr>
          <w:rFonts w:ascii="Palatino Linotype" w:eastAsia="Palatino Linotype" w:hAnsi="Palatino Linotype" w:cs="Palatino Linotype"/>
        </w:rPr>
        <w:lastRenderedPageBreak/>
        <w:t>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CC022F" w:rsidRDefault="00CC022F">
      <w:pPr>
        <w:spacing w:line="360" w:lineRule="auto"/>
        <w:ind w:right="-787"/>
        <w:jc w:val="both"/>
        <w:rPr>
          <w:rFonts w:ascii="Palatino Linotype" w:eastAsia="Palatino Linotype" w:hAnsi="Palatino Linotype" w:cs="Palatino Linotype"/>
        </w:rPr>
      </w:pPr>
    </w:p>
    <w:p w:rsidR="00CC022F" w:rsidRDefault="00EB60D4">
      <w:pPr>
        <w:numPr>
          <w:ilvl w:val="0"/>
          <w:numId w:val="7"/>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CC022F" w:rsidRDefault="00EB60D4">
      <w:pPr>
        <w:numPr>
          <w:ilvl w:val="0"/>
          <w:numId w:val="6"/>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El ejercicio del gobierno municipal se deposita en un cuerpo colegiado denominado Ayuntamiento. La ejecución de las atribuciones corresponde al Presidente Municipal, quien dirige la Administración Pública Municipal, misma que será centralizada, descentralizada y autónoma, dentro de sus dependencias se encuentra la Dirección General de Administración,  de conformidad con el artículo 90, fracción I, del Bando Municipal 2025:</w:t>
      </w:r>
    </w:p>
    <w:p w:rsidR="00CC022F" w:rsidRDefault="00EB60D4">
      <w:pPr>
        <w:ind w:left="567"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Bando Municipal 2025</w:t>
      </w:r>
    </w:p>
    <w:p w:rsidR="00CC022F" w:rsidRDefault="00CC022F">
      <w:pPr>
        <w:ind w:left="567" w:right="-220"/>
        <w:jc w:val="center"/>
        <w:rPr>
          <w:rFonts w:ascii="Palatino Linotype" w:eastAsia="Palatino Linotype" w:hAnsi="Palatino Linotype" w:cs="Palatino Linotype"/>
          <w:b/>
          <w:bCs/>
          <w:i/>
          <w:iCs/>
        </w:rPr>
      </w:pP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90. </w:t>
      </w:r>
      <w:r>
        <w:rPr>
          <w:rFonts w:ascii="Palatino Linotype" w:eastAsia="Palatino Linotype" w:hAnsi="Palatino Linotype" w:cs="Palatino Linotype"/>
          <w:i/>
          <w:iCs/>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rsidR="00CC022F" w:rsidRDefault="00CC022F">
      <w:pPr>
        <w:ind w:left="567" w:right="-788"/>
        <w:jc w:val="both"/>
        <w:rPr>
          <w:rFonts w:ascii="Palatino Linotype" w:eastAsia="Palatino Linotype" w:hAnsi="Palatino Linotype" w:cs="Palatino Linotype"/>
          <w:i/>
          <w:iCs/>
        </w:rPr>
      </w:pPr>
    </w:p>
    <w:p w:rsidR="00CC022F" w:rsidRDefault="00EB60D4">
      <w:pP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DEPENDENCIAS: </w:t>
      </w:r>
    </w:p>
    <w:p w:rsidR="00CC022F" w:rsidRDefault="00EB60D4">
      <w:pP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Secretaría del Ayuntamiento; </w:t>
      </w: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Tesorería Municipal; </w:t>
      </w: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Órgano Interno de Control; </w:t>
      </w: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Dirección General de Gobierno; </w:t>
      </w: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5. Dirección General de Seguridad y Protección; </w:t>
      </w: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6. Dirección General de Administración; </w:t>
      </w: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Dirección General de Medio Ambiente; </w:t>
      </w: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8. Dirección General de Servicios Públicos; </w:t>
      </w: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Dirección General de Innovación, Planeación y Gestión Urbana; </w:t>
      </w: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10. Dirección General de Obras Públicas; </w:t>
      </w: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11. Dirección General de Desarrollo Económico; </w:t>
      </w:r>
    </w:p>
    <w:p w:rsidR="00CC022F" w:rsidRDefault="00EB60D4">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12. Dirección General de Bienestar; y 13.Dirección General de Educación, Cultura y Turismo.</w:t>
      </w:r>
    </w:p>
    <w:p w:rsidR="00CC022F" w:rsidRDefault="00CC022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w:t>
      </w:r>
      <w:r>
        <w:rPr>
          <w:rFonts w:ascii="Palatino Linotype" w:eastAsia="Palatino Linotype" w:hAnsi="Palatino Linotype" w:cs="Palatino Linotype"/>
          <w:b/>
          <w:bCs/>
          <w:color w:val="000000"/>
        </w:rPr>
        <w:t>Secretaría del Ayuntamiento</w:t>
      </w:r>
      <w:r>
        <w:rPr>
          <w:rFonts w:ascii="Palatino Linotype" w:eastAsia="Palatino Linotype" w:hAnsi="Palatino Linotype" w:cs="Palatino Linotype"/>
          <w:color w:val="000000"/>
        </w:rPr>
        <w:t xml:space="preserve"> estará a cargo de una Secretaria o Secretario, quien tendrá como principales funciones auxiliar a la Presidenta o Presidente Municipal, formular el proyecto de orden del día de las sesiones de cabildo, así como emitir las convocatorias, asistir y levantar las actas correspondientes, elaborar los informes mensuales y trimestrales de las comisiones edilicias y fomentar la participación ciudadana en apoyo de los programas sociales municipales. de conformidad con el artículo 92, fracción I, del Bando Municipal.</w:t>
      </w:r>
    </w:p>
    <w:p w:rsidR="00CC022F" w:rsidRDefault="00CC022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conformidad con el Código Reglamentario Municipal de Toluca, en su artículo 3.13 establece dentro de las atribuciones de la Secretaría del Ayuntamiento, las siguientes:</w:t>
      </w:r>
    </w:p>
    <w:p w:rsidR="00CC022F" w:rsidRDefault="00EB60D4">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SECCIÓN TERCERA </w:t>
      </w:r>
    </w:p>
    <w:p w:rsidR="00CC022F" w:rsidRDefault="00EB60D4">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 SECRETARÍA DEL AYUNTAMIENTO</w:t>
      </w:r>
    </w:p>
    <w:p w:rsidR="00CC022F" w:rsidRDefault="00CC022F">
      <w:pPr>
        <w:ind w:left="567" w:right="-716"/>
        <w:jc w:val="both"/>
        <w:rPr>
          <w:rFonts w:ascii="Palatino Linotype" w:eastAsia="Palatino Linotype" w:hAnsi="Palatino Linotype" w:cs="Palatino Linotype"/>
          <w:b/>
          <w:bCs/>
          <w:i/>
          <w:iCs/>
        </w:rPr>
      </w:pP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3.13. </w:t>
      </w:r>
      <w:r>
        <w:rPr>
          <w:rFonts w:ascii="Palatino Linotype" w:eastAsia="Palatino Linotype" w:hAnsi="Palatino Linotype" w:cs="Palatino Linotype"/>
          <w:i/>
          <w:iCs/>
        </w:rPr>
        <w:t>A la o el titular de la Secretaría del Ayuntamiento le corresponde, además de las atribuciones que le confiere la Ley Orgánica Municipal del Estado de México, el despacho de los siguientes asuntos:</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X. Tener a su cargo el Acervo Bibliohemerográfico con que cuenta el Archivo Histórico del Municipio para efectos de consulta;</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XVI. Establecer y difundir las políticas y lineamientos a seguir en materia de organización, operación y control de la documentación generada por las dependencias municipales;</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CC022F" w:rsidRDefault="00CC022F">
      <w:pPr>
        <w:ind w:left="567" w:right="-716"/>
        <w:jc w:val="both"/>
        <w:rPr>
          <w:rFonts w:ascii="Palatino Linotype" w:eastAsia="Palatino Linotype" w:hAnsi="Palatino Linotype" w:cs="Palatino Linotype"/>
          <w:i/>
          <w:iCs/>
        </w:rPr>
      </w:pP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3.14</w:t>
      </w:r>
      <w:r>
        <w:rPr>
          <w:rFonts w:ascii="Palatino Linotype" w:eastAsia="Palatino Linotype" w:hAnsi="Palatino Linotype" w:cs="Palatino Linotype"/>
          <w:i/>
          <w:iCs/>
        </w:rPr>
        <w:t xml:space="preserve">. La Secretaría del Ayuntamiento, para el cumplimiento de sus atribuciones, se auxiliará de una Coordinación de Apoyo Técnico; una Delegación Administrativa; una </w:t>
      </w:r>
      <w:r>
        <w:rPr>
          <w:rFonts w:ascii="Palatino Linotype" w:eastAsia="Palatino Linotype" w:hAnsi="Palatino Linotype" w:cs="Palatino Linotype"/>
          <w:i/>
          <w:iCs/>
        </w:rPr>
        <w:lastRenderedPageBreak/>
        <w:t>Coordinación de Apoyo al Sistema Municipal Anticorrupción; una Consejería Jurídica; un Coordinación de Apoyo a Cabildo; un Departamento de Patrimonio Municipal; un Departamento de Constancias de Vecindad y Certificaciones; una Preceptoría Juvenil Regional de Reintegración Social; una Unidad de Transparencia; una Coordinación de Atención Ciudadana y Correspondencia; una Coordinación de Protección Civil y Bomberos y las demás Unidades Administrativas necesarias para el cumplimiento de sus atribuciones.</w:t>
      </w:r>
    </w:p>
    <w:p w:rsidR="00CC022F" w:rsidRDefault="00CC022F">
      <w:pPr>
        <w:ind w:right="-716"/>
        <w:jc w:val="both"/>
        <w:rPr>
          <w:rFonts w:ascii="Palatino Linotype" w:eastAsia="Palatino Linotype" w:hAnsi="Palatino Linotype" w:cs="Palatino Linotype"/>
          <w:i/>
          <w:iCs/>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Refuerza lo anterior el artículo 7.64, del citado Código Reglamentario, mismo que establece que el Archivo Histórico está coordinado por la Secretaría del Ayuntamiento.</w:t>
      </w:r>
    </w:p>
    <w:p w:rsidR="00CC022F" w:rsidRDefault="00CC022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Manual de Organización de la </w:t>
      </w:r>
      <w:r>
        <w:rPr>
          <w:rFonts w:ascii="Palatino Linotype" w:eastAsia="Palatino Linotype" w:hAnsi="Palatino Linotype" w:cs="Palatino Linotype"/>
          <w:b/>
          <w:bCs/>
        </w:rPr>
        <w:t>Secretaría del Ayuntamiento</w:t>
      </w:r>
      <w:r>
        <w:rPr>
          <w:rFonts w:ascii="Palatino Linotype" w:eastAsia="Palatino Linotype" w:hAnsi="Palatino Linotype" w:cs="Palatino Linotype"/>
        </w:rPr>
        <w:t xml:space="preserve">,  marca dentro de su estructura orgánica a la </w:t>
      </w:r>
      <w:r>
        <w:rPr>
          <w:rFonts w:ascii="Palatino Linotype" w:eastAsia="Palatino Linotype" w:hAnsi="Palatino Linotype" w:cs="Palatino Linotype"/>
          <w:b/>
          <w:bCs/>
        </w:rPr>
        <w:t>Coordinación de Apoyo Técnico y Archivo</w:t>
      </w:r>
      <w:r>
        <w:rPr>
          <w:rFonts w:ascii="Palatino Linotype" w:eastAsia="Palatino Linotype" w:hAnsi="Palatino Linotype" w:cs="Palatino Linotype"/>
        </w:rPr>
        <w:t xml:space="preserve"> y al </w:t>
      </w:r>
      <w:r>
        <w:rPr>
          <w:rFonts w:ascii="Palatino Linotype" w:eastAsia="Palatino Linotype" w:hAnsi="Palatino Linotype" w:cs="Palatino Linotype"/>
          <w:b/>
          <w:bCs/>
        </w:rPr>
        <w:t>Departamento de Archivo Histórico</w:t>
      </w:r>
      <w:r>
        <w:rPr>
          <w:rFonts w:ascii="Palatino Linotype" w:eastAsia="Palatino Linotype" w:hAnsi="Palatino Linotype" w:cs="Palatino Linotype"/>
        </w:rPr>
        <w:t>, mismos que tienen el objetivo y funciones siguientes:</w:t>
      </w:r>
    </w:p>
    <w:p w:rsidR="00CC022F" w:rsidRDefault="00EB60D4">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2010A0100 Coordinación de Apoyo Técnico y Archivo </w:t>
      </w:r>
    </w:p>
    <w:p w:rsidR="00CC022F" w:rsidRDefault="00EB60D4">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Objetivo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Brindar apoyo a la o el titular de la Secretaría del Ayuntamiento y a las áreas que la conforman en los asuntos de carácter administrativo, así como acudir en representación de la o el Secretario a las audiencias, convocar a reuniones de trabajo y dar atención al público. Coordinar la clasificación, catalogación y resguardo de la documentación que generen las diferentes dependencias y órganos desconcentrados que integran la administración pública municipal del sector central, en observancia a las disposiciones jurídicas y administrativas de la materia.</w:t>
      </w:r>
    </w:p>
    <w:p w:rsidR="00CC022F" w:rsidRDefault="00CC022F">
      <w:pPr>
        <w:ind w:left="567" w:right="-716"/>
        <w:jc w:val="both"/>
        <w:rPr>
          <w:rFonts w:ascii="Palatino Linotype" w:eastAsia="Palatino Linotype" w:hAnsi="Palatino Linotype" w:cs="Palatino Linotype"/>
          <w:b/>
          <w:bCs/>
          <w:i/>
          <w:iCs/>
        </w:rPr>
      </w:pPr>
    </w:p>
    <w:p w:rsidR="00CC022F" w:rsidRDefault="00EB60D4">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Funciones:</w:t>
      </w:r>
    </w:p>
    <w:p w:rsidR="00CC022F" w:rsidRDefault="00EB60D4">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14. Coordinar y organizar la integración, formalización y operación del grupo interdisciplinario para la valoración y conservación de los archivos, así como la convocatoria a reuniones de trabajo y fungir como moderador en las mismas;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15. Colaborar con el responsable del área de tecnologías de la información o relacionadas con la automatización y digitalización de los archivos y la gestión documental de archivos electrónicos;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16. Proponer e implementar las disposiciones para el tratamiento de la información, así como el establecimiento de los valores documentales, vigencias, plazos de conservación y disposición documental;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17. Coordinar con las áreas administrativas las políticas de acceso, administración y conservación de los archivos;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18. Coordinar la operación de los archivos de trámite, concentración e histórico</w:t>
      </w:r>
      <w:r>
        <w:rPr>
          <w:rFonts w:ascii="Palatino Linotype" w:eastAsia="Palatino Linotype" w:hAnsi="Palatino Linotype" w:cs="Palatino Linotype"/>
          <w:i/>
          <w:iCs/>
        </w:rPr>
        <w:t xml:space="preserve"> con base en la normatividad archivística vigente;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19. Elaborar criterios específicos y recomendaciones en materia de administración, organización y conservación de Archivos; </w:t>
      </w:r>
    </w:p>
    <w:p w:rsidR="00CC022F" w:rsidRDefault="00EB60D4">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20. Elaborar con la colaboración de las y los responsables de los archivos de trámite, concentración e histórico, los instrumentos de control archivístico; </w:t>
      </w:r>
    </w:p>
    <w:p w:rsidR="00CC022F" w:rsidRDefault="00EB60D4">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21. Elaborar en coordinación con las y los responsables de archivos de trámite, correspondencia, concentración e histórico el programa anual de desarrollo archivístico.</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CC022F" w:rsidRDefault="00CC022F">
      <w:pPr>
        <w:ind w:left="567" w:right="-716"/>
        <w:jc w:val="both"/>
        <w:rPr>
          <w:rFonts w:ascii="Palatino Linotype" w:eastAsia="Palatino Linotype" w:hAnsi="Palatino Linotype" w:cs="Palatino Linotype"/>
          <w:i/>
          <w:iCs/>
        </w:rPr>
      </w:pPr>
    </w:p>
    <w:p w:rsidR="00CC022F" w:rsidRDefault="00EB60D4">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2010A0101 Departamento de Archivo Histórico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xml:space="preserve">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Elaborar e implementar medidas propicias para la organización y preservación del acervo documental histórico del gobierno municipal, difundirlo a la sociedad a través de los diferentes medios digitales, así como conferencias y exposiciones que fomenten el interés por los hechos históricos del Municipio de Toluca. </w:t>
      </w:r>
    </w:p>
    <w:p w:rsidR="00CC022F" w:rsidRDefault="00CC022F">
      <w:pPr>
        <w:ind w:left="567" w:right="-716"/>
        <w:jc w:val="both"/>
        <w:rPr>
          <w:rFonts w:ascii="Palatino Linotype" w:eastAsia="Palatino Linotype" w:hAnsi="Palatino Linotype" w:cs="Palatino Linotype"/>
          <w:i/>
          <w:iCs/>
        </w:rPr>
      </w:pPr>
    </w:p>
    <w:p w:rsidR="00CC022F" w:rsidRDefault="00EB60D4">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Funciones:</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Custodiar, vigilar y preservar la documentación generada por el gobierno municipal, considerada de carácter histórico, que ha culminado su vida administrativa semi-activa;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Recibir la documentación de transferencias secundarias, y resguardar los expedientes con su inventario, así como identificar, registrar, organizar, clasificar y describir los documentos considerados de carácter histórico;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3. Vigilar el debido resguardo, administración y conservación del acervo documental de la administración pública municipal;</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5. Proporcionar el servicio de consulta interna a la sociedad y al personal de la administración pública municipal, de cualquiera de los cinco acervos que se resguardan: documental, bibliográfico, hemerográfico, cartográfico y fotográfico;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6. Proponer, implementar y promover el proceso de digitalización documental con la finalidad de facilitar la consulta y preservar los documentos el mayor tiempo posible; </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7. Colaborar con el área coordinadora de archivos en la elaboración de los instrumentos de control archivístico previstos en la Ley, así como en la demás normativa aplicable, que faciliten el orden, la localización y consulta documental; y</w:t>
      </w:r>
    </w:p>
    <w:p w:rsidR="00CC022F" w:rsidRDefault="00EB60D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CC022F" w:rsidRDefault="00CC022F">
      <w:pPr>
        <w:ind w:left="567" w:right="-716"/>
        <w:jc w:val="both"/>
        <w:rPr>
          <w:rFonts w:ascii="Palatino Linotype" w:eastAsia="Palatino Linotype" w:hAnsi="Palatino Linotype" w:cs="Palatino Linotype"/>
          <w:i/>
          <w:iCs/>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expuesto se advierte que la </w:t>
      </w:r>
      <w:r>
        <w:rPr>
          <w:rFonts w:ascii="Palatino Linotype" w:eastAsia="Palatino Linotype" w:hAnsi="Palatino Linotype" w:cs="Palatino Linotype"/>
          <w:b/>
          <w:bCs/>
        </w:rPr>
        <w:t>Secretaría del Ayuntamiento</w:t>
      </w:r>
      <w:r>
        <w:rPr>
          <w:rFonts w:ascii="Palatino Linotype" w:eastAsia="Palatino Linotype" w:hAnsi="Palatino Linotype" w:cs="Palatino Linotype"/>
        </w:rPr>
        <w:t xml:space="preserve">, a través de su </w:t>
      </w:r>
      <w:r>
        <w:rPr>
          <w:rFonts w:ascii="Palatino Linotype" w:eastAsia="Palatino Linotype" w:hAnsi="Palatino Linotype" w:cs="Palatino Linotype"/>
          <w:b/>
          <w:bCs/>
        </w:rPr>
        <w:t>Coordinación de Apoyo Técnico y Archivo</w:t>
      </w:r>
      <w:r>
        <w:rPr>
          <w:rFonts w:ascii="Palatino Linotype" w:eastAsia="Palatino Linotype" w:hAnsi="Palatino Linotype" w:cs="Palatino Linotype"/>
        </w:rPr>
        <w:t xml:space="preserve"> y de su </w:t>
      </w:r>
      <w:r>
        <w:rPr>
          <w:rFonts w:ascii="Palatino Linotype" w:eastAsia="Palatino Linotype" w:hAnsi="Palatino Linotype" w:cs="Palatino Linotype"/>
          <w:b/>
          <w:bCs/>
        </w:rPr>
        <w:t>Departamento de Archivo Histórico</w:t>
      </w:r>
      <w:r>
        <w:rPr>
          <w:rFonts w:ascii="Palatino Linotype" w:eastAsia="Palatino Linotype" w:hAnsi="Palatino Linotype" w:cs="Palatino Linotype"/>
        </w:rPr>
        <w:t>, tienen a su cargo el Acervo Bibliohemerográfico con que cuenta el Archivo Histórico del Municipio, áreas competentes para conocer de la información requerida.</w:t>
      </w:r>
    </w:p>
    <w:p w:rsidR="00CC022F" w:rsidRDefault="00CC022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Secretaría del Ayuntamiento</w:t>
      </w:r>
      <w:r>
        <w:rPr>
          <w:rFonts w:ascii="Palatino Linotype" w:eastAsia="Palatino Linotype" w:hAnsi="Palatino Linotype" w:cs="Palatino Linotype"/>
        </w:rPr>
        <w:t xml:space="preserve">, a través de su </w:t>
      </w:r>
      <w:r>
        <w:rPr>
          <w:rFonts w:ascii="Palatino Linotype" w:eastAsia="Palatino Linotype" w:hAnsi="Palatino Linotype" w:cs="Palatino Linotype"/>
          <w:b/>
          <w:bCs/>
        </w:rPr>
        <w:t>Coordinación de Apoyo Técnico y Archivo</w:t>
      </w:r>
      <w:r>
        <w:rPr>
          <w:rFonts w:ascii="Palatino Linotype" w:eastAsia="Palatino Linotype" w:hAnsi="Palatino Linotype" w:cs="Palatino Linotype"/>
        </w:rPr>
        <w:t xml:space="preserve"> y de su </w:t>
      </w:r>
      <w:r>
        <w:rPr>
          <w:rFonts w:ascii="Palatino Linotype" w:eastAsia="Palatino Linotype" w:hAnsi="Palatino Linotype" w:cs="Palatino Linotype"/>
          <w:b/>
          <w:bCs/>
        </w:rPr>
        <w:t>Departamento de Archivo Histórico,</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CC022F" w:rsidRDefault="00EB60D4">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CC022F" w:rsidRDefault="00CC022F">
      <w:pPr>
        <w:spacing w:line="360" w:lineRule="auto"/>
        <w:ind w:left="708" w:right="62"/>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CC022F" w:rsidRDefault="00EB60D4">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CC022F" w:rsidRDefault="00CC022F">
      <w:pPr>
        <w:spacing w:line="360" w:lineRule="auto"/>
        <w:ind w:right="-787"/>
        <w:jc w:val="both"/>
        <w:rPr>
          <w:rFonts w:ascii="Palatino Linotype" w:eastAsia="Palatino Linotype" w:hAnsi="Palatino Linotype" w:cs="Palatino Linotype"/>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t>Es</w:t>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rPr>
        <w:t>subrayar</w:t>
      </w:r>
      <w:r>
        <w:rPr>
          <w:rFonts w:ascii="Palatino Linotype" w:eastAsia="Palatino Linotype" w:hAnsi="Palatino Linotype" w:cs="Palatino Linotype"/>
          <w:color w:val="000000"/>
        </w:rPr>
        <w:t xml:space="preserve">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CC022F" w:rsidRDefault="00EB60D4">
      <w:pPr>
        <w:spacing w:line="360" w:lineRule="auto"/>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CC022F" w:rsidRDefault="00CC022F">
      <w:pPr>
        <w:ind w:right="-787"/>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t>Siendo</w:t>
      </w:r>
      <w:r>
        <w:rPr>
          <w:rFonts w:ascii="Palatino Linotype" w:eastAsia="Palatino Linotype" w:hAnsi="Palatino Linotype" w:cs="Palatino Linotype"/>
          <w:color w:val="000000"/>
        </w:rPr>
        <w:t xml:space="preserve">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CC022F" w:rsidRDefault="00EB60D4">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lastRenderedPageBreak/>
        <w:t>“</w:t>
      </w:r>
      <w:r>
        <w:rPr>
          <w:rFonts w:ascii="Palatino Linotype" w:eastAsia="Palatino Linotype" w:hAnsi="Palatino Linotype" w:cs="Palatino Linotype"/>
          <w:b/>
          <w:bCs/>
          <w:i/>
          <w:iCs/>
        </w:rPr>
        <w:t>CRITERIO 0002-11</w:t>
      </w:r>
    </w:p>
    <w:p w:rsidR="00CC022F" w:rsidRDefault="00EB60D4">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CC022F" w:rsidRDefault="00EB60D4">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CC022F" w:rsidRDefault="00EB60D4">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CC022F" w:rsidRDefault="00EB60D4">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CC022F" w:rsidRDefault="00EB60D4">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CC022F" w:rsidRDefault="00EB60D4">
      <w:pPr>
        <w:tabs>
          <w:tab w:val="left" w:pos="851"/>
        </w:tabs>
        <w:spacing w:line="360" w:lineRule="auto"/>
        <w:ind w:left="567" w:right="-220"/>
        <w:rPr>
          <w:rFonts w:ascii="Palatino Linotype" w:eastAsia="Palatino Linotype" w:hAnsi="Palatino Linotype" w:cs="Palatino Linotype"/>
        </w:rPr>
      </w:pPr>
      <w:r>
        <w:rPr>
          <w:rFonts w:ascii="Palatino Linotype" w:eastAsia="Palatino Linotype" w:hAnsi="Palatino Linotype" w:cs="Palatino Linotype"/>
        </w:rPr>
        <w:t>(Énfasis Añadido)</w:t>
      </w:r>
    </w:p>
    <w:p w:rsidR="00CC022F" w:rsidRDefault="00CC022F">
      <w:pPr>
        <w:pBdr>
          <w:top w:val="nil"/>
          <w:left w:val="nil"/>
          <w:bottom w:val="nil"/>
          <w:right w:val="nil"/>
          <w:between w:val="nil"/>
        </w:pBdr>
        <w:ind w:right="-787"/>
        <w:jc w:val="both"/>
        <w:rPr>
          <w:rFonts w:ascii="Palatino Linotype" w:eastAsia="Palatino Linotype" w:hAnsi="Palatino Linotype" w:cs="Palatino Linotype"/>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Por </w:t>
      </w:r>
      <w:r>
        <w:rPr>
          <w:rFonts w:ascii="Palatino Linotype" w:eastAsia="Palatino Linotype" w:hAnsi="Palatino Linotype" w:cs="Palatino Linotype"/>
        </w:rPr>
        <w:t>su</w:t>
      </w:r>
      <w:r>
        <w:rPr>
          <w:rFonts w:ascii="Palatino Linotype" w:eastAsia="Palatino Linotype" w:hAnsi="Palatino Linotype" w:cs="Palatino Linotype"/>
          <w:color w:val="000000"/>
        </w:rPr>
        <w:t xml:space="preserve"> parte los artículos 160 y 166, de la Ley local en la materia, que se reproduce de la siguiente forma:</w:t>
      </w:r>
    </w:p>
    <w:p w:rsidR="00CC022F" w:rsidRDefault="00EB60D4">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CC022F" w:rsidRDefault="00CC022F">
      <w:pPr>
        <w:ind w:left="566" w:right="-220"/>
        <w:jc w:val="both"/>
        <w:rPr>
          <w:rFonts w:ascii="Palatino Linotype" w:eastAsia="Palatino Linotype" w:hAnsi="Palatino Linotype" w:cs="Palatino Linotype"/>
          <w:i/>
          <w:iCs/>
        </w:rPr>
      </w:pPr>
    </w:p>
    <w:p w:rsidR="00CC022F" w:rsidRDefault="00EB60D4">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CC022F" w:rsidRDefault="00CC022F">
      <w:pPr>
        <w:ind w:left="566" w:right="-220"/>
        <w:jc w:val="both"/>
        <w:rPr>
          <w:rFonts w:ascii="Palatino Linotype" w:eastAsia="Palatino Linotype" w:hAnsi="Palatino Linotype" w:cs="Palatino Linotype"/>
          <w:i/>
          <w:iCs/>
        </w:rPr>
      </w:pPr>
    </w:p>
    <w:p w:rsidR="00CC022F" w:rsidRDefault="00EB60D4">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CC022F" w:rsidRDefault="00EB60D4">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CC022F" w:rsidRDefault="00CC022F">
      <w:pPr>
        <w:ind w:right="-787"/>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lastRenderedPageBreak/>
        <w:t xml:space="preserve">Así que </w:t>
      </w: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CC022F" w:rsidRDefault="00CC022F">
      <w:pPr>
        <w:pBdr>
          <w:top w:val="nil"/>
          <w:left w:val="nil"/>
          <w:bottom w:val="nil"/>
          <w:right w:val="nil"/>
          <w:between w:val="nil"/>
        </w:pBdr>
        <w:spacing w:line="360" w:lineRule="auto"/>
        <w:ind w:right="-787"/>
        <w:jc w:val="both"/>
        <w:rPr>
          <w:color w:val="000000"/>
        </w:rPr>
      </w:pPr>
    </w:p>
    <w:p w:rsidR="00CC022F" w:rsidRDefault="00EB60D4">
      <w:pPr>
        <w:numPr>
          <w:ilvl w:val="0"/>
          <w:numId w:val="3"/>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De la naturaleza de la información solicitada. </w:t>
      </w: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w:t>
      </w:r>
      <w:r>
        <w:rPr>
          <w:rFonts w:ascii="Palatino Linotype" w:eastAsia="Palatino Linotype" w:hAnsi="Palatino Linotype" w:cs="Palatino Linotype"/>
          <w:color w:val="000000"/>
        </w:rPr>
        <w:t>precisa</w:t>
      </w:r>
      <w:r>
        <w:rPr>
          <w:rFonts w:ascii="Palatino Linotype" w:eastAsia="Palatino Linotype" w:hAnsi="Palatino Linotype" w:cs="Palatino Linotype"/>
        </w:rPr>
        <w:t xml:space="preserve"> que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generar, administrar o poseer la información solicitada, dado que éste ha asumido la </w:t>
      </w:r>
      <w:r>
        <w:rPr>
          <w:rFonts w:ascii="Palatino Linotype" w:eastAsia="Palatino Linotype" w:hAnsi="Palatino Linotype" w:cs="Palatino Linotype"/>
          <w:color w:val="000000"/>
        </w:rPr>
        <w:t>misma</w:t>
      </w:r>
      <w:r>
        <w:rPr>
          <w:rFonts w:ascii="Palatino Linotype" w:eastAsia="Palatino Linotype" w:hAnsi="Palatino Linotype" w:cs="Palatino Linotype"/>
        </w:rPr>
        <w:t>, en razón que otorgó respuesta admitiendo contar con dicha información, tan es así que se remitió el documento denominado CUADRO DE CLASIFICACIÓN ARCHIVÍSTICA DEL ARCHIVO HISTÓRICO DEL MUNICIPIO DE TOLUCA.</w:t>
      </w:r>
    </w:p>
    <w:p w:rsidR="00CC022F" w:rsidRDefault="00CC022F">
      <w:pPr>
        <w:spacing w:line="360" w:lineRule="auto"/>
        <w:ind w:right="-879"/>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pPr>
      <w:bookmarkStart w:id="7" w:name="_heading=h.2s8eyo1" w:colFirst="0" w:colLast="0"/>
      <w:bookmarkEnd w:id="7"/>
      <w:r>
        <w:rPr>
          <w:rFonts w:ascii="Palatino Linotype" w:eastAsia="Palatino Linotype" w:hAnsi="Palatino Linotype" w:cs="Palatino Linotype"/>
        </w:rPr>
        <w:t xml:space="preserve">En efecto, el hecho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CC022F" w:rsidRDefault="00EB60D4">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CC022F" w:rsidRDefault="00CC022F">
      <w:pPr>
        <w:tabs>
          <w:tab w:val="left" w:pos="8505"/>
        </w:tabs>
        <w:ind w:left="709" w:right="-858"/>
        <w:jc w:val="both"/>
        <w:rPr>
          <w:rFonts w:ascii="Palatino Linotype" w:eastAsia="Palatino Linotype" w:hAnsi="Palatino Linotype" w:cs="Palatino Linotype"/>
          <w:i/>
          <w:iCs/>
        </w:rPr>
      </w:pPr>
    </w:p>
    <w:p w:rsidR="00CC022F" w:rsidRDefault="00EB60D4">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CC022F" w:rsidRDefault="00CC022F">
      <w:pPr>
        <w:tabs>
          <w:tab w:val="left" w:pos="8505"/>
        </w:tabs>
        <w:ind w:left="709" w:right="-858"/>
        <w:jc w:val="both"/>
        <w:rPr>
          <w:rFonts w:ascii="Palatino Linotype" w:eastAsia="Palatino Linotype" w:hAnsi="Palatino Linotype" w:cs="Palatino Linotype"/>
          <w:i/>
          <w:iCs/>
        </w:rPr>
      </w:pPr>
    </w:p>
    <w:p w:rsidR="00CC022F" w:rsidRDefault="00CC022F">
      <w:pPr>
        <w:pBdr>
          <w:top w:val="nil"/>
          <w:left w:val="nil"/>
          <w:bottom w:val="nil"/>
          <w:right w:val="nil"/>
          <w:between w:val="nil"/>
        </w:pBdr>
        <w:ind w:left="-566" w:right="-787"/>
        <w:rPr>
          <w:rFonts w:ascii="Palatino Linotype" w:eastAsia="Palatino Linotype" w:hAnsi="Palatino Linotype" w:cs="Palatino Linotype"/>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lastRenderedPageBreak/>
        <w:t xml:space="preserve">Así, el estudio de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CC022F" w:rsidRDefault="00CC022F">
      <w:pPr>
        <w:spacing w:line="360" w:lineRule="auto"/>
        <w:ind w:right="-787"/>
        <w:jc w:val="both"/>
        <w:rPr>
          <w:rFonts w:ascii="Palatino Linotype" w:eastAsia="Palatino Linotype" w:hAnsi="Palatino Linotype" w:cs="Palatino Linotype"/>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Ahora bien, es de recordar que el particular solicitó la información siguiente: </w:t>
      </w:r>
      <w:r>
        <w:rPr>
          <w:rFonts w:ascii="Palatino Linotype" w:eastAsia="Palatino Linotype" w:hAnsi="Palatino Linotype" w:cs="Palatino Linotype"/>
          <w:i/>
          <w:iCs/>
          <w:color w:val="000000"/>
          <w:u w:val="single"/>
        </w:rPr>
        <w:t>Cuadro de clasificación archivística del archivo histórico</w:t>
      </w:r>
      <w:r>
        <w:rPr>
          <w:rFonts w:ascii="Palatino Linotype" w:eastAsia="Palatino Linotype" w:hAnsi="Palatino Linotype" w:cs="Palatino Linotype"/>
          <w:color w:val="000000"/>
        </w:rPr>
        <w:t>, en respuesta el Sujeto Obligado emitió respuesta remitiendo el documento denominado CUADRO DE CLASIFICACIÓN ARCHIVÍSTICA DEL ARCHIVO HISTÓRICO DEL MUNICIPIO DE TOLUCA, en consecuencia el recurrente se dolió por la entrega de información incompleta, posteriormente el Sujeto Obligado ratificó su respuesta inicial.</w:t>
      </w:r>
    </w:p>
    <w:p w:rsidR="00CC022F" w:rsidRDefault="00CC022F">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En primer lugar es de referir que </w:t>
      </w:r>
      <w:r>
        <w:rPr>
          <w:rFonts w:ascii="Palatino Linotype" w:eastAsia="Palatino Linotype" w:hAnsi="Palatino Linotype" w:cs="Palatino Linotype"/>
        </w:rPr>
        <w:t xml:space="preserve">La Ley de Archivos y Administración de Documentos del Estado de México y Municipios, de conformidad con su artículo 4, fracción XI, define al </w:t>
      </w:r>
      <w:r>
        <w:rPr>
          <w:rFonts w:ascii="Palatino Linotype" w:eastAsia="Palatino Linotype" w:hAnsi="Palatino Linotype" w:cs="Palatino Linotype"/>
          <w:b/>
          <w:bCs/>
        </w:rPr>
        <w:t>Área Coordinadora de Archivos</w:t>
      </w:r>
      <w:r>
        <w:rPr>
          <w:rFonts w:ascii="Palatino Linotype" w:eastAsia="Palatino Linotype" w:hAnsi="Palatino Linotype" w:cs="Palatino Linotype"/>
        </w:rPr>
        <w:t>, como la instancia encargada de promover y vigilar el cumplimiento de las disposiciones en materia de Gestión Documental y Administración de Archivos, así como de coordinar las Áreas Operativas del Sistema Institucional de cada Sujeto Obligado.</w:t>
      </w:r>
    </w:p>
    <w:p w:rsidR="00CC022F" w:rsidRDefault="00CC022F">
      <w:pPr>
        <w:spacing w:line="360" w:lineRule="auto"/>
        <w:ind w:right="-787"/>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Sistema </w:t>
      </w:r>
      <w:r>
        <w:rPr>
          <w:rFonts w:ascii="Palatino Linotype" w:eastAsia="Palatino Linotype" w:hAnsi="Palatino Linotype" w:cs="Palatino Linotype"/>
          <w:color w:val="000000"/>
        </w:rPr>
        <w:t>Institucional</w:t>
      </w:r>
      <w:r>
        <w:rPr>
          <w:rFonts w:ascii="Palatino Linotype" w:eastAsia="Palatino Linotype" w:hAnsi="Palatino Linotype" w:cs="Palatino Linotype"/>
        </w:rPr>
        <w:t xml:space="preserve"> es el conjunto de registros, procesos, procedimientos, criterios, estructuras, herramientas y funciones que desarrolla cada Sujeto Obligado y sustenta la Actividad Archivística, de acuerdo con los procesos de Gestión Documental. Todos los </w:t>
      </w:r>
      <w:r>
        <w:rPr>
          <w:rFonts w:ascii="Palatino Linotype" w:eastAsia="Palatino Linotype" w:hAnsi="Palatino Linotype" w:cs="Palatino Linotype"/>
        </w:rPr>
        <w:lastRenderedPageBreak/>
        <w:t>Documentos de Archivo en posesión de los Sujetos Obligados formarán parte del Sistema Institucional; deberán agruparse en Expedientes de manera lógica y cronológica, y relacionarse con un mismo asunto, reflejando con exactitud la información contenida en ellos, en los términos que establezca el Consejo Estatal y las disposiciones jurídicas aplicables. El Sistema Institucional de cada Sujeto Obligado, deberá integrarse por un área Coordinadora de Archivos, de conformidad con el artículo 21, fracción I, de la Ley citada en el párrafo anterior.</w:t>
      </w:r>
    </w:p>
    <w:p w:rsidR="00CC022F" w:rsidRDefault="00CC022F">
      <w:pPr>
        <w:spacing w:line="360" w:lineRule="auto"/>
        <w:ind w:right="-787"/>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Área Coordinadora de Archivos</w:t>
      </w:r>
      <w:r>
        <w:rPr>
          <w:rFonts w:ascii="Palatino Linotype" w:eastAsia="Palatino Linotype" w:hAnsi="Palatino Linotype" w:cs="Palatino Linotype"/>
        </w:rPr>
        <w:t xml:space="preserve"> promoverá que las Áreas Operativas lleven a cabo las acciones de Gestión Documental y Administración de Archivos, de manera conjunta con las unidades administrativas o áreas competentes de cada Sujeto Obligado, y tendrá dentro de sus funciones las establecidas en el artículo 27, de la Ley de Archivos ya citada, tal como se describe a continuación:</w:t>
      </w:r>
    </w:p>
    <w:p w:rsidR="00CC022F" w:rsidRDefault="00EB60D4">
      <w:pPr>
        <w:ind w:left="567" w:right="-220"/>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Ley de Archivos y Administración de Documentos del Estado de México y Municipios</w:t>
      </w:r>
    </w:p>
    <w:p w:rsidR="00CC022F" w:rsidRDefault="00CC022F">
      <w:pPr>
        <w:ind w:left="567" w:right="-220"/>
        <w:jc w:val="center"/>
        <w:rPr>
          <w:rFonts w:ascii="Palatino Linotype" w:eastAsia="Palatino Linotype" w:hAnsi="Palatino Linotype" w:cs="Palatino Linotype"/>
          <w:b/>
          <w:bCs/>
          <w:i/>
          <w:iCs/>
          <w:color w:val="000000"/>
        </w:rPr>
      </w:pP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28.</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El Área Coordinadora de Archivos tendrá las siguientes funciones</w:t>
      </w:r>
      <w:r>
        <w:rPr>
          <w:rFonts w:ascii="Palatino Linotype" w:eastAsia="Palatino Linotype" w:hAnsi="Palatino Linotype" w:cs="Palatino Linotype"/>
          <w:i/>
          <w:iCs/>
          <w:color w:val="000000"/>
        </w:rPr>
        <w:t xml:space="preserve">: </w:t>
      </w:r>
    </w:p>
    <w:p w:rsidR="00CC022F" w:rsidRDefault="00CC022F">
      <w:pPr>
        <w:ind w:left="567" w:right="-220"/>
        <w:jc w:val="both"/>
        <w:rPr>
          <w:rFonts w:ascii="Palatino Linotype" w:eastAsia="Palatino Linotype" w:hAnsi="Palatino Linotype" w:cs="Palatino Linotype"/>
          <w:i/>
          <w:iCs/>
          <w:color w:val="000000"/>
        </w:rPr>
      </w:pP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Elaborar, con la colaboración de los responsables de los Archivos de Trámite, los Archivos de Concentración y en su caso Histórico, los Instrumentos de Control Archivístico previstos en esta Ley, y demás disposiciones jurídicas aplicables; </w:t>
      </w:r>
    </w:p>
    <w:p w:rsidR="00CC022F" w:rsidRDefault="00CC022F">
      <w:pPr>
        <w:ind w:left="567" w:right="-220"/>
        <w:jc w:val="both"/>
        <w:rPr>
          <w:rFonts w:ascii="Palatino Linotype" w:eastAsia="Palatino Linotype" w:hAnsi="Palatino Linotype" w:cs="Palatino Linotype"/>
          <w:i/>
          <w:iCs/>
          <w:color w:val="000000"/>
        </w:rPr>
      </w:pPr>
    </w:p>
    <w:p w:rsidR="00CC022F" w:rsidRDefault="00EB60D4">
      <w:pP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Elaborar criterios específicos y recomendaciones en materia de organización y Conservación de Archivos, cuando la especialidad del Sujeto Obligado así lo requiera; </w:t>
      </w:r>
    </w:p>
    <w:p w:rsidR="00CC022F" w:rsidRDefault="00CC022F">
      <w:pPr>
        <w:ind w:left="567" w:right="-220"/>
        <w:jc w:val="both"/>
        <w:rPr>
          <w:rFonts w:ascii="Palatino Linotype" w:eastAsia="Palatino Linotype" w:hAnsi="Palatino Linotype" w:cs="Palatino Linotype"/>
          <w:i/>
          <w:iCs/>
          <w:color w:val="000000"/>
        </w:rPr>
      </w:pP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Elaborar y someter a consideración de la persona titular del Sujeto Obligado o a quien ésta designe, el Programa Anual; </w:t>
      </w:r>
    </w:p>
    <w:p w:rsidR="00CC022F" w:rsidRDefault="00CC022F">
      <w:pPr>
        <w:ind w:left="567" w:right="-220"/>
        <w:jc w:val="both"/>
        <w:rPr>
          <w:rFonts w:ascii="Palatino Linotype" w:eastAsia="Palatino Linotype" w:hAnsi="Palatino Linotype" w:cs="Palatino Linotype"/>
          <w:i/>
          <w:iCs/>
          <w:color w:val="000000"/>
        </w:rPr>
      </w:pPr>
    </w:p>
    <w:p w:rsidR="00CC022F" w:rsidRDefault="00EB60D4">
      <w:pP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IV. Coordinar los procesos de Valoración y Disposición Documental que realicen las Áreas Operativas; </w:t>
      </w:r>
    </w:p>
    <w:p w:rsidR="00CC022F" w:rsidRDefault="00CC022F">
      <w:pPr>
        <w:ind w:left="567" w:right="-220"/>
        <w:jc w:val="both"/>
        <w:rPr>
          <w:rFonts w:ascii="Palatino Linotype" w:eastAsia="Palatino Linotype" w:hAnsi="Palatino Linotype" w:cs="Palatino Linotype"/>
          <w:b/>
          <w:bCs/>
          <w:i/>
          <w:iCs/>
          <w:color w:val="000000"/>
        </w:rPr>
      </w:pPr>
    </w:p>
    <w:p w:rsidR="00CC022F" w:rsidRDefault="00EB60D4">
      <w:pP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V. Coordinar las actividades destinadas a la modernización y automatización de los procesos archivísticos y a la gestión de documentos electrónicos de las Áreas Operativas; </w:t>
      </w:r>
    </w:p>
    <w:p w:rsidR="00CC022F" w:rsidRDefault="00CC022F">
      <w:pPr>
        <w:ind w:left="567" w:right="-220"/>
        <w:jc w:val="both"/>
        <w:rPr>
          <w:rFonts w:ascii="Palatino Linotype" w:eastAsia="Palatino Linotype" w:hAnsi="Palatino Linotype" w:cs="Palatino Linotype"/>
          <w:i/>
          <w:iCs/>
          <w:color w:val="000000"/>
        </w:rPr>
      </w:pP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Brindar asesoría técnica para la operación de los Archivos y dar visto bueno al proceso de Disposición Documental realizado por las Áreas Operativas; </w:t>
      </w:r>
    </w:p>
    <w:p w:rsidR="00CC022F" w:rsidRDefault="00CC022F">
      <w:pPr>
        <w:ind w:left="567" w:right="-220"/>
        <w:jc w:val="both"/>
        <w:rPr>
          <w:rFonts w:ascii="Palatino Linotype" w:eastAsia="Palatino Linotype" w:hAnsi="Palatino Linotype" w:cs="Palatino Linotype"/>
          <w:i/>
          <w:iCs/>
          <w:color w:val="000000"/>
        </w:rPr>
      </w:pP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Elaborar programas de capacitación en Gestión Documental y Administración de Archivos para las Áreas Operativas con las cuales se coordina; </w:t>
      </w:r>
    </w:p>
    <w:p w:rsidR="00CC022F" w:rsidRDefault="00CC022F">
      <w:pPr>
        <w:ind w:left="567" w:right="-220"/>
        <w:jc w:val="both"/>
        <w:rPr>
          <w:rFonts w:ascii="Palatino Linotype" w:eastAsia="Palatino Linotype" w:hAnsi="Palatino Linotype" w:cs="Palatino Linotype"/>
          <w:i/>
          <w:iCs/>
          <w:color w:val="000000"/>
        </w:rPr>
      </w:pPr>
    </w:p>
    <w:p w:rsidR="00CC022F" w:rsidRDefault="00EB60D4">
      <w:pP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VIII. Coordinar, con las áreas o unidades administrativas, las políticas de acceso y la conservación de los Archivos; </w:t>
      </w:r>
    </w:p>
    <w:p w:rsidR="00CC022F" w:rsidRDefault="00CC022F">
      <w:pPr>
        <w:ind w:left="567" w:right="-220"/>
        <w:jc w:val="both"/>
        <w:rPr>
          <w:rFonts w:ascii="Palatino Linotype" w:eastAsia="Palatino Linotype" w:hAnsi="Palatino Linotype" w:cs="Palatino Linotype"/>
          <w:i/>
          <w:iCs/>
          <w:color w:val="000000"/>
        </w:rPr>
      </w:pPr>
    </w:p>
    <w:p w:rsidR="00CC022F" w:rsidRDefault="00EB60D4">
      <w:pP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IX. Coordinar la operación de los Archivos de trámite, concentración y, en su caso, histórico, de acuerdo con la normativa aplicable;</w:t>
      </w:r>
    </w:p>
    <w:p w:rsidR="00CC022F" w:rsidRDefault="00CC022F">
      <w:pPr>
        <w:ind w:left="567" w:right="-220"/>
        <w:jc w:val="both"/>
        <w:rPr>
          <w:rFonts w:ascii="Palatino Linotype" w:eastAsia="Palatino Linotype" w:hAnsi="Palatino Linotype" w:cs="Palatino Linotype"/>
          <w:i/>
          <w:iCs/>
          <w:color w:val="000000"/>
        </w:rPr>
      </w:pP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Autorizar la Transferencia de los Archivos cuando un área o unidad del Sujeto Obligado sea sometida a procesos de fusión, escisión, extinción o cambio de adscripción; o cualquier modificación de conformidad con las disposiciones jurídicas aplicables; </w:t>
      </w:r>
    </w:p>
    <w:p w:rsidR="00CC022F" w:rsidRDefault="00CC022F">
      <w:pPr>
        <w:ind w:left="567" w:right="-220"/>
        <w:jc w:val="both"/>
        <w:rPr>
          <w:rFonts w:ascii="Palatino Linotype" w:eastAsia="Palatino Linotype" w:hAnsi="Palatino Linotype" w:cs="Palatino Linotype"/>
          <w:i/>
          <w:iCs/>
          <w:color w:val="000000"/>
        </w:rPr>
      </w:pP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Coadyuvar con el área responsable del desarrollo y aplicación de las tecnologías de la información de cada Sujeto Obligado y con el Archivo General del Estado, en las actividades destinadas a la automatización y digitalización de los Archivos y a la Gestión Documental de Archivos electrónicos, de conformidad con esta Ley, la Ley de Gobierno Digital del Estado de México y Municipios, su Reglamento, y </w:t>
      </w:r>
    </w:p>
    <w:p w:rsidR="00CC022F" w:rsidRDefault="00CC022F">
      <w:pPr>
        <w:ind w:left="567" w:right="-220"/>
        <w:jc w:val="both"/>
        <w:rPr>
          <w:rFonts w:ascii="Palatino Linotype" w:eastAsia="Palatino Linotype" w:hAnsi="Palatino Linotype" w:cs="Palatino Linotype"/>
          <w:i/>
          <w:iCs/>
          <w:color w:val="000000"/>
        </w:rPr>
      </w:pP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 Las que establezcan las demás disposiciones jurídicas aplicables.</w:t>
      </w:r>
    </w:p>
    <w:p w:rsidR="00CC022F" w:rsidRDefault="00EB60D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CC022F" w:rsidRDefault="00CC022F">
      <w:pPr>
        <w:ind w:right="-220"/>
        <w:jc w:val="both"/>
        <w:rPr>
          <w:rFonts w:ascii="Palatino Linotype" w:eastAsia="Palatino Linotype" w:hAnsi="Palatino Linotype" w:cs="Palatino Linotype"/>
          <w:i/>
          <w:iCs/>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t xml:space="preserve">En este orden de ideas, la citada ley define a los </w:t>
      </w:r>
      <w:r>
        <w:rPr>
          <w:rFonts w:ascii="Palatino Linotype" w:eastAsia="Palatino Linotype" w:hAnsi="Palatino Linotype" w:cs="Palatino Linotype"/>
          <w:b/>
          <w:bCs/>
        </w:rPr>
        <w:t>Instrumentos de Control Archivístico</w:t>
      </w:r>
      <w:r>
        <w:rPr>
          <w:rFonts w:ascii="Palatino Linotype" w:eastAsia="Palatino Linotype" w:hAnsi="Palatino Linotype" w:cs="Palatino Linotype"/>
        </w:rPr>
        <w:t xml:space="preserve">: A los instrumentos técnicos que propicien la organización, control y conservación de los Documentos de Archivo a lo largo de su Ciclo Vital, que son el </w:t>
      </w:r>
      <w:r>
        <w:rPr>
          <w:rFonts w:ascii="Palatino Linotype" w:eastAsia="Palatino Linotype" w:hAnsi="Palatino Linotype" w:cs="Palatino Linotype"/>
          <w:u w:val="single"/>
        </w:rPr>
        <w:t xml:space="preserve">Cuadro General de </w:t>
      </w:r>
      <w:r>
        <w:rPr>
          <w:rFonts w:ascii="Palatino Linotype" w:eastAsia="Palatino Linotype" w:hAnsi="Palatino Linotype" w:cs="Palatino Linotype"/>
          <w:u w:val="single"/>
        </w:rPr>
        <w:lastRenderedPageBreak/>
        <w:t>Clasificación Archivística</w:t>
      </w:r>
      <w:r>
        <w:rPr>
          <w:rFonts w:ascii="Palatino Linotype" w:eastAsia="Palatino Linotype" w:hAnsi="Palatino Linotype" w:cs="Palatino Linotype"/>
        </w:rPr>
        <w:t xml:space="preserve"> y el </w:t>
      </w:r>
      <w:r>
        <w:rPr>
          <w:rFonts w:ascii="Palatino Linotype" w:eastAsia="Palatino Linotype" w:hAnsi="Palatino Linotype" w:cs="Palatino Linotype"/>
          <w:u w:val="single"/>
        </w:rPr>
        <w:t>Catálogo de Disposición Documental</w:t>
      </w:r>
      <w:r>
        <w:rPr>
          <w:rFonts w:ascii="Palatino Linotype" w:eastAsia="Palatino Linotype" w:hAnsi="Palatino Linotype" w:cs="Palatino Linotype"/>
        </w:rPr>
        <w:t xml:space="preserve">. El </w:t>
      </w:r>
      <w:r>
        <w:rPr>
          <w:rFonts w:ascii="Palatino Linotype" w:eastAsia="Palatino Linotype" w:hAnsi="Palatino Linotype" w:cs="Palatino Linotype"/>
          <w:b/>
          <w:bCs/>
        </w:rPr>
        <w:t>Cuadro General de Cuadro General de Clasificación Archivística</w:t>
      </w:r>
      <w:r>
        <w:rPr>
          <w:rFonts w:ascii="Palatino Linotype" w:eastAsia="Palatino Linotype" w:hAnsi="Palatino Linotype" w:cs="Palatino Linotype"/>
        </w:rPr>
        <w:t xml:space="preserve"> es el instrumento técnico que refleja la estructura de un Archivo con base en las atribuciones y funciones de cada Sujeto Obligado.</w:t>
      </w:r>
    </w:p>
    <w:p w:rsidR="00CC022F" w:rsidRDefault="00CC022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conformidad con la Ley de Archivos y Administración de Documentos del Estado de México y Municipios, la </w:t>
      </w:r>
      <w:r>
        <w:rPr>
          <w:rFonts w:ascii="Palatino Linotype" w:eastAsia="Palatino Linotype" w:hAnsi="Palatino Linotype" w:cs="Palatino Linotype"/>
          <w:b/>
          <w:bCs/>
        </w:rPr>
        <w:t>estructura</w:t>
      </w:r>
      <w:r>
        <w:rPr>
          <w:rFonts w:ascii="Palatino Linotype" w:eastAsia="Palatino Linotype" w:hAnsi="Palatino Linotype" w:cs="Palatino Linotype"/>
        </w:rPr>
        <w:t xml:space="preserve"> del </w:t>
      </w:r>
      <w:r>
        <w:rPr>
          <w:rFonts w:ascii="Palatino Linotype" w:eastAsia="Palatino Linotype" w:hAnsi="Palatino Linotype" w:cs="Palatino Linotype"/>
          <w:b/>
          <w:bCs/>
        </w:rPr>
        <w:t>Cuadro General de Clasificación Archivística</w:t>
      </w:r>
      <w:r>
        <w:rPr>
          <w:rFonts w:ascii="Palatino Linotype" w:eastAsia="Palatino Linotype" w:hAnsi="Palatino Linotype" w:cs="Palatino Linotype"/>
        </w:rPr>
        <w:t xml:space="preserve"> atenderá los niveles de Fondo Documental, Sección y Serie, sin que esto excluya la posibilidad de que existan niveles intermedios, los cuales serán identificados mediante una clave alfanumérica.</w:t>
      </w:r>
    </w:p>
    <w:p w:rsidR="00CC022F" w:rsidRDefault="00EB60D4">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rPr>
      </w:pPr>
      <w:r>
        <w:rPr>
          <w:rFonts w:ascii="Palatino Linotype" w:eastAsia="Palatino Linotype" w:hAnsi="Palatino Linotype" w:cs="Palatino Linotype"/>
          <w:u w:val="single"/>
        </w:rPr>
        <w:t>Fondo Documental</w:t>
      </w:r>
      <w:r>
        <w:rPr>
          <w:rFonts w:ascii="Palatino Linotype" w:eastAsia="Palatino Linotype" w:hAnsi="Palatino Linotype" w:cs="Palatino Linotype"/>
        </w:rPr>
        <w:t>: Al conjunto de documentos producidos orgánicamente por un Sujeto Obligado que se identifica con el nombre de este último.</w:t>
      </w:r>
    </w:p>
    <w:p w:rsidR="00CC022F" w:rsidRDefault="00EB60D4">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rPr>
      </w:pPr>
      <w:r>
        <w:rPr>
          <w:rFonts w:ascii="Palatino Linotype" w:eastAsia="Palatino Linotype" w:hAnsi="Palatino Linotype" w:cs="Palatino Linotype"/>
          <w:u w:val="single"/>
        </w:rPr>
        <w:t>Sección</w:t>
      </w:r>
      <w:r>
        <w:rPr>
          <w:rFonts w:ascii="Palatino Linotype" w:eastAsia="Palatino Linotype" w:hAnsi="Palatino Linotype" w:cs="Palatino Linotype"/>
        </w:rPr>
        <w:t>: A cada una de las divisiones del Fondo Documental basada en las atribuciones de cada Sujeto Obligado de conformidad con las disposiciones jurídicas aplicables.</w:t>
      </w:r>
    </w:p>
    <w:p w:rsidR="00CC022F" w:rsidRDefault="00EB60D4">
      <w:pPr>
        <w:numPr>
          <w:ilvl w:val="1"/>
          <w:numId w:val="6"/>
        </w:numPr>
        <w:pBdr>
          <w:top w:val="nil"/>
          <w:left w:val="nil"/>
          <w:bottom w:val="nil"/>
          <w:right w:val="nil"/>
          <w:between w:val="nil"/>
        </w:pBdr>
        <w:spacing w:line="360" w:lineRule="auto"/>
        <w:ind w:left="709" w:right="-787"/>
        <w:jc w:val="both"/>
        <w:rPr>
          <w:rFonts w:ascii="Palatino Linotype" w:eastAsia="Palatino Linotype" w:hAnsi="Palatino Linotype" w:cs="Palatino Linotype"/>
        </w:rPr>
      </w:pPr>
      <w:r>
        <w:rPr>
          <w:rFonts w:ascii="Palatino Linotype" w:eastAsia="Palatino Linotype" w:hAnsi="Palatino Linotype" w:cs="Palatino Linotype"/>
          <w:u w:val="single"/>
        </w:rPr>
        <w:t>Serie</w:t>
      </w:r>
      <w:r>
        <w:rPr>
          <w:rFonts w:ascii="Palatino Linotype" w:eastAsia="Palatino Linotype" w:hAnsi="Palatino Linotype" w:cs="Palatino Linotype"/>
        </w:rPr>
        <w:t>: A la división de una Sección que corresponde al conjunto de documentos producidos en el desarrollo de una misma atribución general, integrados en Expedientes de acuerdo con un asunto, actividad o trámite específico.</w:t>
      </w:r>
    </w:p>
    <w:p w:rsidR="00CC022F" w:rsidRDefault="00CC022F">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lo expuesto, se advierte que la información remitida en respuesta por el Sujeto Obligado consta del documento denominado CUADRO DE CLASIFICACIÓN ARCHIVÍSTICA DEL ARCHIVO HISTÓRICO DEL MUNICIPIO DE TOLUCA, mismo que contiene los elementos estructurarles marcados en la norma, refiriendo el fondo documental y la sección, añadiendo además otros elementos como años extremos y número de cajas, tal como se muestra en la imagen siguiente:</w:t>
      </w:r>
    </w:p>
    <w:p w:rsidR="00CC022F" w:rsidRDefault="00EB60D4">
      <w:pPr>
        <w:pBdr>
          <w:top w:val="nil"/>
          <w:left w:val="nil"/>
          <w:bottom w:val="nil"/>
          <w:right w:val="nil"/>
          <w:between w:val="nil"/>
        </w:pBdr>
        <w:spacing w:line="360" w:lineRule="auto"/>
        <w:ind w:right="-787"/>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lastRenderedPageBreak/>
        <w:drawing>
          <wp:inline distT="0" distB="0" distL="0" distR="0">
            <wp:extent cx="4704950" cy="3919667"/>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704950" cy="3919667"/>
                    </a:xfrm>
                    <a:prstGeom prst="rect">
                      <a:avLst/>
                    </a:prstGeom>
                    <a:ln/>
                  </pic:spPr>
                </pic:pic>
              </a:graphicData>
            </a:graphic>
          </wp:inline>
        </w:drawing>
      </w:r>
    </w:p>
    <w:p w:rsidR="00CC022F" w:rsidRDefault="00EB60D4">
      <w:pPr>
        <w:pBdr>
          <w:top w:val="nil"/>
          <w:left w:val="nil"/>
          <w:bottom w:val="nil"/>
          <w:right w:val="nil"/>
          <w:between w:val="nil"/>
        </w:pBdr>
        <w:spacing w:line="360" w:lineRule="auto"/>
        <w:ind w:right="-787"/>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4704312" cy="102545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704312" cy="1025452"/>
                    </a:xfrm>
                    <a:prstGeom prst="rect">
                      <a:avLst/>
                    </a:prstGeom>
                    <a:ln/>
                  </pic:spPr>
                </pic:pic>
              </a:graphicData>
            </a:graphic>
          </wp:inline>
        </w:drawing>
      </w: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Del análisis de la información solicitada y la proporcionada en respuesta, </w:t>
      </w:r>
      <w:r>
        <w:rPr>
          <w:rFonts w:ascii="Palatino Linotype" w:eastAsia="Palatino Linotype" w:hAnsi="Palatino Linotype" w:cs="Palatino Linotype"/>
        </w:rPr>
        <w:t xml:space="preserve">este Organismo considera </w:t>
      </w:r>
      <w:r>
        <w:rPr>
          <w:rFonts w:ascii="Palatino Linotype" w:eastAsia="Palatino Linotype" w:hAnsi="Palatino Linotype" w:cs="Palatino Linotype"/>
          <w:b/>
          <w:bCs/>
        </w:rPr>
        <w:t>se ha colmado en su totalidad</w:t>
      </w:r>
      <w:r>
        <w:rPr>
          <w:rFonts w:ascii="Palatino Linotype" w:eastAsia="Palatino Linotype" w:hAnsi="Palatino Linotype" w:cs="Palatino Linotype"/>
        </w:rPr>
        <w:t xml:space="preserve"> el requerimiento de información</w:t>
      </w:r>
      <w:r>
        <w:rPr>
          <w:rFonts w:ascii="Palatino Linotype" w:eastAsia="Palatino Linotype" w:hAnsi="Palatino Linotype" w:cs="Palatino Linotype"/>
          <w:color w:val="000000"/>
        </w:rPr>
        <w:t>. Asimismo, es de recalcar lo establecido en el artículo 12 de la Ley de Transparencia Local:</w:t>
      </w:r>
    </w:p>
    <w:p w:rsidR="00CC022F" w:rsidRDefault="00EB60D4">
      <w:pPr>
        <w:pBdr>
          <w:top w:val="nil"/>
          <w:left w:val="nil"/>
          <w:bottom w:val="nil"/>
          <w:right w:val="nil"/>
          <w:between w:val="nil"/>
        </w:pBdr>
        <w:ind w:left="567"/>
        <w:jc w:val="both"/>
        <w:rPr>
          <w:rFonts w:ascii="Palatino Linotype" w:eastAsia="Palatino Linotype" w:hAnsi="Palatino Linotype" w:cs="Palatino Linotype"/>
          <w:i/>
          <w:iCs/>
          <w:color w:val="000000"/>
          <w:sz w:val="22"/>
          <w:szCs w:val="22"/>
        </w:rPr>
      </w:pPr>
      <w:r>
        <w:rPr>
          <w:rFonts w:ascii="Palatino Linotype" w:eastAsia="Palatino Linotype" w:hAnsi="Palatino Linotype" w:cs="Palatino Linotype"/>
          <w:i/>
          <w:iCs/>
          <w:color w:val="000000"/>
          <w:sz w:val="22"/>
          <w:szCs w:val="22"/>
        </w:rPr>
        <w:t xml:space="preserve">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w:t>
      </w:r>
    </w:p>
    <w:p w:rsidR="00CC022F" w:rsidRDefault="00CC022F">
      <w:pPr>
        <w:pBdr>
          <w:top w:val="nil"/>
          <w:left w:val="nil"/>
          <w:bottom w:val="nil"/>
          <w:right w:val="nil"/>
          <w:between w:val="nil"/>
        </w:pBdr>
        <w:ind w:left="567"/>
        <w:jc w:val="both"/>
        <w:rPr>
          <w:rFonts w:ascii="Palatino Linotype" w:eastAsia="Palatino Linotype" w:hAnsi="Palatino Linotype" w:cs="Palatino Linotype"/>
          <w:i/>
          <w:iCs/>
          <w:color w:val="000000"/>
          <w:sz w:val="22"/>
          <w:szCs w:val="22"/>
        </w:rPr>
      </w:pPr>
    </w:p>
    <w:p w:rsidR="00CC022F" w:rsidRDefault="00EB60D4">
      <w:pPr>
        <w:pBdr>
          <w:top w:val="nil"/>
          <w:left w:val="nil"/>
          <w:bottom w:val="nil"/>
          <w:right w:val="nil"/>
          <w:between w:val="nil"/>
        </w:pBdr>
        <w:ind w:left="567"/>
        <w:jc w:val="both"/>
        <w:rPr>
          <w:rFonts w:ascii="Palatino Linotype" w:eastAsia="Palatino Linotype" w:hAnsi="Palatino Linotype" w:cs="Palatino Linotype"/>
          <w:i/>
          <w:iCs/>
          <w:color w:val="000000"/>
          <w:sz w:val="22"/>
          <w:szCs w:val="22"/>
        </w:rPr>
      </w:pPr>
      <w:r>
        <w:rPr>
          <w:rFonts w:ascii="Palatino Linotype" w:eastAsia="Palatino Linotype" w:hAnsi="Palatino Linotype" w:cs="Palatino Linotype"/>
          <w:i/>
          <w:iCs/>
          <w:color w:val="000000"/>
          <w:sz w:val="22"/>
          <w:szCs w:val="22"/>
        </w:rPr>
        <w:lastRenderedPageBreak/>
        <w:t>La obligación de proporcionar información no comprende el procesamiento de la misma, ni el presentarla conforme al interés del solicitante; no estarán obligados a generarla, resumirla, efectuar cálculos o practicar investigaciones.</w:t>
      </w:r>
    </w:p>
    <w:p w:rsidR="00CC022F" w:rsidRDefault="00CC022F">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Por lo anterior  </w:t>
      </w:r>
      <w:r>
        <w:rPr>
          <w:rFonts w:ascii="Palatino Linotype" w:eastAsia="Palatino Linotype" w:hAnsi="Palatino Linotype" w:cs="Palatino Linotype"/>
          <w:color w:val="000000"/>
        </w:rPr>
        <w:t>resulta</w:t>
      </w:r>
      <w:r>
        <w:rPr>
          <w:rFonts w:ascii="Palatino Linotype" w:eastAsia="Palatino Linotype" w:hAnsi="Palatino Linotype" w:cs="Palatino Linotype"/>
        </w:rPr>
        <w:t xml:space="preserve"> necesario </w:t>
      </w:r>
      <w:r>
        <w:rPr>
          <w:rFonts w:ascii="Palatino Linotype" w:eastAsia="Palatino Linotype" w:hAnsi="Palatino Linotype" w:cs="Palatino Linotype"/>
          <w:color w:val="000000"/>
        </w:rPr>
        <w:t>puntualizar</w:t>
      </w:r>
      <w:r>
        <w:rPr>
          <w:rFonts w:ascii="Palatino Linotype" w:eastAsia="Palatino Linotype" w:hAnsi="Palatino Linotype" w:cs="Palatino Linotype"/>
        </w:rPr>
        <w:t xml:space="preserve">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CC022F" w:rsidRDefault="00CC022F">
      <w:pPr>
        <w:pBdr>
          <w:top w:val="nil"/>
          <w:left w:val="nil"/>
          <w:bottom w:val="nil"/>
          <w:right w:val="nil"/>
          <w:between w:val="nil"/>
        </w:pBdr>
        <w:spacing w:line="360" w:lineRule="auto"/>
        <w:ind w:left="851" w:right="850"/>
        <w:jc w:val="both"/>
        <w:rPr>
          <w:rFonts w:ascii="Palatino Linotype" w:eastAsia="Palatino Linotype" w:hAnsi="Palatino Linotype" w:cs="Palatino Linotype"/>
          <w:i/>
          <w:iCs/>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Así</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mismo</w:t>
      </w:r>
      <w:r>
        <w:rPr>
          <w:rFonts w:ascii="Palatino Linotype" w:eastAsia="Palatino Linotype" w:hAnsi="Palatino Linotype" w:cs="Palatino Linotype"/>
        </w:rPr>
        <w:t xml:space="preserv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Pr>
          <w:rFonts w:ascii="Palatino Linotype" w:eastAsia="Palatino Linotype" w:hAnsi="Palatino Linotype" w:cs="Palatino Linotype"/>
          <w:b/>
          <w:bCs/>
        </w:rPr>
        <w:t>veracidad</w:t>
      </w:r>
      <w:r>
        <w:rPr>
          <w:rFonts w:ascii="Palatino Linotype" w:eastAsia="Palatino Linotype" w:hAnsi="Palatino Linotype" w:cs="Palatino Linotype"/>
        </w:rPr>
        <w:t>, oportunidad entre otros, numeral en comento que a la letra señala;</w:t>
      </w:r>
    </w:p>
    <w:p w:rsidR="00CC022F" w:rsidRDefault="00EB60D4">
      <w:pPr>
        <w:pBdr>
          <w:top w:val="nil"/>
          <w:left w:val="nil"/>
          <w:bottom w:val="nil"/>
          <w:right w:val="nil"/>
          <w:between w:val="nil"/>
        </w:pBdr>
        <w:ind w:left="646" w:right="-574"/>
        <w:jc w:val="both"/>
        <w:rPr>
          <w:rFonts w:ascii="Palatino Linotype" w:eastAsia="Palatino Linotype" w:hAnsi="Palatino Linotype" w:cs="Palatino Linotype"/>
          <w:b/>
          <w:bCs/>
          <w:i/>
          <w:iCs/>
          <w:color w:val="000000"/>
          <w:sz w:val="22"/>
          <w:szCs w:val="22"/>
        </w:rPr>
      </w:pPr>
      <w:r>
        <w:rPr>
          <w:rFonts w:ascii="Palatino Linotype" w:eastAsia="Palatino Linotype" w:hAnsi="Palatino Linotype" w:cs="Palatino Linotype"/>
          <w:i/>
          <w:iCs/>
          <w:color w:val="000000"/>
          <w:sz w:val="22"/>
          <w:szCs w:val="22"/>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sz w:val="22"/>
          <w:szCs w:val="22"/>
        </w:rPr>
        <w:t>Los Sujetos Obligados deben poner en práctica, políticas y programas de acceso a la información que se apeguen a criterios de publicidad, veracidad, oportunidad, precisión y suficiencia en beneficio de los solicitantes.</w:t>
      </w:r>
    </w:p>
    <w:p w:rsidR="00CC022F" w:rsidRDefault="00CC022F">
      <w:pPr>
        <w:spacing w:line="360" w:lineRule="auto"/>
        <w:ind w:right="-787"/>
        <w:jc w:val="both"/>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rPr>
        <w:t>Luego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entonces</w:t>
      </w:r>
      <w:r>
        <w:rPr>
          <w:rFonts w:ascii="Palatino Linotype" w:eastAsia="Palatino Linotype" w:hAnsi="Palatino Linotype" w:cs="Palatino Linotype"/>
          <w:color w:val="000000"/>
        </w:rPr>
        <w:t xml:space="preserve"> la </w:t>
      </w:r>
      <w:r>
        <w:rPr>
          <w:rFonts w:ascii="Palatino Linotype" w:eastAsia="Palatino Linotype" w:hAnsi="Palatino Linotype" w:cs="Palatino Linotype"/>
        </w:rPr>
        <w:t>obligación</w:t>
      </w:r>
      <w:r>
        <w:rPr>
          <w:rFonts w:ascii="Palatino Linotype" w:eastAsia="Palatino Linotype" w:hAnsi="Palatino Linotype" w:cs="Palatino Linotype"/>
          <w:color w:val="000000"/>
        </w:rPr>
        <w:t xml:space="preserve"> de los Sujetos Obligados de dar acceso a la información pública que generen, administren o posean, se tendrá por cumplida cuando </w:t>
      </w:r>
      <w:r>
        <w:rPr>
          <w:rFonts w:ascii="Palatino Linotype" w:eastAsia="Palatino Linotype" w:hAnsi="Palatino Linotype" w:cs="Palatino Linotype"/>
          <w:b/>
          <w:bCs/>
          <w:color w:val="000000"/>
        </w:rPr>
        <w:t>el solicitante tenga a su disposición la información requerida, como ha sucedido al caso concreto</w:t>
      </w:r>
      <w:r>
        <w:rPr>
          <w:rFonts w:ascii="Palatino Linotype" w:eastAsia="Palatino Linotype" w:hAnsi="Palatino Linotype" w:cs="Palatino Linotype"/>
          <w:color w:val="000000"/>
        </w:rPr>
        <w:t xml:space="preserve">, en consecuencia, la solicitud de información </w:t>
      </w:r>
      <w:r>
        <w:rPr>
          <w:rFonts w:ascii="Palatino Linotype" w:eastAsia="Palatino Linotype" w:hAnsi="Palatino Linotype" w:cs="Palatino Linotype"/>
          <w:b/>
          <w:bCs/>
          <w:color w:val="000000"/>
        </w:rPr>
        <w:t>ha quedado satisfecha</w:t>
      </w:r>
      <w:r>
        <w:rPr>
          <w:rFonts w:ascii="Palatino Linotype" w:eastAsia="Palatino Linotype" w:hAnsi="Palatino Linotype" w:cs="Palatino Linotype"/>
          <w:color w:val="000000"/>
        </w:rPr>
        <w:t>.</w:t>
      </w:r>
      <w:r>
        <w:rPr>
          <w:rFonts w:ascii="Palatino Linotype" w:eastAsia="Palatino Linotype" w:hAnsi="Palatino Linotype" w:cs="Palatino Linotype"/>
          <w:i/>
          <w:iCs/>
          <w:color w:val="000000"/>
        </w:rPr>
        <w:t xml:space="preserve"> </w:t>
      </w:r>
    </w:p>
    <w:p w:rsidR="00CC022F" w:rsidRDefault="00CC022F">
      <w:pPr>
        <w:spacing w:line="360" w:lineRule="auto"/>
        <w:ind w:right="-787"/>
        <w:jc w:val="both"/>
        <w:rPr>
          <w:rFonts w:ascii="Palatino Linotype" w:eastAsia="Palatino Linotype" w:hAnsi="Palatino Linotype" w:cs="Palatino Linotype"/>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 lo expuesto se concluye que el Sujeto Obligado dio atención a la solicitud de información al remitir la información requerida; por ello, resultan </w:t>
      </w:r>
      <w:r>
        <w:rPr>
          <w:rFonts w:ascii="Palatino Linotype" w:eastAsia="Palatino Linotype" w:hAnsi="Palatino Linotype" w:cs="Palatino Linotype"/>
          <w:b/>
          <w:bCs/>
        </w:rPr>
        <w:t>INFUNDADAS</w:t>
      </w:r>
      <w:r>
        <w:rPr>
          <w:rFonts w:ascii="Palatino Linotype" w:eastAsia="Palatino Linotype" w:hAnsi="Palatino Linotype" w:cs="Palatino Linotype"/>
        </w:rPr>
        <w:t xml:space="preserve">, las razones o motivos de inconformidad hechos valer por el Recurrente, siendo procedente </w:t>
      </w:r>
      <w:r>
        <w:rPr>
          <w:rFonts w:ascii="Palatino Linotype" w:eastAsia="Palatino Linotype" w:hAnsi="Palatino Linotype" w:cs="Palatino Linotype"/>
          <w:b/>
          <w:bCs/>
        </w:rPr>
        <w:t>CONFIRMAR</w:t>
      </w:r>
      <w:r>
        <w:rPr>
          <w:rFonts w:ascii="Palatino Linotype" w:eastAsia="Palatino Linotype" w:hAnsi="Palatino Linotype" w:cs="Palatino Linotype"/>
        </w:rPr>
        <w:t xml:space="preserve"> la respuesta otorgada por el </w:t>
      </w:r>
      <w:r>
        <w:rPr>
          <w:rFonts w:ascii="Palatino Linotype" w:eastAsia="Palatino Linotype" w:hAnsi="Palatino Linotype" w:cs="Palatino Linotype"/>
          <w:b/>
          <w:bCs/>
        </w:rPr>
        <w:t>Ayuntamiento de Toluca</w:t>
      </w:r>
      <w:r>
        <w:rPr>
          <w:rFonts w:ascii="Palatino Linotype" w:eastAsia="Palatino Linotype" w:hAnsi="Palatino Linotype" w:cs="Palatino Linotype"/>
        </w:rPr>
        <w:t xml:space="preserve"> a la solicitud de información </w:t>
      </w:r>
      <w:r>
        <w:rPr>
          <w:rFonts w:ascii="Palatino Linotype" w:eastAsia="Palatino Linotype" w:hAnsi="Palatino Linotype" w:cs="Palatino Linotype"/>
          <w:b/>
          <w:bCs/>
        </w:rPr>
        <w:t>01000/TOLUCA/IP/2026.</w:t>
      </w:r>
    </w:p>
    <w:p w:rsidR="00CC022F" w:rsidRDefault="00CC022F">
      <w:pPr>
        <w:spacing w:line="360" w:lineRule="auto"/>
        <w:jc w:val="both"/>
        <w:rPr>
          <w:color w:val="000000"/>
        </w:rPr>
      </w:pPr>
    </w:p>
    <w:p w:rsidR="00CC022F" w:rsidRDefault="00EB60D4">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CC022F" w:rsidRDefault="00CC022F">
      <w:pPr>
        <w:ind w:right="278"/>
        <w:rPr>
          <w:rFonts w:ascii="Palatino Linotype" w:eastAsia="Palatino Linotype" w:hAnsi="Palatino Linotype" w:cs="Palatino Linotype"/>
        </w:rPr>
      </w:pPr>
    </w:p>
    <w:p w:rsidR="00CC022F" w:rsidRDefault="00EB60D4">
      <w:pPr>
        <w:spacing w:line="360" w:lineRule="auto"/>
        <w:ind w:right="-858"/>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CC022F" w:rsidRDefault="00CC022F">
      <w:pPr>
        <w:spacing w:line="360" w:lineRule="auto"/>
        <w:ind w:right="-787"/>
        <w:jc w:val="center"/>
        <w:rPr>
          <w:rFonts w:ascii="Palatino Linotype" w:eastAsia="Palatino Linotype" w:hAnsi="Palatino Linotype" w:cs="Palatino Linotype"/>
          <w:b/>
          <w:bCs/>
        </w:rPr>
      </w:pPr>
    </w:p>
    <w:p w:rsidR="00CC022F" w:rsidRDefault="00EB60D4">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INFUNDADAS</w:t>
      </w:r>
      <w:r>
        <w:rPr>
          <w:rFonts w:ascii="Palatino Linotype" w:eastAsia="Palatino Linotype" w:hAnsi="Palatino Linotype" w:cs="Palatino Linotype"/>
        </w:rPr>
        <w:t xml:space="preserve">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02438/INFOEM/IP/RR/2026</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CC022F" w:rsidRDefault="00CC022F">
      <w:pPr>
        <w:spacing w:line="360" w:lineRule="auto"/>
        <w:ind w:right="-787"/>
        <w:jc w:val="both"/>
        <w:rPr>
          <w:rFonts w:ascii="Palatino Linotype" w:eastAsia="Palatino Linotype" w:hAnsi="Palatino Linotype" w:cs="Palatino Linotype"/>
        </w:rPr>
      </w:pPr>
    </w:p>
    <w:p w:rsidR="00CC022F" w:rsidRDefault="00EB60D4">
      <w:pPr>
        <w:spacing w:line="360" w:lineRule="auto"/>
        <w:ind w:right="-787"/>
        <w:jc w:val="both"/>
        <w:rPr>
          <w:rFonts w:ascii="Palatino Linotype" w:eastAsia="Palatino Linotype" w:hAnsi="Palatino Linotype" w:cs="Palatino Linotype"/>
          <w:b/>
          <w:bCs/>
        </w:rPr>
      </w:pPr>
      <w:bookmarkStart w:id="8" w:name="_heading=h.1ksv4uv" w:colFirst="0" w:colLast="0"/>
      <w:bookmarkEnd w:id="8"/>
      <w:r>
        <w:rPr>
          <w:rFonts w:ascii="Palatino Linotype" w:eastAsia="Palatino Linotype" w:hAnsi="Palatino Linotype" w:cs="Palatino Linotype"/>
          <w:b/>
          <w:bCs/>
        </w:rPr>
        <w:t>SEGUNDO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 xml:space="preserve">CONFIRMA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Ayuntamiento de Toluca,</w:t>
      </w:r>
      <w:r>
        <w:rPr>
          <w:rFonts w:ascii="Palatino Linotype" w:eastAsia="Palatino Linotype" w:hAnsi="Palatino Linotype" w:cs="Palatino Linotype"/>
        </w:rPr>
        <w:t xml:space="preserve"> emitida en la solicitud de información </w:t>
      </w:r>
      <w:r>
        <w:rPr>
          <w:rFonts w:ascii="Palatino Linotype" w:eastAsia="Palatino Linotype" w:hAnsi="Palatino Linotype" w:cs="Palatino Linotype"/>
          <w:b/>
          <w:bCs/>
        </w:rPr>
        <w:t>01000/TOLUCA/IP/2026.</w:t>
      </w:r>
    </w:p>
    <w:p w:rsidR="00CC022F" w:rsidRDefault="00CC022F">
      <w:pPr>
        <w:spacing w:line="360" w:lineRule="auto"/>
        <w:ind w:right="-787"/>
        <w:jc w:val="both"/>
        <w:rPr>
          <w:rFonts w:ascii="Palatino Linotype" w:eastAsia="Palatino Linotype" w:hAnsi="Palatino Linotype" w:cs="Palatino Linotype"/>
          <w:b/>
          <w:bCs/>
        </w:rPr>
      </w:pPr>
    </w:p>
    <w:p w:rsidR="00CC022F" w:rsidRDefault="00EB60D4">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TERCERO. Notifíquese</w:t>
      </w:r>
      <w:r>
        <w:rPr>
          <w:rFonts w:ascii="Palatino Linotype" w:eastAsia="Palatino Linotype" w:hAnsi="Palatino Linotype" w:cs="Palatino Linotype"/>
        </w:rPr>
        <w:t xml:space="preserve"> al Titular de la Unidad de Transparencia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vía SAIMEX, para su conocimiento.</w:t>
      </w:r>
    </w:p>
    <w:p w:rsidR="00CC022F" w:rsidRDefault="00CC022F">
      <w:pPr>
        <w:spacing w:line="360" w:lineRule="auto"/>
        <w:ind w:right="-787"/>
        <w:jc w:val="both"/>
        <w:rPr>
          <w:rFonts w:ascii="Palatino Linotype" w:eastAsia="Palatino Linotype" w:hAnsi="Palatino Linotype" w:cs="Palatino Linotype"/>
        </w:rPr>
      </w:pPr>
    </w:p>
    <w:p w:rsidR="00CC022F" w:rsidRDefault="00EB60D4">
      <w:pPr>
        <w:tabs>
          <w:tab w:val="left" w:pos="8080"/>
        </w:tabs>
        <w:spacing w:line="360" w:lineRule="auto"/>
        <w:ind w:right="-787"/>
        <w:jc w:val="both"/>
        <w:rPr>
          <w:rFonts w:ascii="Palatino Linotype" w:eastAsia="Palatino Linotype" w:hAnsi="Palatino Linotype" w:cs="Palatino Linotype"/>
        </w:rPr>
      </w:pPr>
      <w:bookmarkStart w:id="9" w:name="_heading=h.3rdcrjn" w:colFirst="0" w:colLast="0"/>
      <w:bookmarkEnd w:id="9"/>
      <w:r>
        <w:rPr>
          <w:rFonts w:ascii="Palatino Linotype" w:eastAsia="Palatino Linotype" w:hAnsi="Palatino Linotype" w:cs="Palatino Linotype"/>
          <w:b/>
          <w:bCs/>
        </w:rPr>
        <w:t xml:space="preserve">CUARTO. </w:t>
      </w:r>
      <w:r>
        <w:rPr>
          <w:rFonts w:ascii="Palatino Linotype" w:eastAsia="Palatino Linotype" w:hAnsi="Palatino Linotype" w:cs="Palatino Linotype"/>
          <w:b/>
          <w:bCs/>
          <w:color w:val="222222"/>
        </w:rPr>
        <w:t xml:space="preserve">Notifíquese </w:t>
      </w:r>
      <w:r>
        <w:rPr>
          <w:rFonts w:ascii="Palatino Linotype" w:eastAsia="Palatino Linotype" w:hAnsi="Palatino Linotype" w:cs="Palatino Linotype"/>
          <w:color w:val="222222"/>
        </w:rPr>
        <w:t xml:space="preserve">a </w:t>
      </w:r>
      <w:r>
        <w:rPr>
          <w:rFonts w:ascii="Palatino Linotype" w:eastAsia="Palatino Linotype" w:hAnsi="Palatino Linotype" w:cs="Palatino Linotype"/>
          <w:b/>
          <w:bCs/>
          <w:color w:val="222222"/>
        </w:rPr>
        <w:t>EL RECURRENTE</w:t>
      </w:r>
      <w:r>
        <w:rPr>
          <w:rFonts w:ascii="Palatino Linotype" w:eastAsia="Palatino Linotype" w:hAnsi="Palatino Linotype" w:cs="Palatino Linotype"/>
          <w:color w:val="222222"/>
        </w:rPr>
        <w:t xml:space="preserve"> la presente resolución vía SAIMEX</w:t>
      </w:r>
      <w:r>
        <w:rPr>
          <w:rFonts w:ascii="Palatino Linotype" w:eastAsia="Palatino Linotype" w:hAnsi="Palatino Linotype" w:cs="Palatino Linotype"/>
        </w:rPr>
        <w:t>.</w:t>
      </w:r>
    </w:p>
    <w:p w:rsidR="00CC022F" w:rsidRDefault="00EB60D4">
      <w:pPr>
        <w:shd w:val="clear" w:color="auto" w:fill="FFFFFF"/>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 xml:space="preserve">QUINTO. </w:t>
      </w:r>
      <w:r>
        <w:rPr>
          <w:rFonts w:ascii="Palatino Linotype" w:eastAsia="Palatino Linotype" w:hAnsi="Palatino Linotype" w:cs="Palatino Linotype"/>
          <w:color w:val="000000"/>
        </w:rPr>
        <w:t xml:space="preserve">Se hace del conocimiento de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CC022F" w:rsidRDefault="00CC022F">
      <w:pPr>
        <w:spacing w:line="360" w:lineRule="auto"/>
        <w:ind w:right="-858"/>
        <w:jc w:val="both"/>
        <w:rPr>
          <w:rFonts w:ascii="Palatino Linotype" w:eastAsia="Palatino Linotype" w:hAnsi="Palatino Linotype" w:cs="Palatino Linotype"/>
        </w:rPr>
      </w:pPr>
    </w:p>
    <w:p w:rsidR="00292969" w:rsidRPr="003E2295" w:rsidRDefault="00292969" w:rsidP="00292969">
      <w:pPr>
        <w:spacing w:before="240" w:after="240" w:line="360" w:lineRule="auto"/>
        <w:ind w:right="-716" w:firstLine="1"/>
        <w:jc w:val="both"/>
        <w:rPr>
          <w:rFonts w:ascii="Palatino Linotype" w:hAnsi="Palatino Linotype"/>
        </w:rPr>
      </w:pPr>
      <w:bookmarkStart w:id="10"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SEGUNDA </w:t>
      </w:r>
      <w:r w:rsidRPr="003E2295">
        <w:rPr>
          <w:rFonts w:ascii="Palatino Linotype" w:hAnsi="Palatino Linotype" w:cs="Palatino Linotype"/>
        </w:rPr>
        <w:t>SESIÓN O</w:t>
      </w:r>
      <w:r>
        <w:rPr>
          <w:rFonts w:ascii="Palatino Linotype" w:hAnsi="Palatino Linotype" w:cs="Palatino Linotype"/>
        </w:rPr>
        <w:t>RDINARIA, CELEBRADA EL DIECISIETE (17</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CC022F" w:rsidRDefault="00CC022F" w:rsidP="00292969">
      <w:pPr>
        <w:spacing w:line="360" w:lineRule="auto"/>
        <w:ind w:right="-716"/>
        <w:jc w:val="both"/>
        <w:rPr>
          <w:rFonts w:ascii="Palatino Linotype" w:eastAsia="Palatino Linotype" w:hAnsi="Palatino Linotype" w:cs="Palatino Linotype"/>
        </w:rPr>
      </w:pPr>
    </w:p>
    <w:p w:rsidR="00CC022F" w:rsidRDefault="00CC022F">
      <w:pPr>
        <w:spacing w:line="360" w:lineRule="auto"/>
        <w:ind w:right="-787"/>
        <w:jc w:val="both"/>
        <w:rPr>
          <w:rFonts w:ascii="Palatino Linotype" w:eastAsia="Palatino Linotype" w:hAnsi="Palatino Linotype" w:cs="Palatino Linotype"/>
        </w:rPr>
      </w:pPr>
    </w:p>
    <w:p w:rsidR="00CC022F" w:rsidRDefault="00CC022F">
      <w:pPr>
        <w:spacing w:line="360" w:lineRule="auto"/>
        <w:ind w:right="-787"/>
        <w:jc w:val="both"/>
        <w:rPr>
          <w:rFonts w:ascii="Palatino Linotype" w:eastAsia="Palatino Linotype" w:hAnsi="Palatino Linotype" w:cs="Palatino Linotype"/>
        </w:rPr>
      </w:pPr>
    </w:p>
    <w:p w:rsidR="00CC022F" w:rsidRDefault="00CC022F">
      <w:pPr>
        <w:spacing w:line="360" w:lineRule="auto"/>
        <w:ind w:right="-787"/>
        <w:jc w:val="both"/>
        <w:rPr>
          <w:rFonts w:ascii="Palatino Linotype" w:eastAsia="Palatino Linotype" w:hAnsi="Palatino Linotype" w:cs="Palatino Linotype"/>
        </w:rPr>
      </w:pPr>
    </w:p>
    <w:p w:rsidR="00CC022F" w:rsidRDefault="00CC022F">
      <w:pPr>
        <w:spacing w:line="360" w:lineRule="auto"/>
        <w:ind w:right="-787"/>
        <w:jc w:val="both"/>
        <w:rPr>
          <w:rFonts w:ascii="Palatino Linotype" w:eastAsia="Palatino Linotype" w:hAnsi="Palatino Linotype" w:cs="Palatino Linotype"/>
        </w:rPr>
      </w:pPr>
    </w:p>
    <w:p w:rsidR="00CC022F" w:rsidRDefault="00CC022F">
      <w:pPr>
        <w:spacing w:line="360" w:lineRule="auto"/>
        <w:ind w:right="-787"/>
        <w:jc w:val="both"/>
        <w:rPr>
          <w:rFonts w:ascii="Palatino Linotype" w:eastAsia="Palatino Linotype" w:hAnsi="Palatino Linotype" w:cs="Palatino Linotype"/>
        </w:rPr>
      </w:pPr>
    </w:p>
    <w:p w:rsidR="00CC022F" w:rsidRDefault="00CC022F">
      <w:pPr>
        <w:spacing w:line="360" w:lineRule="auto"/>
        <w:ind w:right="-787"/>
        <w:jc w:val="both"/>
        <w:rPr>
          <w:rFonts w:ascii="Palatino Linotype" w:eastAsia="Palatino Linotype" w:hAnsi="Palatino Linotype" w:cs="Palatino Linotype"/>
        </w:rPr>
      </w:pPr>
    </w:p>
    <w:p w:rsidR="00CC022F" w:rsidRDefault="00CC022F">
      <w:pPr>
        <w:spacing w:line="360" w:lineRule="auto"/>
        <w:ind w:right="-787"/>
        <w:jc w:val="both"/>
        <w:rPr>
          <w:rFonts w:ascii="Palatino Linotype" w:eastAsia="Palatino Linotype" w:hAnsi="Palatino Linotype" w:cs="Palatino Linotype"/>
        </w:rPr>
      </w:pPr>
    </w:p>
    <w:p w:rsidR="00CC022F" w:rsidRDefault="00CC022F">
      <w:pPr>
        <w:spacing w:line="360" w:lineRule="auto"/>
        <w:ind w:right="-787"/>
        <w:jc w:val="both"/>
        <w:rPr>
          <w:rFonts w:ascii="Palatino Linotype" w:eastAsia="Palatino Linotype" w:hAnsi="Palatino Linotype" w:cs="Palatino Linotype"/>
        </w:rPr>
      </w:pPr>
    </w:p>
    <w:p w:rsidR="00CC022F" w:rsidRDefault="00CC022F">
      <w:pPr>
        <w:spacing w:line="360" w:lineRule="auto"/>
        <w:ind w:right="-787"/>
        <w:jc w:val="both"/>
        <w:rPr>
          <w:rFonts w:ascii="Palatino Linotype" w:eastAsia="Palatino Linotype" w:hAnsi="Palatino Linotype" w:cs="Palatino Linotype"/>
        </w:rPr>
      </w:pPr>
    </w:p>
    <w:p w:rsidR="00CC022F" w:rsidRDefault="00CC022F">
      <w:pPr>
        <w:spacing w:line="360" w:lineRule="auto"/>
        <w:ind w:right="-787"/>
        <w:jc w:val="both"/>
        <w:rPr>
          <w:rFonts w:ascii="Palatino Linotype" w:eastAsia="Palatino Linotype" w:hAnsi="Palatino Linotype" w:cs="Palatino Linotype"/>
        </w:rPr>
      </w:pPr>
    </w:p>
    <w:p w:rsidR="00CC022F" w:rsidRDefault="00CC022F">
      <w:pPr>
        <w:spacing w:line="360" w:lineRule="auto"/>
        <w:ind w:right="-787"/>
        <w:rPr>
          <w:rFonts w:ascii="Palatino Linotype" w:eastAsia="Palatino Linotype" w:hAnsi="Palatino Linotype" w:cs="Palatino Linotype"/>
        </w:rPr>
      </w:pPr>
    </w:p>
    <w:p w:rsidR="00CC022F" w:rsidRDefault="00CC022F">
      <w:pPr>
        <w:spacing w:line="360" w:lineRule="auto"/>
        <w:ind w:right="-787"/>
        <w:rPr>
          <w:rFonts w:ascii="Palatino Linotype" w:eastAsia="Palatino Linotype" w:hAnsi="Palatino Linotype" w:cs="Palatino Linotype"/>
        </w:rPr>
      </w:pPr>
    </w:p>
    <w:p w:rsidR="00CC022F" w:rsidRDefault="00CC022F">
      <w:pPr>
        <w:spacing w:line="360" w:lineRule="auto"/>
        <w:ind w:right="-787"/>
        <w:rPr>
          <w:rFonts w:ascii="Palatino Linotype" w:eastAsia="Palatino Linotype" w:hAnsi="Palatino Linotype" w:cs="Palatino Linotype"/>
        </w:rPr>
      </w:pPr>
    </w:p>
    <w:p w:rsidR="00CC022F" w:rsidRDefault="00CC022F">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p>
    <w:p w:rsidR="00CC022F" w:rsidRDefault="00CC022F">
      <w:pPr>
        <w:tabs>
          <w:tab w:val="left" w:pos="3374"/>
        </w:tabs>
        <w:spacing w:line="360" w:lineRule="auto"/>
        <w:ind w:right="-787"/>
        <w:rPr>
          <w:rFonts w:ascii="Palatino Linotype" w:eastAsia="Palatino Linotype" w:hAnsi="Palatino Linotype" w:cs="Palatino Linotype"/>
        </w:rPr>
      </w:pPr>
    </w:p>
    <w:p w:rsidR="00CC022F" w:rsidRDefault="00CC022F">
      <w:pPr>
        <w:tabs>
          <w:tab w:val="left" w:pos="3374"/>
        </w:tabs>
        <w:spacing w:line="360" w:lineRule="auto"/>
        <w:ind w:right="-787"/>
        <w:rPr>
          <w:rFonts w:ascii="Palatino Linotype" w:eastAsia="Palatino Linotype" w:hAnsi="Palatino Linotype" w:cs="Palatino Linotype"/>
        </w:rPr>
      </w:pPr>
    </w:p>
    <w:sectPr w:rsidR="00CC022F">
      <w:headerReference w:type="even" r:id="rId10"/>
      <w:headerReference w:type="default" r:id="rId11"/>
      <w:footerReference w:type="default" r:id="rId12"/>
      <w:headerReference w:type="first" r:id="rId13"/>
      <w:footerReference w:type="first" r:id="rId14"/>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5E7" w:rsidRDefault="00E235E7">
      <w:r>
        <w:separator/>
      </w:r>
    </w:p>
  </w:endnote>
  <w:endnote w:type="continuationSeparator" w:id="0">
    <w:p w:rsidR="00E235E7" w:rsidRDefault="00E23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embedRegular r:id="rId1" w:fontKey="{06E28868-9B14-4CC3-A407-4D443ABFB7C9}"/>
    <w:embedBold r:id="rId2" w:fontKey="{9E1FA7F4-29CD-49E7-A1F6-DFEC0145DB08}"/>
    <w:embedItalic r:id="rId3" w:fontKey="{32C1ED38-952D-4A04-AACB-3AAC60F4E00C}"/>
    <w:embedBoldItalic r:id="rId4" w:fontKey="{B718573C-3B2D-4687-BD20-6049D7203F1A}"/>
  </w:font>
  <w:font w:name="Noto Sans Symbols">
    <w:charset w:val="00"/>
    <w:family w:val="auto"/>
    <w:pitch w:val="default"/>
    <w:embedRegular r:id="rId5" w:fontKey="{4831E724-365F-43E0-AD9D-DC71B7D86805}"/>
    <w:embedBold r:id="rId6" w:fontKey="{E8F127F9-9C10-4FCF-AD0D-330E958DE8C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7E3D03A6-EDE5-43A3-A33E-8A3EA35EEC41}"/>
    <w:embedBold r:id="rId8" w:fontKey="{38900FF2-1873-4D1A-BC19-8DC969DD5E3C}"/>
  </w:font>
  <w:font w:name="Georgia">
    <w:panose1 w:val="02040502050405020303"/>
    <w:charset w:val="00"/>
    <w:family w:val="roman"/>
    <w:pitch w:val="variable"/>
    <w:sig w:usb0="00000287" w:usb1="00000000" w:usb2="00000000" w:usb3="00000000" w:csb0="0000009F" w:csb1="00000000"/>
    <w:embedItalic r:id="rId9" w:fontKey="{EC1F8B88-976A-4D2D-A9E9-3AE2507E1DFE}"/>
  </w:font>
  <w:font w:name="Cambria">
    <w:panose1 w:val="02040503050406030204"/>
    <w:charset w:val="00"/>
    <w:family w:val="roman"/>
    <w:pitch w:val="variable"/>
    <w:sig w:usb0="E00006FF" w:usb1="420024FF" w:usb2="02000000" w:usb3="00000000" w:csb0="0000019F" w:csb1="00000000"/>
    <w:embedRegular r:id="rId10" w:fontKey="{DDC38D3A-D407-4885-9E1C-189A0A9436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22F" w:rsidRDefault="00EB60D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1B13CF">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1B13CF">
      <w:rPr>
        <w:rFonts w:ascii="Palatino Linotype" w:eastAsia="Palatino Linotype" w:hAnsi="Palatino Linotype" w:cs="Palatino Linotype"/>
        <w:noProof/>
        <w:color w:val="000000"/>
        <w:sz w:val="22"/>
        <w:szCs w:val="22"/>
      </w:rPr>
      <w:t>22</w:t>
    </w:r>
    <w:r>
      <w:rPr>
        <w:rFonts w:ascii="Palatino Linotype" w:eastAsia="Palatino Linotype" w:hAnsi="Palatino Linotype" w:cs="Palatino Linotype"/>
        <w:color w:val="000000"/>
        <w:sz w:val="22"/>
        <w:szCs w:val="22"/>
      </w:rPr>
      <w:fldChar w:fldCharType="end"/>
    </w:r>
  </w:p>
  <w:p w:rsidR="00CC022F" w:rsidRDefault="00CC022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22F" w:rsidRDefault="00EB60D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1B13CF">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1B13CF">
      <w:rPr>
        <w:rFonts w:ascii="Palatino Linotype" w:eastAsia="Palatino Linotype" w:hAnsi="Palatino Linotype" w:cs="Palatino Linotype"/>
        <w:noProof/>
        <w:color w:val="000000"/>
        <w:sz w:val="22"/>
        <w:szCs w:val="22"/>
      </w:rPr>
      <w:t>22</w:t>
    </w:r>
    <w:r>
      <w:rPr>
        <w:rFonts w:ascii="Palatino Linotype" w:eastAsia="Palatino Linotype" w:hAnsi="Palatino Linotype" w:cs="Palatino Linotype"/>
        <w:color w:val="000000"/>
        <w:sz w:val="22"/>
        <w:szCs w:val="22"/>
      </w:rPr>
      <w:fldChar w:fldCharType="end"/>
    </w:r>
  </w:p>
  <w:p w:rsidR="00CC022F" w:rsidRDefault="00CC022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5E7" w:rsidRDefault="00E235E7">
      <w:r>
        <w:separator/>
      </w:r>
    </w:p>
  </w:footnote>
  <w:footnote w:type="continuationSeparator" w:id="0">
    <w:p w:rsidR="00E235E7" w:rsidRDefault="00E235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22F" w:rsidRDefault="00E235E7">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6750" w:type="dxa"/>
      <w:tblInd w:w="3261" w:type="dxa"/>
      <w:tblLayout w:type="fixed"/>
      <w:tblLook w:val="0400" w:firstRow="0" w:lastRow="0" w:firstColumn="0" w:lastColumn="0" w:noHBand="0" w:noVBand="1"/>
    </w:tblPr>
    <w:tblGrid>
      <w:gridCol w:w="3174"/>
      <w:gridCol w:w="3576"/>
    </w:tblGrid>
    <w:tr w:rsidR="00CC022F">
      <w:trPr>
        <w:trHeight w:val="227"/>
      </w:trPr>
      <w:tc>
        <w:tcPr>
          <w:tcW w:w="3174" w:type="dxa"/>
        </w:tcPr>
        <w:p w:rsidR="00CC022F" w:rsidRDefault="00EB60D4">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76" w:type="dxa"/>
        </w:tcPr>
        <w:p w:rsidR="00CC022F" w:rsidRDefault="00EB60D4">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02438/INFOEM/IP/RR/2026</w:t>
          </w:r>
        </w:p>
      </w:tc>
    </w:tr>
    <w:tr w:rsidR="00CC022F">
      <w:trPr>
        <w:trHeight w:val="342"/>
      </w:trPr>
      <w:tc>
        <w:tcPr>
          <w:tcW w:w="3174" w:type="dxa"/>
        </w:tcPr>
        <w:p w:rsidR="00CC022F" w:rsidRDefault="00EB60D4">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76" w:type="dxa"/>
        </w:tcPr>
        <w:p w:rsidR="00CC022F" w:rsidRDefault="00EB60D4">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CC022F">
      <w:trPr>
        <w:trHeight w:val="342"/>
      </w:trPr>
      <w:tc>
        <w:tcPr>
          <w:tcW w:w="3174" w:type="dxa"/>
        </w:tcPr>
        <w:p w:rsidR="00CC022F" w:rsidRDefault="00EB60D4">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76" w:type="dxa"/>
        </w:tcPr>
        <w:p w:rsidR="00CC022F" w:rsidRDefault="00EB60D4">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CC022F" w:rsidRDefault="00E235E7">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750" w:type="dxa"/>
      <w:tblInd w:w="3261" w:type="dxa"/>
      <w:tblLayout w:type="fixed"/>
      <w:tblLook w:val="0400" w:firstRow="0" w:lastRow="0" w:firstColumn="0" w:lastColumn="0" w:noHBand="0" w:noVBand="1"/>
    </w:tblPr>
    <w:tblGrid>
      <w:gridCol w:w="3174"/>
      <w:gridCol w:w="3576"/>
    </w:tblGrid>
    <w:tr w:rsidR="00CC022F">
      <w:trPr>
        <w:trHeight w:val="227"/>
      </w:trPr>
      <w:tc>
        <w:tcPr>
          <w:tcW w:w="3174" w:type="dxa"/>
        </w:tcPr>
        <w:p w:rsidR="00CC022F" w:rsidRDefault="00EB60D4">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76" w:type="dxa"/>
        </w:tcPr>
        <w:p w:rsidR="00CC022F" w:rsidRDefault="00EB60D4">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02438/INFOEM/IP/RR/2026</w:t>
          </w:r>
        </w:p>
      </w:tc>
    </w:tr>
    <w:tr w:rsidR="00CC022F">
      <w:trPr>
        <w:trHeight w:val="242"/>
      </w:trPr>
      <w:tc>
        <w:tcPr>
          <w:tcW w:w="3174" w:type="dxa"/>
        </w:tcPr>
        <w:p w:rsidR="00CC022F" w:rsidRDefault="00EB60D4">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576" w:type="dxa"/>
        </w:tcPr>
        <w:p w:rsidR="00CC022F" w:rsidRDefault="00CC022F">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p>
      </w:tc>
    </w:tr>
    <w:tr w:rsidR="00CC022F">
      <w:trPr>
        <w:trHeight w:val="342"/>
      </w:trPr>
      <w:tc>
        <w:tcPr>
          <w:tcW w:w="3174" w:type="dxa"/>
        </w:tcPr>
        <w:p w:rsidR="00CC022F" w:rsidRDefault="00EB60D4">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76" w:type="dxa"/>
        </w:tcPr>
        <w:p w:rsidR="00CC022F" w:rsidRDefault="00EB60D4">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CC022F">
      <w:trPr>
        <w:trHeight w:val="342"/>
      </w:trPr>
      <w:tc>
        <w:tcPr>
          <w:tcW w:w="3174" w:type="dxa"/>
        </w:tcPr>
        <w:p w:rsidR="00CC022F" w:rsidRDefault="00EB60D4">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76" w:type="dxa"/>
        </w:tcPr>
        <w:p w:rsidR="00CC022F" w:rsidRDefault="00EB60D4">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CC022F" w:rsidRDefault="00E235E7">
    <w:pPr>
      <w:pBdr>
        <w:top w:val="nil"/>
        <w:left w:val="nil"/>
        <w:bottom w:val="nil"/>
        <w:right w:val="nil"/>
        <w:between w:val="nil"/>
      </w:pBdr>
      <w:tabs>
        <w:tab w:val="center" w:pos="4419"/>
        <w:tab w:val="right" w:pos="8838"/>
      </w:tabs>
      <w:rPr>
        <w:color w:val="000000"/>
        <w:sz w:val="18"/>
        <w:szCs w:val="18"/>
      </w:rPr>
    </w:pPr>
    <w:r>
      <w:rPr>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14A79"/>
    <w:multiLevelType w:val="multilevel"/>
    <w:tmpl w:val="A52E77F6"/>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187C5D"/>
    <w:multiLevelType w:val="multilevel"/>
    <w:tmpl w:val="A050C7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FBF674F"/>
    <w:multiLevelType w:val="multilevel"/>
    <w:tmpl w:val="35D4796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 w15:restartNumberingAfterBreak="0">
    <w:nsid w:val="3A836BAB"/>
    <w:multiLevelType w:val="multilevel"/>
    <w:tmpl w:val="93B897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F2A6C37"/>
    <w:multiLevelType w:val="multilevel"/>
    <w:tmpl w:val="7DDC08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3667203"/>
    <w:multiLevelType w:val="multilevel"/>
    <w:tmpl w:val="5BFC36AA"/>
    <w:lvl w:ilvl="0">
      <w:start w:val="1"/>
      <w:numFmt w:val="decimal"/>
      <w:lvlText w:val="%1)"/>
      <w:lvlJc w:val="left"/>
      <w:pPr>
        <w:ind w:left="2215" w:hanging="360"/>
      </w:pPr>
    </w:lvl>
    <w:lvl w:ilvl="1">
      <w:start w:val="1"/>
      <w:numFmt w:val="lowerLetter"/>
      <w:lvlText w:val="%2."/>
      <w:lvlJc w:val="left"/>
      <w:pPr>
        <w:ind w:left="2935" w:hanging="360"/>
      </w:pPr>
    </w:lvl>
    <w:lvl w:ilvl="2">
      <w:start w:val="1"/>
      <w:numFmt w:val="lowerRoman"/>
      <w:lvlText w:val="%3."/>
      <w:lvlJc w:val="right"/>
      <w:pPr>
        <w:ind w:left="3655" w:hanging="180"/>
      </w:pPr>
    </w:lvl>
    <w:lvl w:ilvl="3">
      <w:start w:val="1"/>
      <w:numFmt w:val="decimal"/>
      <w:lvlText w:val="%4."/>
      <w:lvlJc w:val="left"/>
      <w:pPr>
        <w:ind w:left="4375" w:hanging="360"/>
      </w:pPr>
    </w:lvl>
    <w:lvl w:ilvl="4">
      <w:start w:val="1"/>
      <w:numFmt w:val="lowerLetter"/>
      <w:lvlText w:val="%5."/>
      <w:lvlJc w:val="left"/>
      <w:pPr>
        <w:ind w:left="5095" w:hanging="360"/>
      </w:pPr>
    </w:lvl>
    <w:lvl w:ilvl="5">
      <w:start w:val="1"/>
      <w:numFmt w:val="lowerRoman"/>
      <w:lvlText w:val="%6."/>
      <w:lvlJc w:val="right"/>
      <w:pPr>
        <w:ind w:left="5815" w:hanging="180"/>
      </w:pPr>
    </w:lvl>
    <w:lvl w:ilvl="6">
      <w:start w:val="1"/>
      <w:numFmt w:val="decimal"/>
      <w:lvlText w:val="%7."/>
      <w:lvlJc w:val="left"/>
      <w:pPr>
        <w:ind w:left="6535" w:hanging="360"/>
      </w:pPr>
    </w:lvl>
    <w:lvl w:ilvl="7">
      <w:start w:val="1"/>
      <w:numFmt w:val="lowerLetter"/>
      <w:lvlText w:val="%8."/>
      <w:lvlJc w:val="left"/>
      <w:pPr>
        <w:ind w:left="7255" w:hanging="360"/>
      </w:pPr>
    </w:lvl>
    <w:lvl w:ilvl="8">
      <w:start w:val="1"/>
      <w:numFmt w:val="lowerRoman"/>
      <w:lvlText w:val="%9."/>
      <w:lvlJc w:val="right"/>
      <w:pPr>
        <w:ind w:left="7975" w:hanging="180"/>
      </w:pPr>
    </w:lvl>
  </w:abstractNum>
  <w:abstractNum w:abstractNumId="6" w15:restartNumberingAfterBreak="0">
    <w:nsid w:val="456A2D50"/>
    <w:multiLevelType w:val="multilevel"/>
    <w:tmpl w:val="470E5A22"/>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num w:numId="1">
    <w:abstractNumId w:val="1"/>
  </w:num>
  <w:num w:numId="2">
    <w:abstractNumId w:val="5"/>
  </w:num>
  <w:num w:numId="3">
    <w:abstractNumId w:val="4"/>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22F"/>
    <w:rsid w:val="001B13CF"/>
    <w:rsid w:val="001F17BD"/>
    <w:rsid w:val="00292969"/>
    <w:rsid w:val="00BF4DA9"/>
    <w:rsid w:val="00CC022F"/>
    <w:rsid w:val="00E235E7"/>
    <w:rsid w:val="00EB60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FCC0FD7-7978-4ACA-AA06-D49025A06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1B13CF"/>
    <w:pPr>
      <w:tabs>
        <w:tab w:val="center" w:pos="4419"/>
        <w:tab w:val="right" w:pos="8838"/>
      </w:tabs>
    </w:pPr>
  </w:style>
  <w:style w:type="character" w:customStyle="1" w:styleId="PiedepginaCar">
    <w:name w:val="Pie de página Car"/>
    <w:basedOn w:val="Fuentedeprrafopredeter"/>
    <w:link w:val="Piedepgina"/>
    <w:uiPriority w:val="99"/>
    <w:rsid w:val="001B1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1E2eoTl+ghUYFxw/N9mxwKbnLA==">CgMxLjAyCGguZ2pkZ3hzMgloLjMwajB6bGwyCWguMWZvYjl0ZTIJaC4zem55c2g3MgloLjJldDkycDAyCWguMXQzaDVzZjIJaC4yczhleW8xMgloLjFrc3Y0dXYyCWguM3JkY3JqbjIOaC5oMnAyYzdzZDF6ZDEyCGgubG54Yno5OAByITFGQ2pTbG1IcnpURjFYUGlHV194dy0ya0tQTEV2amdGSQ==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5330</Words>
  <Characters>29320</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5</cp:revision>
  <cp:lastPrinted>2026-06-18T18:43:00Z</cp:lastPrinted>
  <dcterms:created xsi:type="dcterms:W3CDTF">2026-06-17T17:23:00Z</dcterms:created>
  <dcterms:modified xsi:type="dcterms:W3CDTF">2026-06-19T19:51:00Z</dcterms:modified>
</cp:coreProperties>
</file>